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C6EB" w14:textId="66EAA3CB" w:rsidR="00EA4355" w:rsidRDefault="00BC6186" w:rsidP="00661068">
      <w:pPr>
        <w:pStyle w:val="Title"/>
      </w:pPr>
      <w:r>
        <w:t>TED CSV open data</w:t>
      </w:r>
    </w:p>
    <w:p w14:paraId="4056AD69" w14:textId="6B568D98" w:rsidR="009D0245" w:rsidRDefault="00EA4355" w:rsidP="00661068">
      <w:pPr>
        <w:pStyle w:val="Subtitle"/>
        <w:rPr>
          <w:sz w:val="40"/>
          <w:szCs w:val="40"/>
        </w:rPr>
      </w:pPr>
      <w:r w:rsidRPr="00BC6186">
        <w:rPr>
          <w:sz w:val="40"/>
          <w:szCs w:val="40"/>
        </w:rPr>
        <w:t xml:space="preserve">Advanced </w:t>
      </w:r>
      <w:r w:rsidR="006D4CBF" w:rsidRPr="00BC6186">
        <w:rPr>
          <w:sz w:val="40"/>
          <w:szCs w:val="40"/>
        </w:rPr>
        <w:t xml:space="preserve">notes on </w:t>
      </w:r>
      <w:r w:rsidRPr="00BC6186">
        <w:rPr>
          <w:sz w:val="40"/>
          <w:szCs w:val="40"/>
        </w:rPr>
        <w:t>methodology</w:t>
      </w:r>
    </w:p>
    <w:p w14:paraId="41703BE5" w14:textId="757A6A70" w:rsidR="00C05A0E" w:rsidRDefault="00964EFC" w:rsidP="00C05A0E">
      <w:pPr>
        <w:pStyle w:val="NoSpacing"/>
      </w:pPr>
      <w:r>
        <w:t>Version 0.9</w:t>
      </w:r>
      <w:r w:rsidR="00266133">
        <w:t>1</w:t>
      </w:r>
    </w:p>
    <w:sdt>
      <w:sdtPr>
        <w:rPr>
          <w:rFonts w:asciiTheme="minorHAnsi" w:eastAsiaTheme="minorHAnsi" w:hAnsiTheme="minorHAnsi" w:cstheme="minorBidi"/>
          <w:b/>
          <w:color w:val="auto"/>
          <w:sz w:val="22"/>
          <w:szCs w:val="22"/>
          <w:lang w:val="en-GB"/>
        </w:rPr>
        <w:id w:val="-1240942335"/>
        <w:docPartObj>
          <w:docPartGallery w:val="Table of Contents"/>
          <w:docPartUnique/>
        </w:docPartObj>
      </w:sdtPr>
      <w:sdtEndPr>
        <w:rPr>
          <w:bCs/>
          <w:noProof/>
        </w:rPr>
      </w:sdtEndPr>
      <w:sdtContent>
        <w:p w14:paraId="4F37A1EC" w14:textId="6DF7EB24" w:rsidR="00C05A0E" w:rsidRPr="001B7332" w:rsidRDefault="00C05A0E">
          <w:pPr>
            <w:pStyle w:val="TOCHeading"/>
          </w:pPr>
          <w:r w:rsidRPr="001B7332">
            <w:t>Contents</w:t>
          </w:r>
        </w:p>
        <w:p w14:paraId="7BEFF7F4" w14:textId="77777777" w:rsidR="00114DBB" w:rsidRPr="00114DBB" w:rsidRDefault="00C05A0E">
          <w:pPr>
            <w:pStyle w:val="TOC2"/>
            <w:tabs>
              <w:tab w:val="left" w:pos="660"/>
              <w:tab w:val="right" w:leader="dot" w:pos="9062"/>
            </w:tabs>
            <w:rPr>
              <w:rFonts w:eastAsiaTheme="minorEastAsia"/>
              <w:b w:val="0"/>
              <w:noProof/>
              <w:lang w:val="en-US"/>
            </w:rPr>
          </w:pPr>
          <w:r w:rsidRPr="00964EFC">
            <w:rPr>
              <w:b w:val="0"/>
            </w:rPr>
            <w:fldChar w:fldCharType="begin"/>
          </w:r>
          <w:r w:rsidRPr="001B7332">
            <w:rPr>
              <w:b w:val="0"/>
            </w:rPr>
            <w:instrText xml:space="preserve"> TOC \o "1-3" \h \z \u </w:instrText>
          </w:r>
          <w:r w:rsidRPr="00964EFC">
            <w:rPr>
              <w:b w:val="0"/>
            </w:rPr>
            <w:fldChar w:fldCharType="separate"/>
          </w:r>
          <w:hyperlink w:anchor="_Toc481579458" w:history="1">
            <w:r w:rsidR="00114DBB" w:rsidRPr="00CC5860">
              <w:rPr>
                <w:rStyle w:val="Hyperlink"/>
                <w:b w:val="0"/>
                <w:noProof/>
              </w:rPr>
              <w:t>1.</w:t>
            </w:r>
            <w:r w:rsidR="00114DBB" w:rsidRPr="00114DBB">
              <w:rPr>
                <w:rFonts w:eastAsiaTheme="minorEastAsia"/>
                <w:b w:val="0"/>
                <w:noProof/>
                <w:lang w:val="en-US"/>
              </w:rPr>
              <w:tab/>
            </w:r>
            <w:r w:rsidR="00114DBB" w:rsidRPr="00CC5860">
              <w:rPr>
                <w:rStyle w:val="Hyperlink"/>
                <w:b w:val="0"/>
                <w:noProof/>
              </w:rPr>
              <w:t>Introduction</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_Toc481579458 \h </w:instrText>
            </w:r>
            <w:r w:rsidR="00114DBB" w:rsidRPr="00CC5860">
              <w:rPr>
                <w:b w:val="0"/>
                <w:noProof/>
                <w:webHidden/>
              </w:rPr>
            </w:r>
            <w:r w:rsidR="00114DBB" w:rsidRPr="00CC5860">
              <w:rPr>
                <w:b w:val="0"/>
                <w:noProof/>
                <w:webHidden/>
              </w:rPr>
              <w:fldChar w:fldCharType="separate"/>
            </w:r>
            <w:r w:rsidR="00114DBB" w:rsidRPr="00CC5860">
              <w:rPr>
                <w:b w:val="0"/>
                <w:noProof/>
                <w:webHidden/>
              </w:rPr>
              <w:t>2</w:t>
            </w:r>
            <w:r w:rsidR="00114DBB" w:rsidRPr="00CC5860">
              <w:rPr>
                <w:b w:val="0"/>
                <w:noProof/>
                <w:webHidden/>
              </w:rPr>
              <w:fldChar w:fldCharType="end"/>
            </w:r>
          </w:hyperlink>
        </w:p>
        <w:p w14:paraId="40083A76" w14:textId="77777777" w:rsidR="00114DBB" w:rsidRPr="00114DBB" w:rsidRDefault="00AA2955">
          <w:pPr>
            <w:pStyle w:val="TOC3"/>
            <w:tabs>
              <w:tab w:val="left" w:pos="1100"/>
              <w:tab w:val="right" w:leader="dot" w:pos="9062"/>
            </w:tabs>
            <w:rPr>
              <w:rFonts w:eastAsiaTheme="minorEastAsia"/>
              <w:b w:val="0"/>
              <w:noProof/>
              <w:lang w:val="en-US"/>
            </w:rPr>
          </w:pPr>
          <w:hyperlink w:anchor="_Toc481579459" w:history="1">
            <w:r w:rsidR="00114DBB" w:rsidRPr="00CC5860">
              <w:rPr>
                <w:rStyle w:val="Hyperlink"/>
                <w:b w:val="0"/>
                <w:noProof/>
                <w14:scene3d>
                  <w14:camera w14:prst="orthographicFront"/>
                  <w14:lightRig w14:rig="threePt" w14:dir="t">
                    <w14:rot w14:lat="0" w14:lon="0" w14:rev="0"/>
                  </w14:lightRig>
                </w14:scene3d>
              </w:rPr>
              <w:t>1.1.</w:t>
            </w:r>
            <w:r w:rsidR="00114DBB" w:rsidRPr="00114DBB">
              <w:rPr>
                <w:rFonts w:eastAsiaTheme="minorEastAsia"/>
                <w:b w:val="0"/>
                <w:noProof/>
                <w:lang w:val="en-US"/>
              </w:rPr>
              <w:tab/>
            </w:r>
            <w:r w:rsidR="00114DBB" w:rsidRPr="00CC5860">
              <w:rPr>
                <w:rStyle w:val="Hyperlink"/>
                <w:b w:val="0"/>
                <w:noProof/>
              </w:rPr>
              <w:t>Country indicators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_Toc481579459 \h </w:instrText>
            </w:r>
            <w:r w:rsidR="00114DBB" w:rsidRPr="00CC5860">
              <w:rPr>
                <w:b w:val="0"/>
                <w:noProof/>
                <w:webHidden/>
              </w:rPr>
            </w:r>
            <w:r w:rsidR="00114DBB" w:rsidRPr="00CC5860">
              <w:rPr>
                <w:b w:val="0"/>
                <w:noProof/>
                <w:webHidden/>
              </w:rPr>
              <w:fldChar w:fldCharType="separate"/>
            </w:r>
            <w:r w:rsidR="00114DBB" w:rsidRPr="00CC5860">
              <w:rPr>
                <w:b w:val="0"/>
                <w:noProof/>
                <w:webHidden/>
              </w:rPr>
              <w:t>2</w:t>
            </w:r>
            <w:r w:rsidR="00114DBB" w:rsidRPr="00CC5860">
              <w:rPr>
                <w:b w:val="0"/>
                <w:noProof/>
                <w:webHidden/>
              </w:rPr>
              <w:fldChar w:fldCharType="end"/>
            </w:r>
          </w:hyperlink>
        </w:p>
        <w:p w14:paraId="16B78D39" w14:textId="77777777" w:rsidR="00114DBB" w:rsidRPr="00114DBB" w:rsidRDefault="00AA2955">
          <w:pPr>
            <w:pStyle w:val="TOC3"/>
            <w:tabs>
              <w:tab w:val="left" w:pos="1100"/>
              <w:tab w:val="right" w:leader="dot" w:pos="9062"/>
            </w:tabs>
            <w:rPr>
              <w:rFonts w:eastAsiaTheme="minorEastAsia"/>
              <w:b w:val="0"/>
              <w:noProof/>
              <w:lang w:val="en-US"/>
            </w:rPr>
          </w:pPr>
          <w:hyperlink w:anchor="_Toc481579460" w:history="1">
            <w:r w:rsidR="00114DBB" w:rsidRPr="00CC5860">
              <w:rPr>
                <w:rStyle w:val="Hyperlink"/>
                <w:b w:val="0"/>
                <w:noProof/>
                <w14:scene3d>
                  <w14:camera w14:prst="orthographicFront"/>
                  <w14:lightRig w14:rig="threePt" w14:dir="t">
                    <w14:rot w14:lat="0" w14:lon="0" w14:rev="0"/>
                  </w14:lightRig>
                </w14:scene3d>
              </w:rPr>
              <w:t>1.2.</w:t>
            </w:r>
            <w:r w:rsidR="00114DBB" w:rsidRPr="00114DBB">
              <w:rPr>
                <w:rFonts w:eastAsiaTheme="minorEastAsia"/>
                <w:b w:val="0"/>
                <w:noProof/>
                <w:lang w:val="en-US"/>
              </w:rPr>
              <w:tab/>
            </w:r>
            <w:r w:rsidR="00114DBB" w:rsidRPr="00CC5860">
              <w:rPr>
                <w:rStyle w:val="Hyperlink"/>
                <w:b w:val="0"/>
                <w:noProof/>
              </w:rPr>
              <w:t>Acronyms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_Toc481579460 \h </w:instrText>
            </w:r>
            <w:r w:rsidR="00114DBB" w:rsidRPr="00CC5860">
              <w:rPr>
                <w:b w:val="0"/>
                <w:noProof/>
                <w:webHidden/>
              </w:rPr>
            </w:r>
            <w:r w:rsidR="00114DBB" w:rsidRPr="00CC5860">
              <w:rPr>
                <w:b w:val="0"/>
                <w:noProof/>
                <w:webHidden/>
              </w:rPr>
              <w:fldChar w:fldCharType="separate"/>
            </w:r>
            <w:r w:rsidR="00114DBB" w:rsidRPr="00CC5860">
              <w:rPr>
                <w:b w:val="0"/>
                <w:noProof/>
                <w:webHidden/>
              </w:rPr>
              <w:t>2</w:t>
            </w:r>
            <w:r w:rsidR="00114DBB" w:rsidRPr="00CC5860">
              <w:rPr>
                <w:b w:val="0"/>
                <w:noProof/>
                <w:webHidden/>
              </w:rPr>
              <w:fldChar w:fldCharType="end"/>
            </w:r>
          </w:hyperlink>
        </w:p>
        <w:p w14:paraId="1AB17AB5" w14:textId="77777777" w:rsidR="00114DBB" w:rsidRPr="00114DBB" w:rsidRDefault="00AA2955">
          <w:pPr>
            <w:pStyle w:val="TOC2"/>
            <w:tabs>
              <w:tab w:val="left" w:pos="660"/>
              <w:tab w:val="right" w:leader="dot" w:pos="9062"/>
            </w:tabs>
            <w:rPr>
              <w:rFonts w:eastAsiaTheme="minorEastAsia"/>
              <w:b w:val="0"/>
              <w:noProof/>
              <w:lang w:val="en-US"/>
            </w:rPr>
          </w:pPr>
          <w:hyperlink w:anchor="_Toc481579461" w:history="1">
            <w:r w:rsidR="00114DBB" w:rsidRPr="00CC5860">
              <w:rPr>
                <w:rStyle w:val="Hyperlink"/>
                <w:b w:val="0"/>
                <w:noProof/>
              </w:rPr>
              <w:t>2.</w:t>
            </w:r>
            <w:r w:rsidR="00114DBB" w:rsidRPr="00114DBB">
              <w:rPr>
                <w:rFonts w:eastAsiaTheme="minorEastAsia"/>
                <w:b w:val="0"/>
                <w:noProof/>
                <w:lang w:val="en-US"/>
              </w:rPr>
              <w:tab/>
            </w:r>
            <w:r w:rsidR="00114DBB" w:rsidRPr="00CC5860">
              <w:rPr>
                <w:rStyle w:val="Hyperlink"/>
                <w:b w:val="0"/>
                <w:noProof/>
              </w:rPr>
              <w:t>General methodological issues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_Toc481579461 \h </w:instrText>
            </w:r>
            <w:r w:rsidR="00114DBB" w:rsidRPr="00CC5860">
              <w:rPr>
                <w:b w:val="0"/>
                <w:noProof/>
                <w:webHidden/>
              </w:rPr>
            </w:r>
            <w:r w:rsidR="00114DBB" w:rsidRPr="00CC5860">
              <w:rPr>
                <w:b w:val="0"/>
                <w:noProof/>
                <w:webHidden/>
              </w:rPr>
              <w:fldChar w:fldCharType="separate"/>
            </w:r>
            <w:r w:rsidR="00114DBB" w:rsidRPr="00CC5860">
              <w:rPr>
                <w:b w:val="0"/>
                <w:noProof/>
                <w:webHidden/>
              </w:rPr>
              <w:t>4</w:t>
            </w:r>
            <w:r w:rsidR="00114DBB" w:rsidRPr="00CC5860">
              <w:rPr>
                <w:b w:val="0"/>
                <w:noProof/>
                <w:webHidden/>
              </w:rPr>
              <w:fldChar w:fldCharType="end"/>
            </w:r>
          </w:hyperlink>
        </w:p>
        <w:p w14:paraId="25BD31AB" w14:textId="77777777" w:rsidR="00114DBB" w:rsidRPr="00114DBB" w:rsidRDefault="00AA2955">
          <w:pPr>
            <w:pStyle w:val="TOC3"/>
            <w:tabs>
              <w:tab w:val="left" w:pos="1100"/>
              <w:tab w:val="right" w:leader="dot" w:pos="9062"/>
            </w:tabs>
            <w:rPr>
              <w:rFonts w:eastAsiaTheme="minorEastAsia"/>
              <w:b w:val="0"/>
              <w:noProof/>
              <w:lang w:val="en-US"/>
            </w:rPr>
          </w:pPr>
          <w:hyperlink w:anchor="_Toc481579462" w:history="1">
            <w:r w:rsidR="00114DBB" w:rsidRPr="00CC5860">
              <w:rPr>
                <w:rStyle w:val="Hyperlink"/>
                <w:b w:val="0"/>
                <w:noProof/>
                <w14:scene3d>
                  <w14:camera w14:prst="orthographicFront"/>
                  <w14:lightRig w14:rig="threePt" w14:dir="t">
                    <w14:rot w14:lat="0" w14:lon="0" w14:rev="0"/>
                  </w14:lightRig>
                </w14:scene3d>
              </w:rPr>
              <w:t>2.1.</w:t>
            </w:r>
            <w:r w:rsidR="00114DBB" w:rsidRPr="00114DBB">
              <w:rPr>
                <w:rFonts w:eastAsiaTheme="minorEastAsia"/>
                <w:b w:val="0"/>
                <w:noProof/>
                <w:lang w:val="en-US"/>
              </w:rPr>
              <w:tab/>
            </w:r>
            <w:r w:rsidR="00114DBB" w:rsidRPr="00CC5860">
              <w:rPr>
                <w:rStyle w:val="Hyperlink"/>
                <w:b w:val="0"/>
                <w:noProof/>
              </w:rPr>
              <w:t>Value of notices vs. notice count</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_Toc481579462 \h </w:instrText>
            </w:r>
            <w:r w:rsidR="00114DBB" w:rsidRPr="00CC5860">
              <w:rPr>
                <w:b w:val="0"/>
                <w:noProof/>
                <w:webHidden/>
              </w:rPr>
            </w:r>
            <w:r w:rsidR="00114DBB" w:rsidRPr="00CC5860">
              <w:rPr>
                <w:b w:val="0"/>
                <w:noProof/>
                <w:webHidden/>
              </w:rPr>
              <w:fldChar w:fldCharType="separate"/>
            </w:r>
            <w:r w:rsidR="00114DBB" w:rsidRPr="00CC5860">
              <w:rPr>
                <w:b w:val="0"/>
                <w:noProof/>
                <w:webHidden/>
              </w:rPr>
              <w:t>4</w:t>
            </w:r>
            <w:r w:rsidR="00114DBB" w:rsidRPr="00CC5860">
              <w:rPr>
                <w:b w:val="0"/>
                <w:noProof/>
                <w:webHidden/>
              </w:rPr>
              <w:fldChar w:fldCharType="end"/>
            </w:r>
          </w:hyperlink>
        </w:p>
        <w:p w14:paraId="662744A3" w14:textId="77777777" w:rsidR="00114DBB" w:rsidRPr="00114DBB" w:rsidRDefault="00AA2955">
          <w:pPr>
            <w:pStyle w:val="TOC3"/>
            <w:tabs>
              <w:tab w:val="left" w:pos="1100"/>
              <w:tab w:val="right" w:leader="dot" w:pos="9062"/>
            </w:tabs>
            <w:rPr>
              <w:rFonts w:eastAsiaTheme="minorEastAsia"/>
              <w:b w:val="0"/>
              <w:noProof/>
              <w:lang w:val="en-US"/>
            </w:rPr>
          </w:pPr>
          <w:hyperlink w:anchor="_Toc481579463" w:history="1">
            <w:r w:rsidR="00114DBB" w:rsidRPr="00CC5860">
              <w:rPr>
                <w:rStyle w:val="Hyperlink"/>
                <w:b w:val="0"/>
                <w:noProof/>
                <w14:scene3d>
                  <w14:camera w14:prst="orthographicFront"/>
                  <w14:lightRig w14:rig="threePt" w14:dir="t">
                    <w14:rot w14:lat="0" w14:lon="0" w14:rev="0"/>
                  </w14:lightRig>
                </w14:scene3d>
              </w:rPr>
              <w:t>2.2.</w:t>
            </w:r>
            <w:r w:rsidR="00114DBB" w:rsidRPr="00114DBB">
              <w:rPr>
                <w:rFonts w:eastAsiaTheme="minorEastAsia"/>
                <w:b w:val="0"/>
                <w:noProof/>
                <w:lang w:val="en-US"/>
              </w:rPr>
              <w:tab/>
            </w:r>
            <w:r w:rsidR="00114DBB" w:rsidRPr="00CC5860">
              <w:rPr>
                <w:rStyle w:val="Hyperlink"/>
                <w:b w:val="0"/>
                <w:noProof/>
              </w:rPr>
              <w:t>Calls for competition vs. contract award notices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_Toc481579463 \h </w:instrText>
            </w:r>
            <w:r w:rsidR="00114DBB" w:rsidRPr="00CC5860">
              <w:rPr>
                <w:b w:val="0"/>
                <w:noProof/>
                <w:webHidden/>
              </w:rPr>
            </w:r>
            <w:r w:rsidR="00114DBB" w:rsidRPr="00CC5860">
              <w:rPr>
                <w:b w:val="0"/>
                <w:noProof/>
                <w:webHidden/>
              </w:rPr>
              <w:fldChar w:fldCharType="separate"/>
            </w:r>
            <w:r w:rsidR="00114DBB" w:rsidRPr="00CC5860">
              <w:rPr>
                <w:b w:val="0"/>
                <w:noProof/>
                <w:webHidden/>
              </w:rPr>
              <w:t>5</w:t>
            </w:r>
            <w:r w:rsidR="00114DBB" w:rsidRPr="00CC5860">
              <w:rPr>
                <w:b w:val="0"/>
                <w:noProof/>
                <w:webHidden/>
              </w:rPr>
              <w:fldChar w:fldCharType="end"/>
            </w:r>
          </w:hyperlink>
        </w:p>
        <w:p w14:paraId="0B81010D" w14:textId="77777777" w:rsidR="00114DBB" w:rsidRPr="00114DBB" w:rsidRDefault="00AA2955">
          <w:pPr>
            <w:pStyle w:val="TOC3"/>
            <w:tabs>
              <w:tab w:val="left" w:pos="1100"/>
              <w:tab w:val="right" w:leader="dot" w:pos="9062"/>
            </w:tabs>
            <w:rPr>
              <w:rFonts w:eastAsiaTheme="minorEastAsia"/>
              <w:b w:val="0"/>
              <w:noProof/>
              <w:lang w:val="en-US"/>
            </w:rPr>
          </w:pPr>
          <w:hyperlink w:anchor="_Toc481579464" w:history="1">
            <w:r w:rsidR="00114DBB" w:rsidRPr="00CC5860">
              <w:rPr>
                <w:rStyle w:val="Hyperlink"/>
                <w:b w:val="0"/>
                <w:noProof/>
                <w14:scene3d>
                  <w14:camera w14:prst="orthographicFront"/>
                  <w14:lightRig w14:rig="threePt" w14:dir="t">
                    <w14:rot w14:lat="0" w14:lon="0" w14:rev="0"/>
                  </w14:lightRig>
                </w14:scene3d>
              </w:rPr>
              <w:t>2.3.</w:t>
            </w:r>
            <w:r w:rsidR="00114DBB" w:rsidRPr="00114DBB">
              <w:rPr>
                <w:rFonts w:eastAsiaTheme="minorEastAsia"/>
                <w:b w:val="0"/>
                <w:noProof/>
                <w:lang w:val="en-US"/>
              </w:rPr>
              <w:tab/>
            </w:r>
            <w:r w:rsidR="00114DBB" w:rsidRPr="00CC5860">
              <w:rPr>
                <w:rStyle w:val="Hyperlink"/>
                <w:b w:val="0"/>
                <w:noProof/>
              </w:rPr>
              <w:t>Mixing of above- and below- threshold procurement</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_Toc481579464 \h </w:instrText>
            </w:r>
            <w:r w:rsidR="00114DBB" w:rsidRPr="00CC5860">
              <w:rPr>
                <w:b w:val="0"/>
                <w:noProof/>
                <w:webHidden/>
              </w:rPr>
            </w:r>
            <w:r w:rsidR="00114DBB" w:rsidRPr="00CC5860">
              <w:rPr>
                <w:b w:val="0"/>
                <w:noProof/>
                <w:webHidden/>
              </w:rPr>
              <w:fldChar w:fldCharType="separate"/>
            </w:r>
            <w:r w:rsidR="00114DBB" w:rsidRPr="00CC5860">
              <w:rPr>
                <w:b w:val="0"/>
                <w:noProof/>
                <w:webHidden/>
              </w:rPr>
              <w:t>6</w:t>
            </w:r>
            <w:r w:rsidR="00114DBB" w:rsidRPr="00CC5860">
              <w:rPr>
                <w:b w:val="0"/>
                <w:noProof/>
                <w:webHidden/>
              </w:rPr>
              <w:fldChar w:fldCharType="end"/>
            </w:r>
          </w:hyperlink>
        </w:p>
        <w:p w14:paraId="6F120F69" w14:textId="77777777" w:rsidR="00114DBB" w:rsidRPr="00114DBB" w:rsidRDefault="00AA2955">
          <w:pPr>
            <w:pStyle w:val="TOC3"/>
            <w:tabs>
              <w:tab w:val="left" w:pos="1100"/>
              <w:tab w:val="right" w:leader="dot" w:pos="9062"/>
            </w:tabs>
            <w:rPr>
              <w:rFonts w:eastAsiaTheme="minorEastAsia"/>
              <w:b w:val="0"/>
              <w:noProof/>
              <w:lang w:val="en-US"/>
            </w:rPr>
          </w:pPr>
          <w:hyperlink w:anchor="_Toc481579465" w:history="1">
            <w:r w:rsidR="00114DBB" w:rsidRPr="00CC5860">
              <w:rPr>
                <w:rStyle w:val="Hyperlink"/>
                <w:b w:val="0"/>
                <w:noProof/>
                <w14:scene3d>
                  <w14:camera w14:prst="orthographicFront"/>
                  <w14:lightRig w14:rig="threePt" w14:dir="t">
                    <w14:rot w14:lat="0" w14:lon="0" w14:rev="0"/>
                  </w14:lightRig>
                </w14:scene3d>
              </w:rPr>
              <w:t>2.4.</w:t>
            </w:r>
            <w:r w:rsidR="00114DBB" w:rsidRPr="00114DBB">
              <w:rPr>
                <w:rFonts w:eastAsiaTheme="minorEastAsia"/>
                <w:b w:val="0"/>
                <w:noProof/>
                <w:lang w:val="en-US"/>
              </w:rPr>
              <w:tab/>
            </w:r>
            <w:r w:rsidR="00114DBB" w:rsidRPr="00CC5860">
              <w:rPr>
                <w:rStyle w:val="Hyperlink"/>
                <w:b w:val="0"/>
                <w:noProof/>
              </w:rPr>
              <w:t>Excluding cancelled notices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_Toc481579465 \h </w:instrText>
            </w:r>
            <w:r w:rsidR="00114DBB" w:rsidRPr="00CC5860">
              <w:rPr>
                <w:b w:val="0"/>
                <w:noProof/>
                <w:webHidden/>
              </w:rPr>
            </w:r>
            <w:r w:rsidR="00114DBB" w:rsidRPr="00CC5860">
              <w:rPr>
                <w:b w:val="0"/>
                <w:noProof/>
                <w:webHidden/>
              </w:rPr>
              <w:fldChar w:fldCharType="separate"/>
            </w:r>
            <w:r w:rsidR="00114DBB" w:rsidRPr="00CC5860">
              <w:rPr>
                <w:b w:val="0"/>
                <w:noProof/>
                <w:webHidden/>
              </w:rPr>
              <w:t>7</w:t>
            </w:r>
            <w:r w:rsidR="00114DBB" w:rsidRPr="00CC5860">
              <w:rPr>
                <w:b w:val="0"/>
                <w:noProof/>
                <w:webHidden/>
              </w:rPr>
              <w:fldChar w:fldCharType="end"/>
            </w:r>
          </w:hyperlink>
        </w:p>
        <w:p w14:paraId="22E6181F" w14:textId="77777777" w:rsidR="00114DBB" w:rsidRPr="00114DBB" w:rsidRDefault="00AA2955">
          <w:pPr>
            <w:pStyle w:val="TOC3"/>
            <w:tabs>
              <w:tab w:val="left" w:pos="1100"/>
              <w:tab w:val="right" w:leader="dot" w:pos="9062"/>
            </w:tabs>
            <w:rPr>
              <w:rFonts w:eastAsiaTheme="minorEastAsia"/>
              <w:b w:val="0"/>
              <w:noProof/>
              <w:lang w:val="en-US"/>
            </w:rPr>
          </w:pPr>
          <w:hyperlink w:anchor="_Toc481579466" w:history="1">
            <w:r w:rsidR="00114DBB" w:rsidRPr="00CC5860">
              <w:rPr>
                <w:rStyle w:val="Hyperlink"/>
                <w:b w:val="0"/>
                <w:noProof/>
                <w14:scene3d>
                  <w14:camera w14:prst="orthographicFront"/>
                  <w14:lightRig w14:rig="threePt" w14:dir="t">
                    <w14:rot w14:lat="0" w14:lon="0" w14:rev="0"/>
                  </w14:lightRig>
                </w14:scene3d>
              </w:rPr>
              <w:t>2.5.</w:t>
            </w:r>
            <w:r w:rsidR="00114DBB" w:rsidRPr="00114DBB">
              <w:rPr>
                <w:rFonts w:eastAsiaTheme="minorEastAsia"/>
                <w:b w:val="0"/>
                <w:noProof/>
                <w:lang w:val="en-US"/>
              </w:rPr>
              <w:tab/>
            </w:r>
            <w:r w:rsidR="00114DBB" w:rsidRPr="00CC5860">
              <w:rPr>
                <w:rStyle w:val="Hyperlink"/>
                <w:b w:val="0"/>
                <w:noProof/>
              </w:rPr>
              <w:t>Including CANs informing about a non-award</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_Toc481579466 \h </w:instrText>
            </w:r>
            <w:r w:rsidR="00114DBB" w:rsidRPr="00CC5860">
              <w:rPr>
                <w:b w:val="0"/>
                <w:noProof/>
                <w:webHidden/>
              </w:rPr>
            </w:r>
            <w:r w:rsidR="00114DBB" w:rsidRPr="00CC5860">
              <w:rPr>
                <w:b w:val="0"/>
                <w:noProof/>
                <w:webHidden/>
              </w:rPr>
              <w:fldChar w:fldCharType="separate"/>
            </w:r>
            <w:r w:rsidR="00114DBB" w:rsidRPr="00CC5860">
              <w:rPr>
                <w:b w:val="0"/>
                <w:noProof/>
                <w:webHidden/>
              </w:rPr>
              <w:t>8</w:t>
            </w:r>
            <w:r w:rsidR="00114DBB" w:rsidRPr="00CC5860">
              <w:rPr>
                <w:b w:val="0"/>
                <w:noProof/>
                <w:webHidden/>
              </w:rPr>
              <w:fldChar w:fldCharType="end"/>
            </w:r>
          </w:hyperlink>
        </w:p>
        <w:p w14:paraId="7038232B" w14:textId="77777777" w:rsidR="00114DBB" w:rsidRPr="00114DBB" w:rsidRDefault="00AA2955">
          <w:pPr>
            <w:pStyle w:val="TOC3"/>
            <w:tabs>
              <w:tab w:val="left" w:pos="1100"/>
              <w:tab w:val="right" w:leader="dot" w:pos="9062"/>
            </w:tabs>
            <w:rPr>
              <w:rFonts w:eastAsiaTheme="minorEastAsia"/>
              <w:b w:val="0"/>
              <w:noProof/>
              <w:lang w:val="en-US"/>
            </w:rPr>
          </w:pPr>
          <w:hyperlink w:anchor="_Toc481579467" w:history="1">
            <w:r w:rsidR="00114DBB" w:rsidRPr="00CC5860">
              <w:rPr>
                <w:rStyle w:val="Hyperlink"/>
                <w:b w:val="0"/>
                <w:noProof/>
                <w14:scene3d>
                  <w14:camera w14:prst="orthographicFront"/>
                  <w14:lightRig w14:rig="threePt" w14:dir="t">
                    <w14:rot w14:lat="0" w14:lon="0" w14:rev="0"/>
                  </w14:lightRig>
                </w14:scene3d>
              </w:rPr>
              <w:t>2.6.</w:t>
            </w:r>
            <w:r w:rsidR="00114DBB" w:rsidRPr="00114DBB">
              <w:rPr>
                <w:rFonts w:eastAsiaTheme="minorEastAsia"/>
                <w:b w:val="0"/>
                <w:noProof/>
                <w:lang w:val="en-US"/>
              </w:rPr>
              <w:tab/>
            </w:r>
            <w:r w:rsidR="00114DBB" w:rsidRPr="00CC5860">
              <w:rPr>
                <w:rStyle w:val="Hyperlink"/>
                <w:b w:val="0"/>
                <w:noProof/>
              </w:rPr>
              <w:t>Date of publication of a notice vs. date of award of a contract</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_Toc481579467 \h </w:instrText>
            </w:r>
            <w:r w:rsidR="00114DBB" w:rsidRPr="00CC5860">
              <w:rPr>
                <w:b w:val="0"/>
                <w:noProof/>
                <w:webHidden/>
              </w:rPr>
            </w:r>
            <w:r w:rsidR="00114DBB" w:rsidRPr="00CC5860">
              <w:rPr>
                <w:b w:val="0"/>
                <w:noProof/>
                <w:webHidden/>
              </w:rPr>
              <w:fldChar w:fldCharType="separate"/>
            </w:r>
            <w:r w:rsidR="00114DBB" w:rsidRPr="00CC5860">
              <w:rPr>
                <w:b w:val="0"/>
                <w:noProof/>
                <w:webHidden/>
              </w:rPr>
              <w:t>9</w:t>
            </w:r>
            <w:r w:rsidR="00114DBB" w:rsidRPr="00CC5860">
              <w:rPr>
                <w:b w:val="0"/>
                <w:noProof/>
                <w:webHidden/>
              </w:rPr>
              <w:fldChar w:fldCharType="end"/>
            </w:r>
          </w:hyperlink>
        </w:p>
        <w:p w14:paraId="34AA1485" w14:textId="77777777" w:rsidR="00114DBB" w:rsidRPr="00114DBB" w:rsidRDefault="00AA2955">
          <w:pPr>
            <w:pStyle w:val="TOC3"/>
            <w:tabs>
              <w:tab w:val="left" w:pos="1100"/>
              <w:tab w:val="right" w:leader="dot" w:pos="9062"/>
            </w:tabs>
            <w:rPr>
              <w:rFonts w:eastAsiaTheme="minorEastAsia"/>
              <w:b w:val="0"/>
              <w:noProof/>
              <w:lang w:val="en-US"/>
            </w:rPr>
          </w:pPr>
          <w:hyperlink w:anchor="_Toc481579468" w:history="1">
            <w:r w:rsidR="00114DBB" w:rsidRPr="00CC5860">
              <w:rPr>
                <w:rStyle w:val="Hyperlink"/>
                <w:b w:val="0"/>
                <w:noProof/>
                <w14:scene3d>
                  <w14:camera w14:prst="orthographicFront"/>
                  <w14:lightRig w14:rig="threePt" w14:dir="t">
                    <w14:rot w14:lat="0" w14:lon="0" w14:rev="0"/>
                  </w14:lightRig>
                </w14:scene3d>
              </w:rPr>
              <w:t>2.7.</w:t>
            </w:r>
            <w:r w:rsidR="00114DBB" w:rsidRPr="00114DBB">
              <w:rPr>
                <w:rFonts w:eastAsiaTheme="minorEastAsia"/>
                <w:b w:val="0"/>
                <w:noProof/>
                <w:lang w:val="en-US"/>
              </w:rPr>
              <w:tab/>
            </w:r>
            <w:r w:rsidR="00114DBB" w:rsidRPr="00CC5860">
              <w:rPr>
                <w:rStyle w:val="Hyperlink"/>
                <w:b w:val="0"/>
                <w:noProof/>
              </w:rPr>
              <w:t>Notices under different directives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_Toc481579468 \h </w:instrText>
            </w:r>
            <w:r w:rsidR="00114DBB" w:rsidRPr="00CC5860">
              <w:rPr>
                <w:b w:val="0"/>
                <w:noProof/>
                <w:webHidden/>
              </w:rPr>
            </w:r>
            <w:r w:rsidR="00114DBB" w:rsidRPr="00CC5860">
              <w:rPr>
                <w:b w:val="0"/>
                <w:noProof/>
                <w:webHidden/>
              </w:rPr>
              <w:fldChar w:fldCharType="separate"/>
            </w:r>
            <w:r w:rsidR="00114DBB" w:rsidRPr="00CC5860">
              <w:rPr>
                <w:b w:val="0"/>
                <w:noProof/>
                <w:webHidden/>
              </w:rPr>
              <w:t>9</w:t>
            </w:r>
            <w:r w:rsidR="00114DBB" w:rsidRPr="00CC5860">
              <w:rPr>
                <w:b w:val="0"/>
                <w:noProof/>
                <w:webHidden/>
              </w:rPr>
              <w:fldChar w:fldCharType="end"/>
            </w:r>
          </w:hyperlink>
        </w:p>
        <w:p w14:paraId="7BE1FB5E" w14:textId="77777777" w:rsidR="00114DBB" w:rsidRPr="00114DBB" w:rsidRDefault="00AA2955">
          <w:pPr>
            <w:pStyle w:val="TOC3"/>
            <w:tabs>
              <w:tab w:val="left" w:pos="1100"/>
              <w:tab w:val="right" w:leader="dot" w:pos="9062"/>
            </w:tabs>
            <w:rPr>
              <w:rFonts w:eastAsiaTheme="minorEastAsia"/>
              <w:b w:val="0"/>
              <w:noProof/>
              <w:lang w:val="en-US"/>
            </w:rPr>
          </w:pPr>
          <w:hyperlink w:anchor="_Toc481579469" w:history="1">
            <w:r w:rsidR="00114DBB" w:rsidRPr="00CC5860">
              <w:rPr>
                <w:rStyle w:val="Hyperlink"/>
                <w:b w:val="0"/>
                <w:noProof/>
                <w14:scene3d>
                  <w14:camera w14:prst="orthographicFront"/>
                  <w14:lightRig w14:rig="threePt" w14:dir="t">
                    <w14:rot w14:lat="0" w14:lon="0" w14:rev="0"/>
                  </w14:lightRig>
                </w14:scene3d>
              </w:rPr>
              <w:t>2.8.</w:t>
            </w:r>
            <w:r w:rsidR="00114DBB" w:rsidRPr="00114DBB">
              <w:rPr>
                <w:rFonts w:eastAsiaTheme="minorEastAsia"/>
                <w:b w:val="0"/>
                <w:noProof/>
                <w:lang w:val="en-US"/>
              </w:rPr>
              <w:tab/>
            </w:r>
            <w:r w:rsidR="00114DBB" w:rsidRPr="00CC5860">
              <w:rPr>
                <w:rStyle w:val="Hyperlink"/>
                <w:b w:val="0"/>
                <w:noProof/>
              </w:rPr>
              <w:t>Notices under different legal regimes within a directive</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_Toc481579469 \h </w:instrText>
            </w:r>
            <w:r w:rsidR="00114DBB" w:rsidRPr="00CC5860">
              <w:rPr>
                <w:b w:val="0"/>
                <w:noProof/>
                <w:webHidden/>
              </w:rPr>
            </w:r>
            <w:r w:rsidR="00114DBB" w:rsidRPr="00CC5860">
              <w:rPr>
                <w:b w:val="0"/>
                <w:noProof/>
                <w:webHidden/>
              </w:rPr>
              <w:fldChar w:fldCharType="separate"/>
            </w:r>
            <w:r w:rsidR="00114DBB" w:rsidRPr="00CC5860">
              <w:rPr>
                <w:b w:val="0"/>
                <w:noProof/>
                <w:webHidden/>
              </w:rPr>
              <w:t>9</w:t>
            </w:r>
            <w:r w:rsidR="00114DBB" w:rsidRPr="00CC5860">
              <w:rPr>
                <w:b w:val="0"/>
                <w:noProof/>
                <w:webHidden/>
              </w:rPr>
              <w:fldChar w:fldCharType="end"/>
            </w:r>
          </w:hyperlink>
        </w:p>
        <w:p w14:paraId="2775492D" w14:textId="77777777" w:rsidR="00114DBB" w:rsidRPr="00114DBB" w:rsidRDefault="00AA2955">
          <w:pPr>
            <w:pStyle w:val="TOC3"/>
            <w:tabs>
              <w:tab w:val="left" w:pos="1100"/>
              <w:tab w:val="right" w:leader="dot" w:pos="9062"/>
            </w:tabs>
            <w:rPr>
              <w:rFonts w:eastAsiaTheme="minorEastAsia"/>
              <w:b w:val="0"/>
              <w:noProof/>
              <w:lang w:val="en-US"/>
            </w:rPr>
          </w:pPr>
          <w:hyperlink w:anchor="_Toc481579470" w:history="1">
            <w:r w:rsidR="00114DBB" w:rsidRPr="00CC5860">
              <w:rPr>
                <w:rStyle w:val="Hyperlink"/>
                <w:b w:val="0"/>
                <w:noProof/>
                <w14:scene3d>
                  <w14:camera w14:prst="orthographicFront"/>
                  <w14:lightRig w14:rig="threePt" w14:dir="t">
                    <w14:rot w14:lat="0" w14:lon="0" w14:rev="0"/>
                  </w14:lightRig>
                </w14:scene3d>
              </w:rPr>
              <w:t>2.9.</w:t>
            </w:r>
            <w:r w:rsidR="00114DBB" w:rsidRPr="00114DBB">
              <w:rPr>
                <w:rFonts w:eastAsiaTheme="minorEastAsia"/>
                <w:b w:val="0"/>
                <w:noProof/>
                <w:lang w:val="en-US"/>
              </w:rPr>
              <w:tab/>
            </w:r>
            <w:r w:rsidR="00114DBB" w:rsidRPr="00CC5860">
              <w:rPr>
                <w:rStyle w:val="Hyperlink"/>
                <w:b w:val="0"/>
                <w:noProof/>
              </w:rPr>
              <w:t>Different types of calls for competition</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_Toc481579470 \h </w:instrText>
            </w:r>
            <w:r w:rsidR="00114DBB" w:rsidRPr="00CC5860">
              <w:rPr>
                <w:b w:val="0"/>
                <w:noProof/>
                <w:webHidden/>
              </w:rPr>
            </w:r>
            <w:r w:rsidR="00114DBB" w:rsidRPr="00CC5860">
              <w:rPr>
                <w:b w:val="0"/>
                <w:noProof/>
                <w:webHidden/>
              </w:rPr>
              <w:fldChar w:fldCharType="separate"/>
            </w:r>
            <w:r w:rsidR="00114DBB" w:rsidRPr="00CC5860">
              <w:rPr>
                <w:b w:val="0"/>
                <w:noProof/>
                <w:webHidden/>
              </w:rPr>
              <w:t>10</w:t>
            </w:r>
            <w:r w:rsidR="00114DBB" w:rsidRPr="00CC5860">
              <w:rPr>
                <w:b w:val="0"/>
                <w:noProof/>
                <w:webHidden/>
              </w:rPr>
              <w:fldChar w:fldCharType="end"/>
            </w:r>
          </w:hyperlink>
        </w:p>
        <w:p w14:paraId="5984F8EC" w14:textId="77777777" w:rsidR="00114DBB" w:rsidRPr="00114DBB" w:rsidRDefault="00AA2955">
          <w:pPr>
            <w:pStyle w:val="TOC3"/>
            <w:tabs>
              <w:tab w:val="left" w:pos="1320"/>
              <w:tab w:val="right" w:leader="dot" w:pos="9062"/>
            </w:tabs>
            <w:rPr>
              <w:rFonts w:eastAsiaTheme="minorEastAsia"/>
              <w:b w:val="0"/>
              <w:noProof/>
              <w:lang w:val="en-US"/>
            </w:rPr>
          </w:pPr>
          <w:hyperlink w:anchor="_Toc481579471" w:history="1">
            <w:r w:rsidR="00114DBB" w:rsidRPr="00CC5860">
              <w:rPr>
                <w:rStyle w:val="Hyperlink"/>
                <w:b w:val="0"/>
                <w:noProof/>
                <w14:scene3d>
                  <w14:camera w14:prst="orthographicFront"/>
                  <w14:lightRig w14:rig="threePt" w14:dir="t">
                    <w14:rot w14:lat="0" w14:lon="0" w14:rev="0"/>
                  </w14:lightRig>
                </w14:scene3d>
              </w:rPr>
              <w:t>2.10.</w:t>
            </w:r>
            <w:r w:rsidR="00114DBB" w:rsidRPr="00114DBB">
              <w:rPr>
                <w:rFonts w:eastAsiaTheme="minorEastAsia"/>
                <w:b w:val="0"/>
                <w:noProof/>
                <w:lang w:val="en-US"/>
              </w:rPr>
              <w:tab/>
            </w:r>
            <w:r w:rsidR="00114DBB" w:rsidRPr="00CC5860">
              <w:rPr>
                <w:rStyle w:val="Hyperlink"/>
                <w:b w:val="0"/>
                <w:noProof/>
              </w:rPr>
              <w:t>Notices from EU and other international institutions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_Toc481579471 \h </w:instrText>
            </w:r>
            <w:r w:rsidR="00114DBB" w:rsidRPr="00CC5860">
              <w:rPr>
                <w:b w:val="0"/>
                <w:noProof/>
                <w:webHidden/>
              </w:rPr>
            </w:r>
            <w:r w:rsidR="00114DBB" w:rsidRPr="00CC5860">
              <w:rPr>
                <w:b w:val="0"/>
                <w:noProof/>
                <w:webHidden/>
              </w:rPr>
              <w:fldChar w:fldCharType="separate"/>
            </w:r>
            <w:r w:rsidR="00114DBB" w:rsidRPr="00CC5860">
              <w:rPr>
                <w:b w:val="0"/>
                <w:noProof/>
                <w:webHidden/>
              </w:rPr>
              <w:t>10</w:t>
            </w:r>
            <w:r w:rsidR="00114DBB" w:rsidRPr="00CC5860">
              <w:rPr>
                <w:b w:val="0"/>
                <w:noProof/>
                <w:webHidden/>
              </w:rPr>
              <w:fldChar w:fldCharType="end"/>
            </w:r>
          </w:hyperlink>
        </w:p>
        <w:p w14:paraId="5D4E4AB4" w14:textId="77777777" w:rsidR="00114DBB" w:rsidRPr="00114DBB" w:rsidRDefault="00AA2955">
          <w:pPr>
            <w:pStyle w:val="TOC3"/>
            <w:tabs>
              <w:tab w:val="left" w:pos="1320"/>
              <w:tab w:val="right" w:leader="dot" w:pos="9062"/>
            </w:tabs>
            <w:rPr>
              <w:rFonts w:eastAsiaTheme="minorEastAsia"/>
              <w:b w:val="0"/>
              <w:noProof/>
              <w:lang w:val="en-US"/>
            </w:rPr>
          </w:pPr>
          <w:hyperlink w:anchor="_Toc481579472" w:history="1">
            <w:r w:rsidR="00114DBB" w:rsidRPr="00CC5860">
              <w:rPr>
                <w:rStyle w:val="Hyperlink"/>
                <w:b w:val="0"/>
                <w:noProof/>
                <w14:scene3d>
                  <w14:camera w14:prst="orthographicFront"/>
                  <w14:lightRig w14:rig="threePt" w14:dir="t">
                    <w14:rot w14:lat="0" w14:lon="0" w14:rev="0"/>
                  </w14:lightRig>
                </w14:scene3d>
              </w:rPr>
              <w:t>2.11.</w:t>
            </w:r>
            <w:r w:rsidR="00114DBB" w:rsidRPr="00114DBB">
              <w:rPr>
                <w:rFonts w:eastAsiaTheme="minorEastAsia"/>
                <w:b w:val="0"/>
                <w:noProof/>
                <w:lang w:val="en-US"/>
              </w:rPr>
              <w:tab/>
            </w:r>
            <w:r w:rsidR="00114DBB" w:rsidRPr="00CC5860">
              <w:rPr>
                <w:rStyle w:val="Hyperlink"/>
                <w:b w:val="0"/>
                <w:noProof/>
              </w:rPr>
              <w:t>Fields moving from notice level to lot level</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_Toc481579472 \h </w:instrText>
            </w:r>
            <w:r w:rsidR="00114DBB" w:rsidRPr="00CC5860">
              <w:rPr>
                <w:b w:val="0"/>
                <w:noProof/>
                <w:webHidden/>
              </w:rPr>
            </w:r>
            <w:r w:rsidR="00114DBB" w:rsidRPr="00CC5860">
              <w:rPr>
                <w:b w:val="0"/>
                <w:noProof/>
                <w:webHidden/>
              </w:rPr>
              <w:fldChar w:fldCharType="separate"/>
            </w:r>
            <w:r w:rsidR="00114DBB" w:rsidRPr="00CC5860">
              <w:rPr>
                <w:b w:val="0"/>
                <w:noProof/>
                <w:webHidden/>
              </w:rPr>
              <w:t>10</w:t>
            </w:r>
            <w:r w:rsidR="00114DBB" w:rsidRPr="00CC5860">
              <w:rPr>
                <w:b w:val="0"/>
                <w:noProof/>
                <w:webHidden/>
              </w:rPr>
              <w:fldChar w:fldCharType="end"/>
            </w:r>
          </w:hyperlink>
        </w:p>
        <w:p w14:paraId="1F94B47C" w14:textId="77777777" w:rsidR="00114DBB" w:rsidRPr="00114DBB" w:rsidRDefault="00AA2955">
          <w:pPr>
            <w:pStyle w:val="TOC3"/>
            <w:tabs>
              <w:tab w:val="left" w:pos="1320"/>
              <w:tab w:val="right" w:leader="dot" w:pos="9062"/>
            </w:tabs>
            <w:rPr>
              <w:rFonts w:eastAsiaTheme="minorEastAsia"/>
              <w:b w:val="0"/>
              <w:noProof/>
              <w:lang w:val="en-US"/>
            </w:rPr>
          </w:pPr>
          <w:hyperlink w:anchor="_Toc481579473" w:history="1">
            <w:r w:rsidR="00114DBB" w:rsidRPr="00CC5860">
              <w:rPr>
                <w:rStyle w:val="Hyperlink"/>
                <w:b w:val="0"/>
                <w:noProof/>
                <w14:scene3d>
                  <w14:camera w14:prst="orthographicFront"/>
                  <w14:lightRig w14:rig="threePt" w14:dir="t">
                    <w14:rot w14:lat="0" w14:lon="0" w14:rev="0"/>
                  </w14:lightRig>
                </w14:scene3d>
              </w:rPr>
              <w:t>2.12.</w:t>
            </w:r>
            <w:r w:rsidR="00114DBB" w:rsidRPr="00114DBB">
              <w:rPr>
                <w:rFonts w:eastAsiaTheme="minorEastAsia"/>
                <w:b w:val="0"/>
                <w:noProof/>
                <w:lang w:val="en-US"/>
              </w:rPr>
              <w:tab/>
            </w:r>
            <w:r w:rsidR="00114DBB" w:rsidRPr="00CC5860">
              <w:rPr>
                <w:rStyle w:val="Hyperlink"/>
                <w:b w:val="0"/>
                <w:noProof/>
              </w:rPr>
              <w:t>Notices with buyers coming from multiple countries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_Toc481579473 \h </w:instrText>
            </w:r>
            <w:r w:rsidR="00114DBB" w:rsidRPr="00CC5860">
              <w:rPr>
                <w:b w:val="0"/>
                <w:noProof/>
                <w:webHidden/>
              </w:rPr>
            </w:r>
            <w:r w:rsidR="00114DBB" w:rsidRPr="00CC5860">
              <w:rPr>
                <w:b w:val="0"/>
                <w:noProof/>
                <w:webHidden/>
              </w:rPr>
              <w:fldChar w:fldCharType="separate"/>
            </w:r>
            <w:r w:rsidR="00114DBB" w:rsidRPr="00CC5860">
              <w:rPr>
                <w:b w:val="0"/>
                <w:noProof/>
                <w:webHidden/>
              </w:rPr>
              <w:t>11</w:t>
            </w:r>
            <w:r w:rsidR="00114DBB" w:rsidRPr="00CC5860">
              <w:rPr>
                <w:b w:val="0"/>
                <w:noProof/>
                <w:webHidden/>
              </w:rPr>
              <w:fldChar w:fldCharType="end"/>
            </w:r>
          </w:hyperlink>
        </w:p>
        <w:p w14:paraId="26DCAB67" w14:textId="77777777" w:rsidR="00114DBB" w:rsidRPr="00114DBB" w:rsidRDefault="00AA2955">
          <w:pPr>
            <w:pStyle w:val="TOC3"/>
            <w:tabs>
              <w:tab w:val="left" w:pos="1320"/>
              <w:tab w:val="right" w:leader="dot" w:pos="9062"/>
            </w:tabs>
            <w:rPr>
              <w:rFonts w:eastAsiaTheme="minorEastAsia"/>
              <w:b w:val="0"/>
              <w:noProof/>
              <w:lang w:val="en-US"/>
            </w:rPr>
          </w:pPr>
          <w:hyperlink w:anchor="_Toc481579474" w:history="1">
            <w:r w:rsidR="00114DBB" w:rsidRPr="00CC5860">
              <w:rPr>
                <w:rStyle w:val="Hyperlink"/>
                <w:b w:val="0"/>
                <w:noProof/>
                <w14:scene3d>
                  <w14:camera w14:prst="orthographicFront"/>
                  <w14:lightRig w14:rig="threePt" w14:dir="t">
                    <w14:rot w14:lat="0" w14:lon="0" w14:rev="0"/>
                  </w14:lightRig>
                </w14:scene3d>
              </w:rPr>
              <w:t>2.13.</w:t>
            </w:r>
            <w:r w:rsidR="00114DBB" w:rsidRPr="00114DBB">
              <w:rPr>
                <w:rFonts w:eastAsiaTheme="minorEastAsia"/>
                <w:b w:val="0"/>
                <w:noProof/>
                <w:lang w:val="en-US"/>
              </w:rPr>
              <w:tab/>
            </w:r>
            <w:r w:rsidR="00114DBB" w:rsidRPr="00CC5860">
              <w:rPr>
                <w:rStyle w:val="Hyperlink"/>
                <w:b w:val="0"/>
                <w:noProof/>
              </w:rPr>
              <w:t>Definitions of fields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_Toc481579474 \h </w:instrText>
            </w:r>
            <w:r w:rsidR="00114DBB" w:rsidRPr="00CC5860">
              <w:rPr>
                <w:b w:val="0"/>
                <w:noProof/>
                <w:webHidden/>
              </w:rPr>
            </w:r>
            <w:r w:rsidR="00114DBB" w:rsidRPr="00CC5860">
              <w:rPr>
                <w:b w:val="0"/>
                <w:noProof/>
                <w:webHidden/>
              </w:rPr>
              <w:fldChar w:fldCharType="separate"/>
            </w:r>
            <w:r w:rsidR="00114DBB" w:rsidRPr="00CC5860">
              <w:rPr>
                <w:b w:val="0"/>
                <w:noProof/>
                <w:webHidden/>
              </w:rPr>
              <w:t>11</w:t>
            </w:r>
            <w:r w:rsidR="00114DBB" w:rsidRPr="00CC5860">
              <w:rPr>
                <w:b w:val="0"/>
                <w:noProof/>
                <w:webHidden/>
              </w:rPr>
              <w:fldChar w:fldCharType="end"/>
            </w:r>
          </w:hyperlink>
        </w:p>
        <w:p w14:paraId="7AA8444A" w14:textId="77777777" w:rsidR="00114DBB" w:rsidRPr="00114DBB" w:rsidRDefault="00AA2955">
          <w:pPr>
            <w:pStyle w:val="TOC2"/>
            <w:tabs>
              <w:tab w:val="left" w:pos="660"/>
              <w:tab w:val="right" w:leader="dot" w:pos="9062"/>
            </w:tabs>
            <w:rPr>
              <w:rFonts w:eastAsiaTheme="minorEastAsia"/>
              <w:b w:val="0"/>
              <w:noProof/>
              <w:lang w:val="en-US"/>
            </w:rPr>
          </w:pPr>
          <w:hyperlink w:anchor="_Toc481579475" w:history="1">
            <w:r w:rsidR="00114DBB" w:rsidRPr="00CC5860">
              <w:rPr>
                <w:rStyle w:val="Hyperlink"/>
                <w:b w:val="0"/>
                <w:noProof/>
              </w:rPr>
              <w:t>3.</w:t>
            </w:r>
            <w:r w:rsidR="00114DBB" w:rsidRPr="00114DBB">
              <w:rPr>
                <w:rFonts w:eastAsiaTheme="minorEastAsia"/>
                <w:b w:val="0"/>
                <w:noProof/>
                <w:lang w:val="en-US"/>
              </w:rPr>
              <w:tab/>
            </w:r>
            <w:r w:rsidR="00114DBB" w:rsidRPr="00CC5860">
              <w:rPr>
                <w:rStyle w:val="Hyperlink"/>
                <w:b w:val="0"/>
                <w:noProof/>
              </w:rPr>
              <w:t>Methodological issues for individual indicators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_Toc481579475 \h </w:instrText>
            </w:r>
            <w:r w:rsidR="00114DBB" w:rsidRPr="00CC5860">
              <w:rPr>
                <w:b w:val="0"/>
                <w:noProof/>
                <w:webHidden/>
              </w:rPr>
            </w:r>
            <w:r w:rsidR="00114DBB" w:rsidRPr="00CC5860">
              <w:rPr>
                <w:b w:val="0"/>
                <w:noProof/>
                <w:webHidden/>
              </w:rPr>
              <w:fldChar w:fldCharType="separate"/>
            </w:r>
            <w:r w:rsidR="00114DBB" w:rsidRPr="00CC5860">
              <w:rPr>
                <w:b w:val="0"/>
                <w:noProof/>
                <w:webHidden/>
              </w:rPr>
              <w:t>12</w:t>
            </w:r>
            <w:r w:rsidR="00114DBB" w:rsidRPr="00CC5860">
              <w:rPr>
                <w:b w:val="0"/>
                <w:noProof/>
                <w:webHidden/>
              </w:rPr>
              <w:fldChar w:fldCharType="end"/>
            </w:r>
          </w:hyperlink>
        </w:p>
        <w:p w14:paraId="2450BBBA" w14:textId="77777777" w:rsidR="00114DBB" w:rsidRPr="00114DBB" w:rsidRDefault="00AA2955">
          <w:pPr>
            <w:pStyle w:val="TOC3"/>
            <w:tabs>
              <w:tab w:val="left" w:pos="1100"/>
              <w:tab w:val="right" w:leader="dot" w:pos="9062"/>
            </w:tabs>
            <w:rPr>
              <w:rFonts w:eastAsiaTheme="minorEastAsia"/>
              <w:b w:val="0"/>
              <w:noProof/>
              <w:lang w:val="en-US"/>
            </w:rPr>
          </w:pPr>
          <w:hyperlink w:anchor="_Toc481579476" w:history="1">
            <w:r w:rsidR="00114DBB" w:rsidRPr="00CC5860">
              <w:rPr>
                <w:rStyle w:val="Hyperlink"/>
                <w:b w:val="0"/>
                <w:noProof/>
                <w14:scene3d>
                  <w14:camera w14:prst="orthographicFront"/>
                  <w14:lightRig w14:rig="threePt" w14:dir="t">
                    <w14:rot w14:lat="0" w14:lon="0" w14:rev="0"/>
                  </w14:lightRig>
                </w14:scene3d>
              </w:rPr>
              <w:t>3.1.</w:t>
            </w:r>
            <w:r w:rsidR="00114DBB" w:rsidRPr="00114DBB">
              <w:rPr>
                <w:rFonts w:eastAsiaTheme="minorEastAsia"/>
                <w:b w:val="0"/>
                <w:noProof/>
                <w:lang w:val="en-US"/>
              </w:rPr>
              <w:tab/>
            </w:r>
            <w:r w:rsidR="00114DBB" w:rsidRPr="00CC5860">
              <w:rPr>
                <w:rStyle w:val="Hyperlink"/>
                <w:b w:val="0"/>
                <w:noProof/>
              </w:rPr>
              <w:t>One bidder</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_Toc481579476 \h </w:instrText>
            </w:r>
            <w:r w:rsidR="00114DBB" w:rsidRPr="00CC5860">
              <w:rPr>
                <w:b w:val="0"/>
                <w:noProof/>
                <w:webHidden/>
              </w:rPr>
            </w:r>
            <w:r w:rsidR="00114DBB" w:rsidRPr="00CC5860">
              <w:rPr>
                <w:b w:val="0"/>
                <w:noProof/>
                <w:webHidden/>
              </w:rPr>
              <w:fldChar w:fldCharType="separate"/>
            </w:r>
            <w:r w:rsidR="00114DBB" w:rsidRPr="00CC5860">
              <w:rPr>
                <w:b w:val="0"/>
                <w:noProof/>
                <w:webHidden/>
              </w:rPr>
              <w:t>12</w:t>
            </w:r>
            <w:r w:rsidR="00114DBB" w:rsidRPr="00CC5860">
              <w:rPr>
                <w:b w:val="0"/>
                <w:noProof/>
                <w:webHidden/>
              </w:rPr>
              <w:fldChar w:fldCharType="end"/>
            </w:r>
          </w:hyperlink>
        </w:p>
        <w:p w14:paraId="483E9753" w14:textId="77777777" w:rsidR="00114DBB" w:rsidRPr="00114DBB" w:rsidRDefault="00AA2955">
          <w:pPr>
            <w:pStyle w:val="TOC3"/>
            <w:tabs>
              <w:tab w:val="left" w:pos="1100"/>
              <w:tab w:val="right" w:leader="dot" w:pos="9062"/>
            </w:tabs>
            <w:rPr>
              <w:rFonts w:eastAsiaTheme="minorEastAsia"/>
              <w:b w:val="0"/>
              <w:noProof/>
              <w:lang w:val="en-US"/>
            </w:rPr>
          </w:pPr>
          <w:hyperlink w:anchor="_Toc481579477" w:history="1">
            <w:r w:rsidR="00114DBB" w:rsidRPr="00CC5860">
              <w:rPr>
                <w:rStyle w:val="Hyperlink"/>
                <w:b w:val="0"/>
                <w:noProof/>
                <w14:scene3d>
                  <w14:camera w14:prst="orthographicFront"/>
                  <w14:lightRig w14:rig="threePt" w14:dir="t">
                    <w14:rot w14:lat="0" w14:lon="0" w14:rev="0"/>
                  </w14:lightRig>
                </w14:scene3d>
              </w:rPr>
              <w:t>3.2.</w:t>
            </w:r>
            <w:r w:rsidR="00114DBB" w:rsidRPr="00114DBB">
              <w:rPr>
                <w:rFonts w:eastAsiaTheme="minorEastAsia"/>
                <w:b w:val="0"/>
                <w:noProof/>
                <w:lang w:val="en-US"/>
              </w:rPr>
              <w:tab/>
            </w:r>
            <w:r w:rsidR="00114DBB" w:rsidRPr="00CC5860">
              <w:rPr>
                <w:rStyle w:val="Hyperlink"/>
                <w:b w:val="0"/>
                <w:noProof/>
              </w:rPr>
              <w:t>No calls for bids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_Toc481579477 \h </w:instrText>
            </w:r>
            <w:r w:rsidR="00114DBB" w:rsidRPr="00CC5860">
              <w:rPr>
                <w:b w:val="0"/>
                <w:noProof/>
                <w:webHidden/>
              </w:rPr>
            </w:r>
            <w:r w:rsidR="00114DBB" w:rsidRPr="00CC5860">
              <w:rPr>
                <w:b w:val="0"/>
                <w:noProof/>
                <w:webHidden/>
              </w:rPr>
              <w:fldChar w:fldCharType="separate"/>
            </w:r>
            <w:r w:rsidR="00114DBB" w:rsidRPr="00CC5860">
              <w:rPr>
                <w:b w:val="0"/>
                <w:noProof/>
                <w:webHidden/>
              </w:rPr>
              <w:t>12</w:t>
            </w:r>
            <w:r w:rsidR="00114DBB" w:rsidRPr="00CC5860">
              <w:rPr>
                <w:b w:val="0"/>
                <w:noProof/>
                <w:webHidden/>
              </w:rPr>
              <w:fldChar w:fldCharType="end"/>
            </w:r>
          </w:hyperlink>
        </w:p>
        <w:p w14:paraId="2440334E" w14:textId="77777777" w:rsidR="00114DBB" w:rsidRPr="00114DBB" w:rsidRDefault="00AA2955">
          <w:pPr>
            <w:pStyle w:val="TOC3"/>
            <w:tabs>
              <w:tab w:val="left" w:pos="1100"/>
              <w:tab w:val="right" w:leader="dot" w:pos="9062"/>
            </w:tabs>
            <w:rPr>
              <w:rFonts w:eastAsiaTheme="minorEastAsia"/>
              <w:b w:val="0"/>
              <w:noProof/>
              <w:lang w:val="en-US"/>
            </w:rPr>
          </w:pPr>
          <w:hyperlink w:anchor="_Toc481579478" w:history="1">
            <w:r w:rsidR="00114DBB" w:rsidRPr="00CC5860">
              <w:rPr>
                <w:rStyle w:val="Hyperlink"/>
                <w:b w:val="0"/>
                <w:noProof/>
                <w14:scene3d>
                  <w14:camera w14:prst="orthographicFront"/>
                  <w14:lightRig w14:rig="threePt" w14:dir="t">
                    <w14:rot w14:lat="0" w14:lon="0" w14:rev="0"/>
                  </w14:lightRig>
                </w14:scene3d>
              </w:rPr>
              <w:t>3.3.</w:t>
            </w:r>
            <w:r w:rsidR="00114DBB" w:rsidRPr="00114DBB">
              <w:rPr>
                <w:rFonts w:eastAsiaTheme="minorEastAsia"/>
                <w:b w:val="0"/>
                <w:noProof/>
                <w:lang w:val="en-US"/>
              </w:rPr>
              <w:tab/>
            </w:r>
            <w:r w:rsidR="00114DBB" w:rsidRPr="00CC5860">
              <w:rPr>
                <w:rStyle w:val="Hyperlink"/>
                <w:b w:val="0"/>
                <w:noProof/>
              </w:rPr>
              <w:t>Publication rate</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_Toc481579478 \h </w:instrText>
            </w:r>
            <w:r w:rsidR="00114DBB" w:rsidRPr="00CC5860">
              <w:rPr>
                <w:b w:val="0"/>
                <w:noProof/>
                <w:webHidden/>
              </w:rPr>
            </w:r>
            <w:r w:rsidR="00114DBB" w:rsidRPr="00CC5860">
              <w:rPr>
                <w:b w:val="0"/>
                <w:noProof/>
                <w:webHidden/>
              </w:rPr>
              <w:fldChar w:fldCharType="separate"/>
            </w:r>
            <w:r w:rsidR="00114DBB" w:rsidRPr="00CC5860">
              <w:rPr>
                <w:b w:val="0"/>
                <w:noProof/>
                <w:webHidden/>
              </w:rPr>
              <w:t>13</w:t>
            </w:r>
            <w:r w:rsidR="00114DBB" w:rsidRPr="00CC5860">
              <w:rPr>
                <w:b w:val="0"/>
                <w:noProof/>
                <w:webHidden/>
              </w:rPr>
              <w:fldChar w:fldCharType="end"/>
            </w:r>
          </w:hyperlink>
        </w:p>
        <w:p w14:paraId="4DFCFD3E" w14:textId="77777777" w:rsidR="00114DBB" w:rsidRPr="00114DBB" w:rsidRDefault="00AA2955">
          <w:pPr>
            <w:pStyle w:val="TOC3"/>
            <w:tabs>
              <w:tab w:val="left" w:pos="1100"/>
              <w:tab w:val="right" w:leader="dot" w:pos="9062"/>
            </w:tabs>
            <w:rPr>
              <w:rFonts w:eastAsiaTheme="minorEastAsia"/>
              <w:b w:val="0"/>
              <w:noProof/>
              <w:lang w:val="en-US"/>
            </w:rPr>
          </w:pPr>
          <w:hyperlink w:anchor="_Toc481579479" w:history="1">
            <w:r w:rsidR="00114DBB" w:rsidRPr="00CC5860">
              <w:rPr>
                <w:rStyle w:val="Hyperlink"/>
                <w:b w:val="0"/>
                <w:noProof/>
                <w14:scene3d>
                  <w14:camera w14:prst="orthographicFront"/>
                  <w14:lightRig w14:rig="threePt" w14:dir="t">
                    <w14:rot w14:lat="0" w14:lon="0" w14:rev="0"/>
                  </w14:lightRig>
                </w14:scene3d>
              </w:rPr>
              <w:t>3.4.</w:t>
            </w:r>
            <w:r w:rsidR="00114DBB" w:rsidRPr="00114DBB">
              <w:rPr>
                <w:rFonts w:eastAsiaTheme="minorEastAsia"/>
                <w:b w:val="0"/>
                <w:noProof/>
                <w:lang w:val="en-US"/>
              </w:rPr>
              <w:tab/>
            </w:r>
            <w:r w:rsidR="00114DBB" w:rsidRPr="00CC5860">
              <w:rPr>
                <w:rStyle w:val="Hyperlink"/>
                <w:b w:val="0"/>
                <w:noProof/>
              </w:rPr>
              <w:t>Cooperative procurement</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_Toc481579479 \h </w:instrText>
            </w:r>
            <w:r w:rsidR="00114DBB" w:rsidRPr="00CC5860">
              <w:rPr>
                <w:b w:val="0"/>
                <w:noProof/>
                <w:webHidden/>
              </w:rPr>
            </w:r>
            <w:r w:rsidR="00114DBB" w:rsidRPr="00CC5860">
              <w:rPr>
                <w:b w:val="0"/>
                <w:noProof/>
                <w:webHidden/>
              </w:rPr>
              <w:fldChar w:fldCharType="separate"/>
            </w:r>
            <w:r w:rsidR="00114DBB" w:rsidRPr="00CC5860">
              <w:rPr>
                <w:b w:val="0"/>
                <w:noProof/>
                <w:webHidden/>
              </w:rPr>
              <w:t>14</w:t>
            </w:r>
            <w:r w:rsidR="00114DBB" w:rsidRPr="00CC5860">
              <w:rPr>
                <w:b w:val="0"/>
                <w:noProof/>
                <w:webHidden/>
              </w:rPr>
              <w:fldChar w:fldCharType="end"/>
            </w:r>
          </w:hyperlink>
        </w:p>
        <w:p w14:paraId="7D8C1F6B" w14:textId="77777777" w:rsidR="00114DBB" w:rsidRPr="00114DBB" w:rsidRDefault="00AA2955">
          <w:pPr>
            <w:pStyle w:val="TOC3"/>
            <w:tabs>
              <w:tab w:val="left" w:pos="1100"/>
              <w:tab w:val="right" w:leader="dot" w:pos="9062"/>
            </w:tabs>
            <w:rPr>
              <w:rFonts w:eastAsiaTheme="minorEastAsia"/>
              <w:b w:val="0"/>
              <w:noProof/>
              <w:lang w:val="en-US"/>
            </w:rPr>
          </w:pPr>
          <w:hyperlink w:anchor="_Toc481579480" w:history="1">
            <w:r w:rsidR="00114DBB" w:rsidRPr="00CC5860">
              <w:rPr>
                <w:rStyle w:val="Hyperlink"/>
                <w:b w:val="0"/>
                <w:noProof/>
                <w14:scene3d>
                  <w14:camera w14:prst="orthographicFront"/>
                  <w14:lightRig w14:rig="threePt" w14:dir="t">
                    <w14:rot w14:lat="0" w14:lon="0" w14:rev="0"/>
                  </w14:lightRig>
                </w14:scene3d>
              </w:rPr>
              <w:t>3.5.</w:t>
            </w:r>
            <w:r w:rsidR="00114DBB" w:rsidRPr="00114DBB">
              <w:rPr>
                <w:rFonts w:eastAsiaTheme="minorEastAsia"/>
                <w:b w:val="0"/>
                <w:noProof/>
                <w:lang w:val="en-US"/>
              </w:rPr>
              <w:tab/>
            </w:r>
            <w:r w:rsidR="00114DBB" w:rsidRPr="00CC5860">
              <w:rPr>
                <w:rStyle w:val="Hyperlink"/>
                <w:b w:val="0"/>
                <w:noProof/>
              </w:rPr>
              <w:t>Award criteria, lowest price</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_Toc481579480 \h </w:instrText>
            </w:r>
            <w:r w:rsidR="00114DBB" w:rsidRPr="00CC5860">
              <w:rPr>
                <w:b w:val="0"/>
                <w:noProof/>
                <w:webHidden/>
              </w:rPr>
            </w:r>
            <w:r w:rsidR="00114DBB" w:rsidRPr="00CC5860">
              <w:rPr>
                <w:b w:val="0"/>
                <w:noProof/>
                <w:webHidden/>
              </w:rPr>
              <w:fldChar w:fldCharType="separate"/>
            </w:r>
            <w:r w:rsidR="00114DBB" w:rsidRPr="00CC5860">
              <w:rPr>
                <w:b w:val="0"/>
                <w:noProof/>
                <w:webHidden/>
              </w:rPr>
              <w:t>14</w:t>
            </w:r>
            <w:r w:rsidR="00114DBB" w:rsidRPr="00CC5860">
              <w:rPr>
                <w:b w:val="0"/>
                <w:noProof/>
                <w:webHidden/>
              </w:rPr>
              <w:fldChar w:fldCharType="end"/>
            </w:r>
          </w:hyperlink>
        </w:p>
        <w:p w14:paraId="039E3B4B" w14:textId="77777777" w:rsidR="00114DBB" w:rsidRPr="00114DBB" w:rsidRDefault="00AA2955">
          <w:pPr>
            <w:pStyle w:val="TOC3"/>
            <w:tabs>
              <w:tab w:val="left" w:pos="1100"/>
              <w:tab w:val="right" w:leader="dot" w:pos="9062"/>
            </w:tabs>
            <w:rPr>
              <w:rFonts w:eastAsiaTheme="minorEastAsia"/>
              <w:b w:val="0"/>
              <w:noProof/>
              <w:lang w:val="en-US"/>
            </w:rPr>
          </w:pPr>
          <w:hyperlink w:anchor="_Toc481579481" w:history="1">
            <w:r w:rsidR="00114DBB" w:rsidRPr="00CC5860">
              <w:rPr>
                <w:rStyle w:val="Hyperlink"/>
                <w:b w:val="0"/>
                <w:noProof/>
                <w14:scene3d>
                  <w14:camera w14:prst="orthographicFront"/>
                  <w14:lightRig w14:rig="threePt" w14:dir="t">
                    <w14:rot w14:lat="0" w14:lon="0" w14:rev="0"/>
                  </w14:lightRig>
                </w14:scene3d>
              </w:rPr>
              <w:t>3.6.</w:t>
            </w:r>
            <w:r w:rsidR="00114DBB" w:rsidRPr="00114DBB">
              <w:rPr>
                <w:rFonts w:eastAsiaTheme="minorEastAsia"/>
                <w:b w:val="0"/>
                <w:noProof/>
                <w:lang w:val="en-US"/>
              </w:rPr>
              <w:tab/>
            </w:r>
            <w:r w:rsidR="00114DBB" w:rsidRPr="00CC5860">
              <w:rPr>
                <w:rStyle w:val="Hyperlink"/>
                <w:b w:val="0"/>
                <w:noProof/>
              </w:rPr>
              <w:t>Decision speed</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_Toc481579481 \h </w:instrText>
            </w:r>
            <w:r w:rsidR="00114DBB" w:rsidRPr="00CC5860">
              <w:rPr>
                <w:b w:val="0"/>
                <w:noProof/>
                <w:webHidden/>
              </w:rPr>
            </w:r>
            <w:r w:rsidR="00114DBB" w:rsidRPr="00CC5860">
              <w:rPr>
                <w:b w:val="0"/>
                <w:noProof/>
                <w:webHidden/>
              </w:rPr>
              <w:fldChar w:fldCharType="separate"/>
            </w:r>
            <w:r w:rsidR="00114DBB" w:rsidRPr="00CC5860">
              <w:rPr>
                <w:b w:val="0"/>
                <w:noProof/>
                <w:webHidden/>
              </w:rPr>
              <w:t>14</w:t>
            </w:r>
            <w:r w:rsidR="00114DBB" w:rsidRPr="00CC5860">
              <w:rPr>
                <w:b w:val="0"/>
                <w:noProof/>
                <w:webHidden/>
              </w:rPr>
              <w:fldChar w:fldCharType="end"/>
            </w:r>
          </w:hyperlink>
        </w:p>
        <w:p w14:paraId="6855639E" w14:textId="77777777" w:rsidR="00114DBB" w:rsidRPr="00114DBB" w:rsidRDefault="00AA2955">
          <w:pPr>
            <w:pStyle w:val="TOC3"/>
            <w:tabs>
              <w:tab w:val="left" w:pos="1100"/>
              <w:tab w:val="right" w:leader="dot" w:pos="9062"/>
            </w:tabs>
            <w:rPr>
              <w:rFonts w:eastAsiaTheme="minorEastAsia"/>
              <w:b w:val="0"/>
              <w:noProof/>
              <w:lang w:val="en-US"/>
            </w:rPr>
          </w:pPr>
          <w:hyperlink w:anchor="_Toc481579482" w:history="1">
            <w:r w:rsidR="00114DBB" w:rsidRPr="00CC5860">
              <w:rPr>
                <w:rStyle w:val="Hyperlink"/>
                <w:b w:val="0"/>
                <w:noProof/>
                <w14:scene3d>
                  <w14:camera w14:prst="orthographicFront"/>
                  <w14:lightRig w14:rig="threePt" w14:dir="t">
                    <w14:rot w14:lat="0" w14:lon="0" w14:rev="0"/>
                  </w14:lightRig>
                </w14:scene3d>
              </w:rPr>
              <w:t>3.7.</w:t>
            </w:r>
            <w:r w:rsidR="00114DBB" w:rsidRPr="00114DBB">
              <w:rPr>
                <w:rFonts w:eastAsiaTheme="minorEastAsia"/>
                <w:b w:val="0"/>
                <w:noProof/>
                <w:lang w:val="en-US"/>
              </w:rPr>
              <w:tab/>
            </w:r>
            <w:r w:rsidR="00114DBB" w:rsidRPr="00CC5860">
              <w:rPr>
                <w:rStyle w:val="Hyperlink"/>
                <w:b w:val="0"/>
                <w:noProof/>
              </w:rPr>
              <w:t>Missing values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_Toc481579482 \h </w:instrText>
            </w:r>
            <w:r w:rsidR="00114DBB" w:rsidRPr="00CC5860">
              <w:rPr>
                <w:b w:val="0"/>
                <w:noProof/>
                <w:webHidden/>
              </w:rPr>
            </w:r>
            <w:r w:rsidR="00114DBB" w:rsidRPr="00CC5860">
              <w:rPr>
                <w:b w:val="0"/>
                <w:noProof/>
                <w:webHidden/>
              </w:rPr>
              <w:fldChar w:fldCharType="separate"/>
            </w:r>
            <w:r w:rsidR="00114DBB" w:rsidRPr="00CC5860">
              <w:rPr>
                <w:b w:val="0"/>
                <w:noProof/>
                <w:webHidden/>
              </w:rPr>
              <w:t>15</w:t>
            </w:r>
            <w:r w:rsidR="00114DBB" w:rsidRPr="00CC5860">
              <w:rPr>
                <w:b w:val="0"/>
                <w:noProof/>
                <w:webHidden/>
              </w:rPr>
              <w:fldChar w:fldCharType="end"/>
            </w:r>
          </w:hyperlink>
        </w:p>
        <w:p w14:paraId="2EDB8728" w14:textId="77777777" w:rsidR="00114DBB" w:rsidRPr="00114DBB" w:rsidRDefault="00AA2955">
          <w:pPr>
            <w:pStyle w:val="TOC3"/>
            <w:tabs>
              <w:tab w:val="left" w:pos="1100"/>
              <w:tab w:val="right" w:leader="dot" w:pos="9062"/>
            </w:tabs>
            <w:rPr>
              <w:rFonts w:eastAsiaTheme="minorEastAsia"/>
              <w:b w:val="0"/>
              <w:noProof/>
              <w:lang w:val="en-US"/>
            </w:rPr>
          </w:pPr>
          <w:hyperlink w:anchor="_Toc481579483" w:history="1">
            <w:r w:rsidR="00114DBB" w:rsidRPr="00CC5860">
              <w:rPr>
                <w:rStyle w:val="Hyperlink"/>
                <w:b w:val="0"/>
                <w:noProof/>
                <w14:scene3d>
                  <w14:camera w14:prst="orthographicFront"/>
                  <w14:lightRig w14:rig="threePt" w14:dir="t">
                    <w14:rot w14:lat="0" w14:lon="0" w14:rev="0"/>
                  </w14:lightRig>
                </w14:scene3d>
              </w:rPr>
              <w:t>3.8.</w:t>
            </w:r>
            <w:r w:rsidR="00114DBB" w:rsidRPr="00114DBB">
              <w:rPr>
                <w:rFonts w:eastAsiaTheme="minorEastAsia"/>
                <w:b w:val="0"/>
                <w:noProof/>
                <w:lang w:val="en-US"/>
              </w:rPr>
              <w:tab/>
            </w:r>
            <w:r w:rsidR="00114DBB" w:rsidRPr="00CC5860">
              <w:rPr>
                <w:rStyle w:val="Hyperlink"/>
                <w:b w:val="0"/>
                <w:noProof/>
              </w:rPr>
              <w:t>Missing registration numbers</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_Toc481579483 \h </w:instrText>
            </w:r>
            <w:r w:rsidR="00114DBB" w:rsidRPr="00CC5860">
              <w:rPr>
                <w:b w:val="0"/>
                <w:noProof/>
                <w:webHidden/>
              </w:rPr>
            </w:r>
            <w:r w:rsidR="00114DBB" w:rsidRPr="00CC5860">
              <w:rPr>
                <w:b w:val="0"/>
                <w:noProof/>
                <w:webHidden/>
              </w:rPr>
              <w:fldChar w:fldCharType="separate"/>
            </w:r>
            <w:r w:rsidR="00114DBB" w:rsidRPr="00CC5860">
              <w:rPr>
                <w:b w:val="0"/>
                <w:noProof/>
                <w:webHidden/>
              </w:rPr>
              <w:t>15</w:t>
            </w:r>
            <w:r w:rsidR="00114DBB" w:rsidRPr="00CC5860">
              <w:rPr>
                <w:b w:val="0"/>
                <w:noProof/>
                <w:webHidden/>
              </w:rPr>
              <w:fldChar w:fldCharType="end"/>
            </w:r>
          </w:hyperlink>
        </w:p>
        <w:p w14:paraId="36DCCC71" w14:textId="77777777" w:rsidR="00114DBB" w:rsidRPr="00114DBB" w:rsidRDefault="00AA2955">
          <w:pPr>
            <w:pStyle w:val="TOC3"/>
            <w:tabs>
              <w:tab w:val="left" w:pos="1100"/>
              <w:tab w:val="right" w:leader="dot" w:pos="9062"/>
            </w:tabs>
            <w:rPr>
              <w:rFonts w:eastAsiaTheme="minorEastAsia"/>
              <w:b w:val="0"/>
              <w:noProof/>
              <w:lang w:val="en-US"/>
            </w:rPr>
          </w:pPr>
          <w:hyperlink w:anchor="_Toc481579484" w:history="1">
            <w:r w:rsidR="00114DBB" w:rsidRPr="00CC5860">
              <w:rPr>
                <w:rStyle w:val="Hyperlink"/>
                <w:b w:val="0"/>
                <w:noProof/>
                <w14:scene3d>
                  <w14:camera w14:prst="orthographicFront"/>
                  <w14:lightRig w14:rig="threePt" w14:dir="t">
                    <w14:rot w14:lat="0" w14:lon="0" w14:rev="0"/>
                  </w14:lightRig>
                </w14:scene3d>
              </w:rPr>
              <w:t>3.9.</w:t>
            </w:r>
            <w:r w:rsidR="00114DBB" w:rsidRPr="00114DBB">
              <w:rPr>
                <w:rFonts w:eastAsiaTheme="minorEastAsia"/>
                <w:b w:val="0"/>
                <w:noProof/>
                <w:lang w:val="en-US"/>
              </w:rPr>
              <w:tab/>
            </w:r>
            <w:r w:rsidR="00114DBB" w:rsidRPr="00CC5860">
              <w:rPr>
                <w:rStyle w:val="Hyperlink"/>
                <w:b w:val="0"/>
                <w:noProof/>
              </w:rPr>
              <w:t>Missing calls for competition</w:t>
            </w:r>
            <w:r w:rsidR="00114DBB" w:rsidRPr="00CC5860">
              <w:rPr>
                <w:b w:val="0"/>
                <w:noProof/>
                <w:webHidden/>
              </w:rPr>
              <w:tab/>
            </w:r>
            <w:r w:rsidR="00114DBB" w:rsidRPr="00CC5860">
              <w:rPr>
                <w:b w:val="0"/>
                <w:noProof/>
                <w:webHidden/>
              </w:rPr>
              <w:fldChar w:fldCharType="begin"/>
            </w:r>
            <w:r w:rsidR="00114DBB" w:rsidRPr="00CC5860">
              <w:rPr>
                <w:b w:val="0"/>
                <w:noProof/>
                <w:webHidden/>
              </w:rPr>
              <w:instrText xml:space="preserve"> PAGEREF _Toc481579484 \h </w:instrText>
            </w:r>
            <w:r w:rsidR="00114DBB" w:rsidRPr="00CC5860">
              <w:rPr>
                <w:b w:val="0"/>
                <w:noProof/>
                <w:webHidden/>
              </w:rPr>
            </w:r>
            <w:r w:rsidR="00114DBB" w:rsidRPr="00CC5860">
              <w:rPr>
                <w:b w:val="0"/>
                <w:noProof/>
                <w:webHidden/>
              </w:rPr>
              <w:fldChar w:fldCharType="separate"/>
            </w:r>
            <w:r w:rsidR="00114DBB" w:rsidRPr="00CC5860">
              <w:rPr>
                <w:b w:val="0"/>
                <w:noProof/>
                <w:webHidden/>
              </w:rPr>
              <w:t>15</w:t>
            </w:r>
            <w:r w:rsidR="00114DBB" w:rsidRPr="00CC5860">
              <w:rPr>
                <w:b w:val="0"/>
                <w:noProof/>
                <w:webHidden/>
              </w:rPr>
              <w:fldChar w:fldCharType="end"/>
            </w:r>
          </w:hyperlink>
        </w:p>
        <w:p w14:paraId="244BC941" w14:textId="45EE9C88" w:rsidR="00C05A0E" w:rsidRDefault="00C05A0E">
          <w:r w:rsidRPr="00964EFC">
            <w:rPr>
              <w:b w:val="0"/>
              <w:bCs/>
              <w:noProof/>
            </w:rPr>
            <w:fldChar w:fldCharType="end"/>
          </w:r>
        </w:p>
      </w:sdtContent>
    </w:sdt>
    <w:p w14:paraId="09B68C79" w14:textId="6121021D" w:rsidR="00C05A0E" w:rsidRPr="00CC5860" w:rsidRDefault="00C05A0E">
      <w:pPr>
        <w:spacing w:after="200" w:line="276" w:lineRule="auto"/>
        <w:rPr>
          <w:b w:val="0"/>
          <w:lang w:val="cs-CZ"/>
        </w:rPr>
      </w:pPr>
      <w:r>
        <w:br w:type="page"/>
      </w:r>
    </w:p>
    <w:p w14:paraId="6CEF8FCD" w14:textId="749A6C9E" w:rsidR="005D6048" w:rsidRDefault="00FC3504" w:rsidP="00661068">
      <w:pPr>
        <w:pStyle w:val="Heading2"/>
      </w:pPr>
      <w:bookmarkStart w:id="0" w:name="_Toc481579458"/>
      <w:r w:rsidRPr="00E85717">
        <w:lastRenderedPageBreak/>
        <w:t>Introduction</w:t>
      </w:r>
      <w:bookmarkEnd w:id="0"/>
    </w:p>
    <w:p w14:paraId="5CC12C4B" w14:textId="77777777" w:rsidR="001B60E1" w:rsidRDefault="001B60E1" w:rsidP="00661068">
      <w:pPr>
        <w:pStyle w:val="NoSpacing"/>
      </w:pPr>
    </w:p>
    <w:p w14:paraId="77F9C0E7" w14:textId="0F2B64E7" w:rsidR="00F82B7C" w:rsidRDefault="001B60E1" w:rsidP="00661068">
      <w:pPr>
        <w:pStyle w:val="NoSpacing"/>
      </w:pPr>
      <w:r>
        <w:t xml:space="preserve">This </w:t>
      </w:r>
      <w:r w:rsidR="007265B9">
        <w:t xml:space="preserve">is </w:t>
      </w:r>
      <w:r w:rsidR="00121716">
        <w:t xml:space="preserve">a background document for the </w:t>
      </w:r>
      <w:hyperlink r:id="rId8" w:history="1">
        <w:r w:rsidR="00121716" w:rsidRPr="00E770D5">
          <w:rPr>
            <w:rStyle w:val="Hyperlink"/>
          </w:rPr>
          <w:t>TED CSV open data</w:t>
        </w:r>
      </w:hyperlink>
      <w:r w:rsidR="003A1213">
        <w:t xml:space="preserve"> and</w:t>
      </w:r>
      <w:r w:rsidR="00121716">
        <w:t xml:space="preserve"> is intended for advanced users </w:t>
      </w:r>
      <w:r w:rsidR="000B2E68">
        <w:t xml:space="preserve">who </w:t>
      </w:r>
      <w:r w:rsidR="008810E7">
        <w:t xml:space="preserve">know </w:t>
      </w:r>
      <w:r w:rsidR="000B2E68">
        <w:t xml:space="preserve">the basic documentation and have </w:t>
      </w:r>
      <w:r w:rsidR="00121716" w:rsidRPr="006C2E4A">
        <w:rPr>
          <w:i/>
        </w:rPr>
        <w:t>significant</w:t>
      </w:r>
      <w:r w:rsidR="00121716">
        <w:t xml:space="preserve"> experience with </w:t>
      </w:r>
      <w:r w:rsidR="003A1213">
        <w:t xml:space="preserve">the </w:t>
      </w:r>
      <w:r w:rsidR="00121716">
        <w:t>data.</w:t>
      </w:r>
      <w:r w:rsidR="000B2E68">
        <w:t xml:space="preserve"> </w:t>
      </w:r>
      <w:r w:rsidR="008810E7">
        <w:t xml:space="preserve">This document has three parts: an </w:t>
      </w:r>
      <w:r w:rsidR="00A979BC">
        <w:t xml:space="preserve">introduction, </w:t>
      </w:r>
      <w:r w:rsidR="00473EB1">
        <w:t>a discussion of methodological issues</w:t>
      </w:r>
      <w:r w:rsidR="003A1213">
        <w:t xml:space="preserve"> concerning more than one indicator</w:t>
      </w:r>
      <w:r w:rsidR="00473EB1">
        <w:t xml:space="preserve"> </w:t>
      </w:r>
      <w:r w:rsidR="003A1213">
        <w:t xml:space="preserve">and </w:t>
      </w:r>
      <w:r w:rsidR="00473EB1">
        <w:t xml:space="preserve">a discussion of methodological issues for </w:t>
      </w:r>
      <w:r w:rsidR="00A979BC">
        <w:t xml:space="preserve">the </w:t>
      </w:r>
      <w:r w:rsidR="00473EB1">
        <w:t xml:space="preserve">individual indicators of the </w:t>
      </w:r>
      <w:hyperlink r:id="rId9" w:history="1">
        <w:r w:rsidR="00473EB1" w:rsidRPr="00B82D14">
          <w:rPr>
            <w:rStyle w:val="Hyperlink"/>
          </w:rPr>
          <w:t>Single Market Scoreboard</w:t>
        </w:r>
      </w:hyperlink>
      <w:r w:rsidR="00473EB1">
        <w:rPr>
          <w:rStyle w:val="Hyperlink"/>
        </w:rPr>
        <w:t xml:space="preserve">. </w:t>
      </w:r>
    </w:p>
    <w:p w14:paraId="5EF7E7A1" w14:textId="77777777" w:rsidR="00F82B7C" w:rsidRDefault="00F82B7C" w:rsidP="00661068">
      <w:pPr>
        <w:pStyle w:val="NoSpacing"/>
      </w:pPr>
    </w:p>
    <w:p w14:paraId="1141F67A" w14:textId="48A8B984" w:rsidR="00434E00" w:rsidRDefault="00B2205A" w:rsidP="00CD28E1">
      <w:pPr>
        <w:pStyle w:val="NoSpacing"/>
      </w:pPr>
      <w:r>
        <w:t xml:space="preserve">The main purpose of this document is to use </w:t>
      </w:r>
      <w:r w:rsidR="006A3ACE">
        <w:t xml:space="preserve">the running example of </w:t>
      </w:r>
      <w:r w:rsidR="004E096B">
        <w:t>country-level indicators (</w:t>
      </w:r>
      <w:r w:rsidR="000F771C">
        <w:t xml:space="preserve">in particular those of the </w:t>
      </w:r>
      <w:r w:rsidR="004E096B" w:rsidRPr="00473EB1">
        <w:t>Single Market Scoreboard</w:t>
      </w:r>
      <w:r w:rsidR="004E096B">
        <w:t xml:space="preserve">) </w:t>
      </w:r>
      <w:r w:rsidR="006A3ACE">
        <w:t xml:space="preserve">to </w:t>
      </w:r>
      <w:r w:rsidR="004E096B">
        <w:t>e</w:t>
      </w:r>
      <w:r w:rsidR="00E770D5">
        <w:t xml:space="preserve">xplain </w:t>
      </w:r>
      <w:r w:rsidR="007E29AC">
        <w:t xml:space="preserve">advanced </w:t>
      </w:r>
      <w:r w:rsidR="00E770D5" w:rsidRPr="004E096B">
        <w:rPr>
          <w:b/>
        </w:rPr>
        <w:t>issues</w:t>
      </w:r>
      <w:r w:rsidR="00E770D5">
        <w:t xml:space="preserve"> </w:t>
      </w:r>
      <w:r w:rsidR="00B82D14">
        <w:t xml:space="preserve">of </w:t>
      </w:r>
      <w:r w:rsidR="00E770D5">
        <w:t>working with TED data</w:t>
      </w:r>
      <w:r w:rsidR="004E096B">
        <w:t xml:space="preserve">, </w:t>
      </w:r>
      <w:r w:rsidR="000F771C">
        <w:t xml:space="preserve">methodological </w:t>
      </w:r>
      <w:r w:rsidR="004E096B" w:rsidRPr="004E096B">
        <w:rPr>
          <w:b/>
        </w:rPr>
        <w:t xml:space="preserve">decisions </w:t>
      </w:r>
      <w:r w:rsidR="007E29AC" w:rsidRPr="007E29AC">
        <w:t>on</w:t>
      </w:r>
      <w:r w:rsidR="007E29AC">
        <w:rPr>
          <w:b/>
        </w:rPr>
        <w:t xml:space="preserve"> </w:t>
      </w:r>
      <w:r w:rsidR="004E096B" w:rsidRPr="004E096B">
        <w:t xml:space="preserve">how to </w:t>
      </w:r>
      <w:r w:rsidR="004E096B">
        <w:t>re</w:t>
      </w:r>
      <w:r w:rsidR="004E096B" w:rsidRPr="004E096B">
        <w:t>solve them</w:t>
      </w:r>
      <w:r w:rsidR="0069413D">
        <w:t xml:space="preserve">, </w:t>
      </w:r>
      <w:r w:rsidR="004E096B">
        <w:t xml:space="preserve">and </w:t>
      </w:r>
      <w:r w:rsidR="000F771C">
        <w:t xml:space="preserve">technical </w:t>
      </w:r>
      <w:r w:rsidR="004E096B">
        <w:t xml:space="preserve">solutions </w:t>
      </w:r>
      <w:r w:rsidR="00C11E16">
        <w:t xml:space="preserve">planned by </w:t>
      </w:r>
      <w:r w:rsidR="00420700">
        <w:t xml:space="preserve">the Commission </w:t>
      </w:r>
      <w:r w:rsidR="004E096B">
        <w:t xml:space="preserve">for the </w:t>
      </w:r>
      <w:r w:rsidR="004E096B" w:rsidRPr="004E096B">
        <w:rPr>
          <w:b/>
        </w:rPr>
        <w:t>future</w:t>
      </w:r>
      <w:r w:rsidR="004E096B">
        <w:t xml:space="preserve">. </w:t>
      </w:r>
    </w:p>
    <w:p w14:paraId="57E5DAFB" w14:textId="77777777" w:rsidR="00434E00" w:rsidRDefault="00434E00" w:rsidP="00CD28E1">
      <w:pPr>
        <w:pStyle w:val="NoSpacing"/>
      </w:pPr>
    </w:p>
    <w:p w14:paraId="7254CC7A" w14:textId="23B49824" w:rsidR="005D21DD" w:rsidRDefault="004E096B" w:rsidP="00CD28E1">
      <w:pPr>
        <w:pStyle w:val="NoSpacing"/>
      </w:pPr>
      <w:r>
        <w:t xml:space="preserve">While illustrated on country-level indicators, these issues may be relevant </w:t>
      </w:r>
      <w:r w:rsidR="00434E00">
        <w:t xml:space="preserve">for </w:t>
      </w:r>
      <w:r>
        <w:t xml:space="preserve">all sorts of </w:t>
      </w:r>
      <w:r w:rsidR="00205691">
        <w:t xml:space="preserve">TED data </w:t>
      </w:r>
      <w:r>
        <w:t>analyses.</w:t>
      </w:r>
      <w:r w:rsidR="006A3ACE">
        <w:t xml:space="preserve"> </w:t>
      </w:r>
      <w:r w:rsidR="0077646C">
        <w:t xml:space="preserve">By going through the issues (potentially using this document as a checklist), a researcher can explain unintuitive results as well seeming </w:t>
      </w:r>
      <w:r w:rsidR="005D21DD">
        <w:t>noise in the data</w:t>
      </w:r>
      <w:r w:rsidR="0077646C">
        <w:t xml:space="preserve">. </w:t>
      </w:r>
      <w:r w:rsidR="005D21DD">
        <w:rPr>
          <w:lang w:val="en-US"/>
        </w:rPr>
        <w:t xml:space="preserve">Finally, </w:t>
      </w:r>
      <w:r w:rsidR="00205691">
        <w:t xml:space="preserve">this </w:t>
      </w:r>
      <w:r w:rsidR="006A3ACE">
        <w:t xml:space="preserve">document also </w:t>
      </w:r>
      <w:r w:rsidR="00205691">
        <w:t xml:space="preserve">tracks the evolution of issues across </w:t>
      </w:r>
      <w:r w:rsidR="00017AA1">
        <w:t xml:space="preserve">recent </w:t>
      </w:r>
      <w:r w:rsidR="006A3ACE">
        <w:t xml:space="preserve">changes </w:t>
      </w:r>
      <w:r w:rsidR="00017AA1">
        <w:t xml:space="preserve">in </w:t>
      </w:r>
      <w:r w:rsidR="006A3ACE">
        <w:t>the TED standard forms.</w:t>
      </w:r>
      <w:r w:rsidR="005D21DD">
        <w:t xml:space="preserve"> </w:t>
      </w:r>
    </w:p>
    <w:p w14:paraId="2B8E223E" w14:textId="77777777" w:rsidR="006D1925" w:rsidRDefault="006D1925" w:rsidP="00661068">
      <w:pPr>
        <w:pStyle w:val="NoSpacing"/>
      </w:pPr>
    </w:p>
    <w:p w14:paraId="647F4988" w14:textId="748B057F" w:rsidR="007E703E" w:rsidRDefault="005D21DD" w:rsidP="00661068">
      <w:pPr>
        <w:pStyle w:val="NoSpacing"/>
        <w:rPr>
          <w:lang w:val="en-US"/>
        </w:rPr>
      </w:pPr>
      <w:r>
        <w:t xml:space="preserve">The </w:t>
      </w:r>
      <w:r w:rsidR="007E703E">
        <w:t xml:space="preserve">document covers a wide range of methodological issues. The impact </w:t>
      </w:r>
      <w:r w:rsidR="006E23C5">
        <w:t xml:space="preserve">they </w:t>
      </w:r>
      <w:r w:rsidR="007E703E">
        <w:t xml:space="preserve">have </w:t>
      </w:r>
      <w:r w:rsidR="000B74B4">
        <w:t xml:space="preserve">on results </w:t>
      </w:r>
      <w:r w:rsidR="007E703E">
        <w:t>depends the analysis</w:t>
      </w:r>
      <w:r w:rsidR="001F52BC">
        <w:t xml:space="preserve"> </w:t>
      </w:r>
      <w:r w:rsidR="00081EF9">
        <w:t xml:space="preserve">in question </w:t>
      </w:r>
      <w:r w:rsidR="001F52BC">
        <w:t xml:space="preserve">– </w:t>
      </w:r>
      <w:r w:rsidR="00F564B7">
        <w:t xml:space="preserve">and </w:t>
      </w:r>
      <w:r w:rsidR="007E703E">
        <w:t xml:space="preserve">in particular </w:t>
      </w:r>
      <w:r w:rsidR="001F52BC">
        <w:t xml:space="preserve">its level of detail. </w:t>
      </w:r>
      <w:r w:rsidR="007E703E">
        <w:t>In our experience, for most issues, the impact on results at the level of countries and years is small.</w:t>
      </w:r>
      <w:r w:rsidR="00CC6F59">
        <w:t xml:space="preserve"> W</w:t>
      </w:r>
      <w:r w:rsidR="007E703E">
        <w:t xml:space="preserve">e </w:t>
      </w:r>
      <w:r w:rsidR="00CC6F59">
        <w:t xml:space="preserve">also </w:t>
      </w:r>
      <w:r w:rsidR="007E703E">
        <w:t xml:space="preserve">expect </w:t>
      </w:r>
      <w:r w:rsidR="00CC6F59">
        <w:t xml:space="preserve">that it would be small in more detailed levels such as </w:t>
      </w:r>
      <w:r w:rsidR="003A46D5">
        <w:t>regions.</w:t>
      </w:r>
      <w:r w:rsidR="00CC5C86">
        <w:t xml:space="preserve"> </w:t>
      </w:r>
      <w:r w:rsidR="00DC4946">
        <w:t xml:space="preserve">Nevertheless, </w:t>
      </w:r>
      <w:r w:rsidR="00CF532E">
        <w:t xml:space="preserve">empirical examination of </w:t>
      </w:r>
      <w:r w:rsidR="00DC4946">
        <w:t xml:space="preserve">robustness of results </w:t>
      </w:r>
      <w:r w:rsidR="00CF532E">
        <w:t>to the issues below is a</w:t>
      </w:r>
      <w:r w:rsidR="00DC4946">
        <w:t xml:space="preserve"> </w:t>
      </w:r>
      <w:r w:rsidR="002E064C">
        <w:t xml:space="preserve">welcome </w:t>
      </w:r>
      <w:r w:rsidR="00DC4946">
        <w:t xml:space="preserve">venue </w:t>
      </w:r>
      <w:r w:rsidR="00CF532E">
        <w:t xml:space="preserve">for </w:t>
      </w:r>
      <w:r w:rsidR="00DC4946">
        <w:t>future research</w:t>
      </w:r>
      <w:r w:rsidR="00CC6F59">
        <w:t xml:space="preserve">. Moreover, </w:t>
      </w:r>
      <w:r w:rsidR="00C40E3C">
        <w:t xml:space="preserve">these issues </w:t>
      </w:r>
      <w:r w:rsidR="00DC4946">
        <w:t xml:space="preserve">also serve </w:t>
      </w:r>
      <w:r w:rsidR="00DC4946">
        <w:rPr>
          <w:lang w:val="en-US"/>
        </w:rPr>
        <w:t xml:space="preserve">as a reminder </w:t>
      </w:r>
      <w:r w:rsidR="003B7A48">
        <w:rPr>
          <w:lang w:val="en-US"/>
        </w:rPr>
        <w:t xml:space="preserve">that studies needs </w:t>
      </w:r>
      <w:r w:rsidR="00CC6F59">
        <w:rPr>
          <w:lang w:val="en-US"/>
        </w:rPr>
        <w:t xml:space="preserve">good </w:t>
      </w:r>
      <w:r w:rsidR="00DC4946">
        <w:rPr>
          <w:lang w:val="en-US"/>
        </w:rPr>
        <w:t xml:space="preserve">robustness checks </w:t>
      </w:r>
      <w:r w:rsidR="00796582">
        <w:rPr>
          <w:lang w:val="en-US"/>
        </w:rPr>
        <w:t xml:space="preserve">as well as </w:t>
      </w:r>
      <w:r w:rsidR="00CC6F59">
        <w:rPr>
          <w:lang w:val="en-US"/>
        </w:rPr>
        <w:t xml:space="preserve">careful </w:t>
      </w:r>
      <w:r w:rsidR="00DC4946">
        <w:rPr>
          <w:lang w:val="en-US"/>
        </w:rPr>
        <w:t>interpretation.</w:t>
      </w:r>
    </w:p>
    <w:p w14:paraId="0529BD5F" w14:textId="77777777" w:rsidR="00CD28E1" w:rsidRDefault="00CD28E1" w:rsidP="00661068">
      <w:pPr>
        <w:pStyle w:val="NoSpacing"/>
        <w:rPr>
          <w:lang w:val="en-US"/>
        </w:rPr>
      </w:pPr>
    </w:p>
    <w:p w14:paraId="4DD0A316" w14:textId="1A6D3DFD" w:rsidR="007E703E" w:rsidRDefault="00CD28E1" w:rsidP="00661068">
      <w:pPr>
        <w:pStyle w:val="NoSpacing"/>
      </w:pPr>
      <w:r>
        <w:t xml:space="preserve">We note that </w:t>
      </w:r>
      <w:r w:rsidR="003B2EC1">
        <w:t xml:space="preserve">for </w:t>
      </w:r>
      <w:r w:rsidR="00A62910">
        <w:t>many, if not most</w:t>
      </w:r>
      <w:r w:rsidR="003A2249">
        <w:t>,</w:t>
      </w:r>
      <w:r w:rsidR="00A62910">
        <w:t xml:space="preserve"> </w:t>
      </w:r>
      <w:r w:rsidR="003B2EC1">
        <w:t xml:space="preserve">issues </w:t>
      </w:r>
      <w:r w:rsidR="007E703E">
        <w:t xml:space="preserve">below, there may not </w:t>
      </w:r>
      <w:r w:rsidR="00A33AC7">
        <w:t>be</w:t>
      </w:r>
      <w:r w:rsidR="003B2EC1">
        <w:t xml:space="preserve"> a</w:t>
      </w:r>
      <w:r w:rsidR="00A33AC7">
        <w:t xml:space="preserve"> </w:t>
      </w:r>
      <w:r w:rsidR="00E82704">
        <w:t xml:space="preserve">solution </w:t>
      </w:r>
      <w:r>
        <w:t xml:space="preserve">which can be empirically proven to be </w:t>
      </w:r>
      <w:r w:rsidR="003B2EC1">
        <w:t>the best</w:t>
      </w:r>
      <w:r w:rsidR="00E9335F">
        <w:t>. This can be the case</w:t>
      </w:r>
      <w:r w:rsidR="00E82704">
        <w:t xml:space="preserve"> for example because th</w:t>
      </w:r>
      <w:r w:rsidR="00E9335F">
        <w:t>e choice</w:t>
      </w:r>
      <w:r w:rsidR="00E82704">
        <w:t xml:space="preserve"> is </w:t>
      </w:r>
      <w:r w:rsidR="007E703E">
        <w:t>between two theoretical b</w:t>
      </w:r>
      <w:r w:rsidR="00A62910">
        <w:t>iases of unmeasurable</w:t>
      </w:r>
      <w:r w:rsidR="00861100">
        <w:t xml:space="preserve"> </w:t>
      </w:r>
      <w:r w:rsidR="00A62910">
        <w:t xml:space="preserve">magnitude. </w:t>
      </w:r>
    </w:p>
    <w:p w14:paraId="7664F73A" w14:textId="732767DE" w:rsidR="00FE368B" w:rsidRDefault="00FE368B" w:rsidP="00FE368B">
      <w:pPr>
        <w:pStyle w:val="Heading3"/>
      </w:pPr>
      <w:bookmarkStart w:id="1" w:name="_Toc481579459"/>
      <w:r>
        <w:t>Country indicators</w:t>
      </w:r>
      <w:bookmarkEnd w:id="1"/>
    </w:p>
    <w:p w14:paraId="747F2854" w14:textId="77777777" w:rsidR="00D32BBA" w:rsidRDefault="00D32BBA" w:rsidP="00661068">
      <w:pPr>
        <w:pStyle w:val="NoSpacing"/>
      </w:pPr>
    </w:p>
    <w:p w14:paraId="5FBB3C0B" w14:textId="1E5F27DD" w:rsidR="006D1925" w:rsidRPr="00E85717" w:rsidRDefault="006D1925" w:rsidP="00661068">
      <w:pPr>
        <w:pStyle w:val="NoSpacing"/>
      </w:pPr>
      <w:r w:rsidRPr="00E85717">
        <w:t>The country indicators</w:t>
      </w:r>
      <w:r w:rsidR="00735DF1">
        <w:t>,</w:t>
      </w:r>
      <w:r w:rsidRPr="00E85717">
        <w:t xml:space="preserve"> </w:t>
      </w:r>
      <w:r w:rsidR="006C57BD">
        <w:t xml:space="preserve">used </w:t>
      </w:r>
      <w:r w:rsidR="00735DF1">
        <w:t xml:space="preserve">as a running example </w:t>
      </w:r>
      <w:r w:rsidR="006C57BD">
        <w:t xml:space="preserve">in the text below, </w:t>
      </w:r>
      <w:r w:rsidR="00DE1FD3" w:rsidRPr="00E85717">
        <w:t xml:space="preserve">have two to three </w:t>
      </w:r>
      <w:r w:rsidRPr="00E85717">
        <w:t xml:space="preserve">interlinked </w:t>
      </w:r>
      <w:r w:rsidR="00DE1FD3" w:rsidRPr="00E85717">
        <w:t>goals</w:t>
      </w:r>
      <w:r w:rsidR="00735DF1">
        <w:t xml:space="preserve">. Which goal is being measured influences </w:t>
      </w:r>
      <w:r w:rsidR="00A35080">
        <w:t xml:space="preserve">which </w:t>
      </w:r>
      <w:r w:rsidR="00735DF1" w:rsidRPr="00E85717">
        <w:t>notices should be included in a</w:t>
      </w:r>
      <w:r w:rsidR="00A35080">
        <w:t>n</w:t>
      </w:r>
      <w:r w:rsidR="00735DF1" w:rsidRPr="00E85717">
        <w:t xml:space="preserve"> indicator.</w:t>
      </w:r>
    </w:p>
    <w:p w14:paraId="2CFB66BC" w14:textId="78D15C75" w:rsidR="006D1925" w:rsidRPr="00E85717" w:rsidRDefault="006C57BD" w:rsidP="00661068">
      <w:pPr>
        <w:pStyle w:val="NoSpacing"/>
        <w:numPr>
          <w:ilvl w:val="0"/>
          <w:numId w:val="8"/>
        </w:numPr>
      </w:pPr>
      <w:r>
        <w:t>Measur</w:t>
      </w:r>
      <w:r w:rsidR="00D73CD4">
        <w:t>ing</w:t>
      </w:r>
      <w:r>
        <w:t xml:space="preserve"> </w:t>
      </w:r>
      <w:r w:rsidRPr="002D1906">
        <w:rPr>
          <w:b/>
        </w:rPr>
        <w:t>p</w:t>
      </w:r>
      <w:r w:rsidR="002D1906" w:rsidRPr="002D1906">
        <w:rPr>
          <w:b/>
        </w:rPr>
        <w:t>rocurement practices</w:t>
      </w:r>
      <w:r w:rsidR="006D1925" w:rsidRPr="00E85717">
        <w:t xml:space="preserve"> of public buyers</w:t>
      </w:r>
      <w:r>
        <w:t>. This means describ</w:t>
      </w:r>
      <w:r w:rsidR="00D73CD4">
        <w:t>ing</w:t>
      </w:r>
      <w:r>
        <w:t xml:space="preserve"> how procurement is done, </w:t>
      </w:r>
      <w:r w:rsidR="006D1925" w:rsidRPr="00E85717">
        <w:t xml:space="preserve">how are </w:t>
      </w:r>
      <w:r>
        <w:t xml:space="preserve">buyers </w:t>
      </w:r>
      <w:r w:rsidR="006D1925" w:rsidRPr="00E85717">
        <w:t xml:space="preserve">trying </w:t>
      </w:r>
      <w:r>
        <w:t xml:space="preserve">to </w:t>
      </w:r>
      <w:r w:rsidR="004425EB">
        <w:t xml:space="preserve">get the </w:t>
      </w:r>
      <w:r>
        <w:t>best value for money</w:t>
      </w:r>
      <w:r w:rsidR="006D1925" w:rsidRPr="00E85717">
        <w:t xml:space="preserve">. </w:t>
      </w:r>
    </w:p>
    <w:p w14:paraId="43A113FC" w14:textId="507FBB2E" w:rsidR="006D1925" w:rsidRPr="00E85717" w:rsidRDefault="006C57BD" w:rsidP="00661068">
      <w:pPr>
        <w:pStyle w:val="NoSpacing"/>
        <w:numPr>
          <w:ilvl w:val="0"/>
          <w:numId w:val="8"/>
        </w:numPr>
      </w:pPr>
      <w:r>
        <w:t>Measur</w:t>
      </w:r>
      <w:r w:rsidR="00D73CD4">
        <w:t>ing</w:t>
      </w:r>
      <w:r>
        <w:t xml:space="preserve"> </w:t>
      </w:r>
      <w:r w:rsidR="006D1925" w:rsidRPr="00E85717">
        <w:t xml:space="preserve">the </w:t>
      </w:r>
      <w:r w:rsidR="006D1925" w:rsidRPr="002D1906">
        <w:rPr>
          <w:b/>
        </w:rPr>
        <w:t>results</w:t>
      </w:r>
      <w:r w:rsidR="006D1925" w:rsidRPr="00E85717">
        <w:t xml:space="preserve"> of their efforts</w:t>
      </w:r>
      <w:r>
        <w:t xml:space="preserve">. </w:t>
      </w:r>
      <w:r w:rsidR="005B4642">
        <w:t>Results</w:t>
      </w:r>
      <w:r w:rsidR="00DB7159">
        <w:t xml:space="preserve"> of</w:t>
      </w:r>
      <w:r w:rsidR="005B4642">
        <w:t xml:space="preserve"> public procurement are </w:t>
      </w:r>
      <w:r w:rsidR="00B067E7">
        <w:t>"</w:t>
      </w:r>
      <w:r w:rsidR="005B4642">
        <w:t>value-for-money</w:t>
      </w:r>
      <w:r w:rsidR="00B067E7">
        <w:t xml:space="preserve">" of what is being bought and then </w:t>
      </w:r>
      <w:r w:rsidR="005B4642">
        <w:t xml:space="preserve">other policy goals such as the impact on environment. Since these are hard </w:t>
      </w:r>
      <w:r>
        <w:t xml:space="preserve">to measure directly, </w:t>
      </w:r>
      <w:r w:rsidR="00B067E7">
        <w:t xml:space="preserve">proxies are </w:t>
      </w:r>
      <w:r w:rsidR="00B270D7">
        <w:t xml:space="preserve">commonly </w:t>
      </w:r>
      <w:r>
        <w:t>used instead – for example</w:t>
      </w:r>
      <w:r w:rsidR="00B067E7">
        <w:t>,</w:t>
      </w:r>
      <w:r>
        <w:t xml:space="preserve"> if buyers </w:t>
      </w:r>
      <w:r w:rsidR="006D1925" w:rsidRPr="00E85717">
        <w:t>manage</w:t>
      </w:r>
      <w:r>
        <w:t>d</w:t>
      </w:r>
      <w:r w:rsidR="006D1925" w:rsidRPr="00E85717">
        <w:t xml:space="preserve"> to attract bidders</w:t>
      </w:r>
      <w:r>
        <w:t xml:space="preserve"> and</w:t>
      </w:r>
      <w:r w:rsidR="00006E70" w:rsidRPr="00E85717">
        <w:t xml:space="preserve"> what prices they paid</w:t>
      </w:r>
      <w:r w:rsidR="006D1925" w:rsidRPr="00E85717">
        <w:t xml:space="preserve">. </w:t>
      </w:r>
    </w:p>
    <w:p w14:paraId="158894A6" w14:textId="4F3CA528" w:rsidR="006D1925" w:rsidRPr="00E85717" w:rsidRDefault="006D1925" w:rsidP="00661068">
      <w:pPr>
        <w:pStyle w:val="NoSpacing"/>
        <w:numPr>
          <w:ilvl w:val="0"/>
          <w:numId w:val="8"/>
        </w:numPr>
      </w:pPr>
      <w:r w:rsidRPr="00E85717">
        <w:t xml:space="preserve">(A third, tentative and hopefully temporary function of the indicators is discovering where </w:t>
      </w:r>
      <w:r w:rsidR="00F330A9">
        <w:t xml:space="preserve">the </w:t>
      </w:r>
      <w:r w:rsidR="00F330A9" w:rsidRPr="00F330A9">
        <w:rPr>
          <w:b/>
        </w:rPr>
        <w:t>data quality</w:t>
      </w:r>
      <w:r w:rsidR="00F330A9">
        <w:t xml:space="preserve"> is low, i.e. where </w:t>
      </w:r>
      <w:r w:rsidR="00510F63">
        <w:t>EU Member States (MS)</w:t>
      </w:r>
      <w:r w:rsidRPr="00E85717">
        <w:t xml:space="preserve"> are not fulfilling their publishing obligations, which undermines </w:t>
      </w:r>
      <w:r w:rsidR="001B799C">
        <w:t xml:space="preserve">the measurement of </w:t>
      </w:r>
      <w:r w:rsidRPr="00E85717">
        <w:t>the two goals above.)</w:t>
      </w:r>
    </w:p>
    <w:p w14:paraId="24333499" w14:textId="77777777" w:rsidR="00263CFE" w:rsidRPr="00E85717" w:rsidRDefault="00263CFE" w:rsidP="00661068">
      <w:pPr>
        <w:pStyle w:val="NoSpacing"/>
      </w:pPr>
    </w:p>
    <w:p w14:paraId="315DB5A8" w14:textId="4BD8734C" w:rsidR="00B1459D" w:rsidRDefault="00D162BF" w:rsidP="00C61A92">
      <w:pPr>
        <w:pStyle w:val="NoSpacing"/>
      </w:pPr>
      <w:r>
        <w:t>C</w:t>
      </w:r>
      <w:r w:rsidR="00C61A92">
        <w:t>ountry-level indicator</w:t>
      </w:r>
      <w:r w:rsidR="00AE3938">
        <w:t>s</w:t>
      </w:r>
      <w:r w:rsidR="00C61A92">
        <w:t xml:space="preserve"> </w:t>
      </w:r>
      <w:r w:rsidR="00510F63">
        <w:t xml:space="preserve">of course </w:t>
      </w:r>
      <w:r w:rsidR="00C61A92">
        <w:t>give only a very high-level view of procurement in the EU. For more actionable</w:t>
      </w:r>
      <w:r w:rsidR="00AE3938">
        <w:t xml:space="preserve"> </w:t>
      </w:r>
      <w:r w:rsidR="00C61A92">
        <w:t xml:space="preserve">results, analysis must be </w:t>
      </w:r>
      <w:r w:rsidR="00AE3938">
        <w:t>done by comparing narrow</w:t>
      </w:r>
      <w:r w:rsidR="00510F63">
        <w:t>er</w:t>
      </w:r>
      <w:r w:rsidR="00AE3938">
        <w:t xml:space="preserve"> categories. </w:t>
      </w:r>
      <w:r w:rsidR="00C61A92">
        <w:t xml:space="preserve">These segments include types of authorities (e.g. "Regional or local authorities" vs. "Ministry or any other national authorities"); regions (e.g. Wallonia vs. Flanders); </w:t>
      </w:r>
      <w:r w:rsidR="00510F63">
        <w:t xml:space="preserve">and </w:t>
      </w:r>
      <w:r w:rsidR="00C61A92">
        <w:t xml:space="preserve">sectors, defined by CPV code or main activity (e.g. health vs. education; hospitals vs. schools). </w:t>
      </w:r>
    </w:p>
    <w:p w14:paraId="49CBF7C9" w14:textId="77777777" w:rsidR="00B1459D" w:rsidRDefault="00B1459D">
      <w:pPr>
        <w:spacing w:after="200" w:line="276" w:lineRule="auto"/>
        <w:rPr>
          <w:b w:val="0"/>
        </w:rPr>
      </w:pPr>
      <w:r>
        <w:br w:type="page"/>
      </w:r>
    </w:p>
    <w:p w14:paraId="47F257BD" w14:textId="48B9D217" w:rsidR="00506B50" w:rsidRDefault="00506B50" w:rsidP="00506B50">
      <w:pPr>
        <w:pStyle w:val="Heading3"/>
      </w:pPr>
      <w:bookmarkStart w:id="2" w:name="_Toc481579460"/>
      <w:r>
        <w:lastRenderedPageBreak/>
        <w:t>Acronyms</w:t>
      </w:r>
      <w:bookmarkEnd w:id="2"/>
      <w:r>
        <w:t xml:space="preserve"> </w:t>
      </w:r>
    </w:p>
    <w:p w14:paraId="2B884132" w14:textId="77777777" w:rsidR="00EC110D" w:rsidRDefault="00EC110D" w:rsidP="00EC110D">
      <w:pPr>
        <w:rPr>
          <w:lang w:val="en-US"/>
        </w:rPr>
      </w:pPr>
    </w:p>
    <w:p w14:paraId="2539F89A" w14:textId="05C3A199" w:rsidR="00EC110D" w:rsidRDefault="00F63B83" w:rsidP="0024086C">
      <w:pPr>
        <w:pStyle w:val="ListParagraph"/>
        <w:numPr>
          <w:ilvl w:val="0"/>
          <w:numId w:val="39"/>
        </w:numPr>
        <w:rPr>
          <w:lang w:val="en-US"/>
        </w:rPr>
      </w:pPr>
      <w:r>
        <w:rPr>
          <w:lang w:val="en-US"/>
        </w:rPr>
        <w:t>Current forms (</w:t>
      </w:r>
      <w:r w:rsidR="00EC110D">
        <w:rPr>
          <w:lang w:val="en-US"/>
        </w:rPr>
        <w:t>"2.0.9"</w:t>
      </w:r>
      <w:r>
        <w:rPr>
          <w:lang w:val="en-US"/>
        </w:rPr>
        <w:t>)</w:t>
      </w:r>
      <w:r w:rsidR="00EC110D">
        <w:rPr>
          <w:lang w:val="en-US"/>
        </w:rPr>
        <w:t xml:space="preserve"> are the standard forms based on the 2014 public procurement directives, specified in the 2015</w:t>
      </w:r>
      <w:r w:rsidR="0024086C">
        <w:rPr>
          <w:lang w:val="en-US"/>
        </w:rPr>
        <w:t>/1986</w:t>
      </w:r>
      <w:r w:rsidR="00EC110D">
        <w:rPr>
          <w:lang w:val="en-US"/>
        </w:rPr>
        <w:t xml:space="preserve"> implementing regulation. </w:t>
      </w:r>
      <w:r w:rsidR="0024086C">
        <w:rPr>
          <w:lang w:val="en-US"/>
        </w:rPr>
        <w:t xml:space="preserve">These are the forms in the right column of </w:t>
      </w:r>
      <w:r w:rsidR="003A1CBC">
        <w:rPr>
          <w:lang w:val="en-US"/>
        </w:rPr>
        <w:t xml:space="preserve">the table at </w:t>
      </w:r>
      <w:hyperlink r:id="rId10" w:history="1">
        <w:r w:rsidR="0024086C" w:rsidRPr="000D5418">
          <w:rPr>
            <w:rStyle w:val="Hyperlink"/>
            <w:lang w:val="en-US"/>
          </w:rPr>
          <w:t>http://simap.ted.europa.eu/en/web/simap/standard-forms-for-public-procurement</w:t>
        </w:r>
      </w:hyperlink>
      <w:r w:rsidR="0024086C">
        <w:rPr>
          <w:lang w:val="en-US"/>
        </w:rPr>
        <w:t xml:space="preserve">.  </w:t>
      </w:r>
    </w:p>
    <w:p w14:paraId="625316DB" w14:textId="3D1B2E78" w:rsidR="00EC110D" w:rsidRDefault="00F63B83" w:rsidP="00EC110D">
      <w:pPr>
        <w:pStyle w:val="ListParagraph"/>
        <w:numPr>
          <w:ilvl w:val="0"/>
          <w:numId w:val="39"/>
        </w:numPr>
        <w:rPr>
          <w:lang w:val="en-US"/>
        </w:rPr>
      </w:pPr>
      <w:r>
        <w:rPr>
          <w:lang w:val="en-US"/>
        </w:rPr>
        <w:t>Older forms (</w:t>
      </w:r>
      <w:r w:rsidR="00EC110D">
        <w:rPr>
          <w:lang w:val="en-US"/>
        </w:rPr>
        <w:t>"pre-2.0.9"</w:t>
      </w:r>
      <w:r>
        <w:rPr>
          <w:lang w:val="en-US"/>
        </w:rPr>
        <w:t>)</w:t>
      </w:r>
      <w:r w:rsidR="00EC110D">
        <w:rPr>
          <w:lang w:val="en-US"/>
        </w:rPr>
        <w:t xml:space="preserve">, most importantly </w:t>
      </w:r>
      <w:r w:rsidR="00533AB0">
        <w:rPr>
          <w:lang w:val="en-US"/>
        </w:rPr>
        <w:t xml:space="preserve">the </w:t>
      </w:r>
      <w:r w:rsidR="00EC110D">
        <w:rPr>
          <w:lang w:val="en-US"/>
        </w:rPr>
        <w:t xml:space="preserve">"2.0.8" forms, are forms based on the 2004 and 2009 public procurement directives. </w:t>
      </w:r>
      <w:r w:rsidR="00CB1594">
        <w:rPr>
          <w:lang w:val="en-US"/>
        </w:rPr>
        <w:t xml:space="preserve">"2.0.8" forms continue to be used for the defense directive. </w:t>
      </w:r>
      <w:r w:rsidR="0024086C">
        <w:rPr>
          <w:lang w:val="en-US"/>
        </w:rPr>
        <w:t xml:space="preserve">These are the forms in the left column of </w:t>
      </w:r>
      <w:r w:rsidR="003A1CBC">
        <w:rPr>
          <w:lang w:val="en-US"/>
        </w:rPr>
        <w:t xml:space="preserve">the table at </w:t>
      </w:r>
      <w:hyperlink r:id="rId11" w:history="1">
        <w:r w:rsidR="0024086C" w:rsidRPr="000D5418">
          <w:rPr>
            <w:rStyle w:val="Hyperlink"/>
            <w:lang w:val="en-US"/>
          </w:rPr>
          <w:t>http://simap.ted.europa.eu/en/web/simap/standard-forms-for-public-procurement</w:t>
        </w:r>
      </w:hyperlink>
      <w:r w:rsidR="0024086C">
        <w:rPr>
          <w:lang w:val="en-US"/>
        </w:rPr>
        <w:t xml:space="preserve">.  </w:t>
      </w:r>
    </w:p>
    <w:p w14:paraId="6ED9CE27" w14:textId="56FE95D3" w:rsidR="0017042A" w:rsidRDefault="00722481" w:rsidP="0017042A">
      <w:pPr>
        <w:pStyle w:val="NoSpacing"/>
        <w:numPr>
          <w:ilvl w:val="0"/>
          <w:numId w:val="39"/>
        </w:numPr>
      </w:pPr>
      <w:r>
        <w:t xml:space="preserve">CFC – a call for competition. This means </w:t>
      </w:r>
      <w:r w:rsidR="00EE547A">
        <w:t xml:space="preserve">a </w:t>
      </w:r>
      <w:r>
        <w:t xml:space="preserve">contract notice, a prior information notice used as a call for competition, or a qualification system with a call for competition. </w:t>
      </w:r>
    </w:p>
    <w:p w14:paraId="339E14D4" w14:textId="2F08AB28" w:rsidR="00722481" w:rsidRDefault="00722481" w:rsidP="0017042A">
      <w:pPr>
        <w:pStyle w:val="NoSpacing"/>
        <w:numPr>
          <w:ilvl w:val="0"/>
          <w:numId w:val="39"/>
        </w:numPr>
      </w:pPr>
      <w:r>
        <w:t>CAN – contract award notice</w:t>
      </w:r>
    </w:p>
    <w:p w14:paraId="412E3186" w14:textId="6DDA695F" w:rsidR="0017042A" w:rsidRDefault="0017042A" w:rsidP="0017042A">
      <w:pPr>
        <w:pStyle w:val="NoSpacing"/>
        <w:numPr>
          <w:ilvl w:val="0"/>
          <w:numId w:val="39"/>
        </w:numPr>
      </w:pPr>
      <w:r>
        <w:t>VEATs</w:t>
      </w:r>
      <w:r w:rsidR="00722481">
        <w:t xml:space="preserve"> – voluntary ex-ante transparency notice</w:t>
      </w:r>
    </w:p>
    <w:p w14:paraId="242EB29B" w14:textId="70410351" w:rsidR="0017042A" w:rsidRDefault="0017042A" w:rsidP="0017042A">
      <w:pPr>
        <w:pStyle w:val="NoSpacing"/>
        <w:numPr>
          <w:ilvl w:val="0"/>
          <w:numId w:val="39"/>
        </w:numPr>
      </w:pPr>
      <w:r>
        <w:t>FA</w:t>
      </w:r>
      <w:r w:rsidR="00722481">
        <w:t xml:space="preserve"> – framework agreement</w:t>
      </w:r>
    </w:p>
    <w:p w14:paraId="2DF4584A" w14:textId="77777777" w:rsidR="00A54105" w:rsidRDefault="0017042A" w:rsidP="00473EB1">
      <w:pPr>
        <w:pStyle w:val="NoSpacing"/>
        <w:numPr>
          <w:ilvl w:val="0"/>
          <w:numId w:val="39"/>
        </w:numPr>
      </w:pPr>
      <w:r>
        <w:t>DPS</w:t>
      </w:r>
      <w:r w:rsidR="00722481">
        <w:t xml:space="preserve"> – dynamic purchasing system</w:t>
      </w:r>
    </w:p>
    <w:p w14:paraId="56A655C3" w14:textId="08E73861" w:rsidR="00473EB1" w:rsidRPr="00473EB1" w:rsidRDefault="00A54105" w:rsidP="00473EB1">
      <w:pPr>
        <w:pStyle w:val="NoSpacing"/>
        <w:numPr>
          <w:ilvl w:val="0"/>
          <w:numId w:val="39"/>
        </w:numPr>
      </w:pPr>
      <w:r>
        <w:t>MS – EU Member States</w:t>
      </w:r>
      <w:r w:rsidR="00473EB1">
        <w:br w:type="page"/>
      </w:r>
    </w:p>
    <w:p w14:paraId="6C4B4995" w14:textId="1651BA30" w:rsidR="004478F7" w:rsidRPr="00E85717" w:rsidRDefault="00051269" w:rsidP="00661068">
      <w:pPr>
        <w:pStyle w:val="Heading2"/>
      </w:pPr>
      <w:bookmarkStart w:id="3" w:name="_Toc481579461"/>
      <w:r w:rsidRPr="00E85717">
        <w:lastRenderedPageBreak/>
        <w:t xml:space="preserve">General </w:t>
      </w:r>
      <w:r w:rsidR="001A7E9E" w:rsidRPr="00E85717">
        <w:t>methodological</w:t>
      </w:r>
      <w:r w:rsidR="00092141" w:rsidRPr="00E85717">
        <w:t xml:space="preserve"> </w:t>
      </w:r>
      <w:r w:rsidR="00266398">
        <w:t>issues</w:t>
      </w:r>
      <w:bookmarkEnd w:id="3"/>
      <w:r w:rsidR="00092141" w:rsidRPr="00E85717">
        <w:t xml:space="preserve"> </w:t>
      </w:r>
    </w:p>
    <w:p w14:paraId="5201B01D" w14:textId="77777777" w:rsidR="00E6181A" w:rsidRPr="00E85717" w:rsidRDefault="00E6181A" w:rsidP="00661068">
      <w:pPr>
        <w:pStyle w:val="NoSpacing"/>
      </w:pPr>
    </w:p>
    <w:p w14:paraId="25CE2D17" w14:textId="72F64E76" w:rsidR="00E6181A" w:rsidRPr="00E85717" w:rsidRDefault="00266398" w:rsidP="00661068">
      <w:pPr>
        <w:pStyle w:val="NoSpacing"/>
      </w:pPr>
      <w:r>
        <w:t xml:space="preserve">This chapter explains methodological issues related to </w:t>
      </w:r>
      <w:r w:rsidR="00017AA1">
        <w:t xml:space="preserve">more than </w:t>
      </w:r>
      <w:r>
        <w:t xml:space="preserve">one indicator. </w:t>
      </w:r>
    </w:p>
    <w:p w14:paraId="7635ED5B" w14:textId="79AB3505" w:rsidR="00BB0C66" w:rsidRPr="00E85717" w:rsidRDefault="008C6C11" w:rsidP="00661068">
      <w:pPr>
        <w:pStyle w:val="Heading3"/>
      </w:pPr>
      <w:bookmarkStart w:id="4" w:name="_Ref472936102"/>
      <w:bookmarkStart w:id="5" w:name="_Ref479868767"/>
      <w:bookmarkStart w:id="6" w:name="_Toc481579462"/>
      <w:r w:rsidRPr="00E85717">
        <w:t>Value of notices vs. notice</w:t>
      </w:r>
      <w:bookmarkEnd w:id="4"/>
      <w:r w:rsidR="00343355">
        <w:t xml:space="preserve"> count</w:t>
      </w:r>
      <w:bookmarkEnd w:id="5"/>
      <w:bookmarkEnd w:id="6"/>
    </w:p>
    <w:p w14:paraId="5508163A" w14:textId="77777777" w:rsidR="00425002" w:rsidRPr="00E85717" w:rsidRDefault="00425002" w:rsidP="006D3492"/>
    <w:p w14:paraId="24AF043F" w14:textId="76920C13" w:rsidR="005F2740" w:rsidRPr="006D3492" w:rsidRDefault="00266C42" w:rsidP="006D3492">
      <w:r w:rsidRPr="006D3492">
        <w:t>Issue</w:t>
      </w:r>
    </w:p>
    <w:p w14:paraId="3E14F457" w14:textId="2E41546F" w:rsidR="005F2740" w:rsidRPr="00E85717" w:rsidRDefault="005F2740" w:rsidP="00661068">
      <w:pPr>
        <w:pStyle w:val="NoSpacing"/>
      </w:pPr>
      <w:r w:rsidRPr="00E85717">
        <w:t xml:space="preserve">All indicators can be calculated in two versions: based on their value and based on their </w:t>
      </w:r>
      <w:r w:rsidR="0001265E">
        <w:t>count</w:t>
      </w:r>
      <w:r w:rsidR="0001265E">
        <w:rPr>
          <w:rStyle w:val="FootnoteReference"/>
        </w:rPr>
        <w:footnoteReference w:id="1"/>
      </w:r>
      <w:r w:rsidRPr="00E85717">
        <w:t xml:space="preserve">. The results </w:t>
      </w:r>
      <w:r w:rsidR="002E1ADB">
        <w:t xml:space="preserve">of the two versions </w:t>
      </w:r>
      <w:r w:rsidRPr="00E85717">
        <w:t>are different, because public procurement values are known to have a power distribution, i.e. the majority of value comes from o</w:t>
      </w:r>
      <w:r w:rsidR="0000000A">
        <w:t>nly a minority of notices</w:t>
      </w:r>
      <w:r w:rsidR="0000000A">
        <w:rPr>
          <w:rStyle w:val="FootnoteReference"/>
        </w:rPr>
        <w:footnoteReference w:id="2"/>
      </w:r>
      <w:r w:rsidR="00CF1781">
        <w:t xml:space="preserve">. This means </w:t>
      </w:r>
      <w:r w:rsidRPr="00E85717">
        <w:t xml:space="preserve">a few high-value notices </w:t>
      </w:r>
      <w:r w:rsidR="00186218">
        <w:t xml:space="preserve">can </w:t>
      </w:r>
      <w:r w:rsidRPr="00E85717">
        <w:t xml:space="preserve">change results dramatically. </w:t>
      </w:r>
    </w:p>
    <w:p w14:paraId="27D3E77B" w14:textId="4535313E" w:rsidR="008A10ED" w:rsidRPr="00E85717" w:rsidRDefault="008A10ED" w:rsidP="00661068">
      <w:pPr>
        <w:pStyle w:val="NoSpacing"/>
      </w:pPr>
    </w:p>
    <w:p w14:paraId="3DD07999" w14:textId="1C376AB0" w:rsidR="007E4C30" w:rsidRDefault="003145C3" w:rsidP="00661068">
      <w:pPr>
        <w:pStyle w:val="NoSpacing"/>
      </w:pPr>
      <w:r w:rsidRPr="00661068">
        <w:t>In general, value</w:t>
      </w:r>
      <w:r w:rsidR="00D327B0" w:rsidRPr="00661068">
        <w:t>-</w:t>
      </w:r>
      <w:r w:rsidRPr="00661068">
        <w:t xml:space="preserve">based indicators are probably </w:t>
      </w:r>
      <w:r w:rsidR="001B70BB" w:rsidRPr="00661068">
        <w:t xml:space="preserve">better </w:t>
      </w:r>
      <w:r w:rsidRPr="00661068">
        <w:t xml:space="preserve">for most political messages </w:t>
      </w:r>
      <w:r w:rsidR="001B70BB" w:rsidRPr="00661068">
        <w:t>as well as understanding</w:t>
      </w:r>
      <w:r w:rsidR="00E9532E" w:rsidRPr="00661068">
        <w:t xml:space="preserve"> economic (e.g. budgetary, </w:t>
      </w:r>
      <w:r w:rsidR="008113F6">
        <w:t>market-shaping</w:t>
      </w:r>
      <w:r w:rsidR="001B70BB" w:rsidRPr="00661068">
        <w:t>) impact</w:t>
      </w:r>
      <w:r w:rsidR="00E9532E" w:rsidRPr="00661068">
        <w:t>s</w:t>
      </w:r>
      <w:r w:rsidR="001B70BB" w:rsidRPr="00661068">
        <w:t xml:space="preserve"> of procurement. </w:t>
      </w:r>
      <w:r w:rsidR="00D327B0" w:rsidRPr="00661068">
        <w:t xml:space="preserve">On the other hand, </w:t>
      </w:r>
      <w:r w:rsidR="006B75B0">
        <w:t>count</w:t>
      </w:r>
      <w:r w:rsidR="00E1419B" w:rsidRPr="00661068">
        <w:noBreakHyphen/>
      </w:r>
      <w:r w:rsidR="00D327B0" w:rsidRPr="00661068">
        <w:t>based indicators give more relevant information on how widespread a particular procurement practice is.</w:t>
      </w:r>
      <w:r w:rsidR="006948F7" w:rsidRPr="00661068">
        <w:t xml:space="preserve"> While </w:t>
      </w:r>
      <w:r w:rsidR="000E7D17" w:rsidRPr="00661068">
        <w:t xml:space="preserve">professionally done procurement is not a goal in itself, </w:t>
      </w:r>
      <w:r w:rsidR="007E4C30" w:rsidRPr="00661068">
        <w:t>knowing that bad practices are widespread, even if the economic impact is small, can be relevant by itself</w:t>
      </w:r>
      <w:r w:rsidR="00753DF5" w:rsidRPr="00661068">
        <w:t xml:space="preserve">. For example, </w:t>
      </w:r>
      <w:r w:rsidR="007E4C30" w:rsidRPr="00661068">
        <w:t xml:space="preserve">it can mean that the many small </w:t>
      </w:r>
      <w:r w:rsidR="00753DF5" w:rsidRPr="00661068">
        <w:t>municipalities</w:t>
      </w:r>
      <w:r w:rsidR="007E4C30" w:rsidRPr="00661068">
        <w:t xml:space="preserve"> in a country are failing </w:t>
      </w:r>
      <w:r w:rsidR="00DE369C" w:rsidRPr="00661068">
        <w:t xml:space="preserve">to navigate </w:t>
      </w:r>
      <w:r w:rsidR="007E4C30" w:rsidRPr="00661068">
        <w:t xml:space="preserve">the procurement rules </w:t>
      </w:r>
      <w:r w:rsidR="00DE369C" w:rsidRPr="00661068">
        <w:t xml:space="preserve">and </w:t>
      </w:r>
      <w:r w:rsidR="00753DF5" w:rsidRPr="00661068">
        <w:t xml:space="preserve">fail in </w:t>
      </w:r>
      <w:r w:rsidR="00DE369C" w:rsidRPr="00661068">
        <w:t>buy</w:t>
      </w:r>
      <w:r w:rsidR="00753DF5" w:rsidRPr="00661068">
        <w:t>ing</w:t>
      </w:r>
      <w:r w:rsidR="007E4C30" w:rsidRPr="00661068">
        <w:t xml:space="preserve"> the small things their citizens need.</w:t>
      </w:r>
      <w:r w:rsidR="00E1419B" w:rsidRPr="00661068">
        <w:t xml:space="preserve"> </w:t>
      </w:r>
    </w:p>
    <w:p w14:paraId="5DA99F3D" w14:textId="77777777" w:rsidR="00AD5464" w:rsidRDefault="00AD5464" w:rsidP="00661068">
      <w:pPr>
        <w:pStyle w:val="NoSpacing"/>
      </w:pPr>
    </w:p>
    <w:p w14:paraId="43AF6FE1" w14:textId="0EEBAE22" w:rsidR="00245C5E" w:rsidRPr="00E85717" w:rsidRDefault="00D17B8B" w:rsidP="007C7E95">
      <w:pPr>
        <w:pStyle w:val="NoSpacing"/>
      </w:pPr>
      <w:r>
        <w:t>Concerning data quality, v</w:t>
      </w:r>
      <w:r w:rsidR="00AD5464">
        <w:t xml:space="preserve">alues in notices have many issues: some MS have a large proportion of values missing (e.g. </w:t>
      </w:r>
      <w:r w:rsidR="009D7F14">
        <w:t>Sweden</w:t>
      </w:r>
      <w:r w:rsidR="00AD5464">
        <w:t xml:space="preserve">), while </w:t>
      </w:r>
      <w:r w:rsidR="0017343F">
        <w:t xml:space="preserve">some notices include nonsensical values (e.g. 123456789). </w:t>
      </w:r>
      <w:r w:rsidR="00245C5E">
        <w:t>Furthermore, a</w:t>
      </w:r>
      <w:r w:rsidR="007C7E95">
        <w:t xml:space="preserve"> particular problem concerns framework agreements, with some countries publishing on TED both the maximum value of an awarded framework agreement and the </w:t>
      </w:r>
      <w:r w:rsidR="00245C5E">
        <w:t xml:space="preserve">individual </w:t>
      </w:r>
      <w:r w:rsidR="007C7E95">
        <w:t xml:space="preserve">contracts </w:t>
      </w:r>
      <w:r w:rsidR="00245C5E">
        <w:t xml:space="preserve">awarded </w:t>
      </w:r>
      <w:r w:rsidR="007C7E95">
        <w:t>within framework agreement</w:t>
      </w:r>
      <w:r w:rsidR="00245C5E">
        <w:t>s</w:t>
      </w:r>
      <w:r w:rsidR="007C7E95">
        <w:t xml:space="preserve"> (e.g. </w:t>
      </w:r>
      <w:r w:rsidR="00C826B1">
        <w:t>Czech Republic</w:t>
      </w:r>
      <w:r w:rsidR="007C7E95">
        <w:t xml:space="preserve">, </w:t>
      </w:r>
      <w:r w:rsidR="00C826B1">
        <w:t>Slovakia</w:t>
      </w:r>
      <w:r w:rsidR="007C7E95">
        <w:t xml:space="preserve">). The current TED forms do not allow distinguishing between these two </w:t>
      </w:r>
      <w:r w:rsidR="00245C5E">
        <w:t>types of CAN</w:t>
      </w:r>
      <w:r w:rsidR="004009A2">
        <w:t>s</w:t>
      </w:r>
      <w:r w:rsidR="00245C5E">
        <w:t xml:space="preserve">. This means that </w:t>
      </w:r>
      <w:r w:rsidR="00C75B0D">
        <w:t xml:space="preserve">both </w:t>
      </w:r>
      <w:r w:rsidR="00245C5E">
        <w:t xml:space="preserve">the </w:t>
      </w:r>
      <w:r w:rsidR="00861DF6">
        <w:t xml:space="preserve">value </w:t>
      </w:r>
      <w:r w:rsidR="00C75B0D">
        <w:t xml:space="preserve">and the count of </w:t>
      </w:r>
      <w:r w:rsidR="00861DF6">
        <w:t>CANs can</w:t>
      </w:r>
      <w:r w:rsidR="009929B1">
        <w:t xml:space="preserve"> be</w:t>
      </w:r>
      <w:r w:rsidR="00861DF6">
        <w:t xml:space="preserve"> </w:t>
      </w:r>
      <w:r w:rsidR="00245C5E">
        <w:t>inflated</w:t>
      </w:r>
      <w:r w:rsidR="007E0048">
        <w:t xml:space="preserve"> (see </w:t>
      </w:r>
      <w:r w:rsidR="007E0048">
        <w:fldChar w:fldCharType="begin"/>
      </w:r>
      <w:r w:rsidR="007E0048">
        <w:instrText xml:space="preserve"> REF _Ref472936116 \r \h </w:instrText>
      </w:r>
      <w:r w:rsidR="007E0048">
        <w:fldChar w:fldCharType="separate"/>
      </w:r>
      <w:r w:rsidR="00114DBB">
        <w:t>2.2.3</w:t>
      </w:r>
      <w:r w:rsidR="007E0048">
        <w:fldChar w:fldCharType="end"/>
      </w:r>
      <w:r w:rsidR="007E0048">
        <w:t>)</w:t>
      </w:r>
      <w:r w:rsidR="00245C5E">
        <w:t xml:space="preserve">. </w:t>
      </w:r>
    </w:p>
    <w:p w14:paraId="7E00E00B" w14:textId="77777777" w:rsidR="007E4C30" w:rsidRPr="00E85717" w:rsidRDefault="007E4C30" w:rsidP="00661068">
      <w:pPr>
        <w:pStyle w:val="NoSpacing"/>
      </w:pPr>
    </w:p>
    <w:p w14:paraId="322F8B5D" w14:textId="259BE231" w:rsidR="002A600C" w:rsidRPr="00E85717" w:rsidRDefault="00CC167A" w:rsidP="006D3492">
      <w:r>
        <w:t>Decision</w:t>
      </w:r>
    </w:p>
    <w:p w14:paraId="07643447" w14:textId="11B6DA33" w:rsidR="008A10ED" w:rsidRDefault="008A10ED" w:rsidP="00661068">
      <w:pPr>
        <w:pStyle w:val="NoSpacing"/>
      </w:pPr>
      <w:r w:rsidRPr="00E85717">
        <w:t xml:space="preserve">Because of low quality of </w:t>
      </w:r>
      <w:r w:rsidR="003B3349">
        <w:t xml:space="preserve">value </w:t>
      </w:r>
      <w:r w:rsidRPr="00E85717">
        <w:t>data</w:t>
      </w:r>
      <w:r w:rsidR="003B3349">
        <w:t>,</w:t>
      </w:r>
      <w:r w:rsidRPr="00E85717">
        <w:t xml:space="preserve"> </w:t>
      </w:r>
      <w:r w:rsidR="009E2DD2">
        <w:t xml:space="preserve">our country </w:t>
      </w:r>
      <w:r w:rsidRPr="00E85717">
        <w:t>indicators are based on the number of notices, not their value</w:t>
      </w:r>
      <w:r w:rsidR="001F34CB">
        <w:rPr>
          <w:rStyle w:val="FootnoteReference"/>
        </w:rPr>
        <w:footnoteReference w:id="3"/>
      </w:r>
      <w:r w:rsidRPr="00E85717">
        <w:t>.</w:t>
      </w:r>
      <w:r w:rsidR="00C21D8F" w:rsidRPr="00E85717">
        <w:t xml:space="preserve"> </w:t>
      </w:r>
      <w:r w:rsidR="00E06821">
        <w:t xml:space="preserve">We try to minimize the impact of multiple CAN publication by removing framework agreement and dynamic purchasing system CANs </w:t>
      </w:r>
      <w:r w:rsidR="007A66D2">
        <w:t xml:space="preserve">for some indicators </w:t>
      </w:r>
      <w:r w:rsidR="00E06821">
        <w:t xml:space="preserve">as well as using CFCs rather than CANs (see </w:t>
      </w:r>
      <w:r w:rsidR="00E06821">
        <w:fldChar w:fldCharType="begin"/>
      </w:r>
      <w:r w:rsidR="00E06821">
        <w:instrText xml:space="preserve"> REF _Ref479870072 \r \h </w:instrText>
      </w:r>
      <w:r w:rsidR="00E06821">
        <w:fldChar w:fldCharType="separate"/>
      </w:r>
      <w:r w:rsidR="00114DBB">
        <w:t>2.2</w:t>
      </w:r>
      <w:r w:rsidR="00E06821">
        <w:fldChar w:fldCharType="end"/>
      </w:r>
      <w:r w:rsidR="00E06821">
        <w:t xml:space="preserve">). </w:t>
      </w:r>
    </w:p>
    <w:p w14:paraId="3BC240C3" w14:textId="77777777" w:rsidR="009B4CC3" w:rsidRPr="00E85717" w:rsidRDefault="009B4CC3" w:rsidP="00661068">
      <w:pPr>
        <w:pStyle w:val="NoSpacing"/>
      </w:pPr>
    </w:p>
    <w:p w14:paraId="354898E5" w14:textId="6EC59F37" w:rsidR="00F01D74" w:rsidRPr="00E85717" w:rsidRDefault="00786F89" w:rsidP="006D3492">
      <w:r w:rsidRPr="00E85717">
        <w:t>Future</w:t>
      </w:r>
    </w:p>
    <w:p w14:paraId="3127ABEB" w14:textId="79145587" w:rsidR="00F326AB" w:rsidRDefault="00A96D67" w:rsidP="00661068">
      <w:pPr>
        <w:pStyle w:val="NoSpacing"/>
      </w:pPr>
      <w:r>
        <w:t xml:space="preserve">In the 2.0.9 </w:t>
      </w:r>
      <w:r w:rsidR="009E2DD2">
        <w:t>standard forms, notices must contain information on value, otherwise they are not published. Furthermore, t</w:t>
      </w:r>
      <w:r w:rsidR="00F326AB" w:rsidRPr="00E85717">
        <w:t>he Commission is working with the MS on increasing the quality of their data by giving feedback on the information they are providing</w:t>
      </w:r>
      <w:r w:rsidR="008B5266">
        <w:t xml:space="preserve">, as well as trying to improve the </w:t>
      </w:r>
      <w:r w:rsidR="00F326AB" w:rsidRPr="00E85717">
        <w:t>standard forms.</w:t>
      </w:r>
      <w:r w:rsidR="0062589D" w:rsidRPr="00E85717">
        <w:t xml:space="preserve"> </w:t>
      </w:r>
      <w:r w:rsidR="009E2DD2">
        <w:t>This should enable the use of value as a basis for most indicators in the future</w:t>
      </w:r>
      <w:r w:rsidR="0062589D" w:rsidRPr="00E85717">
        <w:t>.</w:t>
      </w:r>
    </w:p>
    <w:p w14:paraId="7FC32C87" w14:textId="77777777" w:rsidR="005C2F94" w:rsidRDefault="005C2F94" w:rsidP="00661068">
      <w:pPr>
        <w:pStyle w:val="NoSpacing"/>
      </w:pPr>
    </w:p>
    <w:p w14:paraId="7D90342B" w14:textId="2E993AA4" w:rsidR="005C2F94" w:rsidRPr="00E85717" w:rsidRDefault="005C2F94" w:rsidP="00661068">
      <w:pPr>
        <w:pStyle w:val="NoSpacing"/>
      </w:pPr>
      <w:r>
        <w:t>The issue of two types of framework agreement data should be resolved in a future version of the standard forms.</w:t>
      </w:r>
    </w:p>
    <w:p w14:paraId="18BEBD75" w14:textId="77777777" w:rsidR="00F326AB" w:rsidRPr="00E85717" w:rsidRDefault="00F326AB" w:rsidP="00661068">
      <w:pPr>
        <w:pStyle w:val="NoSpacing"/>
      </w:pPr>
    </w:p>
    <w:p w14:paraId="52C653F8" w14:textId="00C2DBA7" w:rsidR="00746086" w:rsidRPr="00E85717" w:rsidRDefault="009D6847" w:rsidP="00661068">
      <w:pPr>
        <w:pStyle w:val="Heading3"/>
      </w:pPr>
      <w:bookmarkStart w:id="7" w:name="_Ref479870072"/>
      <w:bookmarkStart w:id="8" w:name="_Toc481579463"/>
      <w:r w:rsidRPr="00E85717">
        <w:lastRenderedPageBreak/>
        <w:t>C</w:t>
      </w:r>
      <w:r w:rsidR="00746086" w:rsidRPr="00E85717">
        <w:t>alls for competition</w:t>
      </w:r>
      <w:r w:rsidRPr="00E85717">
        <w:t xml:space="preserve"> vs. contract award notices</w:t>
      </w:r>
      <w:bookmarkEnd w:id="7"/>
      <w:bookmarkEnd w:id="8"/>
    </w:p>
    <w:p w14:paraId="4F375EE6" w14:textId="77777777" w:rsidR="00B42D20" w:rsidRPr="00E85717" w:rsidRDefault="00B42D20" w:rsidP="006D3492"/>
    <w:p w14:paraId="11327A37" w14:textId="092054BB" w:rsidR="00A71995" w:rsidRPr="00E85717" w:rsidRDefault="00D7233C" w:rsidP="00A96D67">
      <w:pPr>
        <w:pStyle w:val="NoSpacing"/>
      </w:pPr>
      <w:r w:rsidRPr="00E85717">
        <w:t xml:space="preserve">Many indicators can be calculated at the level of </w:t>
      </w:r>
      <w:r w:rsidR="001A27B0">
        <w:t xml:space="preserve">CFCs </w:t>
      </w:r>
      <w:r w:rsidRPr="00E85717">
        <w:t xml:space="preserve">as well as </w:t>
      </w:r>
      <w:r w:rsidR="00AE73CE">
        <w:t>CANs</w:t>
      </w:r>
      <w:r w:rsidR="00197B52">
        <w:t xml:space="preserve"> (because </w:t>
      </w:r>
      <w:r w:rsidR="002041BB">
        <w:t xml:space="preserve">some </w:t>
      </w:r>
      <w:r w:rsidR="00197B52">
        <w:t>information</w:t>
      </w:r>
      <w:r w:rsidR="002041BB">
        <w:t>,</w:t>
      </w:r>
      <w:r w:rsidR="00197B52">
        <w:t xml:space="preserve"> </w:t>
      </w:r>
      <w:r w:rsidR="002041BB">
        <w:t xml:space="preserve">e.g. </w:t>
      </w:r>
      <w:r w:rsidR="000A6FBF">
        <w:t xml:space="preserve">whether cooperative procurement </w:t>
      </w:r>
      <w:r w:rsidR="00197B52">
        <w:t xml:space="preserve">was </w:t>
      </w:r>
      <w:r w:rsidR="000A6FBF">
        <w:t>involved</w:t>
      </w:r>
      <w:r w:rsidR="002041BB">
        <w:t>,</w:t>
      </w:r>
      <w:r w:rsidR="00197B52">
        <w:t xml:space="preserve"> is contained in both)</w:t>
      </w:r>
      <w:r w:rsidR="00266C42" w:rsidRPr="00E85717">
        <w:t xml:space="preserve">. </w:t>
      </w:r>
      <w:r w:rsidR="009D6847" w:rsidRPr="00E85717">
        <w:t xml:space="preserve">While the results are likely to be similar, they </w:t>
      </w:r>
      <w:r w:rsidR="00851E3E">
        <w:t>will not be</w:t>
      </w:r>
      <w:r w:rsidR="00851E3E" w:rsidRPr="00E85717">
        <w:t xml:space="preserve"> </w:t>
      </w:r>
      <w:r w:rsidR="009D6847" w:rsidRPr="00E85717">
        <w:t xml:space="preserve">the same. </w:t>
      </w:r>
      <w:r w:rsidR="00AE73CE">
        <w:t xml:space="preserve">Furthermore, it can be argued that </w:t>
      </w:r>
      <w:r w:rsidR="00396813" w:rsidRPr="00E85717">
        <w:t xml:space="preserve">the </w:t>
      </w:r>
      <w:r w:rsidR="00C1076A" w:rsidRPr="00E85717">
        <w:t>interp</w:t>
      </w:r>
      <w:r w:rsidR="00396813" w:rsidRPr="00E85717">
        <w:t>retation is different: while CFCs give information on business opportunities, CANs on procurement which actually took place</w:t>
      </w:r>
      <w:r w:rsidR="00CB32EC">
        <w:rPr>
          <w:rStyle w:val="FootnoteReference"/>
        </w:rPr>
        <w:footnoteReference w:id="4"/>
      </w:r>
      <w:r w:rsidR="00396813" w:rsidRPr="00E85717">
        <w:t xml:space="preserve">. </w:t>
      </w:r>
    </w:p>
    <w:p w14:paraId="3D1E5565" w14:textId="1642F7E7" w:rsidR="00F01D74" w:rsidRPr="00E85717" w:rsidRDefault="000713D4" w:rsidP="00661068">
      <w:pPr>
        <w:pStyle w:val="Heading4"/>
      </w:pPr>
      <w:r w:rsidRPr="00E85717">
        <w:t>Value</w:t>
      </w:r>
      <w:r w:rsidR="00A85F08" w:rsidRPr="00E85717">
        <w:t xml:space="preserve"> availability according to the law</w:t>
      </w:r>
    </w:p>
    <w:p w14:paraId="5101DEA5" w14:textId="37AEE18A" w:rsidR="000713D4" w:rsidRPr="00E85717" w:rsidRDefault="0096637F" w:rsidP="00297B55">
      <w:r w:rsidRPr="00E85717">
        <w:t>Issue</w:t>
      </w:r>
    </w:p>
    <w:p w14:paraId="48ABB27C" w14:textId="310DCF3F" w:rsidR="006C7DFE" w:rsidRPr="00E85717" w:rsidRDefault="00156897" w:rsidP="00297B55">
      <w:pPr>
        <w:pStyle w:val="NoSpacing"/>
      </w:pPr>
      <w:r>
        <w:t>CFCs</w:t>
      </w:r>
      <w:r w:rsidR="000713D4" w:rsidRPr="00E85717">
        <w:t xml:space="preserve"> contain only the estimated value</w:t>
      </w:r>
      <w:r w:rsidR="00200A06">
        <w:t xml:space="preserve"> of a procurement</w:t>
      </w:r>
      <w:r w:rsidR="000713D4" w:rsidRPr="00E85717">
        <w:t xml:space="preserve">, and submitting this value is not mandatory. Practices in the MS differ strongly. While in some countries, e.g. </w:t>
      </w:r>
      <w:r w:rsidR="00BF220A">
        <w:t>Czech Republic</w:t>
      </w:r>
      <w:r w:rsidR="000713D4" w:rsidRPr="00E85717">
        <w:t xml:space="preserve">, submitting the estimated value is mandatory, in other countries, e.g. </w:t>
      </w:r>
      <w:r w:rsidR="00BF220A">
        <w:t>Poland</w:t>
      </w:r>
      <w:r w:rsidR="000713D4" w:rsidRPr="00E85717">
        <w:t>, it is strongly</w:t>
      </w:r>
      <w:r w:rsidR="004E0D6A">
        <w:t xml:space="preserve"> discouraged or even forbidden.</w:t>
      </w:r>
      <w:r w:rsidR="00061668" w:rsidRPr="00E85717">
        <w:t xml:space="preserve"> CAN, on the other hand, must</w:t>
      </w:r>
      <w:r w:rsidR="00592C7D">
        <w:rPr>
          <w:rStyle w:val="FootnoteReference"/>
        </w:rPr>
        <w:footnoteReference w:id="5"/>
      </w:r>
      <w:r w:rsidR="00592C7D">
        <w:t xml:space="preserve"> </w:t>
      </w:r>
      <w:r w:rsidR="00061668" w:rsidRPr="00E85717">
        <w:t xml:space="preserve">contain either the value of the awarded contract or the lowest and highest bids. </w:t>
      </w:r>
    </w:p>
    <w:p w14:paraId="2D604A07" w14:textId="7FEAD16B" w:rsidR="006C7DFE" w:rsidRPr="00E85717" w:rsidRDefault="006C7DFE" w:rsidP="00490259">
      <w:pPr>
        <w:pStyle w:val="Heading4"/>
      </w:pPr>
      <w:bookmarkStart w:id="9" w:name="_Ref472936114"/>
      <w:r w:rsidRPr="00E85717">
        <w:t>Non-publication of CANs</w:t>
      </w:r>
      <w:bookmarkEnd w:id="9"/>
    </w:p>
    <w:p w14:paraId="23461C99" w14:textId="77777777" w:rsidR="0096637F" w:rsidRPr="00E85717" w:rsidRDefault="0096637F" w:rsidP="00297B55">
      <w:r w:rsidRPr="00E85717">
        <w:t>Issue</w:t>
      </w:r>
    </w:p>
    <w:p w14:paraId="2B54E94F" w14:textId="40D8149D" w:rsidR="00992500" w:rsidRPr="00E85717" w:rsidRDefault="00DE5715" w:rsidP="00297B55">
      <w:pPr>
        <w:pStyle w:val="NoSpacing"/>
      </w:pPr>
      <w:r w:rsidRPr="00E85717">
        <w:t>Publication of all notices is legally mandatory. However, w</w:t>
      </w:r>
      <w:r w:rsidR="00992500" w:rsidRPr="00E85717">
        <w:t xml:space="preserve">hile the non-publication of a </w:t>
      </w:r>
      <w:r w:rsidR="005E28BA">
        <w:t xml:space="preserve">CFC </w:t>
      </w:r>
      <w:r w:rsidR="00992500" w:rsidRPr="00E85717">
        <w:t>(or a voluntary ex-ante transparency notice) is legally considered as a serious flaw in a procurement procedure and may lead to annulment of a contract</w:t>
      </w:r>
      <w:r w:rsidR="000A670C" w:rsidRPr="00E85717">
        <w:t xml:space="preserve"> by a review body</w:t>
      </w:r>
      <w:r w:rsidR="00992500" w:rsidRPr="00E85717">
        <w:t xml:space="preserve">, the non-publication of a CAN does not </w:t>
      </w:r>
      <w:r w:rsidR="00CE3829" w:rsidRPr="00E85717">
        <w:t xml:space="preserve">pose </w:t>
      </w:r>
      <w:r w:rsidR="00992500" w:rsidRPr="00E85717">
        <w:t xml:space="preserve">the same </w:t>
      </w:r>
      <w:r w:rsidR="00CE3829" w:rsidRPr="00E85717">
        <w:t>threat</w:t>
      </w:r>
      <w:r w:rsidR="00992500" w:rsidRPr="00E85717">
        <w:t xml:space="preserve">. </w:t>
      </w:r>
    </w:p>
    <w:p w14:paraId="73873ED5" w14:textId="77777777" w:rsidR="00992500" w:rsidRPr="00E85717" w:rsidRDefault="00992500" w:rsidP="00297B55"/>
    <w:p w14:paraId="3B19BC44" w14:textId="49DB1E81" w:rsidR="00647270" w:rsidRPr="00E85717" w:rsidRDefault="00AB14E7" w:rsidP="00297B55">
      <w:pPr>
        <w:pStyle w:val="NoSpacing"/>
      </w:pPr>
      <w:r>
        <w:t xml:space="preserve">Based on preliminary comparisons </w:t>
      </w:r>
      <w:r w:rsidR="00B241D5">
        <w:t xml:space="preserve">between national databases and TED, as well as </w:t>
      </w:r>
      <w:r w:rsidR="00B37395" w:rsidRPr="00E85717">
        <w:t>indirect evidence</w:t>
      </w:r>
      <w:r w:rsidR="00753E19">
        <w:t xml:space="preserve"> from comparing the number of voluntary ex-ante transparency notices and contract award notices,</w:t>
      </w:r>
      <w:r w:rsidR="00B37395" w:rsidRPr="00E85717">
        <w:t xml:space="preserve"> </w:t>
      </w:r>
      <w:r w:rsidR="0053050C">
        <w:t xml:space="preserve">it seems that in </w:t>
      </w:r>
      <w:r w:rsidR="00B37395" w:rsidRPr="00E85717">
        <w:t xml:space="preserve">some MS, </w:t>
      </w:r>
      <w:r w:rsidR="00647270" w:rsidRPr="00E85717">
        <w:t xml:space="preserve">buyers </w:t>
      </w:r>
      <w:r w:rsidR="00B37395" w:rsidRPr="00E85717">
        <w:t xml:space="preserve">are not publishing </w:t>
      </w:r>
      <w:r w:rsidR="00DE5715" w:rsidRPr="00E85717">
        <w:t xml:space="preserve">the CANs </w:t>
      </w:r>
      <w:r w:rsidR="0053050C">
        <w:t xml:space="preserve">they </w:t>
      </w:r>
      <w:r w:rsidR="00B37395" w:rsidRPr="00E85717">
        <w:t>are legally obliged to.</w:t>
      </w:r>
    </w:p>
    <w:p w14:paraId="08700A82" w14:textId="77777777" w:rsidR="00647270" w:rsidRPr="00E85717" w:rsidRDefault="00647270" w:rsidP="00297B55">
      <w:pPr>
        <w:pStyle w:val="NoSpacing"/>
      </w:pPr>
    </w:p>
    <w:p w14:paraId="4A0BCC88" w14:textId="3E048D6A" w:rsidR="00B37395" w:rsidRPr="00E85717" w:rsidRDefault="0096637F" w:rsidP="00297B55">
      <w:r w:rsidRPr="00E85717">
        <w:t>Future</w:t>
      </w:r>
    </w:p>
    <w:p w14:paraId="41B24CFB" w14:textId="6062257C" w:rsidR="00B37395" w:rsidRPr="00E85717" w:rsidRDefault="00B37395" w:rsidP="00297B55">
      <w:pPr>
        <w:pStyle w:val="NoSpacing"/>
      </w:pPr>
      <w:r w:rsidRPr="00E85717">
        <w:t>We are in contact with the MS where non-publication seems to be an issue.</w:t>
      </w:r>
      <w:r w:rsidR="0011237D">
        <w:t xml:space="preserve"> More concrete information should be available from the </w:t>
      </w:r>
      <w:hyperlink r:id="rId12" w:history="1">
        <w:r w:rsidR="0011237D" w:rsidRPr="0046484B">
          <w:rPr>
            <w:rStyle w:val="Hyperlink"/>
          </w:rPr>
          <w:t>www.digiwhist.eu</w:t>
        </w:r>
      </w:hyperlink>
      <w:r w:rsidR="0011237D">
        <w:t xml:space="preserve"> project, which will allow better comparisons between national and EU databases.</w:t>
      </w:r>
    </w:p>
    <w:p w14:paraId="15200B75" w14:textId="44E73E0F" w:rsidR="006C7DFE" w:rsidRPr="00E85717" w:rsidRDefault="006C7DFE" w:rsidP="00490259">
      <w:pPr>
        <w:pStyle w:val="Heading4"/>
      </w:pPr>
      <w:bookmarkStart w:id="10" w:name="_Ref472936116"/>
      <w:r w:rsidRPr="00E85717">
        <w:t>Framework agreements and dynamic purchasing systems</w:t>
      </w:r>
      <w:r w:rsidR="0097528B" w:rsidRPr="00E85717">
        <w:t xml:space="preserve"> used together with count</w:t>
      </w:r>
      <w:r w:rsidR="00C77BD5" w:rsidRPr="00E85717">
        <w:t>-indicators</w:t>
      </w:r>
      <w:bookmarkEnd w:id="10"/>
    </w:p>
    <w:p w14:paraId="273D33A2" w14:textId="3DD6C936" w:rsidR="000713D4" w:rsidRPr="00E85717" w:rsidRDefault="0074101F" w:rsidP="000F04BF">
      <w:r w:rsidRPr="00E85717">
        <w:t>Issue</w:t>
      </w:r>
    </w:p>
    <w:p w14:paraId="5DFA7EC6" w14:textId="2FB4C76D" w:rsidR="00727510" w:rsidRDefault="005B3079" w:rsidP="000F04BF">
      <w:pPr>
        <w:pStyle w:val="NoSpacing"/>
      </w:pPr>
      <w:r w:rsidRPr="00E85717">
        <w:t xml:space="preserve">For each framework agreement </w:t>
      </w:r>
      <w:r w:rsidR="00F1608E">
        <w:t xml:space="preserve">(FA) </w:t>
      </w:r>
      <w:r w:rsidRPr="00E85717">
        <w:t>or a dynamic purchasing system</w:t>
      </w:r>
      <w:r w:rsidR="00F1608E">
        <w:t xml:space="preserve"> (DPS)</w:t>
      </w:r>
      <w:r w:rsidR="000D653D">
        <w:t xml:space="preserve"> announced in a CFC</w:t>
      </w:r>
      <w:r w:rsidRPr="00E85717">
        <w:t xml:space="preserve">, there may be multiple CANs. </w:t>
      </w:r>
      <w:r w:rsidR="00727510">
        <w:t xml:space="preserve">For DPS, this will almost always be the case, while for FA, this will be the case if national law prescribes publication </w:t>
      </w:r>
      <w:r w:rsidR="00593E0D">
        <w:t xml:space="preserve">of contracts based on framework agreements in </w:t>
      </w:r>
      <w:r w:rsidR="00727510">
        <w:t xml:space="preserve">TED (this is the case e.g. for </w:t>
      </w:r>
      <w:r w:rsidR="00E819DF">
        <w:t>Czech Republic</w:t>
      </w:r>
      <w:r w:rsidR="00727510">
        <w:t xml:space="preserve"> and </w:t>
      </w:r>
      <w:r w:rsidR="00E819DF">
        <w:t>Slovenia</w:t>
      </w:r>
      <w:r w:rsidR="00727510">
        <w:t xml:space="preserve">). </w:t>
      </w:r>
    </w:p>
    <w:p w14:paraId="04C2AE18" w14:textId="77777777" w:rsidR="00727510" w:rsidRDefault="00727510" w:rsidP="00490259">
      <w:pPr>
        <w:pStyle w:val="NoSpacing"/>
        <w:ind w:left="284"/>
      </w:pPr>
    </w:p>
    <w:p w14:paraId="7E197C70" w14:textId="17C67560" w:rsidR="00C52437" w:rsidRPr="00E85717" w:rsidRDefault="00122EFD" w:rsidP="000F04BF">
      <w:pPr>
        <w:pStyle w:val="NoSpacing"/>
      </w:pPr>
      <w:r w:rsidRPr="00E85717">
        <w:t xml:space="preserve">If count-based </w:t>
      </w:r>
      <w:r w:rsidR="0074101F" w:rsidRPr="00E85717">
        <w:t xml:space="preserve">CAN </w:t>
      </w:r>
      <w:r w:rsidRPr="00E85717">
        <w:t xml:space="preserve">indicators (see </w:t>
      </w:r>
      <w:r w:rsidR="00823284" w:rsidRPr="00823284">
        <w:t>subsection</w:t>
      </w:r>
      <w:r w:rsidRPr="00823284">
        <w:t xml:space="preserve"> </w:t>
      </w:r>
      <w:r w:rsidR="00823284" w:rsidRPr="00823284">
        <w:fldChar w:fldCharType="begin"/>
      </w:r>
      <w:r w:rsidR="00823284" w:rsidRPr="00823284">
        <w:instrText xml:space="preserve"> REF _Ref479868767 \r \h </w:instrText>
      </w:r>
      <w:r w:rsidR="00823284">
        <w:instrText xml:space="preserve"> \* MERGEFORMAT </w:instrText>
      </w:r>
      <w:r w:rsidR="00823284" w:rsidRPr="00823284">
        <w:fldChar w:fldCharType="separate"/>
      </w:r>
      <w:r w:rsidR="00114DBB">
        <w:t>2.1</w:t>
      </w:r>
      <w:r w:rsidR="00823284" w:rsidRPr="00823284">
        <w:fldChar w:fldCharType="end"/>
      </w:r>
      <w:r w:rsidRPr="00E85717">
        <w:t xml:space="preserve">) are used, these multiple CANs </w:t>
      </w:r>
      <w:r w:rsidR="002C324D">
        <w:t xml:space="preserve">(possibly resulting from just a few </w:t>
      </w:r>
      <w:r w:rsidR="00F1608E">
        <w:t xml:space="preserve">FAs </w:t>
      </w:r>
      <w:r w:rsidR="002C324D">
        <w:t xml:space="preserve">or </w:t>
      </w:r>
      <w:r w:rsidR="00F1608E">
        <w:t>DPSs</w:t>
      </w:r>
      <w:r w:rsidR="002C324D">
        <w:t xml:space="preserve">) </w:t>
      </w:r>
      <w:r w:rsidR="005B3079" w:rsidRPr="00E85717">
        <w:t xml:space="preserve">can </w:t>
      </w:r>
      <w:r w:rsidR="00C52437" w:rsidRPr="00E85717">
        <w:t xml:space="preserve">influence </w:t>
      </w:r>
      <w:r w:rsidR="002C324D">
        <w:t xml:space="preserve">the </w:t>
      </w:r>
      <w:r w:rsidR="00C52437" w:rsidRPr="00E85717">
        <w:t>results</w:t>
      </w:r>
      <w:r w:rsidR="00C678C9" w:rsidRPr="00E85717">
        <w:t xml:space="preserve"> in a way that </w:t>
      </w:r>
      <w:r w:rsidR="002C324D">
        <w:t xml:space="preserve">is not a valid measure of </w:t>
      </w:r>
      <w:r w:rsidR="00C678C9" w:rsidRPr="00E85717">
        <w:t>“procurement practices” nor “</w:t>
      </w:r>
      <w:r w:rsidR="00541AD2" w:rsidRPr="00E85717">
        <w:t>procurement results”</w:t>
      </w:r>
      <w:r w:rsidR="00C52437" w:rsidRPr="00E85717">
        <w:t xml:space="preserve">. This </w:t>
      </w:r>
      <w:r w:rsidR="0074101F" w:rsidRPr="00E85717">
        <w:t xml:space="preserve">can </w:t>
      </w:r>
      <w:r w:rsidR="00C52437" w:rsidRPr="00E85717">
        <w:t xml:space="preserve">happen in two ways: </w:t>
      </w:r>
      <w:r w:rsidR="009807DA" w:rsidRPr="00E85717">
        <w:t xml:space="preserve">either </w:t>
      </w:r>
      <w:r w:rsidR="0074101F" w:rsidRPr="00E85717">
        <w:t xml:space="preserve">there are many peculiar CANs </w:t>
      </w:r>
      <w:r w:rsidR="009807DA" w:rsidRPr="00E85717">
        <w:t>(e.g. in Portugal</w:t>
      </w:r>
      <w:r w:rsidR="00A233E3" w:rsidRPr="00E85717">
        <w:t xml:space="preserve"> a single </w:t>
      </w:r>
      <w:r w:rsidR="00CE12F5" w:rsidRPr="00E85717">
        <w:t xml:space="preserve">DPS influences the </w:t>
      </w:r>
      <w:r w:rsidR="009807DA" w:rsidRPr="00E85717">
        <w:t xml:space="preserve">country </w:t>
      </w:r>
      <w:r w:rsidR="00CE12F5" w:rsidRPr="00E85717">
        <w:t xml:space="preserve">results on the usage of accelerated restricted </w:t>
      </w:r>
      <w:r w:rsidR="009807DA" w:rsidRPr="00E85717">
        <w:t xml:space="preserve">procedures); or, on the contrary, </w:t>
      </w:r>
      <w:r w:rsidR="00BB41E1">
        <w:t xml:space="preserve">peculiar </w:t>
      </w:r>
      <w:r w:rsidR="00EA5301" w:rsidRPr="00E85717">
        <w:t xml:space="preserve">patterns </w:t>
      </w:r>
      <w:r w:rsidR="0074101F" w:rsidRPr="00E85717">
        <w:t xml:space="preserve">which </w:t>
      </w:r>
      <w:r w:rsidR="00BB41E1">
        <w:t xml:space="preserve">are usually not </w:t>
      </w:r>
      <w:r w:rsidR="0074101F" w:rsidRPr="00E85717">
        <w:t xml:space="preserve">combined nor with FA nor DPS </w:t>
      </w:r>
      <w:r w:rsidR="00EC1A5D" w:rsidRPr="00E85717">
        <w:t xml:space="preserve">(e.g. direct awards) </w:t>
      </w:r>
      <w:r w:rsidR="00BB41E1">
        <w:t xml:space="preserve">can </w:t>
      </w:r>
      <w:r w:rsidR="00EA5301" w:rsidRPr="00E85717">
        <w:t xml:space="preserve">be drowned out by </w:t>
      </w:r>
      <w:r w:rsidR="00EC1A5D" w:rsidRPr="00E85717">
        <w:t xml:space="preserve">the many </w:t>
      </w:r>
      <w:r w:rsidR="0074101F" w:rsidRPr="00E85717">
        <w:t xml:space="preserve">CANs </w:t>
      </w:r>
      <w:r w:rsidR="00EC1A5D" w:rsidRPr="00E85717">
        <w:t xml:space="preserve">coming </w:t>
      </w:r>
      <w:r w:rsidR="00EC1A5D" w:rsidRPr="00E85717">
        <w:lastRenderedPageBreak/>
        <w:t xml:space="preserve">out of </w:t>
      </w:r>
      <w:r w:rsidR="0074101F" w:rsidRPr="00E85717">
        <w:t>the FA</w:t>
      </w:r>
      <w:r w:rsidR="00BB41E1">
        <w:t>s</w:t>
      </w:r>
      <w:r w:rsidR="0074101F" w:rsidRPr="00E85717">
        <w:t xml:space="preserve"> and DPS</w:t>
      </w:r>
      <w:r w:rsidR="00BB41E1">
        <w:t>s</w:t>
      </w:r>
      <w:r w:rsidR="0074101F" w:rsidRPr="00E85717">
        <w:t xml:space="preserve">. </w:t>
      </w:r>
      <w:r w:rsidR="00593E0D">
        <w:t>Furthermore, since the publication of contracts in FA is obligatory only in some countries, this can also introduce bias for cross-country comparisons.</w:t>
      </w:r>
    </w:p>
    <w:p w14:paraId="7579F562" w14:textId="2E5EFE90" w:rsidR="00E3180E" w:rsidRDefault="00CB1A0F" w:rsidP="00AA2955">
      <w:bookmarkStart w:id="11" w:name="_GoBack"/>
      <w:r>
        <w:t>Decision</w:t>
      </w:r>
    </w:p>
    <w:bookmarkEnd w:id="11"/>
    <w:p w14:paraId="6EC3C01A" w14:textId="392F43A6" w:rsidR="00C70CE2" w:rsidRPr="00E85717" w:rsidRDefault="00CB1A0F" w:rsidP="000F04BF">
      <w:pPr>
        <w:pStyle w:val="NoSpacing"/>
      </w:pPr>
      <w:r>
        <w:t>F</w:t>
      </w:r>
      <w:r w:rsidR="00CA4C6D" w:rsidRPr="00E85717">
        <w:t xml:space="preserve">or a couple of </w:t>
      </w:r>
      <w:r>
        <w:t xml:space="preserve">CAN-based </w:t>
      </w:r>
      <w:r w:rsidR="00CA4C6D" w:rsidRPr="00E85717">
        <w:t xml:space="preserve">indicators </w:t>
      </w:r>
      <w:r w:rsidR="00C87CB8">
        <w:t xml:space="preserve">whose </w:t>
      </w:r>
      <w:r w:rsidR="00CD2EF8" w:rsidRPr="00E85717">
        <w:t xml:space="preserve">impact would be particularly heavy </w:t>
      </w:r>
      <w:r w:rsidR="00CA4C6D" w:rsidRPr="00E85717">
        <w:t xml:space="preserve">(e.g. </w:t>
      </w:r>
      <w:r w:rsidR="00C87CB8">
        <w:t>One</w:t>
      </w:r>
      <w:r w:rsidR="00714F57">
        <w:t xml:space="preserve"> </w:t>
      </w:r>
      <w:r w:rsidR="00C87CB8">
        <w:t>bid</w:t>
      </w:r>
      <w:r w:rsidR="00714F57">
        <w:t>der</w:t>
      </w:r>
      <w:r w:rsidR="00C87CB8">
        <w:t xml:space="preserve"> contracts, see </w:t>
      </w:r>
      <w:r w:rsidR="00C87CB8">
        <w:fldChar w:fldCharType="begin"/>
      </w:r>
      <w:r w:rsidR="00C87CB8">
        <w:instrText xml:space="preserve"> REF _Ref480376967 \r \h </w:instrText>
      </w:r>
      <w:r w:rsidR="00C87CB8">
        <w:fldChar w:fldCharType="separate"/>
      </w:r>
      <w:r w:rsidR="00114DBB">
        <w:t>3.1</w:t>
      </w:r>
      <w:r w:rsidR="00C87CB8">
        <w:fldChar w:fldCharType="end"/>
      </w:r>
      <w:r w:rsidR="00CA4C6D" w:rsidRPr="00E85717">
        <w:t>)</w:t>
      </w:r>
      <w:r>
        <w:t xml:space="preserve"> we exclude FAs. However, for most notices, </w:t>
      </w:r>
      <w:r w:rsidR="00CA4C6D" w:rsidRPr="00E85717">
        <w:t xml:space="preserve">we leave them in, </w:t>
      </w:r>
      <w:r>
        <w:t xml:space="preserve">because in </w:t>
      </w:r>
      <w:r w:rsidR="00CA4C6D" w:rsidRPr="00E85717">
        <w:t xml:space="preserve">some countries a large portion of public procurement is done through </w:t>
      </w:r>
      <w:r>
        <w:t xml:space="preserve">FAs </w:t>
      </w:r>
      <w:r w:rsidR="00CA4C6D" w:rsidRPr="00E85717">
        <w:t xml:space="preserve">and excluding them would mean ignoring an important part of the country’s procurement practices. </w:t>
      </w:r>
    </w:p>
    <w:p w14:paraId="2BAAC63B" w14:textId="77777777" w:rsidR="00C70CE2" w:rsidRPr="00E85717" w:rsidRDefault="00C70CE2" w:rsidP="000F04BF">
      <w:pPr>
        <w:pStyle w:val="NoSpacing"/>
      </w:pPr>
    </w:p>
    <w:p w14:paraId="6B1B632C" w14:textId="518387D2" w:rsidR="00F86C9F" w:rsidRPr="00E85717" w:rsidRDefault="00C70CE2" w:rsidP="000F04BF">
      <w:r w:rsidRPr="00E85717">
        <w:t>Future</w:t>
      </w:r>
    </w:p>
    <w:p w14:paraId="3DFE5A95" w14:textId="6542FE2F" w:rsidR="00C70CE2" w:rsidRPr="00E85717" w:rsidRDefault="00C70CE2" w:rsidP="000F04BF">
      <w:pPr>
        <w:pStyle w:val="NoSpacing"/>
      </w:pPr>
      <w:r w:rsidRPr="00E85717">
        <w:t xml:space="preserve">This will be a </w:t>
      </w:r>
      <w:r w:rsidR="00887618">
        <w:t xml:space="preserve">smaller </w:t>
      </w:r>
      <w:r w:rsidRPr="00E85717">
        <w:t>problem once value-based indicators are used</w:t>
      </w:r>
      <w:r w:rsidR="00887618">
        <w:t xml:space="preserve">, because the </w:t>
      </w:r>
      <w:r w:rsidR="00D706DA">
        <w:t xml:space="preserve">weight </w:t>
      </w:r>
      <w:r w:rsidR="002122CE">
        <w:t xml:space="preserve">of </w:t>
      </w:r>
      <w:r w:rsidR="00887618">
        <w:t>contracts within framework agreements</w:t>
      </w:r>
      <w:r w:rsidR="006233A5">
        <w:t xml:space="preserve"> will be small</w:t>
      </w:r>
      <w:r w:rsidR="00D706DA">
        <w:t>er</w:t>
      </w:r>
      <w:r w:rsidRPr="00E85717">
        <w:t>.</w:t>
      </w:r>
      <w:r w:rsidR="006233A5">
        <w:t xml:space="preserve"> </w:t>
      </w:r>
      <w:r w:rsidR="00D706DA">
        <w:t xml:space="preserve"> The problem can be fully resolved </w:t>
      </w:r>
      <w:r w:rsidR="006233A5">
        <w:t xml:space="preserve">by </w:t>
      </w:r>
      <w:r w:rsidR="00945268">
        <w:t>adding an option to clearly mark</w:t>
      </w:r>
      <w:r w:rsidR="006233A5">
        <w:t xml:space="preserve"> contracts in framework agreements </w:t>
      </w:r>
      <w:r w:rsidR="00945268">
        <w:t xml:space="preserve">to </w:t>
      </w:r>
      <w:r w:rsidR="006233A5">
        <w:t>a future version of the standard forms.</w:t>
      </w:r>
    </w:p>
    <w:p w14:paraId="45E7BD44" w14:textId="77777777" w:rsidR="00F13E08" w:rsidRPr="00E85717" w:rsidRDefault="00F13E08" w:rsidP="00661068">
      <w:pPr>
        <w:pStyle w:val="NoSpacing"/>
      </w:pPr>
    </w:p>
    <w:p w14:paraId="0DCE1F05" w14:textId="61CC3035" w:rsidR="002A600C" w:rsidRPr="00E85717" w:rsidRDefault="00BE7B50" w:rsidP="00586777">
      <w:r>
        <w:t>Decision</w:t>
      </w:r>
    </w:p>
    <w:p w14:paraId="5BD013E7" w14:textId="4096B762" w:rsidR="00874EDB" w:rsidRPr="00E85717" w:rsidRDefault="00515127" w:rsidP="00661068">
      <w:pPr>
        <w:pStyle w:val="NoSpacing"/>
      </w:pPr>
      <w:r w:rsidRPr="00E85717">
        <w:t xml:space="preserve">If an indicator can be based on CANs as well as </w:t>
      </w:r>
      <w:r w:rsidR="00874EDB" w:rsidRPr="00E85717">
        <w:t xml:space="preserve">CFCs, the default option is CFCs. This is because for now we are not using </w:t>
      </w:r>
      <w:r w:rsidR="008031AF">
        <w:t xml:space="preserve">the values included in the CANs </w:t>
      </w:r>
      <w:r w:rsidR="00874EDB" w:rsidRPr="00E85717">
        <w:t xml:space="preserve">anyway, CFCs </w:t>
      </w:r>
      <w:r w:rsidRPr="00E85717">
        <w:t xml:space="preserve">are likely to be missing less often, </w:t>
      </w:r>
      <w:r w:rsidR="00874EDB" w:rsidRPr="00E85717">
        <w:t xml:space="preserve">and </w:t>
      </w:r>
      <w:r w:rsidR="00AA3DAC">
        <w:t>there are no</w:t>
      </w:r>
      <w:r w:rsidRPr="00E85717">
        <w:t xml:space="preserve"> multiple notices per one FA and DPS</w:t>
      </w:r>
      <w:r w:rsidR="00874EDB" w:rsidRPr="00E85717">
        <w:t xml:space="preserve">. </w:t>
      </w:r>
    </w:p>
    <w:p w14:paraId="68866980" w14:textId="77777777" w:rsidR="00874EDB" w:rsidRPr="00E85717" w:rsidRDefault="00874EDB" w:rsidP="00661068">
      <w:pPr>
        <w:pStyle w:val="NoSpacing"/>
      </w:pPr>
    </w:p>
    <w:p w14:paraId="03CF76E9" w14:textId="165376E2" w:rsidR="00356A8A" w:rsidRPr="00E85717" w:rsidRDefault="00356A8A" w:rsidP="00A71995">
      <w:r w:rsidRPr="00E85717">
        <w:t>Future</w:t>
      </w:r>
    </w:p>
    <w:p w14:paraId="1364B303" w14:textId="4CB97050" w:rsidR="00356A8A" w:rsidRPr="00E85717" w:rsidRDefault="00A6772E" w:rsidP="00661068">
      <w:pPr>
        <w:pStyle w:val="NoSpacing"/>
      </w:pPr>
      <w:r>
        <w:t>W</w:t>
      </w:r>
      <w:r w:rsidR="00356A8A" w:rsidRPr="00E85717">
        <w:t>e are working with MS on improving the reliability</w:t>
      </w:r>
      <w:r>
        <w:t xml:space="preserve"> of value data as well as ensuring</w:t>
      </w:r>
      <w:r w:rsidR="00356A8A" w:rsidRPr="00E85717">
        <w:t xml:space="preserve"> publication of all CANs. </w:t>
      </w:r>
      <w:r w:rsidR="00515127" w:rsidRPr="00E85717">
        <w:t xml:space="preserve">When </w:t>
      </w:r>
      <w:r w:rsidR="00C202B4" w:rsidRPr="00E85717">
        <w:t xml:space="preserve">the situation improves, </w:t>
      </w:r>
      <w:r w:rsidR="00356A8A" w:rsidRPr="00E85717">
        <w:t>some indicators are likely to be calculated on the basis of CAN</w:t>
      </w:r>
      <w:r w:rsidR="00C202B4" w:rsidRPr="00E85717">
        <w:t>s</w:t>
      </w:r>
      <w:r w:rsidR="00356A8A" w:rsidRPr="00E85717">
        <w:t xml:space="preserve">, </w:t>
      </w:r>
      <w:r w:rsidR="00C202B4" w:rsidRPr="00E85717">
        <w:t xml:space="preserve">so as </w:t>
      </w:r>
      <w:r w:rsidR="00356A8A" w:rsidRPr="00E85717">
        <w:t xml:space="preserve">to benefit from </w:t>
      </w:r>
      <w:r w:rsidR="00C202B4" w:rsidRPr="00E85717">
        <w:t xml:space="preserve">the </w:t>
      </w:r>
      <w:r w:rsidR="00332764">
        <w:t>higher relevance</w:t>
      </w:r>
      <w:r w:rsidR="00A63EC2">
        <w:t xml:space="preserve"> of value-based indicators</w:t>
      </w:r>
      <w:r w:rsidR="00356A8A" w:rsidRPr="00E85717">
        <w:t xml:space="preserve">. </w:t>
      </w:r>
    </w:p>
    <w:p w14:paraId="422F4D21" w14:textId="74A11461" w:rsidR="00350CC3" w:rsidRPr="00E85717" w:rsidRDefault="00350CC3" w:rsidP="00661068">
      <w:pPr>
        <w:pStyle w:val="Heading3"/>
      </w:pPr>
      <w:bookmarkStart w:id="12" w:name="_Toc481579464"/>
      <w:r w:rsidRPr="00E85717">
        <w:t>Mixing of above- and below- threshold procurement</w:t>
      </w:r>
      <w:bookmarkEnd w:id="12"/>
    </w:p>
    <w:p w14:paraId="72AFDC97" w14:textId="5FAE8CAE" w:rsidR="002A600C" w:rsidRPr="00E85717" w:rsidRDefault="002A600C" w:rsidP="00C44FE2">
      <w:r w:rsidRPr="00E85717">
        <w:t>Issue</w:t>
      </w:r>
    </w:p>
    <w:p w14:paraId="7FE5B2EF" w14:textId="117F7879" w:rsidR="0068108B" w:rsidRPr="00E85717" w:rsidRDefault="000B683C" w:rsidP="00661068">
      <w:pPr>
        <w:pStyle w:val="NoSpacing"/>
      </w:pPr>
      <w:r w:rsidRPr="00E85717">
        <w:t>Above-threshold contracts</w:t>
      </w:r>
      <w:r w:rsidR="00BE32B2">
        <w:rPr>
          <w:rStyle w:val="FootnoteReference"/>
        </w:rPr>
        <w:footnoteReference w:id="6"/>
      </w:r>
      <w:r w:rsidRPr="00E85717">
        <w:t xml:space="preserve"> in TED are mixed with some below-threshold ones (MS have a right to </w:t>
      </w:r>
      <w:r w:rsidR="00554211" w:rsidRPr="00E85717">
        <w:t xml:space="preserve">advertise </w:t>
      </w:r>
      <w:r w:rsidRPr="00E85717">
        <w:t xml:space="preserve">them </w:t>
      </w:r>
      <w:r w:rsidR="00554211" w:rsidRPr="00E85717">
        <w:t>on</w:t>
      </w:r>
      <w:r w:rsidRPr="00E85717">
        <w:t xml:space="preserve"> TED</w:t>
      </w:r>
      <w:r w:rsidR="00554211" w:rsidRPr="00E85717">
        <w:t>, which we consider a good practice</w:t>
      </w:r>
      <w:r w:rsidRPr="00E85717">
        <w:t xml:space="preserve">) and </w:t>
      </w:r>
      <w:r w:rsidR="00554211" w:rsidRPr="00E85717">
        <w:t>these</w:t>
      </w:r>
      <w:r w:rsidR="00994B72">
        <w:t xml:space="preserve"> two</w:t>
      </w:r>
      <w:r w:rsidRPr="00E85717">
        <w:t xml:space="preserve"> cannot be easily </w:t>
      </w:r>
      <w:r w:rsidR="002A600C" w:rsidRPr="00E85717">
        <w:t>distinguished</w:t>
      </w:r>
      <w:r w:rsidR="004E1898">
        <w:t xml:space="preserve"> (see </w:t>
      </w:r>
      <w:r w:rsidR="007E489E">
        <w:t xml:space="preserve">example of an unused method for distinguishing them in </w:t>
      </w:r>
      <w:r w:rsidR="004E1898">
        <w:t>Box 1)</w:t>
      </w:r>
      <w:r w:rsidRPr="00E85717">
        <w:t xml:space="preserve">. </w:t>
      </w:r>
      <w:r w:rsidR="001C66E6" w:rsidRPr="00E85717">
        <w:t xml:space="preserve">Assuming that procurement practices and results </w:t>
      </w:r>
      <w:r w:rsidR="002A600C" w:rsidRPr="00E85717">
        <w:t xml:space="preserve">can be on average different </w:t>
      </w:r>
      <w:r w:rsidR="001C66E6" w:rsidRPr="00E85717">
        <w:t xml:space="preserve">for below- and above- threshold procurement, and that these differences are different country by country, this could lead to biased results. </w:t>
      </w:r>
    </w:p>
    <w:p w14:paraId="6432F6E1" w14:textId="77777777" w:rsidR="001C66E6" w:rsidRPr="00E85717" w:rsidRDefault="001C66E6" w:rsidP="00661068">
      <w:pPr>
        <w:pStyle w:val="NoSpacing"/>
      </w:pPr>
    </w:p>
    <w:p w14:paraId="4456E85B" w14:textId="77777777" w:rsidR="00BE7B50" w:rsidRPr="00E85717" w:rsidRDefault="00BE7B50" w:rsidP="00C44FE2">
      <w:r>
        <w:t>Decision</w:t>
      </w:r>
    </w:p>
    <w:p w14:paraId="03FE3B09" w14:textId="7FBABE87" w:rsidR="00E07FD1" w:rsidRPr="00E85717" w:rsidRDefault="00E07FD1" w:rsidP="00661068">
      <w:pPr>
        <w:pStyle w:val="NoSpacing"/>
      </w:pPr>
      <w:r w:rsidRPr="00E85717">
        <w:t>All notices are included for the indicators, without trying to estimate which ones are below-threshold</w:t>
      </w:r>
      <w:r w:rsidR="00F213A4">
        <w:t xml:space="preserve"> and exclude them</w:t>
      </w:r>
      <w:r w:rsidRPr="00E85717">
        <w:t xml:space="preserve">. The main reason is that it is not clear than any </w:t>
      </w:r>
      <w:r w:rsidR="00233D86" w:rsidRPr="00E85717">
        <w:t xml:space="preserve">of the </w:t>
      </w:r>
      <w:r w:rsidRPr="00E85717">
        <w:t>available estimation approach</w:t>
      </w:r>
      <w:r w:rsidR="00233D86" w:rsidRPr="00E85717">
        <w:t>es</w:t>
      </w:r>
      <w:r w:rsidRPr="00E85717">
        <w:t xml:space="preserve"> remove</w:t>
      </w:r>
      <w:r w:rsidR="00233D86" w:rsidRPr="00E85717">
        <w:t>s</w:t>
      </w:r>
      <w:r w:rsidRPr="00E85717">
        <w:t xml:space="preserve"> more bias than it </w:t>
      </w:r>
      <w:r w:rsidR="00233D86" w:rsidRPr="00E85717">
        <w:t>adds</w:t>
      </w:r>
      <w:r w:rsidRPr="00E85717">
        <w:t xml:space="preserve">. </w:t>
      </w:r>
      <w:r w:rsidR="00293D18">
        <w:t>(</w:t>
      </w:r>
      <w:r w:rsidR="00AE7825">
        <w:t>N</w:t>
      </w:r>
      <w:r w:rsidRPr="00E85717">
        <w:t xml:space="preserve">either of these biases is likely to have noticeable impact on the results, </w:t>
      </w:r>
      <w:r w:rsidR="00AE7825">
        <w:t xml:space="preserve">however, </w:t>
      </w:r>
      <w:r w:rsidRPr="00E85717">
        <w:t>as even if</w:t>
      </w:r>
      <w:r w:rsidR="00474B87" w:rsidRPr="00E85717">
        <w:t>, for example,</w:t>
      </w:r>
      <w:r w:rsidRPr="00E85717">
        <w:t xml:space="preserve"> the method below </w:t>
      </w:r>
      <w:r w:rsidR="00474B87" w:rsidRPr="00E85717">
        <w:t xml:space="preserve">was </w:t>
      </w:r>
      <w:r w:rsidRPr="00E85717">
        <w:t xml:space="preserve">implemented, the number of notices </w:t>
      </w:r>
      <w:r w:rsidR="00474B87" w:rsidRPr="00E85717">
        <w:t>which would have been excluded is only around 2% of the total number.</w:t>
      </w:r>
      <w:r w:rsidR="00293D18">
        <w:t>)</w:t>
      </w:r>
    </w:p>
    <w:p w14:paraId="4B2B79B9" w14:textId="77777777" w:rsidR="00E07FD1" w:rsidRPr="00E85717" w:rsidRDefault="00E07FD1" w:rsidP="00661068">
      <w:pPr>
        <w:pStyle w:val="NoSpacing"/>
      </w:pPr>
    </w:p>
    <w:p w14:paraId="62688DCA" w14:textId="50F53606" w:rsidR="00E07FD1" w:rsidRPr="00E85717" w:rsidRDefault="00063B16" w:rsidP="00661068">
      <w:pPr>
        <w:pStyle w:val="NoSpacing"/>
      </w:pPr>
      <w:r>
        <w:t xml:space="preserve">Box 1: </w:t>
      </w:r>
      <w:r w:rsidR="005A6BF3">
        <w:t xml:space="preserve">Unused </w:t>
      </w:r>
      <w:r w:rsidR="00E07FD1" w:rsidRPr="00E85717">
        <w:t xml:space="preserve">approach </w:t>
      </w:r>
      <w:r w:rsidR="00612EA7">
        <w:t xml:space="preserve">for </w:t>
      </w:r>
      <w:r w:rsidR="00E07FD1" w:rsidRPr="00E85717">
        <w:t>removing below-threshold notices</w:t>
      </w:r>
    </w:p>
    <w:tbl>
      <w:tblPr>
        <w:tblStyle w:val="TableGrid"/>
        <w:tblW w:w="0" w:type="auto"/>
        <w:tblInd w:w="108" w:type="dxa"/>
        <w:tblLook w:val="04A0" w:firstRow="1" w:lastRow="0" w:firstColumn="1" w:lastColumn="0" w:noHBand="0" w:noVBand="1"/>
      </w:tblPr>
      <w:tblGrid>
        <w:gridCol w:w="9180"/>
      </w:tblGrid>
      <w:tr w:rsidR="00E07FD1" w:rsidRPr="00E85717" w14:paraId="1EE6DE0A" w14:textId="77777777" w:rsidTr="00B67ABA">
        <w:trPr>
          <w:trHeight w:val="65"/>
        </w:trPr>
        <w:tc>
          <w:tcPr>
            <w:tcW w:w="9180" w:type="dxa"/>
            <w:shd w:val="clear" w:color="auto" w:fill="DAEEF3" w:themeFill="accent5" w:themeFillTint="33"/>
          </w:tcPr>
          <w:p w14:paraId="601468DB" w14:textId="5C1FE0ED" w:rsidR="00E07FD1" w:rsidRPr="00E85717" w:rsidRDefault="00E07FD1" w:rsidP="00661068">
            <w:pPr>
              <w:pStyle w:val="NoSpacing"/>
            </w:pPr>
            <w:r w:rsidRPr="00E85717">
              <w:t>Threshold rules are too complex to be followed precisely just on the basis of TED data (for example, the legal distinction between central and non-central buyers</w:t>
            </w:r>
            <w:r w:rsidR="009148A3" w:rsidRPr="00E85717">
              <w:t>,</w:t>
            </w:r>
            <w:r w:rsidRPr="00E85717">
              <w:t xml:space="preserve"> based on the annexes of the directives</w:t>
            </w:r>
            <w:r w:rsidR="009148A3" w:rsidRPr="00E85717">
              <w:t>,</w:t>
            </w:r>
            <w:r w:rsidRPr="00E85717">
              <w:t xml:space="preserve"> does not correspond to the "type of contracting authority" option in the standard forms). </w:t>
            </w:r>
            <w:r w:rsidR="00E11295">
              <w:t xml:space="preserve">Furthermore, even these complex rules have “exceptions”, such as a threshold increased by 20% in case of small lots (see 2014/24/EU Art. 5(10)). </w:t>
            </w:r>
            <w:r w:rsidRPr="00E85717">
              <w:t>Thus, some kind of simplified approach needs to be taken.</w:t>
            </w:r>
          </w:p>
          <w:p w14:paraId="0A0777AC" w14:textId="77777777" w:rsidR="00E07FD1" w:rsidRPr="00E85717" w:rsidRDefault="00E07FD1" w:rsidP="00661068">
            <w:pPr>
              <w:pStyle w:val="NoSpacing"/>
            </w:pPr>
          </w:p>
          <w:p w14:paraId="21291203" w14:textId="28F7C08F" w:rsidR="00D75ED1" w:rsidRDefault="00E07FD1" w:rsidP="00661068">
            <w:pPr>
              <w:pStyle w:val="NoSpacing"/>
            </w:pPr>
            <w:r w:rsidRPr="00E85717">
              <w:t>We considered an extremely simplified estimation: we would differentiate thresholds only by works/supplies/services, because this information is never missing and is reliable</w:t>
            </w:r>
            <w:r w:rsidRPr="00E85717">
              <w:rPr>
                <w:rStyle w:val="FootnoteReference"/>
              </w:rPr>
              <w:footnoteReference w:id="7"/>
            </w:r>
            <w:r w:rsidR="0043006B" w:rsidRPr="00E85717">
              <w:t>;</w:t>
            </w:r>
            <w:r w:rsidRPr="00E85717">
              <w:t xml:space="preserve"> and</w:t>
            </w:r>
            <w:r w:rsidR="0043006B" w:rsidRPr="00E85717">
              <w:t>,</w:t>
            </w:r>
            <w:r w:rsidRPr="00E85717">
              <w:t xml:space="preserve"> to </w:t>
            </w:r>
            <w:r w:rsidR="0043006B" w:rsidRPr="00E85717">
              <w:t xml:space="preserve">ensure that </w:t>
            </w:r>
            <w:r w:rsidRPr="00E85717">
              <w:t>we don’t exclude a valid procedure by accident, we use the minimal threshold</w:t>
            </w:r>
            <w:r w:rsidR="00AF7CFA" w:rsidRPr="00E85717">
              <w:rPr>
                <w:rStyle w:val="FootnoteReference"/>
              </w:rPr>
              <w:footnoteReference w:id="8"/>
            </w:r>
            <w:r w:rsidRPr="00E85717">
              <w:t xml:space="preserve"> existing in the rules for this type of purchase. </w:t>
            </w:r>
            <w:r w:rsidR="00D75ED1">
              <w:t xml:space="preserve">Afterwards, CFCs which are below this value, or CANs whose CFCs </w:t>
            </w:r>
            <w:r w:rsidR="00F35E8C">
              <w:t>were below this value</w:t>
            </w:r>
            <w:r w:rsidR="002B7CC7">
              <w:rPr>
                <w:rStyle w:val="FootnoteReference"/>
              </w:rPr>
              <w:footnoteReference w:id="9"/>
            </w:r>
            <w:r w:rsidR="00F35E8C">
              <w:t xml:space="preserve">, would be excluded from the calculation. </w:t>
            </w:r>
          </w:p>
          <w:p w14:paraId="309CE83B" w14:textId="77777777" w:rsidR="00D75ED1" w:rsidRDefault="00D75ED1" w:rsidP="00661068">
            <w:pPr>
              <w:pStyle w:val="NoSpacing"/>
            </w:pPr>
          </w:p>
          <w:p w14:paraId="7B8A0826" w14:textId="77777777" w:rsidR="00E07FD1" w:rsidRPr="00E85717" w:rsidRDefault="00E07FD1" w:rsidP="00E27B89">
            <w:pPr>
              <w:pStyle w:val="NoSpacing"/>
            </w:pPr>
            <w:r w:rsidRPr="00E85717">
              <w:t>Minimal thresholds per year and per works / supplies &amp; services</w:t>
            </w:r>
          </w:p>
          <w:tbl>
            <w:tblPr>
              <w:tblW w:w="0" w:type="auto"/>
              <w:tblInd w:w="44" w:type="dxa"/>
              <w:tblCellMar>
                <w:left w:w="0" w:type="dxa"/>
                <w:right w:w="0" w:type="dxa"/>
              </w:tblCellMar>
              <w:tblLook w:val="04A0" w:firstRow="1" w:lastRow="0" w:firstColumn="1" w:lastColumn="0" w:noHBand="0" w:noVBand="1"/>
            </w:tblPr>
            <w:tblGrid>
              <w:gridCol w:w="961"/>
              <w:gridCol w:w="1108"/>
              <w:gridCol w:w="1108"/>
              <w:gridCol w:w="1220"/>
              <w:gridCol w:w="1220"/>
              <w:gridCol w:w="1220"/>
              <w:gridCol w:w="1220"/>
            </w:tblGrid>
            <w:tr w:rsidR="00E07FD1" w:rsidRPr="00E85717" w14:paraId="5F905115" w14:textId="77777777" w:rsidTr="00191994">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678300" w14:textId="77777777" w:rsidR="00E07FD1" w:rsidRPr="00E85717" w:rsidRDefault="00E07FD1" w:rsidP="00E27B89">
                  <w:pPr>
                    <w:pStyle w:val="NoSpacing"/>
                  </w:pP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9981B" w14:textId="77777777" w:rsidR="00E07FD1" w:rsidRPr="00E85717" w:rsidRDefault="00E07FD1" w:rsidP="00E27B89">
                  <w:pPr>
                    <w:pStyle w:val="NoSpacing"/>
                    <w:rPr>
                      <w:rFonts w:ascii="Calibri" w:hAnsi="Calibri"/>
                    </w:rPr>
                  </w:pPr>
                  <w:r w:rsidRPr="00E85717">
                    <w:t>1.1.2006-31.1.2007</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CF616" w14:textId="77777777" w:rsidR="00E07FD1" w:rsidRPr="00E85717" w:rsidRDefault="00E07FD1" w:rsidP="00E27B89">
                  <w:pPr>
                    <w:pStyle w:val="NoSpacing"/>
                    <w:rPr>
                      <w:rFonts w:ascii="Calibri" w:hAnsi="Calibri"/>
                    </w:rPr>
                  </w:pPr>
                  <w:r w:rsidRPr="00E85717">
                    <w:t>1.1.2008-31.1.2009</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97F43" w14:textId="77777777" w:rsidR="00E07FD1" w:rsidRPr="00E85717" w:rsidRDefault="00E07FD1" w:rsidP="00E27B89">
                  <w:pPr>
                    <w:pStyle w:val="NoSpacing"/>
                    <w:rPr>
                      <w:rFonts w:ascii="Calibri" w:hAnsi="Calibri"/>
                    </w:rPr>
                  </w:pPr>
                  <w:r w:rsidRPr="00E85717">
                    <w:t>1.1.2010-31.12.2011</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FBF0" w14:textId="77777777" w:rsidR="00E07FD1" w:rsidRPr="00E85717" w:rsidRDefault="00E07FD1" w:rsidP="00E27B89">
                  <w:pPr>
                    <w:pStyle w:val="NoSpacing"/>
                    <w:rPr>
                      <w:rFonts w:ascii="Calibri" w:hAnsi="Calibri"/>
                    </w:rPr>
                  </w:pPr>
                  <w:r w:rsidRPr="00E85717">
                    <w:t>1.1.2012-31.12.2013</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514C8" w14:textId="77777777" w:rsidR="00E07FD1" w:rsidRPr="00E85717" w:rsidRDefault="00E07FD1" w:rsidP="00E27B89">
                  <w:pPr>
                    <w:pStyle w:val="NoSpacing"/>
                    <w:rPr>
                      <w:rFonts w:ascii="Calibri" w:hAnsi="Calibri"/>
                    </w:rPr>
                  </w:pPr>
                  <w:r w:rsidRPr="00E85717">
                    <w:t>1.1.2014-31.12.2015</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B1A64" w14:textId="77777777" w:rsidR="00E07FD1" w:rsidRPr="00E85717" w:rsidRDefault="00E07FD1" w:rsidP="00E27B89">
                  <w:pPr>
                    <w:pStyle w:val="NoSpacing"/>
                    <w:rPr>
                      <w:rFonts w:ascii="Calibri" w:hAnsi="Calibri"/>
                    </w:rPr>
                  </w:pPr>
                  <w:r w:rsidRPr="00E85717">
                    <w:t>1.1.2016-31.12.2017</w:t>
                  </w:r>
                </w:p>
              </w:tc>
            </w:tr>
            <w:tr w:rsidR="00E07FD1" w:rsidRPr="00E85717" w14:paraId="0879D80E" w14:textId="77777777" w:rsidTr="00570549">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37BE7" w14:textId="77777777" w:rsidR="00E07FD1" w:rsidRPr="00E85717" w:rsidRDefault="00E07FD1" w:rsidP="00570549">
                  <w:pPr>
                    <w:pStyle w:val="NoSpacing"/>
                    <w:jc w:val="center"/>
                    <w:rPr>
                      <w:rFonts w:ascii="Calibri" w:hAnsi="Calibri"/>
                    </w:rPr>
                  </w:pPr>
                  <w:r w:rsidRPr="00E85717">
                    <w:t>Works</w:t>
                  </w:r>
                </w:p>
              </w:tc>
              <w:tc>
                <w:tcPr>
                  <w:tcW w:w="1072"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55352EA0" w14:textId="77777777" w:rsidR="00E07FD1" w:rsidRPr="00E85717" w:rsidRDefault="00E07FD1" w:rsidP="00191994">
                  <w:pPr>
                    <w:pStyle w:val="NoSpacing"/>
                    <w:jc w:val="left"/>
                  </w:pPr>
                  <w:r w:rsidRPr="00E85717">
                    <w:t xml:space="preserve">EUR </w:t>
                  </w:r>
                </w:p>
                <w:p w14:paraId="744A8491" w14:textId="77777777" w:rsidR="00E07FD1" w:rsidRPr="00E85717" w:rsidRDefault="00E07FD1" w:rsidP="00191994">
                  <w:pPr>
                    <w:pStyle w:val="NoSpacing"/>
                    <w:jc w:val="left"/>
                  </w:pPr>
                  <w:r w:rsidRPr="00E85717">
                    <w:t>5 278 000</w:t>
                  </w:r>
                </w:p>
              </w:tc>
              <w:tc>
                <w:tcPr>
                  <w:tcW w:w="1071"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9CCA3B6" w14:textId="77777777" w:rsidR="00E07FD1" w:rsidRPr="00E85717" w:rsidRDefault="00E07FD1" w:rsidP="00191994">
                  <w:pPr>
                    <w:pStyle w:val="NoSpacing"/>
                    <w:jc w:val="left"/>
                  </w:pPr>
                  <w:r w:rsidRPr="00E85717">
                    <w:t xml:space="preserve">EUR </w:t>
                  </w:r>
                </w:p>
                <w:p w14:paraId="6AB172AD" w14:textId="77777777" w:rsidR="00E07FD1" w:rsidRPr="00E85717" w:rsidRDefault="00E07FD1" w:rsidP="00191994">
                  <w:pPr>
                    <w:pStyle w:val="NoSpacing"/>
                    <w:jc w:val="left"/>
                  </w:pPr>
                  <w:r w:rsidRPr="00E85717">
                    <w:t>5 150 000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48956D4" w14:textId="77777777" w:rsidR="00E07FD1" w:rsidRPr="00E85717" w:rsidRDefault="00E07FD1" w:rsidP="00191994">
                  <w:pPr>
                    <w:pStyle w:val="NoSpacing"/>
                    <w:jc w:val="left"/>
                  </w:pPr>
                  <w:r w:rsidRPr="00E85717">
                    <w:t xml:space="preserve">EUR </w:t>
                  </w:r>
                </w:p>
                <w:p w14:paraId="13D4BFC9" w14:textId="77777777" w:rsidR="00E07FD1" w:rsidRPr="00E85717" w:rsidRDefault="00E07FD1" w:rsidP="00191994">
                  <w:pPr>
                    <w:pStyle w:val="NoSpacing"/>
                    <w:jc w:val="left"/>
                  </w:pPr>
                  <w:r w:rsidRPr="00E85717">
                    <w:t>4 845 000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3CE4168" w14:textId="77777777" w:rsidR="00E07FD1" w:rsidRPr="00E85717" w:rsidRDefault="00E07FD1" w:rsidP="00191994">
                  <w:pPr>
                    <w:pStyle w:val="NoSpacing"/>
                    <w:jc w:val="left"/>
                  </w:pPr>
                  <w:r w:rsidRPr="00E85717">
                    <w:t xml:space="preserve">EUR </w:t>
                  </w:r>
                </w:p>
                <w:p w14:paraId="7AB0263E" w14:textId="77777777" w:rsidR="00E07FD1" w:rsidRPr="00E85717" w:rsidRDefault="00E07FD1" w:rsidP="00191994">
                  <w:pPr>
                    <w:pStyle w:val="NoSpacing"/>
                    <w:jc w:val="left"/>
                  </w:pPr>
                  <w:r w:rsidRPr="00E85717">
                    <w:t>5 000 000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52B81534" w14:textId="77777777" w:rsidR="00E07FD1" w:rsidRPr="00E85717" w:rsidRDefault="00E07FD1" w:rsidP="00191994">
                  <w:pPr>
                    <w:pStyle w:val="NoSpacing"/>
                    <w:jc w:val="left"/>
                  </w:pPr>
                  <w:r w:rsidRPr="00E85717">
                    <w:t>EUR 5 186 000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7B124F51" w14:textId="77777777" w:rsidR="00E07FD1" w:rsidRPr="00E85717" w:rsidRDefault="00E07FD1" w:rsidP="00191994">
                  <w:pPr>
                    <w:pStyle w:val="NoSpacing"/>
                    <w:jc w:val="left"/>
                  </w:pPr>
                  <w:r w:rsidRPr="00E85717">
                    <w:t>EUR 5 225 000</w:t>
                  </w:r>
                </w:p>
              </w:tc>
            </w:tr>
            <w:tr w:rsidR="00E07FD1" w:rsidRPr="00E85717" w14:paraId="01D4843E" w14:textId="77777777" w:rsidTr="00570549">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0BE0B" w14:textId="203D186D" w:rsidR="00E07FD1" w:rsidRDefault="00E07FD1" w:rsidP="00570549">
                  <w:pPr>
                    <w:pStyle w:val="NoSpacing"/>
                    <w:jc w:val="center"/>
                  </w:pPr>
                  <w:r w:rsidRPr="00E85717">
                    <w:t>Supplies</w:t>
                  </w:r>
                </w:p>
                <w:p w14:paraId="49B78383" w14:textId="77777777" w:rsidR="003C2695" w:rsidRDefault="003C2695" w:rsidP="00570549">
                  <w:pPr>
                    <w:pStyle w:val="NoSpacing"/>
                    <w:jc w:val="center"/>
                  </w:pPr>
                  <w:r>
                    <w:t>&amp;</w:t>
                  </w:r>
                </w:p>
                <w:p w14:paraId="45624DB4" w14:textId="62DECD49" w:rsidR="003C2695" w:rsidRPr="00E85717" w:rsidRDefault="003C2695" w:rsidP="00570549">
                  <w:pPr>
                    <w:pStyle w:val="NoSpacing"/>
                    <w:jc w:val="center"/>
                    <w:rPr>
                      <w:rFonts w:ascii="Calibri" w:hAnsi="Calibri"/>
                    </w:rPr>
                  </w:pPr>
                  <w:r>
                    <w:t>Services</w:t>
                  </w:r>
                </w:p>
              </w:tc>
              <w:tc>
                <w:tcPr>
                  <w:tcW w:w="1072"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74BCA34" w14:textId="00F10910" w:rsidR="00E07FD1" w:rsidRPr="00E85717" w:rsidRDefault="00E07FD1" w:rsidP="00191994">
                  <w:pPr>
                    <w:pStyle w:val="NoSpacing"/>
                    <w:jc w:val="left"/>
                  </w:pPr>
                  <w:r w:rsidRPr="00E85717">
                    <w:t>EUR</w:t>
                  </w:r>
                </w:p>
                <w:p w14:paraId="61992898" w14:textId="77777777" w:rsidR="00E07FD1" w:rsidRPr="00E85717" w:rsidRDefault="00E07FD1" w:rsidP="00191994">
                  <w:pPr>
                    <w:pStyle w:val="NoSpacing"/>
                    <w:jc w:val="left"/>
                  </w:pPr>
                  <w:r w:rsidRPr="00E85717">
                    <w:t>137 000</w:t>
                  </w:r>
                </w:p>
              </w:tc>
              <w:tc>
                <w:tcPr>
                  <w:tcW w:w="1071"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BB74B26" w14:textId="77777777" w:rsidR="00E07FD1" w:rsidRPr="00E85717" w:rsidRDefault="00E07FD1" w:rsidP="00191994">
                  <w:pPr>
                    <w:pStyle w:val="NoSpacing"/>
                    <w:jc w:val="left"/>
                  </w:pPr>
                  <w:r w:rsidRPr="00E85717">
                    <w:t>EUR</w:t>
                  </w:r>
                </w:p>
                <w:p w14:paraId="51CADB47" w14:textId="77777777" w:rsidR="00E07FD1" w:rsidRPr="00E85717" w:rsidRDefault="00E07FD1" w:rsidP="00191994">
                  <w:pPr>
                    <w:pStyle w:val="NoSpacing"/>
                    <w:jc w:val="left"/>
                  </w:pPr>
                  <w:r w:rsidRPr="00E85717">
                    <w:t>133 000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E4B10E7" w14:textId="39F563FC" w:rsidR="00E07FD1" w:rsidRPr="00E85717" w:rsidRDefault="00E07FD1" w:rsidP="00191994">
                  <w:pPr>
                    <w:pStyle w:val="NoSpacing"/>
                    <w:jc w:val="left"/>
                  </w:pPr>
                  <w:r w:rsidRPr="00E85717">
                    <w:t>EUR</w:t>
                  </w:r>
                </w:p>
                <w:p w14:paraId="50D44D27" w14:textId="77777777" w:rsidR="00E07FD1" w:rsidRPr="00E85717" w:rsidRDefault="00E07FD1" w:rsidP="00191994">
                  <w:pPr>
                    <w:pStyle w:val="NoSpacing"/>
                    <w:jc w:val="left"/>
                  </w:pPr>
                  <w:r w:rsidRPr="00E85717">
                    <w:t>125 000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7BA0A5E9" w14:textId="77777777" w:rsidR="00E07FD1" w:rsidRPr="00E85717" w:rsidRDefault="00E07FD1" w:rsidP="00191994">
                  <w:pPr>
                    <w:pStyle w:val="NoSpacing"/>
                    <w:jc w:val="left"/>
                  </w:pPr>
                  <w:r w:rsidRPr="00E85717">
                    <w:t>EUR</w:t>
                  </w:r>
                </w:p>
                <w:p w14:paraId="5D09C631" w14:textId="77777777" w:rsidR="00E07FD1" w:rsidRPr="00E85717" w:rsidRDefault="00E07FD1" w:rsidP="00191994">
                  <w:pPr>
                    <w:pStyle w:val="NoSpacing"/>
                    <w:jc w:val="left"/>
                  </w:pPr>
                  <w:r w:rsidRPr="00E85717">
                    <w:t>130 000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5B052AE1" w14:textId="77777777" w:rsidR="00E07FD1" w:rsidRPr="00E85717" w:rsidRDefault="00E07FD1" w:rsidP="00191994">
                  <w:pPr>
                    <w:pStyle w:val="NoSpacing"/>
                    <w:jc w:val="left"/>
                  </w:pPr>
                  <w:r w:rsidRPr="00E85717">
                    <w:t>EUR 134 000</w:t>
                  </w:r>
                </w:p>
              </w:tc>
              <w:tc>
                <w:tcPr>
                  <w:tcW w:w="1178" w:type="dxa"/>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704AD4D9" w14:textId="77777777" w:rsidR="00E07FD1" w:rsidRPr="00E85717" w:rsidRDefault="00E07FD1" w:rsidP="00191994">
                  <w:pPr>
                    <w:pStyle w:val="NoSpacing"/>
                    <w:jc w:val="left"/>
                  </w:pPr>
                  <w:r w:rsidRPr="00E85717">
                    <w:t>EUR 135 000</w:t>
                  </w:r>
                </w:p>
              </w:tc>
            </w:tr>
          </w:tbl>
          <w:p w14:paraId="00B1C5B8" w14:textId="77777777" w:rsidR="00E07FD1" w:rsidRPr="00E85717" w:rsidRDefault="00E07FD1" w:rsidP="00E27B89">
            <w:pPr>
              <w:pStyle w:val="NoSpacing"/>
            </w:pPr>
          </w:p>
          <w:p w14:paraId="1B913BFE" w14:textId="77777777" w:rsidR="00727AF2" w:rsidRDefault="00E85717" w:rsidP="009F5ABE">
            <w:pPr>
              <w:pStyle w:val="NoSpacing"/>
            </w:pPr>
            <w:r w:rsidRPr="00E85717">
              <w:t xml:space="preserve">However, even this approach </w:t>
            </w:r>
            <w:r w:rsidR="009F5ABE">
              <w:t>runs</w:t>
            </w:r>
            <w:r w:rsidRPr="00E85717">
              <w:t xml:space="preserve"> into problems. </w:t>
            </w:r>
            <w:r w:rsidR="00D34EC3">
              <w:t>Most importantly</w:t>
            </w:r>
            <w:r w:rsidRPr="00E85717">
              <w:t>,</w:t>
            </w:r>
            <w:r w:rsidR="00D34EC3">
              <w:t xml:space="preserve"> a frequent error seems to be that values of notices are </w:t>
            </w:r>
            <w:r w:rsidR="009F5ABE">
              <w:t>missing an order of magnitude, e.g</w:t>
            </w:r>
            <w:r w:rsidR="00D34EC3">
              <w:t xml:space="preserve">. the notice contains "3" instead of "3 mil".  </w:t>
            </w:r>
            <w:r w:rsidR="009F5ABE">
              <w:t>As a result, t</w:t>
            </w:r>
            <w:r w:rsidR="00D75ED1">
              <w:t xml:space="preserve">hese notices get excluded incorrectly. </w:t>
            </w:r>
          </w:p>
          <w:p w14:paraId="67DAE4A7" w14:textId="77777777" w:rsidR="00727AF2" w:rsidRDefault="00727AF2" w:rsidP="009F5ABE">
            <w:pPr>
              <w:pStyle w:val="NoSpacing"/>
            </w:pPr>
          </w:p>
          <w:p w14:paraId="4EA9FF95" w14:textId="4E04DDC8" w:rsidR="00F45EA3" w:rsidRDefault="00D75ED1" w:rsidP="00577200">
            <w:pPr>
              <w:pStyle w:val="NoSpacing"/>
            </w:pPr>
            <w:r>
              <w:t>Furthermore, it is not clear what to do with missing values. Since dropping up to 80% of notices (in case of Sweden</w:t>
            </w:r>
            <w:r w:rsidR="00B13B5E">
              <w:t>, or, for CFCs, of France</w:t>
            </w:r>
            <w:r>
              <w:t xml:space="preserve">) is not an option, </w:t>
            </w:r>
            <w:r w:rsidR="00C713EE">
              <w:t xml:space="preserve">notices with </w:t>
            </w:r>
            <w:r>
              <w:t xml:space="preserve">missing values need to be </w:t>
            </w:r>
            <w:r w:rsidR="005B6B11">
              <w:t>included by default</w:t>
            </w:r>
            <w:r>
              <w:t>. However, this in effect means that in</w:t>
            </w:r>
            <w:r w:rsidR="00EE5345">
              <w:t xml:space="preserve"> countries which provide values</w:t>
            </w:r>
            <w:r>
              <w:t xml:space="preserve"> some notices will be excluded, while in countr</w:t>
            </w:r>
            <w:r w:rsidR="00EE5345">
              <w:t>ies which do not provide values</w:t>
            </w:r>
            <w:r w:rsidR="00AD2C4F">
              <w:t> </w:t>
            </w:r>
            <w:r>
              <w:t>all</w:t>
            </w:r>
            <w:r w:rsidR="00AD2C4F">
              <w:t> </w:t>
            </w:r>
            <w:r>
              <w:t>notices</w:t>
            </w:r>
            <w:r w:rsidR="00AD2C4F">
              <w:t> </w:t>
            </w:r>
            <w:r>
              <w:t>will</w:t>
            </w:r>
            <w:r w:rsidR="00AD2C4F">
              <w:t> </w:t>
            </w:r>
            <w:r>
              <w:t xml:space="preserve">stay. </w:t>
            </w:r>
            <w:r w:rsidR="00E27B89">
              <w:br/>
            </w:r>
            <w:r w:rsidR="00E27B89">
              <w:br/>
            </w:r>
            <w:r>
              <w:t xml:space="preserve">Similarly, </w:t>
            </w:r>
            <w:r w:rsidR="00E27B89">
              <w:t xml:space="preserve">if we wanted to exclude </w:t>
            </w:r>
            <w:r>
              <w:t>CANs</w:t>
            </w:r>
            <w:r w:rsidR="00E27B89">
              <w:t xml:space="preserve"> we would need to have </w:t>
            </w:r>
            <w:r>
              <w:t>a link with the CFC, but the frequency of how often these links are mis</w:t>
            </w:r>
            <w:r w:rsidR="00072169">
              <w:t>sing differs country by country – from 0</w:t>
            </w:r>
            <w:r w:rsidR="00D75833">
              <w:t>%</w:t>
            </w:r>
            <w:r w:rsidR="00072169">
              <w:t xml:space="preserve"> to 73%. </w:t>
            </w:r>
            <w:r w:rsidR="00E27B89">
              <w:t xml:space="preserve">This would again add bias. </w:t>
            </w:r>
          </w:p>
          <w:p w14:paraId="3621433B" w14:textId="77777777" w:rsidR="00F45EA3" w:rsidRDefault="00F45EA3" w:rsidP="00577200">
            <w:pPr>
              <w:pStyle w:val="NoSpacing"/>
            </w:pPr>
          </w:p>
          <w:p w14:paraId="522CE1FF" w14:textId="10BDA9D9" w:rsidR="005040C4" w:rsidRPr="00E85717" w:rsidRDefault="003C3B6C" w:rsidP="005040C4">
            <w:pPr>
              <w:pStyle w:val="NoSpacing"/>
            </w:pPr>
            <w:r>
              <w:t xml:space="preserve">(Finally, notices just above the threshold may have the wrong price estimated in Euro, because we use the average </w:t>
            </w:r>
            <w:r w:rsidR="005040C4">
              <w:t xml:space="preserve">exchange rate </w:t>
            </w:r>
            <w:r>
              <w:t>for the given year</w:t>
            </w:r>
            <w:r w:rsidR="005040C4">
              <w:t>, which may push them just across the threshold</w:t>
            </w:r>
            <w:r>
              <w:t>)</w:t>
            </w:r>
          </w:p>
        </w:tc>
      </w:tr>
    </w:tbl>
    <w:p w14:paraId="19E0D66A" w14:textId="3982CF18" w:rsidR="00E07FD1" w:rsidRPr="00E85717" w:rsidRDefault="00E07FD1" w:rsidP="00661068">
      <w:pPr>
        <w:pStyle w:val="NoSpacing"/>
      </w:pPr>
    </w:p>
    <w:p w14:paraId="1B218947" w14:textId="69112712" w:rsidR="00E07FD1" w:rsidRPr="00E85717" w:rsidRDefault="00A11945" w:rsidP="006332AF">
      <w:r w:rsidRPr="00E85717">
        <w:t>Future</w:t>
      </w:r>
    </w:p>
    <w:p w14:paraId="7CA38EDE" w14:textId="16625133" w:rsidR="00A11945" w:rsidRPr="00E85717" w:rsidRDefault="00A11945" w:rsidP="006332AF">
      <w:pPr>
        <w:pStyle w:val="NoSpacing"/>
      </w:pPr>
      <w:r w:rsidRPr="00E85717">
        <w:t>This will be solved with future standard forms, which will contain information on whether the procurement is covered by an EU regulation or national law.</w:t>
      </w:r>
    </w:p>
    <w:p w14:paraId="5C80918B" w14:textId="03092DCB" w:rsidR="000779B2" w:rsidRPr="00E85717" w:rsidRDefault="00872654" w:rsidP="00661068">
      <w:pPr>
        <w:pStyle w:val="Heading3"/>
      </w:pPr>
      <w:bookmarkStart w:id="13" w:name="_Toc481579465"/>
      <w:r>
        <w:t>Excluding cancelled</w:t>
      </w:r>
      <w:r w:rsidR="000779B2" w:rsidRPr="00E85717">
        <w:t xml:space="preserve"> </w:t>
      </w:r>
      <w:r w:rsidR="00B34260">
        <w:t>notices</w:t>
      </w:r>
      <w:bookmarkEnd w:id="13"/>
      <w:r w:rsidR="00B34260">
        <w:t xml:space="preserve"> </w:t>
      </w:r>
    </w:p>
    <w:p w14:paraId="669C8135" w14:textId="1D15AF70" w:rsidR="00622B32" w:rsidRPr="00622B32" w:rsidRDefault="00622B32" w:rsidP="00C030C7">
      <w:r w:rsidRPr="00622B32">
        <w:t>Issue</w:t>
      </w:r>
    </w:p>
    <w:p w14:paraId="28D95639" w14:textId="57299776" w:rsidR="007D7DF7" w:rsidRDefault="00622B32" w:rsidP="00661068">
      <w:pPr>
        <w:pStyle w:val="NoSpacing"/>
      </w:pPr>
      <w:r>
        <w:t xml:space="preserve">It is not </w:t>
      </w:r>
      <w:r w:rsidR="00D0191A">
        <w:t xml:space="preserve">always </w:t>
      </w:r>
      <w:r>
        <w:t xml:space="preserve">clear which </w:t>
      </w:r>
      <w:r w:rsidR="00B34260">
        <w:t>notices</w:t>
      </w:r>
      <w:r>
        <w:t xml:space="preserve"> were cancelled. </w:t>
      </w:r>
      <w:r w:rsidR="00B34260">
        <w:t xml:space="preserve">Before 2.0.9, a cancellation could have been </w:t>
      </w:r>
      <w:r w:rsidR="0017042A">
        <w:t xml:space="preserve">published using a standard form </w:t>
      </w:r>
      <w:r w:rsidR="00B34260">
        <w:t xml:space="preserve">14, but this was not a legal obligation and seems to be used </w:t>
      </w:r>
      <w:r w:rsidR="00B34260">
        <w:lastRenderedPageBreak/>
        <w:t xml:space="preserve">differently in different Member States. For example, </w:t>
      </w:r>
      <w:r w:rsidR="00C47D27">
        <w:t>since 2011</w:t>
      </w:r>
      <w:r w:rsidR="00F95FC8" w:rsidRPr="00E85717">
        <w:t xml:space="preserve">, </w:t>
      </w:r>
      <w:r w:rsidR="00D37399">
        <w:t>Latvia</w:t>
      </w:r>
      <w:r w:rsidR="00F95FC8" w:rsidRPr="00E85717">
        <w:t xml:space="preserve"> has sent 322</w:t>
      </w:r>
      <w:r w:rsidR="00945B79" w:rsidRPr="00E85717">
        <w:t xml:space="preserve"> cancellations</w:t>
      </w:r>
      <w:r w:rsidR="00B377C0" w:rsidRPr="00E85717">
        <w:t xml:space="preserve"> of CANs</w:t>
      </w:r>
      <w:r w:rsidR="00F95FC8" w:rsidRPr="00E85717">
        <w:t>, while Germany and Poland around 150</w:t>
      </w:r>
      <w:r w:rsidR="00D37399">
        <w:t xml:space="preserve"> each</w:t>
      </w:r>
      <w:r w:rsidR="00F95FC8" w:rsidRPr="00E85717">
        <w:t xml:space="preserve">, </w:t>
      </w:r>
      <w:r w:rsidR="00D37399">
        <w:t xml:space="preserve">and </w:t>
      </w:r>
      <w:r w:rsidR="00F95FC8" w:rsidRPr="00E85717">
        <w:t>Spain and Italy around 90</w:t>
      </w:r>
      <w:r w:rsidR="00D37399">
        <w:t xml:space="preserve"> each</w:t>
      </w:r>
      <w:r w:rsidR="00707DFE">
        <w:t>. This is, first, much smaller than would be expected, and, second</w:t>
      </w:r>
      <w:r w:rsidR="00C64E43">
        <w:t>,</w:t>
      </w:r>
      <w:r w:rsidR="00707DFE">
        <w:t xml:space="preserve"> </w:t>
      </w:r>
      <w:r w:rsidR="00B34260">
        <w:t xml:space="preserve">does not correspond to </w:t>
      </w:r>
      <w:r w:rsidR="00707DFE">
        <w:t xml:space="preserve">the </w:t>
      </w:r>
      <w:r w:rsidR="00C64E43">
        <w:t xml:space="preserve">size of </w:t>
      </w:r>
      <w:r w:rsidR="00707DFE">
        <w:t xml:space="preserve">the countries. </w:t>
      </w:r>
    </w:p>
    <w:p w14:paraId="4D63833E" w14:textId="77777777" w:rsidR="007D7DF7" w:rsidRDefault="007D7DF7" w:rsidP="00661068">
      <w:pPr>
        <w:pStyle w:val="NoSpacing"/>
      </w:pPr>
    </w:p>
    <w:p w14:paraId="56319E13" w14:textId="67BF9666" w:rsidR="003471E1" w:rsidRDefault="00B34260" w:rsidP="00661068">
      <w:pPr>
        <w:pStyle w:val="NoSpacing"/>
      </w:pPr>
      <w:r>
        <w:t xml:space="preserve">Concerning CFCs, unsuccessful procedures have been signalled by some MS </w:t>
      </w:r>
      <w:r w:rsidR="00C46824">
        <w:t xml:space="preserve">by using a standard form 14 to </w:t>
      </w:r>
      <w:r>
        <w:t>cancel</w:t>
      </w:r>
      <w:r w:rsidR="00C46824">
        <w:t xml:space="preserve"> the</w:t>
      </w:r>
      <w:r>
        <w:t xml:space="preserve"> CFC, while in others </w:t>
      </w:r>
      <w:r w:rsidR="002657DE">
        <w:t xml:space="preserve">by publishing a </w:t>
      </w:r>
      <w:r>
        <w:t xml:space="preserve">CAN on “non-award” (see point </w:t>
      </w:r>
      <w:r>
        <w:fldChar w:fldCharType="begin"/>
      </w:r>
      <w:r>
        <w:instrText xml:space="preserve"> REF _Ref479936514 \r \h </w:instrText>
      </w:r>
      <w:r>
        <w:fldChar w:fldCharType="separate"/>
      </w:r>
      <w:r w:rsidR="00114DBB">
        <w:t>2.5</w:t>
      </w:r>
      <w:r>
        <w:fldChar w:fldCharType="end"/>
      </w:r>
      <w:r>
        <w:t>).</w:t>
      </w:r>
      <w:r w:rsidR="007D7DF7">
        <w:t xml:space="preserve"> Thus, </w:t>
      </w:r>
      <w:r w:rsidR="003471E1">
        <w:t xml:space="preserve">when a CFC is cancelled, it is not clear whether the procedure was unsuccessful (i.e. it ran its course, but no bids were received) or that the CFC was cancelled by the buyer (e.g. because the planned budget disappeared, because the notice </w:t>
      </w:r>
      <w:r w:rsidR="003471E1">
        <w:rPr>
          <w:lang w:val="en-US"/>
        </w:rPr>
        <w:t>w</w:t>
      </w:r>
      <w:r w:rsidR="003471E1">
        <w:t xml:space="preserve">as published by accident in the first place, etc.). </w:t>
      </w:r>
    </w:p>
    <w:p w14:paraId="0858D3BB" w14:textId="77777777" w:rsidR="00622B32" w:rsidRDefault="00622B32" w:rsidP="00661068">
      <w:pPr>
        <w:pStyle w:val="NoSpacing"/>
      </w:pPr>
    </w:p>
    <w:p w14:paraId="07C1EE38" w14:textId="77777777" w:rsidR="0044656E" w:rsidRPr="00E85717" w:rsidRDefault="0044656E" w:rsidP="00A70255">
      <w:r>
        <w:t>Decision</w:t>
      </w:r>
    </w:p>
    <w:p w14:paraId="72EB4E67" w14:textId="3D21FBB1" w:rsidR="007C0754" w:rsidRDefault="007C0754" w:rsidP="00661068">
      <w:pPr>
        <w:pStyle w:val="NoSpacing"/>
      </w:pPr>
      <w:r>
        <w:t xml:space="preserve">Cancelled or unsuccessful CANs are excluded from CAN-based indicators, cancelled CNs are excluded from CN-based indicators. </w:t>
      </w:r>
      <w:r w:rsidR="004F058F">
        <w:t>This is mainly because</w:t>
      </w:r>
      <w:r w:rsidR="006B414D">
        <w:t>,</w:t>
      </w:r>
      <w:r w:rsidR="004F058F">
        <w:t xml:space="preserve"> b</w:t>
      </w:r>
      <w:r w:rsidR="00741F67">
        <w:t>esides being part of an unsuccessful procedure, n</w:t>
      </w:r>
      <w:r w:rsidR="00CA2970">
        <w:t>otices may be cancelled because they were published twice or published by accident,</w:t>
      </w:r>
      <w:r w:rsidR="00E9528A">
        <w:t xml:space="preserve"> in which case they are </w:t>
      </w:r>
      <w:r w:rsidR="006B414D">
        <w:t xml:space="preserve">definitely </w:t>
      </w:r>
      <w:r w:rsidR="00E9528A">
        <w:t xml:space="preserve">not relevant. </w:t>
      </w:r>
      <w:r w:rsidR="00CA2970">
        <w:t xml:space="preserve"> </w:t>
      </w:r>
      <w:r w:rsidR="00047C2F">
        <w:t>Furthermore, cancelled CANs are not relevant from the "procurement results" point of view</w:t>
      </w:r>
      <w:r w:rsidR="004F058F">
        <w:t>, because no procurement is taking place</w:t>
      </w:r>
      <w:r w:rsidR="00047C2F">
        <w:t>.</w:t>
      </w:r>
    </w:p>
    <w:p w14:paraId="4E1906AC" w14:textId="77777777" w:rsidR="007C0754" w:rsidRDefault="007C0754" w:rsidP="00661068">
      <w:pPr>
        <w:pStyle w:val="NoSpacing"/>
      </w:pPr>
    </w:p>
    <w:p w14:paraId="1E1BCD72" w14:textId="2620C7D3" w:rsidR="00241CDE" w:rsidRDefault="00241CDE" w:rsidP="00661068">
      <w:pPr>
        <w:pStyle w:val="NoSpacing"/>
      </w:pPr>
      <w:r>
        <w:t xml:space="preserve">We remove these notices even though </w:t>
      </w:r>
      <w:r w:rsidR="00430DC8">
        <w:t xml:space="preserve">cancellation patterns may introduce bias across MS. Furthermore, we are aware that </w:t>
      </w:r>
      <w:r>
        <w:t xml:space="preserve">it </w:t>
      </w:r>
      <w:r w:rsidR="00430DC8">
        <w:t xml:space="preserve">can </w:t>
      </w:r>
      <w:r>
        <w:t xml:space="preserve">be argued that cancelled notices reflect practices and results in MS, as </w:t>
      </w:r>
      <w:r w:rsidR="00694CD4">
        <w:t xml:space="preserve">they reflect </w:t>
      </w:r>
      <w:r>
        <w:t xml:space="preserve">behaviour that buyers have at least tried to execute. </w:t>
      </w:r>
    </w:p>
    <w:p w14:paraId="2BA5567F" w14:textId="77777777" w:rsidR="00241CDE" w:rsidRDefault="00241CDE" w:rsidP="00661068">
      <w:pPr>
        <w:pStyle w:val="NoSpacing"/>
      </w:pPr>
    </w:p>
    <w:p w14:paraId="6021B538" w14:textId="00F447AD" w:rsidR="00497CB3" w:rsidRDefault="00241CDE" w:rsidP="00661068">
      <w:pPr>
        <w:pStyle w:val="NoSpacing"/>
      </w:pPr>
      <w:r>
        <w:t>Except for VEATs</w:t>
      </w:r>
      <w:r w:rsidR="001C1633">
        <w:t xml:space="preserve"> (see </w:t>
      </w:r>
      <w:r w:rsidR="001C1633">
        <w:fldChar w:fldCharType="begin"/>
      </w:r>
      <w:r w:rsidR="001C1633">
        <w:instrText xml:space="preserve"> REF _Ref480376996 \r \h </w:instrText>
      </w:r>
      <w:r w:rsidR="001C1633">
        <w:fldChar w:fldCharType="separate"/>
      </w:r>
      <w:r w:rsidR="00114DBB">
        <w:t>3.2</w:t>
      </w:r>
      <w:r w:rsidR="001C1633">
        <w:fldChar w:fldCharType="end"/>
      </w:r>
      <w:r w:rsidR="001C1633">
        <w:t>)</w:t>
      </w:r>
      <w:r>
        <w:t>, we do not cancel notices just because their "f</w:t>
      </w:r>
      <w:r w:rsidR="00D62B35">
        <w:t>ollowing" or "preceding" notice</w:t>
      </w:r>
      <w:r w:rsidR="009F1A6A">
        <w:t xml:space="preserve"> has been cancelled, because </w:t>
      </w:r>
      <w:r w:rsidR="007D2AD6">
        <w:t xml:space="preserve">this would be biased thanks to </w:t>
      </w:r>
      <w:r w:rsidR="00BE58D7">
        <w:t>different proportion</w:t>
      </w:r>
      <w:r w:rsidR="007D2AD6">
        <w:t>s</w:t>
      </w:r>
      <w:r w:rsidR="00BE58D7">
        <w:t xml:space="preserve"> of missing </w:t>
      </w:r>
      <w:r w:rsidR="007D2AD6">
        <w:t xml:space="preserve">links </w:t>
      </w:r>
      <w:r w:rsidR="009F1A6A">
        <w:t>between notices</w:t>
      </w:r>
      <w:r w:rsidR="007D2AD6">
        <w:t xml:space="preserve"> in different MS</w:t>
      </w:r>
      <w:r w:rsidR="009F1A6A">
        <w:t>.</w:t>
      </w:r>
    </w:p>
    <w:p w14:paraId="541A0961" w14:textId="77777777" w:rsidR="00241CDE" w:rsidRDefault="00241CDE" w:rsidP="00661068">
      <w:pPr>
        <w:pStyle w:val="NoSpacing"/>
      </w:pPr>
    </w:p>
    <w:p w14:paraId="00B64A2C" w14:textId="6C482B36" w:rsidR="00CE6E92" w:rsidRPr="00CE6E92" w:rsidRDefault="00CE6E92" w:rsidP="00A70255">
      <w:r w:rsidRPr="00CE6E92">
        <w:t>Future</w:t>
      </w:r>
    </w:p>
    <w:p w14:paraId="6EA147E7" w14:textId="70830E0C" w:rsidR="00F95FC8" w:rsidRDefault="00442266" w:rsidP="00661068">
      <w:pPr>
        <w:pStyle w:val="NoSpacing"/>
      </w:pPr>
      <w:r>
        <w:t xml:space="preserve">In 2.0.9, unsuccessful procedures should clearly be signalled using a </w:t>
      </w:r>
      <w:r w:rsidRPr="00E85717">
        <w:t>CAN</w:t>
      </w:r>
      <w:r w:rsidR="006864DE">
        <w:t xml:space="preserve"> and</w:t>
      </w:r>
      <w:r w:rsidRPr="00E85717">
        <w:t xml:space="preserve"> </w:t>
      </w:r>
      <w:r>
        <w:t xml:space="preserve">this is a legal obligation. On the other hand, </w:t>
      </w:r>
      <w:r w:rsidR="009B1E1A">
        <w:t>not</w:t>
      </w:r>
      <w:r w:rsidR="00BC651E">
        <w:t>ices can no longer be cancelled, only corrected.</w:t>
      </w:r>
      <w:r w:rsidR="00DF24A4">
        <w:t xml:space="preserve"> </w:t>
      </w:r>
      <w:r>
        <w:t xml:space="preserve">This does </w:t>
      </w:r>
      <w:r w:rsidR="00DF24A4">
        <w:t xml:space="preserve">not cover all user needs, so a possibility to clearly cancel notices </w:t>
      </w:r>
      <w:r w:rsidR="00F634DB">
        <w:t xml:space="preserve">should </w:t>
      </w:r>
      <w:r w:rsidR="00DF24A4">
        <w:t xml:space="preserve">be introduced in future forms. </w:t>
      </w:r>
    </w:p>
    <w:p w14:paraId="56B87AAE" w14:textId="77777777" w:rsidR="009B5C96" w:rsidRPr="00E85717" w:rsidRDefault="009B5C96" w:rsidP="009B5C96">
      <w:pPr>
        <w:pStyle w:val="Heading3"/>
      </w:pPr>
      <w:bookmarkStart w:id="14" w:name="_Ref479936514"/>
      <w:bookmarkStart w:id="15" w:name="_Toc481579466"/>
      <w:r>
        <w:t>Including</w:t>
      </w:r>
      <w:r w:rsidRPr="00E85717">
        <w:t xml:space="preserve"> </w:t>
      </w:r>
      <w:r>
        <w:t>CANs informing about a non-award</w:t>
      </w:r>
      <w:bookmarkEnd w:id="14"/>
      <w:bookmarkEnd w:id="15"/>
    </w:p>
    <w:p w14:paraId="03BD21B3" w14:textId="100C86BB" w:rsidR="00872654" w:rsidRDefault="00872654" w:rsidP="00872654">
      <w:r>
        <w:t>Issue</w:t>
      </w:r>
    </w:p>
    <w:p w14:paraId="5C628C80" w14:textId="03F5B1D7" w:rsidR="007D7DF7" w:rsidRDefault="00872654" w:rsidP="00872654">
      <w:pPr>
        <w:pStyle w:val="NoSpacing"/>
      </w:pPr>
      <w:r>
        <w:t>In 2.0.9 forms, a CAN c</w:t>
      </w:r>
      <w:r w:rsidR="00266133">
        <w:t>ould</w:t>
      </w:r>
      <w:r>
        <w:t xml:space="preserve"> either inform about the award of a contract or the non-award of a contract</w:t>
      </w:r>
      <w:r w:rsidR="00E457D4">
        <w:t xml:space="preserve"> (i.e. about an unsuccessful procedure)</w:t>
      </w:r>
      <w:r>
        <w:t xml:space="preserve">. </w:t>
      </w:r>
      <w:r w:rsidR="00B34260" w:rsidRPr="00E85717">
        <w:t>Before 2.0.9, it was not clear how to inform about unsuccessful procedures</w:t>
      </w:r>
      <w:r w:rsidR="007D7DF7">
        <w:t xml:space="preserve">. Some buyers have simply not published anything, some have published a cancellation notice of the </w:t>
      </w:r>
      <w:r w:rsidR="00B34260" w:rsidRPr="00E85717">
        <w:t>C</w:t>
      </w:r>
      <w:r w:rsidR="00B34260">
        <w:t>FC</w:t>
      </w:r>
      <w:r w:rsidR="00B34260" w:rsidRPr="00E85717">
        <w:t xml:space="preserve">, </w:t>
      </w:r>
      <w:r w:rsidR="007D7DF7">
        <w:t xml:space="preserve">and </w:t>
      </w:r>
      <w:r w:rsidR="007D7DF7" w:rsidRPr="00E85717">
        <w:t xml:space="preserve">some published CANs with no winner and no value (e.g. </w:t>
      </w:r>
      <w:r w:rsidR="007D7DF7">
        <w:t>HU</w:t>
      </w:r>
      <w:r w:rsidR="00836295">
        <w:t>)</w:t>
      </w:r>
      <w:r w:rsidR="007D7DF7">
        <w:t xml:space="preserve"> </w:t>
      </w:r>
      <w:r w:rsidR="00836295">
        <w:t xml:space="preserve">or </w:t>
      </w:r>
      <w:r w:rsidR="007D7DF7" w:rsidRPr="00E85717">
        <w:t>put "cancelled" or "unsuccessful" (in national language</w:t>
      </w:r>
      <w:r w:rsidR="007D7DF7">
        <w:t>, seen e.g. in FI</w:t>
      </w:r>
      <w:r w:rsidR="007D7DF7" w:rsidRPr="00E85717">
        <w:t>) in the winner name field.</w:t>
      </w:r>
      <w:r w:rsidR="007D7DF7">
        <w:t xml:space="preserve"> Looking superficially at the 2.0.9 data, where information about unsuccessful procedures is available, it seems that for the countries which have been using 2.0.9, in 2016 roughly 10% of lots were not awarded.</w:t>
      </w:r>
    </w:p>
    <w:p w14:paraId="3480B7D4" w14:textId="77777777" w:rsidR="007D7DF7" w:rsidRDefault="007D7DF7" w:rsidP="00872654">
      <w:pPr>
        <w:pStyle w:val="NoSpacing"/>
      </w:pPr>
    </w:p>
    <w:p w14:paraId="03813CF7" w14:textId="58FE2359" w:rsidR="00872654" w:rsidRDefault="00872654" w:rsidP="00872654">
      <w:r>
        <w:t>Decision</w:t>
      </w:r>
    </w:p>
    <w:p w14:paraId="391C35DC" w14:textId="68EAF5B5" w:rsidR="001403E9" w:rsidRPr="001403E9" w:rsidRDefault="00691631" w:rsidP="00872654">
      <w:pPr>
        <w:rPr>
          <w:b w:val="0"/>
        </w:rPr>
      </w:pPr>
      <w:r>
        <w:rPr>
          <w:b w:val="0"/>
        </w:rPr>
        <w:t xml:space="preserve">Since it seems very hard to distinguish for example between errors and intention, and the extent of the issue is small, we do not exclude any </w:t>
      </w:r>
      <w:r w:rsidR="001403E9" w:rsidRPr="001403E9">
        <w:rPr>
          <w:b w:val="0"/>
        </w:rPr>
        <w:t xml:space="preserve">CANs </w:t>
      </w:r>
      <w:r>
        <w:rPr>
          <w:b w:val="0"/>
        </w:rPr>
        <w:t>(e.g. those with missing winner name)</w:t>
      </w:r>
      <w:r w:rsidR="001403E9">
        <w:rPr>
          <w:b w:val="0"/>
        </w:rPr>
        <w:t>.</w:t>
      </w:r>
    </w:p>
    <w:p w14:paraId="0A4AFC23" w14:textId="77777777" w:rsidR="001403E9" w:rsidRDefault="001403E9" w:rsidP="00872654"/>
    <w:p w14:paraId="4B9973D9" w14:textId="289EED2B" w:rsidR="00872654" w:rsidRDefault="00872654" w:rsidP="00872654">
      <w:r>
        <w:t>Future</w:t>
      </w:r>
    </w:p>
    <w:p w14:paraId="09C2714D" w14:textId="6515550D" w:rsidR="00872654" w:rsidRDefault="00934D36" w:rsidP="00661068">
      <w:pPr>
        <w:pStyle w:val="NoSpacing"/>
      </w:pPr>
      <w:r>
        <w:t xml:space="preserve">This issue should be resolved in 2.0.9, because non-award </w:t>
      </w:r>
      <w:r w:rsidR="00B35980">
        <w:t>must be clearly marked in a CAN.</w:t>
      </w:r>
    </w:p>
    <w:p w14:paraId="45E3FEF3" w14:textId="77777777" w:rsidR="009B5C96" w:rsidRPr="00E85717" w:rsidRDefault="009B5C96" w:rsidP="00661068">
      <w:pPr>
        <w:pStyle w:val="NoSpacing"/>
      </w:pPr>
    </w:p>
    <w:p w14:paraId="7B2FD348" w14:textId="43B5FBBA" w:rsidR="00453E64" w:rsidRDefault="00453E64" w:rsidP="00661068">
      <w:pPr>
        <w:pStyle w:val="Heading3"/>
      </w:pPr>
      <w:bookmarkStart w:id="16" w:name="_Toc481579467"/>
      <w:r w:rsidRPr="00E85717">
        <w:t xml:space="preserve">Date of publication </w:t>
      </w:r>
      <w:r w:rsidR="00B32877">
        <w:t xml:space="preserve">of </w:t>
      </w:r>
      <w:r w:rsidR="00B432EC">
        <w:t xml:space="preserve">a </w:t>
      </w:r>
      <w:r w:rsidR="00B32877">
        <w:t>notice vs.</w:t>
      </w:r>
      <w:r w:rsidRPr="00E85717">
        <w:t xml:space="preserve"> date of award</w:t>
      </w:r>
      <w:r w:rsidR="00B32877">
        <w:t xml:space="preserve"> of </w:t>
      </w:r>
      <w:r w:rsidR="0035410C">
        <w:t xml:space="preserve">a </w:t>
      </w:r>
      <w:r w:rsidR="00B32877">
        <w:t>contract</w:t>
      </w:r>
      <w:bookmarkEnd w:id="16"/>
    </w:p>
    <w:p w14:paraId="3F1C28B0" w14:textId="3651C6A6" w:rsidR="00153900" w:rsidRDefault="00153900" w:rsidP="006D3492">
      <w:r w:rsidRPr="00153900">
        <w:t>Issue</w:t>
      </w:r>
    </w:p>
    <w:p w14:paraId="06BF8C20" w14:textId="77184F6F" w:rsidR="00AE2828" w:rsidRDefault="00153900" w:rsidP="00A70255">
      <w:pPr>
        <w:pStyle w:val="NoSpacing"/>
      </w:pPr>
      <w:r w:rsidRPr="00153900">
        <w:lastRenderedPageBreak/>
        <w:t xml:space="preserve">When </w:t>
      </w:r>
      <w:r w:rsidR="00AE2828">
        <w:t xml:space="preserve">calculating CAN </w:t>
      </w:r>
      <w:r>
        <w:t xml:space="preserve">indicators per year, there </w:t>
      </w:r>
      <w:r w:rsidR="00AE2828">
        <w:t>are two ways of deciding which notices to include: either the notices published in a given year, or contracts awarded in a given year. Since</w:t>
      </w:r>
      <w:r w:rsidR="00AC35A0">
        <w:t>,</w:t>
      </w:r>
      <w:r w:rsidR="00AE2828">
        <w:t xml:space="preserve"> according to the </w:t>
      </w:r>
      <w:r w:rsidR="00AC35A0">
        <w:t>directives,</w:t>
      </w:r>
      <w:r w:rsidR="00AE2828">
        <w:t xml:space="preserve"> </w:t>
      </w:r>
      <w:r w:rsidR="00137C62" w:rsidRPr="00E85717">
        <w:t xml:space="preserve">a CAN may be published up to 30 days after </w:t>
      </w:r>
      <w:r w:rsidR="00AE2828">
        <w:t xml:space="preserve">the act of awarding a </w:t>
      </w:r>
      <w:r w:rsidR="00137C62" w:rsidRPr="00E85717">
        <w:t>contract</w:t>
      </w:r>
      <w:r w:rsidR="00920378">
        <w:t>,</w:t>
      </w:r>
      <w:r w:rsidR="0008616F">
        <w:t xml:space="preserve"> this can influence results, because different notices will be included in the results for different years.</w:t>
      </w:r>
      <w:r w:rsidR="00A34906">
        <w:t xml:space="preserve"> This can play a role when comparing data from different sources, e.g. budget, invoices, and procurement notices. </w:t>
      </w:r>
    </w:p>
    <w:p w14:paraId="33320FB0" w14:textId="77777777" w:rsidR="00AE2828" w:rsidRDefault="00AE2828" w:rsidP="006D3492"/>
    <w:p w14:paraId="3C5064A0" w14:textId="14DB8AFD" w:rsidR="00137C62" w:rsidRDefault="00137C62" w:rsidP="00A70255">
      <w:pPr>
        <w:pStyle w:val="NoSpacing"/>
      </w:pPr>
      <w:r w:rsidRPr="00E85717">
        <w:t xml:space="preserve">(Furthermore, since in many public administrations there is a budgetary pressure to award contracts in a given calendar year, which often gets done in December, the </w:t>
      </w:r>
      <w:r w:rsidR="002C1388">
        <w:t>proportion</w:t>
      </w:r>
      <w:r w:rsidRPr="00E85717">
        <w:t xml:space="preserve"> of contracts </w:t>
      </w:r>
      <w:r w:rsidR="002C1388">
        <w:t xml:space="preserve">which would be moved from year to year </w:t>
      </w:r>
      <w:r w:rsidRPr="00E85717">
        <w:t xml:space="preserve">may be a bit higher than </w:t>
      </w:r>
      <w:r w:rsidR="005A0FE7" w:rsidRPr="00E85717">
        <w:t xml:space="preserve">“30 days maximum” </w:t>
      </w:r>
      <w:r w:rsidRPr="00E85717">
        <w:t>would suggest</w:t>
      </w:r>
      <w:r w:rsidRPr="00E85717">
        <w:rPr>
          <w:rStyle w:val="FootnoteReference"/>
        </w:rPr>
        <w:footnoteReference w:id="10"/>
      </w:r>
      <w:r w:rsidRPr="00E85717">
        <w:t>.)</w:t>
      </w:r>
    </w:p>
    <w:p w14:paraId="50128F61" w14:textId="77777777" w:rsidR="00D11854" w:rsidRPr="00E85717" w:rsidRDefault="00D11854" w:rsidP="00A70255">
      <w:pPr>
        <w:pStyle w:val="NoSpacing"/>
      </w:pPr>
    </w:p>
    <w:p w14:paraId="2290AA62" w14:textId="4BA6E39E" w:rsidR="00AE2828" w:rsidRDefault="00AE2828" w:rsidP="00A70255">
      <w:r w:rsidRPr="00AE2828">
        <w:t>Decision</w:t>
      </w:r>
    </w:p>
    <w:p w14:paraId="3F3607A5" w14:textId="279598EF" w:rsidR="00137C62" w:rsidRPr="00E85717" w:rsidRDefault="005E1B12" w:rsidP="00A70255">
      <w:pPr>
        <w:pStyle w:val="NoSpacing"/>
      </w:pPr>
      <w:r w:rsidRPr="00E85717">
        <w:t xml:space="preserve">We use the notice publication date because it is </w:t>
      </w:r>
      <w:r w:rsidR="00AE2828">
        <w:t>never missing</w:t>
      </w:r>
      <w:r w:rsidR="0041756F">
        <w:t xml:space="preserve"> in the data</w:t>
      </w:r>
      <w:r w:rsidR="00AE2828">
        <w:t xml:space="preserve"> and it is not human-entered</w:t>
      </w:r>
      <w:r w:rsidR="0041756F">
        <w:t>,</w:t>
      </w:r>
      <w:r w:rsidR="00AE2828">
        <w:t xml:space="preserve"> but automatically generated by the publication office, which means there can be no </w:t>
      </w:r>
      <w:r w:rsidRPr="00E85717">
        <w:t>typos</w:t>
      </w:r>
      <w:r w:rsidR="00AE2828">
        <w:t xml:space="preserve">. </w:t>
      </w:r>
    </w:p>
    <w:p w14:paraId="27D0EBB9" w14:textId="1DBF30D6" w:rsidR="00352F67" w:rsidRDefault="00352F67" w:rsidP="00661068">
      <w:pPr>
        <w:pStyle w:val="Heading3"/>
      </w:pPr>
      <w:bookmarkStart w:id="17" w:name="_Toc481579468"/>
      <w:r w:rsidRPr="00E85717">
        <w:t xml:space="preserve">Notices under </w:t>
      </w:r>
      <w:r w:rsidR="00904008">
        <w:t>different directives</w:t>
      </w:r>
      <w:bookmarkEnd w:id="17"/>
    </w:p>
    <w:p w14:paraId="36A11C0D" w14:textId="5BCD3FCB" w:rsidR="0028659D" w:rsidRDefault="0028659D" w:rsidP="006D3492">
      <w:r w:rsidRPr="0028659D">
        <w:t>Issue</w:t>
      </w:r>
    </w:p>
    <w:p w14:paraId="32B0FFE0" w14:textId="70A6A28C" w:rsidR="00DA3075" w:rsidRDefault="00DA3075" w:rsidP="00A70255">
      <w:pPr>
        <w:pStyle w:val="NoSpacing"/>
      </w:pPr>
      <w:r w:rsidRPr="00DA3075">
        <w:t>There</w:t>
      </w:r>
      <w:r>
        <w:t xml:space="preserve"> are several procurement directives, and each one is to a certain degree different</w:t>
      </w:r>
      <w:r w:rsidR="00526F62">
        <w:t xml:space="preserve"> (e.g. different thresholds, different legal obligations)</w:t>
      </w:r>
      <w:r>
        <w:t xml:space="preserve">. In other words, "procurement" means something a bit different under, for example, the general procurement directive and the concession directive. Also, slightly different data gets collected under </w:t>
      </w:r>
      <w:r w:rsidR="00C019E3">
        <w:t>each directive</w:t>
      </w:r>
      <w:r>
        <w:t xml:space="preserve"> (e.g. there is no information about the procedure in the concession directive, beyond whether there was a call for competition or not).</w:t>
      </w:r>
    </w:p>
    <w:p w14:paraId="0A23C563" w14:textId="77777777" w:rsidR="00DA3075" w:rsidRDefault="00DA3075" w:rsidP="006D3492"/>
    <w:p w14:paraId="668A953C" w14:textId="6D8C0BAA" w:rsidR="00DA3075" w:rsidRDefault="00DA3075" w:rsidP="006D3492">
      <w:r w:rsidRPr="00DA3075">
        <w:t>Decision</w:t>
      </w:r>
    </w:p>
    <w:p w14:paraId="30A8760A" w14:textId="4E65ABE1" w:rsidR="00DA3075" w:rsidRDefault="00837290" w:rsidP="00A70255">
      <w:pPr>
        <w:pStyle w:val="NoSpacing"/>
      </w:pPr>
      <w:r>
        <w:t>We include all the directives</w:t>
      </w:r>
      <w:r w:rsidR="00344EE3">
        <w:t xml:space="preserve"> </w:t>
      </w:r>
      <w:r w:rsidR="00A97439">
        <w:t xml:space="preserve">(including concessions) </w:t>
      </w:r>
      <w:r w:rsidR="00344EE3">
        <w:t>in our indicators</w:t>
      </w:r>
      <w:r>
        <w:t>, because w</w:t>
      </w:r>
      <w:r w:rsidR="00DA3075" w:rsidRPr="00DA3075">
        <w:t>e b</w:t>
      </w:r>
      <w:r w:rsidR="00DA3075">
        <w:t>elieve that the concepts are similar enough</w:t>
      </w:r>
      <w:r w:rsidR="00A97439">
        <w:t xml:space="preserve"> for answering policy-relevant questions</w:t>
      </w:r>
      <w:r w:rsidR="00FC003B">
        <w:t>.</w:t>
      </w:r>
    </w:p>
    <w:p w14:paraId="6520D51C" w14:textId="77777777" w:rsidR="007E7AF8" w:rsidRDefault="007E7AF8" w:rsidP="00A70255">
      <w:pPr>
        <w:pStyle w:val="NoSpacing"/>
      </w:pPr>
    </w:p>
    <w:p w14:paraId="379C7B53" w14:textId="1DB0F6BB" w:rsidR="007E7AF8" w:rsidRDefault="007E7AF8" w:rsidP="00A70255">
      <w:pPr>
        <w:pStyle w:val="NoSpacing"/>
      </w:pPr>
      <w:r>
        <w:t xml:space="preserve">We note that authorities also sometimes publish notices falling under </w:t>
      </w:r>
      <w:r w:rsidR="00307886">
        <w:t>the</w:t>
      </w:r>
      <w:r>
        <w:t xml:space="preserve"> wrong directive. </w:t>
      </w:r>
    </w:p>
    <w:p w14:paraId="446D92D2" w14:textId="77777777" w:rsidR="007E7AF8" w:rsidRDefault="007E7AF8" w:rsidP="00A70255">
      <w:pPr>
        <w:pStyle w:val="NoSpacing"/>
      </w:pPr>
    </w:p>
    <w:p w14:paraId="5AF2D70E" w14:textId="2D2CA7AD" w:rsidR="00591FB5" w:rsidRPr="00E85717" w:rsidRDefault="00591FB5" w:rsidP="00A70255">
      <w:pPr>
        <w:pStyle w:val="NoSpacing"/>
      </w:pPr>
      <w:r>
        <w:t>However, we do exclude directly awarded notices</w:t>
      </w:r>
      <w:r>
        <w:rPr>
          <w:rStyle w:val="FootnoteReference"/>
        </w:rPr>
        <w:footnoteReference w:id="11"/>
      </w:r>
      <w:r>
        <w:t xml:space="preserve"> which, in Annex D, specify that </w:t>
      </w:r>
      <w:r w:rsidRPr="00E85717">
        <w:t xml:space="preserve">"The procurement falls outside of the scope of application of the </w:t>
      </w:r>
      <w:r w:rsidR="004F0936">
        <w:t>D</w:t>
      </w:r>
      <w:r w:rsidRPr="00E85717">
        <w:t xml:space="preserve">irective". </w:t>
      </w:r>
    </w:p>
    <w:p w14:paraId="075B4AB9" w14:textId="73739C5F" w:rsidR="00F55EEA" w:rsidRPr="00E85717" w:rsidRDefault="00F55EEA" w:rsidP="00661068">
      <w:pPr>
        <w:pStyle w:val="Heading3"/>
      </w:pPr>
      <w:bookmarkStart w:id="18" w:name="_Ref479945283"/>
      <w:bookmarkStart w:id="19" w:name="_Toc481579469"/>
      <w:r w:rsidRPr="00E85717">
        <w:t xml:space="preserve">Notices under </w:t>
      </w:r>
      <w:r>
        <w:t>different legal regimes</w:t>
      </w:r>
      <w:r w:rsidR="00904008">
        <w:t xml:space="preserve"> within a directive</w:t>
      </w:r>
      <w:bookmarkEnd w:id="18"/>
      <w:bookmarkEnd w:id="19"/>
    </w:p>
    <w:p w14:paraId="14EFE649" w14:textId="62178F89" w:rsidR="00352F67" w:rsidRDefault="00904008" w:rsidP="006D3492">
      <w:r w:rsidRPr="00904008">
        <w:t>Issue</w:t>
      </w:r>
    </w:p>
    <w:p w14:paraId="00664B17" w14:textId="61298C06" w:rsidR="00006D8D" w:rsidRDefault="00006D8D" w:rsidP="00A70255">
      <w:pPr>
        <w:pStyle w:val="NoSpacing"/>
      </w:pPr>
      <w:r w:rsidRPr="00006D8D">
        <w:t>Within a procurement directive</w:t>
      </w:r>
      <w:r>
        <w:t>, some types of procurement are regulated differently than the rest</w:t>
      </w:r>
      <w:r w:rsidR="00526F62">
        <w:t xml:space="preserve"> (e.g. different thresholds, different legal obligations)</w:t>
      </w:r>
      <w:r>
        <w:t xml:space="preserve">. </w:t>
      </w:r>
      <w:r w:rsidR="005D39BC">
        <w:t xml:space="preserve">In particular, </w:t>
      </w:r>
      <w:r w:rsidR="00526F62">
        <w:t xml:space="preserve">this </w:t>
      </w:r>
      <w:r w:rsidR="003F6754">
        <w:t>is the case for design contests,</w:t>
      </w:r>
      <w:r w:rsidR="00526F62">
        <w:t xml:space="preserve"> </w:t>
      </w:r>
      <w:r w:rsidR="005D39BC">
        <w:t>under the new directives</w:t>
      </w:r>
      <w:r w:rsidR="00420623">
        <w:rPr>
          <w:rStyle w:val="FootnoteReference"/>
        </w:rPr>
        <w:footnoteReference w:id="12"/>
      </w:r>
      <w:r w:rsidR="005D39BC">
        <w:t xml:space="preserve"> </w:t>
      </w:r>
      <w:r w:rsidR="000112A9">
        <w:t>for "social and other specific services"</w:t>
      </w:r>
      <w:r w:rsidR="003F6754">
        <w:t>,</w:t>
      </w:r>
      <w:r w:rsidR="000112A9">
        <w:t xml:space="preserve"> and in the old directives</w:t>
      </w:r>
      <w:r w:rsidR="00420623">
        <w:rPr>
          <w:rStyle w:val="FootnoteReference"/>
        </w:rPr>
        <w:footnoteReference w:id="13"/>
      </w:r>
      <w:r w:rsidR="000112A9">
        <w:t xml:space="preserve"> for "services listed in Annex II B of 2004/18/EC</w:t>
      </w:r>
      <w:r w:rsidR="00BA394C">
        <w:t>”</w:t>
      </w:r>
      <w:r w:rsidR="000112A9">
        <w:t xml:space="preserve"> </w:t>
      </w:r>
      <w:r w:rsidR="00BA394C">
        <w:t>(</w:t>
      </w:r>
      <w:r w:rsidR="000112A9">
        <w:t xml:space="preserve">and </w:t>
      </w:r>
      <w:r w:rsidR="00BA394C">
        <w:t xml:space="preserve">corresponding </w:t>
      </w:r>
      <w:r w:rsidR="000112A9">
        <w:t xml:space="preserve">annexes in </w:t>
      </w:r>
      <w:r w:rsidR="000C3EAE">
        <w:t>2014/17/EC and 2009/81/EC</w:t>
      </w:r>
      <w:r w:rsidR="00BA394C">
        <w:t>)</w:t>
      </w:r>
      <w:r w:rsidR="000112A9">
        <w:t xml:space="preserve">. </w:t>
      </w:r>
    </w:p>
    <w:p w14:paraId="510AF5BE" w14:textId="77777777" w:rsidR="008B7AD5" w:rsidRDefault="008B7AD5" w:rsidP="00A70255">
      <w:pPr>
        <w:pStyle w:val="NoSpacing"/>
      </w:pPr>
    </w:p>
    <w:p w14:paraId="2346F1B5" w14:textId="73B377C1" w:rsidR="00837290" w:rsidRPr="00837290" w:rsidRDefault="00837290" w:rsidP="006D3492">
      <w:r w:rsidRPr="00837290">
        <w:t>Decision</w:t>
      </w:r>
    </w:p>
    <w:p w14:paraId="4EF74F39" w14:textId="6383B3E1" w:rsidR="00526F62" w:rsidRDefault="00526F62" w:rsidP="00A70255">
      <w:pPr>
        <w:pStyle w:val="NoSpacing"/>
      </w:pPr>
      <w:r>
        <w:t xml:space="preserve">We do not include design contests, as they do not lead to the award of a contract, and thus are not in our opinion comparable to other types of procurement. We include the other light </w:t>
      </w:r>
      <w:r w:rsidR="00356E87">
        <w:t>regimes: ""social services" and "A</w:t>
      </w:r>
      <w:r w:rsidR="00D554C4">
        <w:t xml:space="preserve">nnex II B", because we consider them to be sufficiently similar. </w:t>
      </w:r>
    </w:p>
    <w:p w14:paraId="6578C4AA" w14:textId="77777777" w:rsidR="00092204" w:rsidRDefault="00302009" w:rsidP="00A70255">
      <w:pPr>
        <w:pStyle w:val="NoSpacing"/>
      </w:pPr>
      <w:r>
        <w:t>In particular</w:t>
      </w:r>
      <w:r w:rsidR="00D554C4">
        <w:t>, the o</w:t>
      </w:r>
      <w:r w:rsidR="00D554C4" w:rsidRPr="00E85717">
        <w:t xml:space="preserve">ld directives' "Annex IIB services" are included, </w:t>
      </w:r>
      <w:r w:rsidR="00D554C4">
        <w:t>because</w:t>
      </w:r>
      <w:r w:rsidR="00D554C4" w:rsidRPr="00E85717">
        <w:t xml:space="preserve"> </w:t>
      </w:r>
      <w:r w:rsidR="00E17754">
        <w:t xml:space="preserve">their basic regulation - </w:t>
      </w:r>
      <w:r w:rsidR="00D554C4" w:rsidRPr="00E85717">
        <w:t xml:space="preserve">"Contracts which have as their object services listed in Annex II B shall be subject solely to Article 23 </w:t>
      </w:r>
      <w:r w:rsidR="00D554C4" w:rsidRPr="00E85717">
        <w:lastRenderedPageBreak/>
        <w:t>and Article 35(4))</w:t>
      </w:r>
      <w:r w:rsidR="003B521C">
        <w:rPr>
          <w:rStyle w:val="FootnoteReference"/>
        </w:rPr>
        <w:footnoteReference w:id="14"/>
      </w:r>
      <w:r w:rsidR="00D554C4" w:rsidRPr="00E85717">
        <w:t>"</w:t>
      </w:r>
      <w:r w:rsidR="00D554C4">
        <w:t xml:space="preserve"> </w:t>
      </w:r>
      <w:r w:rsidR="00E17754">
        <w:t xml:space="preserve">- </w:t>
      </w:r>
      <w:r w:rsidR="00D554C4">
        <w:t xml:space="preserve">still means that </w:t>
      </w:r>
      <w:r w:rsidR="00D554C4" w:rsidRPr="00E85717">
        <w:t>technical specifications should be non-discriminatory and publication of notices is mandatory (even though they can be marked as "not for publication")</w:t>
      </w:r>
      <w:r w:rsidR="00D554C4">
        <w:t xml:space="preserve">. </w:t>
      </w:r>
      <w:r w:rsidR="005470D5" w:rsidRPr="00E85717">
        <w:t xml:space="preserve">Furthermore, since Annex IIB is </w:t>
      </w:r>
      <w:r w:rsidR="005470D5">
        <w:t xml:space="preserve">a normal part of procurement under </w:t>
      </w:r>
      <w:r w:rsidR="005470D5" w:rsidRPr="00E85717">
        <w:t xml:space="preserve">the new procurement directives, including </w:t>
      </w:r>
      <w:r w:rsidR="00F81766">
        <w:t xml:space="preserve">such services also for the </w:t>
      </w:r>
      <w:r w:rsidR="005470D5" w:rsidRPr="00E85717">
        <w:t>past makes the data more comparable across years.</w:t>
      </w:r>
      <w:r>
        <w:t xml:space="preserve"> </w:t>
      </w:r>
    </w:p>
    <w:p w14:paraId="3E6E0AA0" w14:textId="77777777" w:rsidR="00092204" w:rsidRDefault="00092204" w:rsidP="00A70255">
      <w:pPr>
        <w:pStyle w:val="NoSpacing"/>
      </w:pPr>
    </w:p>
    <w:p w14:paraId="73AF63F0" w14:textId="651DAC76" w:rsidR="00C21F61" w:rsidRDefault="00684EA9" w:rsidP="00A70255">
      <w:pPr>
        <w:pStyle w:val="NoSpacing"/>
      </w:pPr>
      <w:r>
        <w:t xml:space="preserve">However, "Annex II B services" are </w:t>
      </w:r>
      <w:r w:rsidR="00433FDF">
        <w:t xml:space="preserve">excluded for the indicator on the use of negotiated procedures, because in their case this procedure is not a "bad practice" – the lighter regime was put in place precisely because publishing calls for competition may be difficult for these types of services. </w:t>
      </w:r>
    </w:p>
    <w:p w14:paraId="6F606E30" w14:textId="2FCA190E" w:rsidR="00B16935" w:rsidRDefault="00B16935" w:rsidP="00535889">
      <w:pPr>
        <w:pStyle w:val="Heading3"/>
      </w:pPr>
      <w:bookmarkStart w:id="20" w:name="_Ref480298921"/>
      <w:bookmarkStart w:id="21" w:name="_Toc481579470"/>
      <w:r>
        <w:t xml:space="preserve">Different types of </w:t>
      </w:r>
      <w:bookmarkEnd w:id="20"/>
      <w:r w:rsidR="002C7843">
        <w:t>calls for competition</w:t>
      </w:r>
      <w:bookmarkEnd w:id="21"/>
    </w:p>
    <w:p w14:paraId="617012BC" w14:textId="77777777" w:rsidR="00B16935" w:rsidRDefault="00B16935" w:rsidP="00B16935">
      <w:pPr>
        <w:rPr>
          <w:lang w:val="en-US"/>
        </w:rPr>
      </w:pPr>
      <w:r w:rsidRPr="00F17AE8">
        <w:rPr>
          <w:lang w:val="en-US"/>
        </w:rPr>
        <w:t>Issue</w:t>
      </w:r>
    </w:p>
    <w:p w14:paraId="238B9455" w14:textId="294391EB" w:rsidR="00B16935" w:rsidRDefault="00B16935" w:rsidP="00B16935">
      <w:pPr>
        <w:pStyle w:val="NoSpacing"/>
        <w:rPr>
          <w:lang w:val="en-US"/>
        </w:rPr>
      </w:pPr>
      <w:r>
        <w:rPr>
          <w:lang w:val="en-US"/>
        </w:rPr>
        <w:t xml:space="preserve">There are slight differences in the regulation of different types of CFCs: the contract notices, </w:t>
      </w:r>
      <w:r w:rsidR="008851B9">
        <w:rPr>
          <w:lang w:val="en-US"/>
        </w:rPr>
        <w:t xml:space="preserve">the concession notice, </w:t>
      </w:r>
      <w:r>
        <w:rPr>
          <w:lang w:val="en-US"/>
        </w:rPr>
        <w:t>the prior information notices used as a call for competition,</w:t>
      </w:r>
      <w:r w:rsidR="00063A20">
        <w:rPr>
          <w:lang w:val="en-US"/>
        </w:rPr>
        <w:t xml:space="preserve"> and the qualification system</w:t>
      </w:r>
      <w:r>
        <w:rPr>
          <w:lang w:val="en-US"/>
        </w:rPr>
        <w:t>.</w:t>
      </w:r>
    </w:p>
    <w:p w14:paraId="3CC65925" w14:textId="77777777" w:rsidR="00B16935" w:rsidRDefault="00B16935" w:rsidP="00B16935">
      <w:pPr>
        <w:rPr>
          <w:lang w:val="en-US"/>
        </w:rPr>
      </w:pPr>
    </w:p>
    <w:p w14:paraId="2056B93C" w14:textId="77777777" w:rsidR="00B16935" w:rsidRDefault="00B16935" w:rsidP="00B16935">
      <w:pPr>
        <w:rPr>
          <w:lang w:val="en-US"/>
        </w:rPr>
      </w:pPr>
      <w:r w:rsidRPr="00F17AE8">
        <w:rPr>
          <w:lang w:val="en-US"/>
        </w:rPr>
        <w:t>Decision</w:t>
      </w:r>
    </w:p>
    <w:p w14:paraId="1970CDA3" w14:textId="77777777" w:rsidR="00B2627A" w:rsidRDefault="00B2627A" w:rsidP="00B2627A">
      <w:pPr>
        <w:rPr>
          <w:b w:val="0"/>
          <w:lang w:val="en-US"/>
        </w:rPr>
      </w:pPr>
      <w:r>
        <w:rPr>
          <w:b w:val="0"/>
          <w:lang w:val="en-US"/>
        </w:rPr>
        <w:t>For simplicity, w</w:t>
      </w:r>
      <w:r w:rsidRPr="00B2627A">
        <w:rPr>
          <w:b w:val="0"/>
          <w:lang w:val="en-US"/>
        </w:rPr>
        <w:t xml:space="preserve">e include all of them </w:t>
      </w:r>
      <w:r>
        <w:rPr>
          <w:b w:val="0"/>
          <w:lang w:val="en-US"/>
        </w:rPr>
        <w:t xml:space="preserve">in CFC-based indicators. </w:t>
      </w:r>
    </w:p>
    <w:p w14:paraId="2D4E187C" w14:textId="77777777" w:rsidR="00B2627A" w:rsidRDefault="00B2627A" w:rsidP="00B2627A">
      <w:pPr>
        <w:rPr>
          <w:b w:val="0"/>
          <w:lang w:val="en-US"/>
        </w:rPr>
      </w:pPr>
    </w:p>
    <w:p w14:paraId="1D522CF0" w14:textId="36277392" w:rsidR="00B16935" w:rsidRPr="00E85717" w:rsidRDefault="00B2627A" w:rsidP="00B2627A">
      <w:r>
        <w:rPr>
          <w:b w:val="0"/>
          <w:lang w:val="en-US"/>
        </w:rPr>
        <w:t xml:space="preserve">We note this does not bias the calculation of the time necessary between receiving bids and awarding contracts. </w:t>
      </w:r>
      <w:r w:rsidR="00F108E1">
        <w:rPr>
          <w:b w:val="0"/>
          <w:lang w:val="en-US"/>
        </w:rPr>
        <w:t>It is true that</w:t>
      </w:r>
      <w:r>
        <w:rPr>
          <w:b w:val="0"/>
          <w:lang w:val="en-US"/>
        </w:rPr>
        <w:t xml:space="preserve">, assuming the data is available, this period is clearly different for qualification systems and possibly also prior information notices with </w:t>
      </w:r>
      <w:r w:rsidR="00854B73">
        <w:rPr>
          <w:b w:val="0"/>
          <w:lang w:val="en-US"/>
        </w:rPr>
        <w:t xml:space="preserve">a </w:t>
      </w:r>
      <w:r>
        <w:rPr>
          <w:b w:val="0"/>
          <w:lang w:val="en-US"/>
        </w:rPr>
        <w:t>call for competition</w:t>
      </w:r>
      <w:r w:rsidR="00F108E1">
        <w:rPr>
          <w:b w:val="0"/>
          <w:lang w:val="en-US"/>
        </w:rPr>
        <w:t xml:space="preserve">. However, </w:t>
      </w:r>
      <w:r>
        <w:rPr>
          <w:b w:val="0"/>
          <w:lang w:val="en-US"/>
        </w:rPr>
        <w:t xml:space="preserve">these notices </w:t>
      </w:r>
      <w:r w:rsidR="00F108E1">
        <w:rPr>
          <w:b w:val="0"/>
          <w:lang w:val="en-US"/>
        </w:rPr>
        <w:t>will always be ex</w:t>
      </w:r>
      <w:r>
        <w:rPr>
          <w:b w:val="0"/>
          <w:lang w:val="en-US"/>
        </w:rPr>
        <w:t xml:space="preserve">cluded </w:t>
      </w:r>
      <w:r w:rsidR="00F108E1">
        <w:rPr>
          <w:b w:val="0"/>
          <w:lang w:val="en-US"/>
        </w:rPr>
        <w:t xml:space="preserve">from </w:t>
      </w:r>
      <w:r>
        <w:rPr>
          <w:b w:val="0"/>
          <w:lang w:val="en-US"/>
        </w:rPr>
        <w:t xml:space="preserve">the calculation of the indicator, because </w:t>
      </w:r>
      <w:r w:rsidR="00F108E1">
        <w:rPr>
          <w:b w:val="0"/>
          <w:lang w:val="en-US"/>
        </w:rPr>
        <w:t>it is based only on open procedures, and PIN CFC cannot be used for an open procedure, while QS does not contain information about which procedures was used.</w:t>
      </w:r>
    </w:p>
    <w:p w14:paraId="726C81FE" w14:textId="3B792D99" w:rsidR="00E235F7" w:rsidRDefault="00E235F7" w:rsidP="00661068">
      <w:pPr>
        <w:pStyle w:val="Heading3"/>
      </w:pPr>
      <w:r>
        <w:t xml:space="preserve"> </w:t>
      </w:r>
      <w:bookmarkStart w:id="22" w:name="_Toc481579471"/>
      <w:r>
        <w:t xml:space="preserve">Notices from EU and other international </w:t>
      </w:r>
      <w:r w:rsidR="0054087D">
        <w:t>institutions</w:t>
      </w:r>
      <w:bookmarkEnd w:id="22"/>
    </w:p>
    <w:p w14:paraId="7EF07F25" w14:textId="28A53DF0" w:rsidR="00C91DC6" w:rsidRDefault="00C91DC6" w:rsidP="006D3492">
      <w:pPr>
        <w:rPr>
          <w:lang w:val="en-US"/>
        </w:rPr>
      </w:pPr>
      <w:r w:rsidRPr="00C91DC6">
        <w:rPr>
          <w:lang w:val="en-US"/>
        </w:rPr>
        <w:t>Issue</w:t>
      </w:r>
    </w:p>
    <w:p w14:paraId="101317D0" w14:textId="517445B0" w:rsidR="00136186" w:rsidRPr="00136186" w:rsidRDefault="00136186" w:rsidP="00A70255">
      <w:pPr>
        <w:pStyle w:val="NoSpacing"/>
        <w:rPr>
          <w:lang w:val="en-US"/>
        </w:rPr>
      </w:pPr>
      <w:r w:rsidRPr="00136186">
        <w:rPr>
          <w:lang w:val="en-US"/>
        </w:rPr>
        <w:t>TED data</w:t>
      </w:r>
      <w:r>
        <w:rPr>
          <w:lang w:val="en-US"/>
        </w:rPr>
        <w:t xml:space="preserve"> does contain only procurement by Member States, but also by EU and other international institutions. </w:t>
      </w:r>
    </w:p>
    <w:p w14:paraId="6B4A9E3B" w14:textId="77777777" w:rsidR="00C91DC6" w:rsidRDefault="00C91DC6" w:rsidP="006D3492">
      <w:pPr>
        <w:rPr>
          <w:lang w:val="en-US"/>
        </w:rPr>
      </w:pPr>
    </w:p>
    <w:p w14:paraId="6645E771" w14:textId="22CCD04A" w:rsidR="00C91DC6" w:rsidRPr="00C91DC6" w:rsidRDefault="00C91DC6" w:rsidP="006D3492">
      <w:pPr>
        <w:rPr>
          <w:lang w:val="en-US"/>
        </w:rPr>
      </w:pPr>
      <w:r w:rsidRPr="00C91DC6">
        <w:rPr>
          <w:lang w:val="en-US"/>
        </w:rPr>
        <w:t>Decision</w:t>
      </w:r>
    </w:p>
    <w:p w14:paraId="609665F0" w14:textId="6E7D62E2" w:rsidR="00E235F7" w:rsidRDefault="00136186" w:rsidP="00A70255">
      <w:pPr>
        <w:pStyle w:val="NoSpacing"/>
      </w:pPr>
      <w:r>
        <w:t>For the purpose of country indicators, these notices are excluded, because they are not national procurement (e.g. they can bias</w:t>
      </w:r>
      <w:r w:rsidR="005B4148">
        <w:t xml:space="preserve"> the description of</w:t>
      </w:r>
      <w:r>
        <w:t xml:space="preserve"> Belgian procurement). </w:t>
      </w:r>
    </w:p>
    <w:p w14:paraId="15118222" w14:textId="77777777" w:rsidR="00EC6737" w:rsidRDefault="00EC6737" w:rsidP="00661068">
      <w:pPr>
        <w:pStyle w:val="Heading3"/>
      </w:pPr>
      <w:r>
        <w:t xml:space="preserve"> </w:t>
      </w:r>
      <w:bookmarkStart w:id="23" w:name="_Ref479942810"/>
      <w:bookmarkStart w:id="24" w:name="_Toc481579472"/>
      <w:r>
        <w:t>Fields moving from notice level to lot level</w:t>
      </w:r>
      <w:bookmarkEnd w:id="23"/>
      <w:bookmarkEnd w:id="24"/>
      <w:r>
        <w:t xml:space="preserve"> </w:t>
      </w:r>
    </w:p>
    <w:p w14:paraId="5FBC0A78" w14:textId="3B74D98D" w:rsidR="00731BCB" w:rsidRDefault="000A5674" w:rsidP="006D3492">
      <w:pPr>
        <w:rPr>
          <w:lang w:val="en-US"/>
        </w:rPr>
      </w:pPr>
      <w:r>
        <w:rPr>
          <w:lang w:val="en-US"/>
        </w:rPr>
        <w:t>Issue</w:t>
      </w:r>
    </w:p>
    <w:p w14:paraId="70A4315F" w14:textId="6A5CA4DA" w:rsidR="009F6831" w:rsidRDefault="009F6831" w:rsidP="00A70255">
      <w:pPr>
        <w:pStyle w:val="NoSpacing"/>
      </w:pPr>
      <w:r>
        <w:t xml:space="preserve">An </w:t>
      </w:r>
      <w:r w:rsidR="00EC6737" w:rsidRPr="00656139">
        <w:t xml:space="preserve">indicator </w:t>
      </w:r>
      <w:r>
        <w:t xml:space="preserve">could be based on field at the </w:t>
      </w:r>
      <w:r w:rsidR="00EC6737" w:rsidRPr="00656139">
        <w:t xml:space="preserve">CAN level, but then </w:t>
      </w:r>
      <w:r>
        <w:t xml:space="preserve">got </w:t>
      </w:r>
      <w:r w:rsidR="00EC6737" w:rsidRPr="00656139">
        <w:t xml:space="preserve">moved to lot level or </w:t>
      </w:r>
      <w:r>
        <w:t>contract award</w:t>
      </w:r>
      <w:r w:rsidR="00EC6737" w:rsidRPr="00656139">
        <w:t xml:space="preserve"> level</w:t>
      </w:r>
      <w:r w:rsidR="000A5674">
        <w:t>.</w:t>
      </w:r>
      <w:r w:rsidR="00EC6737" w:rsidRPr="00656139">
        <w:t xml:space="preserve"> </w:t>
      </w:r>
      <w:r w:rsidR="000A5674">
        <w:t>T</w:t>
      </w:r>
      <w:r w:rsidR="00EC6737" w:rsidRPr="00656139">
        <w:t xml:space="preserve">his happened for many fields between the standard forms under the 2004 and 2014 directives, </w:t>
      </w:r>
      <w:r>
        <w:t xml:space="preserve">e.g. </w:t>
      </w:r>
      <w:r w:rsidR="006D7C09">
        <w:t xml:space="preserve">award criteria, </w:t>
      </w:r>
      <w:r>
        <w:t xml:space="preserve">duration of the contract. </w:t>
      </w:r>
      <w:r w:rsidRPr="00656139">
        <w:t xml:space="preserve">This means that the level of analysis may differ from year to year and in some years (in particular 2016) also country to country, because some countries are using the </w:t>
      </w:r>
      <w:r w:rsidR="000C2445">
        <w:t>2.0.9 forms</w:t>
      </w:r>
      <w:r w:rsidRPr="00656139">
        <w:t>, some old</w:t>
      </w:r>
      <w:r w:rsidR="000C2445">
        <w:t>er</w:t>
      </w:r>
      <w:r w:rsidRPr="00656139">
        <w:t xml:space="preserve"> forms.</w:t>
      </w:r>
    </w:p>
    <w:p w14:paraId="33A86A49" w14:textId="77777777" w:rsidR="009F6831" w:rsidRDefault="009F6831" w:rsidP="00A70255">
      <w:pPr>
        <w:pStyle w:val="NoSpacing"/>
      </w:pPr>
    </w:p>
    <w:p w14:paraId="0C06224E" w14:textId="625ECFCB" w:rsidR="009F6831" w:rsidRPr="009F6831" w:rsidRDefault="009F6831" w:rsidP="00A70255">
      <w:pPr>
        <w:pStyle w:val="NoSpacing"/>
        <w:rPr>
          <w:b/>
        </w:rPr>
      </w:pPr>
      <w:r w:rsidRPr="009F6831">
        <w:rPr>
          <w:b/>
        </w:rPr>
        <w:t>Decision</w:t>
      </w:r>
    </w:p>
    <w:p w14:paraId="53623E7B" w14:textId="65ADF18A" w:rsidR="00EC6737" w:rsidRDefault="00852CF7" w:rsidP="00D20A1C">
      <w:pPr>
        <w:pStyle w:val="NoSpacing"/>
      </w:pPr>
      <w:r>
        <w:t xml:space="preserve">We calculate the </w:t>
      </w:r>
      <w:r w:rsidR="00EC6737" w:rsidRPr="00656139">
        <w:t xml:space="preserve">indicators at the </w:t>
      </w:r>
      <w:r>
        <w:t xml:space="preserve">most </w:t>
      </w:r>
      <w:r w:rsidR="00EC6737" w:rsidRPr="00656139">
        <w:t>granular level</w:t>
      </w:r>
      <w:r w:rsidR="00C13FDA">
        <w:t xml:space="preserve"> possible</w:t>
      </w:r>
      <w:r w:rsidR="00EC6737" w:rsidRPr="00656139">
        <w:t xml:space="preserve">. </w:t>
      </w:r>
      <w:r w:rsidR="006D7C09">
        <w:t xml:space="preserve">For example, award </w:t>
      </w:r>
      <w:r w:rsidR="000E2638">
        <w:t xml:space="preserve">criteria </w:t>
      </w:r>
      <w:r w:rsidR="00491AD3">
        <w:t xml:space="preserve">have been published at notice level before 2.0.9 and at lot level </w:t>
      </w:r>
      <w:r w:rsidR="009B6B15">
        <w:t xml:space="preserve">beginning with 2.0.9. Thus, we </w:t>
      </w:r>
      <w:r w:rsidR="00491AD3">
        <w:t xml:space="preserve">calculate them at the lot level. If a notice does not contain information at the lot level, </w:t>
      </w:r>
      <w:r w:rsidR="00D20A1C">
        <w:t>we take the information at the notice level as being part of every lot. (T</w:t>
      </w:r>
      <w:r w:rsidR="004E1409">
        <w:t xml:space="preserve">his is </w:t>
      </w:r>
      <w:r w:rsidR="00D20A1C">
        <w:t xml:space="preserve">equivalent to </w:t>
      </w:r>
      <w:r w:rsidR="00491AD3">
        <w:t>weight</w:t>
      </w:r>
      <w:r w:rsidR="00D20A1C">
        <w:t>ing</w:t>
      </w:r>
      <w:r w:rsidR="00491AD3">
        <w:t xml:space="preserve"> the notice by the number of lots</w:t>
      </w:r>
      <w:r w:rsidR="00D20A1C">
        <w:t>.)</w:t>
      </w:r>
      <w:r w:rsidR="00491AD3">
        <w:t xml:space="preserve"> </w:t>
      </w:r>
    </w:p>
    <w:p w14:paraId="3ACD36CC" w14:textId="58BE949A" w:rsidR="00731BCB" w:rsidRDefault="00731BCB" w:rsidP="00661068">
      <w:pPr>
        <w:pStyle w:val="Heading3"/>
      </w:pPr>
      <w:bookmarkStart w:id="25" w:name="_Toc481579473"/>
      <w:r>
        <w:lastRenderedPageBreak/>
        <w:t xml:space="preserve">Notices with buyers coming from </w:t>
      </w:r>
      <w:r w:rsidR="00BD7332">
        <w:t>multiple</w:t>
      </w:r>
      <w:r>
        <w:t xml:space="preserve"> countries</w:t>
      </w:r>
      <w:bookmarkEnd w:id="25"/>
    </w:p>
    <w:p w14:paraId="5759AC3F" w14:textId="421421D2" w:rsidR="00731BCB" w:rsidRPr="00EC6737" w:rsidRDefault="00746C45" w:rsidP="006D3492">
      <w:pPr>
        <w:rPr>
          <w:lang w:val="en-US"/>
        </w:rPr>
      </w:pPr>
      <w:r>
        <w:rPr>
          <w:lang w:val="en-US"/>
        </w:rPr>
        <w:t>Issue</w:t>
      </w:r>
    </w:p>
    <w:p w14:paraId="798FACB3" w14:textId="380FA841" w:rsidR="00731BCB" w:rsidRDefault="00746C45" w:rsidP="00A70255">
      <w:pPr>
        <w:pStyle w:val="NoSpacing"/>
        <w:rPr>
          <w:lang w:val="en-US"/>
        </w:rPr>
      </w:pPr>
      <w:r>
        <w:rPr>
          <w:lang w:val="en-US"/>
        </w:rPr>
        <w:t>In 2.0.9 forms, n</w:t>
      </w:r>
      <w:r w:rsidR="00BF4614">
        <w:rPr>
          <w:lang w:val="en-US"/>
        </w:rPr>
        <w:t xml:space="preserve">otices can have multiple buyers, which </w:t>
      </w:r>
      <w:r w:rsidR="004758C0">
        <w:rPr>
          <w:lang w:val="en-US"/>
        </w:rPr>
        <w:t xml:space="preserve">raises the question </w:t>
      </w:r>
      <w:r w:rsidR="007A6AFB">
        <w:rPr>
          <w:lang w:val="en-US"/>
        </w:rPr>
        <w:t xml:space="preserve">of </w:t>
      </w:r>
      <w:r w:rsidR="00152669">
        <w:rPr>
          <w:lang w:val="en-US"/>
        </w:rPr>
        <w:t>which</w:t>
      </w:r>
      <w:r w:rsidR="004758C0">
        <w:rPr>
          <w:lang w:val="en-US"/>
        </w:rPr>
        <w:t xml:space="preserve"> country’s indicators</w:t>
      </w:r>
      <w:r w:rsidR="00152669">
        <w:rPr>
          <w:lang w:val="en-US"/>
        </w:rPr>
        <w:t xml:space="preserve"> should they be attributed</w:t>
      </w:r>
      <w:r w:rsidR="007A6AFB">
        <w:rPr>
          <w:lang w:val="en-US"/>
        </w:rPr>
        <w:t xml:space="preserve"> to</w:t>
      </w:r>
      <w:r w:rsidR="004758C0">
        <w:rPr>
          <w:lang w:val="en-US"/>
        </w:rPr>
        <w:t>.</w:t>
      </w:r>
    </w:p>
    <w:p w14:paraId="3A8F51D6" w14:textId="77777777" w:rsidR="00731BCB" w:rsidRDefault="00731BCB" w:rsidP="006D3492">
      <w:pPr>
        <w:rPr>
          <w:lang w:val="en-US"/>
        </w:rPr>
      </w:pPr>
    </w:p>
    <w:p w14:paraId="27434853" w14:textId="68965896" w:rsidR="00731BCB" w:rsidRPr="00731BCB" w:rsidRDefault="00731BCB" w:rsidP="006D3492">
      <w:pPr>
        <w:rPr>
          <w:lang w:val="en-US"/>
        </w:rPr>
      </w:pPr>
      <w:r w:rsidRPr="00731BCB">
        <w:rPr>
          <w:lang w:val="en-US"/>
        </w:rPr>
        <w:t>Decision</w:t>
      </w:r>
    </w:p>
    <w:p w14:paraId="5B3A59DD" w14:textId="2B2E1D2B" w:rsidR="00731BCB" w:rsidRDefault="004758C0" w:rsidP="00A70255">
      <w:pPr>
        <w:pStyle w:val="NoSpacing"/>
        <w:rPr>
          <w:lang w:val="en-US"/>
        </w:rPr>
      </w:pPr>
      <w:r>
        <w:rPr>
          <w:lang w:val="en-US"/>
        </w:rPr>
        <w:t xml:space="preserve">We follow the approach taken by the Publication Office, which chooses the first one on the assumption that it is the </w:t>
      </w:r>
      <w:r w:rsidR="00430BD6">
        <w:rPr>
          <w:lang w:val="en-US"/>
        </w:rPr>
        <w:t>lead buyer</w:t>
      </w:r>
      <w:r>
        <w:rPr>
          <w:lang w:val="en-US"/>
        </w:rPr>
        <w:t>.</w:t>
      </w:r>
      <w:r>
        <w:rPr>
          <w:rStyle w:val="FootnoteReference"/>
          <w:lang w:val="en-US"/>
        </w:rPr>
        <w:footnoteReference w:id="15"/>
      </w:r>
      <w:r>
        <w:rPr>
          <w:lang w:val="en-US"/>
        </w:rPr>
        <w:t xml:space="preserve"> </w:t>
      </w:r>
    </w:p>
    <w:p w14:paraId="2893D49D" w14:textId="77777777" w:rsidR="00B43C0D" w:rsidRDefault="00B43C0D" w:rsidP="00A70255">
      <w:pPr>
        <w:pStyle w:val="NoSpacing"/>
        <w:rPr>
          <w:lang w:val="en-US"/>
        </w:rPr>
      </w:pPr>
    </w:p>
    <w:p w14:paraId="0B846984" w14:textId="4EEE3752" w:rsidR="00B43C0D" w:rsidRDefault="00891FAD" w:rsidP="00B43C0D">
      <w:pPr>
        <w:pStyle w:val="NoSpacing"/>
      </w:pPr>
      <w:r>
        <w:rPr>
          <w:lang w:val="en-US"/>
        </w:rPr>
        <w:t xml:space="preserve">A more complicated approach can be </w:t>
      </w:r>
      <w:r w:rsidR="00B43C0D">
        <w:rPr>
          <w:lang w:val="en-US"/>
        </w:rPr>
        <w:t xml:space="preserve">to take </w:t>
      </w:r>
      <w:r w:rsidR="00731BCB" w:rsidRPr="00E85717">
        <w:t xml:space="preserve">the country </w:t>
      </w:r>
      <w:r w:rsidR="00B43C0D">
        <w:t>from which the highest number of bidders comes.</w:t>
      </w:r>
      <w:r>
        <w:t xml:space="preserve"> We do not go for the more complicated option for the sake of consistency, simplicity, and the very low number of these cases. </w:t>
      </w:r>
    </w:p>
    <w:p w14:paraId="6B59D11F" w14:textId="77777777" w:rsidR="00B43C0D" w:rsidRDefault="00B43C0D" w:rsidP="00B43C0D">
      <w:pPr>
        <w:pStyle w:val="NoSpacing"/>
      </w:pPr>
    </w:p>
    <w:p w14:paraId="5F468483" w14:textId="6FB88E44" w:rsidR="00731BCB" w:rsidRDefault="00B43C0D" w:rsidP="00B43C0D">
      <w:pPr>
        <w:pStyle w:val="NoSpacing"/>
        <w:rPr>
          <w:b/>
        </w:rPr>
      </w:pPr>
      <w:r w:rsidRPr="00B43C0D">
        <w:rPr>
          <w:b/>
        </w:rPr>
        <w:t xml:space="preserve">Future </w:t>
      </w:r>
    </w:p>
    <w:p w14:paraId="1636B839" w14:textId="52C83164" w:rsidR="00642C2A" w:rsidRDefault="00B43C0D" w:rsidP="00B43C0D">
      <w:pPr>
        <w:pStyle w:val="NoSpacing"/>
      </w:pPr>
      <w:r w:rsidRPr="00B43C0D">
        <w:t>In future forms</w:t>
      </w:r>
      <w:r>
        <w:t>, it should be possible to explicitly mark a lead buyer.</w:t>
      </w:r>
    </w:p>
    <w:p w14:paraId="12C91BD5" w14:textId="6AD6B1AC" w:rsidR="00F17F50" w:rsidRDefault="00F17F50" w:rsidP="00F17F50">
      <w:pPr>
        <w:pStyle w:val="Heading3"/>
      </w:pPr>
      <w:bookmarkStart w:id="26" w:name="_Toc481579474"/>
      <w:r>
        <w:t>Definitions of fields</w:t>
      </w:r>
      <w:bookmarkEnd w:id="26"/>
    </w:p>
    <w:p w14:paraId="6D5BDE3D" w14:textId="0AE481CC" w:rsidR="00474CBE" w:rsidRDefault="00474CBE" w:rsidP="00A03D79">
      <w:pPr>
        <w:spacing w:line="276" w:lineRule="auto"/>
      </w:pPr>
      <w:r>
        <w:t>Issue</w:t>
      </w:r>
    </w:p>
    <w:p w14:paraId="2AD94D31" w14:textId="0B32C95F" w:rsidR="004A43FD" w:rsidRDefault="00474CBE" w:rsidP="00463CD2">
      <w:pPr>
        <w:pStyle w:val="NoSpacing"/>
      </w:pPr>
      <w:r w:rsidRPr="00474CBE">
        <w:t xml:space="preserve">Some fields are </w:t>
      </w:r>
      <w:r>
        <w:t>not clearly defined</w:t>
      </w:r>
      <w:r w:rsidR="00DA3197">
        <w:t xml:space="preserve"> for all situations</w:t>
      </w:r>
      <w:r>
        <w:t xml:space="preserve">, so </w:t>
      </w:r>
      <w:r w:rsidR="004A43FD">
        <w:t xml:space="preserve">there is </w:t>
      </w:r>
      <w:r w:rsidR="00DA3197">
        <w:t>im</w:t>
      </w:r>
      <w:r w:rsidR="004A43FD">
        <w:t xml:space="preserve">perfect </w:t>
      </w:r>
      <w:r>
        <w:t xml:space="preserve">comparability. This </w:t>
      </w:r>
      <w:r w:rsidR="004A43FD">
        <w:t xml:space="preserve">may be because of a lack of definition in the standard forms (e.g. for the number of bids, see </w:t>
      </w:r>
      <w:r w:rsidR="004A43FD">
        <w:fldChar w:fldCharType="begin"/>
      </w:r>
      <w:r w:rsidR="004A43FD">
        <w:instrText xml:space="preserve"> REF _Ref480376967 \r \h </w:instrText>
      </w:r>
      <w:r w:rsidR="00463CD2">
        <w:instrText xml:space="preserve"> \* MERGEFORMAT </w:instrText>
      </w:r>
      <w:r w:rsidR="004A43FD">
        <w:fldChar w:fldCharType="separate"/>
      </w:r>
      <w:r w:rsidR="00114DBB">
        <w:t>3.1</w:t>
      </w:r>
      <w:r w:rsidR="004A43FD">
        <w:fldChar w:fldCharType="end"/>
      </w:r>
      <w:r w:rsidR="00A03D79">
        <w:t>) or</w:t>
      </w:r>
      <w:r w:rsidR="004A43FD">
        <w:t xml:space="preserve"> different procurement legislation (e.g. </w:t>
      </w:r>
      <w:r w:rsidR="00DA3197">
        <w:t xml:space="preserve">possibly </w:t>
      </w:r>
      <w:r w:rsidR="004A43FD">
        <w:t xml:space="preserve">for negotiated procedures, see </w:t>
      </w:r>
      <w:r w:rsidR="004A43FD">
        <w:fldChar w:fldCharType="begin"/>
      </w:r>
      <w:r w:rsidR="004A43FD">
        <w:instrText xml:space="preserve"> REF _Ref480376996 \r \h </w:instrText>
      </w:r>
      <w:r w:rsidR="00463CD2">
        <w:instrText xml:space="preserve"> \* MERGEFORMAT </w:instrText>
      </w:r>
      <w:r w:rsidR="004A43FD">
        <w:fldChar w:fldCharType="separate"/>
      </w:r>
      <w:r w:rsidR="00114DBB">
        <w:t>3.2</w:t>
      </w:r>
      <w:r w:rsidR="004A43FD">
        <w:fldChar w:fldCharType="end"/>
      </w:r>
      <w:r w:rsidR="004A43FD">
        <w:t>)</w:t>
      </w:r>
      <w:r w:rsidR="00A03D79">
        <w:t>.</w:t>
      </w:r>
      <w:r w:rsidR="004A43FD">
        <w:t xml:space="preserve"> </w:t>
      </w:r>
    </w:p>
    <w:p w14:paraId="361B4300" w14:textId="77777777" w:rsidR="00463CD2" w:rsidRDefault="00463CD2" w:rsidP="00463CD2">
      <w:pPr>
        <w:pStyle w:val="NoSpacing"/>
      </w:pPr>
    </w:p>
    <w:p w14:paraId="31D75E07" w14:textId="06B5C688" w:rsidR="004A43FD" w:rsidRDefault="004A43FD" w:rsidP="00463CD2">
      <w:pPr>
        <w:pStyle w:val="NoSpacing"/>
        <w:rPr>
          <w:lang w:val="en-US"/>
        </w:rPr>
      </w:pPr>
      <w:r>
        <w:rPr>
          <w:lang w:val="en-US"/>
        </w:rPr>
        <w:t>For all definitional issues, we note that in larger or less centralized countries definitions could cause discrepancies even at the level of federal states, individual authorities, or different providers of e-procurement platforms.</w:t>
      </w:r>
    </w:p>
    <w:p w14:paraId="4EE63137" w14:textId="77777777" w:rsidR="00463CD2" w:rsidRDefault="00463CD2" w:rsidP="00463CD2">
      <w:pPr>
        <w:pStyle w:val="NoSpacing"/>
      </w:pPr>
    </w:p>
    <w:p w14:paraId="7869B8D3" w14:textId="7B542E6C" w:rsidR="00474CBE" w:rsidRDefault="00474CBE" w:rsidP="00A03D79">
      <w:pPr>
        <w:spacing w:line="276" w:lineRule="auto"/>
      </w:pPr>
      <w:r>
        <w:t>Decision</w:t>
      </w:r>
    </w:p>
    <w:p w14:paraId="61E40600" w14:textId="749B1BE6" w:rsidR="00463CD2" w:rsidRDefault="00463CD2" w:rsidP="00463CD2">
      <w:pPr>
        <w:pStyle w:val="NoSpacing"/>
      </w:pPr>
      <w:r>
        <w:t xml:space="preserve">Since no information </w:t>
      </w:r>
      <w:r w:rsidR="00DA3197">
        <w:t xml:space="preserve">is available </w:t>
      </w:r>
      <w:r w:rsidR="00EC2D8B">
        <w:t>to correct this information, we use it as it is.</w:t>
      </w:r>
    </w:p>
    <w:p w14:paraId="05B85274" w14:textId="77777777" w:rsidR="00463CD2" w:rsidRDefault="00463CD2" w:rsidP="00A03D79">
      <w:pPr>
        <w:spacing w:line="276" w:lineRule="auto"/>
        <w:rPr>
          <w:b w:val="0"/>
        </w:rPr>
      </w:pPr>
    </w:p>
    <w:p w14:paraId="50B4C474" w14:textId="52FDA228" w:rsidR="00A03D79" w:rsidRDefault="002F4B16" w:rsidP="00463CD2">
      <w:r>
        <w:t>Future</w:t>
      </w:r>
    </w:p>
    <w:p w14:paraId="27765E95" w14:textId="30EC45D9" w:rsidR="00463CD2" w:rsidRDefault="002F4B16" w:rsidP="002F4B16">
      <w:pPr>
        <w:pStyle w:val="NoSpacing"/>
      </w:pPr>
      <w:r>
        <w:t xml:space="preserve">Definitional ambiguities should be resolved in a future version of the form. </w:t>
      </w:r>
    </w:p>
    <w:p w14:paraId="21F5B0C6" w14:textId="75BD21D1" w:rsidR="00DF3F59" w:rsidRDefault="00DF3F59">
      <w:pPr>
        <w:spacing w:after="200" w:line="276" w:lineRule="auto"/>
        <w:rPr>
          <w:b w:val="0"/>
        </w:rPr>
      </w:pPr>
      <w:r>
        <w:rPr>
          <w:b w:val="0"/>
        </w:rPr>
        <w:br w:type="page"/>
      </w:r>
    </w:p>
    <w:p w14:paraId="2A4753E3" w14:textId="73F25BAD" w:rsidR="008E59D5" w:rsidRDefault="008E59D5" w:rsidP="00661068">
      <w:pPr>
        <w:pStyle w:val="Heading2"/>
      </w:pPr>
      <w:bookmarkStart w:id="27" w:name="_Toc481579475"/>
      <w:r w:rsidRPr="00E85717">
        <w:lastRenderedPageBreak/>
        <w:t xml:space="preserve">Methodological </w:t>
      </w:r>
      <w:r w:rsidR="00473EB1">
        <w:t>issues</w:t>
      </w:r>
      <w:r w:rsidRPr="00E85717">
        <w:t xml:space="preserve"> </w:t>
      </w:r>
      <w:r w:rsidR="00473EB1">
        <w:t xml:space="preserve">for individual </w:t>
      </w:r>
      <w:r w:rsidRPr="00E85717">
        <w:t>indicators</w:t>
      </w:r>
      <w:bookmarkEnd w:id="27"/>
    </w:p>
    <w:p w14:paraId="0F029CE0" w14:textId="77777777" w:rsidR="00A16482" w:rsidRDefault="00A16482" w:rsidP="00A16482">
      <w:pPr>
        <w:pStyle w:val="NoSpacing"/>
        <w:rPr>
          <w:lang w:val="en-US"/>
        </w:rPr>
      </w:pPr>
    </w:p>
    <w:p w14:paraId="11DC9D6B" w14:textId="25510E4F" w:rsidR="0007025A" w:rsidRDefault="00A16482" w:rsidP="00A16482">
      <w:pPr>
        <w:pStyle w:val="NoSpacing"/>
        <w:rPr>
          <w:lang w:val="en-US"/>
        </w:rPr>
      </w:pPr>
      <w:r>
        <w:rPr>
          <w:lang w:val="en-US"/>
        </w:rPr>
        <w:t>This chapter explains methodological issues linked to only one indicator. We do not re</w:t>
      </w:r>
      <w:r w:rsidR="005154E4">
        <w:rPr>
          <w:lang w:val="en-US"/>
        </w:rPr>
        <w:t>peat the implication of the issues explained above on individual indicators</w:t>
      </w:r>
      <w:r w:rsidR="00796F7C">
        <w:rPr>
          <w:lang w:val="en-US"/>
        </w:rPr>
        <w:t xml:space="preserve"> (occasionally, we include references).</w:t>
      </w:r>
    </w:p>
    <w:p w14:paraId="4219D2ED" w14:textId="77777777" w:rsidR="0007025A" w:rsidRDefault="0007025A" w:rsidP="00A16482">
      <w:pPr>
        <w:pStyle w:val="NoSpacing"/>
        <w:rPr>
          <w:lang w:val="en-US"/>
        </w:rPr>
      </w:pPr>
    </w:p>
    <w:p w14:paraId="72490574" w14:textId="7F89377B" w:rsidR="00A16482" w:rsidRDefault="00AE5401" w:rsidP="00A16482">
      <w:pPr>
        <w:pStyle w:val="NoSpacing"/>
        <w:rPr>
          <w:lang w:val="en-US"/>
        </w:rPr>
      </w:pPr>
      <w:r>
        <w:rPr>
          <w:lang w:val="en-US"/>
        </w:rPr>
        <w:t xml:space="preserve">The order of the indicators and their name corresponds to those used in the </w:t>
      </w:r>
      <w:hyperlink r:id="rId13" w:history="1">
        <w:r w:rsidRPr="00AE5401">
          <w:rPr>
            <w:rStyle w:val="Hyperlink"/>
            <w:lang w:val="en-US"/>
          </w:rPr>
          <w:t>Single Market Scoreboard</w:t>
        </w:r>
      </w:hyperlink>
      <w:r>
        <w:rPr>
          <w:lang w:val="en-US"/>
        </w:rPr>
        <w:t>.</w:t>
      </w:r>
      <w:r w:rsidR="00A16482">
        <w:rPr>
          <w:lang w:val="en-US"/>
        </w:rPr>
        <w:t xml:space="preserve"> </w:t>
      </w:r>
      <w:r w:rsidR="0007025A">
        <w:rPr>
          <w:lang w:val="en-US"/>
        </w:rPr>
        <w:t xml:space="preserve">We do </w:t>
      </w:r>
      <w:r w:rsidR="00480CDA">
        <w:rPr>
          <w:lang w:val="en-US"/>
        </w:rPr>
        <w:t>not repeat the definitions given</w:t>
      </w:r>
      <w:r w:rsidR="0007025A">
        <w:rPr>
          <w:lang w:val="en-US"/>
        </w:rPr>
        <w:t xml:space="preserve"> in the scoreboard. </w:t>
      </w:r>
    </w:p>
    <w:p w14:paraId="4D69CEBE" w14:textId="77777777" w:rsidR="00B14F7F" w:rsidRDefault="00B14F7F" w:rsidP="00A16482">
      <w:pPr>
        <w:pStyle w:val="NoSpacing"/>
        <w:rPr>
          <w:lang w:val="en-US"/>
        </w:rPr>
      </w:pPr>
    </w:p>
    <w:p w14:paraId="5D3646EF" w14:textId="313E1937" w:rsidR="00DD0721" w:rsidRDefault="00DD0721" w:rsidP="00661068">
      <w:pPr>
        <w:pStyle w:val="Heading3"/>
      </w:pPr>
      <w:bookmarkStart w:id="28" w:name="_Ref480376967"/>
      <w:bookmarkStart w:id="29" w:name="_Toc481579476"/>
      <w:bookmarkStart w:id="30" w:name="_Ref479936811"/>
      <w:r>
        <w:t>One bidder</w:t>
      </w:r>
      <w:bookmarkEnd w:id="28"/>
      <w:bookmarkEnd w:id="29"/>
    </w:p>
    <w:p w14:paraId="3CE1FDAC" w14:textId="1CCF1EAE" w:rsidR="006066D4" w:rsidRDefault="006066D4" w:rsidP="006066D4">
      <w:pPr>
        <w:rPr>
          <w:lang w:val="en-US"/>
        </w:rPr>
      </w:pPr>
      <w:r>
        <w:rPr>
          <w:lang w:val="en-US"/>
        </w:rPr>
        <w:t>Issue</w:t>
      </w:r>
    </w:p>
    <w:p w14:paraId="5D26892C" w14:textId="11D42CA8" w:rsidR="00B77933" w:rsidRDefault="006066D4" w:rsidP="006066D4">
      <w:pPr>
        <w:rPr>
          <w:b w:val="0"/>
          <w:lang w:val="en-US"/>
        </w:rPr>
      </w:pPr>
      <w:r>
        <w:rPr>
          <w:b w:val="0"/>
          <w:lang w:val="en-US"/>
        </w:rPr>
        <w:t xml:space="preserve">This indicator relies on the field "Number of offers received" </w:t>
      </w:r>
      <w:r w:rsidR="00BD6BEC">
        <w:rPr>
          <w:b w:val="0"/>
          <w:lang w:val="en-US"/>
        </w:rPr>
        <w:t xml:space="preserve">(pre-2.0.9) </w:t>
      </w:r>
      <w:r>
        <w:rPr>
          <w:b w:val="0"/>
          <w:lang w:val="en-US"/>
        </w:rPr>
        <w:t xml:space="preserve">or "Number of tenders received" </w:t>
      </w:r>
      <w:r w:rsidR="00BD6BEC">
        <w:rPr>
          <w:b w:val="0"/>
          <w:lang w:val="en-US"/>
        </w:rPr>
        <w:t xml:space="preserve">(2.0.9). However, the meaning of this field is likely not perfectly harmonized across the EU. </w:t>
      </w:r>
      <w:r w:rsidR="00B77933">
        <w:rPr>
          <w:b w:val="0"/>
          <w:lang w:val="en-US"/>
        </w:rPr>
        <w:t>In fact, at least three interpretations are possible:</w:t>
      </w:r>
    </w:p>
    <w:p w14:paraId="44CD8E0B" w14:textId="773F0F90" w:rsidR="006066D4" w:rsidRDefault="00B77933" w:rsidP="00B77933">
      <w:pPr>
        <w:pStyle w:val="ListParagraph"/>
        <w:numPr>
          <w:ilvl w:val="0"/>
          <w:numId w:val="37"/>
        </w:numPr>
        <w:rPr>
          <w:lang w:val="en-US"/>
        </w:rPr>
      </w:pPr>
      <w:r>
        <w:rPr>
          <w:lang w:val="en-US"/>
        </w:rPr>
        <w:t>All tenders received (anecdotally, this is the case e.g. in the Czech Republic).</w:t>
      </w:r>
    </w:p>
    <w:p w14:paraId="3AFBD6D1" w14:textId="1913BA2F" w:rsidR="00B77933" w:rsidRDefault="00B77933" w:rsidP="00B77933">
      <w:pPr>
        <w:pStyle w:val="ListParagraph"/>
        <w:numPr>
          <w:ilvl w:val="0"/>
          <w:numId w:val="37"/>
        </w:numPr>
        <w:rPr>
          <w:lang w:val="en-US"/>
        </w:rPr>
      </w:pPr>
      <w:r>
        <w:rPr>
          <w:lang w:val="en-US"/>
        </w:rPr>
        <w:t xml:space="preserve">All tenders received, which were not excluded for technical reasons (e.g. wrong format of the tender). </w:t>
      </w:r>
    </w:p>
    <w:p w14:paraId="6213311A" w14:textId="4EE80993" w:rsidR="00B77933" w:rsidRPr="00B77933" w:rsidRDefault="00B77933" w:rsidP="00B77933">
      <w:pPr>
        <w:pStyle w:val="ListParagraph"/>
        <w:numPr>
          <w:ilvl w:val="0"/>
          <w:numId w:val="37"/>
        </w:numPr>
        <w:rPr>
          <w:lang w:val="en-US"/>
        </w:rPr>
      </w:pPr>
      <w:r>
        <w:rPr>
          <w:lang w:val="en-US"/>
        </w:rPr>
        <w:t xml:space="preserve">All tenders received, which were not excluded for technical reasons, passed the exclusion grounds and the selection criteria (anecdotally, this is the case e.g. in Hungary).  </w:t>
      </w:r>
    </w:p>
    <w:p w14:paraId="064C1E96" w14:textId="77777777" w:rsidR="00DD0721" w:rsidRDefault="00DD0721" w:rsidP="00DD0721">
      <w:pPr>
        <w:rPr>
          <w:lang w:val="en-US"/>
        </w:rPr>
      </w:pPr>
    </w:p>
    <w:p w14:paraId="66572BCB" w14:textId="51B31AC2" w:rsidR="00520B23" w:rsidRDefault="00520B23" w:rsidP="00DD0721">
      <w:pPr>
        <w:rPr>
          <w:b w:val="0"/>
          <w:lang w:val="en-US"/>
        </w:rPr>
      </w:pPr>
      <w:r w:rsidRPr="00520B23">
        <w:rPr>
          <w:b w:val="0"/>
          <w:lang w:val="en-US"/>
        </w:rPr>
        <w:t xml:space="preserve">Furthermore, </w:t>
      </w:r>
      <w:r>
        <w:rPr>
          <w:b w:val="0"/>
          <w:lang w:val="en-US"/>
        </w:rPr>
        <w:t xml:space="preserve">before 2.0.9, the "Number of offers" might have also been interpreted differently </w:t>
      </w:r>
      <w:r w:rsidR="00B14F7F">
        <w:rPr>
          <w:b w:val="0"/>
          <w:lang w:val="en-US"/>
        </w:rPr>
        <w:t xml:space="preserve">in case of two-stage procedures, </w:t>
      </w:r>
      <w:r w:rsidR="003F12E8">
        <w:rPr>
          <w:b w:val="0"/>
          <w:lang w:val="en-US"/>
        </w:rPr>
        <w:t xml:space="preserve">where instead of being understood as "number of tenders" (as requested by the directives) it might also be understood as the first sign of interest by companies, i.e. the "number of or requests to participate". </w:t>
      </w:r>
    </w:p>
    <w:p w14:paraId="7AB6BDDE" w14:textId="77777777" w:rsidR="003F12E8" w:rsidRDefault="003F12E8" w:rsidP="00DD0721">
      <w:pPr>
        <w:rPr>
          <w:b w:val="0"/>
          <w:lang w:val="en-US"/>
        </w:rPr>
      </w:pPr>
    </w:p>
    <w:p w14:paraId="12987AA3" w14:textId="26D76915" w:rsidR="006001C8" w:rsidRDefault="006F1ECA" w:rsidP="00DD0721">
      <w:pPr>
        <w:rPr>
          <w:b w:val="0"/>
          <w:lang w:val="en-US"/>
        </w:rPr>
      </w:pPr>
      <w:r>
        <w:rPr>
          <w:b w:val="0"/>
          <w:lang w:val="en-US"/>
        </w:rPr>
        <w:t xml:space="preserve">Besides </w:t>
      </w:r>
      <w:r w:rsidR="00593E0D">
        <w:rPr>
          <w:b w:val="0"/>
          <w:lang w:val="en-US"/>
        </w:rPr>
        <w:t xml:space="preserve">the </w:t>
      </w:r>
      <w:r>
        <w:rPr>
          <w:b w:val="0"/>
          <w:lang w:val="en-US"/>
        </w:rPr>
        <w:t xml:space="preserve">definition, we also note that alternative indicators with a similar message could be calculated: not only the </w:t>
      </w:r>
      <w:r w:rsidR="006001C8">
        <w:rPr>
          <w:b w:val="0"/>
          <w:lang w:val="en-US"/>
        </w:rPr>
        <w:t>"</w:t>
      </w:r>
      <w:r w:rsidR="006001C8" w:rsidRPr="006001C8">
        <w:rPr>
          <w:b w:val="0"/>
          <w:lang w:val="en-US"/>
        </w:rPr>
        <w:t>proportion of contracts awarded where there was just one bidder</w:t>
      </w:r>
      <w:r w:rsidR="006001C8">
        <w:rPr>
          <w:b w:val="0"/>
          <w:lang w:val="en-US"/>
        </w:rPr>
        <w:t xml:space="preserve">", but also the "median number of bids" or the "average number of bids". </w:t>
      </w:r>
    </w:p>
    <w:p w14:paraId="30E71243" w14:textId="77777777" w:rsidR="00593E0D" w:rsidRDefault="00593E0D" w:rsidP="00DD0721">
      <w:pPr>
        <w:rPr>
          <w:b w:val="0"/>
          <w:lang w:val="en-US"/>
        </w:rPr>
      </w:pPr>
    </w:p>
    <w:p w14:paraId="2BB460B1" w14:textId="43A5B890" w:rsidR="00593E0D" w:rsidRDefault="00593E0D" w:rsidP="00DD0721">
      <w:pPr>
        <w:rPr>
          <w:b w:val="0"/>
          <w:lang w:val="en-US"/>
        </w:rPr>
      </w:pPr>
      <w:r>
        <w:rPr>
          <w:b w:val="0"/>
          <w:lang w:val="en-US"/>
        </w:rPr>
        <w:t xml:space="preserve">Finally, as discussed in point </w:t>
      </w:r>
      <w:r w:rsidR="00895740">
        <w:rPr>
          <w:b w:val="0"/>
          <w:lang w:val="en-US"/>
        </w:rPr>
        <w:fldChar w:fldCharType="begin"/>
      </w:r>
      <w:r w:rsidR="00895740">
        <w:rPr>
          <w:b w:val="0"/>
          <w:lang w:val="en-US"/>
        </w:rPr>
        <w:instrText xml:space="preserve"> REF _Ref472936116 \r \h </w:instrText>
      </w:r>
      <w:r w:rsidR="00895740">
        <w:rPr>
          <w:b w:val="0"/>
          <w:lang w:val="en-US"/>
        </w:rPr>
      </w:r>
      <w:r w:rsidR="00895740">
        <w:rPr>
          <w:b w:val="0"/>
          <w:lang w:val="en-US"/>
        </w:rPr>
        <w:fldChar w:fldCharType="separate"/>
      </w:r>
      <w:r w:rsidR="00114DBB">
        <w:rPr>
          <w:b w:val="0"/>
          <w:lang w:val="en-US"/>
        </w:rPr>
        <w:t>2.2.3</w:t>
      </w:r>
      <w:r w:rsidR="00895740">
        <w:rPr>
          <w:b w:val="0"/>
          <w:lang w:val="en-US"/>
        </w:rPr>
        <w:fldChar w:fldCharType="end"/>
      </w:r>
      <w:r w:rsidR="00895740">
        <w:rPr>
          <w:b w:val="0"/>
          <w:lang w:val="en-US"/>
        </w:rPr>
        <w:t>, in some countries</w:t>
      </w:r>
      <w:r w:rsidR="00B204C6">
        <w:rPr>
          <w:b w:val="0"/>
          <w:lang w:val="en-US"/>
        </w:rPr>
        <w:t xml:space="preserve">, contracts within framework agreements </w:t>
      </w:r>
      <w:r w:rsidR="00CC285B">
        <w:rPr>
          <w:b w:val="0"/>
          <w:lang w:val="en-US"/>
        </w:rPr>
        <w:t xml:space="preserve">are published on TED. In these cases, there is no clear consensus on how to inform about </w:t>
      </w:r>
      <w:r w:rsidR="00C93C11">
        <w:rPr>
          <w:b w:val="0"/>
          <w:lang w:val="en-US"/>
        </w:rPr>
        <w:t xml:space="preserve">the number of bids. In particular, </w:t>
      </w:r>
      <w:r w:rsidR="00366100">
        <w:rPr>
          <w:b w:val="0"/>
          <w:lang w:val="en-US"/>
        </w:rPr>
        <w:t xml:space="preserve">whether </w:t>
      </w:r>
      <w:r w:rsidR="00C93C11">
        <w:rPr>
          <w:b w:val="0"/>
          <w:lang w:val="en-US"/>
        </w:rPr>
        <w:t xml:space="preserve">for framework agreements without the reopening of competition the number of bids </w:t>
      </w:r>
      <w:r w:rsidR="00366100">
        <w:rPr>
          <w:b w:val="0"/>
          <w:lang w:val="en-US"/>
        </w:rPr>
        <w:t xml:space="preserve">should </w:t>
      </w:r>
      <w:r w:rsidR="00C93C11">
        <w:rPr>
          <w:b w:val="0"/>
          <w:lang w:val="en-US"/>
        </w:rPr>
        <w:t xml:space="preserve">be 1 (because there was no competition) or the original </w:t>
      </w:r>
      <w:r w:rsidR="008241A9">
        <w:rPr>
          <w:b w:val="0"/>
          <w:lang w:val="en-US"/>
        </w:rPr>
        <w:t>n</w:t>
      </w:r>
      <w:r w:rsidR="00C93C11">
        <w:rPr>
          <w:b w:val="0"/>
          <w:lang w:val="en-US"/>
        </w:rPr>
        <w:t>umber of bids</w:t>
      </w:r>
      <w:r w:rsidR="00366100">
        <w:rPr>
          <w:b w:val="0"/>
          <w:lang w:val="en-US"/>
        </w:rPr>
        <w:t xml:space="preserve">; and whether for </w:t>
      </w:r>
      <w:r w:rsidR="008241A9">
        <w:rPr>
          <w:b w:val="0"/>
          <w:lang w:val="en-US"/>
        </w:rPr>
        <w:t xml:space="preserve">framework agreements with reopening of competition, </w:t>
      </w:r>
      <w:r w:rsidR="00366100">
        <w:rPr>
          <w:b w:val="0"/>
          <w:lang w:val="en-US"/>
        </w:rPr>
        <w:t xml:space="preserve">the </w:t>
      </w:r>
      <w:r w:rsidR="008241A9">
        <w:rPr>
          <w:b w:val="0"/>
          <w:lang w:val="en-US"/>
        </w:rPr>
        <w:t xml:space="preserve">number of bids </w:t>
      </w:r>
      <w:r w:rsidR="00366100">
        <w:rPr>
          <w:b w:val="0"/>
          <w:lang w:val="en-US"/>
        </w:rPr>
        <w:t xml:space="preserve">should </w:t>
      </w:r>
      <w:r w:rsidR="008241A9">
        <w:rPr>
          <w:b w:val="0"/>
          <w:lang w:val="en-US"/>
        </w:rPr>
        <w:t>correspond to the number of bids for this purchase,</w:t>
      </w:r>
      <w:r w:rsidR="00366100">
        <w:rPr>
          <w:b w:val="0"/>
          <w:lang w:val="en-US"/>
        </w:rPr>
        <w:t xml:space="preserve"> or the original number of bids. </w:t>
      </w:r>
    </w:p>
    <w:p w14:paraId="2F331630" w14:textId="77777777" w:rsidR="006001C8" w:rsidRDefault="006001C8" w:rsidP="00DD0721">
      <w:pPr>
        <w:rPr>
          <w:b w:val="0"/>
          <w:lang w:val="en-US"/>
        </w:rPr>
      </w:pPr>
    </w:p>
    <w:p w14:paraId="5128D715" w14:textId="26D02316" w:rsidR="009874A0" w:rsidRDefault="009874A0" w:rsidP="00DD0721">
      <w:pPr>
        <w:rPr>
          <w:lang w:val="en-US"/>
        </w:rPr>
      </w:pPr>
      <w:r w:rsidRPr="009874A0">
        <w:rPr>
          <w:lang w:val="en-US"/>
        </w:rPr>
        <w:t>Decision</w:t>
      </w:r>
    </w:p>
    <w:p w14:paraId="19DED065" w14:textId="50FE417C" w:rsidR="009874A0" w:rsidRDefault="009874A0" w:rsidP="00DD0721">
      <w:pPr>
        <w:rPr>
          <w:b w:val="0"/>
          <w:lang w:val="en-US"/>
        </w:rPr>
      </w:pPr>
      <w:r w:rsidRPr="009874A0">
        <w:rPr>
          <w:b w:val="0"/>
          <w:lang w:val="en-US"/>
        </w:rPr>
        <w:t>We do not</w:t>
      </w:r>
      <w:r>
        <w:rPr>
          <w:b w:val="0"/>
          <w:lang w:val="en-US"/>
        </w:rPr>
        <w:t xml:space="preserve"> include any corrections, as information on different definitions is not easily </w:t>
      </w:r>
      <w:r w:rsidR="006001C8">
        <w:rPr>
          <w:b w:val="0"/>
          <w:lang w:val="en-US"/>
        </w:rPr>
        <w:t>accessible</w:t>
      </w:r>
      <w:r>
        <w:rPr>
          <w:b w:val="0"/>
          <w:lang w:val="en-US"/>
        </w:rPr>
        <w:t>.</w:t>
      </w:r>
    </w:p>
    <w:p w14:paraId="4523073E" w14:textId="77777777" w:rsidR="006001C8" w:rsidRDefault="006001C8" w:rsidP="00DD0721">
      <w:pPr>
        <w:rPr>
          <w:b w:val="0"/>
          <w:lang w:val="en-US"/>
        </w:rPr>
      </w:pPr>
    </w:p>
    <w:p w14:paraId="6BD99D27" w14:textId="6FEEA130" w:rsidR="006001C8" w:rsidRPr="009874A0" w:rsidRDefault="006001C8" w:rsidP="00DD0721">
      <w:pPr>
        <w:rPr>
          <w:b w:val="0"/>
          <w:lang w:val="en-US"/>
        </w:rPr>
      </w:pPr>
      <w:r>
        <w:rPr>
          <w:b w:val="0"/>
          <w:lang w:val="en-US"/>
        </w:rPr>
        <w:t xml:space="preserve">We use the percentage of </w:t>
      </w:r>
      <w:r w:rsidR="00591B83">
        <w:rPr>
          <w:b w:val="0"/>
          <w:lang w:val="en-US"/>
        </w:rPr>
        <w:t xml:space="preserve">one-bidder </w:t>
      </w:r>
      <w:r>
        <w:rPr>
          <w:b w:val="0"/>
          <w:lang w:val="en-US"/>
        </w:rPr>
        <w:t>contracts because it is most robust to outliers</w:t>
      </w:r>
      <w:r w:rsidR="003B0E1A">
        <w:rPr>
          <w:b w:val="0"/>
          <w:lang w:val="en-US"/>
        </w:rPr>
        <w:t xml:space="preserve"> and</w:t>
      </w:r>
      <w:r>
        <w:rPr>
          <w:b w:val="0"/>
          <w:lang w:val="en-US"/>
        </w:rPr>
        <w:t xml:space="preserve"> is frequently used in </w:t>
      </w:r>
      <w:r w:rsidR="002D2F8B">
        <w:rPr>
          <w:b w:val="0"/>
          <w:lang w:val="en-US"/>
        </w:rPr>
        <w:t xml:space="preserve">the </w:t>
      </w:r>
      <w:r>
        <w:rPr>
          <w:b w:val="0"/>
          <w:lang w:val="en-US"/>
        </w:rPr>
        <w:t>academic literature</w:t>
      </w:r>
      <w:r>
        <w:rPr>
          <w:rStyle w:val="FootnoteReference"/>
          <w:b w:val="0"/>
          <w:lang w:val="en-US"/>
        </w:rPr>
        <w:footnoteReference w:id="16"/>
      </w:r>
      <w:r w:rsidR="003B0E1A">
        <w:rPr>
          <w:b w:val="0"/>
          <w:lang w:val="en-US"/>
        </w:rPr>
        <w:t>. Furt</w:t>
      </w:r>
      <w:r w:rsidR="00816A26">
        <w:rPr>
          <w:b w:val="0"/>
          <w:lang w:val="en-US"/>
        </w:rPr>
        <w:t xml:space="preserve">hermore, it can also be argued that the difference between one and two bids (i.e. no competition and some competition) should be given more importance than </w:t>
      </w:r>
      <w:r w:rsidR="00591B83">
        <w:rPr>
          <w:b w:val="0"/>
          <w:lang w:val="en-US"/>
        </w:rPr>
        <w:t xml:space="preserve">the </w:t>
      </w:r>
      <w:r w:rsidR="00816A26">
        <w:rPr>
          <w:b w:val="0"/>
          <w:lang w:val="en-US"/>
        </w:rPr>
        <w:t>median and average bid indicators</w:t>
      </w:r>
      <w:r w:rsidR="00591B83">
        <w:rPr>
          <w:b w:val="0"/>
          <w:lang w:val="en-US"/>
        </w:rPr>
        <w:t xml:space="preserve"> give</w:t>
      </w:r>
      <w:r w:rsidR="00816A26">
        <w:rPr>
          <w:b w:val="0"/>
          <w:lang w:val="en-US"/>
        </w:rPr>
        <w:t>.</w:t>
      </w:r>
    </w:p>
    <w:p w14:paraId="24EB600A" w14:textId="77777777" w:rsidR="00B14F7F" w:rsidRDefault="00B14F7F" w:rsidP="00DD0721">
      <w:pPr>
        <w:rPr>
          <w:b w:val="0"/>
          <w:lang w:val="en-US"/>
        </w:rPr>
      </w:pPr>
    </w:p>
    <w:p w14:paraId="676BCFD3" w14:textId="4BB36B45" w:rsidR="00D4179F" w:rsidRDefault="00D4179F" w:rsidP="00DD0721">
      <w:pPr>
        <w:rPr>
          <w:b w:val="0"/>
          <w:lang w:val="en-US"/>
        </w:rPr>
      </w:pPr>
      <w:r>
        <w:rPr>
          <w:b w:val="0"/>
          <w:lang w:val="en-US"/>
        </w:rPr>
        <w:t>We exclude framework agreements</w:t>
      </w:r>
      <w:r w:rsidR="00DF147F">
        <w:rPr>
          <w:b w:val="0"/>
          <w:lang w:val="en-US"/>
        </w:rPr>
        <w:t xml:space="preserve"> and direct awards</w:t>
      </w:r>
      <w:r>
        <w:rPr>
          <w:b w:val="0"/>
          <w:lang w:val="en-US"/>
        </w:rPr>
        <w:t xml:space="preserve"> from the calculation of the One-bidder indicator.</w:t>
      </w:r>
    </w:p>
    <w:p w14:paraId="0D69F413" w14:textId="190CCF99" w:rsidR="008E59D5" w:rsidRDefault="000F515B" w:rsidP="00661068">
      <w:pPr>
        <w:pStyle w:val="Heading3"/>
      </w:pPr>
      <w:bookmarkStart w:id="31" w:name="_Ref480376996"/>
      <w:bookmarkStart w:id="32" w:name="_Toc481579477"/>
      <w:r>
        <w:t>No calls for bids</w:t>
      </w:r>
      <w:bookmarkEnd w:id="30"/>
      <w:bookmarkEnd w:id="31"/>
      <w:bookmarkEnd w:id="32"/>
    </w:p>
    <w:p w14:paraId="03A809C1" w14:textId="4C5BFBEC" w:rsidR="009657B1" w:rsidRDefault="009657B1" w:rsidP="006D3492">
      <w:r w:rsidRPr="009657B1">
        <w:t>Issue</w:t>
      </w:r>
    </w:p>
    <w:p w14:paraId="0DA4386F" w14:textId="259AAF31" w:rsidR="009657B1" w:rsidRDefault="009657B1" w:rsidP="007113DB">
      <w:pPr>
        <w:pStyle w:val="NoSpacing"/>
      </w:pPr>
      <w:r>
        <w:lastRenderedPageBreak/>
        <w:t xml:space="preserve">We are interested in how pervasive the use of </w:t>
      </w:r>
      <w:r w:rsidR="00333F17" w:rsidRPr="00333F17">
        <w:t>negotiated procedures without prior publication of a call for competition</w:t>
      </w:r>
      <w:r w:rsidR="00934C1C">
        <w:rPr>
          <w:rStyle w:val="FootnoteReference"/>
        </w:rPr>
        <w:footnoteReference w:id="17"/>
      </w:r>
      <w:r w:rsidR="00333F17">
        <w:t xml:space="preserve"> </w:t>
      </w:r>
      <w:r w:rsidR="00DF5126">
        <w:t>is</w:t>
      </w:r>
      <w:r>
        <w:t xml:space="preserve">. This means they need to be counted, and then compared to the overall number of procurement in the MS. </w:t>
      </w:r>
    </w:p>
    <w:p w14:paraId="32B67F7A" w14:textId="77777777" w:rsidR="00067A0A" w:rsidRDefault="00067A0A" w:rsidP="007113DB">
      <w:pPr>
        <w:pStyle w:val="NoSpacing"/>
      </w:pPr>
    </w:p>
    <w:p w14:paraId="2E481B3E" w14:textId="197931AF" w:rsidR="00AF601A" w:rsidRDefault="00CC328F" w:rsidP="007113DB">
      <w:pPr>
        <w:pStyle w:val="NoSpacing"/>
      </w:pPr>
      <w:r>
        <w:t>However, i</w:t>
      </w:r>
      <w:r w:rsidR="00AF601A">
        <w:t>n some countries, it may be the case that non-publication of CANs is false</w:t>
      </w:r>
      <w:r w:rsidR="00324F3B">
        <w:t xml:space="preserve">ly lowering the number of NOCs (see </w:t>
      </w:r>
      <w:r w:rsidR="00324F3B">
        <w:fldChar w:fldCharType="begin"/>
      </w:r>
      <w:r w:rsidR="00324F3B">
        <w:instrText xml:space="preserve"> REF _Ref472936114 \r \h </w:instrText>
      </w:r>
      <w:r w:rsidR="00324F3B">
        <w:fldChar w:fldCharType="separate"/>
      </w:r>
      <w:r w:rsidR="00114DBB">
        <w:t>2.2.2</w:t>
      </w:r>
      <w:r w:rsidR="00324F3B">
        <w:fldChar w:fldCharType="end"/>
      </w:r>
      <w:r w:rsidR="00324F3B">
        <w:t xml:space="preserve">). </w:t>
      </w:r>
    </w:p>
    <w:p w14:paraId="5359DC9E" w14:textId="77777777" w:rsidR="00FA48C8" w:rsidRDefault="00FA48C8" w:rsidP="007113DB">
      <w:pPr>
        <w:pStyle w:val="NoSpacing"/>
      </w:pPr>
    </w:p>
    <w:p w14:paraId="68C3B34C" w14:textId="324ECEF5" w:rsidR="00DF5126" w:rsidRDefault="00B85CCC" w:rsidP="007113DB">
      <w:pPr>
        <w:pStyle w:val="NoSpacing"/>
      </w:pPr>
      <w:r>
        <w:t>Also</w:t>
      </w:r>
      <w:r w:rsidR="00FA48C8">
        <w:t xml:space="preserve">, national legislation may influence what is categorised as a negotiated procedure without prior publication of a call for competition. </w:t>
      </w:r>
      <w:r w:rsidR="00622D6B">
        <w:t>F</w:t>
      </w:r>
      <w:r w:rsidR="00FA48C8">
        <w:t>or example</w:t>
      </w:r>
      <w:r w:rsidR="00622D6B">
        <w:t>, anecdotally,</w:t>
      </w:r>
      <w:r w:rsidR="00FA48C8">
        <w:t xml:space="preserve"> in </w:t>
      </w:r>
      <w:r w:rsidR="00DF5126">
        <w:t>Czech Republic</w:t>
      </w:r>
      <w:r w:rsidR="00FA48C8">
        <w:t xml:space="preserve"> and </w:t>
      </w:r>
      <w:r w:rsidR="00DF5126">
        <w:t>Bulgaria</w:t>
      </w:r>
      <w:r w:rsidR="00FA48C8">
        <w:t xml:space="preserve"> </w:t>
      </w:r>
      <w:r w:rsidR="00C67670">
        <w:t xml:space="preserve">many </w:t>
      </w:r>
      <w:r w:rsidR="00FA48C8">
        <w:t>contract modifications</w:t>
      </w:r>
      <w:r w:rsidR="00DF5126">
        <w:t xml:space="preserve"> are perceived as new procedures requiring a new notice, while in other countries they would only be perceived as a modification of an existing contract. </w:t>
      </w:r>
    </w:p>
    <w:p w14:paraId="5901BC55" w14:textId="00E8DABF" w:rsidR="00DF5126" w:rsidRDefault="0025562F" w:rsidP="007113DB">
      <w:pPr>
        <w:pStyle w:val="NoSpacing"/>
      </w:pPr>
      <w:r>
        <w:t xml:space="preserve"> </w:t>
      </w:r>
    </w:p>
    <w:p w14:paraId="4C163AB2" w14:textId="0BD68A92" w:rsidR="002A7149" w:rsidRDefault="002A7149" w:rsidP="007113DB">
      <w:r w:rsidRPr="002A7149">
        <w:t>Decision</w:t>
      </w:r>
    </w:p>
    <w:p w14:paraId="39A63C62" w14:textId="1900284D" w:rsidR="002A7149" w:rsidRPr="00FF059A" w:rsidRDefault="007B5A53" w:rsidP="00FF059A">
      <w:pPr>
        <w:pStyle w:val="NoSpacing"/>
      </w:pPr>
      <w:r w:rsidRPr="00FF059A">
        <w:t xml:space="preserve">We use all available CANs, because </w:t>
      </w:r>
      <w:r w:rsidR="00FF059A" w:rsidRPr="00FF059A">
        <w:t xml:space="preserve">it is not possible to easily correct for </w:t>
      </w:r>
      <w:r w:rsidR="00B6614F">
        <w:t xml:space="preserve">CAN </w:t>
      </w:r>
      <w:r w:rsidR="00FF059A" w:rsidRPr="00FF059A">
        <w:t>non-publication</w:t>
      </w:r>
      <w:r w:rsidR="009C7033">
        <w:rPr>
          <w:rStyle w:val="FootnoteReference"/>
        </w:rPr>
        <w:footnoteReference w:id="18"/>
      </w:r>
      <w:r w:rsidR="00FF059A" w:rsidRPr="00FF059A">
        <w:t xml:space="preserve">. </w:t>
      </w:r>
      <w:r w:rsidR="002A7149" w:rsidRPr="00FF059A">
        <w:t>For reasons stated in</w:t>
      </w:r>
      <w:r w:rsidR="002B0CCF">
        <w:t xml:space="preserve"> </w:t>
      </w:r>
      <w:r w:rsidR="002B0CCF">
        <w:fldChar w:fldCharType="begin"/>
      </w:r>
      <w:r w:rsidR="002B0CCF">
        <w:instrText xml:space="preserve"> REF _Ref479870072 \r \h </w:instrText>
      </w:r>
      <w:r w:rsidR="002B0CCF">
        <w:fldChar w:fldCharType="separate"/>
      </w:r>
      <w:r w:rsidR="00114DBB">
        <w:t>2.2</w:t>
      </w:r>
      <w:r w:rsidR="002B0CCF">
        <w:fldChar w:fldCharType="end"/>
      </w:r>
      <w:r w:rsidR="002A7149" w:rsidRPr="00FF059A">
        <w:t xml:space="preserve">, we </w:t>
      </w:r>
      <w:r w:rsidR="00A15DC7" w:rsidRPr="00FF059A">
        <w:t>use the number of CFC</w:t>
      </w:r>
      <w:r w:rsidR="00BD7999">
        <w:t xml:space="preserve">s as the denominator, as the proxy for </w:t>
      </w:r>
      <w:r w:rsidR="00FF059A">
        <w:t xml:space="preserve">the </w:t>
      </w:r>
      <w:r w:rsidR="00A15DC7" w:rsidRPr="00FF059A">
        <w:t xml:space="preserve">overall number of </w:t>
      </w:r>
      <w:r w:rsidR="00BD7999">
        <w:t xml:space="preserve">procedures </w:t>
      </w:r>
      <w:r w:rsidR="00A15DC7" w:rsidRPr="00FF059A">
        <w:t xml:space="preserve">in </w:t>
      </w:r>
      <w:r w:rsidR="00CB13DC" w:rsidRPr="00FF059A">
        <w:t xml:space="preserve">a </w:t>
      </w:r>
      <w:r w:rsidR="00FF059A">
        <w:t xml:space="preserve">MS. </w:t>
      </w:r>
    </w:p>
    <w:p w14:paraId="15215F3C" w14:textId="77777777" w:rsidR="00AF601A" w:rsidRDefault="00AF601A" w:rsidP="007113DB">
      <w:pPr>
        <w:pStyle w:val="NoSpacing"/>
      </w:pPr>
    </w:p>
    <w:p w14:paraId="2A2EE627" w14:textId="5592D5FF" w:rsidR="007B36C6" w:rsidRPr="00FA0FEC" w:rsidRDefault="00825E29" w:rsidP="007B36C6">
      <w:pPr>
        <w:pStyle w:val="CommentText"/>
        <w:rPr>
          <w:b w:val="0"/>
          <w:sz w:val="22"/>
          <w:szCs w:val="22"/>
        </w:rPr>
      </w:pPr>
      <w:r w:rsidRPr="00FA0FEC">
        <w:rPr>
          <w:b w:val="0"/>
          <w:sz w:val="22"/>
          <w:szCs w:val="22"/>
        </w:rPr>
        <w:t>We do not know the extent of differences linked to modification</w:t>
      </w:r>
      <w:r w:rsidR="002E1436" w:rsidRPr="00FA0FEC">
        <w:rPr>
          <w:b w:val="0"/>
          <w:sz w:val="22"/>
          <w:szCs w:val="22"/>
        </w:rPr>
        <w:t>s</w:t>
      </w:r>
      <w:r w:rsidRPr="00FA0FEC">
        <w:rPr>
          <w:b w:val="0"/>
          <w:sz w:val="22"/>
          <w:szCs w:val="22"/>
        </w:rPr>
        <w:t xml:space="preserve"> in national legislation</w:t>
      </w:r>
      <w:r w:rsidR="002E1436" w:rsidRPr="00FA0FEC">
        <w:rPr>
          <w:b w:val="0"/>
          <w:sz w:val="22"/>
          <w:szCs w:val="22"/>
        </w:rPr>
        <w:t>, thus we do not take this into account for the indicators</w:t>
      </w:r>
      <w:r w:rsidR="002925B7">
        <w:rPr>
          <w:b w:val="0"/>
          <w:sz w:val="22"/>
          <w:szCs w:val="22"/>
        </w:rPr>
        <w:t xml:space="preserve"> either</w:t>
      </w:r>
      <w:r w:rsidR="002E1436" w:rsidRPr="00FA0FEC">
        <w:rPr>
          <w:b w:val="0"/>
          <w:sz w:val="22"/>
          <w:szCs w:val="22"/>
        </w:rPr>
        <w:t xml:space="preserve">. This could be partially addressed by choosing only direct awards with a given reasoning </w:t>
      </w:r>
      <w:r w:rsidR="002925B7">
        <w:rPr>
          <w:b w:val="0"/>
          <w:sz w:val="22"/>
          <w:szCs w:val="22"/>
        </w:rPr>
        <w:t>(</w:t>
      </w:r>
      <w:r w:rsidR="002E1436" w:rsidRPr="00FA0FEC">
        <w:rPr>
          <w:b w:val="0"/>
          <w:sz w:val="22"/>
          <w:szCs w:val="22"/>
        </w:rPr>
        <w:t>e.g. including only “extreme urgency” or excluding “additional deliveries”</w:t>
      </w:r>
      <w:r w:rsidR="002925B7">
        <w:rPr>
          <w:b w:val="0"/>
          <w:sz w:val="22"/>
          <w:szCs w:val="22"/>
        </w:rPr>
        <w:t xml:space="preserve">). </w:t>
      </w:r>
      <w:r w:rsidR="0089528D" w:rsidRPr="00FA0FEC">
        <w:rPr>
          <w:b w:val="0"/>
          <w:sz w:val="22"/>
          <w:szCs w:val="22"/>
        </w:rPr>
        <w:t xml:space="preserve"> </w:t>
      </w:r>
      <w:r w:rsidR="002925B7">
        <w:rPr>
          <w:b w:val="0"/>
          <w:sz w:val="22"/>
          <w:szCs w:val="22"/>
        </w:rPr>
        <w:t>H</w:t>
      </w:r>
      <w:r w:rsidR="0089528D" w:rsidRPr="00FA0FEC">
        <w:rPr>
          <w:b w:val="0"/>
          <w:sz w:val="22"/>
          <w:szCs w:val="22"/>
        </w:rPr>
        <w:t xml:space="preserve">owever, quality of data </w:t>
      </w:r>
      <w:r w:rsidR="002925B7">
        <w:rPr>
          <w:b w:val="0"/>
          <w:sz w:val="22"/>
          <w:szCs w:val="22"/>
        </w:rPr>
        <w:t xml:space="preserve">may </w:t>
      </w:r>
      <w:r w:rsidR="002925B7">
        <w:rPr>
          <w:b w:val="0"/>
          <w:sz w:val="22"/>
          <w:szCs w:val="22"/>
          <w:lang w:val="en-US"/>
        </w:rPr>
        <w:t>limit</w:t>
      </w:r>
      <w:r w:rsidR="0089528D" w:rsidRPr="00FA0FEC">
        <w:rPr>
          <w:b w:val="0"/>
          <w:sz w:val="22"/>
          <w:szCs w:val="22"/>
          <w:lang w:val="en-US"/>
        </w:rPr>
        <w:t xml:space="preserve"> this possibility.</w:t>
      </w:r>
    </w:p>
    <w:p w14:paraId="4D03255F" w14:textId="77777777" w:rsidR="00825E29" w:rsidRDefault="00825E29" w:rsidP="007B36C6">
      <w:pPr>
        <w:pStyle w:val="CommentText"/>
      </w:pPr>
    </w:p>
    <w:p w14:paraId="608AEABB" w14:textId="3D884C2E" w:rsidR="009657B1" w:rsidRDefault="00AA703D" w:rsidP="006D3492">
      <w:r>
        <w:t>Future</w:t>
      </w:r>
    </w:p>
    <w:p w14:paraId="2A8EA623" w14:textId="2B1AD400" w:rsidR="00AA703D" w:rsidRPr="009657B1" w:rsidRDefault="00AA703D" w:rsidP="00AA703D">
      <w:pPr>
        <w:pStyle w:val="NoSpacing"/>
      </w:pPr>
      <w:r>
        <w:t>Under the 2014 procurement directives the approach to modifications has been harmonized in the EU and a modification notice</w:t>
      </w:r>
      <w:r w:rsidR="002C04D6">
        <w:t xml:space="preserve"> has been</w:t>
      </w:r>
      <w:r>
        <w:t xml:space="preserve"> introduced. This means that the data should be more comparable across MS</w:t>
      </w:r>
      <w:r w:rsidR="00066D96">
        <w:t>, because modifications in some MS will not be published as CANs</w:t>
      </w:r>
      <w:r>
        <w:t xml:space="preserve">. </w:t>
      </w:r>
    </w:p>
    <w:p w14:paraId="7119A22C" w14:textId="701DBCF6" w:rsidR="008D6C77" w:rsidRDefault="008D6C77" w:rsidP="00FC1D57">
      <w:pPr>
        <w:pStyle w:val="Heading3"/>
      </w:pPr>
      <w:bookmarkStart w:id="33" w:name="_Toc481579478"/>
      <w:r>
        <w:t>Publication rate</w:t>
      </w:r>
      <w:bookmarkEnd w:id="33"/>
    </w:p>
    <w:p w14:paraId="7F6F690B" w14:textId="2830CED5" w:rsidR="008D6C77" w:rsidRDefault="008D6C77" w:rsidP="008D6C77">
      <w:pPr>
        <w:rPr>
          <w:lang w:val="en-US"/>
        </w:rPr>
      </w:pPr>
      <w:r>
        <w:rPr>
          <w:lang w:val="en-US"/>
        </w:rPr>
        <w:t>Issue</w:t>
      </w:r>
    </w:p>
    <w:p w14:paraId="1E0B07A4" w14:textId="2E47C41C" w:rsidR="008D6C77" w:rsidRDefault="008D6C77" w:rsidP="008D6C77">
      <w:pPr>
        <w:pStyle w:val="NoSpacing"/>
        <w:rPr>
          <w:lang w:val="en-US"/>
        </w:rPr>
      </w:pPr>
      <w:r>
        <w:rPr>
          <w:lang w:val="en-US"/>
        </w:rPr>
        <w:t xml:space="preserve">The annual report on public procurement indicators contains two types of publication rates: one where the denominator is the </w:t>
      </w:r>
      <w:r w:rsidR="00BF660E">
        <w:rPr>
          <w:lang w:val="en-US"/>
        </w:rPr>
        <w:t>gross domestic product (GDP)</w:t>
      </w:r>
      <w:r>
        <w:rPr>
          <w:lang w:val="en-US"/>
        </w:rPr>
        <w:t>, and another where the denominator are a part of government expenditures. The main shortcoming of the former is that it does not reflect the different weight that government spending has in the economy of a particular MS. The main shortcoming of the latter is that expenditure statistics are less harmonized that GDP statistics, and thus may be less comparable than GDP.</w:t>
      </w:r>
    </w:p>
    <w:p w14:paraId="19AA04EF" w14:textId="77777777" w:rsidR="008D6C77" w:rsidRDefault="008D6C77" w:rsidP="008D6C77">
      <w:pPr>
        <w:pStyle w:val="NoSpacing"/>
        <w:rPr>
          <w:lang w:val="en-US"/>
        </w:rPr>
      </w:pPr>
    </w:p>
    <w:p w14:paraId="13F7A06F" w14:textId="77777777" w:rsidR="00100ABC" w:rsidRDefault="00100ABC" w:rsidP="008D6C77">
      <w:pPr>
        <w:pStyle w:val="NoSpacing"/>
        <w:rPr>
          <w:b/>
          <w:lang w:val="en-US"/>
        </w:rPr>
      </w:pPr>
    </w:p>
    <w:p w14:paraId="6F4B3FD2" w14:textId="77777777" w:rsidR="00100ABC" w:rsidRDefault="00100ABC" w:rsidP="008D6C77">
      <w:pPr>
        <w:pStyle w:val="NoSpacing"/>
        <w:rPr>
          <w:b/>
          <w:lang w:val="en-US"/>
        </w:rPr>
      </w:pPr>
    </w:p>
    <w:p w14:paraId="2A8C03FE" w14:textId="0B344517" w:rsidR="008D6C77" w:rsidRDefault="008D6C77" w:rsidP="008D6C77">
      <w:pPr>
        <w:pStyle w:val="NoSpacing"/>
        <w:rPr>
          <w:b/>
          <w:lang w:val="en-US"/>
        </w:rPr>
      </w:pPr>
      <w:r w:rsidRPr="008D6C77">
        <w:rPr>
          <w:b/>
          <w:lang w:val="en-US"/>
        </w:rPr>
        <w:lastRenderedPageBreak/>
        <w:t>Solution</w:t>
      </w:r>
    </w:p>
    <w:p w14:paraId="0966E147" w14:textId="09D1E707" w:rsidR="008D6C77" w:rsidRPr="008D6C77" w:rsidRDefault="008D6C77" w:rsidP="008D6C77">
      <w:pPr>
        <w:pStyle w:val="NoSpacing"/>
        <w:rPr>
          <w:lang w:val="en-US"/>
        </w:rPr>
      </w:pPr>
      <w:r w:rsidRPr="008D6C77">
        <w:rPr>
          <w:lang w:val="en-US"/>
        </w:rPr>
        <w:t xml:space="preserve">In the </w:t>
      </w:r>
      <w:r>
        <w:rPr>
          <w:lang w:val="en-US"/>
        </w:rPr>
        <w:t>Scoreboard we use only the GDP-based expenditure indicator</w:t>
      </w:r>
      <w:r w:rsidR="00D8195A">
        <w:rPr>
          <w:lang w:val="en-US"/>
        </w:rPr>
        <w:t xml:space="preserve"> for simplicity</w:t>
      </w:r>
      <w:r>
        <w:rPr>
          <w:lang w:val="en-US"/>
        </w:rPr>
        <w:t xml:space="preserve">, as GDP is a more widely known concept. </w:t>
      </w:r>
    </w:p>
    <w:p w14:paraId="2D6DEC3C" w14:textId="77777777" w:rsidR="009C793E" w:rsidRDefault="009C793E" w:rsidP="009C793E">
      <w:pPr>
        <w:pStyle w:val="Heading3"/>
      </w:pPr>
      <w:bookmarkStart w:id="34" w:name="_Toc481579479"/>
      <w:r>
        <w:t>Cooperative procurement</w:t>
      </w:r>
      <w:bookmarkEnd w:id="34"/>
    </w:p>
    <w:p w14:paraId="31A87C12" w14:textId="22A97B0F" w:rsidR="00CC3488" w:rsidRDefault="00CC3488" w:rsidP="00CC3488">
      <w:pPr>
        <w:rPr>
          <w:lang w:val="en-US"/>
        </w:rPr>
      </w:pPr>
      <w:r>
        <w:rPr>
          <w:lang w:val="en-US"/>
        </w:rPr>
        <w:t>Issue</w:t>
      </w:r>
    </w:p>
    <w:p w14:paraId="3814BE2E" w14:textId="5E9E65DA" w:rsidR="00A71A59" w:rsidRDefault="00CC3488" w:rsidP="00CC3488">
      <w:pPr>
        <w:rPr>
          <w:b w:val="0"/>
          <w:lang w:val="en-US"/>
        </w:rPr>
      </w:pPr>
      <w:r w:rsidRPr="00CC3488">
        <w:rPr>
          <w:b w:val="0"/>
          <w:lang w:val="en-US"/>
        </w:rPr>
        <w:t>Before 2.0.9</w:t>
      </w:r>
      <w:r>
        <w:rPr>
          <w:b w:val="0"/>
          <w:lang w:val="en-US"/>
        </w:rPr>
        <w:t xml:space="preserve"> </w:t>
      </w:r>
      <w:r w:rsidR="00437A43">
        <w:rPr>
          <w:b w:val="0"/>
          <w:lang w:val="en-US"/>
        </w:rPr>
        <w:t>forms</w:t>
      </w:r>
      <w:r>
        <w:rPr>
          <w:b w:val="0"/>
          <w:lang w:val="en-US"/>
        </w:rPr>
        <w:t xml:space="preserve">, </w:t>
      </w:r>
      <w:r w:rsidR="00437A43">
        <w:rPr>
          <w:b w:val="0"/>
          <w:lang w:val="en-US"/>
        </w:rPr>
        <w:t xml:space="preserve">the only information on cooperative procurement was a tick box indicating that "The contracting authority is purchasing on behalf of other contracting authorities".  This was intended to mean procurement in one of two cases: </w:t>
      </w:r>
      <w:r w:rsidR="00A71A59">
        <w:rPr>
          <w:b w:val="0"/>
          <w:lang w:val="en-US"/>
        </w:rPr>
        <w:t xml:space="preserve">"The contract is awarded by a central purchasing body" and "The contract involves joint procurement". This has been made explicit in the 2.0.9 forms, where these two options are listed instead of the option on joint procurement. </w:t>
      </w:r>
    </w:p>
    <w:p w14:paraId="789B77B4" w14:textId="77777777" w:rsidR="00A71A59" w:rsidRDefault="00A71A59" w:rsidP="00CC3488">
      <w:pPr>
        <w:rPr>
          <w:b w:val="0"/>
          <w:lang w:val="en-US"/>
        </w:rPr>
      </w:pPr>
    </w:p>
    <w:p w14:paraId="3E9DAFFE" w14:textId="4DD8F8A3" w:rsidR="00DD0721" w:rsidRDefault="00DD0721" w:rsidP="00CC3488">
      <w:pPr>
        <w:rPr>
          <w:b w:val="0"/>
          <w:lang w:val="en-US"/>
        </w:rPr>
      </w:pPr>
      <w:r>
        <w:rPr>
          <w:b w:val="0"/>
          <w:lang w:val="en-US"/>
        </w:rPr>
        <w:t xml:space="preserve">However, </w:t>
      </w:r>
      <w:r w:rsidR="00A71A59">
        <w:rPr>
          <w:b w:val="0"/>
          <w:lang w:val="en-US"/>
        </w:rPr>
        <w:t>as always, there are exceptions to how uniformly this definition has been accepted across the EU. Anecdotally, in Belgium, this field has been interpreted as meaning that the management</w:t>
      </w:r>
      <w:r w:rsidR="005C0C96">
        <w:rPr>
          <w:b w:val="0"/>
          <w:lang w:val="en-US"/>
        </w:rPr>
        <w:t xml:space="preserve"> </w:t>
      </w:r>
      <w:r w:rsidR="00A71A59">
        <w:rPr>
          <w:b w:val="0"/>
          <w:lang w:val="en-US"/>
        </w:rPr>
        <w:t xml:space="preserve">of the procurement procedure has been outsources (e.g. to a legal company) - which explains the high values of this indicator for Belgium. </w:t>
      </w:r>
    </w:p>
    <w:p w14:paraId="17C76E1E" w14:textId="77777777" w:rsidR="00A71A59" w:rsidRDefault="00A71A59" w:rsidP="00CC3488">
      <w:pPr>
        <w:rPr>
          <w:b w:val="0"/>
          <w:lang w:val="en-US"/>
        </w:rPr>
      </w:pPr>
    </w:p>
    <w:p w14:paraId="713CCF29" w14:textId="2E60A45F" w:rsidR="00437A43" w:rsidRDefault="00A71A59" w:rsidP="00CC3488">
      <w:pPr>
        <w:rPr>
          <w:lang w:val="en-US"/>
        </w:rPr>
      </w:pPr>
      <w:r w:rsidRPr="00A71A59">
        <w:rPr>
          <w:lang w:val="en-US"/>
        </w:rPr>
        <w:t>Solution</w:t>
      </w:r>
    </w:p>
    <w:p w14:paraId="4C8EA508" w14:textId="538812B9" w:rsidR="00A71A59" w:rsidRDefault="00B230D3" w:rsidP="00CC3488">
      <w:pPr>
        <w:rPr>
          <w:b w:val="0"/>
          <w:lang w:val="en-US"/>
        </w:rPr>
      </w:pPr>
      <w:r>
        <w:rPr>
          <w:b w:val="0"/>
          <w:lang w:val="en-US"/>
        </w:rPr>
        <w:t xml:space="preserve">Since we do not have sufficient information for correcting the data, we take it data as it has been submitted by buyers. </w:t>
      </w:r>
    </w:p>
    <w:p w14:paraId="26431747" w14:textId="77777777" w:rsidR="00B230D3" w:rsidRDefault="00B230D3" w:rsidP="00CC3488">
      <w:pPr>
        <w:rPr>
          <w:b w:val="0"/>
          <w:lang w:val="en-US"/>
        </w:rPr>
      </w:pPr>
    </w:p>
    <w:p w14:paraId="76E0D0FC" w14:textId="7852324C" w:rsidR="00B230D3" w:rsidRPr="00B230D3" w:rsidRDefault="00B230D3" w:rsidP="00CC3488">
      <w:pPr>
        <w:rPr>
          <w:b w:val="0"/>
          <w:lang w:val="en-US"/>
        </w:rPr>
      </w:pPr>
      <w:r>
        <w:rPr>
          <w:b w:val="0"/>
          <w:lang w:val="en-US"/>
        </w:rPr>
        <w:t xml:space="preserve">To compare data between pre-2.0.9 and 2.0.9 forms, we interpret "The contract involves joint procurement" as being ticked when </w:t>
      </w:r>
      <w:r w:rsidR="009E19C4">
        <w:rPr>
          <w:b w:val="0"/>
          <w:lang w:val="en-US"/>
        </w:rPr>
        <w:t xml:space="preserve">at least one </w:t>
      </w:r>
      <w:r>
        <w:rPr>
          <w:b w:val="0"/>
          <w:lang w:val="en-US"/>
        </w:rPr>
        <w:t xml:space="preserve">of its two </w:t>
      </w:r>
      <w:r w:rsidR="003C7DE3">
        <w:rPr>
          <w:b w:val="0"/>
          <w:lang w:val="en-US"/>
        </w:rPr>
        <w:t xml:space="preserve">more detailed equivalents in 2.0.9 </w:t>
      </w:r>
      <w:r>
        <w:rPr>
          <w:b w:val="0"/>
          <w:lang w:val="en-US"/>
        </w:rPr>
        <w:t xml:space="preserve">has been </w:t>
      </w:r>
      <w:r w:rsidR="009E19C4">
        <w:rPr>
          <w:b w:val="0"/>
          <w:lang w:val="en-US"/>
        </w:rPr>
        <w:t>ticked</w:t>
      </w:r>
      <w:r>
        <w:rPr>
          <w:b w:val="0"/>
          <w:lang w:val="en-US"/>
        </w:rPr>
        <w:t>.</w:t>
      </w:r>
    </w:p>
    <w:p w14:paraId="58D86DED" w14:textId="77777777" w:rsidR="00D14FF7" w:rsidRDefault="00D14FF7" w:rsidP="00D14FF7">
      <w:pPr>
        <w:pStyle w:val="Heading3"/>
      </w:pPr>
      <w:bookmarkStart w:id="35" w:name="_Toc481579480"/>
      <w:r>
        <w:t>Award criteria, lowest price</w:t>
      </w:r>
      <w:bookmarkEnd w:id="35"/>
    </w:p>
    <w:p w14:paraId="09194E4B" w14:textId="3A487375" w:rsidR="00D14FF7" w:rsidRPr="00EC6737" w:rsidRDefault="00D14FF7" w:rsidP="00D14FF7">
      <w:pPr>
        <w:rPr>
          <w:lang w:val="en-US"/>
        </w:rPr>
      </w:pPr>
      <w:r>
        <w:rPr>
          <w:lang w:val="en-US"/>
        </w:rPr>
        <w:t xml:space="preserve">Issue </w:t>
      </w:r>
    </w:p>
    <w:p w14:paraId="2ADD368B" w14:textId="77777777" w:rsidR="00D14FF7" w:rsidRDefault="00D14FF7" w:rsidP="00D14FF7">
      <w:pPr>
        <w:rPr>
          <w:lang w:val="en-US"/>
        </w:rPr>
      </w:pPr>
    </w:p>
    <w:p w14:paraId="03822BD0" w14:textId="77777777" w:rsidR="00D14FF7" w:rsidRPr="00E85717" w:rsidRDefault="00D14FF7" w:rsidP="00D14FF7">
      <w:pPr>
        <w:pStyle w:val="NoSpacing"/>
      </w:pPr>
      <w:r w:rsidRPr="00E85717">
        <w:t xml:space="preserve">Two </w:t>
      </w:r>
      <w:r>
        <w:t xml:space="preserve">simple </w:t>
      </w:r>
      <w:r w:rsidRPr="00E85717">
        <w:t xml:space="preserve">indicators </w:t>
      </w:r>
      <w:r>
        <w:t xml:space="preserve">can be calculated using </w:t>
      </w:r>
      <w:r w:rsidRPr="00E85717">
        <w:t xml:space="preserve">award criteria: </w:t>
      </w:r>
    </w:p>
    <w:p w14:paraId="33D76D11" w14:textId="77777777" w:rsidR="00D14FF7" w:rsidRDefault="00D14FF7" w:rsidP="00D14FF7">
      <w:pPr>
        <w:pStyle w:val="NoSpacing"/>
        <w:numPr>
          <w:ilvl w:val="0"/>
          <w:numId w:val="26"/>
        </w:numPr>
      </w:pPr>
      <w:r w:rsidRPr="00E85717">
        <w:t xml:space="preserve">average </w:t>
      </w:r>
      <w:r>
        <w:t xml:space="preserve">weight (in </w:t>
      </w:r>
      <w:r w:rsidRPr="00E85717">
        <w:t>%</w:t>
      </w:r>
      <w:r>
        <w:t>)</w:t>
      </w:r>
      <w:r w:rsidRPr="00E85717">
        <w:t xml:space="preserve"> given to price </w:t>
      </w:r>
      <w:r>
        <w:t xml:space="preserve">compared to other criteria, </w:t>
      </w:r>
      <w:r w:rsidRPr="00E85717">
        <w:t xml:space="preserve">across </w:t>
      </w:r>
      <w:r>
        <w:t xml:space="preserve">all </w:t>
      </w:r>
      <w:r w:rsidRPr="00E85717">
        <w:t>notices/lots</w:t>
      </w:r>
    </w:p>
    <w:p w14:paraId="6A800498" w14:textId="77777777" w:rsidR="00D14FF7" w:rsidRDefault="00D14FF7" w:rsidP="00D14FF7">
      <w:pPr>
        <w:pStyle w:val="NoSpacing"/>
        <w:numPr>
          <w:ilvl w:val="0"/>
          <w:numId w:val="26"/>
        </w:numPr>
      </w:pPr>
      <w:r>
        <w:t xml:space="preserve">average </w:t>
      </w:r>
      <w:r w:rsidRPr="00E85717">
        <w:t>% of notices/lots wh</w:t>
      </w:r>
      <w:r>
        <w:t>ere lowest price was the only criterion.</w:t>
      </w:r>
    </w:p>
    <w:p w14:paraId="4C3D347D" w14:textId="77777777" w:rsidR="00D14FF7" w:rsidRDefault="00D14FF7" w:rsidP="00D14FF7">
      <w:pPr>
        <w:pStyle w:val="NoSpacing"/>
      </w:pPr>
    </w:p>
    <w:p w14:paraId="63138BE8" w14:textId="77777777" w:rsidR="00D14FF7" w:rsidRDefault="00D14FF7" w:rsidP="00D14FF7">
      <w:pPr>
        <w:pStyle w:val="NoSpacing"/>
      </w:pPr>
      <w:r>
        <w:t xml:space="preserve">While the first indicator is more accurate for knowing the importance of price, it can be calculated only with 2.0.9 forms. On the contrary, the second indicator is less accurate, but can be calculated from 2.0.8 as well as 2.0.9 forms. </w:t>
      </w:r>
    </w:p>
    <w:p w14:paraId="7FEB1DB7" w14:textId="77777777" w:rsidR="00D14FF7" w:rsidRDefault="00D14FF7" w:rsidP="00D14FF7">
      <w:pPr>
        <w:pStyle w:val="NoSpacing"/>
      </w:pPr>
    </w:p>
    <w:p w14:paraId="79DFFEE5" w14:textId="77777777" w:rsidR="00D14FF7" w:rsidRDefault="00D14FF7" w:rsidP="00D14FF7">
      <w:pPr>
        <w:pStyle w:val="NoSpacing"/>
      </w:pPr>
      <w:r>
        <w:rPr>
          <w:lang w:val="en-US"/>
        </w:rPr>
        <w:t>Also, this is one of the indicators which has been moved from notice level to lot level between 2.0.8 and 2.0.9.</w:t>
      </w:r>
    </w:p>
    <w:p w14:paraId="21429C57" w14:textId="77777777" w:rsidR="00D14FF7" w:rsidRDefault="00D14FF7" w:rsidP="00D14FF7"/>
    <w:p w14:paraId="137486E8" w14:textId="77777777" w:rsidR="00D14FF7" w:rsidRDefault="00D14FF7" w:rsidP="00D14FF7">
      <w:r w:rsidRPr="005121F1">
        <w:t>Decision</w:t>
      </w:r>
    </w:p>
    <w:p w14:paraId="786828D3" w14:textId="77777777" w:rsidR="00D14FF7" w:rsidRDefault="00D14FF7" w:rsidP="00D14FF7">
      <w:pPr>
        <w:pStyle w:val="NoSpacing"/>
      </w:pPr>
      <w:r>
        <w:t xml:space="preserve">Since in 2016 we have both 2.0.8 and 2.0.9 data, we use the second indicator. </w:t>
      </w:r>
    </w:p>
    <w:p w14:paraId="4EF32FD8" w14:textId="77777777" w:rsidR="00D14FF7" w:rsidRDefault="00D14FF7" w:rsidP="00D14FF7"/>
    <w:p w14:paraId="627F61C9" w14:textId="77777777" w:rsidR="00D14FF7" w:rsidRDefault="00D14FF7" w:rsidP="00D14FF7">
      <w:pPr>
        <w:pStyle w:val="NoSpacing"/>
      </w:pPr>
      <w:r w:rsidRPr="005121F1">
        <w:t xml:space="preserve">The lowest </w:t>
      </w:r>
      <w:r>
        <w:t xml:space="preserve">available granularity in a given year is used, in line with point </w:t>
      </w:r>
      <w:r>
        <w:rPr>
          <w:highlight w:val="yellow"/>
        </w:rPr>
        <w:fldChar w:fldCharType="begin"/>
      </w:r>
      <w:r>
        <w:instrText xml:space="preserve"> REF _Ref479942810 \r \h </w:instrText>
      </w:r>
      <w:r>
        <w:rPr>
          <w:highlight w:val="yellow"/>
        </w:rPr>
      </w:r>
      <w:r>
        <w:rPr>
          <w:highlight w:val="yellow"/>
        </w:rPr>
        <w:fldChar w:fldCharType="separate"/>
      </w:r>
      <w:r w:rsidR="00114DBB">
        <w:t>2.11</w:t>
      </w:r>
      <w:r>
        <w:rPr>
          <w:highlight w:val="yellow"/>
        </w:rPr>
        <w:fldChar w:fldCharType="end"/>
      </w:r>
      <w:r>
        <w:t xml:space="preserve">. </w:t>
      </w:r>
    </w:p>
    <w:p w14:paraId="4BD74093" w14:textId="77777777" w:rsidR="00D14FF7" w:rsidRPr="005121F1" w:rsidRDefault="00D14FF7" w:rsidP="00D14FF7">
      <w:pPr>
        <w:rPr>
          <w:lang w:val="en-US"/>
        </w:rPr>
      </w:pPr>
    </w:p>
    <w:p w14:paraId="1BD5181A" w14:textId="77777777" w:rsidR="00D14FF7" w:rsidRDefault="00D14FF7" w:rsidP="00D14FF7">
      <w:r w:rsidRPr="000B156B">
        <w:t>Future</w:t>
      </w:r>
    </w:p>
    <w:p w14:paraId="590A68F9" w14:textId="77777777" w:rsidR="00D14FF7" w:rsidRPr="000B156B" w:rsidRDefault="00D14FF7" w:rsidP="00D14FF7">
      <w:pPr>
        <w:pStyle w:val="NoSpacing"/>
      </w:pPr>
      <w:r w:rsidRPr="000B156B">
        <w:t xml:space="preserve">Once an </w:t>
      </w:r>
      <w:r>
        <w:t>overwhelming majority of data comes from 2.0.9, we should start using the first indicator.</w:t>
      </w:r>
    </w:p>
    <w:p w14:paraId="4D1DBF70" w14:textId="77777777" w:rsidR="00185920" w:rsidRDefault="00185920" w:rsidP="00E96121">
      <w:pPr>
        <w:pStyle w:val="Heading3"/>
      </w:pPr>
      <w:bookmarkStart w:id="36" w:name="_Toc481579481"/>
      <w:r>
        <w:t>Decision speed</w:t>
      </w:r>
      <w:bookmarkEnd w:id="36"/>
    </w:p>
    <w:p w14:paraId="2048D8D8" w14:textId="0B6DE451" w:rsidR="00E509DB" w:rsidRDefault="0007025A" w:rsidP="00E509DB">
      <w:pPr>
        <w:rPr>
          <w:lang w:val="en-US"/>
        </w:rPr>
      </w:pPr>
      <w:r>
        <w:rPr>
          <w:lang w:val="en-US"/>
        </w:rPr>
        <w:t>Issue</w:t>
      </w:r>
    </w:p>
    <w:p w14:paraId="0946181D" w14:textId="7BFB1BC3" w:rsidR="00185920" w:rsidRDefault="00485C31" w:rsidP="00185920">
      <w:pPr>
        <w:pStyle w:val="NoSpacing"/>
      </w:pPr>
      <w:r>
        <w:t xml:space="preserve">This indicator relies on information from a CN (deadline for submission of tenders) and CAN (award of contract). Since one CN can have multiple CANs, </w:t>
      </w:r>
      <w:r w:rsidR="008E4534">
        <w:t xml:space="preserve">it is necessary to choose which CAN will be used for the calculation on the indicator. </w:t>
      </w:r>
    </w:p>
    <w:p w14:paraId="73C3AF40" w14:textId="01761449" w:rsidR="00EC109E" w:rsidRDefault="008E4534" w:rsidP="00EC109E">
      <w:pPr>
        <w:pStyle w:val="NoSpacing"/>
      </w:pPr>
      <w:r>
        <w:lastRenderedPageBreak/>
        <w:t xml:space="preserve">Furthermore, we note that missing links between CNs and CANs (see results of indicator </w:t>
      </w:r>
      <w:r>
        <w:fldChar w:fldCharType="begin"/>
      </w:r>
      <w:r>
        <w:instrText xml:space="preserve"> REF _Ref480298921 \r \h </w:instrText>
      </w:r>
      <w:r>
        <w:fldChar w:fldCharType="separate"/>
      </w:r>
      <w:r w:rsidR="00114DBB">
        <w:t>2.9</w:t>
      </w:r>
      <w:r>
        <w:fldChar w:fldCharType="end"/>
      </w:r>
      <w:r>
        <w:t xml:space="preserve">) can bias the results. For example, </w:t>
      </w:r>
      <w:r w:rsidR="00EC109E">
        <w:t xml:space="preserve">in one country, all links between CNs and CANs may be automatically included by the e-procurement system. </w:t>
      </w:r>
      <w:r w:rsidR="00B95303">
        <w:t>I</w:t>
      </w:r>
      <w:r w:rsidR="00EC109E">
        <w:t xml:space="preserve">n another country, </w:t>
      </w:r>
      <w:r w:rsidR="00BE2B6F">
        <w:t xml:space="preserve">links may need to be added manually, and thus </w:t>
      </w:r>
      <w:r w:rsidR="0048359B">
        <w:rPr>
          <w:lang w:val="en-US"/>
        </w:rPr>
        <w:t xml:space="preserve">buyers who are </w:t>
      </w:r>
      <w:r w:rsidR="0048359B">
        <w:t>well-</w:t>
      </w:r>
      <w:r>
        <w:t xml:space="preserve">staffed </w:t>
      </w:r>
      <w:r w:rsidR="0048359B">
        <w:t>and well-trained</w:t>
      </w:r>
      <w:r>
        <w:t xml:space="preserve"> may be more likely to </w:t>
      </w:r>
      <w:r w:rsidR="00EC109E">
        <w:t xml:space="preserve">include </w:t>
      </w:r>
      <w:r w:rsidR="00BE2B6F">
        <w:t xml:space="preserve">these </w:t>
      </w:r>
      <w:r w:rsidR="00EC109E">
        <w:t xml:space="preserve">links (and thus be included in the calculation of the indicator) </w:t>
      </w:r>
      <w:r w:rsidR="00B95303">
        <w:t xml:space="preserve">than </w:t>
      </w:r>
      <w:r w:rsidR="00DE1BCC">
        <w:t xml:space="preserve">buyers with less resources. Since better trained authorities will also </w:t>
      </w:r>
      <w:r w:rsidR="00EC109E">
        <w:t>evaluate tenders faster</w:t>
      </w:r>
      <w:r w:rsidR="00DE1BCC">
        <w:t>, this</w:t>
      </w:r>
      <w:r w:rsidR="00EC109E">
        <w:t xml:space="preserve"> </w:t>
      </w:r>
      <w:r w:rsidR="00DE1BCC">
        <w:t xml:space="preserve">may </w:t>
      </w:r>
      <w:r w:rsidR="00EC109E">
        <w:t xml:space="preserve">lead </w:t>
      </w:r>
      <w:r w:rsidR="00DE1BCC">
        <w:t>to positive</w:t>
      </w:r>
      <w:r w:rsidR="00B95303">
        <w:t>ly</w:t>
      </w:r>
      <w:r w:rsidR="00DE1BCC">
        <w:t xml:space="preserve"> biased</w:t>
      </w:r>
      <w:r w:rsidR="00EC109E">
        <w:t xml:space="preserve"> result</w:t>
      </w:r>
      <w:r w:rsidR="00B95303">
        <w:t>s</w:t>
      </w:r>
      <w:r w:rsidR="00EC109E">
        <w:t xml:space="preserve"> for the latter country. </w:t>
      </w:r>
    </w:p>
    <w:p w14:paraId="38BD0B19" w14:textId="77777777" w:rsidR="00EC109E" w:rsidRDefault="00EC109E" w:rsidP="00EC109E">
      <w:pPr>
        <w:pStyle w:val="NoSpacing"/>
      </w:pPr>
    </w:p>
    <w:p w14:paraId="6C770D94" w14:textId="7F08171F" w:rsidR="0096427B" w:rsidRDefault="0096427B" w:rsidP="00185920">
      <w:pPr>
        <w:pStyle w:val="NoSpacing"/>
      </w:pPr>
      <w:r>
        <w:t>In some cases, there are outliers in the data – from negative speeds to speeds of many years.</w:t>
      </w:r>
    </w:p>
    <w:p w14:paraId="37CD16E8" w14:textId="77777777" w:rsidR="0096427B" w:rsidRDefault="0096427B" w:rsidP="00185920">
      <w:pPr>
        <w:pStyle w:val="NoSpacing"/>
      </w:pPr>
    </w:p>
    <w:p w14:paraId="6117BDA4" w14:textId="1C77EF71" w:rsidR="00185920" w:rsidRDefault="008E4534" w:rsidP="00185920">
      <w:pPr>
        <w:pStyle w:val="NoSpacing"/>
        <w:rPr>
          <w:b/>
        </w:rPr>
      </w:pPr>
      <w:r w:rsidRPr="008E4534">
        <w:rPr>
          <w:b/>
        </w:rPr>
        <w:t>Solution</w:t>
      </w:r>
    </w:p>
    <w:p w14:paraId="40297A2C" w14:textId="7B54FAF8" w:rsidR="008E4534" w:rsidRPr="008E4534" w:rsidRDefault="008E4534" w:rsidP="00185920">
      <w:pPr>
        <w:pStyle w:val="NoSpacing"/>
        <w:rPr>
          <w:b/>
        </w:rPr>
      </w:pPr>
      <w:r>
        <w:t>In case of multiple CANs per CN, we take the last CAN.</w:t>
      </w:r>
      <w:r w:rsidR="001F25D5">
        <w:t xml:space="preserve"> We remove observations with a negative decision speed as well as decision speeds above </w:t>
      </w:r>
      <w:r w:rsidR="009F60FF">
        <w:t xml:space="preserve">the, somewhat arbitrary, threshold of </w:t>
      </w:r>
      <w:r w:rsidR="001F25D5">
        <w:t>two years.</w:t>
      </w:r>
    </w:p>
    <w:p w14:paraId="7344D262" w14:textId="459C79D9" w:rsidR="00352F67" w:rsidRDefault="00751DF6" w:rsidP="00B5203F">
      <w:pPr>
        <w:pStyle w:val="Heading3"/>
      </w:pPr>
      <w:bookmarkStart w:id="37" w:name="_Toc481579482"/>
      <w:r>
        <w:t>Missing values</w:t>
      </w:r>
      <w:bookmarkEnd w:id="37"/>
    </w:p>
    <w:p w14:paraId="3912FA3D" w14:textId="77777777" w:rsidR="00763E74" w:rsidRDefault="00763E74" w:rsidP="00763E74">
      <w:pPr>
        <w:rPr>
          <w:lang w:val="en-US"/>
        </w:rPr>
      </w:pPr>
      <w:r>
        <w:rPr>
          <w:lang w:val="en-US"/>
        </w:rPr>
        <w:t>Issue</w:t>
      </w:r>
    </w:p>
    <w:p w14:paraId="4FB6B83E" w14:textId="500FDC5B" w:rsidR="00DB76C1" w:rsidRDefault="00DB76C1" w:rsidP="00B5203F">
      <w:pPr>
        <w:pStyle w:val="NoSpacing"/>
        <w:rPr>
          <w:lang w:val="en-US"/>
        </w:rPr>
      </w:pPr>
      <w:r w:rsidRPr="00B5203F">
        <w:rPr>
          <w:lang w:val="en-US"/>
        </w:rPr>
        <w:t xml:space="preserve">As discussed in point </w:t>
      </w:r>
      <w:r w:rsidRPr="00B5203F">
        <w:rPr>
          <w:lang w:val="en-US"/>
        </w:rPr>
        <w:fldChar w:fldCharType="begin"/>
      </w:r>
      <w:r w:rsidRPr="00B5203F">
        <w:rPr>
          <w:lang w:val="en-US"/>
        </w:rPr>
        <w:instrText xml:space="preserve"> REF _Ref479936514 \r \h </w:instrText>
      </w:r>
      <w:r w:rsidR="00B5203F" w:rsidRPr="00B5203F">
        <w:rPr>
          <w:lang w:val="en-US"/>
        </w:rPr>
        <w:instrText xml:space="preserve"> \* MERGEFORMAT </w:instrText>
      </w:r>
      <w:r w:rsidRPr="00B5203F">
        <w:rPr>
          <w:lang w:val="en-US"/>
        </w:rPr>
      </w:r>
      <w:r w:rsidRPr="00B5203F">
        <w:rPr>
          <w:lang w:val="en-US"/>
        </w:rPr>
        <w:fldChar w:fldCharType="separate"/>
      </w:r>
      <w:r w:rsidR="00114DBB">
        <w:rPr>
          <w:lang w:val="en-US"/>
        </w:rPr>
        <w:t>2.5</w:t>
      </w:r>
      <w:r w:rsidRPr="00B5203F">
        <w:rPr>
          <w:lang w:val="en-US"/>
        </w:rPr>
        <w:fldChar w:fldCharType="end"/>
      </w:r>
      <w:r w:rsidRPr="00B5203F">
        <w:rPr>
          <w:lang w:val="en-US"/>
        </w:rPr>
        <w:t xml:space="preserve">, if a </w:t>
      </w:r>
      <w:r w:rsidR="00D76FA0">
        <w:rPr>
          <w:lang w:val="en-US"/>
        </w:rPr>
        <w:t xml:space="preserve">pre-2.0.9 </w:t>
      </w:r>
      <w:r w:rsidRPr="00B5203F">
        <w:rPr>
          <w:lang w:val="en-US"/>
        </w:rPr>
        <w:t>CAN was used to inform about a non-award, this can slightly bia</w:t>
      </w:r>
      <w:r w:rsidR="00D76FA0">
        <w:rPr>
          <w:lang w:val="en-US"/>
        </w:rPr>
        <w:t xml:space="preserve">s the results of this indicator – the value field will be empty, because there was no contract awarded. </w:t>
      </w:r>
    </w:p>
    <w:p w14:paraId="0B856CF3" w14:textId="77777777" w:rsidR="00D76FA0" w:rsidRDefault="00D76FA0" w:rsidP="00B5203F">
      <w:pPr>
        <w:pStyle w:val="NoSpacing"/>
        <w:rPr>
          <w:lang w:val="en-US"/>
        </w:rPr>
      </w:pPr>
    </w:p>
    <w:p w14:paraId="18B14A3F" w14:textId="5771722B" w:rsidR="00D76FA0" w:rsidRDefault="00D76FA0" w:rsidP="00B5203F">
      <w:pPr>
        <w:pStyle w:val="NoSpacing"/>
        <w:rPr>
          <w:lang w:val="en-US"/>
        </w:rPr>
      </w:pPr>
      <w:r>
        <w:rPr>
          <w:lang w:val="en-US"/>
        </w:rPr>
        <w:t>As many other indicators, this indicator can be calculated at the level of a CAN or at the level of a contract award. While for most countries the difference in results is under 20%, in some countries it can be very large – for example, in Finland, there are almost 0% missing values at the contract award notice level, but more than 75% missing at the contract award level.</w:t>
      </w:r>
    </w:p>
    <w:p w14:paraId="23176072" w14:textId="77777777" w:rsidR="004A063E" w:rsidRDefault="004A063E" w:rsidP="00B5203F">
      <w:pPr>
        <w:pStyle w:val="NoSpacing"/>
        <w:rPr>
          <w:lang w:val="en-US"/>
        </w:rPr>
      </w:pPr>
    </w:p>
    <w:p w14:paraId="52DBAF2F" w14:textId="35333AB5" w:rsidR="004A063E" w:rsidRDefault="004A063E" w:rsidP="00B5203F">
      <w:pPr>
        <w:pStyle w:val="NoSpacing"/>
        <w:rPr>
          <w:b/>
          <w:lang w:val="en-US"/>
        </w:rPr>
      </w:pPr>
      <w:r w:rsidRPr="004A063E">
        <w:rPr>
          <w:b/>
          <w:lang w:val="en-US"/>
        </w:rPr>
        <w:t>Solution</w:t>
      </w:r>
    </w:p>
    <w:p w14:paraId="73EF9F15" w14:textId="5C27BCB0" w:rsidR="009F28CD" w:rsidRDefault="004A063E" w:rsidP="00532228">
      <w:pPr>
        <w:pStyle w:val="NoSpacing"/>
        <w:rPr>
          <w:highlight w:val="green"/>
        </w:rPr>
      </w:pPr>
      <w:r w:rsidRPr="00532228">
        <w:rPr>
          <w:lang w:val="en-US"/>
        </w:rPr>
        <w:t>Similarly to other cases, we calculate the indicator at the lowest</w:t>
      </w:r>
      <w:r w:rsidR="006833AB" w:rsidRPr="00532228">
        <w:rPr>
          <w:lang w:val="en-US"/>
        </w:rPr>
        <w:t xml:space="preserve"> possible level of granularity, that is at the level of contract awards. We do not do other corrections of data provided by buyers, as we do not have sufficient information about that.</w:t>
      </w:r>
    </w:p>
    <w:p w14:paraId="34DC6B9B" w14:textId="44AC2B5F" w:rsidR="00097442" w:rsidRDefault="00097442" w:rsidP="00661068">
      <w:pPr>
        <w:pStyle w:val="Heading3"/>
      </w:pPr>
      <w:r>
        <w:t xml:space="preserve"> </w:t>
      </w:r>
      <w:bookmarkStart w:id="38" w:name="_Toc481579483"/>
      <w:r>
        <w:t xml:space="preserve">Missing </w:t>
      </w:r>
      <w:r w:rsidR="00EA3C20">
        <w:t>r</w:t>
      </w:r>
      <w:r w:rsidR="001F16EF">
        <w:t xml:space="preserve">egistration </w:t>
      </w:r>
      <w:r w:rsidR="00EA3C20">
        <w:t>n</w:t>
      </w:r>
      <w:r w:rsidR="001F16EF">
        <w:t>umbers</w:t>
      </w:r>
      <w:bookmarkEnd w:id="38"/>
      <w:r>
        <w:t xml:space="preserve"> </w:t>
      </w:r>
    </w:p>
    <w:p w14:paraId="6BF16D2C" w14:textId="1D6999B6" w:rsidR="00F72DFD" w:rsidRDefault="00F72DFD" w:rsidP="006D3492">
      <w:pPr>
        <w:rPr>
          <w:lang w:val="en-US"/>
        </w:rPr>
      </w:pPr>
      <w:r>
        <w:rPr>
          <w:lang w:val="en-US"/>
        </w:rPr>
        <w:t>Issue</w:t>
      </w:r>
    </w:p>
    <w:p w14:paraId="29BB9C58" w14:textId="131A48CC" w:rsidR="00F72DFD" w:rsidRDefault="001A7F8B" w:rsidP="001A7F8B">
      <w:pPr>
        <w:pStyle w:val="NoSpacing"/>
        <w:rPr>
          <w:lang w:val="en-US"/>
        </w:rPr>
      </w:pPr>
      <w:r>
        <w:rPr>
          <w:lang w:val="en-US"/>
        </w:rPr>
        <w:t xml:space="preserve">In pre-2.0.9, only buyer registration numbers were required, while in 2.0.9, also the company registration numbers are required. </w:t>
      </w:r>
    </w:p>
    <w:p w14:paraId="51211C6A" w14:textId="77777777" w:rsidR="006948E2" w:rsidRDefault="006948E2" w:rsidP="001A7F8B">
      <w:pPr>
        <w:pStyle w:val="NoSpacing"/>
        <w:rPr>
          <w:lang w:val="en-US"/>
        </w:rPr>
      </w:pPr>
    </w:p>
    <w:p w14:paraId="7E4BFF32" w14:textId="448A288F" w:rsidR="006948E2" w:rsidRPr="00F92B07" w:rsidRDefault="006948E2" w:rsidP="006948E2">
      <w:pPr>
        <w:rPr>
          <w:lang w:val="en-US"/>
        </w:rPr>
      </w:pPr>
      <w:r w:rsidRPr="00F92B07">
        <w:rPr>
          <w:lang w:val="en-US"/>
        </w:rPr>
        <w:t>Solution</w:t>
      </w:r>
    </w:p>
    <w:p w14:paraId="0342D87C" w14:textId="00A2E314" w:rsidR="006948E2" w:rsidRPr="00F92B07" w:rsidRDefault="00AC35AA" w:rsidP="00E27E0D">
      <w:pPr>
        <w:pStyle w:val="NoSpacing"/>
      </w:pPr>
      <w:r>
        <w:t>In 2017</w:t>
      </w:r>
      <w:r w:rsidR="00E27E0D" w:rsidRPr="00F92B07">
        <w:t>, for comparability purposes, we calculate</w:t>
      </w:r>
      <w:r>
        <w:t>d</w:t>
      </w:r>
      <w:r w:rsidR="00E27E0D" w:rsidRPr="00F92B07">
        <w:t xml:space="preserve"> missing registration numbers only on the basis of buyer registration numbers. </w:t>
      </w:r>
      <w:r>
        <w:t>From 2018, we include both. It should be noted that higher participation of SMEs (esp. sole providers, e.g. physical people providing a service) can have a negative effect on the indicator, because they are less likely to have a registration number (which is not considered personal data).</w:t>
      </w:r>
    </w:p>
    <w:p w14:paraId="043A7E7D" w14:textId="169A5183" w:rsidR="00352F67" w:rsidRDefault="00352F67" w:rsidP="00661068">
      <w:pPr>
        <w:pStyle w:val="Heading3"/>
      </w:pPr>
      <w:bookmarkStart w:id="39" w:name="_Ref479868020"/>
      <w:bookmarkStart w:id="40" w:name="_Toc481579484"/>
      <w:r w:rsidRPr="00F92B07">
        <w:t xml:space="preserve">Missing </w:t>
      </w:r>
      <w:r w:rsidR="00EA3C20">
        <w:t>c</w:t>
      </w:r>
      <w:r w:rsidR="005B3EDE">
        <w:t xml:space="preserve">alls for </w:t>
      </w:r>
      <w:r w:rsidR="00EA3C20">
        <w:t>c</w:t>
      </w:r>
      <w:r w:rsidR="005B3EDE">
        <w:t>ompetition</w:t>
      </w:r>
      <w:bookmarkEnd w:id="39"/>
      <w:bookmarkEnd w:id="40"/>
    </w:p>
    <w:p w14:paraId="1C0E17BF" w14:textId="249558D1" w:rsidR="0086226D" w:rsidRDefault="0086226D" w:rsidP="0086226D">
      <w:pPr>
        <w:rPr>
          <w:lang w:val="en-US"/>
        </w:rPr>
      </w:pPr>
      <w:r>
        <w:rPr>
          <w:lang w:val="en-US"/>
        </w:rPr>
        <w:t>Issues</w:t>
      </w:r>
    </w:p>
    <w:p w14:paraId="78868C96" w14:textId="7A531207" w:rsidR="00BA7BA3" w:rsidRDefault="00BA7BA3" w:rsidP="00BA7BA3">
      <w:pPr>
        <w:pStyle w:val="NoSpacing"/>
        <w:rPr>
          <w:lang w:val="en-US"/>
        </w:rPr>
      </w:pPr>
      <w:r>
        <w:rPr>
          <w:lang w:val="en-US"/>
        </w:rPr>
        <w:t xml:space="preserve">Besides procedures which do not have a call for competition, there is also an ambiguity about how contracts within framework agreements should be reported. Specifically, what is the previous notice for a contract within a framework agreement – is it the CAN announcing the framework agreement, or the CN? </w:t>
      </w:r>
    </w:p>
    <w:p w14:paraId="5FE78E0D" w14:textId="77777777" w:rsidR="00BA7BA3" w:rsidRDefault="00BA7BA3" w:rsidP="00BA7BA3">
      <w:pPr>
        <w:pStyle w:val="NoSpacing"/>
        <w:rPr>
          <w:lang w:val="en-US"/>
        </w:rPr>
      </w:pPr>
    </w:p>
    <w:p w14:paraId="51417E22" w14:textId="5890D064" w:rsidR="00BA7BA3" w:rsidRDefault="00BA7BA3" w:rsidP="00BA7BA3">
      <w:pPr>
        <w:pStyle w:val="NoSpacing"/>
        <w:rPr>
          <w:b/>
          <w:lang w:val="en-US"/>
        </w:rPr>
      </w:pPr>
      <w:r w:rsidRPr="00BA7BA3">
        <w:rPr>
          <w:b/>
          <w:lang w:val="en-US"/>
        </w:rPr>
        <w:t>Solution</w:t>
      </w:r>
    </w:p>
    <w:p w14:paraId="4B26D73D" w14:textId="558AD166" w:rsidR="00266133" w:rsidRPr="00136A94" w:rsidRDefault="00BA7BA3" w:rsidP="004864A4">
      <w:pPr>
        <w:pStyle w:val="NoSpacing"/>
      </w:pPr>
      <w:r>
        <w:rPr>
          <w:lang w:val="en-US"/>
        </w:rPr>
        <w:t xml:space="preserve">Since there has not been a clear policy on this issue, we exclude framework agreements from the indicator. </w:t>
      </w:r>
    </w:p>
    <w:sectPr w:rsidR="00266133" w:rsidRPr="00136A9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0092" w14:textId="77777777" w:rsidR="005A64FD" w:rsidRDefault="005A64FD" w:rsidP="006D3492">
      <w:r>
        <w:separator/>
      </w:r>
    </w:p>
  </w:endnote>
  <w:endnote w:type="continuationSeparator" w:id="0">
    <w:p w14:paraId="58A67CC6" w14:textId="77777777" w:rsidR="005A64FD" w:rsidRDefault="005A64FD" w:rsidP="006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C444" w14:textId="77777777" w:rsidR="00100ABC" w:rsidRDefault="0010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97544"/>
      <w:docPartObj>
        <w:docPartGallery w:val="Page Numbers (Bottom of Page)"/>
        <w:docPartUnique/>
      </w:docPartObj>
    </w:sdtPr>
    <w:sdtEndPr>
      <w:rPr>
        <w:noProof/>
      </w:rPr>
    </w:sdtEndPr>
    <w:sdtContent>
      <w:p w14:paraId="0DCD1AEC" w14:textId="528BD766" w:rsidR="009A4978" w:rsidRDefault="009A4978">
        <w:pPr>
          <w:pStyle w:val="Footer"/>
          <w:jc w:val="center"/>
        </w:pPr>
        <w:r>
          <w:fldChar w:fldCharType="begin"/>
        </w:r>
        <w:r>
          <w:instrText xml:space="preserve"> PAGE   \* MERGEFORMAT </w:instrText>
        </w:r>
        <w:r>
          <w:fldChar w:fldCharType="separate"/>
        </w:r>
        <w:r w:rsidR="00AA2955">
          <w:rPr>
            <w:noProof/>
          </w:rPr>
          <w:t>1</w:t>
        </w:r>
        <w:r>
          <w:rPr>
            <w:noProof/>
          </w:rPr>
          <w:fldChar w:fldCharType="end"/>
        </w:r>
      </w:p>
    </w:sdtContent>
  </w:sdt>
  <w:p w14:paraId="677EF4F9" w14:textId="77777777" w:rsidR="009A4978" w:rsidRDefault="009A4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C8BC" w14:textId="77777777" w:rsidR="00100ABC" w:rsidRDefault="0010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5412B" w14:textId="77777777" w:rsidR="005A64FD" w:rsidRDefault="005A64FD" w:rsidP="006D3492">
      <w:r>
        <w:separator/>
      </w:r>
    </w:p>
  </w:footnote>
  <w:footnote w:type="continuationSeparator" w:id="0">
    <w:p w14:paraId="37CFEDF9" w14:textId="77777777" w:rsidR="005A64FD" w:rsidRDefault="005A64FD" w:rsidP="006D3492">
      <w:r>
        <w:continuationSeparator/>
      </w:r>
    </w:p>
  </w:footnote>
  <w:footnote w:id="1">
    <w:p w14:paraId="22216B56" w14:textId="42F598B4" w:rsidR="00A032C5" w:rsidRPr="0001265E" w:rsidRDefault="00A032C5" w:rsidP="00661068">
      <w:pPr>
        <w:pStyle w:val="FootnoteText"/>
        <w:rPr>
          <w:lang w:val="en-US"/>
        </w:rPr>
      </w:pPr>
      <w:r>
        <w:rPr>
          <w:rStyle w:val="FootnoteReference"/>
        </w:rPr>
        <w:footnoteRef/>
      </w:r>
      <w:r>
        <w:t xml:space="preserve"> </w:t>
      </w:r>
      <w:r>
        <w:rPr>
          <w:lang w:val="en-US"/>
        </w:rPr>
        <w:t xml:space="preserve">Count refers to the “number of notices”, their “frequency”. We use the </w:t>
      </w:r>
      <w:r w:rsidR="0071544A">
        <w:rPr>
          <w:lang w:val="en-US"/>
        </w:rPr>
        <w:t>word</w:t>
      </w:r>
      <w:r>
        <w:rPr>
          <w:lang w:val="en-US"/>
        </w:rPr>
        <w:t xml:space="preserve"> “count” to avoid confusion with the notice </w:t>
      </w:r>
      <w:r w:rsidRPr="0001265E">
        <w:rPr>
          <w:i/>
          <w:lang w:val="en-US"/>
        </w:rPr>
        <w:t>publication</w:t>
      </w:r>
      <w:r>
        <w:rPr>
          <w:lang w:val="en-US"/>
        </w:rPr>
        <w:t xml:space="preserve"> </w:t>
      </w:r>
      <w:r w:rsidRPr="00C54A99">
        <w:rPr>
          <w:i/>
          <w:lang w:val="en-US"/>
        </w:rPr>
        <w:t>number</w:t>
      </w:r>
      <w:r>
        <w:rPr>
          <w:lang w:val="en-US"/>
        </w:rPr>
        <w:t xml:space="preserve">. </w:t>
      </w:r>
    </w:p>
  </w:footnote>
  <w:footnote w:id="2">
    <w:p w14:paraId="6554E21C" w14:textId="32FE01AA" w:rsidR="00A032C5" w:rsidRPr="0000000A" w:rsidRDefault="00A032C5" w:rsidP="00661068">
      <w:pPr>
        <w:pStyle w:val="FootnoteText"/>
        <w:rPr>
          <w:lang w:val="en-US"/>
        </w:rPr>
      </w:pPr>
      <w:r>
        <w:rPr>
          <w:rStyle w:val="FootnoteReference"/>
        </w:rPr>
        <w:footnoteRef/>
      </w:r>
      <w:r>
        <w:t xml:space="preserve"> The </w:t>
      </w:r>
      <w:r w:rsidRPr="00E85717">
        <w:t xml:space="preserve">80/20 </w:t>
      </w:r>
      <w:r>
        <w:t xml:space="preserve">Pareto principle </w:t>
      </w:r>
      <w:r w:rsidRPr="00E85717">
        <w:t xml:space="preserve">can </w:t>
      </w:r>
      <w:r>
        <w:t>possibly be used as a heuristic.</w:t>
      </w:r>
    </w:p>
  </w:footnote>
  <w:footnote w:id="3">
    <w:p w14:paraId="2EDD86C8" w14:textId="17F51359" w:rsidR="001F34CB" w:rsidRPr="00CC5860" w:rsidRDefault="001F34CB">
      <w:pPr>
        <w:pStyle w:val="FootnoteText"/>
        <w:rPr>
          <w:lang w:val="en-US"/>
        </w:rPr>
      </w:pPr>
      <w:r>
        <w:rPr>
          <w:rStyle w:val="FootnoteReference"/>
        </w:rPr>
        <w:footnoteRef/>
      </w:r>
      <w:r>
        <w:t xml:space="preserve"> </w:t>
      </w:r>
      <w:r w:rsidR="009B399D">
        <w:t>Value is used only for the calculation of total procurement value per country and year</w:t>
      </w:r>
      <w:r w:rsidR="004E3843">
        <w:t xml:space="preserve"> </w:t>
      </w:r>
      <w:r w:rsidR="00AF1A45">
        <w:t>in the annual indicators report</w:t>
      </w:r>
      <w:r w:rsidR="00314B52">
        <w:t>. For this statistic,</w:t>
      </w:r>
      <w:r w:rsidR="009B399D">
        <w:t xml:space="preserve"> </w:t>
      </w:r>
      <w:r w:rsidR="00314B52">
        <w:t xml:space="preserve">the results </w:t>
      </w:r>
      <w:r w:rsidR="004E3843">
        <w:t xml:space="preserve">are not split according to a third variable (e.g. type of procedure) and so inaccuracies in individual notices have a smaller </w:t>
      </w:r>
      <w:r w:rsidR="005054AF">
        <w:t xml:space="preserve">overall </w:t>
      </w:r>
      <w:r w:rsidR="004E3843">
        <w:t>impact.</w:t>
      </w:r>
    </w:p>
  </w:footnote>
  <w:footnote w:id="4">
    <w:p w14:paraId="331844C3" w14:textId="2DBDA549" w:rsidR="00A032C5" w:rsidRPr="00CB32EC" w:rsidRDefault="00A032C5">
      <w:pPr>
        <w:pStyle w:val="FootnoteText"/>
        <w:rPr>
          <w:lang w:val="en-US"/>
        </w:rPr>
      </w:pPr>
      <w:r>
        <w:rPr>
          <w:rStyle w:val="FootnoteReference"/>
        </w:rPr>
        <w:footnoteRef/>
      </w:r>
      <w:r>
        <w:t xml:space="preserve"> </w:t>
      </w:r>
      <w:r>
        <w:rPr>
          <w:lang w:val="en-US"/>
        </w:rPr>
        <w:t xml:space="preserve">For countries which have good quality data on links between notices (see section </w:t>
      </w:r>
      <w:r>
        <w:rPr>
          <w:lang w:val="en-US"/>
        </w:rPr>
        <w:fldChar w:fldCharType="begin"/>
      </w:r>
      <w:r>
        <w:rPr>
          <w:lang w:val="en-US"/>
        </w:rPr>
        <w:instrText xml:space="preserve"> REF _Ref479868020 \r \h </w:instrText>
      </w:r>
      <w:r>
        <w:rPr>
          <w:lang w:val="en-US"/>
        </w:rPr>
      </w:r>
      <w:r>
        <w:rPr>
          <w:lang w:val="en-US"/>
        </w:rPr>
        <w:fldChar w:fldCharType="separate"/>
      </w:r>
      <w:r>
        <w:rPr>
          <w:lang w:val="en-US"/>
        </w:rPr>
        <w:t>3.9</w:t>
      </w:r>
      <w:r>
        <w:rPr>
          <w:lang w:val="en-US"/>
        </w:rPr>
        <w:fldChar w:fldCharType="end"/>
      </w:r>
      <w:r>
        <w:rPr>
          <w:lang w:val="en-US"/>
        </w:rPr>
        <w:t xml:space="preserve">), this difference in interpretation can be limited by taking in account only those CFCs which resulted in a CAN. </w:t>
      </w:r>
    </w:p>
  </w:footnote>
  <w:footnote w:id="5">
    <w:p w14:paraId="350E17EE" w14:textId="6C27CF98" w:rsidR="00A032C5" w:rsidRPr="00592C7D" w:rsidRDefault="00A032C5">
      <w:pPr>
        <w:pStyle w:val="FootnoteText"/>
        <w:rPr>
          <w:lang w:val="en-US"/>
        </w:rPr>
      </w:pPr>
      <w:r>
        <w:rPr>
          <w:rStyle w:val="FootnoteReference"/>
        </w:rPr>
        <w:footnoteRef/>
      </w:r>
      <w:r>
        <w:t xml:space="preserve"> </w:t>
      </w:r>
      <w:r>
        <w:rPr>
          <w:lang w:val="en-US"/>
        </w:rPr>
        <w:t xml:space="preserve">De-jure in all version of forms, de-facto since 2.0.9. </w:t>
      </w:r>
    </w:p>
  </w:footnote>
  <w:footnote w:id="6">
    <w:p w14:paraId="7CAB4A8D" w14:textId="30E84709" w:rsidR="00A032C5" w:rsidRPr="00BE32B2" w:rsidRDefault="00A032C5">
      <w:pPr>
        <w:pStyle w:val="FootnoteText"/>
      </w:pPr>
      <w:r>
        <w:rPr>
          <w:rStyle w:val="FootnoteReference"/>
        </w:rPr>
        <w:footnoteRef/>
      </w:r>
      <w:r>
        <w:t xml:space="preserve"> More precisely, "above-threshold contracts" stand for all contracts falling within the procurement directives, as compared to those which do not. Besides thresholds, this may also be a question of exceptions to the directives. As shorthand, we refer only to the most important factor – thresholds.</w:t>
      </w:r>
    </w:p>
  </w:footnote>
  <w:footnote w:id="7">
    <w:p w14:paraId="723CA2B9" w14:textId="42D0F936" w:rsidR="00A032C5" w:rsidRPr="006F3655" w:rsidRDefault="00A032C5" w:rsidP="00661068">
      <w:pPr>
        <w:pStyle w:val="FootnoteText"/>
        <w:rPr>
          <w:lang w:val="en-US"/>
        </w:rPr>
      </w:pPr>
      <w:r>
        <w:rPr>
          <w:rStyle w:val="FootnoteReference"/>
        </w:rPr>
        <w:footnoteRef/>
      </w:r>
      <w:r>
        <w:t xml:space="preserve"> </w:t>
      </w:r>
      <w:r>
        <w:rPr>
          <w:lang w:val="en-US"/>
        </w:rPr>
        <w:t>In the annual indicators report, we use only the overall minimal threshold. This is a similar approach, but even more simplified and thus even less accurate.</w:t>
      </w:r>
    </w:p>
  </w:footnote>
  <w:footnote w:id="8">
    <w:p w14:paraId="482F9CCE" w14:textId="01876BB0" w:rsidR="00A032C5" w:rsidRPr="002B7CC7" w:rsidRDefault="00A032C5" w:rsidP="002B7CC7">
      <w:pPr>
        <w:pStyle w:val="NoSpacing"/>
        <w:rPr>
          <w:sz w:val="20"/>
          <w:szCs w:val="20"/>
        </w:rPr>
      </w:pPr>
      <w:r w:rsidRPr="00470B95">
        <w:rPr>
          <w:rStyle w:val="FootnoteReference"/>
          <w:sz w:val="20"/>
          <w:szCs w:val="20"/>
        </w:rPr>
        <w:footnoteRef/>
      </w:r>
      <w:r w:rsidRPr="00470B95">
        <w:rPr>
          <w:sz w:val="20"/>
          <w:szCs w:val="20"/>
        </w:rPr>
        <w:t xml:space="preserve"> </w:t>
      </w:r>
      <w:r w:rsidRPr="00470B95">
        <w:rPr>
          <w:sz w:val="20"/>
          <w:szCs w:val="20"/>
          <w:lang w:val="en-US"/>
        </w:rPr>
        <w:t>Note that choosing the "minimal threshold existing in the rules" is, perhaps counterintuitively, very likely better than choosing the "most commonly applicable" threshold (i.e. the one applicable for sub-central authorities, e.g. around 209 thousand for good</w:t>
      </w:r>
      <w:r>
        <w:rPr>
          <w:sz w:val="20"/>
          <w:szCs w:val="20"/>
          <w:lang w:val="en-US"/>
        </w:rPr>
        <w:t>s</w:t>
      </w:r>
      <w:r w:rsidRPr="00470B95">
        <w:rPr>
          <w:sz w:val="20"/>
          <w:szCs w:val="20"/>
          <w:lang w:val="en-US"/>
        </w:rPr>
        <w:t xml:space="preserve"> and services instead of around 135 thousand). The reason is that while some above-threshold procurement procedures would definitely get excluded if the </w:t>
      </w:r>
      <w:r>
        <w:rPr>
          <w:sz w:val="20"/>
          <w:szCs w:val="20"/>
          <w:lang w:val="en-US"/>
        </w:rPr>
        <w:t>usually</w:t>
      </w:r>
      <w:r w:rsidRPr="00470B95">
        <w:rPr>
          <w:sz w:val="20"/>
          <w:szCs w:val="20"/>
          <w:lang w:val="en-US"/>
        </w:rPr>
        <w:t xml:space="preserve"> applicable threshold was used (i.e. those by central authorities purchasing between 135 and 209 thousand), the number of the newly excluded below-threshold notices (e.g. those by sub-central authorities between 135 and 209 thousand) is unknown, and may be very low, because their number depends on voluntary publication.</w:t>
      </w:r>
    </w:p>
  </w:footnote>
  <w:footnote w:id="9">
    <w:p w14:paraId="43A3004C" w14:textId="5E5B03B8" w:rsidR="002B7CC7" w:rsidRPr="00CC5860" w:rsidRDefault="002B7CC7">
      <w:pPr>
        <w:pStyle w:val="FootnoteText"/>
        <w:rPr>
          <w:lang w:val="en-US"/>
        </w:rPr>
      </w:pPr>
      <w:r>
        <w:rPr>
          <w:rStyle w:val="FootnoteReference"/>
        </w:rPr>
        <w:footnoteRef/>
      </w:r>
      <w:r>
        <w:t xml:space="preserve"> </w:t>
      </w:r>
      <w:r w:rsidR="004F4512">
        <w:t>T</w:t>
      </w:r>
      <w:r>
        <w:rPr>
          <w:lang w:val="en-US"/>
        </w:rPr>
        <w:t xml:space="preserve">he </w:t>
      </w:r>
      <w:r w:rsidRPr="00CC5860">
        <w:rPr>
          <w:i/>
          <w:lang w:val="en-US"/>
        </w:rPr>
        <w:t>estimated</w:t>
      </w:r>
      <w:r>
        <w:rPr>
          <w:i/>
          <w:lang w:val="en-US"/>
        </w:rPr>
        <w:t xml:space="preserve"> </w:t>
      </w:r>
      <w:r>
        <w:rPr>
          <w:lang w:val="en-US"/>
        </w:rPr>
        <w:t xml:space="preserve">value </w:t>
      </w:r>
      <w:r w:rsidR="00286783">
        <w:rPr>
          <w:lang w:val="en-US"/>
        </w:rPr>
        <w:t xml:space="preserve">of the whole procedure </w:t>
      </w:r>
      <w:r>
        <w:rPr>
          <w:lang w:val="en-US"/>
        </w:rPr>
        <w:t>is what decides whether a procedure is</w:t>
      </w:r>
      <w:r w:rsidR="004F4512">
        <w:rPr>
          <w:lang w:val="en-US"/>
        </w:rPr>
        <w:t xml:space="preserve"> above- or below- threshold, not the award value.</w:t>
      </w:r>
    </w:p>
  </w:footnote>
  <w:footnote w:id="10">
    <w:p w14:paraId="26B14AC7" w14:textId="2DA7D15D" w:rsidR="00A032C5" w:rsidRPr="00137C62" w:rsidRDefault="00A032C5" w:rsidP="00661068">
      <w:pPr>
        <w:pStyle w:val="FootnoteText"/>
      </w:pPr>
      <w:r>
        <w:rPr>
          <w:rStyle w:val="FootnoteReference"/>
        </w:rPr>
        <w:footnoteRef/>
      </w:r>
      <w:r>
        <w:t xml:space="preserve"> Also, December is a busy part of the year so a non-urgent thing like publishing notices may be more often pushed to January. </w:t>
      </w:r>
    </w:p>
  </w:footnote>
  <w:footnote w:id="11">
    <w:p w14:paraId="62ADD80B" w14:textId="5B205770" w:rsidR="00A032C5" w:rsidRPr="00420623" w:rsidRDefault="00A032C5" w:rsidP="00661068">
      <w:pPr>
        <w:pStyle w:val="FootnoteText"/>
      </w:pPr>
      <w:r w:rsidRPr="00420623">
        <w:rPr>
          <w:rStyle w:val="FootnoteReference"/>
        </w:rPr>
        <w:footnoteRef/>
      </w:r>
      <w:r w:rsidRPr="00420623">
        <w:t xml:space="preserve"> Procedure codes AWP, NOC and NOP. </w:t>
      </w:r>
    </w:p>
  </w:footnote>
  <w:footnote w:id="12">
    <w:p w14:paraId="3578C7C2" w14:textId="411BBE3B" w:rsidR="00A032C5" w:rsidRPr="00420623" w:rsidRDefault="00A032C5">
      <w:pPr>
        <w:pStyle w:val="FootnoteText"/>
      </w:pPr>
      <w:r w:rsidRPr="00420623">
        <w:rPr>
          <w:rStyle w:val="FootnoteReference"/>
        </w:rPr>
        <w:footnoteRef/>
      </w:r>
      <w:r w:rsidRPr="00420623">
        <w:t xml:space="preserve"> Directives 2004/17/EC, 2004/18/EC and 2009/81/EC.</w:t>
      </w:r>
    </w:p>
  </w:footnote>
  <w:footnote w:id="13">
    <w:p w14:paraId="11EDA517" w14:textId="79330C12" w:rsidR="00A032C5" w:rsidRPr="00100ABC" w:rsidRDefault="00A032C5">
      <w:pPr>
        <w:pStyle w:val="FootnoteText"/>
        <w:rPr>
          <w:lang w:val="fr-BE"/>
        </w:rPr>
      </w:pPr>
      <w:r w:rsidRPr="00420623">
        <w:rPr>
          <w:rStyle w:val="FootnoteReference"/>
        </w:rPr>
        <w:footnoteRef/>
      </w:r>
      <w:r w:rsidRPr="00100ABC">
        <w:rPr>
          <w:lang w:val="fr-BE"/>
        </w:rPr>
        <w:t xml:space="preserve"> Directives 2014/23/EU, 2014/24/EU, 2014/25/EU.</w:t>
      </w:r>
    </w:p>
  </w:footnote>
  <w:footnote w:id="14">
    <w:p w14:paraId="232340F6" w14:textId="50F0E27A" w:rsidR="00A032C5" w:rsidRPr="00100ABC" w:rsidRDefault="00A032C5">
      <w:pPr>
        <w:pStyle w:val="FootnoteText"/>
        <w:rPr>
          <w:lang w:val="fr-BE"/>
        </w:rPr>
      </w:pPr>
      <w:r>
        <w:rPr>
          <w:rStyle w:val="FootnoteReference"/>
        </w:rPr>
        <w:footnoteRef/>
      </w:r>
      <w:r w:rsidRPr="00100ABC">
        <w:rPr>
          <w:lang w:val="fr-BE"/>
        </w:rPr>
        <w:t xml:space="preserve"> 2004/18/EC Art. 21</w:t>
      </w:r>
    </w:p>
  </w:footnote>
  <w:footnote w:id="15">
    <w:p w14:paraId="3AD9A577" w14:textId="77777777" w:rsidR="00266133" w:rsidRDefault="00A032C5">
      <w:pPr>
        <w:pStyle w:val="FootnoteText"/>
      </w:pPr>
      <w:r>
        <w:rPr>
          <w:rStyle w:val="FootnoteReference"/>
        </w:rPr>
        <w:footnoteRef/>
      </w:r>
      <w:r>
        <w:t xml:space="preserve"> </w:t>
      </w:r>
      <w:r>
        <w:rPr>
          <w:lang w:val="en-US"/>
        </w:rPr>
        <w:t xml:space="preserve">This is the case e.g. for </w:t>
      </w:r>
      <w:hyperlink r:id="rId1" w:history="1">
        <w:r w:rsidR="00266133">
          <w:rPr>
            <w:rStyle w:val="Hyperlink"/>
          </w:rPr>
          <w:t>https://ted.europa.eu/udl?uri=TED:NOTICE:19573-2016:TEXT:EN:HTML</w:t>
        </w:r>
      </w:hyperlink>
    </w:p>
    <w:p w14:paraId="2321BCEF" w14:textId="18615DA7" w:rsidR="00A032C5" w:rsidRPr="004758C0" w:rsidRDefault="00A032C5">
      <w:pPr>
        <w:pStyle w:val="FootnoteText"/>
        <w:rPr>
          <w:lang w:val="en-US"/>
        </w:rPr>
      </w:pPr>
      <w:r>
        <w:rPr>
          <w:lang w:val="en-US"/>
        </w:rPr>
        <w:t xml:space="preserve">.  </w:t>
      </w:r>
    </w:p>
  </w:footnote>
  <w:footnote w:id="16">
    <w:p w14:paraId="74951E60" w14:textId="4A05EE32" w:rsidR="00A032C5" w:rsidRPr="006001C8" w:rsidRDefault="00A032C5">
      <w:pPr>
        <w:pStyle w:val="FootnoteText"/>
      </w:pPr>
      <w:r>
        <w:rPr>
          <w:rStyle w:val="FootnoteReference"/>
        </w:rPr>
        <w:footnoteRef/>
      </w:r>
      <w:r>
        <w:t xml:space="preserve"> See e.g. </w:t>
      </w:r>
      <w:hyperlink r:id="rId2" w:history="1">
        <w:r w:rsidRPr="0091021A">
          <w:rPr>
            <w:rStyle w:val="Hyperlink"/>
          </w:rPr>
          <w:t>https://link.springer.com/article/10.1007%2Fs10610-016-9308-z</w:t>
        </w:r>
      </w:hyperlink>
      <w:r>
        <w:t xml:space="preserve">.  </w:t>
      </w:r>
    </w:p>
  </w:footnote>
  <w:footnote w:id="17">
    <w:p w14:paraId="46D4A41B" w14:textId="7EDCE152" w:rsidR="00A032C5" w:rsidRPr="00934C1C" w:rsidRDefault="00A032C5" w:rsidP="006D3492">
      <w:r w:rsidRPr="005D070F">
        <w:rPr>
          <w:rStyle w:val="FootnoteReference"/>
        </w:rPr>
        <w:footnoteRef/>
      </w:r>
      <w:r w:rsidRPr="005D070F">
        <w:t xml:space="preserve"> </w:t>
      </w:r>
      <w:r w:rsidRPr="008B60B7">
        <w:rPr>
          <w:b w:val="0"/>
          <w:sz w:val="20"/>
        </w:rPr>
        <w:t>These correspond to the NOC and NOP procedure code</w:t>
      </w:r>
      <w:r>
        <w:rPr>
          <w:b w:val="0"/>
          <w:sz w:val="20"/>
        </w:rPr>
        <w:t>s</w:t>
      </w:r>
      <w:r w:rsidRPr="008B60B7">
        <w:rPr>
          <w:b w:val="0"/>
          <w:sz w:val="20"/>
        </w:rPr>
        <w:t xml:space="preserve">. For an explanation why AWP are not policy relevant, see section </w:t>
      </w:r>
      <w:r w:rsidRPr="008B60B7">
        <w:rPr>
          <w:b w:val="0"/>
          <w:sz w:val="20"/>
        </w:rPr>
        <w:fldChar w:fldCharType="begin"/>
      </w:r>
      <w:r w:rsidRPr="008B60B7">
        <w:rPr>
          <w:b w:val="0"/>
          <w:sz w:val="20"/>
        </w:rPr>
        <w:instrText xml:space="preserve"> REF _Ref479945283 \r \h  \* MERGEFORMAT </w:instrText>
      </w:r>
      <w:r w:rsidRPr="008B60B7">
        <w:rPr>
          <w:b w:val="0"/>
          <w:sz w:val="20"/>
        </w:rPr>
      </w:r>
      <w:r w:rsidRPr="008B60B7">
        <w:rPr>
          <w:b w:val="0"/>
          <w:sz w:val="20"/>
        </w:rPr>
        <w:fldChar w:fldCharType="separate"/>
      </w:r>
      <w:r w:rsidRPr="008B60B7">
        <w:rPr>
          <w:b w:val="0"/>
          <w:sz w:val="20"/>
        </w:rPr>
        <w:t>2.8</w:t>
      </w:r>
      <w:r w:rsidRPr="008B60B7">
        <w:rPr>
          <w:b w:val="0"/>
          <w:sz w:val="20"/>
        </w:rPr>
        <w:fldChar w:fldCharType="end"/>
      </w:r>
      <w:r w:rsidRPr="008B60B7">
        <w:rPr>
          <w:b w:val="0"/>
          <w:sz w:val="20"/>
        </w:rPr>
        <w:t>.</w:t>
      </w:r>
    </w:p>
  </w:footnote>
  <w:footnote w:id="18">
    <w:p w14:paraId="665477C9" w14:textId="31A8FB5F" w:rsidR="009C7033" w:rsidRPr="00CC5860" w:rsidRDefault="009C7033" w:rsidP="009C7033">
      <w:pPr>
        <w:pStyle w:val="NoSpacing"/>
        <w:rPr>
          <w:sz w:val="20"/>
          <w:szCs w:val="20"/>
        </w:rPr>
      </w:pPr>
      <w:r>
        <w:rPr>
          <w:rStyle w:val="FootnoteReference"/>
        </w:rPr>
        <w:footnoteRef/>
      </w:r>
      <w:r>
        <w:t xml:space="preserve"> </w:t>
      </w:r>
      <w:r w:rsidRPr="00CC5860">
        <w:rPr>
          <w:sz w:val="20"/>
          <w:szCs w:val="20"/>
        </w:rPr>
        <w:t xml:space="preserve">We have tried to estimate the lower boundary of CANs, at least </w:t>
      </w:r>
      <w:r w:rsidR="005E7B29">
        <w:rPr>
          <w:sz w:val="20"/>
          <w:szCs w:val="20"/>
        </w:rPr>
        <w:t xml:space="preserve">for </w:t>
      </w:r>
      <w:r w:rsidRPr="00CC5860">
        <w:rPr>
          <w:sz w:val="20"/>
          <w:szCs w:val="20"/>
        </w:rPr>
        <w:t xml:space="preserve">some countries, on the basis of </w:t>
      </w:r>
      <w:r w:rsidR="005E7B29">
        <w:rPr>
          <w:sz w:val="20"/>
          <w:szCs w:val="20"/>
        </w:rPr>
        <w:t xml:space="preserve">published </w:t>
      </w:r>
      <w:r w:rsidRPr="00CC5860">
        <w:rPr>
          <w:sz w:val="20"/>
          <w:szCs w:val="20"/>
        </w:rPr>
        <w:t>VEATs. This means estimating the number of NOCs as the higher of the following two numbers: "number of NOCs" and "number of VEATs". This leads to more accurate results for Finland, as the number of comparable VEATs is around 200, while the number of NOCs around 30, and possibly slight more accurate results for Denmark. However, for all the other countries, this does not change the results. Thus, we do not include it in our country indicators, as it adds significant complexity for only a marginal gain. We are in contact with Denmark and Finland concerning this anomaly.</w:t>
      </w:r>
    </w:p>
    <w:p w14:paraId="518440F8" w14:textId="77777777" w:rsidR="009C7033" w:rsidRPr="00CC5860" w:rsidRDefault="009C7033" w:rsidP="009C7033">
      <w:pPr>
        <w:pStyle w:val="NoSpacing"/>
        <w:rPr>
          <w:sz w:val="20"/>
          <w:szCs w:val="20"/>
        </w:rPr>
      </w:pPr>
    </w:p>
    <w:p w14:paraId="59BD59F6" w14:textId="1D941F53" w:rsidR="009C7033" w:rsidRPr="00CC5860" w:rsidRDefault="009C7033" w:rsidP="009C7033">
      <w:pPr>
        <w:pStyle w:val="NoSpacing"/>
        <w:rPr>
          <w:sz w:val="20"/>
          <w:szCs w:val="20"/>
        </w:rPr>
      </w:pPr>
      <w:r w:rsidRPr="00CC5860">
        <w:rPr>
          <w:sz w:val="20"/>
          <w:szCs w:val="20"/>
          <w:lang w:val="en-US"/>
        </w:rPr>
        <w:t xml:space="preserve">For results to be reliable, note that it is necessary to compare apples with apples. In this case, this means comparing NOC informing about an award with </w:t>
      </w:r>
      <w:r w:rsidR="005E7B29" w:rsidRPr="005E7B29">
        <w:rPr>
          <w:sz w:val="20"/>
          <w:szCs w:val="20"/>
          <w:lang w:val="en-US"/>
        </w:rPr>
        <w:t>VEATs</w:t>
      </w:r>
      <w:r w:rsidRPr="00CC5860">
        <w:rPr>
          <w:sz w:val="20"/>
          <w:szCs w:val="20"/>
          <w:lang w:val="en-US"/>
        </w:rPr>
        <w:t xml:space="preserve"> under the NOC procedure (i.e. not under the AWP “procedure”) and were not followed by a NOC CAN informing about a non-award.</w:t>
      </w:r>
    </w:p>
    <w:p w14:paraId="3616CEAA" w14:textId="291D5BB8" w:rsidR="009C7033" w:rsidRPr="00CC5860" w:rsidRDefault="009C703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8F84" w14:textId="77777777" w:rsidR="00100ABC" w:rsidRDefault="0010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3992" w14:textId="2E64BC18" w:rsidR="00A032C5" w:rsidRPr="00B133C7" w:rsidRDefault="00A032C5" w:rsidP="006D3492">
    <w:pPr>
      <w:pStyle w:val="Header"/>
    </w:pPr>
    <w:r>
      <w:t xml:space="preserve">European Commission, </w:t>
    </w:r>
    <w:r w:rsidRPr="00B133C7">
      <w:t xml:space="preserve">DG GROW G4, </w:t>
    </w:r>
    <w:r>
      <w:fldChar w:fldCharType="begin"/>
    </w:r>
    <w:r>
      <w:instrText xml:space="preserve"> DATE \@ "yyyy-MM-dd" </w:instrText>
    </w:r>
    <w:r>
      <w:fldChar w:fldCharType="separate"/>
    </w:r>
    <w:r w:rsidR="00100ABC">
      <w:rPr>
        <w:noProof/>
      </w:rPr>
      <w:t>2020-06-04</w:t>
    </w:r>
    <w:r>
      <w:fldChar w:fldCharType="end"/>
    </w:r>
  </w:p>
  <w:p w14:paraId="700B5B1F" w14:textId="77777777" w:rsidR="00A032C5" w:rsidRPr="00B133C7" w:rsidRDefault="00A032C5" w:rsidP="006D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D71B" w14:textId="77777777" w:rsidR="00100ABC" w:rsidRDefault="0010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59"/>
    <w:multiLevelType w:val="hybridMultilevel"/>
    <w:tmpl w:val="FD2A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3B65"/>
    <w:multiLevelType w:val="hybridMultilevel"/>
    <w:tmpl w:val="B9B87248"/>
    <w:lvl w:ilvl="0" w:tplc="05D899F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2621A"/>
    <w:multiLevelType w:val="hybridMultilevel"/>
    <w:tmpl w:val="68C8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41500"/>
    <w:multiLevelType w:val="hybridMultilevel"/>
    <w:tmpl w:val="BF4E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80804"/>
    <w:multiLevelType w:val="hybridMultilevel"/>
    <w:tmpl w:val="3668C4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C274B"/>
    <w:multiLevelType w:val="hybridMultilevel"/>
    <w:tmpl w:val="52DE9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11141"/>
    <w:multiLevelType w:val="hybridMultilevel"/>
    <w:tmpl w:val="5B8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389C"/>
    <w:multiLevelType w:val="hybridMultilevel"/>
    <w:tmpl w:val="E902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D4E41"/>
    <w:multiLevelType w:val="hybridMultilevel"/>
    <w:tmpl w:val="B9604734"/>
    <w:lvl w:ilvl="0" w:tplc="05D899F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6F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487A48"/>
    <w:multiLevelType w:val="hybridMultilevel"/>
    <w:tmpl w:val="0DA846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60CED"/>
    <w:multiLevelType w:val="hybridMultilevel"/>
    <w:tmpl w:val="220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6603B"/>
    <w:multiLevelType w:val="hybridMultilevel"/>
    <w:tmpl w:val="FEA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25829"/>
    <w:multiLevelType w:val="hybridMultilevel"/>
    <w:tmpl w:val="E3B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F7BB3"/>
    <w:multiLevelType w:val="hybridMultilevel"/>
    <w:tmpl w:val="9C8E9678"/>
    <w:lvl w:ilvl="0" w:tplc="05D899F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D74C8"/>
    <w:multiLevelType w:val="hybridMultilevel"/>
    <w:tmpl w:val="C23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46EC1"/>
    <w:multiLevelType w:val="multilevel"/>
    <w:tmpl w:val="4F32994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00688"/>
    <w:multiLevelType w:val="hybridMultilevel"/>
    <w:tmpl w:val="FD2A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F1412"/>
    <w:multiLevelType w:val="hybridMultilevel"/>
    <w:tmpl w:val="7CA2C1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245A6"/>
    <w:multiLevelType w:val="hybridMultilevel"/>
    <w:tmpl w:val="86747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6A7204"/>
    <w:multiLevelType w:val="hybridMultilevel"/>
    <w:tmpl w:val="AB78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414B6"/>
    <w:multiLevelType w:val="hybridMultilevel"/>
    <w:tmpl w:val="83DC0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441480"/>
    <w:multiLevelType w:val="hybridMultilevel"/>
    <w:tmpl w:val="584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C5EC8"/>
    <w:multiLevelType w:val="hybridMultilevel"/>
    <w:tmpl w:val="B0A2DAE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058D8"/>
    <w:multiLevelType w:val="hybridMultilevel"/>
    <w:tmpl w:val="030C6078"/>
    <w:lvl w:ilvl="0" w:tplc="05D899F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427E3"/>
    <w:multiLevelType w:val="hybridMultilevel"/>
    <w:tmpl w:val="52A8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D4D29"/>
    <w:multiLevelType w:val="hybridMultilevel"/>
    <w:tmpl w:val="26E0A2B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2A2D65"/>
    <w:multiLevelType w:val="hybridMultilevel"/>
    <w:tmpl w:val="7042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5660D"/>
    <w:multiLevelType w:val="hybridMultilevel"/>
    <w:tmpl w:val="BD7E12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6"/>
  </w:num>
  <w:num w:numId="4">
    <w:abstractNumId w:val="18"/>
  </w:num>
  <w:num w:numId="5">
    <w:abstractNumId w:val="19"/>
  </w:num>
  <w:num w:numId="6">
    <w:abstractNumId w:val="2"/>
  </w:num>
  <w:num w:numId="7">
    <w:abstractNumId w:val="12"/>
  </w:num>
  <w:num w:numId="8">
    <w:abstractNumId w:val="10"/>
  </w:num>
  <w:num w:numId="9">
    <w:abstractNumId w:val="0"/>
  </w:num>
  <w:num w:numId="10">
    <w:abstractNumId w:val="17"/>
  </w:num>
  <w:num w:numId="11">
    <w:abstractNumId w:val="5"/>
  </w:num>
  <w:num w:numId="12">
    <w:abstractNumId w:val="21"/>
  </w:num>
  <w:num w:numId="13">
    <w:abstractNumId w:val="15"/>
  </w:num>
  <w:num w:numId="14">
    <w:abstractNumId w:val="28"/>
  </w:num>
  <w:num w:numId="15">
    <w:abstractNumId w:val="3"/>
  </w:num>
  <w:num w:numId="16">
    <w:abstractNumId w:val="16"/>
  </w:num>
  <w:num w:numId="17">
    <w:abstractNumId w:val="9"/>
  </w:num>
  <w:num w:numId="18">
    <w:abstractNumId w:val="2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4"/>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2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NTQ2NrUwNDc3NjZU0lEKTi0uzszPAykwqgUAliKITSwAAAA="/>
    <w:docVar w:name="LW_DocType" w:val="NORMAL"/>
  </w:docVars>
  <w:rsids>
    <w:rsidRoot w:val="00DD30B3"/>
    <w:rsid w:val="0000000A"/>
    <w:rsid w:val="000012EB"/>
    <w:rsid w:val="0000247D"/>
    <w:rsid w:val="00006D8D"/>
    <w:rsid w:val="00006E70"/>
    <w:rsid w:val="00007650"/>
    <w:rsid w:val="000101D4"/>
    <w:rsid w:val="000112A9"/>
    <w:rsid w:val="0001170E"/>
    <w:rsid w:val="0001187E"/>
    <w:rsid w:val="0001256B"/>
    <w:rsid w:val="0001265E"/>
    <w:rsid w:val="0001526E"/>
    <w:rsid w:val="00017AA1"/>
    <w:rsid w:val="00017C44"/>
    <w:rsid w:val="000213B2"/>
    <w:rsid w:val="000220F1"/>
    <w:rsid w:val="00024ED5"/>
    <w:rsid w:val="00025AD8"/>
    <w:rsid w:val="00025D5C"/>
    <w:rsid w:val="000265DA"/>
    <w:rsid w:val="00026AF3"/>
    <w:rsid w:val="0002748D"/>
    <w:rsid w:val="00027616"/>
    <w:rsid w:val="00030F8F"/>
    <w:rsid w:val="000312E4"/>
    <w:rsid w:val="00031DA0"/>
    <w:rsid w:val="00032809"/>
    <w:rsid w:val="00034C88"/>
    <w:rsid w:val="000401B2"/>
    <w:rsid w:val="00043F06"/>
    <w:rsid w:val="000448F8"/>
    <w:rsid w:val="00044DDF"/>
    <w:rsid w:val="00047C2F"/>
    <w:rsid w:val="00047DE0"/>
    <w:rsid w:val="00051269"/>
    <w:rsid w:val="000568FE"/>
    <w:rsid w:val="000577A4"/>
    <w:rsid w:val="00060496"/>
    <w:rsid w:val="00061668"/>
    <w:rsid w:val="000618E8"/>
    <w:rsid w:val="00063A20"/>
    <w:rsid w:val="00063B16"/>
    <w:rsid w:val="00064564"/>
    <w:rsid w:val="00066D96"/>
    <w:rsid w:val="00067A0A"/>
    <w:rsid w:val="00067D11"/>
    <w:rsid w:val="000700D8"/>
    <w:rsid w:val="0007025A"/>
    <w:rsid w:val="00070FC4"/>
    <w:rsid w:val="000713D4"/>
    <w:rsid w:val="00072169"/>
    <w:rsid w:val="00072323"/>
    <w:rsid w:val="00073A17"/>
    <w:rsid w:val="00077074"/>
    <w:rsid w:val="000779B2"/>
    <w:rsid w:val="00081EF9"/>
    <w:rsid w:val="00084309"/>
    <w:rsid w:val="0008616F"/>
    <w:rsid w:val="00087159"/>
    <w:rsid w:val="00092141"/>
    <w:rsid w:val="00092204"/>
    <w:rsid w:val="000935CF"/>
    <w:rsid w:val="00097442"/>
    <w:rsid w:val="000A2249"/>
    <w:rsid w:val="000A3496"/>
    <w:rsid w:val="000A5674"/>
    <w:rsid w:val="000A5F52"/>
    <w:rsid w:val="000A670C"/>
    <w:rsid w:val="000A6FBF"/>
    <w:rsid w:val="000B0C3E"/>
    <w:rsid w:val="000B156B"/>
    <w:rsid w:val="000B2E68"/>
    <w:rsid w:val="000B4818"/>
    <w:rsid w:val="000B683C"/>
    <w:rsid w:val="000B74B4"/>
    <w:rsid w:val="000C1A2A"/>
    <w:rsid w:val="000C2445"/>
    <w:rsid w:val="000C3E1C"/>
    <w:rsid w:val="000C3EAE"/>
    <w:rsid w:val="000C50F5"/>
    <w:rsid w:val="000C5C8F"/>
    <w:rsid w:val="000C74C3"/>
    <w:rsid w:val="000C7FAD"/>
    <w:rsid w:val="000D23A1"/>
    <w:rsid w:val="000D653D"/>
    <w:rsid w:val="000D6F11"/>
    <w:rsid w:val="000D7B9A"/>
    <w:rsid w:val="000E01F6"/>
    <w:rsid w:val="000E1F18"/>
    <w:rsid w:val="000E2638"/>
    <w:rsid w:val="000E3A6F"/>
    <w:rsid w:val="000E4294"/>
    <w:rsid w:val="000E5639"/>
    <w:rsid w:val="000E6B73"/>
    <w:rsid w:val="000E7D17"/>
    <w:rsid w:val="000F04BF"/>
    <w:rsid w:val="000F515B"/>
    <w:rsid w:val="000F56E6"/>
    <w:rsid w:val="000F771C"/>
    <w:rsid w:val="00100ABC"/>
    <w:rsid w:val="00101783"/>
    <w:rsid w:val="00101AAC"/>
    <w:rsid w:val="001021A8"/>
    <w:rsid w:val="00104362"/>
    <w:rsid w:val="00104778"/>
    <w:rsid w:val="00104C8C"/>
    <w:rsid w:val="00105089"/>
    <w:rsid w:val="00106DBE"/>
    <w:rsid w:val="001115C4"/>
    <w:rsid w:val="0011237D"/>
    <w:rsid w:val="00112803"/>
    <w:rsid w:val="0011350F"/>
    <w:rsid w:val="00114DBB"/>
    <w:rsid w:val="00115346"/>
    <w:rsid w:val="00115423"/>
    <w:rsid w:val="001159B3"/>
    <w:rsid w:val="00121650"/>
    <w:rsid w:val="00121716"/>
    <w:rsid w:val="00122EFD"/>
    <w:rsid w:val="00122FDB"/>
    <w:rsid w:val="001278C1"/>
    <w:rsid w:val="00130397"/>
    <w:rsid w:val="00133B59"/>
    <w:rsid w:val="00135091"/>
    <w:rsid w:val="00135105"/>
    <w:rsid w:val="00135C28"/>
    <w:rsid w:val="00136186"/>
    <w:rsid w:val="00136A94"/>
    <w:rsid w:val="00137C62"/>
    <w:rsid w:val="001403E9"/>
    <w:rsid w:val="00144DD1"/>
    <w:rsid w:val="00147654"/>
    <w:rsid w:val="001509EC"/>
    <w:rsid w:val="00152007"/>
    <w:rsid w:val="00152168"/>
    <w:rsid w:val="00152669"/>
    <w:rsid w:val="00153900"/>
    <w:rsid w:val="00154E45"/>
    <w:rsid w:val="00155B0A"/>
    <w:rsid w:val="00156897"/>
    <w:rsid w:val="00157C16"/>
    <w:rsid w:val="00157CFB"/>
    <w:rsid w:val="00160BCA"/>
    <w:rsid w:val="001641FE"/>
    <w:rsid w:val="00166A11"/>
    <w:rsid w:val="0017042A"/>
    <w:rsid w:val="0017343F"/>
    <w:rsid w:val="0018101A"/>
    <w:rsid w:val="00181E5F"/>
    <w:rsid w:val="0018275D"/>
    <w:rsid w:val="00183741"/>
    <w:rsid w:val="00185920"/>
    <w:rsid w:val="00186218"/>
    <w:rsid w:val="001879C0"/>
    <w:rsid w:val="00191994"/>
    <w:rsid w:val="00194715"/>
    <w:rsid w:val="00197B52"/>
    <w:rsid w:val="001A27B0"/>
    <w:rsid w:val="001A455F"/>
    <w:rsid w:val="001A5422"/>
    <w:rsid w:val="001A63D5"/>
    <w:rsid w:val="001A7A42"/>
    <w:rsid w:val="001A7E9E"/>
    <w:rsid w:val="001A7F8B"/>
    <w:rsid w:val="001B1B58"/>
    <w:rsid w:val="001B4D48"/>
    <w:rsid w:val="001B60E1"/>
    <w:rsid w:val="001B6526"/>
    <w:rsid w:val="001B6674"/>
    <w:rsid w:val="001B6F0E"/>
    <w:rsid w:val="001B70BB"/>
    <w:rsid w:val="001B7332"/>
    <w:rsid w:val="001B799C"/>
    <w:rsid w:val="001C1633"/>
    <w:rsid w:val="001C29FD"/>
    <w:rsid w:val="001C66E6"/>
    <w:rsid w:val="001D13D2"/>
    <w:rsid w:val="001D28B6"/>
    <w:rsid w:val="001D3072"/>
    <w:rsid w:val="001D3257"/>
    <w:rsid w:val="001D4821"/>
    <w:rsid w:val="001D7206"/>
    <w:rsid w:val="001E24FF"/>
    <w:rsid w:val="001E3A1F"/>
    <w:rsid w:val="001E3BA7"/>
    <w:rsid w:val="001F0A86"/>
    <w:rsid w:val="001F16EF"/>
    <w:rsid w:val="001F25D5"/>
    <w:rsid w:val="001F34CB"/>
    <w:rsid w:val="001F41B3"/>
    <w:rsid w:val="001F4BB4"/>
    <w:rsid w:val="001F52BC"/>
    <w:rsid w:val="001F6054"/>
    <w:rsid w:val="00200A06"/>
    <w:rsid w:val="00201FCA"/>
    <w:rsid w:val="00202958"/>
    <w:rsid w:val="002041BB"/>
    <w:rsid w:val="00205691"/>
    <w:rsid w:val="002108A5"/>
    <w:rsid w:val="002122CE"/>
    <w:rsid w:val="00214FEE"/>
    <w:rsid w:val="002166C1"/>
    <w:rsid w:val="00222811"/>
    <w:rsid w:val="0022640B"/>
    <w:rsid w:val="00226F28"/>
    <w:rsid w:val="00230661"/>
    <w:rsid w:val="002330A5"/>
    <w:rsid w:val="00233D86"/>
    <w:rsid w:val="00236EB1"/>
    <w:rsid w:val="00237F4C"/>
    <w:rsid w:val="0024086C"/>
    <w:rsid w:val="00241CDE"/>
    <w:rsid w:val="00242063"/>
    <w:rsid w:val="00244A27"/>
    <w:rsid w:val="002452E8"/>
    <w:rsid w:val="00245C5E"/>
    <w:rsid w:val="00246EBB"/>
    <w:rsid w:val="00251F4E"/>
    <w:rsid w:val="002524CC"/>
    <w:rsid w:val="002531FA"/>
    <w:rsid w:val="00253301"/>
    <w:rsid w:val="00254998"/>
    <w:rsid w:val="0025562F"/>
    <w:rsid w:val="0026088F"/>
    <w:rsid w:val="0026206F"/>
    <w:rsid w:val="00262168"/>
    <w:rsid w:val="00262D1F"/>
    <w:rsid w:val="00262E52"/>
    <w:rsid w:val="00263510"/>
    <w:rsid w:val="00263CFE"/>
    <w:rsid w:val="0026469F"/>
    <w:rsid w:val="002657DE"/>
    <w:rsid w:val="00266133"/>
    <w:rsid w:val="00266398"/>
    <w:rsid w:val="00266C42"/>
    <w:rsid w:val="00266FDF"/>
    <w:rsid w:val="0026705A"/>
    <w:rsid w:val="002678DF"/>
    <w:rsid w:val="00273F3A"/>
    <w:rsid w:val="002848C4"/>
    <w:rsid w:val="002853C9"/>
    <w:rsid w:val="0028659D"/>
    <w:rsid w:val="00286783"/>
    <w:rsid w:val="00287BA6"/>
    <w:rsid w:val="00287D24"/>
    <w:rsid w:val="00287FA3"/>
    <w:rsid w:val="00290552"/>
    <w:rsid w:val="00291E3A"/>
    <w:rsid w:val="00292556"/>
    <w:rsid w:val="002925B7"/>
    <w:rsid w:val="00293D18"/>
    <w:rsid w:val="00297B55"/>
    <w:rsid w:val="002A24D0"/>
    <w:rsid w:val="002A3BC3"/>
    <w:rsid w:val="002A600C"/>
    <w:rsid w:val="002A6432"/>
    <w:rsid w:val="002A70DC"/>
    <w:rsid w:val="002A7149"/>
    <w:rsid w:val="002B0CCF"/>
    <w:rsid w:val="002B2951"/>
    <w:rsid w:val="002B342E"/>
    <w:rsid w:val="002B4E79"/>
    <w:rsid w:val="002B7CC7"/>
    <w:rsid w:val="002C04D6"/>
    <w:rsid w:val="002C12A8"/>
    <w:rsid w:val="002C1388"/>
    <w:rsid w:val="002C2423"/>
    <w:rsid w:val="002C324D"/>
    <w:rsid w:val="002C33BA"/>
    <w:rsid w:val="002C4040"/>
    <w:rsid w:val="002C7843"/>
    <w:rsid w:val="002D0D84"/>
    <w:rsid w:val="002D1906"/>
    <w:rsid w:val="002D2F8B"/>
    <w:rsid w:val="002D6A56"/>
    <w:rsid w:val="002D7097"/>
    <w:rsid w:val="002E064C"/>
    <w:rsid w:val="002E1436"/>
    <w:rsid w:val="002E1A10"/>
    <w:rsid w:val="002E1ADB"/>
    <w:rsid w:val="002E500C"/>
    <w:rsid w:val="002F3DB7"/>
    <w:rsid w:val="002F4B16"/>
    <w:rsid w:val="002F61C9"/>
    <w:rsid w:val="002F6583"/>
    <w:rsid w:val="002F6A00"/>
    <w:rsid w:val="002F77CE"/>
    <w:rsid w:val="00301B94"/>
    <w:rsid w:val="00302009"/>
    <w:rsid w:val="00307886"/>
    <w:rsid w:val="00310961"/>
    <w:rsid w:val="00311EEE"/>
    <w:rsid w:val="00313DD4"/>
    <w:rsid w:val="003145C3"/>
    <w:rsid w:val="00314B52"/>
    <w:rsid w:val="00315A03"/>
    <w:rsid w:val="00323DD9"/>
    <w:rsid w:val="00324F3B"/>
    <w:rsid w:val="0032594A"/>
    <w:rsid w:val="00326AA5"/>
    <w:rsid w:val="00332764"/>
    <w:rsid w:val="00333828"/>
    <w:rsid w:val="00333F17"/>
    <w:rsid w:val="00334AB0"/>
    <w:rsid w:val="00334E7C"/>
    <w:rsid w:val="003352A2"/>
    <w:rsid w:val="00336018"/>
    <w:rsid w:val="00343355"/>
    <w:rsid w:val="00344381"/>
    <w:rsid w:val="00344EE3"/>
    <w:rsid w:val="0034534A"/>
    <w:rsid w:val="00345499"/>
    <w:rsid w:val="003471E1"/>
    <w:rsid w:val="003500BA"/>
    <w:rsid w:val="00350CC3"/>
    <w:rsid w:val="0035276D"/>
    <w:rsid w:val="00352F67"/>
    <w:rsid w:val="0035410C"/>
    <w:rsid w:val="003552B0"/>
    <w:rsid w:val="00355BE4"/>
    <w:rsid w:val="00356A8A"/>
    <w:rsid w:val="00356E87"/>
    <w:rsid w:val="00357250"/>
    <w:rsid w:val="00357987"/>
    <w:rsid w:val="0036059B"/>
    <w:rsid w:val="0036231F"/>
    <w:rsid w:val="00366100"/>
    <w:rsid w:val="003727C3"/>
    <w:rsid w:val="00373316"/>
    <w:rsid w:val="00374374"/>
    <w:rsid w:val="003760E3"/>
    <w:rsid w:val="003770AE"/>
    <w:rsid w:val="003808F0"/>
    <w:rsid w:val="00383C88"/>
    <w:rsid w:val="003877F9"/>
    <w:rsid w:val="003901A8"/>
    <w:rsid w:val="00392FCE"/>
    <w:rsid w:val="0039331F"/>
    <w:rsid w:val="0039654E"/>
    <w:rsid w:val="00396813"/>
    <w:rsid w:val="003A09B3"/>
    <w:rsid w:val="003A0FC9"/>
    <w:rsid w:val="003A1213"/>
    <w:rsid w:val="003A1CBC"/>
    <w:rsid w:val="003A2249"/>
    <w:rsid w:val="003A46D5"/>
    <w:rsid w:val="003A48CE"/>
    <w:rsid w:val="003B0E1A"/>
    <w:rsid w:val="003B1412"/>
    <w:rsid w:val="003B2EC1"/>
    <w:rsid w:val="003B3349"/>
    <w:rsid w:val="003B521C"/>
    <w:rsid w:val="003B5C2D"/>
    <w:rsid w:val="003B64EF"/>
    <w:rsid w:val="003B7A48"/>
    <w:rsid w:val="003C2695"/>
    <w:rsid w:val="003C3ACA"/>
    <w:rsid w:val="003C3B6C"/>
    <w:rsid w:val="003C4D4E"/>
    <w:rsid w:val="003C6334"/>
    <w:rsid w:val="003C6D73"/>
    <w:rsid w:val="003C7DE3"/>
    <w:rsid w:val="003D18EC"/>
    <w:rsid w:val="003D2847"/>
    <w:rsid w:val="003D4EA6"/>
    <w:rsid w:val="003E4567"/>
    <w:rsid w:val="003E7258"/>
    <w:rsid w:val="003F12E8"/>
    <w:rsid w:val="003F6754"/>
    <w:rsid w:val="003F6EBE"/>
    <w:rsid w:val="003F7318"/>
    <w:rsid w:val="004009A2"/>
    <w:rsid w:val="00400D05"/>
    <w:rsid w:val="004023D9"/>
    <w:rsid w:val="00403A6B"/>
    <w:rsid w:val="00403CB0"/>
    <w:rsid w:val="0041651C"/>
    <w:rsid w:val="004168D0"/>
    <w:rsid w:val="0041756F"/>
    <w:rsid w:val="00420623"/>
    <w:rsid w:val="00420700"/>
    <w:rsid w:val="00420AEF"/>
    <w:rsid w:val="00421B5B"/>
    <w:rsid w:val="00425002"/>
    <w:rsid w:val="004251B5"/>
    <w:rsid w:val="0043006B"/>
    <w:rsid w:val="00430BD6"/>
    <w:rsid w:val="00430DC8"/>
    <w:rsid w:val="00432C83"/>
    <w:rsid w:val="00433FDF"/>
    <w:rsid w:val="00434A6B"/>
    <w:rsid w:val="00434E00"/>
    <w:rsid w:val="00437A43"/>
    <w:rsid w:val="00440C3C"/>
    <w:rsid w:val="00442266"/>
    <w:rsid w:val="004425EB"/>
    <w:rsid w:val="0044287D"/>
    <w:rsid w:val="00445944"/>
    <w:rsid w:val="0044656E"/>
    <w:rsid w:val="004478F7"/>
    <w:rsid w:val="004529F3"/>
    <w:rsid w:val="00453D90"/>
    <w:rsid w:val="00453E64"/>
    <w:rsid w:val="004545A8"/>
    <w:rsid w:val="004555B6"/>
    <w:rsid w:val="00457294"/>
    <w:rsid w:val="0046002C"/>
    <w:rsid w:val="00463CD2"/>
    <w:rsid w:val="00470758"/>
    <w:rsid w:val="00470B95"/>
    <w:rsid w:val="00473EB1"/>
    <w:rsid w:val="00474B87"/>
    <w:rsid w:val="00474CBE"/>
    <w:rsid w:val="004758C0"/>
    <w:rsid w:val="00480CDA"/>
    <w:rsid w:val="0048359B"/>
    <w:rsid w:val="00485C31"/>
    <w:rsid w:val="004864A4"/>
    <w:rsid w:val="00487A9D"/>
    <w:rsid w:val="00490259"/>
    <w:rsid w:val="004909FC"/>
    <w:rsid w:val="00491AD3"/>
    <w:rsid w:val="00491F2A"/>
    <w:rsid w:val="004926F3"/>
    <w:rsid w:val="00493AAF"/>
    <w:rsid w:val="004951BC"/>
    <w:rsid w:val="0049564C"/>
    <w:rsid w:val="00497CB3"/>
    <w:rsid w:val="004A063E"/>
    <w:rsid w:val="004A43FD"/>
    <w:rsid w:val="004A68FD"/>
    <w:rsid w:val="004B1FA0"/>
    <w:rsid w:val="004B3A6F"/>
    <w:rsid w:val="004B5878"/>
    <w:rsid w:val="004B5F9D"/>
    <w:rsid w:val="004B68A4"/>
    <w:rsid w:val="004C0683"/>
    <w:rsid w:val="004C2DEA"/>
    <w:rsid w:val="004C6A27"/>
    <w:rsid w:val="004D0B52"/>
    <w:rsid w:val="004D1D01"/>
    <w:rsid w:val="004D4A20"/>
    <w:rsid w:val="004D5F86"/>
    <w:rsid w:val="004D7CD2"/>
    <w:rsid w:val="004D7EAD"/>
    <w:rsid w:val="004E0334"/>
    <w:rsid w:val="004E096B"/>
    <w:rsid w:val="004E0D6A"/>
    <w:rsid w:val="004E1409"/>
    <w:rsid w:val="004E1898"/>
    <w:rsid w:val="004E3843"/>
    <w:rsid w:val="004E3ABA"/>
    <w:rsid w:val="004E52DE"/>
    <w:rsid w:val="004F058F"/>
    <w:rsid w:val="004F0936"/>
    <w:rsid w:val="004F4512"/>
    <w:rsid w:val="004F4E5A"/>
    <w:rsid w:val="00503DB1"/>
    <w:rsid w:val="005040C4"/>
    <w:rsid w:val="00504E58"/>
    <w:rsid w:val="005054AF"/>
    <w:rsid w:val="00506B50"/>
    <w:rsid w:val="00507CEB"/>
    <w:rsid w:val="00510F63"/>
    <w:rsid w:val="005121F1"/>
    <w:rsid w:val="00515097"/>
    <w:rsid w:val="00515127"/>
    <w:rsid w:val="005154E4"/>
    <w:rsid w:val="00516C03"/>
    <w:rsid w:val="00520B23"/>
    <w:rsid w:val="005213EE"/>
    <w:rsid w:val="00521657"/>
    <w:rsid w:val="00522F53"/>
    <w:rsid w:val="00523BDD"/>
    <w:rsid w:val="00525799"/>
    <w:rsid w:val="00526F62"/>
    <w:rsid w:val="0053050C"/>
    <w:rsid w:val="00532228"/>
    <w:rsid w:val="00532DEC"/>
    <w:rsid w:val="00533AB0"/>
    <w:rsid w:val="00534B2E"/>
    <w:rsid w:val="00535889"/>
    <w:rsid w:val="0054078E"/>
    <w:rsid w:val="0054087D"/>
    <w:rsid w:val="00541AD2"/>
    <w:rsid w:val="00543845"/>
    <w:rsid w:val="00545178"/>
    <w:rsid w:val="00545766"/>
    <w:rsid w:val="00546633"/>
    <w:rsid w:val="005470D5"/>
    <w:rsid w:val="00554211"/>
    <w:rsid w:val="00555265"/>
    <w:rsid w:val="0055695A"/>
    <w:rsid w:val="00556EC7"/>
    <w:rsid w:val="00557F2A"/>
    <w:rsid w:val="0056565F"/>
    <w:rsid w:val="005658D0"/>
    <w:rsid w:val="00567357"/>
    <w:rsid w:val="005673D5"/>
    <w:rsid w:val="00567E96"/>
    <w:rsid w:val="00570549"/>
    <w:rsid w:val="00570F29"/>
    <w:rsid w:val="005720FB"/>
    <w:rsid w:val="005721A5"/>
    <w:rsid w:val="00577200"/>
    <w:rsid w:val="00577ECE"/>
    <w:rsid w:val="005827F1"/>
    <w:rsid w:val="00583857"/>
    <w:rsid w:val="005843A0"/>
    <w:rsid w:val="005848E9"/>
    <w:rsid w:val="00586777"/>
    <w:rsid w:val="00591B83"/>
    <w:rsid w:val="00591FB5"/>
    <w:rsid w:val="00592C7D"/>
    <w:rsid w:val="00593E0D"/>
    <w:rsid w:val="00596BDA"/>
    <w:rsid w:val="005A07AE"/>
    <w:rsid w:val="005A0FE7"/>
    <w:rsid w:val="005A3733"/>
    <w:rsid w:val="005A64FD"/>
    <w:rsid w:val="005A6BF3"/>
    <w:rsid w:val="005B1B81"/>
    <w:rsid w:val="005B3079"/>
    <w:rsid w:val="005B3EDE"/>
    <w:rsid w:val="005B4148"/>
    <w:rsid w:val="005B4642"/>
    <w:rsid w:val="005B581D"/>
    <w:rsid w:val="005B6B11"/>
    <w:rsid w:val="005B7B1A"/>
    <w:rsid w:val="005C0C96"/>
    <w:rsid w:val="005C1966"/>
    <w:rsid w:val="005C2F94"/>
    <w:rsid w:val="005C536B"/>
    <w:rsid w:val="005D070F"/>
    <w:rsid w:val="005D10F8"/>
    <w:rsid w:val="005D21DD"/>
    <w:rsid w:val="005D39BC"/>
    <w:rsid w:val="005D4F57"/>
    <w:rsid w:val="005D4F72"/>
    <w:rsid w:val="005D6048"/>
    <w:rsid w:val="005D7D63"/>
    <w:rsid w:val="005E004F"/>
    <w:rsid w:val="005E1235"/>
    <w:rsid w:val="005E1B12"/>
    <w:rsid w:val="005E28BA"/>
    <w:rsid w:val="005E3A0C"/>
    <w:rsid w:val="005E4313"/>
    <w:rsid w:val="005E5A7D"/>
    <w:rsid w:val="005E675D"/>
    <w:rsid w:val="005E7B29"/>
    <w:rsid w:val="005E7C5D"/>
    <w:rsid w:val="005F0933"/>
    <w:rsid w:val="005F2740"/>
    <w:rsid w:val="005F57F7"/>
    <w:rsid w:val="005F758A"/>
    <w:rsid w:val="006001C8"/>
    <w:rsid w:val="00603565"/>
    <w:rsid w:val="006037E6"/>
    <w:rsid w:val="006066D4"/>
    <w:rsid w:val="00607EDC"/>
    <w:rsid w:val="00611A6E"/>
    <w:rsid w:val="0061212B"/>
    <w:rsid w:val="00612EA7"/>
    <w:rsid w:val="00617B7D"/>
    <w:rsid w:val="006216D6"/>
    <w:rsid w:val="00622745"/>
    <w:rsid w:val="00622B32"/>
    <w:rsid w:val="00622D6B"/>
    <w:rsid w:val="00622DCD"/>
    <w:rsid w:val="006233A5"/>
    <w:rsid w:val="0062589D"/>
    <w:rsid w:val="0062678E"/>
    <w:rsid w:val="00630F89"/>
    <w:rsid w:val="0063175E"/>
    <w:rsid w:val="0063260F"/>
    <w:rsid w:val="006332AF"/>
    <w:rsid w:val="0063404A"/>
    <w:rsid w:val="00637003"/>
    <w:rsid w:val="00640B17"/>
    <w:rsid w:val="006414CD"/>
    <w:rsid w:val="00642C2A"/>
    <w:rsid w:val="00646F5A"/>
    <w:rsid w:val="00647270"/>
    <w:rsid w:val="00654644"/>
    <w:rsid w:val="006552F9"/>
    <w:rsid w:val="00655588"/>
    <w:rsid w:val="00656139"/>
    <w:rsid w:val="00661068"/>
    <w:rsid w:val="006649DB"/>
    <w:rsid w:val="00666CE9"/>
    <w:rsid w:val="00667866"/>
    <w:rsid w:val="00671C70"/>
    <w:rsid w:val="006741D7"/>
    <w:rsid w:val="00675BB6"/>
    <w:rsid w:val="00676CDF"/>
    <w:rsid w:val="006802FE"/>
    <w:rsid w:val="0068108B"/>
    <w:rsid w:val="006833AB"/>
    <w:rsid w:val="00684EA9"/>
    <w:rsid w:val="0068643A"/>
    <w:rsid w:val="006864DE"/>
    <w:rsid w:val="00691631"/>
    <w:rsid w:val="00691807"/>
    <w:rsid w:val="00691F1C"/>
    <w:rsid w:val="0069413D"/>
    <w:rsid w:val="006948E2"/>
    <w:rsid w:val="006948F7"/>
    <w:rsid w:val="00694CD4"/>
    <w:rsid w:val="006A3ACE"/>
    <w:rsid w:val="006A47F5"/>
    <w:rsid w:val="006A6BBB"/>
    <w:rsid w:val="006B055F"/>
    <w:rsid w:val="006B28E0"/>
    <w:rsid w:val="006B2D4F"/>
    <w:rsid w:val="006B2EC1"/>
    <w:rsid w:val="006B414D"/>
    <w:rsid w:val="006B41CF"/>
    <w:rsid w:val="006B75B0"/>
    <w:rsid w:val="006B76A1"/>
    <w:rsid w:val="006C06D3"/>
    <w:rsid w:val="006C2E4A"/>
    <w:rsid w:val="006C5357"/>
    <w:rsid w:val="006C57BD"/>
    <w:rsid w:val="006C7DFE"/>
    <w:rsid w:val="006D1925"/>
    <w:rsid w:val="006D3492"/>
    <w:rsid w:val="006D4CBF"/>
    <w:rsid w:val="006D7617"/>
    <w:rsid w:val="006D7754"/>
    <w:rsid w:val="006D7C09"/>
    <w:rsid w:val="006E223B"/>
    <w:rsid w:val="006E23C5"/>
    <w:rsid w:val="006E3C78"/>
    <w:rsid w:val="006E6DBC"/>
    <w:rsid w:val="006F1ECA"/>
    <w:rsid w:val="006F3655"/>
    <w:rsid w:val="006F3922"/>
    <w:rsid w:val="006F3A07"/>
    <w:rsid w:val="006F5F8E"/>
    <w:rsid w:val="00702C35"/>
    <w:rsid w:val="00704FF2"/>
    <w:rsid w:val="007056B2"/>
    <w:rsid w:val="00706FFB"/>
    <w:rsid w:val="00707DFE"/>
    <w:rsid w:val="00707EF5"/>
    <w:rsid w:val="007113DB"/>
    <w:rsid w:val="0071227F"/>
    <w:rsid w:val="00712B95"/>
    <w:rsid w:val="00713216"/>
    <w:rsid w:val="00713A28"/>
    <w:rsid w:val="00714F57"/>
    <w:rsid w:val="0071544A"/>
    <w:rsid w:val="00720ED3"/>
    <w:rsid w:val="007223EE"/>
    <w:rsid w:val="00722481"/>
    <w:rsid w:val="0072405B"/>
    <w:rsid w:val="007265B9"/>
    <w:rsid w:val="00727510"/>
    <w:rsid w:val="007275BC"/>
    <w:rsid w:val="00727AF2"/>
    <w:rsid w:val="00731BCB"/>
    <w:rsid w:val="00731C6C"/>
    <w:rsid w:val="00732E96"/>
    <w:rsid w:val="007344E7"/>
    <w:rsid w:val="007352D7"/>
    <w:rsid w:val="00735DF1"/>
    <w:rsid w:val="007403F8"/>
    <w:rsid w:val="0074101F"/>
    <w:rsid w:val="00741F67"/>
    <w:rsid w:val="007449B8"/>
    <w:rsid w:val="00746086"/>
    <w:rsid w:val="00746731"/>
    <w:rsid w:val="00746C45"/>
    <w:rsid w:val="0074760E"/>
    <w:rsid w:val="0075056F"/>
    <w:rsid w:val="0075193E"/>
    <w:rsid w:val="00751DF6"/>
    <w:rsid w:val="00753A55"/>
    <w:rsid w:val="00753DF5"/>
    <w:rsid w:val="00753E19"/>
    <w:rsid w:val="0075430D"/>
    <w:rsid w:val="00754BDE"/>
    <w:rsid w:val="00754E8A"/>
    <w:rsid w:val="00755952"/>
    <w:rsid w:val="0076123E"/>
    <w:rsid w:val="007614BE"/>
    <w:rsid w:val="00762FBD"/>
    <w:rsid w:val="00763C41"/>
    <w:rsid w:val="00763E74"/>
    <w:rsid w:val="007651C1"/>
    <w:rsid w:val="007659BA"/>
    <w:rsid w:val="00767E59"/>
    <w:rsid w:val="007722C8"/>
    <w:rsid w:val="00772EDD"/>
    <w:rsid w:val="0077646C"/>
    <w:rsid w:val="00784630"/>
    <w:rsid w:val="00786F89"/>
    <w:rsid w:val="007877B4"/>
    <w:rsid w:val="00790DCD"/>
    <w:rsid w:val="00794708"/>
    <w:rsid w:val="00796582"/>
    <w:rsid w:val="00796F7C"/>
    <w:rsid w:val="007A0672"/>
    <w:rsid w:val="007A122B"/>
    <w:rsid w:val="007A214F"/>
    <w:rsid w:val="007A2F94"/>
    <w:rsid w:val="007A5372"/>
    <w:rsid w:val="007A5EE5"/>
    <w:rsid w:val="007A66D2"/>
    <w:rsid w:val="007A6AFB"/>
    <w:rsid w:val="007B10BD"/>
    <w:rsid w:val="007B1AC6"/>
    <w:rsid w:val="007B1E60"/>
    <w:rsid w:val="007B36C6"/>
    <w:rsid w:val="007B5A53"/>
    <w:rsid w:val="007C0754"/>
    <w:rsid w:val="007C1DCC"/>
    <w:rsid w:val="007C53B2"/>
    <w:rsid w:val="007C6E00"/>
    <w:rsid w:val="007C6EB3"/>
    <w:rsid w:val="007C7E95"/>
    <w:rsid w:val="007D2AD6"/>
    <w:rsid w:val="007D307D"/>
    <w:rsid w:val="007D32DC"/>
    <w:rsid w:val="007D463C"/>
    <w:rsid w:val="007D7355"/>
    <w:rsid w:val="007D7DF7"/>
    <w:rsid w:val="007E0048"/>
    <w:rsid w:val="007E29AC"/>
    <w:rsid w:val="007E489E"/>
    <w:rsid w:val="007E48E5"/>
    <w:rsid w:val="007E4C30"/>
    <w:rsid w:val="007E703E"/>
    <w:rsid w:val="007E7AF8"/>
    <w:rsid w:val="007F1068"/>
    <w:rsid w:val="007F1A57"/>
    <w:rsid w:val="007F56AF"/>
    <w:rsid w:val="007F5CD8"/>
    <w:rsid w:val="00800E48"/>
    <w:rsid w:val="008031AF"/>
    <w:rsid w:val="00803617"/>
    <w:rsid w:val="00804B13"/>
    <w:rsid w:val="008113F6"/>
    <w:rsid w:val="00811880"/>
    <w:rsid w:val="008118CE"/>
    <w:rsid w:val="0081212B"/>
    <w:rsid w:val="008140CF"/>
    <w:rsid w:val="00816A26"/>
    <w:rsid w:val="00817656"/>
    <w:rsid w:val="008201F1"/>
    <w:rsid w:val="00822594"/>
    <w:rsid w:val="00823284"/>
    <w:rsid w:val="008241A9"/>
    <w:rsid w:val="00825E29"/>
    <w:rsid w:val="0082665C"/>
    <w:rsid w:val="00826FA8"/>
    <w:rsid w:val="00827AB6"/>
    <w:rsid w:val="0083213B"/>
    <w:rsid w:val="0083337B"/>
    <w:rsid w:val="00833704"/>
    <w:rsid w:val="00834E08"/>
    <w:rsid w:val="00835386"/>
    <w:rsid w:val="00836295"/>
    <w:rsid w:val="00837290"/>
    <w:rsid w:val="0083740B"/>
    <w:rsid w:val="00842763"/>
    <w:rsid w:val="00842D08"/>
    <w:rsid w:val="008500BB"/>
    <w:rsid w:val="00850F2B"/>
    <w:rsid w:val="00851638"/>
    <w:rsid w:val="00851E3E"/>
    <w:rsid w:val="00852189"/>
    <w:rsid w:val="00852CF7"/>
    <w:rsid w:val="00853245"/>
    <w:rsid w:val="008544D9"/>
    <w:rsid w:val="00854B73"/>
    <w:rsid w:val="00857B53"/>
    <w:rsid w:val="00860CDE"/>
    <w:rsid w:val="00861100"/>
    <w:rsid w:val="00861933"/>
    <w:rsid w:val="00861DF6"/>
    <w:rsid w:val="0086226D"/>
    <w:rsid w:val="00862CD5"/>
    <w:rsid w:val="008644EB"/>
    <w:rsid w:val="008654E7"/>
    <w:rsid w:val="00866314"/>
    <w:rsid w:val="00871AD0"/>
    <w:rsid w:val="00871D19"/>
    <w:rsid w:val="00871F15"/>
    <w:rsid w:val="00872654"/>
    <w:rsid w:val="00874EDB"/>
    <w:rsid w:val="00875336"/>
    <w:rsid w:val="00875542"/>
    <w:rsid w:val="0087676A"/>
    <w:rsid w:val="008777B4"/>
    <w:rsid w:val="00877A68"/>
    <w:rsid w:val="008810E7"/>
    <w:rsid w:val="00881DD2"/>
    <w:rsid w:val="00882CFA"/>
    <w:rsid w:val="008851B9"/>
    <w:rsid w:val="00885E64"/>
    <w:rsid w:val="00887618"/>
    <w:rsid w:val="00891FAD"/>
    <w:rsid w:val="008935CC"/>
    <w:rsid w:val="008951FA"/>
    <w:rsid w:val="0089528D"/>
    <w:rsid w:val="00895740"/>
    <w:rsid w:val="008A10ED"/>
    <w:rsid w:val="008A3120"/>
    <w:rsid w:val="008A754B"/>
    <w:rsid w:val="008A7CC5"/>
    <w:rsid w:val="008A7D75"/>
    <w:rsid w:val="008B238A"/>
    <w:rsid w:val="008B5266"/>
    <w:rsid w:val="008B60B7"/>
    <w:rsid w:val="008B64D2"/>
    <w:rsid w:val="008B6E60"/>
    <w:rsid w:val="008B7AD5"/>
    <w:rsid w:val="008C0083"/>
    <w:rsid w:val="008C1780"/>
    <w:rsid w:val="008C5526"/>
    <w:rsid w:val="008C6C11"/>
    <w:rsid w:val="008C73D5"/>
    <w:rsid w:val="008D6C77"/>
    <w:rsid w:val="008D6CB4"/>
    <w:rsid w:val="008E20E1"/>
    <w:rsid w:val="008E3453"/>
    <w:rsid w:val="008E431C"/>
    <w:rsid w:val="008E4534"/>
    <w:rsid w:val="008E5198"/>
    <w:rsid w:val="008E59D5"/>
    <w:rsid w:val="008F1970"/>
    <w:rsid w:val="008F20CA"/>
    <w:rsid w:val="008F2E0C"/>
    <w:rsid w:val="008F61F7"/>
    <w:rsid w:val="00901CFB"/>
    <w:rsid w:val="00902DED"/>
    <w:rsid w:val="009033C9"/>
    <w:rsid w:val="00904008"/>
    <w:rsid w:val="009148A3"/>
    <w:rsid w:val="00916651"/>
    <w:rsid w:val="00916896"/>
    <w:rsid w:val="00920378"/>
    <w:rsid w:val="00921326"/>
    <w:rsid w:val="00921E88"/>
    <w:rsid w:val="00925BF4"/>
    <w:rsid w:val="009271BF"/>
    <w:rsid w:val="00927640"/>
    <w:rsid w:val="00934920"/>
    <w:rsid w:val="00934C1C"/>
    <w:rsid w:val="00934D36"/>
    <w:rsid w:val="00936779"/>
    <w:rsid w:val="00937207"/>
    <w:rsid w:val="00937BA4"/>
    <w:rsid w:val="00945268"/>
    <w:rsid w:val="00945B79"/>
    <w:rsid w:val="00945EA3"/>
    <w:rsid w:val="00951179"/>
    <w:rsid w:val="0095205E"/>
    <w:rsid w:val="009557B9"/>
    <w:rsid w:val="00957C26"/>
    <w:rsid w:val="0096427B"/>
    <w:rsid w:val="00964C24"/>
    <w:rsid w:val="00964EFC"/>
    <w:rsid w:val="009657B1"/>
    <w:rsid w:val="0096637F"/>
    <w:rsid w:val="00966FDB"/>
    <w:rsid w:val="00970E82"/>
    <w:rsid w:val="0097261B"/>
    <w:rsid w:val="009728E9"/>
    <w:rsid w:val="00972C2D"/>
    <w:rsid w:val="00973CE7"/>
    <w:rsid w:val="0097528B"/>
    <w:rsid w:val="009777C0"/>
    <w:rsid w:val="00980456"/>
    <w:rsid w:val="009807DA"/>
    <w:rsid w:val="00982DE2"/>
    <w:rsid w:val="00982F61"/>
    <w:rsid w:val="009874A0"/>
    <w:rsid w:val="009878D1"/>
    <w:rsid w:val="00992500"/>
    <w:rsid w:val="009929B1"/>
    <w:rsid w:val="00992AC3"/>
    <w:rsid w:val="00992BF3"/>
    <w:rsid w:val="00992EC1"/>
    <w:rsid w:val="0099340B"/>
    <w:rsid w:val="00994B72"/>
    <w:rsid w:val="00996C3E"/>
    <w:rsid w:val="00997719"/>
    <w:rsid w:val="009A1713"/>
    <w:rsid w:val="009A2026"/>
    <w:rsid w:val="009A4978"/>
    <w:rsid w:val="009A59D5"/>
    <w:rsid w:val="009A6BA8"/>
    <w:rsid w:val="009B1136"/>
    <w:rsid w:val="009B1A34"/>
    <w:rsid w:val="009B1E1A"/>
    <w:rsid w:val="009B1E96"/>
    <w:rsid w:val="009B399D"/>
    <w:rsid w:val="009B4CC3"/>
    <w:rsid w:val="009B5C96"/>
    <w:rsid w:val="009B6AD7"/>
    <w:rsid w:val="009B6B15"/>
    <w:rsid w:val="009B70E6"/>
    <w:rsid w:val="009B73CC"/>
    <w:rsid w:val="009C215C"/>
    <w:rsid w:val="009C4FD6"/>
    <w:rsid w:val="009C7033"/>
    <w:rsid w:val="009C793E"/>
    <w:rsid w:val="009D0245"/>
    <w:rsid w:val="009D1AF4"/>
    <w:rsid w:val="009D6847"/>
    <w:rsid w:val="009D7F14"/>
    <w:rsid w:val="009E138F"/>
    <w:rsid w:val="009E19C4"/>
    <w:rsid w:val="009E2DD2"/>
    <w:rsid w:val="009E530C"/>
    <w:rsid w:val="009E5FF1"/>
    <w:rsid w:val="009F19D7"/>
    <w:rsid w:val="009F1A6A"/>
    <w:rsid w:val="009F28CD"/>
    <w:rsid w:val="009F309A"/>
    <w:rsid w:val="009F434E"/>
    <w:rsid w:val="009F57F9"/>
    <w:rsid w:val="009F5988"/>
    <w:rsid w:val="009F5ABE"/>
    <w:rsid w:val="009F60FF"/>
    <w:rsid w:val="009F6831"/>
    <w:rsid w:val="009F7A1E"/>
    <w:rsid w:val="00A02119"/>
    <w:rsid w:val="00A0235C"/>
    <w:rsid w:val="00A032C5"/>
    <w:rsid w:val="00A03D79"/>
    <w:rsid w:val="00A075A6"/>
    <w:rsid w:val="00A11679"/>
    <w:rsid w:val="00A11945"/>
    <w:rsid w:val="00A15DC7"/>
    <w:rsid w:val="00A16482"/>
    <w:rsid w:val="00A218F7"/>
    <w:rsid w:val="00A221BC"/>
    <w:rsid w:val="00A22BCD"/>
    <w:rsid w:val="00A233E3"/>
    <w:rsid w:val="00A23A43"/>
    <w:rsid w:val="00A26C23"/>
    <w:rsid w:val="00A27105"/>
    <w:rsid w:val="00A33AC7"/>
    <w:rsid w:val="00A33CE6"/>
    <w:rsid w:val="00A34906"/>
    <w:rsid w:val="00A35080"/>
    <w:rsid w:val="00A35D90"/>
    <w:rsid w:val="00A375FB"/>
    <w:rsid w:val="00A37AEB"/>
    <w:rsid w:val="00A42937"/>
    <w:rsid w:val="00A44CC0"/>
    <w:rsid w:val="00A46691"/>
    <w:rsid w:val="00A50462"/>
    <w:rsid w:val="00A511C2"/>
    <w:rsid w:val="00A54105"/>
    <w:rsid w:val="00A54556"/>
    <w:rsid w:val="00A5533C"/>
    <w:rsid w:val="00A55F6C"/>
    <w:rsid w:val="00A5694B"/>
    <w:rsid w:val="00A60405"/>
    <w:rsid w:val="00A605ED"/>
    <w:rsid w:val="00A6112C"/>
    <w:rsid w:val="00A62910"/>
    <w:rsid w:val="00A62DB4"/>
    <w:rsid w:val="00A63EC2"/>
    <w:rsid w:val="00A66FF3"/>
    <w:rsid w:val="00A6772E"/>
    <w:rsid w:val="00A70255"/>
    <w:rsid w:val="00A71995"/>
    <w:rsid w:val="00A71A59"/>
    <w:rsid w:val="00A8033D"/>
    <w:rsid w:val="00A85F08"/>
    <w:rsid w:val="00A96D67"/>
    <w:rsid w:val="00A97439"/>
    <w:rsid w:val="00A979BC"/>
    <w:rsid w:val="00AA0889"/>
    <w:rsid w:val="00AA2955"/>
    <w:rsid w:val="00AA3DAC"/>
    <w:rsid w:val="00AA589E"/>
    <w:rsid w:val="00AA69B8"/>
    <w:rsid w:val="00AA703D"/>
    <w:rsid w:val="00AB127D"/>
    <w:rsid w:val="00AB14E7"/>
    <w:rsid w:val="00AB3EA5"/>
    <w:rsid w:val="00AB4F36"/>
    <w:rsid w:val="00AB4F4C"/>
    <w:rsid w:val="00AB52C5"/>
    <w:rsid w:val="00AB53D4"/>
    <w:rsid w:val="00AB590F"/>
    <w:rsid w:val="00AB6B07"/>
    <w:rsid w:val="00AC35A0"/>
    <w:rsid w:val="00AC35AA"/>
    <w:rsid w:val="00AC526D"/>
    <w:rsid w:val="00AC7897"/>
    <w:rsid w:val="00AC7F6F"/>
    <w:rsid w:val="00AD2C4F"/>
    <w:rsid w:val="00AD50BE"/>
    <w:rsid w:val="00AD5464"/>
    <w:rsid w:val="00AD7729"/>
    <w:rsid w:val="00AD7DB2"/>
    <w:rsid w:val="00AE1A38"/>
    <w:rsid w:val="00AE1FBC"/>
    <w:rsid w:val="00AE232F"/>
    <w:rsid w:val="00AE2404"/>
    <w:rsid w:val="00AE2828"/>
    <w:rsid w:val="00AE34BE"/>
    <w:rsid w:val="00AE3938"/>
    <w:rsid w:val="00AE4656"/>
    <w:rsid w:val="00AE5401"/>
    <w:rsid w:val="00AE73CE"/>
    <w:rsid w:val="00AE7825"/>
    <w:rsid w:val="00AF03A1"/>
    <w:rsid w:val="00AF1A45"/>
    <w:rsid w:val="00AF40E9"/>
    <w:rsid w:val="00AF4AFE"/>
    <w:rsid w:val="00AF53BE"/>
    <w:rsid w:val="00AF5478"/>
    <w:rsid w:val="00AF601A"/>
    <w:rsid w:val="00AF7CFA"/>
    <w:rsid w:val="00B00C9A"/>
    <w:rsid w:val="00B0264A"/>
    <w:rsid w:val="00B04B95"/>
    <w:rsid w:val="00B04C4F"/>
    <w:rsid w:val="00B053CE"/>
    <w:rsid w:val="00B0550B"/>
    <w:rsid w:val="00B05976"/>
    <w:rsid w:val="00B06139"/>
    <w:rsid w:val="00B067E7"/>
    <w:rsid w:val="00B12085"/>
    <w:rsid w:val="00B133C7"/>
    <w:rsid w:val="00B13B5E"/>
    <w:rsid w:val="00B1459D"/>
    <w:rsid w:val="00B147CC"/>
    <w:rsid w:val="00B14F7F"/>
    <w:rsid w:val="00B16935"/>
    <w:rsid w:val="00B204C6"/>
    <w:rsid w:val="00B2205A"/>
    <w:rsid w:val="00B222D4"/>
    <w:rsid w:val="00B229F8"/>
    <w:rsid w:val="00B230D3"/>
    <w:rsid w:val="00B23B32"/>
    <w:rsid w:val="00B241D5"/>
    <w:rsid w:val="00B259AB"/>
    <w:rsid w:val="00B25B2D"/>
    <w:rsid w:val="00B2627A"/>
    <w:rsid w:val="00B270D7"/>
    <w:rsid w:val="00B27B6B"/>
    <w:rsid w:val="00B325CB"/>
    <w:rsid w:val="00B32877"/>
    <w:rsid w:val="00B32E84"/>
    <w:rsid w:val="00B33183"/>
    <w:rsid w:val="00B34260"/>
    <w:rsid w:val="00B35980"/>
    <w:rsid w:val="00B36047"/>
    <w:rsid w:val="00B3620F"/>
    <w:rsid w:val="00B37395"/>
    <w:rsid w:val="00B377C0"/>
    <w:rsid w:val="00B42D20"/>
    <w:rsid w:val="00B432EC"/>
    <w:rsid w:val="00B43C0D"/>
    <w:rsid w:val="00B44081"/>
    <w:rsid w:val="00B45A51"/>
    <w:rsid w:val="00B46774"/>
    <w:rsid w:val="00B470EB"/>
    <w:rsid w:val="00B5203F"/>
    <w:rsid w:val="00B5380D"/>
    <w:rsid w:val="00B554A3"/>
    <w:rsid w:val="00B56242"/>
    <w:rsid w:val="00B5648F"/>
    <w:rsid w:val="00B57C33"/>
    <w:rsid w:val="00B60A5C"/>
    <w:rsid w:val="00B63AD1"/>
    <w:rsid w:val="00B6614F"/>
    <w:rsid w:val="00B67ABA"/>
    <w:rsid w:val="00B7049D"/>
    <w:rsid w:val="00B73374"/>
    <w:rsid w:val="00B73629"/>
    <w:rsid w:val="00B76910"/>
    <w:rsid w:val="00B77933"/>
    <w:rsid w:val="00B80577"/>
    <w:rsid w:val="00B82D14"/>
    <w:rsid w:val="00B85CCC"/>
    <w:rsid w:val="00B924CF"/>
    <w:rsid w:val="00B9372B"/>
    <w:rsid w:val="00B95303"/>
    <w:rsid w:val="00B961F7"/>
    <w:rsid w:val="00BA394C"/>
    <w:rsid w:val="00BA4F6C"/>
    <w:rsid w:val="00BA5D79"/>
    <w:rsid w:val="00BA7BA3"/>
    <w:rsid w:val="00BA7E55"/>
    <w:rsid w:val="00BB0C66"/>
    <w:rsid w:val="00BB0F6F"/>
    <w:rsid w:val="00BB299A"/>
    <w:rsid w:val="00BB38A0"/>
    <w:rsid w:val="00BB3E72"/>
    <w:rsid w:val="00BB41E1"/>
    <w:rsid w:val="00BB5623"/>
    <w:rsid w:val="00BB652A"/>
    <w:rsid w:val="00BB6A3C"/>
    <w:rsid w:val="00BB73D9"/>
    <w:rsid w:val="00BC1284"/>
    <w:rsid w:val="00BC24D3"/>
    <w:rsid w:val="00BC26E7"/>
    <w:rsid w:val="00BC6186"/>
    <w:rsid w:val="00BC651E"/>
    <w:rsid w:val="00BC7F1C"/>
    <w:rsid w:val="00BD2F6A"/>
    <w:rsid w:val="00BD5667"/>
    <w:rsid w:val="00BD6BEC"/>
    <w:rsid w:val="00BD7332"/>
    <w:rsid w:val="00BD7999"/>
    <w:rsid w:val="00BE02B6"/>
    <w:rsid w:val="00BE24AD"/>
    <w:rsid w:val="00BE2B6F"/>
    <w:rsid w:val="00BE2CD9"/>
    <w:rsid w:val="00BE32B2"/>
    <w:rsid w:val="00BE4B43"/>
    <w:rsid w:val="00BE4F90"/>
    <w:rsid w:val="00BE58D7"/>
    <w:rsid w:val="00BE6572"/>
    <w:rsid w:val="00BE7B50"/>
    <w:rsid w:val="00BF220A"/>
    <w:rsid w:val="00BF24EE"/>
    <w:rsid w:val="00BF3F37"/>
    <w:rsid w:val="00BF4614"/>
    <w:rsid w:val="00BF660E"/>
    <w:rsid w:val="00BF6923"/>
    <w:rsid w:val="00BF7225"/>
    <w:rsid w:val="00BF7A8A"/>
    <w:rsid w:val="00C019E3"/>
    <w:rsid w:val="00C030C7"/>
    <w:rsid w:val="00C04393"/>
    <w:rsid w:val="00C05A0E"/>
    <w:rsid w:val="00C0601F"/>
    <w:rsid w:val="00C07565"/>
    <w:rsid w:val="00C1076A"/>
    <w:rsid w:val="00C107D9"/>
    <w:rsid w:val="00C11E16"/>
    <w:rsid w:val="00C13FDA"/>
    <w:rsid w:val="00C202B4"/>
    <w:rsid w:val="00C20AC3"/>
    <w:rsid w:val="00C21D8F"/>
    <w:rsid w:val="00C21F61"/>
    <w:rsid w:val="00C254A5"/>
    <w:rsid w:val="00C305FC"/>
    <w:rsid w:val="00C3199E"/>
    <w:rsid w:val="00C32C1C"/>
    <w:rsid w:val="00C336CF"/>
    <w:rsid w:val="00C3425A"/>
    <w:rsid w:val="00C36BC4"/>
    <w:rsid w:val="00C40D50"/>
    <w:rsid w:val="00C40E3C"/>
    <w:rsid w:val="00C43060"/>
    <w:rsid w:val="00C43DB9"/>
    <w:rsid w:val="00C44FE2"/>
    <w:rsid w:val="00C46258"/>
    <w:rsid w:val="00C46705"/>
    <w:rsid w:val="00C46824"/>
    <w:rsid w:val="00C47D27"/>
    <w:rsid w:val="00C50638"/>
    <w:rsid w:val="00C51EC2"/>
    <w:rsid w:val="00C52437"/>
    <w:rsid w:val="00C526E2"/>
    <w:rsid w:val="00C530C3"/>
    <w:rsid w:val="00C539BB"/>
    <w:rsid w:val="00C54A99"/>
    <w:rsid w:val="00C551CA"/>
    <w:rsid w:val="00C61A92"/>
    <w:rsid w:val="00C620CC"/>
    <w:rsid w:val="00C62BA8"/>
    <w:rsid w:val="00C636F0"/>
    <w:rsid w:val="00C63D4E"/>
    <w:rsid w:val="00C64986"/>
    <w:rsid w:val="00C64E43"/>
    <w:rsid w:val="00C668B0"/>
    <w:rsid w:val="00C67670"/>
    <w:rsid w:val="00C678C9"/>
    <w:rsid w:val="00C70CE2"/>
    <w:rsid w:val="00C713EE"/>
    <w:rsid w:val="00C71B19"/>
    <w:rsid w:val="00C72716"/>
    <w:rsid w:val="00C75B0D"/>
    <w:rsid w:val="00C76597"/>
    <w:rsid w:val="00C77BD5"/>
    <w:rsid w:val="00C826B1"/>
    <w:rsid w:val="00C83335"/>
    <w:rsid w:val="00C86977"/>
    <w:rsid w:val="00C87CB8"/>
    <w:rsid w:val="00C91DC6"/>
    <w:rsid w:val="00C93C11"/>
    <w:rsid w:val="00C956D6"/>
    <w:rsid w:val="00CA2970"/>
    <w:rsid w:val="00CA4C6D"/>
    <w:rsid w:val="00CA648E"/>
    <w:rsid w:val="00CB13DC"/>
    <w:rsid w:val="00CB14B0"/>
    <w:rsid w:val="00CB1594"/>
    <w:rsid w:val="00CB1A0F"/>
    <w:rsid w:val="00CB32EC"/>
    <w:rsid w:val="00CB48D1"/>
    <w:rsid w:val="00CC0D1C"/>
    <w:rsid w:val="00CC167A"/>
    <w:rsid w:val="00CC2198"/>
    <w:rsid w:val="00CC285B"/>
    <w:rsid w:val="00CC328F"/>
    <w:rsid w:val="00CC3488"/>
    <w:rsid w:val="00CC3FC1"/>
    <w:rsid w:val="00CC5860"/>
    <w:rsid w:val="00CC5C86"/>
    <w:rsid w:val="00CC6F59"/>
    <w:rsid w:val="00CD28E1"/>
    <w:rsid w:val="00CD2EF8"/>
    <w:rsid w:val="00CD372F"/>
    <w:rsid w:val="00CD3985"/>
    <w:rsid w:val="00CD3B00"/>
    <w:rsid w:val="00CD4DF1"/>
    <w:rsid w:val="00CD626A"/>
    <w:rsid w:val="00CE0E7E"/>
    <w:rsid w:val="00CE12F5"/>
    <w:rsid w:val="00CE1827"/>
    <w:rsid w:val="00CE3829"/>
    <w:rsid w:val="00CE3907"/>
    <w:rsid w:val="00CE6E92"/>
    <w:rsid w:val="00CF1781"/>
    <w:rsid w:val="00CF532E"/>
    <w:rsid w:val="00D0191A"/>
    <w:rsid w:val="00D0410B"/>
    <w:rsid w:val="00D05FF9"/>
    <w:rsid w:val="00D07343"/>
    <w:rsid w:val="00D07E66"/>
    <w:rsid w:val="00D1013A"/>
    <w:rsid w:val="00D11854"/>
    <w:rsid w:val="00D12AE9"/>
    <w:rsid w:val="00D14FF7"/>
    <w:rsid w:val="00D162BF"/>
    <w:rsid w:val="00D164CF"/>
    <w:rsid w:val="00D16B8F"/>
    <w:rsid w:val="00D17B8B"/>
    <w:rsid w:val="00D17B9C"/>
    <w:rsid w:val="00D20A1C"/>
    <w:rsid w:val="00D21794"/>
    <w:rsid w:val="00D229F6"/>
    <w:rsid w:val="00D240A9"/>
    <w:rsid w:val="00D276B2"/>
    <w:rsid w:val="00D30C5B"/>
    <w:rsid w:val="00D327B0"/>
    <w:rsid w:val="00D32BBA"/>
    <w:rsid w:val="00D34EC3"/>
    <w:rsid w:val="00D36E81"/>
    <w:rsid w:val="00D37399"/>
    <w:rsid w:val="00D37A98"/>
    <w:rsid w:val="00D37D38"/>
    <w:rsid w:val="00D4179F"/>
    <w:rsid w:val="00D430D7"/>
    <w:rsid w:val="00D452CE"/>
    <w:rsid w:val="00D519A8"/>
    <w:rsid w:val="00D520ED"/>
    <w:rsid w:val="00D53C30"/>
    <w:rsid w:val="00D54B75"/>
    <w:rsid w:val="00D554C4"/>
    <w:rsid w:val="00D55E16"/>
    <w:rsid w:val="00D6098F"/>
    <w:rsid w:val="00D610C2"/>
    <w:rsid w:val="00D628AD"/>
    <w:rsid w:val="00D62B35"/>
    <w:rsid w:val="00D63C98"/>
    <w:rsid w:val="00D64380"/>
    <w:rsid w:val="00D64578"/>
    <w:rsid w:val="00D6498A"/>
    <w:rsid w:val="00D672C4"/>
    <w:rsid w:val="00D706DA"/>
    <w:rsid w:val="00D71BF6"/>
    <w:rsid w:val="00D7233C"/>
    <w:rsid w:val="00D73CD4"/>
    <w:rsid w:val="00D754D3"/>
    <w:rsid w:val="00D75833"/>
    <w:rsid w:val="00D75ED1"/>
    <w:rsid w:val="00D7620A"/>
    <w:rsid w:val="00D76FA0"/>
    <w:rsid w:val="00D80ADD"/>
    <w:rsid w:val="00D80B85"/>
    <w:rsid w:val="00D80C13"/>
    <w:rsid w:val="00D8195A"/>
    <w:rsid w:val="00D81B43"/>
    <w:rsid w:val="00D83807"/>
    <w:rsid w:val="00D8598B"/>
    <w:rsid w:val="00D85C01"/>
    <w:rsid w:val="00D9029E"/>
    <w:rsid w:val="00D9147B"/>
    <w:rsid w:val="00D92A00"/>
    <w:rsid w:val="00D92F8A"/>
    <w:rsid w:val="00D93334"/>
    <w:rsid w:val="00D93371"/>
    <w:rsid w:val="00D9366C"/>
    <w:rsid w:val="00D978AD"/>
    <w:rsid w:val="00DA3075"/>
    <w:rsid w:val="00DA3197"/>
    <w:rsid w:val="00DA49BA"/>
    <w:rsid w:val="00DA737D"/>
    <w:rsid w:val="00DB5631"/>
    <w:rsid w:val="00DB7159"/>
    <w:rsid w:val="00DB76C1"/>
    <w:rsid w:val="00DC4946"/>
    <w:rsid w:val="00DC6D89"/>
    <w:rsid w:val="00DD0721"/>
    <w:rsid w:val="00DD2E09"/>
    <w:rsid w:val="00DD30B3"/>
    <w:rsid w:val="00DD5727"/>
    <w:rsid w:val="00DE086C"/>
    <w:rsid w:val="00DE0C40"/>
    <w:rsid w:val="00DE1BCC"/>
    <w:rsid w:val="00DE1FD3"/>
    <w:rsid w:val="00DE3254"/>
    <w:rsid w:val="00DE369C"/>
    <w:rsid w:val="00DE4183"/>
    <w:rsid w:val="00DE50AF"/>
    <w:rsid w:val="00DE510A"/>
    <w:rsid w:val="00DE5715"/>
    <w:rsid w:val="00DF1289"/>
    <w:rsid w:val="00DF147F"/>
    <w:rsid w:val="00DF1731"/>
    <w:rsid w:val="00DF24A4"/>
    <w:rsid w:val="00DF3F59"/>
    <w:rsid w:val="00DF5126"/>
    <w:rsid w:val="00DF7C12"/>
    <w:rsid w:val="00DF7C4C"/>
    <w:rsid w:val="00E01D32"/>
    <w:rsid w:val="00E047E7"/>
    <w:rsid w:val="00E04F46"/>
    <w:rsid w:val="00E05B18"/>
    <w:rsid w:val="00E06821"/>
    <w:rsid w:val="00E079BA"/>
    <w:rsid w:val="00E07D3F"/>
    <w:rsid w:val="00E07FD1"/>
    <w:rsid w:val="00E10848"/>
    <w:rsid w:val="00E11295"/>
    <w:rsid w:val="00E1242F"/>
    <w:rsid w:val="00E13C28"/>
    <w:rsid w:val="00E1419B"/>
    <w:rsid w:val="00E17754"/>
    <w:rsid w:val="00E2082E"/>
    <w:rsid w:val="00E2207F"/>
    <w:rsid w:val="00E235F7"/>
    <w:rsid w:val="00E243AE"/>
    <w:rsid w:val="00E27B89"/>
    <w:rsid w:val="00E27E0D"/>
    <w:rsid w:val="00E30C81"/>
    <w:rsid w:val="00E312D0"/>
    <w:rsid w:val="00E3180E"/>
    <w:rsid w:val="00E31A5E"/>
    <w:rsid w:val="00E32526"/>
    <w:rsid w:val="00E35B8A"/>
    <w:rsid w:val="00E36FA4"/>
    <w:rsid w:val="00E43140"/>
    <w:rsid w:val="00E457D4"/>
    <w:rsid w:val="00E469CC"/>
    <w:rsid w:val="00E509DB"/>
    <w:rsid w:val="00E533DE"/>
    <w:rsid w:val="00E6181A"/>
    <w:rsid w:val="00E675AE"/>
    <w:rsid w:val="00E6769B"/>
    <w:rsid w:val="00E72B41"/>
    <w:rsid w:val="00E72C04"/>
    <w:rsid w:val="00E744B8"/>
    <w:rsid w:val="00E770D5"/>
    <w:rsid w:val="00E80AAA"/>
    <w:rsid w:val="00E819DF"/>
    <w:rsid w:val="00E82704"/>
    <w:rsid w:val="00E85717"/>
    <w:rsid w:val="00E873DF"/>
    <w:rsid w:val="00E905E8"/>
    <w:rsid w:val="00E919F0"/>
    <w:rsid w:val="00E92D7D"/>
    <w:rsid w:val="00E9335F"/>
    <w:rsid w:val="00E9528A"/>
    <w:rsid w:val="00E9532E"/>
    <w:rsid w:val="00E96121"/>
    <w:rsid w:val="00E96C35"/>
    <w:rsid w:val="00EA1700"/>
    <w:rsid w:val="00EA2F9C"/>
    <w:rsid w:val="00EA3C20"/>
    <w:rsid w:val="00EA4355"/>
    <w:rsid w:val="00EA5301"/>
    <w:rsid w:val="00EA5953"/>
    <w:rsid w:val="00EB0917"/>
    <w:rsid w:val="00EB37E9"/>
    <w:rsid w:val="00EC0B57"/>
    <w:rsid w:val="00EC109E"/>
    <w:rsid w:val="00EC110D"/>
    <w:rsid w:val="00EC1A5D"/>
    <w:rsid w:val="00EC2D8B"/>
    <w:rsid w:val="00EC3B7B"/>
    <w:rsid w:val="00EC5394"/>
    <w:rsid w:val="00EC6737"/>
    <w:rsid w:val="00ED71F7"/>
    <w:rsid w:val="00EE1507"/>
    <w:rsid w:val="00EE29AD"/>
    <w:rsid w:val="00EE5345"/>
    <w:rsid w:val="00EE547A"/>
    <w:rsid w:val="00EE5E65"/>
    <w:rsid w:val="00EF4976"/>
    <w:rsid w:val="00EF4CAC"/>
    <w:rsid w:val="00EF5234"/>
    <w:rsid w:val="00F00EAC"/>
    <w:rsid w:val="00F01D74"/>
    <w:rsid w:val="00F02C80"/>
    <w:rsid w:val="00F050DE"/>
    <w:rsid w:val="00F059AF"/>
    <w:rsid w:val="00F07E90"/>
    <w:rsid w:val="00F1056E"/>
    <w:rsid w:val="00F108E1"/>
    <w:rsid w:val="00F12DCE"/>
    <w:rsid w:val="00F13BCF"/>
    <w:rsid w:val="00F13E08"/>
    <w:rsid w:val="00F1608E"/>
    <w:rsid w:val="00F179B9"/>
    <w:rsid w:val="00F17AE8"/>
    <w:rsid w:val="00F17F50"/>
    <w:rsid w:val="00F213A4"/>
    <w:rsid w:val="00F21794"/>
    <w:rsid w:val="00F30EAC"/>
    <w:rsid w:val="00F3233B"/>
    <w:rsid w:val="00F326AB"/>
    <w:rsid w:val="00F330A9"/>
    <w:rsid w:val="00F331B4"/>
    <w:rsid w:val="00F35E8C"/>
    <w:rsid w:val="00F41CCD"/>
    <w:rsid w:val="00F4268D"/>
    <w:rsid w:val="00F42926"/>
    <w:rsid w:val="00F4294D"/>
    <w:rsid w:val="00F42EB9"/>
    <w:rsid w:val="00F45EA3"/>
    <w:rsid w:val="00F5093A"/>
    <w:rsid w:val="00F54A75"/>
    <w:rsid w:val="00F55EEA"/>
    <w:rsid w:val="00F564B7"/>
    <w:rsid w:val="00F5713E"/>
    <w:rsid w:val="00F57BC8"/>
    <w:rsid w:val="00F57EDC"/>
    <w:rsid w:val="00F60965"/>
    <w:rsid w:val="00F61DE1"/>
    <w:rsid w:val="00F634DB"/>
    <w:rsid w:val="00F63790"/>
    <w:rsid w:val="00F63B83"/>
    <w:rsid w:val="00F6675C"/>
    <w:rsid w:val="00F672F4"/>
    <w:rsid w:val="00F7060F"/>
    <w:rsid w:val="00F71EC2"/>
    <w:rsid w:val="00F72DFD"/>
    <w:rsid w:val="00F732BD"/>
    <w:rsid w:val="00F74AFD"/>
    <w:rsid w:val="00F80FC7"/>
    <w:rsid w:val="00F81766"/>
    <w:rsid w:val="00F827A1"/>
    <w:rsid w:val="00F829B5"/>
    <w:rsid w:val="00F82B7C"/>
    <w:rsid w:val="00F857F6"/>
    <w:rsid w:val="00F86C9F"/>
    <w:rsid w:val="00F92B07"/>
    <w:rsid w:val="00F935E6"/>
    <w:rsid w:val="00F94044"/>
    <w:rsid w:val="00F9493B"/>
    <w:rsid w:val="00F95FC8"/>
    <w:rsid w:val="00F96B39"/>
    <w:rsid w:val="00FA041A"/>
    <w:rsid w:val="00FA0FEC"/>
    <w:rsid w:val="00FA2BC3"/>
    <w:rsid w:val="00FA48C8"/>
    <w:rsid w:val="00FB1030"/>
    <w:rsid w:val="00FC003B"/>
    <w:rsid w:val="00FC1D57"/>
    <w:rsid w:val="00FC1EB3"/>
    <w:rsid w:val="00FC21FB"/>
    <w:rsid w:val="00FC2E22"/>
    <w:rsid w:val="00FC3504"/>
    <w:rsid w:val="00FC7DDF"/>
    <w:rsid w:val="00FD4354"/>
    <w:rsid w:val="00FD5BCB"/>
    <w:rsid w:val="00FE3146"/>
    <w:rsid w:val="00FE368B"/>
    <w:rsid w:val="00FF059A"/>
    <w:rsid w:val="00FF686F"/>
    <w:rsid w:val="00FF7AFE"/>
    <w:rsid w:val="00FF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A850"/>
  <w15:docId w15:val="{E7736690-E432-4C5A-99CA-87F87B4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33"/>
    <w:pPr>
      <w:spacing w:after="0" w:line="240" w:lineRule="auto"/>
    </w:pPr>
    <w:rPr>
      <w:b/>
    </w:rPr>
  </w:style>
  <w:style w:type="paragraph" w:styleId="Heading1">
    <w:name w:val="heading 1"/>
    <w:basedOn w:val="NoSpacing"/>
    <w:next w:val="NoSpacing"/>
    <w:link w:val="Heading1Char"/>
    <w:uiPriority w:val="9"/>
    <w:qFormat/>
    <w:rsid w:val="00567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Spacing"/>
    <w:link w:val="Heading2Char"/>
    <w:uiPriority w:val="9"/>
    <w:unhideWhenUsed/>
    <w:qFormat/>
    <w:rsid w:val="008118CE"/>
    <w:pPr>
      <w:keepNext/>
      <w:keepLines/>
      <w:numPr>
        <w:numId w:val="16"/>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Heading2"/>
    <w:next w:val="Normal"/>
    <w:link w:val="Heading3Char"/>
    <w:uiPriority w:val="9"/>
    <w:unhideWhenUsed/>
    <w:qFormat/>
    <w:rsid w:val="00323DD9"/>
    <w:pPr>
      <w:numPr>
        <w:ilvl w:val="1"/>
      </w:numPr>
      <w:outlineLvl w:val="2"/>
    </w:pPr>
    <w:rPr>
      <w:b w:val="0"/>
      <w:bCs w:val="0"/>
    </w:rPr>
  </w:style>
  <w:style w:type="paragraph" w:styleId="Heading4">
    <w:name w:val="heading 4"/>
    <w:basedOn w:val="Heading3"/>
    <w:next w:val="Normal"/>
    <w:link w:val="Heading4Char"/>
    <w:uiPriority w:val="9"/>
    <w:unhideWhenUsed/>
    <w:qFormat/>
    <w:rsid w:val="00323DD9"/>
    <w:pPr>
      <w:numPr>
        <w:ilvl w:val="2"/>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661068"/>
    <w:pPr>
      <w:spacing w:after="0" w:line="240" w:lineRule="auto"/>
      <w:jc w:val="both"/>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73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8CE"/>
    <w:rPr>
      <w:rFonts w:asciiTheme="majorHAnsi" w:eastAsiaTheme="majorEastAsia" w:hAnsiTheme="majorHAnsi" w:cstheme="majorBidi"/>
      <w:b/>
      <w:bCs/>
      <w:color w:val="4F81BD" w:themeColor="accent1"/>
      <w:sz w:val="26"/>
      <w:szCs w:val="26"/>
      <w:lang w:val="en-US"/>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unhideWhenUsed/>
    <w:rsid w:val="00A26C23"/>
    <w:rPr>
      <w:sz w:val="20"/>
      <w:szCs w:val="20"/>
    </w:rPr>
  </w:style>
  <w:style w:type="character" w:customStyle="1" w:styleId="FootnoteTextChar">
    <w:name w:val="Footnote Text Char"/>
    <w:basedOn w:val="DefaultParagraphFont"/>
    <w:link w:val="FootnoteText"/>
    <w:uiPriority w:val="99"/>
    <w:rsid w:val="00A26C23"/>
    <w:rPr>
      <w:sz w:val="20"/>
      <w:szCs w:val="20"/>
    </w:rPr>
  </w:style>
  <w:style w:type="character" w:styleId="CommentReference">
    <w:name w:val="annotation reference"/>
    <w:basedOn w:val="DefaultParagraphFont"/>
    <w:uiPriority w:val="99"/>
    <w:semiHidden/>
    <w:unhideWhenUsed/>
    <w:rsid w:val="00A22BCD"/>
    <w:rPr>
      <w:sz w:val="16"/>
      <w:szCs w:val="16"/>
    </w:rPr>
  </w:style>
  <w:style w:type="paragraph" w:styleId="CommentText">
    <w:name w:val="annotation text"/>
    <w:basedOn w:val="Normal"/>
    <w:link w:val="CommentTextChar"/>
    <w:uiPriority w:val="99"/>
    <w:unhideWhenUsed/>
    <w:rsid w:val="00A22BCD"/>
    <w:rPr>
      <w:sz w:val="20"/>
      <w:szCs w:val="20"/>
    </w:rPr>
  </w:style>
  <w:style w:type="character" w:customStyle="1" w:styleId="CommentTextChar">
    <w:name w:val="Comment Text Char"/>
    <w:basedOn w:val="DefaultParagraphFont"/>
    <w:link w:val="CommentText"/>
    <w:uiPriority w:val="99"/>
    <w:rsid w:val="00A22BCD"/>
    <w:rPr>
      <w:sz w:val="20"/>
      <w:szCs w:val="20"/>
    </w:rPr>
  </w:style>
  <w:style w:type="paragraph" w:styleId="CommentSubject">
    <w:name w:val="annotation subject"/>
    <w:basedOn w:val="CommentText"/>
    <w:next w:val="CommentText"/>
    <w:link w:val="CommentSubjectChar"/>
    <w:uiPriority w:val="99"/>
    <w:semiHidden/>
    <w:unhideWhenUsed/>
    <w:rsid w:val="00A22BCD"/>
    <w:rPr>
      <w:b w:val="0"/>
      <w:bCs/>
    </w:rPr>
  </w:style>
  <w:style w:type="character" w:customStyle="1" w:styleId="CommentSubjectChar">
    <w:name w:val="Comment Subject Char"/>
    <w:basedOn w:val="CommentTextChar"/>
    <w:link w:val="CommentSubject"/>
    <w:uiPriority w:val="99"/>
    <w:semiHidden/>
    <w:rsid w:val="00A22BCD"/>
    <w:rPr>
      <w:b/>
      <w:bCs/>
      <w:sz w:val="20"/>
      <w:szCs w:val="20"/>
    </w:rPr>
  </w:style>
  <w:style w:type="character" w:styleId="FootnoteReference">
    <w:name w:val="footnote reference"/>
    <w:basedOn w:val="DefaultParagraphFont"/>
    <w:uiPriority w:val="99"/>
    <w:semiHidden/>
    <w:unhideWhenUsed/>
    <w:rsid w:val="006F3655"/>
    <w:rPr>
      <w:vertAlign w:val="superscript"/>
    </w:rPr>
  </w:style>
  <w:style w:type="paragraph" w:styleId="NormalWeb">
    <w:name w:val="Normal (Web)"/>
    <w:basedOn w:val="Normal"/>
    <w:uiPriority w:val="99"/>
    <w:unhideWhenUsed/>
    <w:rsid w:val="00137C62"/>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951FA"/>
    <w:rPr>
      <w:color w:val="0000FF" w:themeColor="hyperlink"/>
      <w:u w:val="single"/>
    </w:rPr>
  </w:style>
  <w:style w:type="character" w:customStyle="1" w:styleId="Heading3Char">
    <w:name w:val="Heading 3 Char"/>
    <w:basedOn w:val="DefaultParagraphFont"/>
    <w:link w:val="Heading3"/>
    <w:uiPriority w:val="9"/>
    <w:rsid w:val="00323DD9"/>
    <w:rPr>
      <w:rFonts w:asciiTheme="majorHAnsi" w:eastAsiaTheme="majorEastAsia" w:hAnsiTheme="majorHAnsi" w:cstheme="majorBidi"/>
      <w:color w:val="4F81BD" w:themeColor="accent1"/>
      <w:sz w:val="26"/>
      <w:szCs w:val="26"/>
      <w:lang w:val="en-US"/>
    </w:rPr>
  </w:style>
  <w:style w:type="paragraph" w:styleId="Revision">
    <w:name w:val="Revision"/>
    <w:hidden/>
    <w:uiPriority w:val="99"/>
    <w:semiHidden/>
    <w:rsid w:val="001C29FD"/>
    <w:pPr>
      <w:spacing w:after="0" w:line="240" w:lineRule="auto"/>
    </w:pPr>
  </w:style>
  <w:style w:type="character" w:customStyle="1" w:styleId="Heading4Char">
    <w:name w:val="Heading 4 Char"/>
    <w:basedOn w:val="DefaultParagraphFont"/>
    <w:link w:val="Heading4"/>
    <w:uiPriority w:val="9"/>
    <w:rsid w:val="00323DD9"/>
    <w:rPr>
      <w:rFonts w:asciiTheme="majorHAnsi" w:eastAsiaTheme="majorEastAsia" w:hAnsiTheme="majorHAnsi" w:cstheme="majorBidi"/>
      <w:bCs/>
      <w:iCs/>
      <w:color w:val="4F81BD" w:themeColor="accent1"/>
      <w:sz w:val="26"/>
      <w:szCs w:val="26"/>
      <w:lang w:val="en-US"/>
    </w:rPr>
  </w:style>
  <w:style w:type="character" w:styleId="FollowedHyperlink">
    <w:name w:val="FollowedHyperlink"/>
    <w:basedOn w:val="DefaultParagraphFont"/>
    <w:uiPriority w:val="99"/>
    <w:semiHidden/>
    <w:unhideWhenUsed/>
    <w:rsid w:val="000012EB"/>
    <w:rPr>
      <w:color w:val="800080" w:themeColor="followedHyperlink"/>
      <w:u w:val="single"/>
    </w:rPr>
  </w:style>
  <w:style w:type="paragraph" w:styleId="TOCHeading">
    <w:name w:val="TOC Heading"/>
    <w:basedOn w:val="Heading1"/>
    <w:next w:val="Normal"/>
    <w:uiPriority w:val="39"/>
    <w:unhideWhenUsed/>
    <w:qFormat/>
    <w:rsid w:val="00C05A0E"/>
    <w:pPr>
      <w:spacing w:before="240" w:line="259" w:lineRule="auto"/>
      <w:jc w:val="left"/>
      <w:outlineLvl w:val="9"/>
    </w:pPr>
    <w:rPr>
      <w:b w:val="0"/>
      <w:bCs w:val="0"/>
      <w:sz w:val="32"/>
      <w:szCs w:val="32"/>
      <w:lang w:val="en-US"/>
    </w:rPr>
  </w:style>
  <w:style w:type="paragraph" w:styleId="TOC2">
    <w:name w:val="toc 2"/>
    <w:basedOn w:val="Normal"/>
    <w:next w:val="Normal"/>
    <w:autoRedefine/>
    <w:uiPriority w:val="39"/>
    <w:unhideWhenUsed/>
    <w:rsid w:val="00C05A0E"/>
    <w:pPr>
      <w:spacing w:after="100"/>
      <w:ind w:left="220"/>
    </w:pPr>
  </w:style>
  <w:style w:type="paragraph" w:styleId="TOC3">
    <w:name w:val="toc 3"/>
    <w:basedOn w:val="Normal"/>
    <w:next w:val="Normal"/>
    <w:autoRedefine/>
    <w:uiPriority w:val="39"/>
    <w:unhideWhenUsed/>
    <w:rsid w:val="00C05A0E"/>
    <w:pPr>
      <w:spacing w:after="100"/>
      <w:ind w:left="440"/>
    </w:pPr>
  </w:style>
  <w:style w:type="character" w:customStyle="1" w:styleId="ind">
    <w:name w:val="ind"/>
    <w:basedOn w:val="DefaultParagraphFont"/>
    <w:rsid w:val="0082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2971">
      <w:bodyDiv w:val="1"/>
      <w:marLeft w:val="0"/>
      <w:marRight w:val="0"/>
      <w:marTop w:val="0"/>
      <w:marBottom w:val="0"/>
      <w:divBdr>
        <w:top w:val="none" w:sz="0" w:space="0" w:color="auto"/>
        <w:left w:val="none" w:sz="0" w:space="0" w:color="auto"/>
        <w:bottom w:val="none" w:sz="0" w:space="0" w:color="auto"/>
        <w:right w:val="none" w:sz="0" w:space="0" w:color="auto"/>
      </w:divBdr>
    </w:div>
    <w:div w:id="403719412">
      <w:bodyDiv w:val="1"/>
      <w:marLeft w:val="0"/>
      <w:marRight w:val="0"/>
      <w:marTop w:val="0"/>
      <w:marBottom w:val="0"/>
      <w:divBdr>
        <w:top w:val="none" w:sz="0" w:space="0" w:color="auto"/>
        <w:left w:val="none" w:sz="0" w:space="0" w:color="auto"/>
        <w:bottom w:val="none" w:sz="0" w:space="0" w:color="auto"/>
        <w:right w:val="none" w:sz="0" w:space="0" w:color="auto"/>
      </w:divBdr>
    </w:div>
    <w:div w:id="411051484">
      <w:bodyDiv w:val="1"/>
      <w:marLeft w:val="0"/>
      <w:marRight w:val="0"/>
      <w:marTop w:val="0"/>
      <w:marBottom w:val="0"/>
      <w:divBdr>
        <w:top w:val="none" w:sz="0" w:space="0" w:color="auto"/>
        <w:left w:val="none" w:sz="0" w:space="0" w:color="auto"/>
        <w:bottom w:val="none" w:sz="0" w:space="0" w:color="auto"/>
        <w:right w:val="none" w:sz="0" w:space="0" w:color="auto"/>
      </w:divBdr>
    </w:div>
    <w:div w:id="487942772">
      <w:bodyDiv w:val="1"/>
      <w:marLeft w:val="0"/>
      <w:marRight w:val="0"/>
      <w:marTop w:val="0"/>
      <w:marBottom w:val="0"/>
      <w:divBdr>
        <w:top w:val="none" w:sz="0" w:space="0" w:color="auto"/>
        <w:left w:val="none" w:sz="0" w:space="0" w:color="auto"/>
        <w:bottom w:val="none" w:sz="0" w:space="0" w:color="auto"/>
        <w:right w:val="none" w:sz="0" w:space="0" w:color="auto"/>
      </w:divBdr>
    </w:div>
    <w:div w:id="806969324">
      <w:bodyDiv w:val="1"/>
      <w:marLeft w:val="0"/>
      <w:marRight w:val="0"/>
      <w:marTop w:val="0"/>
      <w:marBottom w:val="0"/>
      <w:divBdr>
        <w:top w:val="none" w:sz="0" w:space="0" w:color="auto"/>
        <w:left w:val="none" w:sz="0" w:space="0" w:color="auto"/>
        <w:bottom w:val="none" w:sz="0" w:space="0" w:color="auto"/>
        <w:right w:val="none" w:sz="0" w:space="0" w:color="auto"/>
      </w:divBdr>
    </w:div>
    <w:div w:id="911349662">
      <w:bodyDiv w:val="1"/>
      <w:marLeft w:val="0"/>
      <w:marRight w:val="0"/>
      <w:marTop w:val="0"/>
      <w:marBottom w:val="0"/>
      <w:divBdr>
        <w:top w:val="none" w:sz="0" w:space="0" w:color="auto"/>
        <w:left w:val="none" w:sz="0" w:space="0" w:color="auto"/>
        <w:bottom w:val="none" w:sz="0" w:space="0" w:color="auto"/>
        <w:right w:val="none" w:sz="0" w:space="0" w:color="auto"/>
      </w:divBdr>
    </w:div>
    <w:div w:id="12836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uropa.eu/euodp/en/data/dataset/ted-csv" TargetMode="External"/><Relationship Id="rId13" Type="http://schemas.openxmlformats.org/officeDocument/2006/relationships/hyperlink" Target="http://ec.europa.eu/internal_market/scoreboard/performance_per_policy_area/public_procurement/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giwhist.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p.ted.europa.eu/en/web/simap/standard-forms-for-public-procur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p.ted.europa.eu/en/web/simap/standard-forms-for-public-procure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internal_market/scoreboard/performance_per_policy_area/public_procurement/index_en.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nk.springer.com/article/10.1007%2Fs10610-016-9308-z" TargetMode="External"/><Relationship Id="rId1" Type="http://schemas.openxmlformats.org/officeDocument/2006/relationships/hyperlink" Target="https://ted.europa.eu/udl?uri=TED:NOTICE:19573-2016:TEX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734F-F263-41F7-9D3A-DEA11EE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6356</Words>
  <Characters>33183</Characters>
  <Application>Microsoft Office Word</Application>
  <DocSecurity>0</DocSecurity>
  <Lines>721</Lines>
  <Paragraphs>346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HERCHER Jachym (MARKT)</dc:creator>
  <cp:lastModifiedBy>dancicr</cp:lastModifiedBy>
  <cp:revision>10</cp:revision>
  <dcterms:created xsi:type="dcterms:W3CDTF">2020-03-27T10:10:00Z</dcterms:created>
  <dcterms:modified xsi:type="dcterms:W3CDTF">2020-06-04T10:40:00Z</dcterms:modified>
</cp:coreProperties>
</file>