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s"/>
            <w:bookmarkStart w:id="1" w:name="TitlePage"/>
          </w:p>
        </w:tc>
      </w:tr>
      <w:tr w:rsidR="00B13DF3" w:rsidRPr="007B47FB" w:rsidTr="00F46954">
        <w:trPr>
          <w:trHeight w:hRule="exact" w:val="5443"/>
        </w:trPr>
        <w:tc>
          <w:tcPr>
            <w:tcW w:w="9072" w:type="dxa"/>
          </w:tcPr>
          <w:p w:rsidR="00B13DF3" w:rsidRPr="007B47FB" w:rsidRDefault="00B13DF3" w:rsidP="00A41C86">
            <w:pPr>
              <w:pStyle w:val="NormalNoSpace"/>
              <w:spacing w:line="240" w:lineRule="auto"/>
              <w:ind w:left="-57"/>
              <w:jc w:val="right"/>
            </w:pPr>
          </w:p>
        </w:tc>
      </w:tr>
      <w:tr w:rsidR="00760383" w:rsidRPr="007B47FB" w:rsidTr="00482F4C">
        <w:trPr>
          <w:trHeight w:hRule="exact" w:val="3724"/>
        </w:trPr>
        <w:tc>
          <w:tcPr>
            <w:tcW w:w="9072" w:type="dxa"/>
          </w:tcPr>
          <w:p w:rsidR="00760383" w:rsidRPr="007B47FB" w:rsidRDefault="00561721" w:rsidP="008B6717">
            <w:pPr>
              <w:pStyle w:val="DocTitle"/>
            </w:pPr>
            <w:r>
              <w:lastRenderedPageBreak/>
              <w:t xml:space="preserve">Summary of contextual overviews on children's </w:t>
            </w:r>
            <w:r w:rsidR="00603B05" w:rsidRPr="00603B05">
              <w:t xml:space="preserve">involvement in </w:t>
            </w:r>
            <w:r w:rsidR="001A16E5">
              <w:t>civil and administrative</w:t>
            </w:r>
            <w:r w:rsidR="00603B05" w:rsidRPr="00603B05">
              <w:t xml:space="preserve"> judicial proceedings in the 28 Member States of the E</w:t>
            </w:r>
            <w:r>
              <w:t>uropean Union</w:t>
            </w:r>
          </w:p>
          <w:p w:rsidR="00760383" w:rsidRPr="007B47FB" w:rsidRDefault="00760383" w:rsidP="00760383"/>
          <w:p w:rsidR="00760383" w:rsidRPr="007B47FB" w:rsidRDefault="00B959F4" w:rsidP="00FE7024">
            <w:pPr>
              <w:pStyle w:val="DocDate"/>
            </w:pPr>
            <w:r>
              <w:t>13</w:t>
            </w:r>
            <w:r w:rsidR="00A5732C">
              <w:t xml:space="preserve"> January 2015</w:t>
            </w:r>
          </w:p>
        </w:tc>
      </w:tr>
    </w:tbl>
    <w:p w:rsidR="00C41F8B" w:rsidRDefault="00C41F8B">
      <w:pPr>
        <w:sectPr w:rsidR="00C41F8B" w:rsidSect="007026C3">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p>
    <w:p w:rsidR="00C219D4" w:rsidRDefault="00C219D4">
      <w:pPr>
        <w:sectPr w:rsidR="00C219D4" w:rsidSect="00C41F8B">
          <w:type w:val="continuous"/>
          <w:pgSz w:w="11907" w:h="16840" w:code="9"/>
          <w:pgMar w:top="1418" w:right="1418" w:bottom="1021" w:left="1418" w:header="680" w:footer="567" w:gutter="0"/>
          <w:pgNumType w:start="1"/>
          <w:cols w:space="708"/>
          <w:titlePg/>
          <w:docGrid w:linePitch="360"/>
        </w:sectPr>
      </w:pPr>
    </w:p>
    <w:p w:rsidR="00D81F02" w:rsidRDefault="00D81F02" w:rsidP="00760383">
      <w:pPr>
        <w:pStyle w:val="NormalNoSpace"/>
      </w:pPr>
      <w:bookmarkStart w:id="2" w:name="InsideTitlePage"/>
    </w:p>
    <w:p w:rsidR="00B64802" w:rsidRDefault="00B64802" w:rsidP="00760383">
      <w:pPr>
        <w:pStyle w:val="NormalNoSpace"/>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111B5C" w:rsidRPr="007B47FB" w:rsidTr="00111B5C">
        <w:trPr>
          <w:trHeight w:hRule="exact" w:val="4536"/>
        </w:trPr>
        <w:tc>
          <w:tcPr>
            <w:tcW w:w="9072" w:type="dxa"/>
          </w:tcPr>
          <w:p w:rsidR="00111B5C" w:rsidRPr="007B47FB" w:rsidRDefault="00111B5C" w:rsidP="00111B5C">
            <w:pPr>
              <w:pStyle w:val="DocTitle"/>
            </w:pPr>
            <w:r>
              <w:t>C</w:t>
            </w:r>
            <w:r w:rsidRPr="00603B05">
              <w:t xml:space="preserve">hildren's involvement in </w:t>
            </w:r>
            <w:r w:rsidR="001B57B8">
              <w:t>civil and administrative</w:t>
            </w:r>
            <w:r w:rsidRPr="00603B05">
              <w:t xml:space="preserve"> judicial proceedings in the </w:t>
            </w:r>
            <w:r>
              <w:t xml:space="preserve">EU </w:t>
            </w:r>
          </w:p>
          <w:p w:rsidR="00111B5C" w:rsidRPr="007B47FB" w:rsidRDefault="00111B5C" w:rsidP="00111B5C">
            <w:pPr>
              <w:pStyle w:val="DocDate"/>
            </w:pPr>
          </w:p>
        </w:tc>
      </w:tr>
      <w:tr w:rsidR="00111B5C" w:rsidRPr="007B47FB" w:rsidTr="00111B5C">
        <w:trPr>
          <w:trHeight w:hRule="exact" w:val="3969"/>
        </w:trPr>
        <w:tc>
          <w:tcPr>
            <w:tcW w:w="9072" w:type="dxa"/>
            <w:vAlign w:val="bottom"/>
          </w:tcPr>
          <w:p w:rsidR="00111B5C" w:rsidRDefault="00111B5C" w:rsidP="00111B5C">
            <w:pPr>
              <w:pStyle w:val="NormalNoSpace"/>
            </w:pPr>
            <w:bookmarkStart w:id="3" w:name="ReportText"/>
            <w:r w:rsidRPr="007B47FB">
              <w:t xml:space="preserve">A report submitted </w:t>
            </w:r>
            <w:r>
              <w:t xml:space="preserve">to DG Justice of the European Commission </w:t>
            </w:r>
          </w:p>
          <w:p w:rsidR="00111B5C" w:rsidRDefault="00111B5C" w:rsidP="00111B5C">
            <w:pPr>
              <w:pStyle w:val="NormalNoSpace"/>
            </w:pPr>
            <w:r w:rsidRPr="007B47FB">
              <w:t>by</w:t>
            </w:r>
            <w:bookmarkEnd w:id="3"/>
            <w:r w:rsidRPr="007B47FB">
              <w:t xml:space="preserve"> </w:t>
            </w:r>
            <w:r w:rsidRPr="00CF6BC1">
              <w:rPr>
                <w:rFonts w:ascii="Calibri" w:hAnsi="Calibri"/>
                <w:color w:val="0067AC"/>
                <w:sz w:val="24"/>
              </w:rPr>
              <w:t xml:space="preserve">ICF </w:t>
            </w:r>
            <w:r w:rsidR="001A16E5">
              <w:rPr>
                <w:rFonts w:ascii="Calibri" w:hAnsi="Calibri"/>
                <w:color w:val="0067AC"/>
                <w:sz w:val="24"/>
              </w:rPr>
              <w:t>Consulting Services</w:t>
            </w:r>
          </w:p>
          <w:p w:rsidR="00111B5C" w:rsidRPr="007B47FB" w:rsidRDefault="00111B5C" w:rsidP="00111B5C">
            <w:pPr>
              <w:pStyle w:val="NormalNoSpace"/>
            </w:pPr>
            <w:bookmarkStart w:id="4" w:name="InAssWithTxt"/>
            <w:r w:rsidRPr="007B47FB">
              <w:t>in association with</w:t>
            </w:r>
          </w:p>
          <w:p w:rsidR="00111B5C" w:rsidRPr="007B47FB" w:rsidRDefault="00111B5C" w:rsidP="00111B5C">
            <w:pPr>
              <w:pStyle w:val="DocPartner"/>
            </w:pPr>
            <w:bookmarkStart w:id="5" w:name="InAssWith"/>
            <w:r>
              <w:t>Milieu</w:t>
            </w:r>
            <w:bookmarkEnd w:id="5"/>
          </w:p>
          <w:p w:rsidR="00111B5C" w:rsidRPr="007B47FB" w:rsidRDefault="00A5732C" w:rsidP="00111B5C">
            <w:bookmarkStart w:id="6" w:name="JobNo2Txt"/>
            <w:bookmarkEnd w:id="4"/>
            <w:r>
              <w:t>13 January 2015</w:t>
            </w:r>
          </w:p>
          <w:bookmarkEnd w:id="6"/>
          <w:p w:rsidR="000C0041" w:rsidRDefault="000C0041" w:rsidP="00111B5C"/>
          <w:p w:rsidR="000C0041" w:rsidRPr="000C0041" w:rsidRDefault="000C0041" w:rsidP="000C0041"/>
          <w:p w:rsidR="000C0041" w:rsidRPr="000C0041" w:rsidRDefault="000C0041" w:rsidP="000C0041"/>
          <w:p w:rsidR="000C0041" w:rsidRPr="000C0041" w:rsidRDefault="000C0041" w:rsidP="000C0041"/>
          <w:p w:rsidR="000C0041" w:rsidRPr="007D47AF" w:rsidRDefault="000C0041" w:rsidP="007D47AF"/>
          <w:p w:rsidR="000C0041" w:rsidRPr="00D0403A" w:rsidRDefault="000C0041" w:rsidP="00D0403A"/>
          <w:p w:rsidR="000C0041" w:rsidRPr="00D0403A" w:rsidRDefault="000C0041" w:rsidP="00D0403A"/>
          <w:p w:rsidR="000C0041" w:rsidRPr="00D0403A" w:rsidRDefault="000C0041" w:rsidP="00D0403A"/>
          <w:p w:rsidR="000C0041" w:rsidRPr="000C0041" w:rsidRDefault="000C0041"/>
          <w:p w:rsidR="000C0041" w:rsidRPr="000C0041" w:rsidRDefault="000C0041"/>
          <w:p w:rsidR="000C0041" w:rsidRDefault="000C0041" w:rsidP="000C0041"/>
          <w:p w:rsidR="000C0041" w:rsidRPr="000C0041" w:rsidRDefault="000C0041" w:rsidP="000C0041"/>
          <w:p w:rsidR="000C0041" w:rsidRPr="000C0041" w:rsidRDefault="000C0041" w:rsidP="000C0041"/>
          <w:p w:rsidR="000C0041" w:rsidRPr="000C0041" w:rsidRDefault="000C0041" w:rsidP="000C0041"/>
          <w:p w:rsidR="000C0041" w:rsidRPr="007D47AF" w:rsidRDefault="000C0041" w:rsidP="007D47AF"/>
          <w:p w:rsidR="00111B5C" w:rsidRPr="00D0403A" w:rsidRDefault="00111B5C" w:rsidP="00D0403A"/>
        </w:tc>
      </w:tr>
      <w:tr w:rsidR="00111B5C" w:rsidTr="00111B5C">
        <w:trPr>
          <w:trHeight w:hRule="exact" w:val="5216"/>
        </w:trPr>
        <w:tc>
          <w:tcPr>
            <w:tcW w:w="9072" w:type="dxa"/>
          </w:tcPr>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3620"/>
              <w:gridCol w:w="1119"/>
              <w:gridCol w:w="905"/>
            </w:tblGrid>
            <w:tr w:rsidR="00111B5C" w:rsidRPr="000A368E" w:rsidTr="00111B5C">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11B5C" w:rsidRPr="000A368E" w:rsidRDefault="00111B5C" w:rsidP="00111B5C">
                  <w:pPr>
                    <w:rPr>
                      <w:sz w:val="24"/>
                    </w:rPr>
                  </w:pPr>
                </w:p>
              </w:tc>
            </w:tr>
            <w:tr w:rsidR="00111B5C" w:rsidRPr="000A368E" w:rsidTr="00111B5C">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11B5C" w:rsidRPr="000A368E" w:rsidRDefault="004E39FE" w:rsidP="00422C6E">
                  <w:pPr>
                    <w:rPr>
                      <w:sz w:val="24"/>
                    </w:rPr>
                  </w:pPr>
                  <w:r>
                    <w:t>Titr</w:t>
                  </w:r>
                  <w:r w:rsidR="00111B5C" w:rsidRPr="000A368E">
                    <w:t xml:space="preserve">e: Summary of contextual overviews on children's involvement in </w:t>
                  </w:r>
                  <w:r w:rsidR="00422C6E">
                    <w:t>civil and administrative</w:t>
                  </w:r>
                  <w:r w:rsidR="00111B5C" w:rsidRPr="000A368E">
                    <w:t xml:space="preserve"> judicial proceedings in the 28 Member States of the European Union</w:t>
                  </w:r>
                </w:p>
              </w:tc>
            </w:tr>
            <w:tr w:rsidR="00422C6E" w:rsidRPr="000A368E" w:rsidTr="00111B5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11B5C" w:rsidRPr="000A368E" w:rsidRDefault="00111B5C" w:rsidP="00111B5C">
                  <w:pPr>
                    <w:jc w:val="center"/>
                    <w:rPr>
                      <w:sz w:val="24"/>
                    </w:rPr>
                  </w:pPr>
                  <w:r w:rsidRPr="000A368E">
                    <w:t>Version linguistique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11B5C" w:rsidRPr="000A368E" w:rsidRDefault="00111B5C" w:rsidP="00111B5C">
                  <w:pPr>
                    <w:jc w:val="center"/>
                    <w:rPr>
                      <w:sz w:val="24"/>
                    </w:rPr>
                  </w:pPr>
                  <w:r w:rsidRPr="000A368E">
                    <w:t>Numéro de catalogue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11B5C" w:rsidRPr="000A368E" w:rsidRDefault="00111B5C" w:rsidP="00111B5C">
                  <w:pPr>
                    <w:jc w:val="center"/>
                    <w:rPr>
                      <w:sz w:val="24"/>
                    </w:rPr>
                  </w:pPr>
                  <w:r w:rsidRPr="000A368E">
                    <w:t>ISBN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11B5C" w:rsidRPr="000A368E" w:rsidRDefault="00111B5C" w:rsidP="00111B5C">
                  <w:pPr>
                    <w:jc w:val="center"/>
                    <w:rPr>
                      <w:sz w:val="24"/>
                    </w:rPr>
                  </w:pPr>
                  <w:r w:rsidRPr="000A368E">
                    <w:t>DOI</w:t>
                  </w:r>
                </w:p>
              </w:tc>
            </w:tr>
            <w:tr w:rsidR="00422C6E" w:rsidRPr="000A368E" w:rsidTr="00111B5C">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11B5C" w:rsidRPr="000A368E" w:rsidRDefault="00111B5C" w:rsidP="00111B5C">
                  <w:pPr>
                    <w:jc w:val="center"/>
                    <w:rPr>
                      <w:sz w:val="24"/>
                    </w:rPr>
                  </w:pPr>
                  <w:r w:rsidRPr="000A368E">
                    <w:t>EN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11B5C" w:rsidRPr="000A368E" w:rsidRDefault="00111B5C" w:rsidP="00111B5C">
                  <w:pPr>
                    <w:jc w:val="center"/>
                    <w:rPr>
                      <w:sz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11B5C" w:rsidRPr="000A368E" w:rsidRDefault="00111B5C" w:rsidP="00111B5C">
                  <w:pPr>
                    <w:jc w:val="center"/>
                    <w:rPr>
                      <w:sz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11B5C" w:rsidRPr="000A368E" w:rsidRDefault="00111B5C" w:rsidP="00111B5C">
                  <w:pPr>
                    <w:jc w:val="center"/>
                    <w:rPr>
                      <w:sz w:val="24"/>
                    </w:rPr>
                  </w:pPr>
                </w:p>
              </w:tc>
            </w:tr>
          </w:tbl>
          <w:p w:rsidR="00111B5C" w:rsidRDefault="00111B5C" w:rsidP="00111B5C"/>
        </w:tc>
      </w:tr>
    </w:tbl>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B64802" w:rsidRDefault="00B64802" w:rsidP="00760383">
      <w:pPr>
        <w:pStyle w:val="NormalNoSpace"/>
      </w:pPr>
    </w:p>
    <w:p w:rsidR="00007D34" w:rsidRDefault="00007D34" w:rsidP="00760383">
      <w:pPr>
        <w:pStyle w:val="NormalNoSpace"/>
      </w:pPr>
    </w:p>
    <w:p w:rsidR="00B64802" w:rsidRDefault="00B64802" w:rsidP="00760383">
      <w:pPr>
        <w:pStyle w:val="NormalNoSpace"/>
      </w:pPr>
    </w:p>
    <w:p w:rsidR="0030062C" w:rsidRDefault="0030062C">
      <w:pPr>
        <w:spacing w:before="0" w:after="0" w:line="240" w:lineRule="auto"/>
      </w:pPr>
    </w:p>
    <w:p w:rsidR="00170A55" w:rsidRDefault="00170A55">
      <w:pPr>
        <w:spacing w:before="0" w:after="0" w:line="240" w:lineRule="auto"/>
      </w:pPr>
    </w:p>
    <w:p w:rsidR="009335AE" w:rsidRPr="0085036F" w:rsidRDefault="009335AE">
      <w:pPr>
        <w:spacing w:before="0" w:after="0" w:line="240" w:lineRule="auto"/>
        <w:rPr>
          <w:sz w:val="28"/>
          <w:szCs w:val="28"/>
        </w:rPr>
        <w:sectPr w:rsidR="009335AE" w:rsidRPr="0085036F" w:rsidSect="007026C3">
          <w:footerReference w:type="default" r:id="rId11"/>
          <w:headerReference w:type="first" r:id="rId12"/>
          <w:footerReference w:type="first" r:id="rId13"/>
          <w:type w:val="evenPage"/>
          <w:pgSz w:w="11907" w:h="16840" w:code="9"/>
          <w:pgMar w:top="1418" w:right="1418" w:bottom="1021" w:left="1418" w:header="680" w:footer="567" w:gutter="0"/>
          <w:pgNumType w:fmt="lowerRoman" w:start="1"/>
          <w:cols w:space="708"/>
          <w:titlePg/>
          <w:docGrid w:linePitch="360"/>
        </w:sectPr>
      </w:pPr>
    </w:p>
    <w:p w:rsidR="008F14B3" w:rsidRPr="007B47FB" w:rsidRDefault="008F14B3" w:rsidP="008F14B3">
      <w:pPr>
        <w:pStyle w:val="Heading1NoTOC"/>
      </w:pPr>
      <w:bookmarkStart w:id="7" w:name="ContentsPage"/>
      <w:bookmarkStart w:id="8" w:name="Section2"/>
      <w:bookmarkEnd w:id="0"/>
      <w:bookmarkEnd w:id="1"/>
      <w:bookmarkEnd w:id="2"/>
      <w:r w:rsidRPr="007B47FB">
        <w:lastRenderedPageBreak/>
        <w:t>Contents</w:t>
      </w:r>
    </w:p>
    <w:bookmarkStart w:id="9" w:name="ContentsOpt1"/>
    <w:p w:rsidR="002A3930" w:rsidRDefault="00A07B81">
      <w:pPr>
        <w:pStyle w:val="TOC1"/>
        <w:rPr>
          <w:rFonts w:asciiTheme="minorHAnsi" w:eastAsiaTheme="minorEastAsia" w:hAnsiTheme="minorHAnsi" w:cstheme="minorBidi"/>
          <w:b w:val="0"/>
          <w:noProof/>
          <w:color w:val="auto"/>
          <w:sz w:val="22"/>
          <w:szCs w:val="22"/>
          <w:lang w:eastAsia="en-GB"/>
        </w:rPr>
      </w:pPr>
      <w:r w:rsidRPr="00546996">
        <w:rPr>
          <w:rFonts w:ascii="Arial" w:hAnsi="Arial" w:cs="Arial"/>
          <w:color w:val="0067AC" w:themeColor="text2"/>
          <w:sz w:val="20"/>
          <w:szCs w:val="20"/>
        </w:rPr>
        <w:fldChar w:fldCharType="begin"/>
      </w:r>
      <w:r w:rsidRPr="00546996">
        <w:rPr>
          <w:rFonts w:ascii="Arial" w:hAnsi="Arial" w:cs="Arial"/>
          <w:sz w:val="20"/>
          <w:szCs w:val="20"/>
        </w:rPr>
        <w:instrText>TOC \H \Z \T "Heading 1,1,Heading 1NoPg,1,ESHeading 1,2,Heading 2,3,Heading 1NoNumb,2,Heading 2NoNumb,5,ESHeading 2,3,AnnexHeading,2,AnnexHeading NoPage,2,Heading 3NoNumb,6,Heading 3,6,ESHeading 3,6,Stage,7"</w:instrText>
      </w:r>
      <w:r w:rsidRPr="00546996">
        <w:rPr>
          <w:rFonts w:ascii="Arial" w:hAnsi="Arial" w:cs="Arial"/>
          <w:color w:val="0067AC" w:themeColor="text2"/>
          <w:sz w:val="20"/>
          <w:szCs w:val="20"/>
        </w:rPr>
        <w:fldChar w:fldCharType="separate"/>
      </w:r>
      <w:hyperlink w:anchor="_Toc408908684" w:history="1">
        <w:r w:rsidR="002A3930" w:rsidRPr="002B26AF">
          <w:rPr>
            <w:rStyle w:val="Hyperlink"/>
            <w:noProof/>
          </w:rPr>
          <w:t>1</w:t>
        </w:r>
        <w:r w:rsidR="002A3930">
          <w:rPr>
            <w:rFonts w:asciiTheme="minorHAnsi" w:eastAsiaTheme="minorEastAsia" w:hAnsiTheme="minorHAnsi" w:cstheme="minorBidi"/>
            <w:b w:val="0"/>
            <w:noProof/>
            <w:color w:val="auto"/>
            <w:sz w:val="22"/>
            <w:szCs w:val="22"/>
            <w:lang w:eastAsia="en-GB"/>
          </w:rPr>
          <w:tab/>
        </w:r>
        <w:r w:rsidR="002A3930" w:rsidRPr="002B26AF">
          <w:rPr>
            <w:rStyle w:val="Hyperlink"/>
            <w:noProof/>
          </w:rPr>
          <w:t>Introduction</w:t>
        </w:r>
        <w:r w:rsidR="002A3930">
          <w:rPr>
            <w:noProof/>
            <w:webHidden/>
          </w:rPr>
          <w:tab/>
        </w:r>
        <w:r w:rsidR="002A3930">
          <w:rPr>
            <w:noProof/>
            <w:webHidden/>
          </w:rPr>
          <w:fldChar w:fldCharType="begin"/>
        </w:r>
        <w:r w:rsidR="002A3930">
          <w:rPr>
            <w:noProof/>
            <w:webHidden/>
          </w:rPr>
          <w:instrText xml:space="preserve"> PAGEREF _Toc408908684 \h </w:instrText>
        </w:r>
        <w:r w:rsidR="002A3930">
          <w:rPr>
            <w:noProof/>
            <w:webHidden/>
          </w:rPr>
        </w:r>
        <w:r w:rsidR="002A3930">
          <w:rPr>
            <w:noProof/>
            <w:webHidden/>
          </w:rPr>
          <w:fldChar w:fldCharType="separate"/>
        </w:r>
        <w:r w:rsidR="000223E8">
          <w:rPr>
            <w:noProof/>
            <w:webHidden/>
          </w:rPr>
          <w:t>1</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85" w:history="1">
        <w:r w:rsidR="002A3930" w:rsidRPr="002B26AF">
          <w:rPr>
            <w:rStyle w:val="Hyperlink"/>
            <w:noProof/>
          </w:rPr>
          <w:t>1.1</w:t>
        </w:r>
        <w:r w:rsidR="002A3930">
          <w:rPr>
            <w:rFonts w:asciiTheme="minorHAnsi" w:eastAsiaTheme="minorEastAsia" w:hAnsiTheme="minorHAnsi" w:cstheme="minorBidi"/>
            <w:noProof/>
            <w:sz w:val="22"/>
            <w:szCs w:val="22"/>
            <w:lang w:eastAsia="en-GB"/>
          </w:rPr>
          <w:tab/>
        </w:r>
        <w:r w:rsidR="002A3930" w:rsidRPr="002B26AF">
          <w:rPr>
            <w:rStyle w:val="Hyperlink"/>
            <w:noProof/>
          </w:rPr>
          <w:t>Context and objectives</w:t>
        </w:r>
        <w:r w:rsidR="002A3930">
          <w:rPr>
            <w:noProof/>
            <w:webHidden/>
          </w:rPr>
          <w:tab/>
        </w:r>
        <w:r w:rsidR="002A3930">
          <w:rPr>
            <w:noProof/>
            <w:webHidden/>
          </w:rPr>
          <w:fldChar w:fldCharType="begin"/>
        </w:r>
        <w:r w:rsidR="002A3930">
          <w:rPr>
            <w:noProof/>
            <w:webHidden/>
          </w:rPr>
          <w:instrText xml:space="preserve"> PAGEREF _Toc408908685 \h </w:instrText>
        </w:r>
        <w:r w:rsidR="002A3930">
          <w:rPr>
            <w:noProof/>
            <w:webHidden/>
          </w:rPr>
        </w:r>
        <w:r w:rsidR="002A3930">
          <w:rPr>
            <w:noProof/>
            <w:webHidden/>
          </w:rPr>
          <w:fldChar w:fldCharType="separate"/>
        </w:r>
        <w:r w:rsidR="000223E8">
          <w:rPr>
            <w:noProof/>
            <w:webHidden/>
          </w:rPr>
          <w:t>1</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86" w:history="1">
        <w:r w:rsidR="002A3930" w:rsidRPr="002B26AF">
          <w:rPr>
            <w:rStyle w:val="Hyperlink"/>
            <w:noProof/>
          </w:rPr>
          <w:t>1.2</w:t>
        </w:r>
        <w:r w:rsidR="002A3930">
          <w:rPr>
            <w:rFonts w:asciiTheme="minorHAnsi" w:eastAsiaTheme="minorEastAsia" w:hAnsiTheme="minorHAnsi" w:cstheme="minorBidi"/>
            <w:noProof/>
            <w:sz w:val="22"/>
            <w:szCs w:val="22"/>
            <w:lang w:eastAsia="en-GB"/>
          </w:rPr>
          <w:tab/>
        </w:r>
        <w:r w:rsidR="002A3930" w:rsidRPr="002B26AF">
          <w:rPr>
            <w:rStyle w:val="Hyperlink"/>
            <w:noProof/>
          </w:rPr>
          <w:t>Methodology</w:t>
        </w:r>
        <w:r w:rsidR="002A3930">
          <w:rPr>
            <w:noProof/>
            <w:webHidden/>
          </w:rPr>
          <w:tab/>
        </w:r>
        <w:r w:rsidR="002A3930">
          <w:rPr>
            <w:noProof/>
            <w:webHidden/>
          </w:rPr>
          <w:fldChar w:fldCharType="begin"/>
        </w:r>
        <w:r w:rsidR="002A3930">
          <w:rPr>
            <w:noProof/>
            <w:webHidden/>
          </w:rPr>
          <w:instrText xml:space="preserve"> PAGEREF _Toc408908686 \h </w:instrText>
        </w:r>
        <w:r w:rsidR="002A3930">
          <w:rPr>
            <w:noProof/>
            <w:webHidden/>
          </w:rPr>
        </w:r>
        <w:r w:rsidR="002A3930">
          <w:rPr>
            <w:noProof/>
            <w:webHidden/>
          </w:rPr>
          <w:fldChar w:fldCharType="separate"/>
        </w:r>
        <w:r w:rsidR="000223E8">
          <w:rPr>
            <w:noProof/>
            <w:webHidden/>
          </w:rPr>
          <w:t>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687" w:history="1">
        <w:r w:rsidR="002A3930" w:rsidRPr="002B26AF">
          <w:rPr>
            <w:rStyle w:val="Hyperlink"/>
            <w:noProof/>
          </w:rPr>
          <w:t>1.2.1</w:t>
        </w:r>
        <w:r w:rsidR="002A3930">
          <w:rPr>
            <w:rFonts w:asciiTheme="minorHAnsi" w:eastAsiaTheme="minorEastAsia" w:hAnsiTheme="minorHAnsi" w:cstheme="minorBidi"/>
            <w:noProof/>
            <w:sz w:val="22"/>
            <w:szCs w:val="22"/>
            <w:lang w:eastAsia="en-GB"/>
          </w:rPr>
          <w:tab/>
        </w:r>
        <w:r w:rsidR="002A3930" w:rsidRPr="002B26AF">
          <w:rPr>
            <w:rStyle w:val="Hyperlink"/>
            <w:noProof/>
          </w:rPr>
          <w:t>Indicators</w:t>
        </w:r>
        <w:r w:rsidR="002A3930">
          <w:rPr>
            <w:noProof/>
            <w:webHidden/>
          </w:rPr>
          <w:tab/>
        </w:r>
        <w:r w:rsidR="002A3930">
          <w:rPr>
            <w:noProof/>
            <w:webHidden/>
          </w:rPr>
          <w:fldChar w:fldCharType="begin"/>
        </w:r>
        <w:r w:rsidR="002A3930">
          <w:rPr>
            <w:noProof/>
            <w:webHidden/>
          </w:rPr>
          <w:instrText xml:space="preserve"> PAGEREF _Toc408908687 \h </w:instrText>
        </w:r>
        <w:r w:rsidR="002A3930">
          <w:rPr>
            <w:noProof/>
            <w:webHidden/>
          </w:rPr>
        </w:r>
        <w:r w:rsidR="002A3930">
          <w:rPr>
            <w:noProof/>
            <w:webHidden/>
          </w:rPr>
          <w:fldChar w:fldCharType="separate"/>
        </w:r>
        <w:r w:rsidR="000223E8">
          <w:rPr>
            <w:noProof/>
            <w:webHidden/>
          </w:rPr>
          <w:t>2</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88" w:history="1">
        <w:r w:rsidR="002A3930" w:rsidRPr="002B26AF">
          <w:rPr>
            <w:rStyle w:val="Hyperlink"/>
            <w:noProof/>
          </w:rPr>
          <w:t>1.3</w:t>
        </w:r>
        <w:r w:rsidR="002A3930">
          <w:rPr>
            <w:rFonts w:asciiTheme="minorHAnsi" w:eastAsiaTheme="minorEastAsia" w:hAnsiTheme="minorHAnsi" w:cstheme="minorBidi"/>
            <w:noProof/>
            <w:sz w:val="22"/>
            <w:szCs w:val="22"/>
            <w:lang w:eastAsia="en-GB"/>
          </w:rPr>
          <w:tab/>
        </w:r>
        <w:r w:rsidR="002A3930" w:rsidRPr="002B26AF">
          <w:rPr>
            <w:rStyle w:val="Hyperlink"/>
            <w:noProof/>
          </w:rPr>
          <w:t>Report content and structure</w:t>
        </w:r>
        <w:r w:rsidR="002A3930">
          <w:rPr>
            <w:noProof/>
            <w:webHidden/>
          </w:rPr>
          <w:tab/>
        </w:r>
        <w:r w:rsidR="002A3930">
          <w:rPr>
            <w:noProof/>
            <w:webHidden/>
          </w:rPr>
          <w:fldChar w:fldCharType="begin"/>
        </w:r>
        <w:r w:rsidR="002A3930">
          <w:rPr>
            <w:noProof/>
            <w:webHidden/>
          </w:rPr>
          <w:instrText xml:space="preserve"> PAGEREF _Toc408908688 \h </w:instrText>
        </w:r>
        <w:r w:rsidR="002A3930">
          <w:rPr>
            <w:noProof/>
            <w:webHidden/>
          </w:rPr>
        </w:r>
        <w:r w:rsidR="002A3930">
          <w:rPr>
            <w:noProof/>
            <w:webHidden/>
          </w:rPr>
          <w:fldChar w:fldCharType="separate"/>
        </w:r>
        <w:r w:rsidR="000223E8">
          <w:rPr>
            <w:noProof/>
            <w:webHidden/>
          </w:rPr>
          <w:t>3</w:t>
        </w:r>
        <w:r w:rsidR="002A3930">
          <w:rPr>
            <w:noProof/>
            <w:webHidden/>
          </w:rPr>
          <w:fldChar w:fldCharType="end"/>
        </w:r>
      </w:hyperlink>
    </w:p>
    <w:p w:rsidR="002A3930" w:rsidRDefault="0023091A">
      <w:pPr>
        <w:pStyle w:val="TOC1"/>
        <w:rPr>
          <w:rFonts w:asciiTheme="minorHAnsi" w:eastAsiaTheme="minorEastAsia" w:hAnsiTheme="minorHAnsi" w:cstheme="minorBidi"/>
          <w:b w:val="0"/>
          <w:noProof/>
          <w:color w:val="auto"/>
          <w:sz w:val="22"/>
          <w:szCs w:val="22"/>
          <w:lang w:eastAsia="en-GB"/>
        </w:rPr>
      </w:pPr>
      <w:hyperlink w:anchor="_Toc408908689" w:history="1">
        <w:r w:rsidR="002A3930" w:rsidRPr="002B26AF">
          <w:rPr>
            <w:rStyle w:val="Hyperlink"/>
            <w:noProof/>
          </w:rPr>
          <w:t>2</w:t>
        </w:r>
        <w:r w:rsidR="002A3930">
          <w:rPr>
            <w:rFonts w:asciiTheme="minorHAnsi" w:eastAsiaTheme="minorEastAsia" w:hAnsiTheme="minorHAnsi" w:cstheme="minorBidi"/>
            <w:b w:val="0"/>
            <w:noProof/>
            <w:color w:val="auto"/>
            <w:sz w:val="22"/>
            <w:szCs w:val="22"/>
            <w:lang w:eastAsia="en-GB"/>
          </w:rPr>
          <w:tab/>
        </w:r>
        <w:r w:rsidR="002A3930" w:rsidRPr="002B26AF">
          <w:rPr>
            <w:rStyle w:val="Hyperlink"/>
            <w:noProof/>
          </w:rPr>
          <w:t>The numbers of children affected</w:t>
        </w:r>
        <w:r w:rsidR="002A3930">
          <w:rPr>
            <w:noProof/>
            <w:webHidden/>
          </w:rPr>
          <w:tab/>
        </w:r>
        <w:r w:rsidR="002A3930">
          <w:rPr>
            <w:noProof/>
            <w:webHidden/>
          </w:rPr>
          <w:fldChar w:fldCharType="begin"/>
        </w:r>
        <w:r w:rsidR="002A3930">
          <w:rPr>
            <w:noProof/>
            <w:webHidden/>
          </w:rPr>
          <w:instrText xml:space="preserve"> PAGEREF _Toc408908689 \h </w:instrText>
        </w:r>
        <w:r w:rsidR="002A3930">
          <w:rPr>
            <w:noProof/>
            <w:webHidden/>
          </w:rPr>
        </w:r>
        <w:r w:rsidR="002A3930">
          <w:rPr>
            <w:noProof/>
            <w:webHidden/>
          </w:rPr>
          <w:fldChar w:fldCharType="separate"/>
        </w:r>
        <w:r w:rsidR="000223E8">
          <w:rPr>
            <w:noProof/>
            <w:webHidden/>
          </w:rPr>
          <w:t>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0" w:history="1">
        <w:r w:rsidR="002A3930" w:rsidRPr="002B26AF">
          <w:rPr>
            <w:rStyle w:val="Hyperlink"/>
            <w:noProof/>
          </w:rPr>
          <w:t>2.1</w:t>
        </w:r>
        <w:r w:rsidR="002A3930">
          <w:rPr>
            <w:rFonts w:asciiTheme="minorHAnsi" w:eastAsiaTheme="minorEastAsia" w:hAnsiTheme="minorHAnsi" w:cstheme="minorBidi"/>
            <w:noProof/>
            <w:sz w:val="22"/>
            <w:szCs w:val="22"/>
            <w:lang w:eastAsia="en-GB"/>
          </w:rPr>
          <w:tab/>
        </w:r>
        <w:r w:rsidR="002A3930" w:rsidRPr="002B26AF">
          <w:rPr>
            <w:rStyle w:val="Hyperlink"/>
            <w:noProof/>
          </w:rPr>
          <w:t>Introduction</w:t>
        </w:r>
        <w:r w:rsidR="002A3930">
          <w:rPr>
            <w:noProof/>
            <w:webHidden/>
          </w:rPr>
          <w:tab/>
        </w:r>
        <w:r w:rsidR="002A3930">
          <w:rPr>
            <w:noProof/>
            <w:webHidden/>
          </w:rPr>
          <w:fldChar w:fldCharType="begin"/>
        </w:r>
        <w:r w:rsidR="002A3930">
          <w:rPr>
            <w:noProof/>
            <w:webHidden/>
          </w:rPr>
          <w:instrText xml:space="preserve"> PAGEREF _Toc408908690 \h </w:instrText>
        </w:r>
        <w:r w:rsidR="002A3930">
          <w:rPr>
            <w:noProof/>
            <w:webHidden/>
          </w:rPr>
        </w:r>
        <w:r w:rsidR="002A3930">
          <w:rPr>
            <w:noProof/>
            <w:webHidden/>
          </w:rPr>
          <w:fldChar w:fldCharType="separate"/>
        </w:r>
        <w:r w:rsidR="000223E8">
          <w:rPr>
            <w:noProof/>
            <w:webHidden/>
          </w:rPr>
          <w:t>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1" w:history="1">
        <w:r w:rsidR="002A3930" w:rsidRPr="002B26AF">
          <w:rPr>
            <w:rStyle w:val="Hyperlink"/>
            <w:noProof/>
          </w:rPr>
          <w:t>2.2</w:t>
        </w:r>
        <w:r w:rsidR="002A3930">
          <w:rPr>
            <w:rFonts w:asciiTheme="minorHAnsi" w:eastAsiaTheme="minorEastAsia" w:hAnsiTheme="minorHAnsi" w:cstheme="minorBidi"/>
            <w:noProof/>
            <w:sz w:val="22"/>
            <w:szCs w:val="22"/>
            <w:lang w:eastAsia="en-GB"/>
          </w:rPr>
          <w:tab/>
        </w:r>
        <w:r w:rsidR="002A3930" w:rsidRPr="002B26AF">
          <w:rPr>
            <w:rStyle w:val="Hyperlink"/>
            <w:noProof/>
          </w:rPr>
          <w:t>Children affected by parental divorce</w:t>
        </w:r>
        <w:r w:rsidR="002A3930">
          <w:rPr>
            <w:noProof/>
            <w:webHidden/>
          </w:rPr>
          <w:tab/>
        </w:r>
        <w:r w:rsidR="002A3930">
          <w:rPr>
            <w:noProof/>
            <w:webHidden/>
          </w:rPr>
          <w:fldChar w:fldCharType="begin"/>
        </w:r>
        <w:r w:rsidR="002A3930">
          <w:rPr>
            <w:noProof/>
            <w:webHidden/>
          </w:rPr>
          <w:instrText xml:space="preserve"> PAGEREF _Toc408908691 \h </w:instrText>
        </w:r>
        <w:r w:rsidR="002A3930">
          <w:rPr>
            <w:noProof/>
            <w:webHidden/>
          </w:rPr>
        </w:r>
        <w:r w:rsidR="002A3930">
          <w:rPr>
            <w:noProof/>
            <w:webHidden/>
          </w:rPr>
          <w:fldChar w:fldCharType="separate"/>
        </w:r>
        <w:r w:rsidR="000223E8">
          <w:rPr>
            <w:noProof/>
            <w:webHidden/>
          </w:rPr>
          <w:t>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2" w:history="1">
        <w:r w:rsidR="002A3930" w:rsidRPr="002B26AF">
          <w:rPr>
            <w:rStyle w:val="Hyperlink"/>
            <w:noProof/>
          </w:rPr>
          <w:t>2.3</w:t>
        </w:r>
        <w:r w:rsidR="002A3930">
          <w:rPr>
            <w:rFonts w:asciiTheme="minorHAnsi" w:eastAsiaTheme="minorEastAsia" w:hAnsiTheme="minorHAnsi" w:cstheme="minorBidi"/>
            <w:noProof/>
            <w:sz w:val="22"/>
            <w:szCs w:val="22"/>
            <w:lang w:eastAsia="en-GB"/>
          </w:rPr>
          <w:tab/>
        </w:r>
        <w:r w:rsidR="002A3930" w:rsidRPr="002B26AF">
          <w:rPr>
            <w:rStyle w:val="Hyperlink"/>
            <w:noProof/>
          </w:rPr>
          <w:t>The international abduction of children</w:t>
        </w:r>
        <w:r w:rsidR="002A3930">
          <w:rPr>
            <w:noProof/>
            <w:webHidden/>
          </w:rPr>
          <w:tab/>
        </w:r>
        <w:r w:rsidR="002A3930">
          <w:rPr>
            <w:noProof/>
            <w:webHidden/>
          </w:rPr>
          <w:fldChar w:fldCharType="begin"/>
        </w:r>
        <w:r w:rsidR="002A3930">
          <w:rPr>
            <w:noProof/>
            <w:webHidden/>
          </w:rPr>
          <w:instrText xml:space="preserve"> PAGEREF _Toc408908692 \h </w:instrText>
        </w:r>
        <w:r w:rsidR="002A3930">
          <w:rPr>
            <w:noProof/>
            <w:webHidden/>
          </w:rPr>
        </w:r>
        <w:r w:rsidR="002A3930">
          <w:rPr>
            <w:noProof/>
            <w:webHidden/>
          </w:rPr>
          <w:fldChar w:fldCharType="separate"/>
        </w:r>
        <w:r w:rsidR="000223E8">
          <w:rPr>
            <w:noProof/>
            <w:webHidden/>
          </w:rPr>
          <w:t>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3" w:history="1">
        <w:r w:rsidR="002A3930" w:rsidRPr="002B26AF">
          <w:rPr>
            <w:rStyle w:val="Hyperlink"/>
            <w:noProof/>
          </w:rPr>
          <w:t>2.4</w:t>
        </w:r>
        <w:r w:rsidR="002A3930">
          <w:rPr>
            <w:rFonts w:asciiTheme="minorHAnsi" w:eastAsiaTheme="minorEastAsia" w:hAnsiTheme="minorHAnsi" w:cstheme="minorBidi"/>
            <w:noProof/>
            <w:sz w:val="22"/>
            <w:szCs w:val="22"/>
            <w:lang w:eastAsia="en-GB"/>
          </w:rPr>
          <w:tab/>
        </w:r>
        <w:r w:rsidR="002A3930" w:rsidRPr="002B26AF">
          <w:rPr>
            <w:rStyle w:val="Hyperlink"/>
            <w:noProof/>
          </w:rPr>
          <w:t>Children affected by national and inter-country adoption processes</w:t>
        </w:r>
        <w:r w:rsidR="002A3930">
          <w:rPr>
            <w:noProof/>
            <w:webHidden/>
          </w:rPr>
          <w:tab/>
        </w:r>
        <w:r w:rsidR="002A3930">
          <w:rPr>
            <w:noProof/>
            <w:webHidden/>
          </w:rPr>
          <w:fldChar w:fldCharType="begin"/>
        </w:r>
        <w:r w:rsidR="002A3930">
          <w:rPr>
            <w:noProof/>
            <w:webHidden/>
          </w:rPr>
          <w:instrText xml:space="preserve"> PAGEREF _Toc408908693 \h </w:instrText>
        </w:r>
        <w:r w:rsidR="002A3930">
          <w:rPr>
            <w:noProof/>
            <w:webHidden/>
          </w:rPr>
        </w:r>
        <w:r w:rsidR="002A3930">
          <w:rPr>
            <w:noProof/>
            <w:webHidden/>
          </w:rPr>
          <w:fldChar w:fldCharType="separate"/>
        </w:r>
        <w:r w:rsidR="000223E8">
          <w:rPr>
            <w:noProof/>
            <w:webHidden/>
          </w:rPr>
          <w:t>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4" w:history="1">
        <w:r w:rsidR="002A3930" w:rsidRPr="002B26AF">
          <w:rPr>
            <w:rStyle w:val="Hyperlink"/>
            <w:noProof/>
          </w:rPr>
          <w:t>2.5</w:t>
        </w:r>
        <w:r w:rsidR="002A3930">
          <w:rPr>
            <w:rFonts w:asciiTheme="minorHAnsi" w:eastAsiaTheme="minorEastAsia" w:hAnsiTheme="minorHAnsi" w:cstheme="minorBidi"/>
            <w:noProof/>
            <w:sz w:val="22"/>
            <w:szCs w:val="22"/>
            <w:lang w:eastAsia="en-GB"/>
          </w:rPr>
          <w:tab/>
        </w:r>
        <w:r w:rsidR="002A3930" w:rsidRPr="002B26AF">
          <w:rPr>
            <w:rStyle w:val="Hyperlink"/>
            <w:noProof/>
          </w:rPr>
          <w:t>Children affected by asylum application decisions</w:t>
        </w:r>
        <w:r w:rsidR="002A3930">
          <w:rPr>
            <w:noProof/>
            <w:webHidden/>
          </w:rPr>
          <w:tab/>
        </w:r>
        <w:r w:rsidR="002A3930">
          <w:rPr>
            <w:noProof/>
            <w:webHidden/>
          </w:rPr>
          <w:fldChar w:fldCharType="begin"/>
        </w:r>
        <w:r w:rsidR="002A3930">
          <w:rPr>
            <w:noProof/>
            <w:webHidden/>
          </w:rPr>
          <w:instrText xml:space="preserve"> PAGEREF _Toc408908694 \h </w:instrText>
        </w:r>
        <w:r w:rsidR="002A3930">
          <w:rPr>
            <w:noProof/>
            <w:webHidden/>
          </w:rPr>
        </w:r>
        <w:r w:rsidR="002A3930">
          <w:rPr>
            <w:noProof/>
            <w:webHidden/>
          </w:rPr>
          <w:fldChar w:fldCharType="separate"/>
        </w:r>
        <w:r w:rsidR="000223E8">
          <w:rPr>
            <w:noProof/>
            <w:webHidden/>
          </w:rPr>
          <w:t>5</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5" w:history="1">
        <w:r w:rsidR="002A3930" w:rsidRPr="002B26AF">
          <w:rPr>
            <w:rStyle w:val="Hyperlink"/>
            <w:noProof/>
          </w:rPr>
          <w:t>2.6</w:t>
        </w:r>
        <w:r w:rsidR="002A3930">
          <w:rPr>
            <w:rFonts w:asciiTheme="minorHAnsi" w:eastAsiaTheme="minorEastAsia" w:hAnsiTheme="minorHAnsi" w:cstheme="minorBidi"/>
            <w:noProof/>
            <w:sz w:val="22"/>
            <w:szCs w:val="22"/>
            <w:lang w:eastAsia="en-GB"/>
          </w:rPr>
          <w:tab/>
        </w:r>
        <w:r w:rsidR="002A3930" w:rsidRPr="002B26AF">
          <w:rPr>
            <w:rStyle w:val="Hyperlink"/>
            <w:noProof/>
          </w:rPr>
          <w:t>Court cases concerning child maintenance</w:t>
        </w:r>
        <w:r w:rsidR="002A3930">
          <w:rPr>
            <w:noProof/>
            <w:webHidden/>
          </w:rPr>
          <w:tab/>
        </w:r>
        <w:r w:rsidR="002A3930">
          <w:rPr>
            <w:noProof/>
            <w:webHidden/>
          </w:rPr>
          <w:fldChar w:fldCharType="begin"/>
        </w:r>
        <w:r w:rsidR="002A3930">
          <w:rPr>
            <w:noProof/>
            <w:webHidden/>
          </w:rPr>
          <w:instrText xml:space="preserve"> PAGEREF _Toc408908695 \h </w:instrText>
        </w:r>
        <w:r w:rsidR="002A3930">
          <w:rPr>
            <w:noProof/>
            <w:webHidden/>
          </w:rPr>
        </w:r>
        <w:r w:rsidR="002A3930">
          <w:rPr>
            <w:noProof/>
            <w:webHidden/>
          </w:rPr>
          <w:fldChar w:fldCharType="separate"/>
        </w:r>
        <w:r w:rsidR="000223E8">
          <w:rPr>
            <w:noProof/>
            <w:webHidden/>
          </w:rPr>
          <w:t>5</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6" w:history="1">
        <w:r w:rsidR="002A3930" w:rsidRPr="002B26AF">
          <w:rPr>
            <w:rStyle w:val="Hyperlink"/>
            <w:noProof/>
          </w:rPr>
          <w:t>2.7</w:t>
        </w:r>
        <w:r w:rsidR="002A3930">
          <w:rPr>
            <w:rFonts w:asciiTheme="minorHAnsi" w:eastAsiaTheme="minorEastAsia" w:hAnsiTheme="minorHAnsi" w:cstheme="minorBidi"/>
            <w:noProof/>
            <w:sz w:val="22"/>
            <w:szCs w:val="22"/>
            <w:lang w:eastAsia="en-GB"/>
          </w:rPr>
          <w:tab/>
        </w:r>
        <w:r w:rsidR="002A3930" w:rsidRPr="002B26AF">
          <w:rPr>
            <w:rStyle w:val="Hyperlink"/>
            <w:noProof/>
          </w:rPr>
          <w:t>Administrative sanctions received by children</w:t>
        </w:r>
        <w:r w:rsidR="002A3930">
          <w:rPr>
            <w:noProof/>
            <w:webHidden/>
          </w:rPr>
          <w:tab/>
        </w:r>
        <w:r w:rsidR="002A3930">
          <w:rPr>
            <w:noProof/>
            <w:webHidden/>
          </w:rPr>
          <w:fldChar w:fldCharType="begin"/>
        </w:r>
        <w:r w:rsidR="002A3930">
          <w:rPr>
            <w:noProof/>
            <w:webHidden/>
          </w:rPr>
          <w:instrText xml:space="preserve"> PAGEREF _Toc408908696 \h </w:instrText>
        </w:r>
        <w:r w:rsidR="002A3930">
          <w:rPr>
            <w:noProof/>
            <w:webHidden/>
          </w:rPr>
        </w:r>
        <w:r w:rsidR="002A3930">
          <w:rPr>
            <w:noProof/>
            <w:webHidden/>
          </w:rPr>
          <w:fldChar w:fldCharType="separate"/>
        </w:r>
        <w:r w:rsidR="000223E8">
          <w:rPr>
            <w:noProof/>
            <w:webHidden/>
          </w:rPr>
          <w:t>5</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7" w:history="1">
        <w:r w:rsidR="002A3930" w:rsidRPr="002B26AF">
          <w:rPr>
            <w:rStyle w:val="Hyperlink"/>
            <w:noProof/>
          </w:rPr>
          <w:t>2.8</w:t>
        </w:r>
        <w:r w:rsidR="002A3930">
          <w:rPr>
            <w:rFonts w:asciiTheme="minorHAnsi" w:eastAsiaTheme="minorEastAsia" w:hAnsiTheme="minorHAnsi" w:cstheme="minorBidi"/>
            <w:noProof/>
            <w:sz w:val="22"/>
            <w:szCs w:val="22"/>
            <w:lang w:eastAsia="en-GB"/>
          </w:rPr>
          <w:tab/>
        </w:r>
        <w:r w:rsidR="002A3930" w:rsidRPr="002B26AF">
          <w:rPr>
            <w:rStyle w:val="Hyperlink"/>
            <w:noProof/>
          </w:rPr>
          <w:t>Court cases regarding children in care placements</w:t>
        </w:r>
        <w:r w:rsidR="002A3930">
          <w:rPr>
            <w:noProof/>
            <w:webHidden/>
          </w:rPr>
          <w:tab/>
        </w:r>
        <w:r w:rsidR="002A3930">
          <w:rPr>
            <w:noProof/>
            <w:webHidden/>
          </w:rPr>
          <w:fldChar w:fldCharType="begin"/>
        </w:r>
        <w:r w:rsidR="002A3930">
          <w:rPr>
            <w:noProof/>
            <w:webHidden/>
          </w:rPr>
          <w:instrText xml:space="preserve"> PAGEREF _Toc408908697 \h </w:instrText>
        </w:r>
        <w:r w:rsidR="002A3930">
          <w:rPr>
            <w:noProof/>
            <w:webHidden/>
          </w:rPr>
        </w:r>
        <w:r w:rsidR="002A3930">
          <w:rPr>
            <w:noProof/>
            <w:webHidden/>
          </w:rPr>
          <w:fldChar w:fldCharType="separate"/>
        </w:r>
        <w:r w:rsidR="000223E8">
          <w:rPr>
            <w:noProof/>
            <w:webHidden/>
          </w:rPr>
          <w:t>5</w:t>
        </w:r>
        <w:r w:rsidR="002A3930">
          <w:rPr>
            <w:noProof/>
            <w:webHidden/>
          </w:rPr>
          <w:fldChar w:fldCharType="end"/>
        </w:r>
      </w:hyperlink>
    </w:p>
    <w:p w:rsidR="002A3930" w:rsidRDefault="0023091A">
      <w:pPr>
        <w:pStyle w:val="TOC1"/>
        <w:rPr>
          <w:rFonts w:asciiTheme="minorHAnsi" w:eastAsiaTheme="minorEastAsia" w:hAnsiTheme="minorHAnsi" w:cstheme="minorBidi"/>
          <w:b w:val="0"/>
          <w:noProof/>
          <w:color w:val="auto"/>
          <w:sz w:val="22"/>
          <w:szCs w:val="22"/>
          <w:lang w:eastAsia="en-GB"/>
        </w:rPr>
      </w:pPr>
      <w:hyperlink w:anchor="_Toc408908698" w:history="1">
        <w:r w:rsidR="002A3930" w:rsidRPr="002B26AF">
          <w:rPr>
            <w:rStyle w:val="Hyperlink"/>
            <w:noProof/>
          </w:rPr>
          <w:t>3</w:t>
        </w:r>
        <w:r w:rsidR="002A3930">
          <w:rPr>
            <w:rFonts w:asciiTheme="minorHAnsi" w:eastAsiaTheme="minorEastAsia" w:hAnsiTheme="minorHAnsi" w:cstheme="minorBidi"/>
            <w:b w:val="0"/>
            <w:noProof/>
            <w:color w:val="auto"/>
            <w:sz w:val="22"/>
            <w:szCs w:val="22"/>
            <w:lang w:eastAsia="en-GB"/>
          </w:rPr>
          <w:tab/>
        </w:r>
        <w:r w:rsidR="002A3930" w:rsidRPr="002B26AF">
          <w:rPr>
            <w:rStyle w:val="Hyperlink"/>
            <w:noProof/>
          </w:rPr>
          <w:t>General elements of child-friendly justice in civil and administrative judicial proceedings</w:t>
        </w:r>
        <w:r w:rsidR="002A3930">
          <w:rPr>
            <w:noProof/>
            <w:webHidden/>
          </w:rPr>
          <w:tab/>
        </w:r>
        <w:r w:rsidR="002A3930">
          <w:rPr>
            <w:noProof/>
            <w:webHidden/>
          </w:rPr>
          <w:fldChar w:fldCharType="begin"/>
        </w:r>
        <w:r w:rsidR="002A3930">
          <w:rPr>
            <w:noProof/>
            <w:webHidden/>
          </w:rPr>
          <w:instrText xml:space="preserve"> PAGEREF _Toc408908698 \h </w:instrText>
        </w:r>
        <w:r w:rsidR="002A3930">
          <w:rPr>
            <w:noProof/>
            <w:webHidden/>
          </w:rPr>
        </w:r>
        <w:r w:rsidR="002A3930">
          <w:rPr>
            <w:noProof/>
            <w:webHidden/>
          </w:rPr>
          <w:fldChar w:fldCharType="separate"/>
        </w:r>
        <w:r w:rsidR="000223E8">
          <w:rPr>
            <w:noProof/>
            <w:webHidden/>
          </w:rPr>
          <w:t>9</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699" w:history="1">
        <w:r w:rsidR="002A3930" w:rsidRPr="002B26AF">
          <w:rPr>
            <w:rStyle w:val="Hyperlink"/>
            <w:noProof/>
          </w:rPr>
          <w:t>3.1</w:t>
        </w:r>
        <w:r w:rsidR="002A3930">
          <w:rPr>
            <w:rFonts w:asciiTheme="minorHAnsi" w:eastAsiaTheme="minorEastAsia" w:hAnsiTheme="minorHAnsi" w:cstheme="minorBidi"/>
            <w:noProof/>
            <w:sz w:val="22"/>
            <w:szCs w:val="22"/>
            <w:lang w:eastAsia="en-GB"/>
          </w:rPr>
          <w:tab/>
        </w:r>
        <w:r w:rsidR="002A3930" w:rsidRPr="002B26AF">
          <w:rPr>
            <w:rStyle w:val="Hyperlink"/>
            <w:noProof/>
          </w:rPr>
          <w:t>Introduction</w:t>
        </w:r>
        <w:r w:rsidR="002A3930">
          <w:rPr>
            <w:noProof/>
            <w:webHidden/>
          </w:rPr>
          <w:tab/>
        </w:r>
        <w:r w:rsidR="002A3930">
          <w:rPr>
            <w:noProof/>
            <w:webHidden/>
          </w:rPr>
          <w:fldChar w:fldCharType="begin"/>
        </w:r>
        <w:r w:rsidR="002A3930">
          <w:rPr>
            <w:noProof/>
            <w:webHidden/>
          </w:rPr>
          <w:instrText xml:space="preserve"> PAGEREF _Toc408908699 \h </w:instrText>
        </w:r>
        <w:r w:rsidR="002A3930">
          <w:rPr>
            <w:noProof/>
            <w:webHidden/>
          </w:rPr>
        </w:r>
        <w:r w:rsidR="002A3930">
          <w:rPr>
            <w:noProof/>
            <w:webHidden/>
          </w:rPr>
          <w:fldChar w:fldCharType="separate"/>
        </w:r>
        <w:r w:rsidR="000223E8">
          <w:rPr>
            <w:noProof/>
            <w:webHidden/>
          </w:rPr>
          <w:t>9</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00" w:history="1">
        <w:r w:rsidR="002A3930" w:rsidRPr="002B26AF">
          <w:rPr>
            <w:rStyle w:val="Hyperlink"/>
            <w:noProof/>
          </w:rPr>
          <w:t>3.2</w:t>
        </w:r>
        <w:r w:rsidR="002A3930">
          <w:rPr>
            <w:rFonts w:asciiTheme="minorHAnsi" w:eastAsiaTheme="minorEastAsia" w:hAnsiTheme="minorHAnsi" w:cstheme="minorBidi"/>
            <w:noProof/>
            <w:sz w:val="22"/>
            <w:szCs w:val="22"/>
            <w:lang w:eastAsia="en-GB"/>
          </w:rPr>
          <w:tab/>
        </w:r>
        <w:r w:rsidR="002A3930" w:rsidRPr="002B26AF">
          <w:rPr>
            <w:rStyle w:val="Hyperlink"/>
            <w:noProof/>
          </w:rPr>
          <w:t>Key variations in institutional frameworks</w:t>
        </w:r>
        <w:r w:rsidR="002A3930">
          <w:rPr>
            <w:noProof/>
            <w:webHidden/>
          </w:rPr>
          <w:tab/>
        </w:r>
        <w:r w:rsidR="002A3930">
          <w:rPr>
            <w:noProof/>
            <w:webHidden/>
          </w:rPr>
          <w:fldChar w:fldCharType="begin"/>
        </w:r>
        <w:r w:rsidR="002A3930">
          <w:rPr>
            <w:noProof/>
            <w:webHidden/>
          </w:rPr>
          <w:instrText xml:space="preserve"> PAGEREF _Toc408908700 \h </w:instrText>
        </w:r>
        <w:r w:rsidR="002A3930">
          <w:rPr>
            <w:noProof/>
            <w:webHidden/>
          </w:rPr>
        </w:r>
        <w:r w:rsidR="002A3930">
          <w:rPr>
            <w:noProof/>
            <w:webHidden/>
          </w:rPr>
          <w:fldChar w:fldCharType="separate"/>
        </w:r>
        <w:r w:rsidR="000223E8">
          <w:rPr>
            <w:noProof/>
            <w:webHidden/>
          </w:rPr>
          <w:t>9</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1" w:history="1">
        <w:r w:rsidR="002A3930" w:rsidRPr="002B26AF">
          <w:rPr>
            <w:rStyle w:val="Hyperlink"/>
            <w:noProof/>
          </w:rPr>
          <w:t>3.2.1</w:t>
        </w:r>
        <w:r w:rsidR="002A3930">
          <w:rPr>
            <w:rFonts w:asciiTheme="minorHAnsi" w:eastAsiaTheme="minorEastAsia" w:hAnsiTheme="minorHAnsi" w:cstheme="minorBidi"/>
            <w:noProof/>
            <w:sz w:val="22"/>
            <w:szCs w:val="22"/>
            <w:lang w:eastAsia="en-GB"/>
          </w:rPr>
          <w:tab/>
        </w:r>
        <w:r w:rsidR="002A3930" w:rsidRPr="002B26AF">
          <w:rPr>
            <w:rStyle w:val="Hyperlink"/>
            <w:noProof/>
          </w:rPr>
          <w:t>Type of courts and applicable procedural rules when dealing with children</w:t>
        </w:r>
        <w:r w:rsidR="002A3930">
          <w:rPr>
            <w:noProof/>
            <w:webHidden/>
          </w:rPr>
          <w:tab/>
        </w:r>
        <w:r w:rsidR="002A3930">
          <w:rPr>
            <w:noProof/>
            <w:webHidden/>
          </w:rPr>
          <w:fldChar w:fldCharType="begin"/>
        </w:r>
        <w:r w:rsidR="002A3930">
          <w:rPr>
            <w:noProof/>
            <w:webHidden/>
          </w:rPr>
          <w:instrText xml:space="preserve"> PAGEREF _Toc408908701 \h </w:instrText>
        </w:r>
        <w:r w:rsidR="002A3930">
          <w:rPr>
            <w:noProof/>
            <w:webHidden/>
          </w:rPr>
        </w:r>
        <w:r w:rsidR="002A3930">
          <w:rPr>
            <w:noProof/>
            <w:webHidden/>
          </w:rPr>
          <w:fldChar w:fldCharType="separate"/>
        </w:r>
        <w:r w:rsidR="000223E8">
          <w:rPr>
            <w:noProof/>
            <w:webHidden/>
          </w:rPr>
          <w:t>9</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2" w:history="1">
        <w:r w:rsidR="002A3930" w:rsidRPr="002B26AF">
          <w:rPr>
            <w:rStyle w:val="Hyperlink"/>
            <w:noProof/>
          </w:rPr>
          <w:t>3.2.2</w:t>
        </w:r>
        <w:r w:rsidR="002A3930">
          <w:rPr>
            <w:rFonts w:asciiTheme="minorHAnsi" w:eastAsiaTheme="minorEastAsia" w:hAnsiTheme="minorHAnsi" w:cstheme="minorBidi"/>
            <w:noProof/>
            <w:sz w:val="22"/>
            <w:szCs w:val="22"/>
            <w:lang w:eastAsia="en-GB"/>
          </w:rPr>
          <w:tab/>
        </w:r>
        <w:r w:rsidR="002A3930" w:rsidRPr="002B26AF">
          <w:rPr>
            <w:rStyle w:val="Hyperlink"/>
            <w:noProof/>
          </w:rPr>
          <w:t>The existence of child-specific procedural rules that apply to civil and administrative judicial proceedings</w:t>
        </w:r>
        <w:r w:rsidR="002A3930">
          <w:rPr>
            <w:noProof/>
            <w:webHidden/>
          </w:rPr>
          <w:tab/>
        </w:r>
        <w:r w:rsidR="002A3930">
          <w:rPr>
            <w:noProof/>
            <w:webHidden/>
          </w:rPr>
          <w:fldChar w:fldCharType="begin"/>
        </w:r>
        <w:r w:rsidR="002A3930">
          <w:rPr>
            <w:noProof/>
            <w:webHidden/>
          </w:rPr>
          <w:instrText xml:space="preserve"> PAGEREF _Toc408908702 \h </w:instrText>
        </w:r>
        <w:r w:rsidR="002A3930">
          <w:rPr>
            <w:noProof/>
            <w:webHidden/>
          </w:rPr>
        </w:r>
        <w:r w:rsidR="002A3930">
          <w:rPr>
            <w:noProof/>
            <w:webHidden/>
          </w:rPr>
          <w:fldChar w:fldCharType="separate"/>
        </w:r>
        <w:r w:rsidR="000223E8">
          <w:rPr>
            <w:noProof/>
            <w:webHidden/>
          </w:rPr>
          <w:t>10</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3" w:history="1">
        <w:r w:rsidR="002A3930" w:rsidRPr="002B26AF">
          <w:rPr>
            <w:rStyle w:val="Hyperlink"/>
            <w:noProof/>
          </w:rPr>
          <w:t>3.2.3</w:t>
        </w:r>
        <w:r w:rsidR="002A3930">
          <w:rPr>
            <w:rFonts w:asciiTheme="minorHAnsi" w:eastAsiaTheme="minorEastAsia" w:hAnsiTheme="minorHAnsi" w:cstheme="minorBidi"/>
            <w:noProof/>
            <w:sz w:val="22"/>
            <w:szCs w:val="22"/>
            <w:lang w:eastAsia="en-GB"/>
          </w:rPr>
          <w:tab/>
        </w:r>
        <w:r w:rsidR="002A3930" w:rsidRPr="002B26AF">
          <w:rPr>
            <w:rStyle w:val="Hyperlink"/>
            <w:noProof/>
          </w:rPr>
          <w:t>The involvement of judicial and non-judicial bodies in decisions to place children into care</w:t>
        </w:r>
        <w:r w:rsidR="002A3930">
          <w:rPr>
            <w:noProof/>
            <w:webHidden/>
          </w:rPr>
          <w:tab/>
        </w:r>
        <w:r w:rsidR="002A3930">
          <w:rPr>
            <w:noProof/>
            <w:webHidden/>
          </w:rPr>
          <w:fldChar w:fldCharType="begin"/>
        </w:r>
        <w:r w:rsidR="002A3930">
          <w:rPr>
            <w:noProof/>
            <w:webHidden/>
          </w:rPr>
          <w:instrText xml:space="preserve"> PAGEREF _Toc408908703 \h </w:instrText>
        </w:r>
        <w:r w:rsidR="002A3930">
          <w:rPr>
            <w:noProof/>
            <w:webHidden/>
          </w:rPr>
        </w:r>
        <w:r w:rsidR="002A3930">
          <w:rPr>
            <w:noProof/>
            <w:webHidden/>
          </w:rPr>
          <w:fldChar w:fldCharType="separate"/>
        </w:r>
        <w:r w:rsidR="000223E8">
          <w:rPr>
            <w:noProof/>
            <w:webHidden/>
          </w:rPr>
          <w:t>10</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04" w:history="1">
        <w:r w:rsidR="002A3930" w:rsidRPr="002B26AF">
          <w:rPr>
            <w:rStyle w:val="Hyperlink"/>
            <w:noProof/>
          </w:rPr>
          <w:t>3.3</w:t>
        </w:r>
        <w:r w:rsidR="002A3930">
          <w:rPr>
            <w:rFonts w:asciiTheme="minorHAnsi" w:eastAsiaTheme="minorEastAsia" w:hAnsiTheme="minorHAnsi" w:cstheme="minorBidi"/>
            <w:noProof/>
            <w:sz w:val="22"/>
            <w:szCs w:val="22"/>
            <w:lang w:eastAsia="en-GB"/>
          </w:rPr>
          <w:tab/>
        </w:r>
        <w:r w:rsidR="002A3930" w:rsidRPr="002B26AF">
          <w:rPr>
            <w:rStyle w:val="Hyperlink"/>
            <w:noProof/>
          </w:rPr>
          <w:t>Procedural rules affecting children’s access to justice</w:t>
        </w:r>
        <w:r w:rsidR="002A3930">
          <w:rPr>
            <w:noProof/>
            <w:webHidden/>
          </w:rPr>
          <w:tab/>
        </w:r>
        <w:r w:rsidR="002A3930">
          <w:rPr>
            <w:noProof/>
            <w:webHidden/>
          </w:rPr>
          <w:fldChar w:fldCharType="begin"/>
        </w:r>
        <w:r w:rsidR="002A3930">
          <w:rPr>
            <w:noProof/>
            <w:webHidden/>
          </w:rPr>
          <w:instrText xml:space="preserve"> PAGEREF _Toc408908704 \h </w:instrText>
        </w:r>
        <w:r w:rsidR="002A3930">
          <w:rPr>
            <w:noProof/>
            <w:webHidden/>
          </w:rPr>
        </w:r>
        <w:r w:rsidR="002A3930">
          <w:rPr>
            <w:noProof/>
            <w:webHidden/>
          </w:rPr>
          <w:fldChar w:fldCharType="separate"/>
        </w:r>
        <w:r w:rsidR="000223E8">
          <w:rPr>
            <w:noProof/>
            <w:webHidden/>
          </w:rPr>
          <w:t>11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5" w:history="1">
        <w:r w:rsidR="002A3930" w:rsidRPr="002B26AF">
          <w:rPr>
            <w:rStyle w:val="Hyperlink"/>
            <w:noProof/>
          </w:rPr>
          <w:t>3.3.1</w:t>
        </w:r>
        <w:r w:rsidR="002A3930">
          <w:rPr>
            <w:rFonts w:asciiTheme="minorHAnsi" w:eastAsiaTheme="minorEastAsia" w:hAnsiTheme="minorHAnsi" w:cstheme="minorBidi"/>
            <w:noProof/>
            <w:sz w:val="22"/>
            <w:szCs w:val="22"/>
            <w:lang w:eastAsia="en-GB"/>
          </w:rPr>
          <w:tab/>
        </w:r>
        <w:r w:rsidR="002A3930" w:rsidRPr="002B26AF">
          <w:rPr>
            <w:rStyle w:val="Hyperlink"/>
            <w:noProof/>
          </w:rPr>
          <w:t>Age of procedural capacity</w:t>
        </w:r>
        <w:r w:rsidR="002A3930">
          <w:rPr>
            <w:noProof/>
            <w:webHidden/>
          </w:rPr>
          <w:tab/>
        </w:r>
        <w:r w:rsidR="002A3930">
          <w:rPr>
            <w:noProof/>
            <w:webHidden/>
          </w:rPr>
          <w:fldChar w:fldCharType="begin"/>
        </w:r>
        <w:r w:rsidR="002A3930">
          <w:rPr>
            <w:noProof/>
            <w:webHidden/>
          </w:rPr>
          <w:instrText xml:space="preserve"> PAGEREF _Toc408908705 \h </w:instrText>
        </w:r>
        <w:r w:rsidR="002A3930">
          <w:rPr>
            <w:noProof/>
            <w:webHidden/>
          </w:rPr>
        </w:r>
        <w:r w:rsidR="002A3930">
          <w:rPr>
            <w:noProof/>
            <w:webHidden/>
          </w:rPr>
          <w:fldChar w:fldCharType="separate"/>
        </w:r>
        <w:r w:rsidR="000223E8">
          <w:rPr>
            <w:noProof/>
            <w:webHidden/>
          </w:rPr>
          <w:t>11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6" w:history="1">
        <w:r w:rsidR="002A3930" w:rsidRPr="002B26AF">
          <w:rPr>
            <w:rStyle w:val="Hyperlink"/>
            <w:noProof/>
          </w:rPr>
          <w:t>3.3.2</w:t>
        </w:r>
        <w:r w:rsidR="002A3930">
          <w:rPr>
            <w:rFonts w:asciiTheme="minorHAnsi" w:eastAsiaTheme="minorEastAsia" w:hAnsiTheme="minorHAnsi" w:cstheme="minorBidi"/>
            <w:noProof/>
            <w:sz w:val="22"/>
            <w:szCs w:val="22"/>
            <w:lang w:eastAsia="en-GB"/>
          </w:rPr>
          <w:tab/>
        </w:r>
        <w:r w:rsidR="002A3930" w:rsidRPr="002B26AF">
          <w:rPr>
            <w:rStyle w:val="Hyperlink"/>
            <w:noProof/>
          </w:rPr>
          <w:t>Measures in place to facilitate a child’s right to file a claim</w:t>
        </w:r>
        <w:r w:rsidR="002A3930">
          <w:rPr>
            <w:noProof/>
            <w:webHidden/>
          </w:rPr>
          <w:tab/>
        </w:r>
        <w:r w:rsidR="002A3930">
          <w:rPr>
            <w:noProof/>
            <w:webHidden/>
          </w:rPr>
          <w:fldChar w:fldCharType="begin"/>
        </w:r>
        <w:r w:rsidR="002A3930">
          <w:rPr>
            <w:noProof/>
            <w:webHidden/>
          </w:rPr>
          <w:instrText xml:space="preserve"> PAGEREF _Toc408908706 \h </w:instrText>
        </w:r>
        <w:r w:rsidR="002A3930">
          <w:rPr>
            <w:noProof/>
            <w:webHidden/>
          </w:rPr>
        </w:r>
        <w:r w:rsidR="002A3930">
          <w:rPr>
            <w:noProof/>
            <w:webHidden/>
          </w:rPr>
          <w:fldChar w:fldCharType="separate"/>
        </w:r>
        <w:r w:rsidR="000223E8">
          <w:rPr>
            <w:noProof/>
            <w:webHidden/>
          </w:rPr>
          <w:t>13</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7" w:history="1">
        <w:r w:rsidR="002A3930" w:rsidRPr="002B26AF">
          <w:rPr>
            <w:rStyle w:val="Hyperlink"/>
            <w:noProof/>
          </w:rPr>
          <w:t>3.3.3</w:t>
        </w:r>
        <w:r w:rsidR="002A3930">
          <w:rPr>
            <w:rFonts w:asciiTheme="minorHAnsi" w:eastAsiaTheme="minorEastAsia" w:hAnsiTheme="minorHAnsi" w:cstheme="minorBidi"/>
            <w:noProof/>
            <w:sz w:val="22"/>
            <w:szCs w:val="22"/>
            <w:lang w:eastAsia="en-GB"/>
          </w:rPr>
          <w:tab/>
        </w:r>
        <w:r w:rsidR="002A3930" w:rsidRPr="002B26AF">
          <w:rPr>
            <w:rStyle w:val="Hyperlink"/>
            <w:noProof/>
          </w:rPr>
          <w:t>Statute of limitations</w:t>
        </w:r>
        <w:r w:rsidR="002A3930">
          <w:rPr>
            <w:noProof/>
            <w:webHidden/>
          </w:rPr>
          <w:tab/>
        </w:r>
        <w:r w:rsidR="002A3930">
          <w:rPr>
            <w:noProof/>
            <w:webHidden/>
          </w:rPr>
          <w:fldChar w:fldCharType="begin"/>
        </w:r>
        <w:r w:rsidR="002A3930">
          <w:rPr>
            <w:noProof/>
            <w:webHidden/>
          </w:rPr>
          <w:instrText xml:space="preserve"> PAGEREF _Toc408908707 \h </w:instrText>
        </w:r>
        <w:r w:rsidR="002A3930">
          <w:rPr>
            <w:noProof/>
            <w:webHidden/>
          </w:rPr>
        </w:r>
        <w:r w:rsidR="002A3930">
          <w:rPr>
            <w:noProof/>
            <w:webHidden/>
          </w:rPr>
          <w:fldChar w:fldCharType="separate"/>
        </w:r>
        <w:r w:rsidR="000223E8">
          <w:rPr>
            <w:noProof/>
            <w:webHidden/>
          </w:rPr>
          <w:t>15</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08" w:history="1">
        <w:r w:rsidR="002A3930" w:rsidRPr="002B26AF">
          <w:rPr>
            <w:rStyle w:val="Hyperlink"/>
            <w:noProof/>
          </w:rPr>
          <w:t>3.3.4</w:t>
        </w:r>
        <w:r w:rsidR="002A3930">
          <w:rPr>
            <w:rFonts w:asciiTheme="minorHAnsi" w:eastAsiaTheme="minorEastAsia" w:hAnsiTheme="minorHAnsi" w:cstheme="minorBidi"/>
            <w:noProof/>
            <w:sz w:val="22"/>
            <w:szCs w:val="22"/>
            <w:lang w:eastAsia="en-GB"/>
          </w:rPr>
          <w:tab/>
        </w:r>
        <w:r w:rsidR="002A3930" w:rsidRPr="002B26AF">
          <w:rPr>
            <w:rStyle w:val="Hyperlink"/>
            <w:noProof/>
          </w:rPr>
          <w:t>Provisions in place to ensure that legal proceedings are started in child protection cases</w:t>
        </w:r>
        <w:r w:rsidR="002A3930">
          <w:rPr>
            <w:noProof/>
            <w:webHidden/>
          </w:rPr>
          <w:tab/>
        </w:r>
        <w:r w:rsidR="002A3930">
          <w:rPr>
            <w:noProof/>
            <w:webHidden/>
          </w:rPr>
          <w:fldChar w:fldCharType="begin"/>
        </w:r>
        <w:r w:rsidR="002A3930">
          <w:rPr>
            <w:noProof/>
            <w:webHidden/>
          </w:rPr>
          <w:instrText xml:space="preserve"> PAGEREF _Toc408908708 \h </w:instrText>
        </w:r>
        <w:r w:rsidR="002A3930">
          <w:rPr>
            <w:noProof/>
            <w:webHidden/>
          </w:rPr>
        </w:r>
        <w:r w:rsidR="002A3930">
          <w:rPr>
            <w:noProof/>
            <w:webHidden/>
          </w:rPr>
          <w:fldChar w:fldCharType="separate"/>
        </w:r>
        <w:r w:rsidR="000223E8">
          <w:rPr>
            <w:noProof/>
            <w:webHidden/>
          </w:rPr>
          <w:t>15</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09" w:history="1">
        <w:r w:rsidR="002A3930" w:rsidRPr="002B26AF">
          <w:rPr>
            <w:rStyle w:val="Hyperlink"/>
            <w:noProof/>
          </w:rPr>
          <w:t>3.4</w:t>
        </w:r>
        <w:r w:rsidR="002A3930">
          <w:rPr>
            <w:rFonts w:asciiTheme="minorHAnsi" w:eastAsiaTheme="minorEastAsia" w:hAnsiTheme="minorHAnsi" w:cstheme="minorBidi"/>
            <w:noProof/>
            <w:sz w:val="22"/>
            <w:szCs w:val="22"/>
            <w:lang w:eastAsia="en-GB"/>
          </w:rPr>
          <w:tab/>
        </w:r>
        <w:r w:rsidR="002A3930" w:rsidRPr="002B26AF">
          <w:rPr>
            <w:rStyle w:val="Hyperlink"/>
            <w:noProof/>
          </w:rPr>
          <w:t>Measures for advancing the principle that the best interests of the child should be a primary or the paramount consideration</w:t>
        </w:r>
        <w:r w:rsidR="002A3930">
          <w:rPr>
            <w:noProof/>
            <w:webHidden/>
          </w:rPr>
          <w:tab/>
        </w:r>
        <w:r w:rsidR="002A3930">
          <w:rPr>
            <w:noProof/>
            <w:webHidden/>
          </w:rPr>
          <w:fldChar w:fldCharType="begin"/>
        </w:r>
        <w:r w:rsidR="002A3930">
          <w:rPr>
            <w:noProof/>
            <w:webHidden/>
          </w:rPr>
          <w:instrText xml:space="preserve"> PAGEREF _Toc408908709 \h </w:instrText>
        </w:r>
        <w:r w:rsidR="002A3930">
          <w:rPr>
            <w:noProof/>
            <w:webHidden/>
          </w:rPr>
        </w:r>
        <w:r w:rsidR="002A3930">
          <w:rPr>
            <w:noProof/>
            <w:webHidden/>
          </w:rPr>
          <w:fldChar w:fldCharType="separate"/>
        </w:r>
        <w:r w:rsidR="000223E8">
          <w:rPr>
            <w:noProof/>
            <w:webHidden/>
          </w:rPr>
          <w:t>17</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10" w:history="1">
        <w:r w:rsidR="002A3930" w:rsidRPr="002B26AF">
          <w:rPr>
            <w:rStyle w:val="Hyperlink"/>
            <w:noProof/>
          </w:rPr>
          <w:t>3.4.1</w:t>
        </w:r>
        <w:r w:rsidR="002A3930">
          <w:rPr>
            <w:rFonts w:asciiTheme="minorHAnsi" w:eastAsiaTheme="minorEastAsia" w:hAnsiTheme="minorHAnsi" w:cstheme="minorBidi"/>
            <w:noProof/>
            <w:sz w:val="22"/>
            <w:szCs w:val="22"/>
            <w:lang w:eastAsia="en-GB"/>
          </w:rPr>
          <w:tab/>
        </w:r>
        <w:r w:rsidR="002A3930" w:rsidRPr="002B26AF">
          <w:rPr>
            <w:rStyle w:val="Hyperlink"/>
            <w:noProof/>
          </w:rPr>
          <w:t>Reflecting the principle in the Constitution or relevant legislation</w:t>
        </w:r>
        <w:r w:rsidR="002A3930">
          <w:rPr>
            <w:noProof/>
            <w:webHidden/>
          </w:rPr>
          <w:tab/>
        </w:r>
        <w:r w:rsidR="002A3930">
          <w:rPr>
            <w:noProof/>
            <w:webHidden/>
          </w:rPr>
          <w:fldChar w:fldCharType="begin"/>
        </w:r>
        <w:r w:rsidR="002A3930">
          <w:rPr>
            <w:noProof/>
            <w:webHidden/>
          </w:rPr>
          <w:instrText xml:space="preserve"> PAGEREF _Toc408908710 \h </w:instrText>
        </w:r>
        <w:r w:rsidR="002A3930">
          <w:rPr>
            <w:noProof/>
            <w:webHidden/>
          </w:rPr>
        </w:r>
        <w:r w:rsidR="002A3930">
          <w:rPr>
            <w:noProof/>
            <w:webHidden/>
          </w:rPr>
          <w:fldChar w:fldCharType="separate"/>
        </w:r>
        <w:r w:rsidR="000223E8">
          <w:rPr>
            <w:noProof/>
            <w:webHidden/>
          </w:rPr>
          <w:t>17</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11" w:history="1">
        <w:r w:rsidR="002A3930" w:rsidRPr="002B26AF">
          <w:rPr>
            <w:rStyle w:val="Hyperlink"/>
            <w:noProof/>
          </w:rPr>
          <w:t>3.4.2</w:t>
        </w:r>
        <w:r w:rsidR="002A3930">
          <w:rPr>
            <w:rFonts w:asciiTheme="minorHAnsi" w:eastAsiaTheme="minorEastAsia" w:hAnsiTheme="minorHAnsi" w:cstheme="minorBidi"/>
            <w:noProof/>
            <w:sz w:val="22"/>
            <w:szCs w:val="22"/>
            <w:lang w:eastAsia="en-GB"/>
          </w:rPr>
          <w:tab/>
        </w:r>
        <w:r w:rsidR="002A3930" w:rsidRPr="002B26AF">
          <w:rPr>
            <w:rStyle w:val="Hyperlink"/>
            <w:noProof/>
          </w:rPr>
          <w:t>Developing criteria to determine the best interests of the child in particular circumstances</w:t>
        </w:r>
        <w:r w:rsidR="002A3930">
          <w:rPr>
            <w:noProof/>
            <w:webHidden/>
          </w:rPr>
          <w:tab/>
        </w:r>
        <w:r w:rsidR="002A3930">
          <w:rPr>
            <w:noProof/>
            <w:webHidden/>
          </w:rPr>
          <w:fldChar w:fldCharType="begin"/>
        </w:r>
        <w:r w:rsidR="002A3930">
          <w:rPr>
            <w:noProof/>
            <w:webHidden/>
          </w:rPr>
          <w:instrText xml:space="preserve"> PAGEREF _Toc408908711 \h </w:instrText>
        </w:r>
        <w:r w:rsidR="002A3930">
          <w:rPr>
            <w:noProof/>
            <w:webHidden/>
          </w:rPr>
        </w:r>
        <w:r w:rsidR="002A3930">
          <w:rPr>
            <w:noProof/>
            <w:webHidden/>
          </w:rPr>
          <w:fldChar w:fldCharType="separate"/>
        </w:r>
        <w:r w:rsidR="000223E8">
          <w:rPr>
            <w:noProof/>
            <w:webHidden/>
          </w:rPr>
          <w:t>17</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12" w:history="1">
        <w:r w:rsidR="002A3930" w:rsidRPr="002B26AF">
          <w:rPr>
            <w:rStyle w:val="Hyperlink"/>
            <w:noProof/>
          </w:rPr>
          <w:t>3.4.3</w:t>
        </w:r>
        <w:r w:rsidR="002A3930">
          <w:rPr>
            <w:rFonts w:asciiTheme="minorHAnsi" w:eastAsiaTheme="minorEastAsia" w:hAnsiTheme="minorHAnsi" w:cstheme="minorBidi"/>
            <w:noProof/>
            <w:sz w:val="22"/>
            <w:szCs w:val="22"/>
            <w:lang w:eastAsia="en-GB"/>
          </w:rPr>
          <w:tab/>
        </w:r>
        <w:r w:rsidR="002A3930" w:rsidRPr="002B26AF">
          <w:rPr>
            <w:rStyle w:val="Hyperlink"/>
            <w:noProof/>
          </w:rPr>
          <w:t>Giving due weight to the expressed views of the child</w:t>
        </w:r>
        <w:r w:rsidR="002A3930">
          <w:rPr>
            <w:noProof/>
            <w:webHidden/>
          </w:rPr>
          <w:tab/>
        </w:r>
        <w:r w:rsidR="002A3930">
          <w:rPr>
            <w:noProof/>
            <w:webHidden/>
          </w:rPr>
          <w:fldChar w:fldCharType="begin"/>
        </w:r>
        <w:r w:rsidR="002A3930">
          <w:rPr>
            <w:noProof/>
            <w:webHidden/>
          </w:rPr>
          <w:instrText xml:space="preserve"> PAGEREF _Toc408908712 \h </w:instrText>
        </w:r>
        <w:r w:rsidR="002A3930">
          <w:rPr>
            <w:noProof/>
            <w:webHidden/>
          </w:rPr>
        </w:r>
        <w:r w:rsidR="002A3930">
          <w:rPr>
            <w:noProof/>
            <w:webHidden/>
          </w:rPr>
          <w:fldChar w:fldCharType="separate"/>
        </w:r>
        <w:r w:rsidR="000223E8">
          <w:rPr>
            <w:noProof/>
            <w:webHidden/>
          </w:rPr>
          <w:t>18</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13" w:history="1">
        <w:r w:rsidR="002A3930" w:rsidRPr="002B26AF">
          <w:rPr>
            <w:rStyle w:val="Hyperlink"/>
            <w:noProof/>
          </w:rPr>
          <w:t>3.4.4</w:t>
        </w:r>
        <w:r w:rsidR="002A3930">
          <w:rPr>
            <w:rFonts w:asciiTheme="minorHAnsi" w:eastAsiaTheme="minorEastAsia" w:hAnsiTheme="minorHAnsi" w:cstheme="minorBidi"/>
            <w:noProof/>
            <w:sz w:val="22"/>
            <w:szCs w:val="22"/>
            <w:lang w:eastAsia="en-GB"/>
          </w:rPr>
          <w:tab/>
        </w:r>
        <w:r w:rsidR="002A3930" w:rsidRPr="002B26AF">
          <w:rPr>
            <w:rStyle w:val="Hyperlink"/>
            <w:noProof/>
          </w:rPr>
          <w:t>Adopting a multidisciplinary approach</w:t>
        </w:r>
        <w:r w:rsidR="002A3930">
          <w:rPr>
            <w:noProof/>
            <w:webHidden/>
          </w:rPr>
          <w:tab/>
        </w:r>
        <w:r w:rsidR="002A3930">
          <w:rPr>
            <w:noProof/>
            <w:webHidden/>
          </w:rPr>
          <w:fldChar w:fldCharType="begin"/>
        </w:r>
        <w:r w:rsidR="002A3930">
          <w:rPr>
            <w:noProof/>
            <w:webHidden/>
          </w:rPr>
          <w:instrText xml:space="preserve"> PAGEREF _Toc408908713 \h </w:instrText>
        </w:r>
        <w:r w:rsidR="002A3930">
          <w:rPr>
            <w:noProof/>
            <w:webHidden/>
          </w:rPr>
        </w:r>
        <w:r w:rsidR="002A3930">
          <w:rPr>
            <w:noProof/>
            <w:webHidden/>
          </w:rPr>
          <w:fldChar w:fldCharType="separate"/>
        </w:r>
        <w:r w:rsidR="000223E8">
          <w:rPr>
            <w:noProof/>
            <w:webHidden/>
          </w:rPr>
          <w:t>18</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14" w:history="1">
        <w:r w:rsidR="002A3930" w:rsidRPr="002B26AF">
          <w:rPr>
            <w:rStyle w:val="Hyperlink"/>
            <w:noProof/>
          </w:rPr>
          <w:t>3.5</w:t>
        </w:r>
        <w:r w:rsidR="002A3930">
          <w:rPr>
            <w:rFonts w:asciiTheme="minorHAnsi" w:eastAsiaTheme="minorEastAsia" w:hAnsiTheme="minorHAnsi" w:cstheme="minorBidi"/>
            <w:noProof/>
            <w:sz w:val="22"/>
            <w:szCs w:val="22"/>
            <w:lang w:eastAsia="en-GB"/>
          </w:rPr>
          <w:tab/>
        </w:r>
        <w:r w:rsidR="002A3930" w:rsidRPr="002B26AF">
          <w:rPr>
            <w:rStyle w:val="Hyperlink"/>
            <w:noProof/>
          </w:rPr>
          <w:t>National monitoring mechanisms to ensure the compatibility of safeguards with international standards</w:t>
        </w:r>
        <w:r w:rsidR="002A3930">
          <w:rPr>
            <w:noProof/>
            <w:webHidden/>
          </w:rPr>
          <w:tab/>
        </w:r>
        <w:r w:rsidR="002A3930">
          <w:rPr>
            <w:noProof/>
            <w:webHidden/>
          </w:rPr>
          <w:fldChar w:fldCharType="begin"/>
        </w:r>
        <w:r w:rsidR="002A3930">
          <w:rPr>
            <w:noProof/>
            <w:webHidden/>
          </w:rPr>
          <w:instrText xml:space="preserve"> PAGEREF _Toc408908714 \h </w:instrText>
        </w:r>
        <w:r w:rsidR="002A3930">
          <w:rPr>
            <w:noProof/>
            <w:webHidden/>
          </w:rPr>
        </w:r>
        <w:r w:rsidR="002A3930">
          <w:rPr>
            <w:noProof/>
            <w:webHidden/>
          </w:rPr>
          <w:fldChar w:fldCharType="separate"/>
        </w:r>
        <w:r w:rsidR="000223E8">
          <w:rPr>
            <w:noProof/>
            <w:webHidden/>
          </w:rPr>
          <w:t>19</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15" w:history="1">
        <w:r w:rsidR="002A3930" w:rsidRPr="002B26AF">
          <w:rPr>
            <w:rStyle w:val="Hyperlink"/>
            <w:noProof/>
          </w:rPr>
          <w:t>3.6</w:t>
        </w:r>
        <w:r w:rsidR="002A3930">
          <w:rPr>
            <w:rFonts w:asciiTheme="minorHAnsi" w:eastAsiaTheme="minorEastAsia" w:hAnsiTheme="minorHAnsi" w:cstheme="minorBidi"/>
            <w:noProof/>
            <w:sz w:val="22"/>
            <w:szCs w:val="22"/>
            <w:lang w:eastAsia="en-GB"/>
          </w:rPr>
          <w:tab/>
        </w:r>
        <w:r w:rsidR="002A3930" w:rsidRPr="002B26AF">
          <w:rPr>
            <w:rStyle w:val="Hyperlink"/>
            <w:noProof/>
          </w:rPr>
          <w:t>The prevalence of a multidisciplinary approach and cooperation to safeguard the rights of children in judicial proceedings</w:t>
        </w:r>
        <w:r w:rsidR="002A3930">
          <w:rPr>
            <w:noProof/>
            <w:webHidden/>
          </w:rPr>
          <w:tab/>
        </w:r>
        <w:r w:rsidR="002A3930">
          <w:rPr>
            <w:noProof/>
            <w:webHidden/>
          </w:rPr>
          <w:fldChar w:fldCharType="begin"/>
        </w:r>
        <w:r w:rsidR="002A3930">
          <w:rPr>
            <w:noProof/>
            <w:webHidden/>
          </w:rPr>
          <w:instrText xml:space="preserve"> PAGEREF _Toc408908715 \h </w:instrText>
        </w:r>
        <w:r w:rsidR="002A3930">
          <w:rPr>
            <w:noProof/>
            <w:webHidden/>
          </w:rPr>
        </w:r>
        <w:r w:rsidR="002A3930">
          <w:rPr>
            <w:noProof/>
            <w:webHidden/>
          </w:rPr>
          <w:fldChar w:fldCharType="separate"/>
        </w:r>
        <w:r w:rsidR="000223E8">
          <w:rPr>
            <w:noProof/>
            <w:webHidden/>
          </w:rPr>
          <w:t>22</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16" w:history="1">
        <w:r w:rsidR="002A3930" w:rsidRPr="002B26AF">
          <w:rPr>
            <w:rStyle w:val="Hyperlink"/>
            <w:noProof/>
          </w:rPr>
          <w:t>3.7</w:t>
        </w:r>
        <w:r w:rsidR="002A3930">
          <w:rPr>
            <w:rFonts w:asciiTheme="minorHAnsi" w:eastAsiaTheme="minorEastAsia" w:hAnsiTheme="minorHAnsi" w:cstheme="minorBidi"/>
            <w:noProof/>
            <w:sz w:val="22"/>
            <w:szCs w:val="22"/>
            <w:lang w:eastAsia="en-GB"/>
          </w:rPr>
          <w:tab/>
        </w:r>
        <w:r w:rsidR="002A3930" w:rsidRPr="002B26AF">
          <w:rPr>
            <w:rStyle w:val="Hyperlink"/>
            <w:noProof/>
          </w:rPr>
          <w:t>Training requirements for professionals working with and for children in judicial proceedings</w:t>
        </w:r>
        <w:r w:rsidR="002A3930">
          <w:rPr>
            <w:noProof/>
            <w:webHidden/>
          </w:rPr>
          <w:tab/>
        </w:r>
        <w:r w:rsidR="002A3930">
          <w:rPr>
            <w:noProof/>
            <w:webHidden/>
          </w:rPr>
          <w:fldChar w:fldCharType="begin"/>
        </w:r>
        <w:r w:rsidR="002A3930">
          <w:rPr>
            <w:noProof/>
            <w:webHidden/>
          </w:rPr>
          <w:instrText xml:space="preserve"> PAGEREF _Toc408908716 \h </w:instrText>
        </w:r>
        <w:r w:rsidR="002A3930">
          <w:rPr>
            <w:noProof/>
            <w:webHidden/>
          </w:rPr>
        </w:r>
        <w:r w:rsidR="002A3930">
          <w:rPr>
            <w:noProof/>
            <w:webHidden/>
          </w:rPr>
          <w:fldChar w:fldCharType="separate"/>
        </w:r>
        <w:r w:rsidR="000223E8">
          <w:rPr>
            <w:noProof/>
            <w:webHidden/>
          </w:rPr>
          <w:t>25</w:t>
        </w:r>
        <w:r w:rsidR="002A3930">
          <w:rPr>
            <w:noProof/>
            <w:webHidden/>
          </w:rPr>
          <w:fldChar w:fldCharType="end"/>
        </w:r>
      </w:hyperlink>
    </w:p>
    <w:p w:rsidR="002A3930" w:rsidRDefault="0023091A">
      <w:pPr>
        <w:pStyle w:val="TOC1"/>
        <w:rPr>
          <w:rFonts w:asciiTheme="minorHAnsi" w:eastAsiaTheme="minorEastAsia" w:hAnsiTheme="minorHAnsi" w:cstheme="minorBidi"/>
          <w:b w:val="0"/>
          <w:noProof/>
          <w:color w:val="auto"/>
          <w:sz w:val="22"/>
          <w:szCs w:val="22"/>
          <w:lang w:eastAsia="en-GB"/>
        </w:rPr>
      </w:pPr>
      <w:hyperlink w:anchor="_Toc408908717" w:history="1">
        <w:r w:rsidR="002A3930" w:rsidRPr="002B26AF">
          <w:rPr>
            <w:rStyle w:val="Hyperlink"/>
            <w:noProof/>
          </w:rPr>
          <w:t>4</w:t>
        </w:r>
        <w:r w:rsidR="002A3930">
          <w:rPr>
            <w:rFonts w:asciiTheme="minorHAnsi" w:eastAsiaTheme="minorEastAsia" w:hAnsiTheme="minorHAnsi" w:cstheme="minorBidi"/>
            <w:b w:val="0"/>
            <w:noProof/>
            <w:color w:val="auto"/>
            <w:sz w:val="22"/>
            <w:szCs w:val="22"/>
            <w:lang w:eastAsia="en-GB"/>
          </w:rPr>
          <w:tab/>
        </w:r>
        <w:r w:rsidR="002A3930" w:rsidRPr="002B26AF">
          <w:rPr>
            <w:rStyle w:val="Hyperlink"/>
            <w:noProof/>
          </w:rPr>
          <w:t>Specific safeguards in different areas of protection for child-friendly justice</w:t>
        </w:r>
        <w:r w:rsidR="002A3930">
          <w:rPr>
            <w:noProof/>
            <w:webHidden/>
          </w:rPr>
          <w:tab/>
        </w:r>
        <w:r w:rsidR="002A3930">
          <w:rPr>
            <w:noProof/>
            <w:webHidden/>
          </w:rPr>
          <w:fldChar w:fldCharType="begin"/>
        </w:r>
        <w:r w:rsidR="002A3930">
          <w:rPr>
            <w:noProof/>
            <w:webHidden/>
          </w:rPr>
          <w:instrText xml:space="preserve"> PAGEREF _Toc408908717 \h </w:instrText>
        </w:r>
        <w:r w:rsidR="002A3930">
          <w:rPr>
            <w:noProof/>
            <w:webHidden/>
          </w:rPr>
        </w:r>
        <w:r w:rsidR="002A3930">
          <w:rPr>
            <w:noProof/>
            <w:webHidden/>
          </w:rPr>
          <w:fldChar w:fldCharType="separate"/>
        </w:r>
        <w:r w:rsidR="000223E8">
          <w:rPr>
            <w:noProof/>
            <w:webHidden/>
          </w:rPr>
          <w:t>28</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18" w:history="1">
        <w:r w:rsidR="002A3930" w:rsidRPr="002B26AF">
          <w:rPr>
            <w:rStyle w:val="Hyperlink"/>
            <w:noProof/>
          </w:rPr>
          <w:t>4.1</w:t>
        </w:r>
        <w:r w:rsidR="002A3930">
          <w:rPr>
            <w:rFonts w:asciiTheme="minorHAnsi" w:eastAsiaTheme="minorEastAsia" w:hAnsiTheme="minorHAnsi" w:cstheme="minorBidi"/>
            <w:noProof/>
            <w:sz w:val="22"/>
            <w:szCs w:val="22"/>
            <w:lang w:eastAsia="en-GB"/>
          </w:rPr>
          <w:tab/>
        </w:r>
        <w:r w:rsidR="002A3930" w:rsidRPr="002B26AF">
          <w:rPr>
            <w:rStyle w:val="Hyperlink"/>
            <w:noProof/>
          </w:rPr>
          <w:t>Introduction</w:t>
        </w:r>
        <w:r w:rsidR="002A3930">
          <w:rPr>
            <w:noProof/>
            <w:webHidden/>
          </w:rPr>
          <w:tab/>
        </w:r>
        <w:r w:rsidR="002A3930">
          <w:rPr>
            <w:noProof/>
            <w:webHidden/>
          </w:rPr>
          <w:fldChar w:fldCharType="begin"/>
        </w:r>
        <w:r w:rsidR="002A3930">
          <w:rPr>
            <w:noProof/>
            <w:webHidden/>
          </w:rPr>
          <w:instrText xml:space="preserve"> PAGEREF _Toc408908718 \h </w:instrText>
        </w:r>
        <w:r w:rsidR="002A3930">
          <w:rPr>
            <w:noProof/>
            <w:webHidden/>
          </w:rPr>
        </w:r>
        <w:r w:rsidR="002A3930">
          <w:rPr>
            <w:noProof/>
            <w:webHidden/>
          </w:rPr>
          <w:fldChar w:fldCharType="separate"/>
        </w:r>
        <w:r w:rsidR="000223E8">
          <w:rPr>
            <w:noProof/>
            <w:webHidden/>
          </w:rPr>
          <w:t>28</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19" w:history="1">
        <w:r w:rsidR="002A3930" w:rsidRPr="002B26AF">
          <w:rPr>
            <w:rStyle w:val="Hyperlink"/>
            <w:noProof/>
          </w:rPr>
          <w:t>4.2</w:t>
        </w:r>
        <w:r w:rsidR="002A3930">
          <w:rPr>
            <w:rFonts w:asciiTheme="minorHAnsi" w:eastAsiaTheme="minorEastAsia" w:hAnsiTheme="minorHAnsi" w:cstheme="minorBidi"/>
            <w:noProof/>
            <w:sz w:val="22"/>
            <w:szCs w:val="22"/>
            <w:lang w:eastAsia="en-GB"/>
          </w:rPr>
          <w:tab/>
        </w:r>
        <w:r w:rsidR="002A3930" w:rsidRPr="002B26AF">
          <w:rPr>
            <w:rStyle w:val="Hyperlink"/>
            <w:noProof/>
          </w:rPr>
          <w:t>Children’s access to information and advice</w:t>
        </w:r>
        <w:r w:rsidR="002A3930">
          <w:rPr>
            <w:noProof/>
            <w:webHidden/>
          </w:rPr>
          <w:tab/>
        </w:r>
        <w:r w:rsidR="002A3930">
          <w:rPr>
            <w:noProof/>
            <w:webHidden/>
          </w:rPr>
          <w:fldChar w:fldCharType="begin"/>
        </w:r>
        <w:r w:rsidR="002A3930">
          <w:rPr>
            <w:noProof/>
            <w:webHidden/>
          </w:rPr>
          <w:instrText xml:space="preserve"> PAGEREF _Toc408908719 \h </w:instrText>
        </w:r>
        <w:r w:rsidR="002A3930">
          <w:rPr>
            <w:noProof/>
            <w:webHidden/>
          </w:rPr>
        </w:r>
        <w:r w:rsidR="002A3930">
          <w:rPr>
            <w:noProof/>
            <w:webHidden/>
          </w:rPr>
          <w:fldChar w:fldCharType="separate"/>
        </w:r>
        <w:r w:rsidR="000223E8">
          <w:rPr>
            <w:noProof/>
            <w:webHidden/>
          </w:rPr>
          <w:t>28</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20" w:history="1">
        <w:r w:rsidR="002A3930" w:rsidRPr="002B26AF">
          <w:rPr>
            <w:rStyle w:val="Hyperlink"/>
            <w:noProof/>
          </w:rPr>
          <w:t>4.3</w:t>
        </w:r>
        <w:r w:rsidR="002A3930">
          <w:rPr>
            <w:rFonts w:asciiTheme="minorHAnsi" w:eastAsiaTheme="minorEastAsia" w:hAnsiTheme="minorHAnsi" w:cstheme="minorBidi"/>
            <w:noProof/>
            <w:sz w:val="22"/>
            <w:szCs w:val="22"/>
            <w:lang w:eastAsia="en-GB"/>
          </w:rPr>
          <w:tab/>
        </w:r>
        <w:r w:rsidR="002A3930" w:rsidRPr="002B26AF">
          <w:rPr>
            <w:rStyle w:val="Hyperlink"/>
            <w:noProof/>
          </w:rPr>
          <w:t>The protection of the child’s private and family life</w:t>
        </w:r>
        <w:r w:rsidR="002A3930">
          <w:rPr>
            <w:noProof/>
            <w:webHidden/>
          </w:rPr>
          <w:tab/>
        </w:r>
        <w:r w:rsidR="002A3930">
          <w:rPr>
            <w:noProof/>
            <w:webHidden/>
          </w:rPr>
          <w:fldChar w:fldCharType="begin"/>
        </w:r>
        <w:r w:rsidR="002A3930">
          <w:rPr>
            <w:noProof/>
            <w:webHidden/>
          </w:rPr>
          <w:instrText xml:space="preserve"> PAGEREF _Toc408908720 \h </w:instrText>
        </w:r>
        <w:r w:rsidR="002A3930">
          <w:rPr>
            <w:noProof/>
            <w:webHidden/>
          </w:rPr>
        </w:r>
        <w:r w:rsidR="002A3930">
          <w:rPr>
            <w:noProof/>
            <w:webHidden/>
          </w:rPr>
          <w:fldChar w:fldCharType="separate"/>
        </w:r>
        <w:r w:rsidR="000223E8">
          <w:rPr>
            <w:noProof/>
            <w:webHidden/>
          </w:rPr>
          <w:t>31</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21" w:history="1">
        <w:r w:rsidR="002A3930" w:rsidRPr="002B26AF">
          <w:rPr>
            <w:rStyle w:val="Hyperlink"/>
            <w:noProof/>
          </w:rPr>
          <w:t>4.4</w:t>
        </w:r>
        <w:r w:rsidR="002A3930">
          <w:rPr>
            <w:rFonts w:asciiTheme="minorHAnsi" w:eastAsiaTheme="minorEastAsia" w:hAnsiTheme="minorHAnsi" w:cstheme="minorBidi"/>
            <w:noProof/>
            <w:sz w:val="22"/>
            <w:szCs w:val="22"/>
            <w:lang w:eastAsia="en-GB"/>
          </w:rPr>
          <w:tab/>
        </w:r>
        <w:r w:rsidR="002A3930" w:rsidRPr="002B26AF">
          <w:rPr>
            <w:rStyle w:val="Hyperlink"/>
            <w:noProof/>
          </w:rPr>
          <w:t>The child’s right to be heard and to participate in civil and administrative judicial proceedings</w:t>
        </w:r>
        <w:r w:rsidR="002A3930">
          <w:rPr>
            <w:noProof/>
            <w:webHidden/>
          </w:rPr>
          <w:tab/>
        </w:r>
        <w:r w:rsidR="002A3930">
          <w:rPr>
            <w:noProof/>
            <w:webHidden/>
          </w:rPr>
          <w:fldChar w:fldCharType="begin"/>
        </w:r>
        <w:r w:rsidR="002A3930">
          <w:rPr>
            <w:noProof/>
            <w:webHidden/>
          </w:rPr>
          <w:instrText xml:space="preserve"> PAGEREF _Toc408908721 \h </w:instrText>
        </w:r>
        <w:r w:rsidR="002A3930">
          <w:rPr>
            <w:noProof/>
            <w:webHidden/>
          </w:rPr>
        </w:r>
        <w:r w:rsidR="002A3930">
          <w:rPr>
            <w:noProof/>
            <w:webHidden/>
          </w:rPr>
          <w:fldChar w:fldCharType="separate"/>
        </w:r>
        <w:r w:rsidR="000223E8">
          <w:rPr>
            <w:noProof/>
            <w:webHidden/>
          </w:rPr>
          <w:t>37</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22" w:history="1">
        <w:r w:rsidR="002A3930" w:rsidRPr="002B26AF">
          <w:rPr>
            <w:rStyle w:val="Hyperlink"/>
            <w:noProof/>
          </w:rPr>
          <w:t>4.5</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to protect children from harm in judicial proceedings and during interviews</w:t>
        </w:r>
        <w:r w:rsidR="002A3930">
          <w:rPr>
            <w:noProof/>
            <w:webHidden/>
          </w:rPr>
          <w:tab/>
        </w:r>
        <w:r w:rsidR="002A3930">
          <w:rPr>
            <w:noProof/>
            <w:webHidden/>
          </w:rPr>
          <w:fldChar w:fldCharType="begin"/>
        </w:r>
        <w:r w:rsidR="002A3930">
          <w:rPr>
            <w:noProof/>
            <w:webHidden/>
          </w:rPr>
          <w:instrText xml:space="preserve"> PAGEREF _Toc408908722 \h </w:instrText>
        </w:r>
        <w:r w:rsidR="002A3930">
          <w:rPr>
            <w:noProof/>
            <w:webHidden/>
          </w:rPr>
        </w:r>
        <w:r w:rsidR="002A3930">
          <w:rPr>
            <w:noProof/>
            <w:webHidden/>
          </w:rPr>
          <w:fldChar w:fldCharType="separate"/>
        </w:r>
        <w:r w:rsidR="000223E8">
          <w:rPr>
            <w:noProof/>
            <w:webHidden/>
          </w:rPr>
          <w:t>40</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23" w:history="1">
        <w:r w:rsidR="002A3930" w:rsidRPr="002B26AF">
          <w:rPr>
            <w:rStyle w:val="Hyperlink"/>
            <w:noProof/>
          </w:rPr>
          <w:t>4.5.1</w:t>
        </w:r>
        <w:r w:rsidR="002A3930">
          <w:rPr>
            <w:rFonts w:asciiTheme="minorHAnsi" w:eastAsiaTheme="minorEastAsia" w:hAnsiTheme="minorHAnsi" w:cstheme="minorBidi"/>
            <w:noProof/>
            <w:sz w:val="22"/>
            <w:szCs w:val="22"/>
            <w:lang w:eastAsia="en-GB"/>
          </w:rPr>
          <w:tab/>
        </w:r>
        <w:r w:rsidR="002A3930" w:rsidRPr="002B26AF">
          <w:rPr>
            <w:rStyle w:val="Hyperlink"/>
            <w:noProof/>
          </w:rPr>
          <w:t>Avoiding undue delay</w:t>
        </w:r>
        <w:r w:rsidR="002A3930">
          <w:rPr>
            <w:noProof/>
            <w:webHidden/>
          </w:rPr>
          <w:tab/>
        </w:r>
        <w:r w:rsidR="002A3930">
          <w:rPr>
            <w:noProof/>
            <w:webHidden/>
          </w:rPr>
          <w:fldChar w:fldCharType="begin"/>
        </w:r>
        <w:r w:rsidR="002A3930">
          <w:rPr>
            <w:noProof/>
            <w:webHidden/>
          </w:rPr>
          <w:instrText xml:space="preserve"> PAGEREF _Toc408908723 \h </w:instrText>
        </w:r>
        <w:r w:rsidR="002A3930">
          <w:rPr>
            <w:noProof/>
            <w:webHidden/>
          </w:rPr>
        </w:r>
        <w:r w:rsidR="002A3930">
          <w:rPr>
            <w:noProof/>
            <w:webHidden/>
          </w:rPr>
          <w:fldChar w:fldCharType="separate"/>
        </w:r>
        <w:r w:rsidR="000223E8">
          <w:rPr>
            <w:noProof/>
            <w:webHidden/>
          </w:rPr>
          <w:t>41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24" w:history="1">
        <w:r w:rsidR="002A3930" w:rsidRPr="002B26AF">
          <w:rPr>
            <w:rStyle w:val="Hyperlink"/>
            <w:noProof/>
          </w:rPr>
          <w:t>4.5.2</w:t>
        </w:r>
        <w:r w:rsidR="002A3930">
          <w:rPr>
            <w:rFonts w:asciiTheme="minorHAnsi" w:eastAsiaTheme="minorEastAsia" w:hAnsiTheme="minorHAnsi" w:cstheme="minorBidi"/>
            <w:noProof/>
            <w:sz w:val="22"/>
            <w:szCs w:val="22"/>
            <w:lang w:eastAsia="en-GB"/>
          </w:rPr>
          <w:tab/>
        </w:r>
        <w:r w:rsidR="002A3930" w:rsidRPr="002B26AF">
          <w:rPr>
            <w:rStyle w:val="Hyperlink"/>
            <w:noProof/>
          </w:rPr>
          <w:t>Adaptations to the court’s physical setting</w:t>
        </w:r>
        <w:r w:rsidR="002A3930">
          <w:rPr>
            <w:noProof/>
            <w:webHidden/>
          </w:rPr>
          <w:tab/>
        </w:r>
        <w:r w:rsidR="002A3930">
          <w:rPr>
            <w:noProof/>
            <w:webHidden/>
          </w:rPr>
          <w:fldChar w:fldCharType="begin"/>
        </w:r>
        <w:r w:rsidR="002A3930">
          <w:rPr>
            <w:noProof/>
            <w:webHidden/>
          </w:rPr>
          <w:instrText xml:space="preserve"> PAGEREF _Toc408908724 \h </w:instrText>
        </w:r>
        <w:r w:rsidR="002A3930">
          <w:rPr>
            <w:noProof/>
            <w:webHidden/>
          </w:rPr>
        </w:r>
        <w:r w:rsidR="002A3930">
          <w:rPr>
            <w:noProof/>
            <w:webHidden/>
          </w:rPr>
          <w:fldChar w:fldCharType="separate"/>
        </w:r>
        <w:r w:rsidR="000223E8">
          <w:rPr>
            <w:noProof/>
            <w:webHidden/>
          </w:rPr>
          <w:t>42</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25" w:history="1">
        <w:r w:rsidR="002A3930" w:rsidRPr="002B26AF">
          <w:rPr>
            <w:rStyle w:val="Hyperlink"/>
            <w:noProof/>
          </w:rPr>
          <w:t>4.5.3</w:t>
        </w:r>
        <w:r w:rsidR="002A3930">
          <w:rPr>
            <w:rFonts w:asciiTheme="minorHAnsi" w:eastAsiaTheme="minorEastAsia" w:hAnsiTheme="minorHAnsi" w:cstheme="minorBidi"/>
            <w:noProof/>
            <w:sz w:val="22"/>
            <w:szCs w:val="22"/>
            <w:lang w:eastAsia="en-GB"/>
          </w:rPr>
          <w:tab/>
        </w:r>
        <w:r w:rsidR="002A3930" w:rsidRPr="002B26AF">
          <w:rPr>
            <w:rStyle w:val="Hyperlink"/>
            <w:noProof/>
          </w:rPr>
          <w:t>Conducting interviews in a child-friendly manner</w:t>
        </w:r>
        <w:r w:rsidR="002A3930">
          <w:rPr>
            <w:noProof/>
            <w:webHidden/>
          </w:rPr>
          <w:tab/>
        </w:r>
        <w:r w:rsidR="002A3930">
          <w:rPr>
            <w:noProof/>
            <w:webHidden/>
          </w:rPr>
          <w:fldChar w:fldCharType="begin"/>
        </w:r>
        <w:r w:rsidR="002A3930">
          <w:rPr>
            <w:noProof/>
            <w:webHidden/>
          </w:rPr>
          <w:instrText xml:space="preserve"> PAGEREF _Toc408908725 \h </w:instrText>
        </w:r>
        <w:r w:rsidR="002A3930">
          <w:rPr>
            <w:noProof/>
            <w:webHidden/>
          </w:rPr>
        </w:r>
        <w:r w:rsidR="002A3930">
          <w:rPr>
            <w:noProof/>
            <w:webHidden/>
          </w:rPr>
          <w:fldChar w:fldCharType="separate"/>
        </w:r>
        <w:r w:rsidR="000223E8">
          <w:rPr>
            <w:noProof/>
            <w:webHidden/>
          </w:rPr>
          <w:t>43</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26" w:history="1">
        <w:r w:rsidR="002A3930" w:rsidRPr="002B26AF">
          <w:rPr>
            <w:rStyle w:val="Hyperlink"/>
            <w:noProof/>
          </w:rPr>
          <w:t>4.5.4</w:t>
        </w:r>
        <w:r w:rsidR="002A3930">
          <w:rPr>
            <w:rFonts w:asciiTheme="minorHAnsi" w:eastAsiaTheme="minorEastAsia" w:hAnsiTheme="minorHAnsi" w:cstheme="minorBidi"/>
            <w:noProof/>
            <w:sz w:val="22"/>
            <w:szCs w:val="22"/>
            <w:lang w:eastAsia="en-GB"/>
          </w:rPr>
          <w:tab/>
        </w:r>
        <w:r w:rsidR="002A3930" w:rsidRPr="002B26AF">
          <w:rPr>
            <w:rStyle w:val="Hyperlink"/>
            <w:noProof/>
          </w:rPr>
          <w:t>Presence of support persons and/or support services</w:t>
        </w:r>
        <w:r w:rsidR="002A3930">
          <w:rPr>
            <w:noProof/>
            <w:webHidden/>
          </w:rPr>
          <w:tab/>
        </w:r>
        <w:r w:rsidR="002A3930">
          <w:rPr>
            <w:noProof/>
            <w:webHidden/>
          </w:rPr>
          <w:fldChar w:fldCharType="begin"/>
        </w:r>
        <w:r w:rsidR="002A3930">
          <w:rPr>
            <w:noProof/>
            <w:webHidden/>
          </w:rPr>
          <w:instrText xml:space="preserve"> PAGEREF _Toc408908726 \h </w:instrText>
        </w:r>
        <w:r w:rsidR="002A3930">
          <w:rPr>
            <w:noProof/>
            <w:webHidden/>
          </w:rPr>
        </w:r>
        <w:r w:rsidR="002A3930">
          <w:rPr>
            <w:noProof/>
            <w:webHidden/>
          </w:rPr>
          <w:fldChar w:fldCharType="separate"/>
        </w:r>
        <w:r w:rsidR="000223E8">
          <w:rPr>
            <w:noProof/>
            <w:webHidden/>
          </w:rPr>
          <w:t>44</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27" w:history="1">
        <w:r w:rsidR="002A3930" w:rsidRPr="002B26AF">
          <w:rPr>
            <w:rStyle w:val="Hyperlink"/>
            <w:noProof/>
          </w:rPr>
          <w:t>4.5.5</w:t>
        </w:r>
        <w:r w:rsidR="002A3930">
          <w:rPr>
            <w:rFonts w:asciiTheme="minorHAnsi" w:eastAsiaTheme="minorEastAsia" w:hAnsiTheme="minorHAnsi" w:cstheme="minorBidi"/>
            <w:noProof/>
            <w:sz w:val="22"/>
            <w:szCs w:val="22"/>
            <w:lang w:eastAsia="en-GB"/>
          </w:rPr>
          <w:tab/>
        </w:r>
        <w:r w:rsidR="002A3930" w:rsidRPr="002B26AF">
          <w:rPr>
            <w:rStyle w:val="Hyperlink"/>
            <w:noProof/>
          </w:rPr>
          <w:t>Avoiding psychological harm to the child</w:t>
        </w:r>
        <w:r w:rsidR="002A3930">
          <w:rPr>
            <w:noProof/>
            <w:webHidden/>
          </w:rPr>
          <w:tab/>
        </w:r>
        <w:r w:rsidR="002A3930">
          <w:rPr>
            <w:noProof/>
            <w:webHidden/>
          </w:rPr>
          <w:fldChar w:fldCharType="begin"/>
        </w:r>
        <w:r w:rsidR="002A3930">
          <w:rPr>
            <w:noProof/>
            <w:webHidden/>
          </w:rPr>
          <w:instrText xml:space="preserve"> PAGEREF _Toc408908727 \h </w:instrText>
        </w:r>
        <w:r w:rsidR="002A3930">
          <w:rPr>
            <w:noProof/>
            <w:webHidden/>
          </w:rPr>
        </w:r>
        <w:r w:rsidR="002A3930">
          <w:rPr>
            <w:noProof/>
            <w:webHidden/>
          </w:rPr>
          <w:fldChar w:fldCharType="separate"/>
        </w:r>
        <w:r w:rsidR="000223E8">
          <w:rPr>
            <w:noProof/>
            <w:webHidden/>
          </w:rPr>
          <w:t>46</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28" w:history="1">
        <w:r w:rsidR="002A3930" w:rsidRPr="002B26AF">
          <w:rPr>
            <w:rStyle w:val="Hyperlink"/>
            <w:noProof/>
          </w:rPr>
          <w:t>4.5.6</w:t>
        </w:r>
        <w:r w:rsidR="002A3930">
          <w:rPr>
            <w:rFonts w:asciiTheme="minorHAnsi" w:eastAsiaTheme="minorEastAsia" w:hAnsiTheme="minorHAnsi" w:cstheme="minorBidi"/>
            <w:noProof/>
            <w:sz w:val="22"/>
            <w:szCs w:val="22"/>
            <w:lang w:eastAsia="en-GB"/>
          </w:rPr>
          <w:tab/>
        </w:r>
        <w:r w:rsidR="002A3930" w:rsidRPr="002B26AF">
          <w:rPr>
            <w:rStyle w:val="Hyperlink"/>
            <w:noProof/>
          </w:rPr>
          <w:t>Protection measures during the proceedings</w:t>
        </w:r>
        <w:r w:rsidR="002A3930">
          <w:rPr>
            <w:noProof/>
            <w:webHidden/>
          </w:rPr>
          <w:tab/>
        </w:r>
        <w:r w:rsidR="002A3930">
          <w:rPr>
            <w:noProof/>
            <w:webHidden/>
          </w:rPr>
          <w:fldChar w:fldCharType="begin"/>
        </w:r>
        <w:r w:rsidR="002A3930">
          <w:rPr>
            <w:noProof/>
            <w:webHidden/>
          </w:rPr>
          <w:instrText xml:space="preserve"> PAGEREF _Toc408908728 \h </w:instrText>
        </w:r>
        <w:r w:rsidR="002A3930">
          <w:rPr>
            <w:noProof/>
            <w:webHidden/>
          </w:rPr>
        </w:r>
        <w:r w:rsidR="002A3930">
          <w:rPr>
            <w:noProof/>
            <w:webHidden/>
          </w:rPr>
          <w:fldChar w:fldCharType="separate"/>
        </w:r>
        <w:r w:rsidR="000223E8">
          <w:rPr>
            <w:noProof/>
            <w:webHidden/>
          </w:rPr>
          <w:t>47</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29" w:history="1">
        <w:r w:rsidR="002A3930" w:rsidRPr="002B26AF">
          <w:rPr>
            <w:rStyle w:val="Hyperlink"/>
            <w:noProof/>
          </w:rPr>
          <w:t>4.6</w:t>
        </w:r>
        <w:r w:rsidR="002A3930">
          <w:rPr>
            <w:rFonts w:asciiTheme="minorHAnsi" w:eastAsiaTheme="minorEastAsia" w:hAnsiTheme="minorHAnsi" w:cstheme="minorBidi"/>
            <w:noProof/>
            <w:sz w:val="22"/>
            <w:szCs w:val="22"/>
            <w:lang w:eastAsia="en-GB"/>
          </w:rPr>
          <w:tab/>
        </w:r>
        <w:r w:rsidR="002A3930" w:rsidRPr="002B26AF">
          <w:rPr>
            <w:rStyle w:val="Hyperlink"/>
            <w:noProof/>
          </w:rPr>
          <w:t>Children’s rights to legal counsel, legal assistance and representation</w:t>
        </w:r>
        <w:r w:rsidR="002A3930">
          <w:rPr>
            <w:noProof/>
            <w:webHidden/>
          </w:rPr>
          <w:tab/>
        </w:r>
        <w:r w:rsidR="002A3930">
          <w:rPr>
            <w:noProof/>
            <w:webHidden/>
          </w:rPr>
          <w:fldChar w:fldCharType="begin"/>
        </w:r>
        <w:r w:rsidR="002A3930">
          <w:rPr>
            <w:noProof/>
            <w:webHidden/>
          </w:rPr>
          <w:instrText xml:space="preserve"> PAGEREF _Toc408908729 \h </w:instrText>
        </w:r>
        <w:r w:rsidR="002A3930">
          <w:rPr>
            <w:noProof/>
            <w:webHidden/>
          </w:rPr>
        </w:r>
        <w:r w:rsidR="002A3930">
          <w:rPr>
            <w:noProof/>
            <w:webHidden/>
          </w:rPr>
          <w:fldChar w:fldCharType="separate"/>
        </w:r>
        <w:r w:rsidR="000223E8">
          <w:rPr>
            <w:noProof/>
            <w:webHidden/>
          </w:rPr>
          <w:t>48</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0" w:history="1">
        <w:r w:rsidR="002A3930" w:rsidRPr="002B26AF">
          <w:rPr>
            <w:rStyle w:val="Hyperlink"/>
            <w:noProof/>
          </w:rPr>
          <w:t>4.6.1</w:t>
        </w:r>
        <w:r w:rsidR="002A3930">
          <w:rPr>
            <w:rFonts w:asciiTheme="minorHAnsi" w:eastAsiaTheme="minorEastAsia" w:hAnsiTheme="minorHAnsi" w:cstheme="minorBidi"/>
            <w:noProof/>
            <w:sz w:val="22"/>
            <w:szCs w:val="22"/>
            <w:lang w:eastAsia="en-GB"/>
          </w:rPr>
          <w:tab/>
        </w:r>
        <w:r w:rsidR="002A3930" w:rsidRPr="002B26AF">
          <w:rPr>
            <w:rStyle w:val="Hyperlink"/>
            <w:noProof/>
          </w:rPr>
          <w:t>Right to legal representation in the child’s own name</w:t>
        </w:r>
        <w:r w:rsidR="002A3930">
          <w:rPr>
            <w:noProof/>
            <w:webHidden/>
          </w:rPr>
          <w:tab/>
        </w:r>
        <w:r w:rsidR="002A3930">
          <w:rPr>
            <w:noProof/>
            <w:webHidden/>
          </w:rPr>
          <w:fldChar w:fldCharType="begin"/>
        </w:r>
        <w:r w:rsidR="002A3930">
          <w:rPr>
            <w:noProof/>
            <w:webHidden/>
          </w:rPr>
          <w:instrText xml:space="preserve"> PAGEREF _Toc408908730 \h </w:instrText>
        </w:r>
        <w:r w:rsidR="002A3930">
          <w:rPr>
            <w:noProof/>
            <w:webHidden/>
          </w:rPr>
        </w:r>
        <w:r w:rsidR="002A3930">
          <w:rPr>
            <w:noProof/>
            <w:webHidden/>
          </w:rPr>
          <w:fldChar w:fldCharType="separate"/>
        </w:r>
        <w:r w:rsidR="000223E8">
          <w:rPr>
            <w:noProof/>
            <w:webHidden/>
          </w:rPr>
          <w:t>48</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1" w:history="1">
        <w:r w:rsidR="002A3930" w:rsidRPr="002B26AF">
          <w:rPr>
            <w:rStyle w:val="Hyperlink"/>
            <w:noProof/>
          </w:rPr>
          <w:t>4.6.2</w:t>
        </w:r>
        <w:r w:rsidR="002A3930">
          <w:rPr>
            <w:rFonts w:asciiTheme="minorHAnsi" w:eastAsiaTheme="minorEastAsia" w:hAnsiTheme="minorHAnsi" w:cstheme="minorBidi"/>
            <w:noProof/>
            <w:sz w:val="22"/>
            <w:szCs w:val="22"/>
            <w:lang w:eastAsia="en-GB"/>
          </w:rPr>
          <w:tab/>
        </w:r>
        <w:r w:rsidR="002A3930" w:rsidRPr="002B26AF">
          <w:rPr>
            <w:rStyle w:val="Hyperlink"/>
            <w:noProof/>
          </w:rPr>
          <w:t>Right to waive the right to legal assistance</w:t>
        </w:r>
        <w:r w:rsidR="002A3930">
          <w:rPr>
            <w:noProof/>
            <w:webHidden/>
          </w:rPr>
          <w:tab/>
        </w:r>
        <w:r w:rsidR="002A3930">
          <w:rPr>
            <w:noProof/>
            <w:webHidden/>
          </w:rPr>
          <w:fldChar w:fldCharType="begin"/>
        </w:r>
        <w:r w:rsidR="002A3930">
          <w:rPr>
            <w:noProof/>
            <w:webHidden/>
          </w:rPr>
          <w:instrText xml:space="preserve"> PAGEREF _Toc408908731 \h </w:instrText>
        </w:r>
        <w:r w:rsidR="002A3930">
          <w:rPr>
            <w:noProof/>
            <w:webHidden/>
          </w:rPr>
        </w:r>
        <w:r w:rsidR="002A3930">
          <w:rPr>
            <w:noProof/>
            <w:webHidden/>
          </w:rPr>
          <w:fldChar w:fldCharType="separate"/>
        </w:r>
        <w:r w:rsidR="000223E8">
          <w:rPr>
            <w:noProof/>
            <w:webHidden/>
          </w:rPr>
          <w:t>49</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2" w:history="1">
        <w:r w:rsidR="002A3930" w:rsidRPr="002B26AF">
          <w:rPr>
            <w:rStyle w:val="Hyperlink"/>
            <w:noProof/>
          </w:rPr>
          <w:t>4.6.3</w:t>
        </w:r>
        <w:r w:rsidR="002A3930">
          <w:rPr>
            <w:rFonts w:asciiTheme="minorHAnsi" w:eastAsiaTheme="minorEastAsia" w:hAnsiTheme="minorHAnsi" w:cstheme="minorBidi"/>
            <w:noProof/>
            <w:sz w:val="22"/>
            <w:szCs w:val="22"/>
            <w:lang w:eastAsia="en-GB"/>
          </w:rPr>
          <w:tab/>
        </w:r>
        <w:r w:rsidR="002A3930" w:rsidRPr="002B26AF">
          <w:rPr>
            <w:rStyle w:val="Hyperlink"/>
            <w:noProof/>
          </w:rPr>
          <w:t>Free legal aid</w:t>
        </w:r>
        <w:r w:rsidR="002A3930">
          <w:rPr>
            <w:noProof/>
            <w:webHidden/>
          </w:rPr>
          <w:tab/>
        </w:r>
        <w:r w:rsidR="002A3930">
          <w:rPr>
            <w:noProof/>
            <w:webHidden/>
          </w:rPr>
          <w:fldChar w:fldCharType="begin"/>
        </w:r>
        <w:r w:rsidR="002A3930">
          <w:rPr>
            <w:noProof/>
            <w:webHidden/>
          </w:rPr>
          <w:instrText xml:space="preserve"> PAGEREF _Toc408908732 \h </w:instrText>
        </w:r>
        <w:r w:rsidR="002A3930">
          <w:rPr>
            <w:noProof/>
            <w:webHidden/>
          </w:rPr>
        </w:r>
        <w:r w:rsidR="002A3930">
          <w:rPr>
            <w:noProof/>
            <w:webHidden/>
          </w:rPr>
          <w:fldChar w:fldCharType="separate"/>
        </w:r>
        <w:r w:rsidR="000223E8">
          <w:rPr>
            <w:noProof/>
            <w:webHidden/>
          </w:rPr>
          <w:t>49</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3" w:history="1">
        <w:r w:rsidR="002A3930" w:rsidRPr="002B26AF">
          <w:rPr>
            <w:rStyle w:val="Hyperlink"/>
            <w:noProof/>
          </w:rPr>
          <w:t>4.6.4</w:t>
        </w:r>
        <w:r w:rsidR="002A3930">
          <w:rPr>
            <w:rFonts w:asciiTheme="minorHAnsi" w:eastAsiaTheme="minorEastAsia" w:hAnsiTheme="minorHAnsi" w:cstheme="minorBidi"/>
            <w:noProof/>
            <w:sz w:val="22"/>
            <w:szCs w:val="22"/>
            <w:lang w:eastAsia="en-GB"/>
          </w:rPr>
          <w:tab/>
        </w:r>
        <w:r w:rsidR="002A3930" w:rsidRPr="002B26AF">
          <w:rPr>
            <w:rStyle w:val="Hyperlink"/>
            <w:noProof/>
          </w:rPr>
          <w:t>Right to choose legal counsel (CivAdm152)</w:t>
        </w:r>
        <w:r w:rsidR="002A3930">
          <w:rPr>
            <w:noProof/>
            <w:webHidden/>
          </w:rPr>
          <w:tab/>
        </w:r>
        <w:r w:rsidR="002A3930">
          <w:rPr>
            <w:noProof/>
            <w:webHidden/>
          </w:rPr>
          <w:fldChar w:fldCharType="begin"/>
        </w:r>
        <w:r w:rsidR="002A3930">
          <w:rPr>
            <w:noProof/>
            <w:webHidden/>
          </w:rPr>
          <w:instrText xml:space="preserve"> PAGEREF _Toc408908733 \h </w:instrText>
        </w:r>
        <w:r w:rsidR="002A3930">
          <w:rPr>
            <w:noProof/>
            <w:webHidden/>
          </w:rPr>
        </w:r>
        <w:r w:rsidR="002A3930">
          <w:rPr>
            <w:noProof/>
            <w:webHidden/>
          </w:rPr>
          <w:fldChar w:fldCharType="separate"/>
        </w:r>
        <w:r w:rsidR="000223E8">
          <w:rPr>
            <w:noProof/>
            <w:webHidden/>
          </w:rPr>
          <w:t>50</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4" w:history="1">
        <w:r w:rsidR="002A3930" w:rsidRPr="002B26AF">
          <w:rPr>
            <w:rStyle w:val="Hyperlink"/>
            <w:noProof/>
          </w:rPr>
          <w:t>4.6.5</w:t>
        </w:r>
        <w:r w:rsidR="002A3930">
          <w:rPr>
            <w:rFonts w:asciiTheme="minorHAnsi" w:eastAsiaTheme="minorEastAsia" w:hAnsiTheme="minorHAnsi" w:cstheme="minorBidi"/>
            <w:noProof/>
            <w:sz w:val="22"/>
            <w:szCs w:val="22"/>
            <w:lang w:eastAsia="en-GB"/>
          </w:rPr>
          <w:tab/>
        </w:r>
        <w:r w:rsidR="002A3930" w:rsidRPr="002B26AF">
          <w:rPr>
            <w:rStyle w:val="Hyperlink"/>
            <w:noProof/>
          </w:rPr>
          <w:t>Guidance for lawyers representing children</w:t>
        </w:r>
        <w:r w:rsidR="002A3930">
          <w:rPr>
            <w:noProof/>
            <w:webHidden/>
          </w:rPr>
          <w:tab/>
        </w:r>
        <w:r w:rsidR="002A3930">
          <w:rPr>
            <w:noProof/>
            <w:webHidden/>
          </w:rPr>
          <w:fldChar w:fldCharType="begin"/>
        </w:r>
        <w:r w:rsidR="002A3930">
          <w:rPr>
            <w:noProof/>
            <w:webHidden/>
          </w:rPr>
          <w:instrText xml:space="preserve"> PAGEREF _Toc408908734 \h </w:instrText>
        </w:r>
        <w:r w:rsidR="002A3930">
          <w:rPr>
            <w:noProof/>
            <w:webHidden/>
          </w:rPr>
        </w:r>
        <w:r w:rsidR="002A3930">
          <w:rPr>
            <w:noProof/>
            <w:webHidden/>
          </w:rPr>
          <w:fldChar w:fldCharType="separate"/>
        </w:r>
        <w:r w:rsidR="000223E8">
          <w:rPr>
            <w:noProof/>
            <w:webHidden/>
          </w:rPr>
          <w:t>50</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5" w:history="1">
        <w:r w:rsidR="002A3930" w:rsidRPr="002B26AF">
          <w:rPr>
            <w:rStyle w:val="Hyperlink"/>
            <w:noProof/>
          </w:rPr>
          <w:t>4.6.6</w:t>
        </w:r>
        <w:r w:rsidR="002A3930">
          <w:rPr>
            <w:rFonts w:asciiTheme="minorHAnsi" w:eastAsiaTheme="minorEastAsia" w:hAnsiTheme="minorHAnsi" w:cstheme="minorBidi"/>
            <w:noProof/>
            <w:sz w:val="22"/>
            <w:szCs w:val="22"/>
            <w:lang w:eastAsia="en-GB"/>
          </w:rPr>
          <w:tab/>
        </w:r>
        <w:r w:rsidR="002A3930" w:rsidRPr="002B26AF">
          <w:rPr>
            <w:rStyle w:val="Hyperlink"/>
            <w:noProof/>
          </w:rPr>
          <w:t>Guardian ad litem or special legal representative in case of potential conflict of interest between parents and children (CivAdm154)</w:t>
        </w:r>
        <w:r w:rsidR="002A3930">
          <w:rPr>
            <w:noProof/>
            <w:webHidden/>
          </w:rPr>
          <w:tab/>
        </w:r>
        <w:r w:rsidR="002A3930">
          <w:rPr>
            <w:noProof/>
            <w:webHidden/>
          </w:rPr>
          <w:fldChar w:fldCharType="begin"/>
        </w:r>
        <w:r w:rsidR="002A3930">
          <w:rPr>
            <w:noProof/>
            <w:webHidden/>
          </w:rPr>
          <w:instrText xml:space="preserve"> PAGEREF _Toc408908735 \h </w:instrText>
        </w:r>
        <w:r w:rsidR="002A3930">
          <w:rPr>
            <w:noProof/>
            <w:webHidden/>
          </w:rPr>
        </w:r>
        <w:r w:rsidR="002A3930">
          <w:rPr>
            <w:noProof/>
            <w:webHidden/>
          </w:rPr>
          <w:fldChar w:fldCharType="separate"/>
        </w:r>
        <w:r w:rsidR="000223E8">
          <w:rPr>
            <w:noProof/>
            <w:webHidden/>
          </w:rPr>
          <w:t>51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36" w:history="1">
        <w:r w:rsidR="002A3930" w:rsidRPr="002B26AF">
          <w:rPr>
            <w:rStyle w:val="Hyperlink"/>
            <w:noProof/>
          </w:rPr>
          <w:t>4.6.7</w:t>
        </w:r>
        <w:r w:rsidR="002A3930">
          <w:rPr>
            <w:rFonts w:asciiTheme="minorHAnsi" w:eastAsiaTheme="minorEastAsia" w:hAnsiTheme="minorHAnsi" w:cstheme="minorBidi"/>
            <w:noProof/>
            <w:sz w:val="22"/>
            <w:szCs w:val="22"/>
            <w:lang w:eastAsia="en-GB"/>
          </w:rPr>
          <w:tab/>
        </w:r>
        <w:r w:rsidR="002A3930" w:rsidRPr="002B26AF">
          <w:rPr>
            <w:rStyle w:val="Hyperlink"/>
            <w:noProof/>
          </w:rPr>
          <w:t>Representation of unaccompanied and separated children in asylum and migration cases (CivAdm156)</w:t>
        </w:r>
        <w:r w:rsidR="002A3930">
          <w:rPr>
            <w:noProof/>
            <w:webHidden/>
          </w:rPr>
          <w:tab/>
        </w:r>
        <w:r w:rsidR="002A3930">
          <w:rPr>
            <w:noProof/>
            <w:webHidden/>
          </w:rPr>
          <w:fldChar w:fldCharType="begin"/>
        </w:r>
        <w:r w:rsidR="002A3930">
          <w:rPr>
            <w:noProof/>
            <w:webHidden/>
          </w:rPr>
          <w:instrText xml:space="preserve"> PAGEREF _Toc408908736 \h </w:instrText>
        </w:r>
        <w:r w:rsidR="002A3930">
          <w:rPr>
            <w:noProof/>
            <w:webHidden/>
          </w:rPr>
        </w:r>
        <w:r w:rsidR="002A3930">
          <w:rPr>
            <w:noProof/>
            <w:webHidden/>
          </w:rPr>
          <w:fldChar w:fldCharType="separate"/>
        </w:r>
        <w:r w:rsidR="000223E8">
          <w:rPr>
            <w:noProof/>
            <w:webHidden/>
          </w:rPr>
          <w:t>51</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37" w:history="1">
        <w:r w:rsidR="002A3930" w:rsidRPr="002B26AF">
          <w:rPr>
            <w:rStyle w:val="Hyperlink"/>
            <w:noProof/>
          </w:rPr>
          <w:t>4.7</w:t>
        </w:r>
        <w:r w:rsidR="002A3930">
          <w:rPr>
            <w:rFonts w:asciiTheme="minorHAnsi" w:eastAsiaTheme="minorEastAsia" w:hAnsiTheme="minorHAnsi" w:cstheme="minorBidi"/>
            <w:noProof/>
            <w:sz w:val="22"/>
            <w:szCs w:val="22"/>
            <w:lang w:eastAsia="en-GB"/>
          </w:rPr>
          <w:tab/>
        </w:r>
        <w:r w:rsidR="002A3930" w:rsidRPr="002B26AF">
          <w:rPr>
            <w:rStyle w:val="Hyperlink"/>
            <w:noProof/>
          </w:rPr>
          <w:t>Access to and facilitating alternatives to judicial proceedings for children</w:t>
        </w:r>
        <w:r w:rsidR="002A3930">
          <w:rPr>
            <w:noProof/>
            <w:webHidden/>
          </w:rPr>
          <w:tab/>
        </w:r>
        <w:r w:rsidR="002A3930">
          <w:rPr>
            <w:noProof/>
            <w:webHidden/>
          </w:rPr>
          <w:fldChar w:fldCharType="begin"/>
        </w:r>
        <w:r w:rsidR="002A3930">
          <w:rPr>
            <w:noProof/>
            <w:webHidden/>
          </w:rPr>
          <w:instrText xml:space="preserve"> PAGEREF _Toc408908737 \h </w:instrText>
        </w:r>
        <w:r w:rsidR="002A3930">
          <w:rPr>
            <w:noProof/>
            <w:webHidden/>
          </w:rPr>
        </w:r>
        <w:r w:rsidR="002A3930">
          <w:rPr>
            <w:noProof/>
            <w:webHidden/>
          </w:rPr>
          <w:fldChar w:fldCharType="separate"/>
        </w:r>
        <w:r w:rsidR="000223E8">
          <w:rPr>
            <w:noProof/>
            <w:webHidden/>
          </w:rPr>
          <w:t>52</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38" w:history="1">
        <w:r w:rsidR="002A3930" w:rsidRPr="002B26AF">
          <w:rPr>
            <w:rStyle w:val="Hyperlink"/>
            <w:noProof/>
          </w:rPr>
          <w:t>4.8</w:t>
        </w:r>
        <w:r w:rsidR="002A3930">
          <w:rPr>
            <w:rFonts w:asciiTheme="minorHAnsi" w:eastAsiaTheme="minorEastAsia" w:hAnsiTheme="minorHAnsi" w:cstheme="minorBidi"/>
            <w:noProof/>
            <w:sz w:val="22"/>
            <w:szCs w:val="22"/>
            <w:lang w:eastAsia="en-GB"/>
          </w:rPr>
          <w:tab/>
        </w:r>
        <w:r w:rsidR="002A3930" w:rsidRPr="002B26AF">
          <w:rPr>
            <w:rStyle w:val="Hyperlink"/>
            <w:noProof/>
          </w:rPr>
          <w:t>Limitations to restrictions on liberty for children</w:t>
        </w:r>
        <w:r w:rsidR="002A3930">
          <w:rPr>
            <w:noProof/>
            <w:webHidden/>
          </w:rPr>
          <w:tab/>
        </w:r>
        <w:r w:rsidR="002A3930">
          <w:rPr>
            <w:noProof/>
            <w:webHidden/>
          </w:rPr>
          <w:fldChar w:fldCharType="begin"/>
        </w:r>
        <w:r w:rsidR="002A3930">
          <w:rPr>
            <w:noProof/>
            <w:webHidden/>
          </w:rPr>
          <w:instrText xml:space="preserve"> PAGEREF _Toc408908738 \h </w:instrText>
        </w:r>
        <w:r w:rsidR="002A3930">
          <w:rPr>
            <w:noProof/>
            <w:webHidden/>
          </w:rPr>
        </w:r>
        <w:r w:rsidR="002A3930">
          <w:rPr>
            <w:noProof/>
            <w:webHidden/>
          </w:rPr>
          <w:fldChar w:fldCharType="separate"/>
        </w:r>
        <w:r w:rsidR="000223E8">
          <w:rPr>
            <w:noProof/>
            <w:webHidden/>
          </w:rPr>
          <w:t>56</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39" w:history="1">
        <w:r w:rsidR="002A3930" w:rsidRPr="002B26AF">
          <w:rPr>
            <w:rStyle w:val="Hyperlink"/>
            <w:noProof/>
          </w:rPr>
          <w:t>4.9</w:t>
        </w:r>
        <w:r w:rsidR="002A3930">
          <w:rPr>
            <w:rFonts w:asciiTheme="minorHAnsi" w:eastAsiaTheme="minorEastAsia" w:hAnsiTheme="minorHAnsi" w:cstheme="minorBidi"/>
            <w:noProof/>
            <w:sz w:val="22"/>
            <w:szCs w:val="22"/>
            <w:lang w:eastAsia="en-GB"/>
          </w:rPr>
          <w:tab/>
        </w:r>
        <w:r w:rsidR="002A3930" w:rsidRPr="002B26AF">
          <w:rPr>
            <w:rStyle w:val="Hyperlink"/>
            <w:noProof/>
          </w:rPr>
          <w:t>Providing children with legal remedies and compensation for violation of rights or failure to act</w:t>
        </w:r>
        <w:r w:rsidR="002A3930">
          <w:rPr>
            <w:noProof/>
            <w:webHidden/>
          </w:rPr>
          <w:tab/>
        </w:r>
        <w:r w:rsidR="002A3930">
          <w:rPr>
            <w:noProof/>
            <w:webHidden/>
          </w:rPr>
          <w:fldChar w:fldCharType="begin"/>
        </w:r>
        <w:r w:rsidR="002A3930">
          <w:rPr>
            <w:noProof/>
            <w:webHidden/>
          </w:rPr>
          <w:instrText xml:space="preserve"> PAGEREF _Toc408908739 \h </w:instrText>
        </w:r>
        <w:r w:rsidR="002A3930">
          <w:rPr>
            <w:noProof/>
            <w:webHidden/>
          </w:rPr>
        </w:r>
        <w:r w:rsidR="002A3930">
          <w:rPr>
            <w:noProof/>
            <w:webHidden/>
          </w:rPr>
          <w:fldChar w:fldCharType="separate"/>
        </w:r>
        <w:r w:rsidR="000223E8">
          <w:rPr>
            <w:noProof/>
            <w:webHidden/>
          </w:rPr>
          <w:t>60</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40" w:history="1">
        <w:r w:rsidR="002A3930" w:rsidRPr="002B26AF">
          <w:rPr>
            <w:rStyle w:val="Hyperlink"/>
            <w:noProof/>
          </w:rPr>
          <w:t>4.10</w:t>
        </w:r>
        <w:r w:rsidR="002A3930">
          <w:rPr>
            <w:rFonts w:asciiTheme="minorHAnsi" w:eastAsiaTheme="minorEastAsia" w:hAnsiTheme="minorHAnsi" w:cstheme="minorBidi"/>
            <w:noProof/>
            <w:sz w:val="22"/>
            <w:szCs w:val="22"/>
            <w:lang w:eastAsia="en-GB"/>
          </w:rPr>
          <w:tab/>
        </w:r>
        <w:r w:rsidR="002A3930" w:rsidRPr="002B26AF">
          <w:rPr>
            <w:rStyle w:val="Hyperlink"/>
            <w:noProof/>
          </w:rPr>
          <w:t>Offsetting the legal costs to child defendants and plaintiffs</w:t>
        </w:r>
        <w:r w:rsidR="002A3930">
          <w:rPr>
            <w:noProof/>
            <w:webHidden/>
          </w:rPr>
          <w:tab/>
        </w:r>
        <w:r w:rsidR="002A3930">
          <w:rPr>
            <w:noProof/>
            <w:webHidden/>
          </w:rPr>
          <w:fldChar w:fldCharType="begin"/>
        </w:r>
        <w:r w:rsidR="002A3930">
          <w:rPr>
            <w:noProof/>
            <w:webHidden/>
          </w:rPr>
          <w:instrText xml:space="preserve"> PAGEREF _Toc408908740 \h </w:instrText>
        </w:r>
        <w:r w:rsidR="002A3930">
          <w:rPr>
            <w:noProof/>
            <w:webHidden/>
          </w:rPr>
        </w:r>
        <w:r w:rsidR="002A3930">
          <w:rPr>
            <w:noProof/>
            <w:webHidden/>
          </w:rPr>
          <w:fldChar w:fldCharType="separate"/>
        </w:r>
        <w:r w:rsidR="000223E8">
          <w:rPr>
            <w:noProof/>
            <w:webHidden/>
          </w:rPr>
          <w:t>63</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41" w:history="1">
        <w:r w:rsidR="002A3930" w:rsidRPr="002B26AF">
          <w:rPr>
            <w:rStyle w:val="Hyperlink"/>
            <w:noProof/>
          </w:rPr>
          <w:t>4.11</w:t>
        </w:r>
        <w:r w:rsidR="002A3930">
          <w:rPr>
            <w:rFonts w:asciiTheme="minorHAnsi" w:eastAsiaTheme="minorEastAsia" w:hAnsiTheme="minorHAnsi" w:cstheme="minorBidi"/>
            <w:noProof/>
            <w:sz w:val="22"/>
            <w:szCs w:val="22"/>
            <w:lang w:eastAsia="en-GB"/>
          </w:rPr>
          <w:tab/>
        </w:r>
        <w:r w:rsidR="002A3930" w:rsidRPr="002B26AF">
          <w:rPr>
            <w:rStyle w:val="Hyperlink"/>
            <w:noProof/>
          </w:rPr>
          <w:t>Enforcement of court judgments in a child friendly manner</w:t>
        </w:r>
        <w:r w:rsidR="002A3930">
          <w:rPr>
            <w:noProof/>
            <w:webHidden/>
          </w:rPr>
          <w:tab/>
        </w:r>
        <w:r w:rsidR="002A3930">
          <w:rPr>
            <w:noProof/>
            <w:webHidden/>
          </w:rPr>
          <w:fldChar w:fldCharType="begin"/>
        </w:r>
        <w:r w:rsidR="002A3930">
          <w:rPr>
            <w:noProof/>
            <w:webHidden/>
          </w:rPr>
          <w:instrText xml:space="preserve"> PAGEREF _Toc408908741 \h </w:instrText>
        </w:r>
        <w:r w:rsidR="002A3930">
          <w:rPr>
            <w:noProof/>
            <w:webHidden/>
          </w:rPr>
        </w:r>
        <w:r w:rsidR="002A3930">
          <w:rPr>
            <w:noProof/>
            <w:webHidden/>
          </w:rPr>
          <w:fldChar w:fldCharType="separate"/>
        </w:r>
        <w:r w:rsidR="000223E8">
          <w:rPr>
            <w:noProof/>
            <w:webHidden/>
          </w:rPr>
          <w:t>64</w:t>
        </w:r>
        <w:r w:rsidR="002A3930">
          <w:rPr>
            <w:noProof/>
            <w:webHidden/>
          </w:rPr>
          <w:fldChar w:fldCharType="end"/>
        </w:r>
      </w:hyperlink>
    </w:p>
    <w:p w:rsidR="002A3930" w:rsidRDefault="0023091A">
      <w:pPr>
        <w:pStyle w:val="TOC1"/>
        <w:rPr>
          <w:rFonts w:asciiTheme="minorHAnsi" w:eastAsiaTheme="minorEastAsia" w:hAnsiTheme="minorHAnsi" w:cstheme="minorBidi"/>
          <w:b w:val="0"/>
          <w:noProof/>
          <w:color w:val="auto"/>
          <w:sz w:val="22"/>
          <w:szCs w:val="22"/>
          <w:lang w:eastAsia="en-GB"/>
        </w:rPr>
      </w:pPr>
      <w:hyperlink w:anchor="_Toc408908742" w:history="1">
        <w:r w:rsidR="002A3930" w:rsidRPr="002B26AF">
          <w:rPr>
            <w:rStyle w:val="Hyperlink"/>
            <w:noProof/>
          </w:rPr>
          <w:t>5</w:t>
        </w:r>
        <w:r w:rsidR="002A3930">
          <w:rPr>
            <w:rFonts w:asciiTheme="minorHAnsi" w:eastAsiaTheme="minorEastAsia" w:hAnsiTheme="minorHAnsi" w:cstheme="minorBidi"/>
            <w:b w:val="0"/>
            <w:noProof/>
            <w:color w:val="auto"/>
            <w:sz w:val="22"/>
            <w:szCs w:val="22"/>
            <w:lang w:eastAsia="en-GB"/>
          </w:rPr>
          <w:tab/>
        </w:r>
        <w:r w:rsidR="002A3930" w:rsidRPr="002B26AF">
          <w:rPr>
            <w:rStyle w:val="Hyperlink"/>
            <w:noProof/>
          </w:rPr>
          <w:t>Concluding observations: the frequency with which safeguards exist</w:t>
        </w:r>
        <w:r w:rsidR="002A3930">
          <w:rPr>
            <w:noProof/>
            <w:webHidden/>
          </w:rPr>
          <w:tab/>
        </w:r>
        <w:r w:rsidR="002A3930">
          <w:rPr>
            <w:noProof/>
            <w:webHidden/>
          </w:rPr>
          <w:fldChar w:fldCharType="begin"/>
        </w:r>
        <w:r w:rsidR="002A3930">
          <w:rPr>
            <w:noProof/>
            <w:webHidden/>
          </w:rPr>
          <w:instrText xml:space="preserve"> PAGEREF _Toc408908742 \h </w:instrText>
        </w:r>
        <w:r w:rsidR="002A3930">
          <w:rPr>
            <w:noProof/>
            <w:webHidden/>
          </w:rPr>
        </w:r>
        <w:r w:rsidR="002A3930">
          <w:rPr>
            <w:noProof/>
            <w:webHidden/>
          </w:rPr>
          <w:fldChar w:fldCharType="separate"/>
        </w:r>
        <w:r w:rsidR="000223E8">
          <w:rPr>
            <w:noProof/>
            <w:webHidden/>
          </w:rPr>
          <w:t>69</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43" w:history="1">
        <w:r w:rsidR="002A3930" w:rsidRPr="002B26AF">
          <w:rPr>
            <w:rStyle w:val="Hyperlink"/>
            <w:noProof/>
          </w:rPr>
          <w:t>5.1</w:t>
        </w:r>
        <w:r w:rsidR="002A3930">
          <w:rPr>
            <w:rFonts w:asciiTheme="minorHAnsi" w:eastAsiaTheme="minorEastAsia" w:hAnsiTheme="minorHAnsi" w:cstheme="minorBidi"/>
            <w:noProof/>
            <w:sz w:val="22"/>
            <w:szCs w:val="22"/>
            <w:lang w:eastAsia="en-GB"/>
          </w:rPr>
          <w:tab/>
        </w:r>
        <w:r w:rsidR="002A3930" w:rsidRPr="002B26AF">
          <w:rPr>
            <w:rStyle w:val="Hyperlink"/>
            <w:noProof/>
          </w:rPr>
          <w:t>Introduction</w:t>
        </w:r>
        <w:r w:rsidR="002A3930">
          <w:rPr>
            <w:noProof/>
            <w:webHidden/>
          </w:rPr>
          <w:tab/>
        </w:r>
        <w:r w:rsidR="002A3930">
          <w:rPr>
            <w:noProof/>
            <w:webHidden/>
          </w:rPr>
          <w:fldChar w:fldCharType="begin"/>
        </w:r>
        <w:r w:rsidR="002A3930">
          <w:rPr>
            <w:noProof/>
            <w:webHidden/>
          </w:rPr>
          <w:instrText xml:space="preserve"> PAGEREF _Toc408908743 \h </w:instrText>
        </w:r>
        <w:r w:rsidR="002A3930">
          <w:rPr>
            <w:noProof/>
            <w:webHidden/>
          </w:rPr>
        </w:r>
        <w:r w:rsidR="002A3930">
          <w:rPr>
            <w:noProof/>
            <w:webHidden/>
          </w:rPr>
          <w:fldChar w:fldCharType="separate"/>
        </w:r>
        <w:r w:rsidR="000223E8">
          <w:rPr>
            <w:noProof/>
            <w:webHidden/>
          </w:rPr>
          <w:t>69</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44" w:history="1">
        <w:r w:rsidR="002A3930" w:rsidRPr="002B26AF">
          <w:rPr>
            <w:rStyle w:val="Hyperlink"/>
            <w:noProof/>
          </w:rPr>
          <w:t>5.2</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applying to children in different roles: plaintiffs, defendants, witnesses and subjects</w:t>
        </w:r>
        <w:r w:rsidR="002A3930">
          <w:rPr>
            <w:noProof/>
            <w:webHidden/>
          </w:rPr>
          <w:tab/>
        </w:r>
        <w:r w:rsidR="002A3930">
          <w:rPr>
            <w:noProof/>
            <w:webHidden/>
          </w:rPr>
          <w:fldChar w:fldCharType="begin"/>
        </w:r>
        <w:r w:rsidR="002A3930">
          <w:rPr>
            <w:noProof/>
            <w:webHidden/>
          </w:rPr>
          <w:instrText xml:space="preserve"> PAGEREF _Toc408908744 \h </w:instrText>
        </w:r>
        <w:r w:rsidR="002A3930">
          <w:rPr>
            <w:noProof/>
            <w:webHidden/>
          </w:rPr>
        </w:r>
        <w:r w:rsidR="002A3930">
          <w:rPr>
            <w:noProof/>
            <w:webHidden/>
          </w:rPr>
          <w:fldChar w:fldCharType="separate"/>
        </w:r>
        <w:r w:rsidR="000223E8">
          <w:rPr>
            <w:noProof/>
            <w:webHidden/>
          </w:rPr>
          <w:t>69</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45" w:history="1">
        <w:r w:rsidR="002A3930" w:rsidRPr="002B26AF">
          <w:rPr>
            <w:rStyle w:val="Hyperlink"/>
            <w:noProof/>
          </w:rPr>
          <w:t>5.2.1</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most prevalent for child plaintiffs</w:t>
        </w:r>
        <w:r w:rsidR="002A3930">
          <w:rPr>
            <w:noProof/>
            <w:webHidden/>
          </w:rPr>
          <w:tab/>
        </w:r>
        <w:r w:rsidR="002A3930">
          <w:rPr>
            <w:noProof/>
            <w:webHidden/>
          </w:rPr>
          <w:fldChar w:fldCharType="begin"/>
        </w:r>
        <w:r w:rsidR="002A3930">
          <w:rPr>
            <w:noProof/>
            <w:webHidden/>
          </w:rPr>
          <w:instrText xml:space="preserve"> PAGEREF _Toc408908745 \h </w:instrText>
        </w:r>
        <w:r w:rsidR="002A3930">
          <w:rPr>
            <w:noProof/>
            <w:webHidden/>
          </w:rPr>
        </w:r>
        <w:r w:rsidR="002A3930">
          <w:rPr>
            <w:noProof/>
            <w:webHidden/>
          </w:rPr>
          <w:fldChar w:fldCharType="separate"/>
        </w:r>
        <w:r w:rsidR="000223E8">
          <w:rPr>
            <w:noProof/>
            <w:webHidden/>
          </w:rPr>
          <w:t>70</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46" w:history="1">
        <w:r w:rsidR="002A3930" w:rsidRPr="002B26AF">
          <w:rPr>
            <w:rStyle w:val="Hyperlink"/>
            <w:noProof/>
          </w:rPr>
          <w:t>5.2.2</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uncommon for child plaintiffs</w:t>
        </w:r>
        <w:r w:rsidR="002A3930">
          <w:rPr>
            <w:noProof/>
            <w:webHidden/>
          </w:rPr>
          <w:tab/>
        </w:r>
        <w:r w:rsidR="002A3930">
          <w:rPr>
            <w:noProof/>
            <w:webHidden/>
          </w:rPr>
          <w:fldChar w:fldCharType="begin"/>
        </w:r>
        <w:r w:rsidR="002A3930">
          <w:rPr>
            <w:noProof/>
            <w:webHidden/>
          </w:rPr>
          <w:instrText xml:space="preserve"> PAGEREF _Toc408908746 \h </w:instrText>
        </w:r>
        <w:r w:rsidR="002A3930">
          <w:rPr>
            <w:noProof/>
            <w:webHidden/>
          </w:rPr>
        </w:r>
        <w:r w:rsidR="002A3930">
          <w:rPr>
            <w:noProof/>
            <w:webHidden/>
          </w:rPr>
          <w:fldChar w:fldCharType="separate"/>
        </w:r>
        <w:r w:rsidR="000223E8">
          <w:rPr>
            <w:noProof/>
            <w:webHidden/>
          </w:rPr>
          <w:t>71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47" w:history="1">
        <w:r w:rsidR="002A3930" w:rsidRPr="002B26AF">
          <w:rPr>
            <w:rStyle w:val="Hyperlink"/>
            <w:noProof/>
          </w:rPr>
          <w:t>5.2.3</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most prevalent for child defendants</w:t>
        </w:r>
        <w:r w:rsidR="002A3930">
          <w:rPr>
            <w:noProof/>
            <w:webHidden/>
          </w:rPr>
          <w:tab/>
        </w:r>
        <w:r w:rsidR="002A3930">
          <w:rPr>
            <w:noProof/>
            <w:webHidden/>
          </w:rPr>
          <w:fldChar w:fldCharType="begin"/>
        </w:r>
        <w:r w:rsidR="002A3930">
          <w:rPr>
            <w:noProof/>
            <w:webHidden/>
          </w:rPr>
          <w:instrText xml:space="preserve"> PAGEREF _Toc408908747 \h </w:instrText>
        </w:r>
        <w:r w:rsidR="002A3930">
          <w:rPr>
            <w:noProof/>
            <w:webHidden/>
          </w:rPr>
        </w:r>
        <w:r w:rsidR="002A3930">
          <w:rPr>
            <w:noProof/>
            <w:webHidden/>
          </w:rPr>
          <w:fldChar w:fldCharType="separate"/>
        </w:r>
        <w:r w:rsidR="000223E8">
          <w:rPr>
            <w:noProof/>
            <w:webHidden/>
          </w:rPr>
          <w:t>71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48" w:history="1">
        <w:r w:rsidR="002A3930" w:rsidRPr="002B26AF">
          <w:rPr>
            <w:rStyle w:val="Hyperlink"/>
            <w:noProof/>
          </w:rPr>
          <w:t>5.2.4</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uncommon for child defendants</w:t>
        </w:r>
        <w:r w:rsidR="002A3930">
          <w:rPr>
            <w:noProof/>
            <w:webHidden/>
          </w:rPr>
          <w:tab/>
        </w:r>
        <w:r w:rsidR="002A3930">
          <w:rPr>
            <w:noProof/>
            <w:webHidden/>
          </w:rPr>
          <w:fldChar w:fldCharType="begin"/>
        </w:r>
        <w:r w:rsidR="002A3930">
          <w:rPr>
            <w:noProof/>
            <w:webHidden/>
          </w:rPr>
          <w:instrText xml:space="preserve"> PAGEREF _Toc408908748 \h </w:instrText>
        </w:r>
        <w:r w:rsidR="002A3930">
          <w:rPr>
            <w:noProof/>
            <w:webHidden/>
          </w:rPr>
        </w:r>
        <w:r w:rsidR="002A3930">
          <w:rPr>
            <w:noProof/>
            <w:webHidden/>
          </w:rPr>
          <w:fldChar w:fldCharType="separate"/>
        </w:r>
        <w:r w:rsidR="000223E8">
          <w:rPr>
            <w:noProof/>
            <w:webHidden/>
          </w:rPr>
          <w:t>72</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49" w:history="1">
        <w:r w:rsidR="002A3930" w:rsidRPr="002B26AF">
          <w:rPr>
            <w:rStyle w:val="Hyperlink"/>
            <w:noProof/>
          </w:rPr>
          <w:t>5.2.5</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most prevalent for child witnesses</w:t>
        </w:r>
        <w:r w:rsidR="002A3930">
          <w:rPr>
            <w:noProof/>
            <w:webHidden/>
          </w:rPr>
          <w:tab/>
        </w:r>
        <w:r w:rsidR="002A3930">
          <w:rPr>
            <w:noProof/>
            <w:webHidden/>
          </w:rPr>
          <w:fldChar w:fldCharType="begin"/>
        </w:r>
        <w:r w:rsidR="002A3930">
          <w:rPr>
            <w:noProof/>
            <w:webHidden/>
          </w:rPr>
          <w:instrText xml:space="preserve"> PAGEREF _Toc408908749 \h </w:instrText>
        </w:r>
        <w:r w:rsidR="002A3930">
          <w:rPr>
            <w:noProof/>
            <w:webHidden/>
          </w:rPr>
        </w:r>
        <w:r w:rsidR="002A3930">
          <w:rPr>
            <w:noProof/>
            <w:webHidden/>
          </w:rPr>
          <w:fldChar w:fldCharType="separate"/>
        </w:r>
        <w:r w:rsidR="000223E8">
          <w:rPr>
            <w:noProof/>
            <w:webHidden/>
          </w:rPr>
          <w:t>72</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0" w:history="1">
        <w:r w:rsidR="002A3930" w:rsidRPr="002B26AF">
          <w:rPr>
            <w:rStyle w:val="Hyperlink"/>
            <w:noProof/>
          </w:rPr>
          <w:t>5.2.6</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uncommon for child witnesses</w:t>
        </w:r>
        <w:r w:rsidR="002A3930">
          <w:rPr>
            <w:noProof/>
            <w:webHidden/>
          </w:rPr>
          <w:tab/>
        </w:r>
        <w:r w:rsidR="002A3930">
          <w:rPr>
            <w:noProof/>
            <w:webHidden/>
          </w:rPr>
          <w:fldChar w:fldCharType="begin"/>
        </w:r>
        <w:r w:rsidR="002A3930">
          <w:rPr>
            <w:noProof/>
            <w:webHidden/>
          </w:rPr>
          <w:instrText xml:space="preserve"> PAGEREF _Toc408908750 \h </w:instrText>
        </w:r>
        <w:r w:rsidR="002A3930">
          <w:rPr>
            <w:noProof/>
            <w:webHidden/>
          </w:rPr>
        </w:r>
        <w:r w:rsidR="002A3930">
          <w:rPr>
            <w:noProof/>
            <w:webHidden/>
          </w:rPr>
          <w:fldChar w:fldCharType="separate"/>
        </w:r>
        <w:r w:rsidR="000223E8">
          <w:rPr>
            <w:noProof/>
            <w:webHidden/>
          </w:rPr>
          <w:t>73</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1" w:history="1">
        <w:r w:rsidR="002A3930" w:rsidRPr="002B26AF">
          <w:rPr>
            <w:rStyle w:val="Hyperlink"/>
            <w:noProof/>
          </w:rPr>
          <w:t>5.2.7</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most prevalent for child subjects</w:t>
        </w:r>
        <w:r w:rsidR="002A3930">
          <w:rPr>
            <w:noProof/>
            <w:webHidden/>
          </w:rPr>
          <w:tab/>
        </w:r>
        <w:r w:rsidR="002A3930">
          <w:rPr>
            <w:noProof/>
            <w:webHidden/>
          </w:rPr>
          <w:fldChar w:fldCharType="begin"/>
        </w:r>
        <w:r w:rsidR="002A3930">
          <w:rPr>
            <w:noProof/>
            <w:webHidden/>
          </w:rPr>
          <w:instrText xml:space="preserve"> PAGEREF _Toc408908751 \h </w:instrText>
        </w:r>
        <w:r w:rsidR="002A3930">
          <w:rPr>
            <w:noProof/>
            <w:webHidden/>
          </w:rPr>
        </w:r>
        <w:r w:rsidR="002A3930">
          <w:rPr>
            <w:noProof/>
            <w:webHidden/>
          </w:rPr>
          <w:fldChar w:fldCharType="separate"/>
        </w:r>
        <w:r w:rsidR="000223E8">
          <w:rPr>
            <w:noProof/>
            <w:webHidden/>
          </w:rPr>
          <w:t>74</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2" w:history="1">
        <w:r w:rsidR="002A3930" w:rsidRPr="002B26AF">
          <w:rPr>
            <w:rStyle w:val="Hyperlink"/>
            <w:noProof/>
          </w:rPr>
          <w:t>5.2.8</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that are uncommon for child subjects</w:t>
        </w:r>
        <w:r w:rsidR="002A3930">
          <w:rPr>
            <w:noProof/>
            <w:webHidden/>
          </w:rPr>
          <w:tab/>
        </w:r>
        <w:r w:rsidR="002A3930">
          <w:rPr>
            <w:noProof/>
            <w:webHidden/>
          </w:rPr>
          <w:fldChar w:fldCharType="begin"/>
        </w:r>
        <w:r w:rsidR="002A3930">
          <w:rPr>
            <w:noProof/>
            <w:webHidden/>
          </w:rPr>
          <w:instrText xml:space="preserve"> PAGEREF _Toc408908752 \h </w:instrText>
        </w:r>
        <w:r w:rsidR="002A3930">
          <w:rPr>
            <w:noProof/>
            <w:webHidden/>
          </w:rPr>
        </w:r>
        <w:r w:rsidR="002A3930">
          <w:rPr>
            <w:noProof/>
            <w:webHidden/>
          </w:rPr>
          <w:fldChar w:fldCharType="separate"/>
        </w:r>
        <w:r w:rsidR="000223E8">
          <w:rPr>
            <w:noProof/>
            <w:webHidden/>
          </w:rPr>
          <w:t>74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53" w:history="1">
        <w:r w:rsidR="002A3930" w:rsidRPr="002B26AF">
          <w:rPr>
            <w:rStyle w:val="Hyperlink"/>
            <w:noProof/>
          </w:rPr>
          <w:t>5.3</w:t>
        </w:r>
        <w:r w:rsidR="002A3930">
          <w:rPr>
            <w:rFonts w:asciiTheme="minorHAnsi" w:eastAsiaTheme="minorEastAsia" w:hAnsiTheme="minorHAnsi" w:cstheme="minorBidi"/>
            <w:noProof/>
            <w:sz w:val="22"/>
            <w:szCs w:val="22"/>
            <w:lang w:eastAsia="en-GB"/>
          </w:rPr>
          <w:tab/>
        </w:r>
        <w:r w:rsidR="002A3930" w:rsidRPr="002B26AF">
          <w:rPr>
            <w:rStyle w:val="Hyperlink"/>
            <w:noProof/>
          </w:rPr>
          <w:t>Safeguards applying to children in different areas of law</w:t>
        </w:r>
        <w:r w:rsidR="002A3930">
          <w:rPr>
            <w:noProof/>
            <w:webHidden/>
          </w:rPr>
          <w:tab/>
        </w:r>
        <w:r w:rsidR="002A3930">
          <w:rPr>
            <w:noProof/>
            <w:webHidden/>
          </w:rPr>
          <w:fldChar w:fldCharType="begin"/>
        </w:r>
        <w:r w:rsidR="002A3930">
          <w:rPr>
            <w:noProof/>
            <w:webHidden/>
          </w:rPr>
          <w:instrText xml:space="preserve"> PAGEREF _Toc408908753 \h </w:instrText>
        </w:r>
        <w:r w:rsidR="002A3930">
          <w:rPr>
            <w:noProof/>
            <w:webHidden/>
          </w:rPr>
        </w:r>
        <w:r w:rsidR="002A3930">
          <w:rPr>
            <w:noProof/>
            <w:webHidden/>
          </w:rPr>
          <w:fldChar w:fldCharType="separate"/>
        </w:r>
        <w:r w:rsidR="000223E8">
          <w:rPr>
            <w:noProof/>
            <w:webHidden/>
          </w:rPr>
          <w:t>75</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4" w:history="1">
        <w:r w:rsidR="002A3930" w:rsidRPr="002B26AF">
          <w:rPr>
            <w:rStyle w:val="Hyperlink"/>
            <w:rFonts w:eastAsia="Calibri"/>
            <w:noProof/>
          </w:rPr>
          <w:t>5.3.1</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Placement In Care</w:t>
        </w:r>
        <w:r w:rsidR="002A3930">
          <w:rPr>
            <w:noProof/>
            <w:webHidden/>
          </w:rPr>
          <w:tab/>
        </w:r>
        <w:r w:rsidR="002A3930">
          <w:rPr>
            <w:noProof/>
            <w:webHidden/>
          </w:rPr>
          <w:fldChar w:fldCharType="begin"/>
        </w:r>
        <w:r w:rsidR="002A3930">
          <w:rPr>
            <w:noProof/>
            <w:webHidden/>
          </w:rPr>
          <w:instrText xml:space="preserve"> PAGEREF _Toc408908754 \h </w:instrText>
        </w:r>
        <w:r w:rsidR="002A3930">
          <w:rPr>
            <w:noProof/>
            <w:webHidden/>
          </w:rPr>
        </w:r>
        <w:r w:rsidR="002A3930">
          <w:rPr>
            <w:noProof/>
            <w:webHidden/>
          </w:rPr>
          <w:fldChar w:fldCharType="separate"/>
        </w:r>
        <w:r w:rsidR="000223E8">
          <w:rPr>
            <w:noProof/>
            <w:webHidden/>
          </w:rPr>
          <w:t>75</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5" w:history="1">
        <w:r w:rsidR="002A3930" w:rsidRPr="002B26AF">
          <w:rPr>
            <w:rStyle w:val="Hyperlink"/>
            <w:rFonts w:eastAsia="Calibri"/>
            <w:noProof/>
          </w:rPr>
          <w:t>5.3.2</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Family Law</w:t>
        </w:r>
        <w:r w:rsidR="002A3930">
          <w:rPr>
            <w:noProof/>
            <w:webHidden/>
          </w:rPr>
          <w:tab/>
        </w:r>
        <w:r w:rsidR="002A3930">
          <w:rPr>
            <w:noProof/>
            <w:webHidden/>
          </w:rPr>
          <w:fldChar w:fldCharType="begin"/>
        </w:r>
        <w:r w:rsidR="002A3930">
          <w:rPr>
            <w:noProof/>
            <w:webHidden/>
          </w:rPr>
          <w:instrText xml:space="preserve"> PAGEREF _Toc408908755 \h </w:instrText>
        </w:r>
        <w:r w:rsidR="002A3930">
          <w:rPr>
            <w:noProof/>
            <w:webHidden/>
          </w:rPr>
        </w:r>
        <w:r w:rsidR="002A3930">
          <w:rPr>
            <w:noProof/>
            <w:webHidden/>
          </w:rPr>
          <w:fldChar w:fldCharType="separate"/>
        </w:r>
        <w:r w:rsidR="000223E8">
          <w:rPr>
            <w:noProof/>
            <w:webHidden/>
          </w:rPr>
          <w:t>76</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6" w:history="1">
        <w:r w:rsidR="002A3930" w:rsidRPr="002B26AF">
          <w:rPr>
            <w:rStyle w:val="Hyperlink"/>
            <w:rFonts w:eastAsia="Calibri"/>
            <w:noProof/>
          </w:rPr>
          <w:t>5.3.3</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Migration Law</w:t>
        </w:r>
        <w:r w:rsidR="002A3930">
          <w:rPr>
            <w:noProof/>
            <w:webHidden/>
          </w:rPr>
          <w:tab/>
        </w:r>
        <w:r w:rsidR="002A3930">
          <w:rPr>
            <w:noProof/>
            <w:webHidden/>
          </w:rPr>
          <w:fldChar w:fldCharType="begin"/>
        </w:r>
        <w:r w:rsidR="002A3930">
          <w:rPr>
            <w:noProof/>
            <w:webHidden/>
          </w:rPr>
          <w:instrText xml:space="preserve"> PAGEREF _Toc408908756 \h </w:instrText>
        </w:r>
        <w:r w:rsidR="002A3930">
          <w:rPr>
            <w:noProof/>
            <w:webHidden/>
          </w:rPr>
        </w:r>
        <w:r w:rsidR="002A3930">
          <w:rPr>
            <w:noProof/>
            <w:webHidden/>
          </w:rPr>
          <w:fldChar w:fldCharType="separate"/>
        </w:r>
        <w:r w:rsidR="000223E8">
          <w:rPr>
            <w:noProof/>
            <w:webHidden/>
          </w:rPr>
          <w:t>78</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7" w:history="1">
        <w:r w:rsidR="002A3930" w:rsidRPr="002B26AF">
          <w:rPr>
            <w:rStyle w:val="Hyperlink"/>
            <w:rFonts w:eastAsia="Calibri"/>
            <w:noProof/>
          </w:rPr>
          <w:t>5.3.4</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Asylum Law</w:t>
        </w:r>
        <w:r w:rsidR="002A3930">
          <w:rPr>
            <w:noProof/>
            <w:webHidden/>
          </w:rPr>
          <w:tab/>
        </w:r>
        <w:r w:rsidR="002A3930">
          <w:rPr>
            <w:noProof/>
            <w:webHidden/>
          </w:rPr>
          <w:fldChar w:fldCharType="begin"/>
        </w:r>
        <w:r w:rsidR="002A3930">
          <w:rPr>
            <w:noProof/>
            <w:webHidden/>
          </w:rPr>
          <w:instrText xml:space="preserve"> PAGEREF _Toc408908757 \h </w:instrText>
        </w:r>
        <w:r w:rsidR="002A3930">
          <w:rPr>
            <w:noProof/>
            <w:webHidden/>
          </w:rPr>
        </w:r>
        <w:r w:rsidR="002A3930">
          <w:rPr>
            <w:noProof/>
            <w:webHidden/>
          </w:rPr>
          <w:fldChar w:fldCharType="separate"/>
        </w:r>
        <w:r w:rsidR="000223E8">
          <w:rPr>
            <w:noProof/>
            <w:webHidden/>
          </w:rPr>
          <w:t>79</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8" w:history="1">
        <w:r w:rsidR="002A3930" w:rsidRPr="002B26AF">
          <w:rPr>
            <w:rStyle w:val="Hyperlink"/>
            <w:rFonts w:eastAsia="Calibri"/>
            <w:noProof/>
          </w:rPr>
          <w:t>5.3.5</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Health Law</w:t>
        </w:r>
        <w:r w:rsidR="002A3930">
          <w:rPr>
            <w:noProof/>
            <w:webHidden/>
          </w:rPr>
          <w:tab/>
        </w:r>
        <w:r w:rsidR="002A3930">
          <w:rPr>
            <w:noProof/>
            <w:webHidden/>
          </w:rPr>
          <w:fldChar w:fldCharType="begin"/>
        </w:r>
        <w:r w:rsidR="002A3930">
          <w:rPr>
            <w:noProof/>
            <w:webHidden/>
          </w:rPr>
          <w:instrText xml:space="preserve"> PAGEREF _Toc408908758 \h </w:instrText>
        </w:r>
        <w:r w:rsidR="002A3930">
          <w:rPr>
            <w:noProof/>
            <w:webHidden/>
          </w:rPr>
        </w:r>
        <w:r w:rsidR="002A3930">
          <w:rPr>
            <w:noProof/>
            <w:webHidden/>
          </w:rPr>
          <w:fldChar w:fldCharType="separate"/>
        </w:r>
        <w:r w:rsidR="000223E8">
          <w:rPr>
            <w:noProof/>
            <w:webHidden/>
          </w:rPr>
          <w:t>80</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59" w:history="1">
        <w:r w:rsidR="002A3930" w:rsidRPr="002B26AF">
          <w:rPr>
            <w:rStyle w:val="Hyperlink"/>
            <w:rFonts w:eastAsia="Calibri"/>
            <w:noProof/>
          </w:rPr>
          <w:t>5.3.6</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Administrative Sanctions</w:t>
        </w:r>
        <w:r w:rsidR="002A3930">
          <w:rPr>
            <w:noProof/>
            <w:webHidden/>
          </w:rPr>
          <w:tab/>
        </w:r>
        <w:r w:rsidR="002A3930">
          <w:rPr>
            <w:noProof/>
            <w:webHidden/>
          </w:rPr>
          <w:fldChar w:fldCharType="begin"/>
        </w:r>
        <w:r w:rsidR="002A3930">
          <w:rPr>
            <w:noProof/>
            <w:webHidden/>
          </w:rPr>
          <w:instrText xml:space="preserve"> PAGEREF _Toc408908759 \h </w:instrText>
        </w:r>
        <w:r w:rsidR="002A3930">
          <w:rPr>
            <w:noProof/>
            <w:webHidden/>
          </w:rPr>
        </w:r>
        <w:r w:rsidR="002A3930">
          <w:rPr>
            <w:noProof/>
            <w:webHidden/>
          </w:rPr>
          <w:fldChar w:fldCharType="separate"/>
        </w:r>
        <w:r w:rsidR="000223E8">
          <w:rPr>
            <w:noProof/>
            <w:webHidden/>
          </w:rPr>
          <w:t>81</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60" w:history="1">
        <w:r w:rsidR="002A3930" w:rsidRPr="002B26AF">
          <w:rPr>
            <w:rStyle w:val="Hyperlink"/>
            <w:rFonts w:eastAsia="Calibri"/>
            <w:noProof/>
          </w:rPr>
          <w:t>5.3.7</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Education Law</w:t>
        </w:r>
        <w:r w:rsidR="002A3930">
          <w:rPr>
            <w:noProof/>
            <w:webHidden/>
          </w:rPr>
          <w:tab/>
        </w:r>
        <w:r w:rsidR="002A3930">
          <w:rPr>
            <w:noProof/>
            <w:webHidden/>
          </w:rPr>
          <w:fldChar w:fldCharType="begin"/>
        </w:r>
        <w:r w:rsidR="002A3930">
          <w:rPr>
            <w:noProof/>
            <w:webHidden/>
          </w:rPr>
          <w:instrText xml:space="preserve"> PAGEREF _Toc408908760 \h </w:instrText>
        </w:r>
        <w:r w:rsidR="002A3930">
          <w:rPr>
            <w:noProof/>
            <w:webHidden/>
          </w:rPr>
        </w:r>
        <w:r w:rsidR="002A3930">
          <w:rPr>
            <w:noProof/>
            <w:webHidden/>
          </w:rPr>
          <w:fldChar w:fldCharType="separate"/>
        </w:r>
        <w:r w:rsidR="000223E8">
          <w:rPr>
            <w:noProof/>
            <w:webHidden/>
          </w:rPr>
          <w:t>82</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61" w:history="1">
        <w:r w:rsidR="002A3930" w:rsidRPr="002B26AF">
          <w:rPr>
            <w:rStyle w:val="Hyperlink"/>
            <w:rFonts w:eastAsia="Calibri"/>
            <w:noProof/>
          </w:rPr>
          <w:t>5.3.8</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noProof/>
          </w:rPr>
          <w:t>Employment Law</w:t>
        </w:r>
        <w:r w:rsidR="002A3930">
          <w:rPr>
            <w:noProof/>
            <w:webHidden/>
          </w:rPr>
          <w:tab/>
        </w:r>
        <w:r w:rsidR="002A3930">
          <w:rPr>
            <w:noProof/>
            <w:webHidden/>
          </w:rPr>
          <w:fldChar w:fldCharType="begin"/>
        </w:r>
        <w:r w:rsidR="002A3930">
          <w:rPr>
            <w:noProof/>
            <w:webHidden/>
          </w:rPr>
          <w:instrText xml:space="preserve"> PAGEREF _Toc408908761 \h </w:instrText>
        </w:r>
        <w:r w:rsidR="002A3930">
          <w:rPr>
            <w:noProof/>
            <w:webHidden/>
          </w:rPr>
        </w:r>
        <w:r w:rsidR="002A3930">
          <w:rPr>
            <w:noProof/>
            <w:webHidden/>
          </w:rPr>
          <w:fldChar w:fldCharType="separate"/>
        </w:r>
        <w:r w:rsidR="000223E8">
          <w:rPr>
            <w:noProof/>
            <w:webHidden/>
          </w:rPr>
          <w:t>83</w:t>
        </w:r>
        <w:r w:rsidR="002A3930">
          <w:rPr>
            <w:noProof/>
            <w:webHidden/>
          </w:rPr>
          <w:fldChar w:fldCharType="end"/>
        </w:r>
      </w:hyperlink>
    </w:p>
    <w:p w:rsidR="002A3930" w:rsidRDefault="0023091A">
      <w:pPr>
        <w:pStyle w:val="TOC6"/>
        <w:tabs>
          <w:tab w:val="left" w:pos="1600"/>
        </w:tabs>
        <w:rPr>
          <w:rFonts w:asciiTheme="minorHAnsi" w:eastAsiaTheme="minorEastAsia" w:hAnsiTheme="minorHAnsi" w:cstheme="minorBidi"/>
          <w:noProof/>
          <w:sz w:val="22"/>
          <w:szCs w:val="22"/>
          <w:lang w:eastAsia="en-GB"/>
        </w:rPr>
      </w:pPr>
      <w:hyperlink w:anchor="_Toc408908762" w:history="1">
        <w:r w:rsidR="002A3930" w:rsidRPr="002B26AF">
          <w:rPr>
            <w:rStyle w:val="Hyperlink"/>
            <w:rFonts w:eastAsia="Calibri" w:cs="Arial"/>
            <w:noProof/>
          </w:rPr>
          <w:t>5.3.9</w:t>
        </w:r>
        <w:r w:rsidR="002A3930">
          <w:rPr>
            <w:rFonts w:asciiTheme="minorHAnsi" w:eastAsiaTheme="minorEastAsia" w:hAnsiTheme="minorHAnsi" w:cstheme="minorBidi"/>
            <w:noProof/>
            <w:sz w:val="22"/>
            <w:szCs w:val="22"/>
            <w:lang w:eastAsia="en-GB"/>
          </w:rPr>
          <w:tab/>
        </w:r>
        <w:r w:rsidR="002A3930" w:rsidRPr="002B26AF">
          <w:rPr>
            <w:rStyle w:val="Hyperlink"/>
            <w:rFonts w:eastAsia="Calibri" w:cs="Arial"/>
            <w:noProof/>
          </w:rPr>
          <w:t>Offences Committed Below MACR</w:t>
        </w:r>
        <w:r w:rsidR="002A3930">
          <w:rPr>
            <w:noProof/>
            <w:webHidden/>
          </w:rPr>
          <w:tab/>
        </w:r>
        <w:r w:rsidR="002A3930">
          <w:rPr>
            <w:noProof/>
            <w:webHidden/>
          </w:rPr>
          <w:fldChar w:fldCharType="begin"/>
        </w:r>
        <w:r w:rsidR="002A3930">
          <w:rPr>
            <w:noProof/>
            <w:webHidden/>
          </w:rPr>
          <w:instrText xml:space="preserve"> PAGEREF _Toc408908762 \h </w:instrText>
        </w:r>
        <w:r w:rsidR="002A3930">
          <w:rPr>
            <w:noProof/>
            <w:webHidden/>
          </w:rPr>
        </w:r>
        <w:r w:rsidR="002A3930">
          <w:rPr>
            <w:noProof/>
            <w:webHidden/>
          </w:rPr>
          <w:fldChar w:fldCharType="separate"/>
        </w:r>
        <w:r w:rsidR="000223E8">
          <w:rPr>
            <w:noProof/>
            <w:webHidden/>
          </w:rPr>
          <w:t>84</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63" w:history="1">
        <w:r w:rsidR="002A3930" w:rsidRPr="002B26AF">
          <w:rPr>
            <w:rStyle w:val="Hyperlink"/>
            <w:rFonts w:eastAsia="Times New Roman"/>
            <w:noProof/>
          </w:rPr>
          <w:t>5.4</w:t>
        </w:r>
        <w:r w:rsidR="002A3930">
          <w:rPr>
            <w:rFonts w:asciiTheme="minorHAnsi" w:eastAsiaTheme="minorEastAsia" w:hAnsiTheme="minorHAnsi" w:cstheme="minorBidi"/>
            <w:noProof/>
            <w:sz w:val="22"/>
            <w:szCs w:val="22"/>
            <w:lang w:eastAsia="en-GB"/>
          </w:rPr>
          <w:tab/>
        </w:r>
        <w:r w:rsidR="002A3930" w:rsidRPr="002B26AF">
          <w:rPr>
            <w:rStyle w:val="Hyperlink"/>
            <w:rFonts w:eastAsia="Times New Roman"/>
            <w:noProof/>
          </w:rPr>
          <w:t>The prevalence of safeguards for children in each area of protection</w:t>
        </w:r>
        <w:r w:rsidR="002A3930">
          <w:rPr>
            <w:noProof/>
            <w:webHidden/>
          </w:rPr>
          <w:tab/>
        </w:r>
        <w:r w:rsidR="002A3930">
          <w:rPr>
            <w:noProof/>
            <w:webHidden/>
          </w:rPr>
          <w:fldChar w:fldCharType="begin"/>
        </w:r>
        <w:r w:rsidR="002A3930">
          <w:rPr>
            <w:noProof/>
            <w:webHidden/>
          </w:rPr>
          <w:instrText xml:space="preserve"> PAGEREF _Toc408908763 \h </w:instrText>
        </w:r>
        <w:r w:rsidR="002A3930">
          <w:rPr>
            <w:noProof/>
            <w:webHidden/>
          </w:rPr>
        </w:r>
        <w:r w:rsidR="002A3930">
          <w:rPr>
            <w:noProof/>
            <w:webHidden/>
          </w:rPr>
          <w:fldChar w:fldCharType="separate"/>
        </w:r>
        <w:r w:rsidR="000223E8">
          <w:rPr>
            <w:noProof/>
            <w:webHidden/>
          </w:rPr>
          <w:t>85</w:t>
        </w:r>
        <w:r w:rsidR="002A3930">
          <w:rPr>
            <w:noProof/>
            <w:webHidden/>
          </w:rPr>
          <w:fldChar w:fldCharType="end"/>
        </w:r>
      </w:hyperlink>
    </w:p>
    <w:p w:rsidR="002A3930" w:rsidRDefault="0023091A">
      <w:pPr>
        <w:pStyle w:val="TOC3"/>
        <w:rPr>
          <w:rFonts w:asciiTheme="minorHAnsi" w:eastAsiaTheme="minorEastAsia" w:hAnsiTheme="minorHAnsi" w:cstheme="minorBidi"/>
          <w:noProof/>
          <w:sz w:val="22"/>
          <w:szCs w:val="22"/>
          <w:lang w:eastAsia="en-GB"/>
        </w:rPr>
      </w:pPr>
      <w:hyperlink w:anchor="_Toc408908764" w:history="1">
        <w:r w:rsidR="002A3930" w:rsidRPr="002B26AF">
          <w:rPr>
            <w:rStyle w:val="Hyperlink"/>
            <w:rFonts w:eastAsia="Times New Roman"/>
            <w:noProof/>
          </w:rPr>
          <w:t>5.5</w:t>
        </w:r>
        <w:r w:rsidR="002A3930">
          <w:rPr>
            <w:rFonts w:asciiTheme="minorHAnsi" w:eastAsiaTheme="minorEastAsia" w:hAnsiTheme="minorHAnsi" w:cstheme="minorBidi"/>
            <w:noProof/>
            <w:sz w:val="22"/>
            <w:szCs w:val="22"/>
            <w:lang w:eastAsia="en-GB"/>
          </w:rPr>
          <w:tab/>
        </w:r>
        <w:r w:rsidR="002A3930" w:rsidRPr="002B26AF">
          <w:rPr>
            <w:rStyle w:val="Hyperlink"/>
            <w:rFonts w:eastAsia="Times New Roman"/>
            <w:noProof/>
          </w:rPr>
          <w:t>The frequency of safeguards for children in each jurisdiction</w:t>
        </w:r>
        <w:r w:rsidR="002A3930">
          <w:rPr>
            <w:noProof/>
            <w:webHidden/>
          </w:rPr>
          <w:tab/>
        </w:r>
        <w:r w:rsidR="002A3930">
          <w:rPr>
            <w:noProof/>
            <w:webHidden/>
          </w:rPr>
          <w:fldChar w:fldCharType="begin"/>
        </w:r>
        <w:r w:rsidR="002A3930">
          <w:rPr>
            <w:noProof/>
            <w:webHidden/>
          </w:rPr>
          <w:instrText xml:space="preserve"> PAGEREF _Toc408908764 \h </w:instrText>
        </w:r>
        <w:r w:rsidR="002A3930">
          <w:rPr>
            <w:noProof/>
            <w:webHidden/>
          </w:rPr>
        </w:r>
        <w:r w:rsidR="002A3930">
          <w:rPr>
            <w:noProof/>
            <w:webHidden/>
          </w:rPr>
          <w:fldChar w:fldCharType="separate"/>
        </w:r>
        <w:r w:rsidR="000223E8">
          <w:rPr>
            <w:noProof/>
            <w:webHidden/>
          </w:rPr>
          <w:t>91</w:t>
        </w:r>
        <w:r w:rsidR="002A3930">
          <w:rPr>
            <w:noProof/>
            <w:webHidden/>
          </w:rPr>
          <w:fldChar w:fldCharType="end"/>
        </w:r>
      </w:hyperlink>
    </w:p>
    <w:p w:rsidR="002A3930" w:rsidRDefault="0023091A">
      <w:pPr>
        <w:pStyle w:val="TOC2"/>
        <w:rPr>
          <w:rFonts w:asciiTheme="minorHAnsi" w:eastAsiaTheme="minorEastAsia" w:hAnsiTheme="minorHAnsi" w:cstheme="minorBidi"/>
          <w:color w:val="auto"/>
          <w:sz w:val="22"/>
          <w:szCs w:val="22"/>
          <w:lang w:eastAsia="en-GB"/>
        </w:rPr>
      </w:pPr>
      <w:hyperlink w:anchor="_Toc408908765" w:history="1">
        <w:r w:rsidR="002A3930" w:rsidRPr="002B26AF">
          <w:rPr>
            <w:rStyle w:val="Hyperlink"/>
          </w:rPr>
          <w:t>Annex 1</w:t>
        </w:r>
        <w:r w:rsidR="002A3930">
          <w:rPr>
            <w:rFonts w:asciiTheme="minorHAnsi" w:eastAsiaTheme="minorEastAsia" w:hAnsiTheme="minorHAnsi" w:cstheme="minorBidi"/>
            <w:color w:val="auto"/>
            <w:sz w:val="22"/>
            <w:szCs w:val="22"/>
            <w:lang w:eastAsia="en-GB"/>
          </w:rPr>
          <w:tab/>
        </w:r>
        <w:r w:rsidR="002A3930" w:rsidRPr="002B26AF">
          <w:rPr>
            <w:rStyle w:val="Hyperlink"/>
          </w:rPr>
          <w:t>List of abbreviations of EU Member States</w:t>
        </w:r>
        <w:r w:rsidR="002A3930">
          <w:rPr>
            <w:webHidden/>
          </w:rPr>
          <w:tab/>
        </w:r>
        <w:r w:rsidR="002A3930">
          <w:rPr>
            <w:webHidden/>
          </w:rPr>
          <w:fldChar w:fldCharType="begin"/>
        </w:r>
        <w:r w:rsidR="002A3930">
          <w:rPr>
            <w:webHidden/>
          </w:rPr>
          <w:instrText xml:space="preserve"> PAGEREF _Toc408908765 \h </w:instrText>
        </w:r>
        <w:r w:rsidR="002A3930">
          <w:rPr>
            <w:webHidden/>
          </w:rPr>
        </w:r>
        <w:r w:rsidR="002A3930">
          <w:rPr>
            <w:webHidden/>
          </w:rPr>
          <w:fldChar w:fldCharType="separate"/>
        </w:r>
        <w:r w:rsidR="000223E8">
          <w:rPr>
            <w:webHidden/>
          </w:rPr>
          <w:t>94</w:t>
        </w:r>
        <w:r w:rsidR="002A3930">
          <w:rPr>
            <w:webHidden/>
          </w:rPr>
          <w:fldChar w:fldCharType="end"/>
        </w:r>
      </w:hyperlink>
    </w:p>
    <w:p w:rsidR="002A3930" w:rsidRDefault="0023091A">
      <w:pPr>
        <w:pStyle w:val="TOC2"/>
        <w:rPr>
          <w:rFonts w:asciiTheme="minorHAnsi" w:eastAsiaTheme="minorEastAsia" w:hAnsiTheme="minorHAnsi" w:cstheme="minorBidi"/>
          <w:color w:val="auto"/>
          <w:sz w:val="22"/>
          <w:szCs w:val="22"/>
          <w:lang w:eastAsia="en-GB"/>
        </w:rPr>
      </w:pPr>
      <w:hyperlink w:anchor="_Toc408908766" w:history="1">
        <w:r w:rsidR="002A3930" w:rsidRPr="002B26AF">
          <w:rPr>
            <w:rStyle w:val="Hyperlink"/>
          </w:rPr>
          <w:t>Annex 2</w:t>
        </w:r>
        <w:r w:rsidR="002A3930">
          <w:rPr>
            <w:rFonts w:asciiTheme="minorHAnsi" w:eastAsiaTheme="minorEastAsia" w:hAnsiTheme="minorHAnsi" w:cstheme="minorBidi"/>
            <w:color w:val="auto"/>
            <w:sz w:val="22"/>
            <w:szCs w:val="22"/>
            <w:lang w:eastAsia="en-GB"/>
          </w:rPr>
          <w:tab/>
        </w:r>
        <w:r w:rsidR="002A3930" w:rsidRPr="002B26AF">
          <w:rPr>
            <w:rStyle w:val="Hyperlink"/>
          </w:rPr>
          <w:t>Data on the scale of the affected population</w:t>
        </w:r>
        <w:r w:rsidR="002A3930">
          <w:rPr>
            <w:webHidden/>
          </w:rPr>
          <w:tab/>
        </w:r>
        <w:r w:rsidR="002A3930">
          <w:rPr>
            <w:webHidden/>
          </w:rPr>
          <w:fldChar w:fldCharType="begin"/>
        </w:r>
        <w:r w:rsidR="002A3930">
          <w:rPr>
            <w:webHidden/>
          </w:rPr>
          <w:instrText xml:space="preserve"> PAGEREF _Toc408908766 \h </w:instrText>
        </w:r>
        <w:r w:rsidR="002A3930">
          <w:rPr>
            <w:webHidden/>
          </w:rPr>
        </w:r>
        <w:r w:rsidR="002A3930">
          <w:rPr>
            <w:webHidden/>
          </w:rPr>
          <w:fldChar w:fldCharType="separate"/>
        </w:r>
        <w:r w:rsidR="000223E8">
          <w:rPr>
            <w:webHidden/>
          </w:rPr>
          <w:t>95</w:t>
        </w:r>
        <w:r w:rsidR="002A3930">
          <w:rPr>
            <w:webHidden/>
          </w:rPr>
          <w:fldChar w:fldCharType="end"/>
        </w:r>
      </w:hyperlink>
    </w:p>
    <w:p w:rsidR="002A3930" w:rsidRDefault="0023091A">
      <w:pPr>
        <w:pStyle w:val="TOC2"/>
        <w:rPr>
          <w:rFonts w:asciiTheme="minorHAnsi" w:eastAsiaTheme="minorEastAsia" w:hAnsiTheme="minorHAnsi" w:cstheme="minorBidi"/>
          <w:color w:val="auto"/>
          <w:sz w:val="22"/>
          <w:szCs w:val="22"/>
          <w:lang w:eastAsia="en-GB"/>
        </w:rPr>
      </w:pPr>
      <w:hyperlink w:anchor="_Toc408908767" w:history="1">
        <w:r w:rsidR="002A3930" w:rsidRPr="002B26AF">
          <w:rPr>
            <w:rStyle w:val="Hyperlink"/>
          </w:rPr>
          <w:t>Annex 3</w:t>
        </w:r>
        <w:r w:rsidR="002A3930">
          <w:rPr>
            <w:rFonts w:asciiTheme="minorHAnsi" w:eastAsiaTheme="minorEastAsia" w:hAnsiTheme="minorHAnsi" w:cstheme="minorBidi"/>
            <w:color w:val="auto"/>
            <w:sz w:val="22"/>
            <w:szCs w:val="22"/>
            <w:lang w:eastAsia="en-GB"/>
          </w:rPr>
          <w:tab/>
        </w:r>
        <w:r w:rsidR="002A3930" w:rsidRPr="002B26AF">
          <w:rPr>
            <w:rStyle w:val="Hyperlink"/>
          </w:rPr>
          <w:t>Tables accompanying Section 3</w:t>
        </w:r>
        <w:r w:rsidR="002A3930">
          <w:rPr>
            <w:webHidden/>
          </w:rPr>
          <w:tab/>
        </w:r>
        <w:r w:rsidR="002A3930">
          <w:rPr>
            <w:webHidden/>
          </w:rPr>
          <w:fldChar w:fldCharType="begin"/>
        </w:r>
        <w:r w:rsidR="002A3930">
          <w:rPr>
            <w:webHidden/>
          </w:rPr>
          <w:instrText xml:space="preserve"> PAGEREF _Toc408908767 \h </w:instrText>
        </w:r>
        <w:r w:rsidR="002A3930">
          <w:rPr>
            <w:webHidden/>
          </w:rPr>
        </w:r>
        <w:r w:rsidR="002A3930">
          <w:rPr>
            <w:webHidden/>
          </w:rPr>
          <w:fldChar w:fldCharType="separate"/>
        </w:r>
        <w:r w:rsidR="000223E8">
          <w:rPr>
            <w:webHidden/>
          </w:rPr>
          <w:t>106</w:t>
        </w:r>
        <w:r w:rsidR="002A3930">
          <w:rPr>
            <w:webHidden/>
          </w:rPr>
          <w:fldChar w:fldCharType="end"/>
        </w:r>
      </w:hyperlink>
    </w:p>
    <w:p w:rsidR="002A3930" w:rsidRDefault="0023091A">
      <w:pPr>
        <w:pStyle w:val="TOC2"/>
        <w:rPr>
          <w:rFonts w:asciiTheme="minorHAnsi" w:eastAsiaTheme="minorEastAsia" w:hAnsiTheme="minorHAnsi" w:cstheme="minorBidi"/>
          <w:color w:val="auto"/>
          <w:sz w:val="22"/>
          <w:szCs w:val="22"/>
          <w:lang w:eastAsia="en-GB"/>
        </w:rPr>
      </w:pPr>
      <w:hyperlink w:anchor="_Toc408908768" w:history="1">
        <w:r w:rsidR="002A3930" w:rsidRPr="002B26AF">
          <w:rPr>
            <w:rStyle w:val="Hyperlink"/>
          </w:rPr>
          <w:t>Annex 4</w:t>
        </w:r>
        <w:r w:rsidR="002A3930">
          <w:rPr>
            <w:rFonts w:asciiTheme="minorHAnsi" w:eastAsiaTheme="minorEastAsia" w:hAnsiTheme="minorHAnsi" w:cstheme="minorBidi"/>
            <w:color w:val="auto"/>
            <w:sz w:val="22"/>
            <w:szCs w:val="22"/>
            <w:lang w:eastAsia="en-GB"/>
          </w:rPr>
          <w:tab/>
        </w:r>
        <w:r w:rsidR="002A3930" w:rsidRPr="002B26AF">
          <w:rPr>
            <w:rStyle w:val="Hyperlink"/>
          </w:rPr>
          <w:t>Tables accompanying Section 4</w:t>
        </w:r>
        <w:r w:rsidR="002A3930">
          <w:rPr>
            <w:webHidden/>
          </w:rPr>
          <w:tab/>
        </w:r>
        <w:r w:rsidR="002A3930">
          <w:rPr>
            <w:webHidden/>
          </w:rPr>
          <w:fldChar w:fldCharType="begin"/>
        </w:r>
        <w:r w:rsidR="002A3930">
          <w:rPr>
            <w:webHidden/>
          </w:rPr>
          <w:instrText xml:space="preserve"> PAGEREF _Toc408908768 \h </w:instrText>
        </w:r>
        <w:r w:rsidR="002A3930">
          <w:rPr>
            <w:webHidden/>
          </w:rPr>
        </w:r>
        <w:r w:rsidR="002A3930">
          <w:rPr>
            <w:webHidden/>
          </w:rPr>
          <w:fldChar w:fldCharType="separate"/>
        </w:r>
        <w:r w:rsidR="000223E8">
          <w:rPr>
            <w:webHidden/>
          </w:rPr>
          <w:t>130</w:t>
        </w:r>
        <w:r w:rsidR="002A3930">
          <w:rPr>
            <w:webHidden/>
          </w:rPr>
          <w:fldChar w:fldCharType="end"/>
        </w:r>
      </w:hyperlink>
    </w:p>
    <w:p w:rsidR="00A07B81" w:rsidRPr="00546996" w:rsidRDefault="00A07B81" w:rsidP="00A07B81">
      <w:pPr>
        <w:rPr>
          <w:rFonts w:cs="Arial"/>
          <w:szCs w:val="20"/>
        </w:rPr>
      </w:pPr>
      <w:r w:rsidRPr="00546996">
        <w:rPr>
          <w:rFonts w:cs="Arial"/>
          <w:szCs w:val="20"/>
        </w:rPr>
        <w:lastRenderedPageBreak/>
        <w:fldChar w:fldCharType="end"/>
      </w:r>
    </w:p>
    <w:p w:rsidR="00A07B81" w:rsidRPr="00546996" w:rsidRDefault="00A07B81" w:rsidP="00A07B81">
      <w:pPr>
        <w:keepNext/>
        <w:keepLines/>
        <w:spacing w:before="0" w:line="260" w:lineRule="atLeast"/>
        <w:outlineLvl w:val="1"/>
        <w:rPr>
          <w:rFonts w:eastAsiaTheme="majorEastAsia" w:cs="Arial"/>
          <w:b/>
          <w:bCs/>
          <w:color w:val="0067AC"/>
          <w:szCs w:val="20"/>
        </w:rPr>
      </w:pPr>
      <w:bookmarkStart w:id="10" w:name="TableOfTables"/>
      <w:bookmarkEnd w:id="9"/>
      <w:r w:rsidRPr="00546996">
        <w:rPr>
          <w:rFonts w:eastAsiaTheme="majorEastAsia" w:cs="Arial"/>
          <w:b/>
          <w:bCs/>
          <w:color w:val="0067AC"/>
          <w:szCs w:val="20"/>
        </w:rPr>
        <w:t>Table of tables</w:t>
      </w:r>
    </w:p>
    <w:p w:rsidR="002A3930" w:rsidRDefault="00A07B81">
      <w:pPr>
        <w:pStyle w:val="TOC8"/>
        <w:tabs>
          <w:tab w:val="right" w:leader="dot" w:pos="9061"/>
        </w:tabs>
        <w:rPr>
          <w:rFonts w:asciiTheme="minorHAnsi" w:eastAsiaTheme="minorEastAsia" w:hAnsiTheme="minorHAnsi" w:cstheme="minorBidi"/>
          <w:noProof/>
          <w:sz w:val="22"/>
          <w:szCs w:val="22"/>
          <w:lang w:eastAsia="en-GB"/>
        </w:rPr>
      </w:pPr>
      <w:r w:rsidRPr="00546996">
        <w:rPr>
          <w:rFonts w:ascii="Arial" w:hAnsi="Arial" w:cs="Arial"/>
          <w:szCs w:val="20"/>
        </w:rPr>
        <w:fldChar w:fldCharType="begin"/>
      </w:r>
      <w:r w:rsidRPr="00546996">
        <w:rPr>
          <w:rFonts w:ascii="Arial" w:hAnsi="Arial" w:cs="Arial"/>
          <w:szCs w:val="20"/>
        </w:rPr>
        <w:instrText xml:space="preserve"> TOC \h \z \t "Table,8,TableLeft,8,AnnexTable,8,ESTable,8,ESTableLeft,8,TableSimpleNo,8" </w:instrText>
      </w:r>
      <w:r w:rsidRPr="00546996">
        <w:rPr>
          <w:rFonts w:ascii="Arial" w:hAnsi="Arial" w:cs="Arial"/>
          <w:szCs w:val="20"/>
        </w:rPr>
        <w:fldChar w:fldCharType="separate"/>
      </w:r>
      <w:hyperlink w:anchor="_Toc408908615" w:history="1">
        <w:r w:rsidR="002A3930" w:rsidRPr="00AF132F">
          <w:rPr>
            <w:rStyle w:val="Hyperlink"/>
            <w:noProof/>
          </w:rPr>
          <w:t>Table 2.1</w:t>
        </w:r>
        <w:r w:rsidR="002A3930">
          <w:rPr>
            <w:rFonts w:asciiTheme="minorHAnsi" w:eastAsiaTheme="minorEastAsia" w:hAnsiTheme="minorHAnsi" w:cstheme="minorBidi"/>
            <w:noProof/>
            <w:sz w:val="22"/>
            <w:szCs w:val="22"/>
            <w:lang w:eastAsia="en-GB"/>
          </w:rPr>
          <w:tab/>
        </w:r>
        <w:r w:rsidR="002A3930" w:rsidRPr="00AF132F">
          <w:rPr>
            <w:rStyle w:val="Hyperlink"/>
            <w:noProof/>
          </w:rPr>
          <w:t>Summary of number of children involved in civil and administrative process</w:t>
        </w:r>
        <w:r w:rsidR="002A3930">
          <w:rPr>
            <w:noProof/>
            <w:webHidden/>
          </w:rPr>
          <w:tab/>
        </w:r>
        <w:r w:rsidR="002A3930">
          <w:rPr>
            <w:noProof/>
            <w:webHidden/>
          </w:rPr>
          <w:fldChar w:fldCharType="begin"/>
        </w:r>
        <w:r w:rsidR="002A3930">
          <w:rPr>
            <w:noProof/>
            <w:webHidden/>
          </w:rPr>
          <w:instrText xml:space="preserve"> PAGEREF _Toc408908615 \h </w:instrText>
        </w:r>
        <w:r w:rsidR="002A3930">
          <w:rPr>
            <w:noProof/>
            <w:webHidden/>
          </w:rPr>
        </w:r>
        <w:r w:rsidR="002A3930">
          <w:rPr>
            <w:noProof/>
            <w:webHidden/>
          </w:rPr>
          <w:fldChar w:fldCharType="separate"/>
        </w:r>
        <w:r w:rsidR="000223E8">
          <w:rPr>
            <w:noProof/>
            <w:webHidden/>
          </w:rPr>
          <w:t>7</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16" w:history="1">
        <w:r w:rsidR="002A3930" w:rsidRPr="00AF132F">
          <w:rPr>
            <w:rStyle w:val="Hyperlink"/>
            <w:noProof/>
          </w:rPr>
          <w:t>Table 3.1</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discretionary powers on the part of a judge or court to grant dispensation as to the minimum age of procedural capacity (nine jurisdictions)</w:t>
        </w:r>
        <w:r w:rsidR="002A3930">
          <w:rPr>
            <w:noProof/>
            <w:webHidden/>
          </w:rPr>
          <w:tab/>
        </w:r>
        <w:r w:rsidR="002A3930">
          <w:rPr>
            <w:noProof/>
            <w:webHidden/>
          </w:rPr>
          <w:fldChar w:fldCharType="begin"/>
        </w:r>
        <w:r w:rsidR="002A3930">
          <w:rPr>
            <w:noProof/>
            <w:webHidden/>
          </w:rPr>
          <w:instrText xml:space="preserve"> PAGEREF _Toc408908616 \h </w:instrText>
        </w:r>
        <w:r w:rsidR="002A3930">
          <w:rPr>
            <w:noProof/>
            <w:webHidden/>
          </w:rPr>
        </w:r>
        <w:r w:rsidR="002A3930">
          <w:rPr>
            <w:noProof/>
            <w:webHidden/>
          </w:rPr>
          <w:fldChar w:fldCharType="separate"/>
        </w:r>
        <w:r w:rsidR="000223E8">
          <w:rPr>
            <w:noProof/>
            <w:webHidden/>
          </w:rPr>
          <w:t>14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17" w:history="1">
        <w:r w:rsidR="002A3930" w:rsidRPr="00AF132F">
          <w:rPr>
            <w:rStyle w:val="Hyperlink"/>
            <w:noProof/>
          </w:rPr>
          <w:t>Table 5.1</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plaintiffs existing in more than 24 jurisdictions</w:t>
        </w:r>
        <w:r w:rsidR="002A3930">
          <w:rPr>
            <w:noProof/>
            <w:webHidden/>
          </w:rPr>
          <w:tab/>
        </w:r>
        <w:r w:rsidR="002A3930">
          <w:rPr>
            <w:noProof/>
            <w:webHidden/>
          </w:rPr>
          <w:fldChar w:fldCharType="begin"/>
        </w:r>
        <w:r w:rsidR="002A3930">
          <w:rPr>
            <w:noProof/>
            <w:webHidden/>
          </w:rPr>
          <w:instrText xml:space="preserve"> PAGEREF _Toc408908617 \h </w:instrText>
        </w:r>
        <w:r w:rsidR="002A3930">
          <w:rPr>
            <w:noProof/>
            <w:webHidden/>
          </w:rPr>
        </w:r>
        <w:r w:rsidR="002A3930">
          <w:rPr>
            <w:noProof/>
            <w:webHidden/>
          </w:rPr>
          <w:fldChar w:fldCharType="separate"/>
        </w:r>
        <w:r w:rsidR="000223E8">
          <w:rPr>
            <w:noProof/>
            <w:webHidden/>
          </w:rPr>
          <w:t>70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18" w:history="1">
        <w:r w:rsidR="002A3930" w:rsidRPr="00AF132F">
          <w:rPr>
            <w:rStyle w:val="Hyperlink"/>
            <w:noProof/>
          </w:rPr>
          <w:t>Table 5.2</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plaintiffs existing in less than six jurisdictions</w:t>
        </w:r>
        <w:r w:rsidR="002A3930">
          <w:rPr>
            <w:noProof/>
            <w:webHidden/>
          </w:rPr>
          <w:tab/>
        </w:r>
        <w:r w:rsidR="002A3930">
          <w:rPr>
            <w:noProof/>
            <w:webHidden/>
          </w:rPr>
          <w:fldChar w:fldCharType="begin"/>
        </w:r>
        <w:r w:rsidR="002A3930">
          <w:rPr>
            <w:noProof/>
            <w:webHidden/>
          </w:rPr>
          <w:instrText xml:space="preserve"> PAGEREF _Toc408908618 \h </w:instrText>
        </w:r>
        <w:r w:rsidR="002A3930">
          <w:rPr>
            <w:noProof/>
            <w:webHidden/>
          </w:rPr>
        </w:r>
        <w:r w:rsidR="002A3930">
          <w:rPr>
            <w:noProof/>
            <w:webHidden/>
          </w:rPr>
          <w:fldChar w:fldCharType="separate"/>
        </w:r>
        <w:r w:rsidR="000223E8">
          <w:rPr>
            <w:noProof/>
            <w:webHidden/>
          </w:rPr>
          <w:t>71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19" w:history="1">
        <w:r w:rsidR="002A3930" w:rsidRPr="00AF132F">
          <w:rPr>
            <w:rStyle w:val="Hyperlink"/>
            <w:noProof/>
          </w:rPr>
          <w:t>Table 5.3</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defendants existing in more than 24 jurisdictions</w:t>
        </w:r>
        <w:r w:rsidR="002A3930">
          <w:rPr>
            <w:noProof/>
            <w:webHidden/>
          </w:rPr>
          <w:tab/>
        </w:r>
        <w:r w:rsidR="002A3930">
          <w:rPr>
            <w:noProof/>
            <w:webHidden/>
          </w:rPr>
          <w:fldChar w:fldCharType="begin"/>
        </w:r>
        <w:r w:rsidR="002A3930">
          <w:rPr>
            <w:noProof/>
            <w:webHidden/>
          </w:rPr>
          <w:instrText xml:space="preserve"> PAGEREF _Toc408908619 \h </w:instrText>
        </w:r>
        <w:r w:rsidR="002A3930">
          <w:rPr>
            <w:noProof/>
            <w:webHidden/>
          </w:rPr>
        </w:r>
        <w:r w:rsidR="002A3930">
          <w:rPr>
            <w:noProof/>
            <w:webHidden/>
          </w:rPr>
          <w:fldChar w:fldCharType="separate"/>
        </w:r>
        <w:r w:rsidR="000223E8">
          <w:rPr>
            <w:noProof/>
            <w:webHidden/>
          </w:rPr>
          <w:t>71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0" w:history="1">
        <w:r w:rsidR="002A3930" w:rsidRPr="00AF132F">
          <w:rPr>
            <w:rStyle w:val="Hyperlink"/>
            <w:noProof/>
          </w:rPr>
          <w:t>Table 5.4</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defendants existing in less than six jurisdictions</w:t>
        </w:r>
        <w:r w:rsidR="002A3930">
          <w:rPr>
            <w:noProof/>
            <w:webHidden/>
          </w:rPr>
          <w:tab/>
        </w:r>
        <w:r w:rsidR="002A3930">
          <w:rPr>
            <w:noProof/>
            <w:webHidden/>
          </w:rPr>
          <w:fldChar w:fldCharType="begin"/>
        </w:r>
        <w:r w:rsidR="002A3930">
          <w:rPr>
            <w:noProof/>
            <w:webHidden/>
          </w:rPr>
          <w:instrText xml:space="preserve"> PAGEREF _Toc408908620 \h </w:instrText>
        </w:r>
        <w:r w:rsidR="002A3930">
          <w:rPr>
            <w:noProof/>
            <w:webHidden/>
          </w:rPr>
        </w:r>
        <w:r w:rsidR="002A3930">
          <w:rPr>
            <w:noProof/>
            <w:webHidden/>
          </w:rPr>
          <w:fldChar w:fldCharType="separate"/>
        </w:r>
        <w:r w:rsidR="000223E8">
          <w:rPr>
            <w:noProof/>
            <w:webHidden/>
          </w:rPr>
          <w:t>72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1" w:history="1">
        <w:r w:rsidR="002A3930" w:rsidRPr="00AF132F">
          <w:rPr>
            <w:rStyle w:val="Hyperlink"/>
            <w:noProof/>
          </w:rPr>
          <w:t>Table 5.5</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witnesses existing in more than 24 jurisdictions</w:t>
        </w:r>
        <w:r w:rsidR="002A3930">
          <w:rPr>
            <w:noProof/>
            <w:webHidden/>
          </w:rPr>
          <w:tab/>
        </w:r>
        <w:r w:rsidR="002A3930">
          <w:rPr>
            <w:noProof/>
            <w:webHidden/>
          </w:rPr>
          <w:fldChar w:fldCharType="begin"/>
        </w:r>
        <w:r w:rsidR="002A3930">
          <w:rPr>
            <w:noProof/>
            <w:webHidden/>
          </w:rPr>
          <w:instrText xml:space="preserve"> PAGEREF _Toc408908621 \h </w:instrText>
        </w:r>
        <w:r w:rsidR="002A3930">
          <w:rPr>
            <w:noProof/>
            <w:webHidden/>
          </w:rPr>
        </w:r>
        <w:r w:rsidR="002A3930">
          <w:rPr>
            <w:noProof/>
            <w:webHidden/>
          </w:rPr>
          <w:fldChar w:fldCharType="separate"/>
        </w:r>
        <w:r w:rsidR="000223E8">
          <w:rPr>
            <w:noProof/>
            <w:webHidden/>
          </w:rPr>
          <w:t>73</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2" w:history="1">
        <w:r w:rsidR="002A3930" w:rsidRPr="00AF132F">
          <w:rPr>
            <w:rStyle w:val="Hyperlink"/>
            <w:noProof/>
          </w:rPr>
          <w:t>Table 5.6</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witnesses existing in less than six jurisdictions</w:t>
        </w:r>
        <w:r w:rsidR="002A3930">
          <w:rPr>
            <w:noProof/>
            <w:webHidden/>
          </w:rPr>
          <w:tab/>
        </w:r>
        <w:r w:rsidR="002A3930">
          <w:rPr>
            <w:noProof/>
            <w:webHidden/>
          </w:rPr>
          <w:fldChar w:fldCharType="begin"/>
        </w:r>
        <w:r w:rsidR="002A3930">
          <w:rPr>
            <w:noProof/>
            <w:webHidden/>
          </w:rPr>
          <w:instrText xml:space="preserve"> PAGEREF _Toc408908622 \h </w:instrText>
        </w:r>
        <w:r w:rsidR="002A3930">
          <w:rPr>
            <w:noProof/>
            <w:webHidden/>
          </w:rPr>
        </w:r>
        <w:r w:rsidR="002A3930">
          <w:rPr>
            <w:noProof/>
            <w:webHidden/>
          </w:rPr>
          <w:fldChar w:fldCharType="separate"/>
        </w:r>
        <w:r w:rsidR="000223E8">
          <w:rPr>
            <w:noProof/>
            <w:webHidden/>
          </w:rPr>
          <w:t>73</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3" w:history="1">
        <w:r w:rsidR="002A3930" w:rsidRPr="00AF132F">
          <w:rPr>
            <w:rStyle w:val="Hyperlink"/>
            <w:noProof/>
          </w:rPr>
          <w:t>Table 5.7</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subjects existing in more than 24 jurisdictions</w:t>
        </w:r>
        <w:r w:rsidR="002A3930">
          <w:rPr>
            <w:noProof/>
            <w:webHidden/>
          </w:rPr>
          <w:tab/>
        </w:r>
        <w:r w:rsidR="002A3930">
          <w:rPr>
            <w:noProof/>
            <w:webHidden/>
          </w:rPr>
          <w:fldChar w:fldCharType="begin"/>
        </w:r>
        <w:r w:rsidR="002A3930">
          <w:rPr>
            <w:noProof/>
            <w:webHidden/>
          </w:rPr>
          <w:instrText xml:space="preserve"> PAGEREF _Toc408908623 \h </w:instrText>
        </w:r>
        <w:r w:rsidR="002A3930">
          <w:rPr>
            <w:noProof/>
            <w:webHidden/>
          </w:rPr>
        </w:r>
        <w:r w:rsidR="002A3930">
          <w:rPr>
            <w:noProof/>
            <w:webHidden/>
          </w:rPr>
          <w:fldChar w:fldCharType="separate"/>
        </w:r>
        <w:r w:rsidR="000223E8">
          <w:rPr>
            <w:noProof/>
            <w:webHidden/>
          </w:rPr>
          <w:t>74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4" w:history="1">
        <w:r w:rsidR="002A3930" w:rsidRPr="00AF132F">
          <w:rPr>
            <w:rStyle w:val="Hyperlink"/>
            <w:noProof/>
          </w:rPr>
          <w:t>Table 5.8</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 subjects existing in less than six jurisdictions</w:t>
        </w:r>
        <w:r w:rsidR="002A3930">
          <w:rPr>
            <w:noProof/>
            <w:webHidden/>
          </w:rPr>
          <w:tab/>
        </w:r>
        <w:r w:rsidR="002A3930">
          <w:rPr>
            <w:noProof/>
            <w:webHidden/>
          </w:rPr>
          <w:fldChar w:fldCharType="begin"/>
        </w:r>
        <w:r w:rsidR="002A3930">
          <w:rPr>
            <w:noProof/>
            <w:webHidden/>
          </w:rPr>
          <w:instrText xml:space="preserve"> PAGEREF _Toc408908624 \h </w:instrText>
        </w:r>
        <w:r w:rsidR="002A3930">
          <w:rPr>
            <w:noProof/>
            <w:webHidden/>
          </w:rPr>
        </w:r>
        <w:r w:rsidR="002A3930">
          <w:rPr>
            <w:noProof/>
            <w:webHidden/>
          </w:rPr>
          <w:fldChar w:fldCharType="separate"/>
        </w:r>
        <w:r w:rsidR="000223E8">
          <w:rPr>
            <w:noProof/>
            <w:webHidden/>
          </w:rPr>
          <w:t>74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5" w:history="1">
        <w:r w:rsidR="002A3930" w:rsidRPr="00AF132F">
          <w:rPr>
            <w:rStyle w:val="Hyperlink"/>
            <w:noProof/>
          </w:rPr>
          <w:t>Table 5.9</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placement in care</w:t>
        </w:r>
        <w:r w:rsidR="002A3930">
          <w:rPr>
            <w:noProof/>
            <w:webHidden/>
          </w:rPr>
          <w:tab/>
        </w:r>
        <w:r w:rsidR="002A3930">
          <w:rPr>
            <w:noProof/>
            <w:webHidden/>
          </w:rPr>
          <w:fldChar w:fldCharType="begin"/>
        </w:r>
        <w:r w:rsidR="002A3930">
          <w:rPr>
            <w:noProof/>
            <w:webHidden/>
          </w:rPr>
          <w:instrText xml:space="preserve"> PAGEREF _Toc408908625 \h </w:instrText>
        </w:r>
        <w:r w:rsidR="002A3930">
          <w:rPr>
            <w:noProof/>
            <w:webHidden/>
          </w:rPr>
        </w:r>
        <w:r w:rsidR="002A3930">
          <w:rPr>
            <w:noProof/>
            <w:webHidden/>
          </w:rPr>
          <w:fldChar w:fldCharType="separate"/>
        </w:r>
        <w:r w:rsidR="000223E8">
          <w:rPr>
            <w:noProof/>
            <w:webHidden/>
          </w:rPr>
          <w:t>76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6" w:history="1">
        <w:r w:rsidR="002A3930" w:rsidRPr="00AF132F">
          <w:rPr>
            <w:rStyle w:val="Hyperlink"/>
            <w:noProof/>
          </w:rPr>
          <w:t>Table 5.10</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proceedings on placement</w:t>
        </w:r>
        <w:r w:rsidR="002A3930">
          <w:rPr>
            <w:noProof/>
            <w:webHidden/>
          </w:rPr>
          <w:tab/>
        </w:r>
        <w:r w:rsidR="002A3930">
          <w:rPr>
            <w:noProof/>
            <w:webHidden/>
          </w:rPr>
          <w:fldChar w:fldCharType="begin"/>
        </w:r>
        <w:r w:rsidR="002A3930">
          <w:rPr>
            <w:noProof/>
            <w:webHidden/>
          </w:rPr>
          <w:instrText xml:space="preserve"> PAGEREF _Toc408908626 \h </w:instrText>
        </w:r>
        <w:r w:rsidR="002A3930">
          <w:rPr>
            <w:noProof/>
            <w:webHidden/>
          </w:rPr>
        </w:r>
        <w:r w:rsidR="002A3930">
          <w:rPr>
            <w:noProof/>
            <w:webHidden/>
          </w:rPr>
          <w:fldChar w:fldCharType="separate"/>
        </w:r>
        <w:r w:rsidR="000223E8">
          <w:rPr>
            <w:noProof/>
            <w:webHidden/>
          </w:rPr>
          <w:t>76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7" w:history="1">
        <w:r w:rsidR="002A3930" w:rsidRPr="00AF132F">
          <w:rPr>
            <w:rStyle w:val="Hyperlink"/>
            <w:noProof/>
          </w:rPr>
          <w:t>Table 5.11</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for children in family proceedings</w:t>
        </w:r>
        <w:r w:rsidR="002A3930">
          <w:rPr>
            <w:noProof/>
            <w:webHidden/>
          </w:rPr>
          <w:tab/>
        </w:r>
        <w:r w:rsidR="002A3930">
          <w:rPr>
            <w:noProof/>
            <w:webHidden/>
          </w:rPr>
          <w:fldChar w:fldCharType="begin"/>
        </w:r>
        <w:r w:rsidR="002A3930">
          <w:rPr>
            <w:noProof/>
            <w:webHidden/>
          </w:rPr>
          <w:instrText xml:space="preserve"> PAGEREF _Toc408908627 \h </w:instrText>
        </w:r>
        <w:r w:rsidR="002A3930">
          <w:rPr>
            <w:noProof/>
            <w:webHidden/>
          </w:rPr>
        </w:r>
        <w:r w:rsidR="002A3930">
          <w:rPr>
            <w:noProof/>
            <w:webHidden/>
          </w:rPr>
          <w:fldChar w:fldCharType="separate"/>
        </w:r>
        <w:r w:rsidR="000223E8">
          <w:rPr>
            <w:noProof/>
            <w:webHidden/>
          </w:rPr>
          <w:t>77</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8" w:history="1">
        <w:r w:rsidR="002A3930" w:rsidRPr="00AF132F">
          <w:rPr>
            <w:rStyle w:val="Hyperlink"/>
            <w:noProof/>
          </w:rPr>
          <w:t>Table 5.12</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family proceedings</w:t>
        </w:r>
        <w:r w:rsidR="002A3930">
          <w:rPr>
            <w:noProof/>
            <w:webHidden/>
          </w:rPr>
          <w:tab/>
        </w:r>
        <w:r w:rsidR="002A3930">
          <w:rPr>
            <w:noProof/>
            <w:webHidden/>
          </w:rPr>
          <w:fldChar w:fldCharType="begin"/>
        </w:r>
        <w:r w:rsidR="002A3930">
          <w:rPr>
            <w:noProof/>
            <w:webHidden/>
          </w:rPr>
          <w:instrText xml:space="preserve"> PAGEREF _Toc408908628 \h </w:instrText>
        </w:r>
        <w:r w:rsidR="002A3930">
          <w:rPr>
            <w:noProof/>
            <w:webHidden/>
          </w:rPr>
        </w:r>
        <w:r w:rsidR="002A3930">
          <w:rPr>
            <w:noProof/>
            <w:webHidden/>
          </w:rPr>
          <w:fldChar w:fldCharType="separate"/>
        </w:r>
        <w:r w:rsidR="000223E8">
          <w:rPr>
            <w:noProof/>
            <w:webHidden/>
          </w:rPr>
          <w:t>77</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29" w:history="1">
        <w:r w:rsidR="002A3930" w:rsidRPr="00AF132F">
          <w:rPr>
            <w:rStyle w:val="Hyperlink"/>
            <w:noProof/>
          </w:rPr>
          <w:t>Table 5.13</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migration law</w:t>
        </w:r>
        <w:r w:rsidR="002A3930">
          <w:rPr>
            <w:noProof/>
            <w:webHidden/>
          </w:rPr>
          <w:tab/>
        </w:r>
        <w:r w:rsidR="002A3930">
          <w:rPr>
            <w:noProof/>
            <w:webHidden/>
          </w:rPr>
          <w:fldChar w:fldCharType="begin"/>
        </w:r>
        <w:r w:rsidR="002A3930">
          <w:rPr>
            <w:noProof/>
            <w:webHidden/>
          </w:rPr>
          <w:instrText xml:space="preserve"> PAGEREF _Toc408908629 \h </w:instrText>
        </w:r>
        <w:r w:rsidR="002A3930">
          <w:rPr>
            <w:noProof/>
            <w:webHidden/>
          </w:rPr>
        </w:r>
        <w:r w:rsidR="002A3930">
          <w:rPr>
            <w:noProof/>
            <w:webHidden/>
          </w:rPr>
          <w:fldChar w:fldCharType="separate"/>
        </w:r>
        <w:r w:rsidR="000223E8">
          <w:rPr>
            <w:noProof/>
            <w:webHidden/>
          </w:rPr>
          <w:t>78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0" w:history="1">
        <w:r w:rsidR="002A3930" w:rsidRPr="00AF132F">
          <w:rPr>
            <w:rStyle w:val="Hyperlink"/>
            <w:noProof/>
          </w:rPr>
          <w:t>Table 5.14</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migration proceedings</w:t>
        </w:r>
        <w:r w:rsidR="002A3930">
          <w:rPr>
            <w:noProof/>
            <w:webHidden/>
          </w:rPr>
          <w:tab/>
        </w:r>
        <w:r w:rsidR="002A3930">
          <w:rPr>
            <w:noProof/>
            <w:webHidden/>
          </w:rPr>
          <w:fldChar w:fldCharType="begin"/>
        </w:r>
        <w:r w:rsidR="002A3930">
          <w:rPr>
            <w:noProof/>
            <w:webHidden/>
          </w:rPr>
          <w:instrText xml:space="preserve"> PAGEREF _Toc408908630 \h </w:instrText>
        </w:r>
        <w:r w:rsidR="002A3930">
          <w:rPr>
            <w:noProof/>
            <w:webHidden/>
          </w:rPr>
        </w:r>
        <w:r w:rsidR="002A3930">
          <w:rPr>
            <w:noProof/>
            <w:webHidden/>
          </w:rPr>
          <w:fldChar w:fldCharType="separate"/>
        </w:r>
        <w:r w:rsidR="000223E8">
          <w:rPr>
            <w:noProof/>
            <w:webHidden/>
          </w:rPr>
          <w:t>78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1" w:history="1">
        <w:r w:rsidR="002A3930" w:rsidRPr="00AF132F">
          <w:rPr>
            <w:rStyle w:val="Hyperlink"/>
            <w:noProof/>
          </w:rPr>
          <w:t>Table 5.15</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asylum</w:t>
        </w:r>
        <w:r w:rsidR="002A3930">
          <w:rPr>
            <w:noProof/>
            <w:webHidden/>
          </w:rPr>
          <w:tab/>
        </w:r>
        <w:r w:rsidR="002A3930">
          <w:rPr>
            <w:noProof/>
            <w:webHidden/>
          </w:rPr>
          <w:fldChar w:fldCharType="begin"/>
        </w:r>
        <w:r w:rsidR="002A3930">
          <w:rPr>
            <w:noProof/>
            <w:webHidden/>
          </w:rPr>
          <w:instrText xml:space="preserve"> PAGEREF _Toc408908631 \h </w:instrText>
        </w:r>
        <w:r w:rsidR="002A3930">
          <w:rPr>
            <w:noProof/>
            <w:webHidden/>
          </w:rPr>
        </w:r>
        <w:r w:rsidR="002A3930">
          <w:rPr>
            <w:noProof/>
            <w:webHidden/>
          </w:rPr>
          <w:fldChar w:fldCharType="separate"/>
        </w:r>
        <w:r w:rsidR="000223E8">
          <w:rPr>
            <w:noProof/>
            <w:webHidden/>
          </w:rPr>
          <w:t>79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2" w:history="1">
        <w:r w:rsidR="002A3930" w:rsidRPr="00AF132F">
          <w:rPr>
            <w:rStyle w:val="Hyperlink"/>
            <w:noProof/>
          </w:rPr>
          <w:t>Table 5.16</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asylum proceedings</w:t>
        </w:r>
        <w:r w:rsidR="002A3930">
          <w:rPr>
            <w:noProof/>
            <w:webHidden/>
          </w:rPr>
          <w:tab/>
        </w:r>
        <w:r w:rsidR="002A3930">
          <w:rPr>
            <w:noProof/>
            <w:webHidden/>
          </w:rPr>
          <w:fldChar w:fldCharType="begin"/>
        </w:r>
        <w:r w:rsidR="002A3930">
          <w:rPr>
            <w:noProof/>
            <w:webHidden/>
          </w:rPr>
          <w:instrText xml:space="preserve"> PAGEREF _Toc408908632 \h </w:instrText>
        </w:r>
        <w:r w:rsidR="002A3930">
          <w:rPr>
            <w:noProof/>
            <w:webHidden/>
          </w:rPr>
        </w:r>
        <w:r w:rsidR="002A3930">
          <w:rPr>
            <w:noProof/>
            <w:webHidden/>
          </w:rPr>
          <w:fldChar w:fldCharType="separate"/>
        </w:r>
        <w:r w:rsidR="000223E8">
          <w:rPr>
            <w:noProof/>
            <w:webHidden/>
          </w:rPr>
          <w:t>79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3" w:history="1">
        <w:r w:rsidR="002A3930" w:rsidRPr="00AF132F">
          <w:rPr>
            <w:rStyle w:val="Hyperlink"/>
            <w:noProof/>
          </w:rPr>
          <w:t>Table 5.17</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health law</w:t>
        </w:r>
        <w:r w:rsidR="002A3930">
          <w:rPr>
            <w:noProof/>
            <w:webHidden/>
          </w:rPr>
          <w:tab/>
        </w:r>
        <w:r w:rsidR="002A3930">
          <w:rPr>
            <w:noProof/>
            <w:webHidden/>
          </w:rPr>
          <w:fldChar w:fldCharType="begin"/>
        </w:r>
        <w:r w:rsidR="002A3930">
          <w:rPr>
            <w:noProof/>
            <w:webHidden/>
          </w:rPr>
          <w:instrText xml:space="preserve"> PAGEREF _Toc408908633 \h </w:instrText>
        </w:r>
        <w:r w:rsidR="002A3930">
          <w:rPr>
            <w:noProof/>
            <w:webHidden/>
          </w:rPr>
        </w:r>
        <w:r w:rsidR="002A3930">
          <w:rPr>
            <w:noProof/>
            <w:webHidden/>
          </w:rPr>
          <w:fldChar w:fldCharType="separate"/>
        </w:r>
        <w:r w:rsidR="000223E8">
          <w:rPr>
            <w:noProof/>
            <w:webHidden/>
          </w:rPr>
          <w:t>80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4" w:history="1">
        <w:r w:rsidR="002A3930" w:rsidRPr="00AF132F">
          <w:rPr>
            <w:rStyle w:val="Hyperlink"/>
            <w:noProof/>
          </w:rPr>
          <w:t>Table 5.18</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health proceedings</w:t>
        </w:r>
        <w:r w:rsidR="002A3930">
          <w:rPr>
            <w:noProof/>
            <w:webHidden/>
          </w:rPr>
          <w:tab/>
        </w:r>
        <w:r w:rsidR="002A3930">
          <w:rPr>
            <w:noProof/>
            <w:webHidden/>
          </w:rPr>
          <w:fldChar w:fldCharType="begin"/>
        </w:r>
        <w:r w:rsidR="002A3930">
          <w:rPr>
            <w:noProof/>
            <w:webHidden/>
          </w:rPr>
          <w:instrText xml:space="preserve"> PAGEREF _Toc408908634 \h </w:instrText>
        </w:r>
        <w:r w:rsidR="002A3930">
          <w:rPr>
            <w:noProof/>
            <w:webHidden/>
          </w:rPr>
        </w:r>
        <w:r w:rsidR="002A3930">
          <w:rPr>
            <w:noProof/>
            <w:webHidden/>
          </w:rPr>
          <w:fldChar w:fldCharType="separate"/>
        </w:r>
        <w:r w:rsidR="000223E8">
          <w:rPr>
            <w:noProof/>
            <w:webHidden/>
          </w:rPr>
          <w:t>80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5" w:history="1">
        <w:r w:rsidR="002A3930" w:rsidRPr="00AF132F">
          <w:rPr>
            <w:rStyle w:val="Hyperlink"/>
            <w:noProof/>
          </w:rPr>
          <w:t>Table 5.19</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administrative sanctions</w:t>
        </w:r>
        <w:r w:rsidR="002A3930">
          <w:rPr>
            <w:noProof/>
            <w:webHidden/>
          </w:rPr>
          <w:tab/>
        </w:r>
        <w:r w:rsidR="002A3930">
          <w:rPr>
            <w:noProof/>
            <w:webHidden/>
          </w:rPr>
          <w:fldChar w:fldCharType="begin"/>
        </w:r>
        <w:r w:rsidR="002A3930">
          <w:rPr>
            <w:noProof/>
            <w:webHidden/>
          </w:rPr>
          <w:instrText xml:space="preserve"> PAGEREF _Toc408908635 \h </w:instrText>
        </w:r>
        <w:r w:rsidR="002A3930">
          <w:rPr>
            <w:noProof/>
            <w:webHidden/>
          </w:rPr>
        </w:r>
        <w:r w:rsidR="002A3930">
          <w:rPr>
            <w:noProof/>
            <w:webHidden/>
          </w:rPr>
          <w:fldChar w:fldCharType="separate"/>
        </w:r>
        <w:r w:rsidR="000223E8">
          <w:rPr>
            <w:noProof/>
            <w:webHidden/>
          </w:rPr>
          <w:t>81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6" w:history="1">
        <w:r w:rsidR="002A3930" w:rsidRPr="00AF132F">
          <w:rPr>
            <w:rStyle w:val="Hyperlink"/>
            <w:noProof/>
          </w:rPr>
          <w:t>Table 5.20</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proceedings on administrative sanctions</w:t>
        </w:r>
        <w:r w:rsidR="002A3930">
          <w:rPr>
            <w:noProof/>
            <w:webHidden/>
          </w:rPr>
          <w:tab/>
        </w:r>
        <w:r w:rsidR="002A3930">
          <w:rPr>
            <w:noProof/>
            <w:webHidden/>
          </w:rPr>
          <w:fldChar w:fldCharType="begin"/>
        </w:r>
        <w:r w:rsidR="002A3930">
          <w:rPr>
            <w:noProof/>
            <w:webHidden/>
          </w:rPr>
          <w:instrText xml:space="preserve"> PAGEREF _Toc408908636 \h </w:instrText>
        </w:r>
        <w:r w:rsidR="002A3930">
          <w:rPr>
            <w:noProof/>
            <w:webHidden/>
          </w:rPr>
        </w:r>
        <w:r w:rsidR="002A3930">
          <w:rPr>
            <w:noProof/>
            <w:webHidden/>
          </w:rPr>
          <w:fldChar w:fldCharType="separate"/>
        </w:r>
        <w:r w:rsidR="000223E8">
          <w:rPr>
            <w:noProof/>
            <w:webHidden/>
          </w:rPr>
          <w:t>81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7" w:history="1">
        <w:r w:rsidR="002A3930" w:rsidRPr="00AF132F">
          <w:rPr>
            <w:rStyle w:val="Hyperlink"/>
            <w:noProof/>
          </w:rPr>
          <w:t>Table 5.21</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education</w:t>
        </w:r>
        <w:r w:rsidR="002A3930">
          <w:rPr>
            <w:noProof/>
            <w:webHidden/>
          </w:rPr>
          <w:tab/>
        </w:r>
        <w:r w:rsidR="002A3930">
          <w:rPr>
            <w:noProof/>
            <w:webHidden/>
          </w:rPr>
          <w:fldChar w:fldCharType="begin"/>
        </w:r>
        <w:r w:rsidR="002A3930">
          <w:rPr>
            <w:noProof/>
            <w:webHidden/>
          </w:rPr>
          <w:instrText xml:space="preserve"> PAGEREF _Toc408908637 \h </w:instrText>
        </w:r>
        <w:r w:rsidR="002A3930">
          <w:rPr>
            <w:noProof/>
            <w:webHidden/>
          </w:rPr>
        </w:r>
        <w:r w:rsidR="002A3930">
          <w:rPr>
            <w:noProof/>
            <w:webHidden/>
          </w:rPr>
          <w:fldChar w:fldCharType="separate"/>
        </w:r>
        <w:r w:rsidR="000223E8">
          <w:rPr>
            <w:noProof/>
            <w:webHidden/>
          </w:rPr>
          <w:t>82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8" w:history="1">
        <w:r w:rsidR="002A3930" w:rsidRPr="00AF132F">
          <w:rPr>
            <w:rStyle w:val="Hyperlink"/>
            <w:noProof/>
          </w:rPr>
          <w:t>Table 5.22</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education proceedings</w:t>
        </w:r>
        <w:r w:rsidR="002A3930">
          <w:rPr>
            <w:noProof/>
            <w:webHidden/>
          </w:rPr>
          <w:tab/>
        </w:r>
        <w:r w:rsidR="002A3930">
          <w:rPr>
            <w:noProof/>
            <w:webHidden/>
          </w:rPr>
          <w:fldChar w:fldCharType="begin"/>
        </w:r>
        <w:r w:rsidR="002A3930">
          <w:rPr>
            <w:noProof/>
            <w:webHidden/>
          </w:rPr>
          <w:instrText xml:space="preserve"> PAGEREF _Toc408908638 \h </w:instrText>
        </w:r>
        <w:r w:rsidR="002A3930">
          <w:rPr>
            <w:noProof/>
            <w:webHidden/>
          </w:rPr>
        </w:r>
        <w:r w:rsidR="002A3930">
          <w:rPr>
            <w:noProof/>
            <w:webHidden/>
          </w:rPr>
          <w:fldChar w:fldCharType="separate"/>
        </w:r>
        <w:r w:rsidR="000223E8">
          <w:rPr>
            <w:noProof/>
            <w:webHidden/>
          </w:rPr>
          <w:t>82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39" w:history="1">
        <w:r w:rsidR="002A3930" w:rsidRPr="00AF132F">
          <w:rPr>
            <w:rStyle w:val="Hyperlink"/>
            <w:noProof/>
          </w:rPr>
          <w:t>Table 5.23</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most prevalent in the area of employment</w:t>
        </w:r>
        <w:r w:rsidR="002A3930">
          <w:rPr>
            <w:noProof/>
            <w:webHidden/>
          </w:rPr>
          <w:tab/>
        </w:r>
        <w:r w:rsidR="002A3930">
          <w:rPr>
            <w:noProof/>
            <w:webHidden/>
          </w:rPr>
          <w:fldChar w:fldCharType="begin"/>
        </w:r>
        <w:r w:rsidR="002A3930">
          <w:rPr>
            <w:noProof/>
            <w:webHidden/>
          </w:rPr>
          <w:instrText xml:space="preserve"> PAGEREF _Toc408908639 \h </w:instrText>
        </w:r>
        <w:r w:rsidR="002A3930">
          <w:rPr>
            <w:noProof/>
            <w:webHidden/>
          </w:rPr>
        </w:r>
        <w:r w:rsidR="002A3930">
          <w:rPr>
            <w:noProof/>
            <w:webHidden/>
          </w:rPr>
          <w:fldChar w:fldCharType="separate"/>
        </w:r>
        <w:r w:rsidR="000223E8">
          <w:rPr>
            <w:noProof/>
            <w:webHidden/>
          </w:rPr>
          <w:t>83</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0" w:history="1">
        <w:r w:rsidR="002A3930" w:rsidRPr="00AF132F">
          <w:rPr>
            <w:rStyle w:val="Hyperlink"/>
            <w:noProof/>
          </w:rPr>
          <w:t>Table 5.24</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employment proceedings</w:t>
        </w:r>
        <w:r w:rsidR="002A3930">
          <w:rPr>
            <w:noProof/>
            <w:webHidden/>
          </w:rPr>
          <w:tab/>
        </w:r>
        <w:r w:rsidR="002A3930">
          <w:rPr>
            <w:noProof/>
            <w:webHidden/>
          </w:rPr>
          <w:fldChar w:fldCharType="begin"/>
        </w:r>
        <w:r w:rsidR="002A3930">
          <w:rPr>
            <w:noProof/>
            <w:webHidden/>
          </w:rPr>
          <w:instrText xml:space="preserve"> PAGEREF _Toc408908640 \h </w:instrText>
        </w:r>
        <w:r w:rsidR="002A3930">
          <w:rPr>
            <w:noProof/>
            <w:webHidden/>
          </w:rPr>
        </w:r>
        <w:r w:rsidR="002A3930">
          <w:rPr>
            <w:noProof/>
            <w:webHidden/>
          </w:rPr>
          <w:fldChar w:fldCharType="separate"/>
        </w:r>
        <w:r w:rsidR="000223E8">
          <w:rPr>
            <w:noProof/>
            <w:webHidden/>
          </w:rPr>
          <w:t>83</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1" w:history="1">
        <w:r w:rsidR="002A3930" w:rsidRPr="00AF132F">
          <w:rPr>
            <w:rStyle w:val="Hyperlink"/>
            <w:noProof/>
          </w:rPr>
          <w:t>Table 5.25</w:t>
        </w:r>
        <w:r w:rsidR="002A3930">
          <w:rPr>
            <w:rFonts w:asciiTheme="minorHAnsi" w:eastAsiaTheme="minorEastAsia" w:hAnsiTheme="minorHAnsi" w:cstheme="minorBidi"/>
            <w:noProof/>
            <w:sz w:val="22"/>
            <w:szCs w:val="22"/>
            <w:lang w:eastAsia="en-GB"/>
          </w:rPr>
          <w:tab/>
        </w:r>
        <w:r w:rsidR="002A3930" w:rsidRPr="00AF132F">
          <w:rPr>
            <w:rStyle w:val="Hyperlink"/>
            <w:noProof/>
          </w:rPr>
          <w:t>Safeguards that are least prevalent for children in proceedings on offences &lt;MACR</w:t>
        </w:r>
        <w:r w:rsidR="002A3930">
          <w:rPr>
            <w:noProof/>
            <w:webHidden/>
          </w:rPr>
          <w:tab/>
        </w:r>
        <w:r w:rsidR="002A3930">
          <w:rPr>
            <w:noProof/>
            <w:webHidden/>
          </w:rPr>
          <w:fldChar w:fldCharType="begin"/>
        </w:r>
        <w:r w:rsidR="002A3930">
          <w:rPr>
            <w:noProof/>
            <w:webHidden/>
          </w:rPr>
          <w:instrText xml:space="preserve"> PAGEREF _Toc408908641 \h </w:instrText>
        </w:r>
        <w:r w:rsidR="002A3930">
          <w:rPr>
            <w:noProof/>
            <w:webHidden/>
          </w:rPr>
        </w:r>
        <w:r w:rsidR="002A3930">
          <w:rPr>
            <w:noProof/>
            <w:webHidden/>
          </w:rPr>
          <w:fldChar w:fldCharType="separate"/>
        </w:r>
        <w:r w:rsidR="000223E8">
          <w:rPr>
            <w:noProof/>
            <w:webHidden/>
          </w:rPr>
          <w:t>85</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2" w:history="1">
        <w:r w:rsidR="002A3930" w:rsidRPr="00AF132F">
          <w:rPr>
            <w:rStyle w:val="Hyperlink"/>
            <w:noProof/>
          </w:rPr>
          <w:t>Table 5.26</w:t>
        </w:r>
        <w:r w:rsidR="002A3930">
          <w:rPr>
            <w:rFonts w:asciiTheme="minorHAnsi" w:eastAsiaTheme="minorEastAsia" w:hAnsiTheme="minorHAnsi" w:cstheme="minorBidi"/>
            <w:noProof/>
            <w:sz w:val="22"/>
            <w:szCs w:val="22"/>
            <w:lang w:eastAsia="en-GB"/>
          </w:rPr>
          <w:tab/>
        </w:r>
        <w:r w:rsidR="002A3930" w:rsidRPr="00AF132F">
          <w:rPr>
            <w:rStyle w:val="Hyperlink"/>
            <w:noProof/>
          </w:rPr>
          <w:t>Ten jurisdictions with the highest numbers of safeguards</w:t>
        </w:r>
        <w:r w:rsidR="002A3930">
          <w:rPr>
            <w:noProof/>
            <w:webHidden/>
          </w:rPr>
          <w:tab/>
        </w:r>
        <w:r w:rsidR="002A3930">
          <w:rPr>
            <w:noProof/>
            <w:webHidden/>
          </w:rPr>
          <w:fldChar w:fldCharType="begin"/>
        </w:r>
        <w:r w:rsidR="002A3930">
          <w:rPr>
            <w:noProof/>
            <w:webHidden/>
          </w:rPr>
          <w:instrText xml:space="preserve"> PAGEREF _Toc408908642 \h </w:instrText>
        </w:r>
        <w:r w:rsidR="002A3930">
          <w:rPr>
            <w:noProof/>
            <w:webHidden/>
          </w:rPr>
        </w:r>
        <w:r w:rsidR="002A3930">
          <w:rPr>
            <w:noProof/>
            <w:webHidden/>
          </w:rPr>
          <w:fldChar w:fldCharType="separate"/>
        </w:r>
        <w:r w:rsidR="000223E8">
          <w:rPr>
            <w:noProof/>
            <w:webHidden/>
          </w:rPr>
          <w:t>91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3" w:history="1">
        <w:r w:rsidR="002A3930" w:rsidRPr="00AF132F">
          <w:rPr>
            <w:rStyle w:val="Hyperlink"/>
            <w:noProof/>
          </w:rPr>
          <w:t>Table 5.27</w:t>
        </w:r>
        <w:r w:rsidR="002A3930">
          <w:rPr>
            <w:rFonts w:asciiTheme="minorHAnsi" w:eastAsiaTheme="minorEastAsia" w:hAnsiTheme="minorHAnsi" w:cstheme="minorBidi"/>
            <w:noProof/>
            <w:sz w:val="22"/>
            <w:szCs w:val="22"/>
            <w:lang w:eastAsia="en-GB"/>
          </w:rPr>
          <w:tab/>
        </w:r>
        <w:r w:rsidR="002A3930" w:rsidRPr="00AF132F">
          <w:rPr>
            <w:rStyle w:val="Hyperlink"/>
            <w:noProof/>
          </w:rPr>
          <w:t>Five jurisdictions with the lowest numbers of safeguards</w:t>
        </w:r>
        <w:r w:rsidR="002A3930">
          <w:rPr>
            <w:noProof/>
            <w:webHidden/>
          </w:rPr>
          <w:tab/>
        </w:r>
        <w:r w:rsidR="002A3930">
          <w:rPr>
            <w:noProof/>
            <w:webHidden/>
          </w:rPr>
          <w:fldChar w:fldCharType="begin"/>
        </w:r>
        <w:r w:rsidR="002A3930">
          <w:rPr>
            <w:noProof/>
            <w:webHidden/>
          </w:rPr>
          <w:instrText xml:space="preserve"> PAGEREF _Toc408908643 \h </w:instrText>
        </w:r>
        <w:r w:rsidR="002A3930">
          <w:rPr>
            <w:noProof/>
            <w:webHidden/>
          </w:rPr>
        </w:r>
        <w:r w:rsidR="002A3930">
          <w:rPr>
            <w:noProof/>
            <w:webHidden/>
          </w:rPr>
          <w:fldChar w:fldCharType="separate"/>
        </w:r>
        <w:r w:rsidR="000223E8">
          <w:rPr>
            <w:noProof/>
            <w:webHidden/>
          </w:rPr>
          <w:t>91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4" w:history="1">
        <w:r w:rsidR="002A3930" w:rsidRPr="00AF132F">
          <w:rPr>
            <w:rStyle w:val="Hyperlink"/>
            <w:noProof/>
          </w:rPr>
          <w:t>Table A1.1</w:t>
        </w:r>
        <w:r w:rsidR="002A3930">
          <w:rPr>
            <w:rFonts w:asciiTheme="minorHAnsi" w:eastAsiaTheme="minorEastAsia" w:hAnsiTheme="minorHAnsi" w:cstheme="minorBidi"/>
            <w:noProof/>
            <w:sz w:val="22"/>
            <w:szCs w:val="22"/>
            <w:lang w:eastAsia="en-GB"/>
          </w:rPr>
          <w:tab/>
        </w:r>
        <w:r w:rsidR="002A3930" w:rsidRPr="00AF132F">
          <w:rPr>
            <w:rStyle w:val="Hyperlink"/>
            <w:noProof/>
          </w:rPr>
          <w:t>List of abbreviations of EU Member States</w:t>
        </w:r>
        <w:r w:rsidR="002A3930">
          <w:rPr>
            <w:noProof/>
            <w:webHidden/>
          </w:rPr>
          <w:tab/>
        </w:r>
        <w:r w:rsidR="002A3930">
          <w:rPr>
            <w:noProof/>
            <w:webHidden/>
          </w:rPr>
          <w:fldChar w:fldCharType="begin"/>
        </w:r>
        <w:r w:rsidR="002A3930">
          <w:rPr>
            <w:noProof/>
            <w:webHidden/>
          </w:rPr>
          <w:instrText xml:space="preserve"> PAGEREF _Toc408908644 \h </w:instrText>
        </w:r>
        <w:r w:rsidR="002A3930">
          <w:rPr>
            <w:noProof/>
            <w:webHidden/>
          </w:rPr>
        </w:r>
        <w:r w:rsidR="002A3930">
          <w:rPr>
            <w:noProof/>
            <w:webHidden/>
          </w:rPr>
          <w:fldChar w:fldCharType="separate"/>
        </w:r>
        <w:r w:rsidR="000223E8">
          <w:rPr>
            <w:noProof/>
            <w:webHidden/>
          </w:rPr>
          <w:t>94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5" w:history="1">
        <w:r w:rsidR="002A3930" w:rsidRPr="00AF132F">
          <w:rPr>
            <w:rStyle w:val="Hyperlink"/>
            <w:noProof/>
          </w:rPr>
          <w:t>Table A2.1</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national datasets in each Member State</w:t>
        </w:r>
        <w:r w:rsidR="002A3930">
          <w:rPr>
            <w:noProof/>
            <w:webHidden/>
          </w:rPr>
          <w:tab/>
        </w:r>
        <w:r w:rsidR="002A3930">
          <w:rPr>
            <w:noProof/>
            <w:webHidden/>
          </w:rPr>
          <w:fldChar w:fldCharType="begin"/>
        </w:r>
        <w:r w:rsidR="002A3930">
          <w:rPr>
            <w:noProof/>
            <w:webHidden/>
          </w:rPr>
          <w:instrText xml:space="preserve"> PAGEREF _Toc408908645 \h </w:instrText>
        </w:r>
        <w:r w:rsidR="002A3930">
          <w:rPr>
            <w:noProof/>
            <w:webHidden/>
          </w:rPr>
        </w:r>
        <w:r w:rsidR="002A3930">
          <w:rPr>
            <w:noProof/>
            <w:webHidden/>
          </w:rPr>
          <w:fldChar w:fldCharType="separate"/>
        </w:r>
        <w:r w:rsidR="000223E8">
          <w:rPr>
            <w:noProof/>
            <w:webHidden/>
          </w:rPr>
          <w:t>95</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6" w:history="1">
        <w:r w:rsidR="002A3930" w:rsidRPr="00AF132F">
          <w:rPr>
            <w:rStyle w:val="Hyperlink"/>
            <w:noProof/>
          </w:rPr>
          <w:t>Table A2.2</w:t>
        </w:r>
        <w:r w:rsidR="002A3930">
          <w:rPr>
            <w:rFonts w:asciiTheme="minorHAnsi" w:eastAsiaTheme="minorEastAsia" w:hAnsiTheme="minorHAnsi" w:cstheme="minorBidi"/>
            <w:noProof/>
            <w:sz w:val="22"/>
            <w:szCs w:val="22"/>
            <w:lang w:eastAsia="en-GB"/>
          </w:rPr>
          <w:tab/>
        </w:r>
        <w:r w:rsidR="002A3930" w:rsidRPr="00AF132F">
          <w:rPr>
            <w:rStyle w:val="Hyperlink"/>
            <w:noProof/>
          </w:rPr>
          <w:t>The child population in the EU (2010) (CivAdm001)</w:t>
        </w:r>
        <w:r w:rsidR="002A3930">
          <w:rPr>
            <w:noProof/>
            <w:webHidden/>
          </w:rPr>
          <w:tab/>
        </w:r>
        <w:r w:rsidR="002A3930">
          <w:rPr>
            <w:noProof/>
            <w:webHidden/>
          </w:rPr>
          <w:fldChar w:fldCharType="begin"/>
        </w:r>
        <w:r w:rsidR="002A3930">
          <w:rPr>
            <w:noProof/>
            <w:webHidden/>
          </w:rPr>
          <w:instrText xml:space="preserve"> PAGEREF _Toc408908646 \h </w:instrText>
        </w:r>
        <w:r w:rsidR="002A3930">
          <w:rPr>
            <w:noProof/>
            <w:webHidden/>
          </w:rPr>
        </w:r>
        <w:r w:rsidR="002A3930">
          <w:rPr>
            <w:noProof/>
            <w:webHidden/>
          </w:rPr>
          <w:fldChar w:fldCharType="separate"/>
        </w:r>
        <w:r w:rsidR="000223E8">
          <w:rPr>
            <w:noProof/>
            <w:webHidden/>
          </w:rPr>
          <w:t>96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7" w:history="1">
        <w:r w:rsidR="002A3930" w:rsidRPr="00AF132F">
          <w:rPr>
            <w:rStyle w:val="Hyperlink"/>
            <w:noProof/>
          </w:rPr>
          <w:t>Table A2.3</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children affected by parental divorce proceedings (CivAdm002)</w:t>
        </w:r>
        <w:r w:rsidR="002A3930">
          <w:rPr>
            <w:noProof/>
            <w:webHidden/>
          </w:rPr>
          <w:tab/>
        </w:r>
        <w:r w:rsidR="002A3930">
          <w:rPr>
            <w:noProof/>
            <w:webHidden/>
          </w:rPr>
          <w:fldChar w:fldCharType="begin"/>
        </w:r>
        <w:r w:rsidR="002A3930">
          <w:rPr>
            <w:noProof/>
            <w:webHidden/>
          </w:rPr>
          <w:instrText xml:space="preserve"> PAGEREF _Toc408908647 \h </w:instrText>
        </w:r>
        <w:r w:rsidR="002A3930">
          <w:rPr>
            <w:noProof/>
            <w:webHidden/>
          </w:rPr>
        </w:r>
        <w:r w:rsidR="002A3930">
          <w:rPr>
            <w:noProof/>
            <w:webHidden/>
          </w:rPr>
          <w:fldChar w:fldCharType="separate"/>
        </w:r>
        <w:r w:rsidR="000223E8">
          <w:rPr>
            <w:noProof/>
            <w:webHidden/>
          </w:rPr>
          <w:t>97</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8" w:history="1">
        <w:r w:rsidR="002A3930" w:rsidRPr="00AF132F">
          <w:rPr>
            <w:rStyle w:val="Hyperlink"/>
            <w:noProof/>
          </w:rPr>
          <w:t>Table A2.4</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cases concerning international abductions of children (CivAdm007)</w:t>
        </w:r>
        <w:r w:rsidR="002A3930">
          <w:rPr>
            <w:noProof/>
            <w:webHidden/>
          </w:rPr>
          <w:tab/>
        </w:r>
        <w:r w:rsidR="002A3930">
          <w:rPr>
            <w:noProof/>
            <w:webHidden/>
          </w:rPr>
          <w:fldChar w:fldCharType="begin"/>
        </w:r>
        <w:r w:rsidR="002A3930">
          <w:rPr>
            <w:noProof/>
            <w:webHidden/>
          </w:rPr>
          <w:instrText xml:space="preserve"> PAGEREF _Toc408908648 \h </w:instrText>
        </w:r>
        <w:r w:rsidR="002A3930">
          <w:rPr>
            <w:noProof/>
            <w:webHidden/>
          </w:rPr>
        </w:r>
        <w:r w:rsidR="002A3930">
          <w:rPr>
            <w:noProof/>
            <w:webHidden/>
          </w:rPr>
          <w:fldChar w:fldCharType="separate"/>
        </w:r>
        <w:r w:rsidR="000223E8">
          <w:rPr>
            <w:noProof/>
            <w:webHidden/>
          </w:rPr>
          <w:t>98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49" w:history="1">
        <w:r w:rsidR="002A3930" w:rsidRPr="00AF132F">
          <w:rPr>
            <w:rStyle w:val="Hyperlink"/>
            <w:noProof/>
          </w:rPr>
          <w:t>Table A2.5</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children subject to judicial decisions on national adoptions (CivAdm012)</w:t>
        </w:r>
        <w:r w:rsidR="002A3930">
          <w:rPr>
            <w:noProof/>
            <w:webHidden/>
          </w:rPr>
          <w:tab/>
        </w:r>
        <w:r w:rsidR="002A3930">
          <w:rPr>
            <w:noProof/>
            <w:webHidden/>
          </w:rPr>
          <w:fldChar w:fldCharType="begin"/>
        </w:r>
        <w:r w:rsidR="002A3930">
          <w:rPr>
            <w:noProof/>
            <w:webHidden/>
          </w:rPr>
          <w:instrText xml:space="preserve"> PAGEREF _Toc408908649 \h </w:instrText>
        </w:r>
        <w:r w:rsidR="002A3930">
          <w:rPr>
            <w:noProof/>
            <w:webHidden/>
          </w:rPr>
        </w:r>
        <w:r w:rsidR="002A3930">
          <w:rPr>
            <w:noProof/>
            <w:webHidden/>
          </w:rPr>
          <w:fldChar w:fldCharType="separate"/>
        </w:r>
        <w:r w:rsidR="000223E8">
          <w:rPr>
            <w:noProof/>
            <w:webHidden/>
          </w:rPr>
          <w:t>98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0" w:history="1">
        <w:r w:rsidR="002A3930" w:rsidRPr="00AF132F">
          <w:rPr>
            <w:rStyle w:val="Hyperlink"/>
            <w:noProof/>
          </w:rPr>
          <w:t>Table A2.6</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children subject to judicial decisions on inter-country adoptions (CivAdm013)</w:t>
        </w:r>
        <w:r w:rsidR="002A3930">
          <w:rPr>
            <w:noProof/>
            <w:webHidden/>
          </w:rPr>
          <w:tab/>
        </w:r>
        <w:r w:rsidR="002A3930">
          <w:rPr>
            <w:noProof/>
            <w:webHidden/>
          </w:rPr>
          <w:fldChar w:fldCharType="begin"/>
        </w:r>
        <w:r w:rsidR="002A3930">
          <w:rPr>
            <w:noProof/>
            <w:webHidden/>
          </w:rPr>
          <w:instrText xml:space="preserve"> PAGEREF _Toc408908650 \h </w:instrText>
        </w:r>
        <w:r w:rsidR="002A3930">
          <w:rPr>
            <w:noProof/>
            <w:webHidden/>
          </w:rPr>
        </w:r>
        <w:r w:rsidR="002A3930">
          <w:rPr>
            <w:noProof/>
            <w:webHidden/>
          </w:rPr>
          <w:fldChar w:fldCharType="separate"/>
        </w:r>
        <w:r w:rsidR="000223E8">
          <w:rPr>
            <w:noProof/>
            <w:webHidden/>
          </w:rPr>
          <w:t>99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1" w:history="1">
        <w:r w:rsidR="002A3930" w:rsidRPr="00AF132F">
          <w:rPr>
            <w:rStyle w:val="Hyperlink"/>
            <w:noProof/>
          </w:rPr>
          <w:t>Table A2.7</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first instance decisions on applications for asylum (age 0-17) (CivAdm016)</w:t>
        </w:r>
        <w:r w:rsidR="002A3930">
          <w:rPr>
            <w:noProof/>
            <w:webHidden/>
          </w:rPr>
          <w:tab/>
        </w:r>
        <w:r w:rsidR="002A3930">
          <w:rPr>
            <w:noProof/>
            <w:webHidden/>
          </w:rPr>
          <w:fldChar w:fldCharType="begin"/>
        </w:r>
        <w:r w:rsidR="002A3930">
          <w:rPr>
            <w:noProof/>
            <w:webHidden/>
          </w:rPr>
          <w:instrText xml:space="preserve"> PAGEREF _Toc408908651 \h </w:instrText>
        </w:r>
        <w:r w:rsidR="002A3930">
          <w:rPr>
            <w:noProof/>
            <w:webHidden/>
          </w:rPr>
        </w:r>
        <w:r w:rsidR="002A3930">
          <w:rPr>
            <w:noProof/>
            <w:webHidden/>
          </w:rPr>
          <w:fldChar w:fldCharType="separate"/>
        </w:r>
        <w:r w:rsidR="000223E8">
          <w:rPr>
            <w:noProof/>
            <w:webHidden/>
          </w:rPr>
          <w:t>99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2" w:history="1">
        <w:r w:rsidR="002A3930" w:rsidRPr="00AF132F">
          <w:rPr>
            <w:rStyle w:val="Hyperlink"/>
            <w:noProof/>
          </w:rPr>
          <w:t>Table A2.8</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unaccompanied children applying for asylum (age 0-17) (CivAdm019)</w:t>
        </w:r>
        <w:r w:rsidR="002A3930">
          <w:rPr>
            <w:noProof/>
            <w:webHidden/>
          </w:rPr>
          <w:tab/>
        </w:r>
        <w:r w:rsidR="002A3930">
          <w:rPr>
            <w:noProof/>
            <w:webHidden/>
          </w:rPr>
          <w:fldChar w:fldCharType="begin"/>
        </w:r>
        <w:r w:rsidR="002A3930">
          <w:rPr>
            <w:noProof/>
            <w:webHidden/>
          </w:rPr>
          <w:instrText xml:space="preserve"> PAGEREF _Toc408908652 \h </w:instrText>
        </w:r>
        <w:r w:rsidR="002A3930">
          <w:rPr>
            <w:noProof/>
            <w:webHidden/>
          </w:rPr>
        </w:r>
        <w:r w:rsidR="002A3930">
          <w:rPr>
            <w:noProof/>
            <w:webHidden/>
          </w:rPr>
          <w:fldChar w:fldCharType="separate"/>
        </w:r>
        <w:r w:rsidR="000223E8">
          <w:rPr>
            <w:noProof/>
            <w:webHidden/>
          </w:rPr>
          <w:t>100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3" w:history="1">
        <w:r w:rsidR="002A3930" w:rsidRPr="00AF132F">
          <w:rPr>
            <w:rStyle w:val="Hyperlink"/>
            <w:noProof/>
          </w:rPr>
          <w:t>Table A2.9</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child maintenance cases (CivAdm040)</w:t>
        </w:r>
        <w:r w:rsidR="002A3930">
          <w:rPr>
            <w:noProof/>
            <w:webHidden/>
          </w:rPr>
          <w:tab/>
        </w:r>
        <w:r w:rsidR="002A3930">
          <w:rPr>
            <w:noProof/>
            <w:webHidden/>
          </w:rPr>
          <w:fldChar w:fldCharType="begin"/>
        </w:r>
        <w:r w:rsidR="002A3930">
          <w:rPr>
            <w:noProof/>
            <w:webHidden/>
          </w:rPr>
          <w:instrText xml:space="preserve"> PAGEREF _Toc408908653 \h </w:instrText>
        </w:r>
        <w:r w:rsidR="002A3930">
          <w:rPr>
            <w:noProof/>
            <w:webHidden/>
          </w:rPr>
        </w:r>
        <w:r w:rsidR="002A3930">
          <w:rPr>
            <w:noProof/>
            <w:webHidden/>
          </w:rPr>
          <w:fldChar w:fldCharType="separate"/>
        </w:r>
        <w:r w:rsidR="000223E8">
          <w:rPr>
            <w:noProof/>
            <w:webHidden/>
          </w:rPr>
          <w:t>101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4" w:history="1">
        <w:r w:rsidR="002A3930" w:rsidRPr="00AF132F">
          <w:rPr>
            <w:rStyle w:val="Hyperlink"/>
            <w:noProof/>
          </w:rPr>
          <w:t>Table A2.10</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children who have received sanctions for criminal type or anti-social behaviour (e.g. ASBOS) (CivAdm036)</w:t>
        </w:r>
        <w:r w:rsidR="002A3930">
          <w:rPr>
            <w:noProof/>
            <w:webHidden/>
          </w:rPr>
          <w:tab/>
        </w:r>
        <w:r w:rsidR="002A3930">
          <w:rPr>
            <w:noProof/>
            <w:webHidden/>
          </w:rPr>
          <w:fldChar w:fldCharType="begin"/>
        </w:r>
        <w:r w:rsidR="002A3930">
          <w:rPr>
            <w:noProof/>
            <w:webHidden/>
          </w:rPr>
          <w:instrText xml:space="preserve"> PAGEREF _Toc408908654 \h </w:instrText>
        </w:r>
        <w:r w:rsidR="002A3930">
          <w:rPr>
            <w:noProof/>
            <w:webHidden/>
          </w:rPr>
        </w:r>
        <w:r w:rsidR="002A3930">
          <w:rPr>
            <w:noProof/>
            <w:webHidden/>
          </w:rPr>
          <w:fldChar w:fldCharType="separate"/>
        </w:r>
        <w:r w:rsidR="000223E8">
          <w:rPr>
            <w:noProof/>
            <w:webHidden/>
          </w:rPr>
          <w:t>102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5" w:history="1">
        <w:r w:rsidR="002A3930" w:rsidRPr="00AF132F">
          <w:rPr>
            <w:rStyle w:val="Hyperlink"/>
            <w:noProof/>
          </w:rPr>
          <w:t>Table A2.11</w:t>
        </w:r>
        <w:r w:rsidR="002A3930">
          <w:rPr>
            <w:rFonts w:asciiTheme="minorHAnsi" w:eastAsiaTheme="minorEastAsia" w:hAnsiTheme="minorHAnsi" w:cstheme="minorBidi"/>
            <w:noProof/>
            <w:sz w:val="22"/>
            <w:szCs w:val="22"/>
            <w:lang w:eastAsia="en-GB"/>
          </w:rPr>
          <w:tab/>
        </w:r>
        <w:r w:rsidR="002A3930" w:rsidRPr="00AF132F">
          <w:rPr>
            <w:rStyle w:val="Hyperlink"/>
            <w:noProof/>
          </w:rPr>
          <w:t>Number of children who have received sanctions imposed by the court for road traffic offences (CivAdm037)</w:t>
        </w:r>
        <w:r w:rsidR="002A3930">
          <w:rPr>
            <w:noProof/>
            <w:webHidden/>
          </w:rPr>
          <w:tab/>
        </w:r>
        <w:r w:rsidR="002A3930">
          <w:rPr>
            <w:noProof/>
            <w:webHidden/>
          </w:rPr>
          <w:fldChar w:fldCharType="begin"/>
        </w:r>
        <w:r w:rsidR="002A3930">
          <w:rPr>
            <w:noProof/>
            <w:webHidden/>
          </w:rPr>
          <w:instrText xml:space="preserve"> PAGEREF _Toc408908655 \h </w:instrText>
        </w:r>
        <w:r w:rsidR="002A3930">
          <w:rPr>
            <w:noProof/>
            <w:webHidden/>
          </w:rPr>
        </w:r>
        <w:r w:rsidR="002A3930">
          <w:rPr>
            <w:noProof/>
            <w:webHidden/>
          </w:rPr>
          <w:fldChar w:fldCharType="separate"/>
        </w:r>
        <w:r w:rsidR="000223E8">
          <w:rPr>
            <w:noProof/>
            <w:webHidden/>
          </w:rPr>
          <w:t>102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6" w:history="1">
        <w:r w:rsidR="002A3930" w:rsidRPr="00AF132F">
          <w:rPr>
            <w:rStyle w:val="Hyperlink"/>
            <w:noProof/>
          </w:rPr>
          <w:t>Table A2.12</w:t>
        </w:r>
        <w:r w:rsidR="002A3930">
          <w:rPr>
            <w:rFonts w:asciiTheme="minorHAnsi" w:eastAsiaTheme="minorEastAsia" w:hAnsiTheme="minorHAnsi" w:cstheme="minorBidi"/>
            <w:noProof/>
            <w:sz w:val="22"/>
            <w:szCs w:val="22"/>
            <w:lang w:eastAsia="en-GB"/>
          </w:rPr>
          <w:tab/>
        </w:r>
        <w:r w:rsidR="002A3930" w:rsidRPr="00AF132F">
          <w:rPr>
            <w:rStyle w:val="Hyperlink"/>
            <w:noProof/>
          </w:rPr>
          <w:t>Court cases concerning institutional care placement (CivAdm009)</w:t>
        </w:r>
        <w:r w:rsidR="002A3930">
          <w:rPr>
            <w:noProof/>
            <w:webHidden/>
          </w:rPr>
          <w:tab/>
        </w:r>
        <w:r w:rsidR="002A3930">
          <w:rPr>
            <w:noProof/>
            <w:webHidden/>
          </w:rPr>
          <w:fldChar w:fldCharType="begin"/>
        </w:r>
        <w:r w:rsidR="002A3930">
          <w:rPr>
            <w:noProof/>
            <w:webHidden/>
          </w:rPr>
          <w:instrText xml:space="preserve"> PAGEREF _Toc408908656 \h </w:instrText>
        </w:r>
        <w:r w:rsidR="002A3930">
          <w:rPr>
            <w:noProof/>
            <w:webHidden/>
          </w:rPr>
        </w:r>
        <w:r w:rsidR="002A3930">
          <w:rPr>
            <w:noProof/>
            <w:webHidden/>
          </w:rPr>
          <w:fldChar w:fldCharType="separate"/>
        </w:r>
        <w:r w:rsidR="000223E8">
          <w:rPr>
            <w:noProof/>
            <w:webHidden/>
          </w:rPr>
          <w:t>102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7" w:history="1">
        <w:r w:rsidR="002A3930" w:rsidRPr="00AF132F">
          <w:rPr>
            <w:rStyle w:val="Hyperlink"/>
            <w:noProof/>
          </w:rPr>
          <w:t>Table A2.13</w:t>
        </w:r>
        <w:r w:rsidR="002A3930">
          <w:rPr>
            <w:rFonts w:asciiTheme="minorHAnsi" w:eastAsiaTheme="minorEastAsia" w:hAnsiTheme="minorHAnsi" w:cstheme="minorBidi"/>
            <w:noProof/>
            <w:sz w:val="22"/>
            <w:szCs w:val="22"/>
            <w:lang w:eastAsia="en-GB"/>
          </w:rPr>
          <w:tab/>
        </w:r>
        <w:r w:rsidR="002A3930" w:rsidRPr="00AF132F">
          <w:rPr>
            <w:rStyle w:val="Hyperlink"/>
            <w:noProof/>
          </w:rPr>
          <w:t>Court cases concerning children placed with a foster family during a 12 month period (CivAdm011)</w:t>
        </w:r>
        <w:r w:rsidR="002A3930">
          <w:rPr>
            <w:noProof/>
            <w:webHidden/>
          </w:rPr>
          <w:tab/>
        </w:r>
        <w:r w:rsidR="002A3930">
          <w:rPr>
            <w:noProof/>
            <w:webHidden/>
          </w:rPr>
          <w:fldChar w:fldCharType="begin"/>
        </w:r>
        <w:r w:rsidR="002A3930">
          <w:rPr>
            <w:noProof/>
            <w:webHidden/>
          </w:rPr>
          <w:instrText xml:space="preserve"> PAGEREF _Toc408908657 \h </w:instrText>
        </w:r>
        <w:r w:rsidR="002A3930">
          <w:rPr>
            <w:noProof/>
            <w:webHidden/>
          </w:rPr>
        </w:r>
        <w:r w:rsidR="002A3930">
          <w:rPr>
            <w:noProof/>
            <w:webHidden/>
          </w:rPr>
          <w:fldChar w:fldCharType="separate"/>
        </w:r>
        <w:r w:rsidR="000223E8">
          <w:rPr>
            <w:noProof/>
            <w:webHidden/>
          </w:rPr>
          <w:t>102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8" w:history="1">
        <w:r w:rsidR="002A3930" w:rsidRPr="00AF132F">
          <w:rPr>
            <w:rStyle w:val="Hyperlink"/>
            <w:noProof/>
          </w:rPr>
          <w:t>Table A2.14</w:t>
        </w:r>
        <w:r w:rsidR="002A3930">
          <w:rPr>
            <w:rFonts w:asciiTheme="minorHAnsi" w:eastAsiaTheme="minorEastAsia" w:hAnsiTheme="minorHAnsi" w:cstheme="minorBidi"/>
            <w:noProof/>
            <w:sz w:val="22"/>
            <w:szCs w:val="22"/>
            <w:lang w:eastAsia="en-GB"/>
          </w:rPr>
          <w:tab/>
        </w:r>
        <w:r w:rsidR="002A3930" w:rsidRPr="00AF132F">
          <w:rPr>
            <w:rStyle w:val="Hyperlink"/>
            <w:noProof/>
          </w:rPr>
          <w:t>Member States which provide approximate data for the key indicators</w:t>
        </w:r>
        <w:r w:rsidR="002A3930">
          <w:rPr>
            <w:noProof/>
            <w:webHidden/>
          </w:rPr>
          <w:tab/>
        </w:r>
        <w:r w:rsidR="002A3930">
          <w:rPr>
            <w:noProof/>
            <w:webHidden/>
          </w:rPr>
          <w:fldChar w:fldCharType="begin"/>
        </w:r>
        <w:r w:rsidR="002A3930">
          <w:rPr>
            <w:noProof/>
            <w:webHidden/>
          </w:rPr>
          <w:instrText xml:space="preserve"> PAGEREF _Toc408908658 \h </w:instrText>
        </w:r>
        <w:r w:rsidR="002A3930">
          <w:rPr>
            <w:noProof/>
            <w:webHidden/>
          </w:rPr>
        </w:r>
        <w:r w:rsidR="002A3930">
          <w:rPr>
            <w:noProof/>
            <w:webHidden/>
          </w:rPr>
          <w:fldChar w:fldCharType="separate"/>
        </w:r>
        <w:r w:rsidR="000223E8">
          <w:rPr>
            <w:noProof/>
            <w:webHidden/>
          </w:rPr>
          <w:t>103</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59" w:history="1">
        <w:r w:rsidR="002A3930" w:rsidRPr="00AF132F">
          <w:rPr>
            <w:rStyle w:val="Hyperlink"/>
            <w:noProof/>
          </w:rPr>
          <w:t>Table A2.15</w:t>
        </w:r>
        <w:r w:rsidR="002A3930">
          <w:rPr>
            <w:rFonts w:asciiTheme="minorHAnsi" w:eastAsiaTheme="minorEastAsia" w:hAnsiTheme="minorHAnsi" w:cstheme="minorBidi"/>
            <w:noProof/>
            <w:sz w:val="22"/>
            <w:szCs w:val="22"/>
            <w:lang w:eastAsia="en-GB"/>
          </w:rPr>
          <w:tab/>
        </w:r>
        <w:r w:rsidR="002A3930" w:rsidRPr="00AF132F">
          <w:rPr>
            <w:rStyle w:val="Hyperlink"/>
            <w:noProof/>
          </w:rPr>
          <w:t>Member States which provide approximate data for the key indicators</w:t>
        </w:r>
        <w:r w:rsidR="002A3930">
          <w:rPr>
            <w:noProof/>
            <w:webHidden/>
          </w:rPr>
          <w:tab/>
        </w:r>
        <w:r w:rsidR="002A3930">
          <w:rPr>
            <w:noProof/>
            <w:webHidden/>
          </w:rPr>
          <w:fldChar w:fldCharType="begin"/>
        </w:r>
        <w:r w:rsidR="002A3930">
          <w:rPr>
            <w:noProof/>
            <w:webHidden/>
          </w:rPr>
          <w:instrText xml:space="preserve"> PAGEREF _Toc408908659 \h </w:instrText>
        </w:r>
        <w:r w:rsidR="002A3930">
          <w:rPr>
            <w:noProof/>
            <w:webHidden/>
          </w:rPr>
        </w:r>
        <w:r w:rsidR="002A3930">
          <w:rPr>
            <w:noProof/>
            <w:webHidden/>
          </w:rPr>
          <w:fldChar w:fldCharType="separate"/>
        </w:r>
        <w:r w:rsidR="000223E8">
          <w:rPr>
            <w:noProof/>
            <w:webHidden/>
          </w:rPr>
          <w:t>103</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0" w:history="1">
        <w:r w:rsidR="002A3930" w:rsidRPr="00AF132F">
          <w:rPr>
            <w:rStyle w:val="Hyperlink"/>
            <w:noProof/>
          </w:rPr>
          <w:t>Table A2.16</w:t>
        </w:r>
        <w:r w:rsidR="002A3930">
          <w:rPr>
            <w:rFonts w:asciiTheme="minorHAnsi" w:eastAsiaTheme="minorEastAsia" w:hAnsiTheme="minorHAnsi" w:cstheme="minorBidi"/>
            <w:noProof/>
            <w:sz w:val="22"/>
            <w:szCs w:val="22"/>
            <w:lang w:eastAsia="en-GB"/>
          </w:rPr>
          <w:tab/>
        </w:r>
        <w:r w:rsidR="002A3930" w:rsidRPr="00AF132F">
          <w:rPr>
            <w:rStyle w:val="Hyperlink"/>
            <w:noProof/>
          </w:rPr>
          <w:t>Total number of children involved in selected criminal, civil and administrative judicial proceedings (per 100,000 children per annum) in 2010</w:t>
        </w:r>
        <w:r w:rsidR="002A3930">
          <w:rPr>
            <w:noProof/>
            <w:webHidden/>
          </w:rPr>
          <w:tab/>
        </w:r>
        <w:r w:rsidR="002A3930">
          <w:rPr>
            <w:noProof/>
            <w:webHidden/>
          </w:rPr>
          <w:fldChar w:fldCharType="begin"/>
        </w:r>
        <w:r w:rsidR="002A3930">
          <w:rPr>
            <w:noProof/>
            <w:webHidden/>
          </w:rPr>
          <w:instrText xml:space="preserve"> PAGEREF _Toc408908660 \h </w:instrText>
        </w:r>
        <w:r w:rsidR="002A3930">
          <w:rPr>
            <w:noProof/>
            <w:webHidden/>
          </w:rPr>
        </w:r>
        <w:r w:rsidR="002A3930">
          <w:rPr>
            <w:noProof/>
            <w:webHidden/>
          </w:rPr>
          <w:fldChar w:fldCharType="separate"/>
        </w:r>
        <w:r w:rsidR="000223E8">
          <w:rPr>
            <w:noProof/>
            <w:webHidden/>
          </w:rPr>
          <w:t>104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1" w:history="1">
        <w:r w:rsidR="002A3930" w:rsidRPr="00AF132F">
          <w:rPr>
            <w:rStyle w:val="Hyperlink"/>
            <w:noProof/>
          </w:rPr>
          <w:t>Table A3.1</w:t>
        </w:r>
        <w:r w:rsidR="002A3930">
          <w:rPr>
            <w:rFonts w:asciiTheme="minorHAnsi" w:eastAsiaTheme="minorEastAsia" w:hAnsiTheme="minorHAnsi" w:cstheme="minorBidi"/>
            <w:noProof/>
            <w:sz w:val="22"/>
            <w:szCs w:val="22"/>
            <w:lang w:eastAsia="en-GB"/>
          </w:rPr>
          <w:tab/>
        </w:r>
        <w:r w:rsidR="002A3930" w:rsidRPr="00AF132F">
          <w:rPr>
            <w:rStyle w:val="Hyperlink"/>
            <w:noProof/>
          </w:rPr>
          <w:t>Draft civil and administrative justice coverage table</w:t>
        </w:r>
        <w:r w:rsidR="002A3930">
          <w:rPr>
            <w:noProof/>
            <w:webHidden/>
          </w:rPr>
          <w:tab/>
        </w:r>
        <w:r w:rsidR="002A3930">
          <w:rPr>
            <w:noProof/>
            <w:webHidden/>
          </w:rPr>
          <w:fldChar w:fldCharType="begin"/>
        </w:r>
        <w:r w:rsidR="002A3930">
          <w:rPr>
            <w:noProof/>
            <w:webHidden/>
          </w:rPr>
          <w:instrText xml:space="preserve"> PAGEREF _Toc408908661 \h </w:instrText>
        </w:r>
        <w:r w:rsidR="002A3930">
          <w:rPr>
            <w:noProof/>
            <w:webHidden/>
          </w:rPr>
        </w:r>
        <w:r w:rsidR="002A3930">
          <w:rPr>
            <w:noProof/>
            <w:webHidden/>
          </w:rPr>
          <w:fldChar w:fldCharType="separate"/>
        </w:r>
        <w:r w:rsidR="000223E8">
          <w:rPr>
            <w:noProof/>
            <w:webHidden/>
          </w:rPr>
          <w:t>109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2" w:history="1">
        <w:r w:rsidR="002A3930" w:rsidRPr="00AF132F">
          <w:rPr>
            <w:rStyle w:val="Hyperlink"/>
            <w:noProof/>
          </w:rPr>
          <w:t>Table A3.2</w:t>
        </w:r>
        <w:r w:rsidR="002A3930">
          <w:rPr>
            <w:rFonts w:asciiTheme="minorHAnsi" w:eastAsiaTheme="minorEastAsia" w:hAnsiTheme="minorHAnsi" w:cstheme="minorBidi"/>
            <w:noProof/>
            <w:sz w:val="22"/>
            <w:szCs w:val="22"/>
            <w:lang w:eastAsia="en-GB"/>
          </w:rPr>
          <w:tab/>
        </w:r>
        <w:r w:rsidR="002A3930" w:rsidRPr="00AF132F">
          <w:rPr>
            <w:rStyle w:val="Hyperlink"/>
            <w:noProof/>
          </w:rPr>
          <w:t>Minimum age at which a child plaintiff can bring a case to court in their own right (including MACR for reference)</w:t>
        </w:r>
        <w:r w:rsidR="002A3930">
          <w:rPr>
            <w:noProof/>
            <w:webHidden/>
          </w:rPr>
          <w:tab/>
        </w:r>
        <w:r w:rsidR="002A3930">
          <w:rPr>
            <w:noProof/>
            <w:webHidden/>
          </w:rPr>
          <w:fldChar w:fldCharType="begin"/>
        </w:r>
        <w:r w:rsidR="002A3930">
          <w:rPr>
            <w:noProof/>
            <w:webHidden/>
          </w:rPr>
          <w:instrText xml:space="preserve"> PAGEREF _Toc408908662 \h </w:instrText>
        </w:r>
        <w:r w:rsidR="002A3930">
          <w:rPr>
            <w:noProof/>
            <w:webHidden/>
          </w:rPr>
        </w:r>
        <w:r w:rsidR="002A3930">
          <w:rPr>
            <w:noProof/>
            <w:webHidden/>
          </w:rPr>
          <w:fldChar w:fldCharType="separate"/>
        </w:r>
        <w:r w:rsidR="000223E8">
          <w:rPr>
            <w:noProof/>
            <w:webHidden/>
          </w:rPr>
          <w:t>121</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3" w:history="1">
        <w:r w:rsidR="002A3930" w:rsidRPr="00AF132F">
          <w:rPr>
            <w:rStyle w:val="Hyperlink"/>
            <w:noProof/>
          </w:rPr>
          <w:t>Table A3.5</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legal obligation on the part of the court to obtain a comprehensive understanding of children involved in judicial proceedings and assess his or her legal, psychological, social, emotional, physical and cognitive situation using a multidisciplinary approach (CivAdm099)</w:t>
        </w:r>
        <w:r w:rsidR="002A3930">
          <w:rPr>
            <w:noProof/>
            <w:webHidden/>
          </w:rPr>
          <w:tab/>
        </w:r>
        <w:r w:rsidR="002A3930">
          <w:rPr>
            <w:noProof/>
            <w:webHidden/>
          </w:rPr>
          <w:fldChar w:fldCharType="begin"/>
        </w:r>
        <w:r w:rsidR="002A3930">
          <w:rPr>
            <w:noProof/>
            <w:webHidden/>
          </w:rPr>
          <w:instrText xml:space="preserve"> PAGEREF _Toc408908663 \h </w:instrText>
        </w:r>
        <w:r w:rsidR="002A3930">
          <w:rPr>
            <w:noProof/>
            <w:webHidden/>
          </w:rPr>
        </w:r>
        <w:r w:rsidR="002A3930">
          <w:rPr>
            <w:noProof/>
            <w:webHidden/>
          </w:rPr>
          <w:fldChar w:fldCharType="separate"/>
        </w:r>
        <w:r w:rsidR="000223E8">
          <w:rPr>
            <w:noProof/>
            <w:webHidden/>
          </w:rPr>
          <w:t>125</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4" w:history="1">
        <w:r w:rsidR="002A3930" w:rsidRPr="00AF132F">
          <w:rPr>
            <w:rStyle w:val="Hyperlink"/>
            <w:noProof/>
          </w:rPr>
          <w:t>Table A3.6</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legal obligation to provide multidisciplinary training (as part of capacity building programme) to all professionals who work for and with children on the rights and needs of children of different age groups as well as on proceedings that are adapted to them (CivAdm94a)</w:t>
        </w:r>
        <w:r w:rsidR="002A3930">
          <w:rPr>
            <w:noProof/>
            <w:webHidden/>
          </w:rPr>
          <w:tab/>
        </w:r>
        <w:r w:rsidR="002A3930">
          <w:rPr>
            <w:noProof/>
            <w:webHidden/>
          </w:rPr>
          <w:fldChar w:fldCharType="begin"/>
        </w:r>
        <w:r w:rsidR="002A3930">
          <w:rPr>
            <w:noProof/>
            <w:webHidden/>
          </w:rPr>
          <w:instrText xml:space="preserve"> PAGEREF _Toc408908664 \h </w:instrText>
        </w:r>
        <w:r w:rsidR="002A3930">
          <w:rPr>
            <w:noProof/>
            <w:webHidden/>
          </w:rPr>
        </w:r>
        <w:r w:rsidR="002A3930">
          <w:rPr>
            <w:noProof/>
            <w:webHidden/>
          </w:rPr>
          <w:fldChar w:fldCharType="separate"/>
        </w:r>
        <w:r w:rsidR="000223E8">
          <w:rPr>
            <w:noProof/>
            <w:webHidden/>
          </w:rPr>
          <w:t>126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5" w:history="1">
        <w:r w:rsidR="002A3930" w:rsidRPr="00AF132F">
          <w:rPr>
            <w:rStyle w:val="Hyperlink"/>
            <w:noProof/>
          </w:rPr>
          <w:t>Table A3.7</w:t>
        </w:r>
        <w:r w:rsidR="002A3930">
          <w:rPr>
            <w:rFonts w:asciiTheme="minorHAnsi" w:eastAsiaTheme="minorEastAsia" w:hAnsiTheme="minorHAnsi" w:cstheme="minorBidi"/>
            <w:noProof/>
            <w:sz w:val="22"/>
            <w:szCs w:val="22"/>
            <w:lang w:eastAsia="en-GB"/>
          </w:rPr>
          <w:tab/>
        </w:r>
        <w:r w:rsidR="002A3930" w:rsidRPr="00AF132F">
          <w:rPr>
            <w:rStyle w:val="Hyperlink"/>
            <w:noProof/>
          </w:rPr>
          <w:t>Multidisciplinary training is available but not mandatory (CivAdm094b)</w:t>
        </w:r>
        <w:r w:rsidR="002A3930">
          <w:rPr>
            <w:noProof/>
            <w:webHidden/>
          </w:rPr>
          <w:tab/>
        </w:r>
        <w:r w:rsidR="002A3930">
          <w:rPr>
            <w:noProof/>
            <w:webHidden/>
          </w:rPr>
          <w:fldChar w:fldCharType="begin"/>
        </w:r>
        <w:r w:rsidR="002A3930">
          <w:rPr>
            <w:noProof/>
            <w:webHidden/>
          </w:rPr>
          <w:instrText xml:space="preserve"> PAGEREF _Toc408908665 \h </w:instrText>
        </w:r>
        <w:r w:rsidR="002A3930">
          <w:rPr>
            <w:noProof/>
            <w:webHidden/>
          </w:rPr>
        </w:r>
        <w:r w:rsidR="002A3930">
          <w:rPr>
            <w:noProof/>
            <w:webHidden/>
          </w:rPr>
          <w:fldChar w:fldCharType="separate"/>
        </w:r>
        <w:r w:rsidR="000223E8">
          <w:rPr>
            <w:noProof/>
            <w:webHidden/>
          </w:rPr>
          <w:t>128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6" w:history="1">
        <w:r w:rsidR="002A3930" w:rsidRPr="00AF132F">
          <w:rPr>
            <w:rStyle w:val="Hyperlink"/>
            <w:noProof/>
          </w:rPr>
          <w:t>Table A3.8</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procedures to ensure that the records of children are kept strictly confidential and closed to third parties (CivAdm086a)</w:t>
        </w:r>
        <w:r w:rsidR="002A3930">
          <w:rPr>
            <w:noProof/>
            <w:webHidden/>
          </w:rPr>
          <w:tab/>
        </w:r>
        <w:r w:rsidR="002A3930">
          <w:rPr>
            <w:noProof/>
            <w:webHidden/>
          </w:rPr>
          <w:fldChar w:fldCharType="begin"/>
        </w:r>
        <w:r w:rsidR="002A3930">
          <w:rPr>
            <w:noProof/>
            <w:webHidden/>
          </w:rPr>
          <w:instrText xml:space="preserve"> PAGEREF _Toc408908666 \h </w:instrText>
        </w:r>
        <w:r w:rsidR="002A3930">
          <w:rPr>
            <w:noProof/>
            <w:webHidden/>
          </w:rPr>
        </w:r>
        <w:r w:rsidR="002A3930">
          <w:rPr>
            <w:noProof/>
            <w:webHidden/>
          </w:rPr>
          <w:fldChar w:fldCharType="separate"/>
        </w:r>
        <w:r w:rsidR="000223E8">
          <w:rPr>
            <w:noProof/>
            <w:webHidden/>
          </w:rPr>
          <w:t>129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7" w:history="1">
        <w:r w:rsidR="002A3930" w:rsidRPr="00AF132F">
          <w:rPr>
            <w:rStyle w:val="Hyperlink"/>
            <w:noProof/>
          </w:rPr>
          <w:t>Table A4.1</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on the right of children involved in civil and administrative proceedings to receive information on rights and procedures involved (CivAdm068a)</w:t>
        </w:r>
        <w:r w:rsidR="002A3930">
          <w:rPr>
            <w:noProof/>
            <w:webHidden/>
          </w:rPr>
          <w:tab/>
        </w:r>
        <w:r w:rsidR="002A3930">
          <w:rPr>
            <w:noProof/>
            <w:webHidden/>
          </w:rPr>
          <w:fldChar w:fldCharType="begin"/>
        </w:r>
        <w:r w:rsidR="002A3930">
          <w:rPr>
            <w:noProof/>
            <w:webHidden/>
          </w:rPr>
          <w:instrText xml:space="preserve"> PAGEREF _Toc408908667 \h </w:instrText>
        </w:r>
        <w:r w:rsidR="002A3930">
          <w:rPr>
            <w:noProof/>
            <w:webHidden/>
          </w:rPr>
        </w:r>
        <w:r w:rsidR="002A3930">
          <w:rPr>
            <w:noProof/>
            <w:webHidden/>
          </w:rPr>
          <w:fldChar w:fldCharType="separate"/>
        </w:r>
        <w:r w:rsidR="000223E8">
          <w:rPr>
            <w:noProof/>
            <w:webHidden/>
          </w:rPr>
          <w:t>130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8" w:history="1">
        <w:r w:rsidR="002A3930" w:rsidRPr="00AF132F">
          <w:rPr>
            <w:rStyle w:val="Hyperlink"/>
            <w:noProof/>
          </w:rPr>
          <w:t>Table A4.2</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on the right of children involved in judicial proceedings to privacy (CivAdm080a)</w:t>
        </w:r>
        <w:r w:rsidR="002A3930">
          <w:rPr>
            <w:noProof/>
            <w:webHidden/>
          </w:rPr>
          <w:tab/>
        </w:r>
        <w:r w:rsidR="002A3930">
          <w:rPr>
            <w:noProof/>
            <w:webHidden/>
          </w:rPr>
          <w:fldChar w:fldCharType="begin"/>
        </w:r>
        <w:r w:rsidR="002A3930">
          <w:rPr>
            <w:noProof/>
            <w:webHidden/>
          </w:rPr>
          <w:instrText xml:space="preserve"> PAGEREF _Toc408908668 \h </w:instrText>
        </w:r>
        <w:r w:rsidR="002A3930">
          <w:rPr>
            <w:noProof/>
            <w:webHidden/>
          </w:rPr>
        </w:r>
        <w:r w:rsidR="002A3930">
          <w:rPr>
            <w:noProof/>
            <w:webHidden/>
          </w:rPr>
          <w:fldChar w:fldCharType="separate"/>
        </w:r>
        <w:r w:rsidR="000223E8">
          <w:rPr>
            <w:noProof/>
            <w:webHidden/>
          </w:rPr>
          <w:t>132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69" w:history="1">
        <w:r w:rsidR="002A3930" w:rsidRPr="00AF132F">
          <w:rPr>
            <w:rStyle w:val="Hyperlink"/>
            <w:noProof/>
          </w:rPr>
          <w:t>Table A4.3</w:t>
        </w:r>
        <w:r w:rsidR="002A3930">
          <w:rPr>
            <w:rFonts w:asciiTheme="minorHAnsi" w:eastAsiaTheme="minorEastAsia" w:hAnsiTheme="minorHAnsi" w:cstheme="minorBidi"/>
            <w:noProof/>
            <w:sz w:val="22"/>
            <w:szCs w:val="22"/>
            <w:lang w:eastAsia="en-GB"/>
          </w:rPr>
          <w:tab/>
        </w:r>
        <w:r w:rsidR="002A3930" w:rsidRPr="00AF132F">
          <w:rPr>
            <w:rStyle w:val="Hyperlink"/>
            <w:noProof/>
          </w:rPr>
          <w:t xml:space="preserve">Existence of legislative measures to prevent violations of the privacy rights of children by the media at all stages of the proceedings (CivAdm089) </w:t>
        </w:r>
        <w:r w:rsidR="002A3930">
          <w:rPr>
            <w:noProof/>
            <w:webHidden/>
          </w:rPr>
          <w:tab/>
        </w:r>
        <w:r w:rsidR="002A3930">
          <w:rPr>
            <w:noProof/>
            <w:webHidden/>
          </w:rPr>
          <w:fldChar w:fldCharType="begin"/>
        </w:r>
        <w:r w:rsidR="002A3930">
          <w:rPr>
            <w:noProof/>
            <w:webHidden/>
          </w:rPr>
          <w:instrText xml:space="preserve"> PAGEREF _Toc408908669 \h </w:instrText>
        </w:r>
        <w:r w:rsidR="002A3930">
          <w:rPr>
            <w:noProof/>
            <w:webHidden/>
          </w:rPr>
        </w:r>
        <w:r w:rsidR="002A3930">
          <w:rPr>
            <w:noProof/>
            <w:webHidden/>
          </w:rPr>
          <w:fldChar w:fldCharType="separate"/>
        </w:r>
        <w:r w:rsidR="000223E8">
          <w:rPr>
            <w:noProof/>
            <w:webHidden/>
          </w:rPr>
          <w:t>134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0" w:history="1">
        <w:r w:rsidR="002A3930" w:rsidRPr="00AF132F">
          <w:rPr>
            <w:rStyle w:val="Hyperlink"/>
            <w:noProof/>
          </w:rPr>
          <w:t>Table A4.4</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on the child's right to be heard, disaggregated by type of proceeding (CivAdm127)</w:t>
        </w:r>
        <w:r w:rsidR="002A3930">
          <w:rPr>
            <w:noProof/>
            <w:webHidden/>
          </w:rPr>
          <w:tab/>
        </w:r>
        <w:r w:rsidR="002A3930">
          <w:rPr>
            <w:noProof/>
            <w:webHidden/>
          </w:rPr>
          <w:fldChar w:fldCharType="begin"/>
        </w:r>
        <w:r w:rsidR="002A3930">
          <w:rPr>
            <w:noProof/>
            <w:webHidden/>
          </w:rPr>
          <w:instrText xml:space="preserve"> PAGEREF _Toc408908670 \h </w:instrText>
        </w:r>
        <w:r w:rsidR="002A3930">
          <w:rPr>
            <w:noProof/>
            <w:webHidden/>
          </w:rPr>
        </w:r>
        <w:r w:rsidR="002A3930">
          <w:rPr>
            <w:noProof/>
            <w:webHidden/>
          </w:rPr>
          <w:fldChar w:fldCharType="separate"/>
        </w:r>
        <w:r w:rsidR="000223E8">
          <w:rPr>
            <w:noProof/>
            <w:webHidden/>
          </w:rPr>
          <w:t>136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1" w:history="1">
        <w:r w:rsidR="002A3930" w:rsidRPr="00AF132F">
          <w:rPr>
            <w:rStyle w:val="Hyperlink"/>
            <w:noProof/>
          </w:rPr>
          <w:t>Table A4.5</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on the right of children to interpretation and translation services in order to support the right to be heard (CivAdm133)</w:t>
        </w:r>
        <w:r w:rsidR="002A3930">
          <w:rPr>
            <w:noProof/>
            <w:webHidden/>
          </w:rPr>
          <w:tab/>
        </w:r>
        <w:r w:rsidR="002A3930">
          <w:rPr>
            <w:noProof/>
            <w:webHidden/>
          </w:rPr>
          <w:fldChar w:fldCharType="begin"/>
        </w:r>
        <w:r w:rsidR="002A3930">
          <w:rPr>
            <w:noProof/>
            <w:webHidden/>
          </w:rPr>
          <w:instrText xml:space="preserve"> PAGEREF _Toc408908671 \h </w:instrText>
        </w:r>
        <w:r w:rsidR="002A3930">
          <w:rPr>
            <w:noProof/>
            <w:webHidden/>
          </w:rPr>
        </w:r>
        <w:r w:rsidR="002A3930">
          <w:rPr>
            <w:noProof/>
            <w:webHidden/>
          </w:rPr>
          <w:fldChar w:fldCharType="separate"/>
        </w:r>
        <w:r w:rsidR="000223E8">
          <w:rPr>
            <w:noProof/>
            <w:webHidden/>
          </w:rPr>
          <w:t>138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2" w:history="1">
        <w:r w:rsidR="002A3930" w:rsidRPr="00AF132F">
          <w:rPr>
            <w:rStyle w:val="Hyperlink"/>
            <w:noProof/>
          </w:rPr>
          <w:t>Table A4.6</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legal obligation for judicial authorities to avoid undue delay in their handling of cases involving children (urgency principle) (CivAdm105)</w:t>
        </w:r>
        <w:r w:rsidR="002A3930">
          <w:rPr>
            <w:noProof/>
            <w:webHidden/>
          </w:rPr>
          <w:tab/>
        </w:r>
        <w:r w:rsidR="002A3930">
          <w:rPr>
            <w:noProof/>
            <w:webHidden/>
          </w:rPr>
          <w:fldChar w:fldCharType="begin"/>
        </w:r>
        <w:r w:rsidR="002A3930">
          <w:rPr>
            <w:noProof/>
            <w:webHidden/>
          </w:rPr>
          <w:instrText xml:space="preserve"> PAGEREF _Toc408908672 \h </w:instrText>
        </w:r>
        <w:r w:rsidR="002A3930">
          <w:rPr>
            <w:noProof/>
            <w:webHidden/>
          </w:rPr>
        </w:r>
        <w:r w:rsidR="002A3930">
          <w:rPr>
            <w:noProof/>
            <w:webHidden/>
          </w:rPr>
          <w:fldChar w:fldCharType="separate"/>
        </w:r>
        <w:r w:rsidR="000223E8">
          <w:rPr>
            <w:noProof/>
            <w:webHidden/>
          </w:rPr>
          <w:t>140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3" w:history="1">
        <w:r w:rsidR="002A3930" w:rsidRPr="00AF132F">
          <w:rPr>
            <w:rStyle w:val="Hyperlink"/>
            <w:noProof/>
          </w:rPr>
          <w:t>Table A4.7</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statutory provision to ensure that evidence provided through audio-visual recordings is admissible (CivAdm112)</w:t>
        </w:r>
        <w:r w:rsidR="002A3930">
          <w:rPr>
            <w:noProof/>
            <w:webHidden/>
          </w:rPr>
          <w:tab/>
        </w:r>
        <w:r w:rsidR="002A3930">
          <w:rPr>
            <w:noProof/>
            <w:webHidden/>
          </w:rPr>
          <w:fldChar w:fldCharType="begin"/>
        </w:r>
        <w:r w:rsidR="002A3930">
          <w:rPr>
            <w:noProof/>
            <w:webHidden/>
          </w:rPr>
          <w:instrText xml:space="preserve"> PAGEREF _Toc408908673 \h </w:instrText>
        </w:r>
        <w:r w:rsidR="002A3930">
          <w:rPr>
            <w:noProof/>
            <w:webHidden/>
          </w:rPr>
        </w:r>
        <w:r w:rsidR="002A3930">
          <w:rPr>
            <w:noProof/>
            <w:webHidden/>
          </w:rPr>
          <w:fldChar w:fldCharType="separate"/>
        </w:r>
        <w:r w:rsidR="000223E8">
          <w:rPr>
            <w:noProof/>
            <w:webHidden/>
          </w:rPr>
          <w:t>142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4" w:history="1">
        <w:r w:rsidR="002A3930" w:rsidRPr="00AF132F">
          <w:rPr>
            <w:rStyle w:val="Hyperlink"/>
            <w:noProof/>
          </w:rPr>
          <w:t>Table A4.8</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on the right of a child to receive assistance when attending proceedings, including from an interpreter, social worker, lawyer or friend (CivAdm141)</w:t>
        </w:r>
        <w:r w:rsidR="002A3930">
          <w:rPr>
            <w:noProof/>
            <w:webHidden/>
          </w:rPr>
          <w:tab/>
        </w:r>
        <w:r w:rsidR="002A3930">
          <w:rPr>
            <w:noProof/>
            <w:webHidden/>
          </w:rPr>
          <w:fldChar w:fldCharType="begin"/>
        </w:r>
        <w:r w:rsidR="002A3930">
          <w:rPr>
            <w:noProof/>
            <w:webHidden/>
          </w:rPr>
          <w:instrText xml:space="preserve"> PAGEREF _Toc408908674 \h </w:instrText>
        </w:r>
        <w:r w:rsidR="002A3930">
          <w:rPr>
            <w:noProof/>
            <w:webHidden/>
          </w:rPr>
        </w:r>
        <w:r w:rsidR="002A3930">
          <w:rPr>
            <w:noProof/>
            <w:webHidden/>
          </w:rPr>
          <w:fldChar w:fldCharType="separate"/>
        </w:r>
        <w:r w:rsidR="000223E8">
          <w:rPr>
            <w:noProof/>
            <w:webHidden/>
          </w:rPr>
          <w:t>144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5" w:history="1">
        <w:r w:rsidR="002A3930" w:rsidRPr="00AF132F">
          <w:rPr>
            <w:rStyle w:val="Hyperlink"/>
            <w:noProof/>
          </w:rPr>
          <w:t>Table A4.9</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for court to impose protective measures during court proceedings (CivAdm125a)</w:t>
        </w:r>
        <w:r w:rsidR="002A3930">
          <w:rPr>
            <w:noProof/>
            <w:webHidden/>
          </w:rPr>
          <w:tab/>
        </w:r>
        <w:r w:rsidR="002A3930">
          <w:rPr>
            <w:noProof/>
            <w:webHidden/>
          </w:rPr>
          <w:fldChar w:fldCharType="begin"/>
        </w:r>
        <w:r w:rsidR="002A3930">
          <w:rPr>
            <w:noProof/>
            <w:webHidden/>
          </w:rPr>
          <w:instrText xml:space="preserve"> PAGEREF _Toc408908675 \h </w:instrText>
        </w:r>
        <w:r w:rsidR="002A3930">
          <w:rPr>
            <w:noProof/>
            <w:webHidden/>
          </w:rPr>
        </w:r>
        <w:r w:rsidR="002A3930">
          <w:rPr>
            <w:noProof/>
            <w:webHidden/>
          </w:rPr>
          <w:fldChar w:fldCharType="separate"/>
        </w:r>
        <w:r w:rsidR="000223E8">
          <w:rPr>
            <w:noProof/>
            <w:webHidden/>
          </w:rPr>
          <w:t>146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6" w:history="1">
        <w:r w:rsidR="002A3930" w:rsidRPr="00AF132F">
          <w:rPr>
            <w:rStyle w:val="Hyperlink"/>
            <w:noProof/>
          </w:rPr>
          <w:t>Table A4.10</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statutory provision on the right of children to legal counsel and representation, in their own name, in proceedings where there are potential conflicts of interest between child and parents (CivAdm148a)</w:t>
        </w:r>
        <w:r w:rsidR="002A3930">
          <w:rPr>
            <w:noProof/>
            <w:webHidden/>
          </w:rPr>
          <w:tab/>
        </w:r>
        <w:r w:rsidR="002A3930">
          <w:rPr>
            <w:noProof/>
            <w:webHidden/>
          </w:rPr>
          <w:fldChar w:fldCharType="begin"/>
        </w:r>
        <w:r w:rsidR="002A3930">
          <w:rPr>
            <w:noProof/>
            <w:webHidden/>
          </w:rPr>
          <w:instrText xml:space="preserve"> PAGEREF _Toc408908676 \h </w:instrText>
        </w:r>
        <w:r w:rsidR="002A3930">
          <w:rPr>
            <w:noProof/>
            <w:webHidden/>
          </w:rPr>
        </w:r>
        <w:r w:rsidR="002A3930">
          <w:rPr>
            <w:noProof/>
            <w:webHidden/>
          </w:rPr>
          <w:fldChar w:fldCharType="separate"/>
        </w:r>
        <w:r w:rsidR="000223E8">
          <w:rPr>
            <w:noProof/>
            <w:webHidden/>
          </w:rPr>
          <w:t>148</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7" w:history="1">
        <w:r w:rsidR="002A3930" w:rsidRPr="00AF132F">
          <w:rPr>
            <w:rStyle w:val="Hyperlink"/>
            <w:noProof/>
          </w:rPr>
          <w:t>Table A4.11</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statutory provision on the right of children involved in judicial proceedings to free legal aid (CivAdm151)</w:t>
        </w:r>
        <w:r w:rsidR="002A3930">
          <w:rPr>
            <w:noProof/>
            <w:webHidden/>
          </w:rPr>
          <w:tab/>
        </w:r>
        <w:r w:rsidR="002A3930">
          <w:rPr>
            <w:noProof/>
            <w:webHidden/>
          </w:rPr>
          <w:fldChar w:fldCharType="begin"/>
        </w:r>
        <w:r w:rsidR="002A3930">
          <w:rPr>
            <w:noProof/>
            <w:webHidden/>
          </w:rPr>
          <w:instrText xml:space="preserve"> PAGEREF _Toc408908677 \h </w:instrText>
        </w:r>
        <w:r w:rsidR="002A3930">
          <w:rPr>
            <w:noProof/>
            <w:webHidden/>
          </w:rPr>
        </w:r>
        <w:r w:rsidR="002A3930">
          <w:rPr>
            <w:noProof/>
            <w:webHidden/>
          </w:rPr>
          <w:fldChar w:fldCharType="separate"/>
        </w:r>
        <w:r w:rsidR="000223E8">
          <w:rPr>
            <w:noProof/>
            <w:webHidden/>
          </w:rPr>
          <w:t>150</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8" w:history="1">
        <w:r w:rsidR="002A3930" w:rsidRPr="00AF132F">
          <w:rPr>
            <w:rStyle w:val="Hyperlink"/>
            <w:noProof/>
          </w:rPr>
          <w:t>Table A4.12</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statutory provision on the appointment by the court of a guardian ad litem or special legal representative to represent child where there are potential conflicts of interest between child and parents (CivAdm154)</w:t>
        </w:r>
        <w:r w:rsidR="002A3930">
          <w:rPr>
            <w:noProof/>
            <w:webHidden/>
          </w:rPr>
          <w:tab/>
        </w:r>
        <w:r w:rsidR="002A3930">
          <w:rPr>
            <w:noProof/>
            <w:webHidden/>
          </w:rPr>
          <w:fldChar w:fldCharType="begin"/>
        </w:r>
        <w:r w:rsidR="002A3930">
          <w:rPr>
            <w:noProof/>
            <w:webHidden/>
          </w:rPr>
          <w:instrText xml:space="preserve"> PAGEREF _Toc408908678 \h </w:instrText>
        </w:r>
        <w:r w:rsidR="002A3930">
          <w:rPr>
            <w:noProof/>
            <w:webHidden/>
          </w:rPr>
        </w:r>
        <w:r w:rsidR="002A3930">
          <w:rPr>
            <w:noProof/>
            <w:webHidden/>
          </w:rPr>
          <w:fldChar w:fldCharType="separate"/>
        </w:r>
        <w:r w:rsidR="000223E8">
          <w:rPr>
            <w:noProof/>
            <w:webHidden/>
          </w:rPr>
          <w:t>152</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79" w:history="1">
        <w:r w:rsidR="002A3930" w:rsidRPr="00AF132F">
          <w:rPr>
            <w:rStyle w:val="Hyperlink"/>
            <w:noProof/>
          </w:rPr>
          <w:t>Table A4.13</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a statutory provision on the right of a child to have recourse to Alternative Dispute Resolution (ADR) (CivAdm157)</w:t>
        </w:r>
        <w:r w:rsidR="002A3930">
          <w:rPr>
            <w:noProof/>
            <w:webHidden/>
          </w:rPr>
          <w:tab/>
        </w:r>
        <w:r w:rsidR="002A3930">
          <w:rPr>
            <w:noProof/>
            <w:webHidden/>
          </w:rPr>
          <w:fldChar w:fldCharType="begin"/>
        </w:r>
        <w:r w:rsidR="002A3930">
          <w:rPr>
            <w:noProof/>
            <w:webHidden/>
          </w:rPr>
          <w:instrText xml:space="preserve"> PAGEREF _Toc408908679 \h </w:instrText>
        </w:r>
        <w:r w:rsidR="002A3930">
          <w:rPr>
            <w:noProof/>
            <w:webHidden/>
          </w:rPr>
        </w:r>
        <w:r w:rsidR="002A3930">
          <w:rPr>
            <w:noProof/>
            <w:webHidden/>
          </w:rPr>
          <w:fldChar w:fldCharType="separate"/>
        </w:r>
        <w:r w:rsidR="000223E8">
          <w:rPr>
            <w:noProof/>
            <w:webHidden/>
          </w:rPr>
          <w:t>154</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80" w:history="1">
        <w:r w:rsidR="002A3930" w:rsidRPr="00AF132F">
          <w:rPr>
            <w:rStyle w:val="Hyperlink"/>
            <w:noProof/>
          </w:rPr>
          <w:t>Table A4.14</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on the right of the child to appeal an administrative decision to restrict their liberty (CivAdm168)</w:t>
        </w:r>
        <w:r w:rsidR="002A3930">
          <w:rPr>
            <w:noProof/>
            <w:webHidden/>
          </w:rPr>
          <w:tab/>
        </w:r>
        <w:r w:rsidR="002A3930">
          <w:rPr>
            <w:noProof/>
            <w:webHidden/>
          </w:rPr>
          <w:fldChar w:fldCharType="begin"/>
        </w:r>
        <w:r w:rsidR="002A3930">
          <w:rPr>
            <w:noProof/>
            <w:webHidden/>
          </w:rPr>
          <w:instrText xml:space="preserve"> PAGEREF _Toc408908680 \h </w:instrText>
        </w:r>
        <w:r w:rsidR="002A3930">
          <w:rPr>
            <w:noProof/>
            <w:webHidden/>
          </w:rPr>
        </w:r>
        <w:r w:rsidR="002A3930">
          <w:rPr>
            <w:noProof/>
            <w:webHidden/>
          </w:rPr>
          <w:fldChar w:fldCharType="separate"/>
        </w:r>
        <w:r w:rsidR="000223E8">
          <w:rPr>
            <w:noProof/>
            <w:webHidden/>
          </w:rPr>
          <w:t>156</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81" w:history="1">
        <w:r w:rsidR="002A3930" w:rsidRPr="00AF132F">
          <w:rPr>
            <w:rStyle w:val="Hyperlink"/>
            <w:noProof/>
          </w:rPr>
          <w:t>Table A4.15</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allowing a child care authority to appeal against certain court decisions involving children (CivAdm177)</w:t>
        </w:r>
        <w:r w:rsidR="002A3930">
          <w:rPr>
            <w:noProof/>
            <w:webHidden/>
          </w:rPr>
          <w:tab/>
        </w:r>
        <w:r w:rsidR="002A3930">
          <w:rPr>
            <w:noProof/>
            <w:webHidden/>
          </w:rPr>
          <w:fldChar w:fldCharType="begin"/>
        </w:r>
        <w:r w:rsidR="002A3930">
          <w:rPr>
            <w:noProof/>
            <w:webHidden/>
          </w:rPr>
          <w:instrText xml:space="preserve"> PAGEREF _Toc408908681 \h </w:instrText>
        </w:r>
        <w:r w:rsidR="002A3930">
          <w:rPr>
            <w:noProof/>
            <w:webHidden/>
          </w:rPr>
        </w:r>
        <w:r w:rsidR="002A3930">
          <w:rPr>
            <w:noProof/>
            <w:webHidden/>
          </w:rPr>
          <w:fldChar w:fldCharType="separate"/>
        </w:r>
        <w:r w:rsidR="000223E8">
          <w:rPr>
            <w:noProof/>
            <w:webHidden/>
          </w:rPr>
          <w:t>157</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82" w:history="1">
        <w:r w:rsidR="002A3930" w:rsidRPr="00AF132F">
          <w:rPr>
            <w:rStyle w:val="Hyperlink"/>
            <w:noProof/>
          </w:rPr>
          <w:t>Table A4.16</w:t>
        </w:r>
        <w:r w:rsidR="002A3930">
          <w:rPr>
            <w:rFonts w:asciiTheme="minorHAnsi" w:eastAsiaTheme="minorEastAsia" w:hAnsiTheme="minorHAnsi" w:cstheme="minorBidi"/>
            <w:noProof/>
            <w:sz w:val="22"/>
            <w:szCs w:val="22"/>
            <w:lang w:eastAsia="en-GB"/>
          </w:rPr>
          <w:tab/>
        </w:r>
        <w:r w:rsidR="002A3930" w:rsidRPr="00AF132F">
          <w:rPr>
            <w:rStyle w:val="Hyperlink"/>
            <w:noProof/>
          </w:rPr>
          <w:t>Legal obligation to communicate a decision or judgement to a child involved in judicial proceedings (CivAdm188a)</w:t>
        </w:r>
        <w:r w:rsidR="002A3930">
          <w:rPr>
            <w:noProof/>
            <w:webHidden/>
          </w:rPr>
          <w:tab/>
        </w:r>
        <w:r w:rsidR="002A3930">
          <w:rPr>
            <w:noProof/>
            <w:webHidden/>
          </w:rPr>
          <w:fldChar w:fldCharType="begin"/>
        </w:r>
        <w:r w:rsidR="002A3930">
          <w:rPr>
            <w:noProof/>
            <w:webHidden/>
          </w:rPr>
          <w:instrText xml:space="preserve"> PAGEREF _Toc408908682 \h </w:instrText>
        </w:r>
        <w:r w:rsidR="002A3930">
          <w:rPr>
            <w:noProof/>
            <w:webHidden/>
          </w:rPr>
        </w:r>
        <w:r w:rsidR="002A3930">
          <w:rPr>
            <w:noProof/>
            <w:webHidden/>
          </w:rPr>
          <w:fldChar w:fldCharType="separate"/>
        </w:r>
        <w:r w:rsidR="000223E8">
          <w:rPr>
            <w:noProof/>
            <w:webHidden/>
          </w:rPr>
          <w:t>159</w:t>
        </w:r>
        <w:r w:rsidR="002A3930">
          <w:rPr>
            <w:noProof/>
            <w:webHidden/>
          </w:rPr>
          <w:fldChar w:fldCharType="end"/>
        </w:r>
      </w:hyperlink>
    </w:p>
    <w:p w:rsidR="002A3930" w:rsidRDefault="0023091A">
      <w:pPr>
        <w:pStyle w:val="TOC8"/>
        <w:tabs>
          <w:tab w:val="right" w:leader="dot" w:pos="9061"/>
        </w:tabs>
        <w:rPr>
          <w:rFonts w:asciiTheme="minorHAnsi" w:eastAsiaTheme="minorEastAsia" w:hAnsiTheme="minorHAnsi" w:cstheme="minorBidi"/>
          <w:noProof/>
          <w:sz w:val="22"/>
          <w:szCs w:val="22"/>
          <w:lang w:eastAsia="en-GB"/>
        </w:rPr>
      </w:pPr>
      <w:hyperlink w:anchor="_Toc408908683" w:history="1">
        <w:r w:rsidR="002A3930" w:rsidRPr="00AF132F">
          <w:rPr>
            <w:rStyle w:val="Hyperlink"/>
            <w:rFonts w:cs="Arial"/>
            <w:noProof/>
          </w:rPr>
          <w:t>Table A4.17</w:t>
        </w:r>
        <w:r w:rsidR="002A3930">
          <w:rPr>
            <w:rFonts w:asciiTheme="minorHAnsi" w:eastAsiaTheme="minorEastAsia" w:hAnsiTheme="minorHAnsi" w:cstheme="minorBidi"/>
            <w:noProof/>
            <w:sz w:val="22"/>
            <w:szCs w:val="22"/>
            <w:lang w:eastAsia="en-GB"/>
          </w:rPr>
          <w:tab/>
        </w:r>
        <w:r w:rsidR="002A3930" w:rsidRPr="00AF132F">
          <w:rPr>
            <w:rStyle w:val="Hyperlink"/>
            <w:noProof/>
          </w:rPr>
          <w:t>Existence of statutory provision for judicial authorities to make decisions which concern children directly or immediately enforceable (CivAdm192)</w:t>
        </w:r>
        <w:r w:rsidR="002A3930">
          <w:rPr>
            <w:noProof/>
            <w:webHidden/>
          </w:rPr>
          <w:tab/>
        </w:r>
        <w:r w:rsidR="002A3930">
          <w:rPr>
            <w:noProof/>
            <w:webHidden/>
          </w:rPr>
          <w:fldChar w:fldCharType="begin"/>
        </w:r>
        <w:r w:rsidR="002A3930">
          <w:rPr>
            <w:noProof/>
            <w:webHidden/>
          </w:rPr>
          <w:instrText xml:space="preserve"> PAGEREF _Toc408908683 \h </w:instrText>
        </w:r>
        <w:r w:rsidR="002A3930">
          <w:rPr>
            <w:noProof/>
            <w:webHidden/>
          </w:rPr>
        </w:r>
        <w:r w:rsidR="002A3930">
          <w:rPr>
            <w:noProof/>
            <w:webHidden/>
          </w:rPr>
          <w:fldChar w:fldCharType="separate"/>
        </w:r>
        <w:r w:rsidR="000223E8">
          <w:rPr>
            <w:noProof/>
            <w:webHidden/>
          </w:rPr>
          <w:t>161</w:t>
        </w:r>
        <w:r w:rsidR="002A3930">
          <w:rPr>
            <w:noProof/>
            <w:webHidden/>
          </w:rPr>
          <w:fldChar w:fldCharType="end"/>
        </w:r>
      </w:hyperlink>
    </w:p>
    <w:p w:rsidR="00A07B81" w:rsidRPr="00A07B81" w:rsidRDefault="00A07B81" w:rsidP="00A07B81">
      <w:pPr>
        <w:spacing w:before="0" w:after="0"/>
      </w:pPr>
      <w:r w:rsidRPr="00546996">
        <w:rPr>
          <w:rFonts w:cs="Arial"/>
          <w:szCs w:val="20"/>
        </w:rPr>
        <w:fldChar w:fldCharType="end"/>
      </w:r>
    </w:p>
    <w:bookmarkEnd w:id="7"/>
    <w:bookmarkEnd w:id="10"/>
    <w:p w:rsidR="00D17D9A" w:rsidRPr="007B47FB" w:rsidRDefault="00D17D9A" w:rsidP="005B10E4">
      <w:pPr>
        <w:pStyle w:val="Heading1NoNumb"/>
        <w:sectPr w:rsidR="00D17D9A" w:rsidRPr="007B47FB" w:rsidSect="007026C3">
          <w:pgSz w:w="11907" w:h="16840" w:code="9"/>
          <w:pgMar w:top="1418" w:right="1418" w:bottom="1021" w:left="1418" w:header="680" w:footer="567" w:gutter="0"/>
          <w:pgNumType w:fmt="lowerRoman" w:start="1"/>
          <w:cols w:space="708"/>
          <w:docGrid w:linePitch="360"/>
        </w:sectPr>
      </w:pPr>
    </w:p>
    <w:p w:rsidR="002540C3" w:rsidRDefault="002540C3" w:rsidP="009D241E">
      <w:pPr>
        <w:pStyle w:val="Heading1noPg"/>
      </w:pPr>
      <w:bookmarkStart w:id="11" w:name="_Toc372193172"/>
      <w:bookmarkStart w:id="12" w:name="_Toc372197145"/>
      <w:bookmarkStart w:id="13" w:name="_Toc372197248"/>
      <w:bookmarkStart w:id="14" w:name="_Toc372197311"/>
      <w:bookmarkStart w:id="15" w:name="_Toc372198680"/>
      <w:bookmarkStart w:id="16" w:name="_Toc372193173"/>
      <w:bookmarkStart w:id="17" w:name="_Toc372197146"/>
      <w:bookmarkStart w:id="18" w:name="_Toc372197249"/>
      <w:bookmarkStart w:id="19" w:name="_Toc372197312"/>
      <w:bookmarkStart w:id="20" w:name="_Toc372198681"/>
      <w:bookmarkStart w:id="21" w:name="_Toc372193175"/>
      <w:bookmarkStart w:id="22" w:name="_Toc372197148"/>
      <w:bookmarkStart w:id="23" w:name="_Toc372197251"/>
      <w:bookmarkStart w:id="24" w:name="_Toc372197314"/>
      <w:bookmarkStart w:id="25" w:name="_Toc372198683"/>
      <w:bookmarkStart w:id="26" w:name="_Toc372193176"/>
      <w:bookmarkStart w:id="27" w:name="_Toc372197149"/>
      <w:bookmarkStart w:id="28" w:name="_Toc372197252"/>
      <w:bookmarkStart w:id="29" w:name="_Toc372197315"/>
      <w:bookmarkStart w:id="30" w:name="_Toc372198684"/>
      <w:bookmarkStart w:id="31" w:name="_Toc372193177"/>
      <w:bookmarkStart w:id="32" w:name="_Toc372197150"/>
      <w:bookmarkStart w:id="33" w:name="_Toc372197253"/>
      <w:bookmarkStart w:id="34" w:name="_Toc372197316"/>
      <w:bookmarkStart w:id="35" w:name="_Toc372198685"/>
      <w:bookmarkStart w:id="36" w:name="_Toc372193178"/>
      <w:bookmarkStart w:id="37" w:name="_Toc372197151"/>
      <w:bookmarkStart w:id="38" w:name="_Toc372197254"/>
      <w:bookmarkStart w:id="39" w:name="_Toc372197317"/>
      <w:bookmarkStart w:id="40" w:name="_Toc372198686"/>
      <w:bookmarkStart w:id="41" w:name="_Toc372193179"/>
      <w:bookmarkStart w:id="42" w:name="_Toc372197152"/>
      <w:bookmarkStart w:id="43" w:name="_Toc372197255"/>
      <w:bookmarkStart w:id="44" w:name="_Toc372197318"/>
      <w:bookmarkStart w:id="45" w:name="_Toc372198687"/>
      <w:bookmarkStart w:id="46" w:name="_Toc372193180"/>
      <w:bookmarkStart w:id="47" w:name="_Toc372197153"/>
      <w:bookmarkStart w:id="48" w:name="_Toc372197256"/>
      <w:bookmarkStart w:id="49" w:name="_Toc372197319"/>
      <w:bookmarkStart w:id="50" w:name="_Toc372198688"/>
      <w:bookmarkStart w:id="51" w:name="_Toc372193181"/>
      <w:bookmarkStart w:id="52" w:name="_Toc372197154"/>
      <w:bookmarkStart w:id="53" w:name="_Toc372197257"/>
      <w:bookmarkStart w:id="54" w:name="_Toc372197320"/>
      <w:bookmarkStart w:id="55" w:name="_Toc372198689"/>
      <w:bookmarkStart w:id="56" w:name="_Toc372193184"/>
      <w:bookmarkStart w:id="57" w:name="_Toc372197157"/>
      <w:bookmarkStart w:id="58" w:name="_Toc372197260"/>
      <w:bookmarkStart w:id="59" w:name="_Toc372197323"/>
      <w:bookmarkStart w:id="60" w:name="_Toc372198692"/>
      <w:bookmarkStart w:id="61" w:name="_Toc372193185"/>
      <w:bookmarkStart w:id="62" w:name="_Toc372197158"/>
      <w:bookmarkStart w:id="63" w:name="_Toc372197261"/>
      <w:bookmarkStart w:id="64" w:name="_Toc372197324"/>
      <w:bookmarkStart w:id="65" w:name="_Toc372198693"/>
      <w:bookmarkStart w:id="66" w:name="_Toc372193186"/>
      <w:bookmarkStart w:id="67" w:name="_Toc372197159"/>
      <w:bookmarkStart w:id="68" w:name="_Toc372197262"/>
      <w:bookmarkStart w:id="69" w:name="_Toc372197325"/>
      <w:bookmarkStart w:id="70" w:name="_Toc372198694"/>
      <w:bookmarkStart w:id="71" w:name="_Toc372193187"/>
      <w:bookmarkStart w:id="72" w:name="_Toc372197160"/>
      <w:bookmarkStart w:id="73" w:name="_Toc372197263"/>
      <w:bookmarkStart w:id="74" w:name="_Toc372197326"/>
      <w:bookmarkStart w:id="75" w:name="_Toc372198695"/>
      <w:bookmarkStart w:id="76" w:name="_Toc371412627"/>
      <w:bookmarkStart w:id="77" w:name="_Ref395828064"/>
      <w:bookmarkStart w:id="78" w:name="_Toc406590132"/>
      <w:bookmarkStart w:id="79" w:name="_Toc408908684"/>
      <w:bookmarkStart w:id="80" w:name="_Toc322437597"/>
      <w:bookmarkEnd w:id="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lastRenderedPageBreak/>
        <w:t>Introduction</w:t>
      </w:r>
      <w:bookmarkEnd w:id="76"/>
      <w:bookmarkEnd w:id="77"/>
      <w:bookmarkEnd w:id="78"/>
      <w:bookmarkEnd w:id="79"/>
    </w:p>
    <w:p w:rsidR="002540C3" w:rsidRPr="0085036F" w:rsidRDefault="002540C3" w:rsidP="006C7CC7">
      <w:pPr>
        <w:pStyle w:val="Heading2"/>
      </w:pPr>
      <w:bookmarkStart w:id="81" w:name="_Toc371412628"/>
      <w:bookmarkStart w:id="82" w:name="_Toc406590133"/>
      <w:bookmarkStart w:id="83" w:name="_Toc408908685"/>
      <w:r w:rsidRPr="0085036F">
        <w:t>Context and objectives</w:t>
      </w:r>
      <w:bookmarkEnd w:id="81"/>
      <w:bookmarkEnd w:id="82"/>
      <w:bookmarkEnd w:id="83"/>
    </w:p>
    <w:p w:rsidR="002540C3" w:rsidRPr="0085036F" w:rsidRDefault="002540C3" w:rsidP="006C7CC7">
      <w:pPr>
        <w:pStyle w:val="BodyText"/>
      </w:pPr>
      <w:r w:rsidRPr="0085036F">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‘An EU Agenda for the Rights of the Child’, that identified the lack of reliable, comparable and official data on the situation of children in the Member States</w:t>
      </w:r>
      <w:r w:rsidR="00DB53C0">
        <w:t xml:space="preserve"> (MS)</w:t>
      </w:r>
      <w:r w:rsidRPr="0085036F">
        <w:t xml:space="preserve">. This deficiency is a serious obstacle to the development and implementation of evidence-based policies and </w:t>
      </w:r>
      <w:r w:rsidR="00916A77">
        <w:t xml:space="preserve">is </w:t>
      </w:r>
      <w:r w:rsidRPr="0085036F">
        <w:t>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r w:rsidR="00250C9F">
        <w:rPr>
          <w:rStyle w:val="FootnoteReference"/>
          <w:sz w:val="22"/>
          <w:szCs w:val="22"/>
        </w:rPr>
        <w:footnoteReference w:id="2"/>
      </w:r>
    </w:p>
    <w:p w:rsidR="002540C3" w:rsidRDefault="002540C3" w:rsidP="006C7CC7">
      <w:pPr>
        <w:pStyle w:val="BodyText"/>
      </w:pPr>
      <w:r w:rsidRPr="0085036F">
        <w:t>This report describes the main findings of</w:t>
      </w:r>
      <w:r w:rsidR="005B295C">
        <w:t xml:space="preserve"> the</w:t>
      </w:r>
      <w:r w:rsidRPr="0085036F">
        <w:t xml:space="preserve"> contextual overviews</w:t>
      </w:r>
      <w:r w:rsidR="005B295C">
        <w:rPr>
          <w:rStyle w:val="FootnoteReference"/>
          <w:sz w:val="22"/>
          <w:szCs w:val="22"/>
        </w:rPr>
        <w:footnoteReference w:id="3"/>
      </w:r>
      <w:r w:rsidRPr="0085036F">
        <w:t xml:space="preserve"> </w:t>
      </w:r>
      <w:r w:rsidR="001F39F9">
        <w:t xml:space="preserve">and information </w:t>
      </w:r>
      <w:r w:rsidR="00BD5C38">
        <w:t xml:space="preserve">assembled on </w:t>
      </w:r>
      <w:r w:rsidRPr="0085036F">
        <w:t xml:space="preserve">children’s involvement in </w:t>
      </w:r>
      <w:r w:rsidRPr="0085036F">
        <w:rPr>
          <w:b/>
        </w:rPr>
        <w:t>c</w:t>
      </w:r>
      <w:r w:rsidR="004301F0">
        <w:rPr>
          <w:b/>
        </w:rPr>
        <w:t>ivil and administrative</w:t>
      </w:r>
      <w:r w:rsidRPr="0085036F">
        <w:t xml:space="preserve"> judicial proceedings </w:t>
      </w:r>
      <w:r w:rsidR="00BD5C38">
        <w:t>covering the areas of</w:t>
      </w:r>
      <w:r w:rsidR="005A6854">
        <w:t>:</w:t>
      </w:r>
      <w:r w:rsidR="00BD5C38">
        <w:t xml:space="preserve"> </w:t>
      </w:r>
      <w:r w:rsidR="00C258E8" w:rsidRPr="00705572">
        <w:rPr>
          <w:b/>
        </w:rPr>
        <w:t xml:space="preserve">family, employment, asylum, migration, education, health, placement in care, administrative sanctions, and offences committed by children </w:t>
      </w:r>
      <w:r w:rsidR="00C258E8" w:rsidRPr="00705572">
        <w:rPr>
          <w:b/>
        </w:rPr>
        <w:lastRenderedPageBreak/>
        <w:t xml:space="preserve">below the </w:t>
      </w:r>
      <w:r w:rsidR="007F504F">
        <w:rPr>
          <w:b/>
        </w:rPr>
        <w:t xml:space="preserve">minimum </w:t>
      </w:r>
      <w:r w:rsidR="00C258E8" w:rsidRPr="00705572">
        <w:rPr>
          <w:b/>
        </w:rPr>
        <w:t>age of criminal responsibility (MACR)</w:t>
      </w:r>
      <w:r w:rsidR="00C258E8">
        <w:t xml:space="preserve">, </w:t>
      </w:r>
      <w:r w:rsidRPr="0085036F">
        <w:t>in the role</w:t>
      </w:r>
      <w:r w:rsidR="00C258E8">
        <w:t>s</w:t>
      </w:r>
      <w:r w:rsidRPr="0085036F">
        <w:t xml:space="preserve"> of</w:t>
      </w:r>
      <w:r w:rsidR="005A6854">
        <w:t>:</w:t>
      </w:r>
      <w:r w:rsidRPr="0085036F">
        <w:t xml:space="preserve"> </w:t>
      </w:r>
      <w:r w:rsidR="009C4805" w:rsidRPr="009C4805">
        <w:rPr>
          <w:b/>
        </w:rPr>
        <w:t>plaintiff</w:t>
      </w:r>
      <w:r w:rsidR="004301F0">
        <w:rPr>
          <w:b/>
        </w:rPr>
        <w:t xml:space="preserve">s, </w:t>
      </w:r>
      <w:r w:rsidR="009C4805">
        <w:rPr>
          <w:b/>
        </w:rPr>
        <w:t>defendants</w:t>
      </w:r>
      <w:r w:rsidR="004301F0">
        <w:rPr>
          <w:b/>
        </w:rPr>
        <w:t xml:space="preserve">, </w:t>
      </w:r>
      <w:r w:rsidR="009C4805" w:rsidRPr="009C4805">
        <w:rPr>
          <w:b/>
        </w:rPr>
        <w:t>witnesses</w:t>
      </w:r>
      <w:r w:rsidR="009A7EBE">
        <w:rPr>
          <w:b/>
        </w:rPr>
        <w:t xml:space="preserve"> and</w:t>
      </w:r>
      <w:r w:rsidR="004301F0">
        <w:rPr>
          <w:b/>
        </w:rPr>
        <w:t xml:space="preserve"> subjects</w:t>
      </w:r>
      <w:r w:rsidRPr="0085036F">
        <w:t>.</w:t>
      </w:r>
      <w:r w:rsidR="009A7EBE">
        <w:rPr>
          <w:rStyle w:val="FootnoteReference"/>
          <w:sz w:val="22"/>
          <w:szCs w:val="22"/>
        </w:rPr>
        <w:footnoteReference w:id="4"/>
      </w:r>
      <w:r w:rsidRPr="0085036F">
        <w:t xml:space="preserve"> </w:t>
      </w:r>
    </w:p>
    <w:p w:rsidR="002A4C2C" w:rsidRPr="0085036F" w:rsidRDefault="002A4C2C" w:rsidP="006C7CC7">
      <w:pPr>
        <w:pStyle w:val="BodyText"/>
      </w:pPr>
      <w:r>
        <w:t xml:space="preserve">The findings on </w:t>
      </w:r>
      <w:r w:rsidR="005A6854">
        <w:t xml:space="preserve">children’s involvement in </w:t>
      </w:r>
      <w:r>
        <w:t xml:space="preserve">civil and administrative judicial proceedings have been brought together in this report for two reasons. Firstly, the scope of the safeguards and rights that have been considered are broadly similar in the civil and administrative areas. Secondly, the classification of areas of law into the civil and administrative areas varies between </w:t>
      </w:r>
      <w:r w:rsidR="00D25374">
        <w:t>MS and two separate reports would markedly reduce t</w:t>
      </w:r>
      <w:r w:rsidR="005B295C">
        <w:t>he</w:t>
      </w:r>
      <w:r w:rsidR="00D25374">
        <w:t xml:space="preserve"> possibility of making valid substantive comparisons between MS. </w:t>
      </w:r>
    </w:p>
    <w:p w:rsidR="002540C3" w:rsidRPr="0085036F" w:rsidRDefault="002540C3" w:rsidP="006C7CC7">
      <w:pPr>
        <w:pStyle w:val="Heading2"/>
      </w:pPr>
      <w:bookmarkStart w:id="84" w:name="_Toc371412629"/>
      <w:bookmarkStart w:id="85" w:name="_Toc406590134"/>
      <w:bookmarkStart w:id="86" w:name="_Toc408908686"/>
      <w:r w:rsidRPr="0085036F">
        <w:t>Methodology</w:t>
      </w:r>
      <w:bookmarkEnd w:id="84"/>
      <w:bookmarkEnd w:id="85"/>
      <w:bookmarkEnd w:id="86"/>
    </w:p>
    <w:p w:rsidR="00775E16" w:rsidRDefault="002540C3" w:rsidP="006C7CC7">
      <w:pPr>
        <w:pStyle w:val="BodyText"/>
      </w:pPr>
      <w:r w:rsidRPr="0085036F">
        <w:t xml:space="preserve">The </w:t>
      </w:r>
      <w:r w:rsidR="007F504F">
        <w:t>58</w:t>
      </w:r>
      <w:r w:rsidR="007F504F">
        <w:rPr>
          <w:rStyle w:val="FootnoteReference"/>
          <w:sz w:val="22"/>
          <w:szCs w:val="22"/>
        </w:rPr>
        <w:footnoteReference w:id="5"/>
      </w:r>
      <w:r w:rsidRPr="0085036F">
        <w:t xml:space="preserve"> contextual overviews describe the legislation, r</w:t>
      </w:r>
      <w:r w:rsidR="007F504F">
        <w:t>ules</w:t>
      </w:r>
      <w:r w:rsidRPr="0085036F">
        <w:t xml:space="preserve">, measures and policies in place </w:t>
      </w:r>
      <w:r w:rsidRPr="0085036F">
        <w:rPr>
          <w:b/>
        </w:rPr>
        <w:t>as of 1 June 2012</w:t>
      </w:r>
      <w:r w:rsidRPr="0085036F">
        <w:t>, which determine the treatment of child</w:t>
      </w:r>
      <w:r w:rsidR="00417ECA">
        <w:t>ren</w:t>
      </w:r>
      <w:r w:rsidRPr="0085036F">
        <w:t xml:space="preserve"> in </w:t>
      </w:r>
      <w:r w:rsidR="00C258E8">
        <w:t xml:space="preserve">civil and administrative </w:t>
      </w:r>
      <w:r w:rsidRPr="0085036F">
        <w:t>judicial proceedings in each M</w:t>
      </w:r>
      <w:r w:rsidR="00DB53C0">
        <w:t>S and ju</w:t>
      </w:r>
      <w:r w:rsidR="00C258E8">
        <w:t>risdiction</w:t>
      </w:r>
      <w:r w:rsidR="00417ECA">
        <w:t>.</w:t>
      </w:r>
      <w:r w:rsidR="00DB53C0">
        <w:t xml:space="preserve"> </w:t>
      </w:r>
      <w:r w:rsidR="00775E16">
        <w:t>W</w:t>
      </w:r>
      <w:r w:rsidR="00775E16" w:rsidRPr="00775E16">
        <w:t xml:space="preserve">hen relevant legislation or policy entered into force after 1 June 2012, this is briefly mentioned in the text or in the footnotes </w:t>
      </w:r>
      <w:r w:rsidR="00775E16">
        <w:t>of the contextual overviews.</w:t>
      </w:r>
    </w:p>
    <w:p w:rsidR="00C258E8" w:rsidRDefault="00C258E8" w:rsidP="006C7CC7">
      <w:pPr>
        <w:pStyle w:val="BodyText"/>
      </w:pPr>
      <w:r>
        <w:t xml:space="preserve">The templates for the contextual overviews were </w:t>
      </w:r>
      <w:r w:rsidR="00417ECA">
        <w:t xml:space="preserve">prepared taking account of </w:t>
      </w:r>
      <w:r>
        <w:t>the Council of Europe Guidelines on child-friendly justice</w:t>
      </w:r>
      <w:r>
        <w:rPr>
          <w:rStyle w:val="FootnoteReference"/>
          <w:sz w:val="22"/>
          <w:szCs w:val="22"/>
        </w:rPr>
        <w:footnoteReference w:id="6"/>
      </w:r>
      <w:r>
        <w:t>.</w:t>
      </w:r>
      <w:r w:rsidR="00050135">
        <w:t xml:space="preserve"> </w:t>
      </w:r>
      <w:r w:rsidRPr="0085036F">
        <w:t xml:space="preserve">Each contextual overview has applied the same template and involved desk research coupled with a small number of consultations in each </w:t>
      </w:r>
      <w:r>
        <w:t>MS</w:t>
      </w:r>
      <w:r w:rsidRPr="0085036F">
        <w:t xml:space="preserve">. The </w:t>
      </w:r>
      <w:r>
        <w:t>MS</w:t>
      </w:r>
      <w:r w:rsidRPr="0085036F">
        <w:t xml:space="preserve"> governments have had the opportunity to </w:t>
      </w:r>
      <w:r w:rsidR="007F504F">
        <w:t>comment on</w:t>
      </w:r>
      <w:r w:rsidRPr="0085036F">
        <w:t xml:space="preserve"> the findings of the contextual overviews.</w:t>
      </w:r>
    </w:p>
    <w:p w:rsidR="00C258E8" w:rsidRDefault="002540C3" w:rsidP="006C7CC7">
      <w:pPr>
        <w:pStyle w:val="BodyText"/>
      </w:pPr>
      <w:r w:rsidRPr="0085036F">
        <w:lastRenderedPageBreak/>
        <w:t>The contextual overviews also identify strengths and potential gaps</w:t>
      </w:r>
      <w:r w:rsidR="00C258E8">
        <w:t xml:space="preserve"> and</w:t>
      </w:r>
      <w:r w:rsidRPr="0085036F">
        <w:t xml:space="preserve"> </w:t>
      </w:r>
      <w:r w:rsidR="00DB53C0">
        <w:t>complement</w:t>
      </w:r>
      <w:r w:rsidRPr="0085036F">
        <w:t xml:space="preserve"> the statistics and data which have been gathered for each </w:t>
      </w:r>
      <w:r w:rsidR="00DB53C0">
        <w:t>MS</w:t>
      </w:r>
      <w:r w:rsidRPr="0085036F">
        <w:t>, and which can be viewed on the study’s</w:t>
      </w:r>
      <w:r w:rsidR="000A32C9">
        <w:t xml:space="preserve"> </w:t>
      </w:r>
      <w:hyperlink r:id="rId14" w:history="1">
        <w:r w:rsidR="000A32C9" w:rsidRPr="00744362">
          <w:rPr>
            <w:rStyle w:val="Hyperlink"/>
            <w:sz w:val="22"/>
            <w:szCs w:val="22"/>
          </w:rPr>
          <w:t>on-line database</w:t>
        </w:r>
      </w:hyperlink>
      <w:r w:rsidR="000A32C9" w:rsidRPr="00744362">
        <w:t>.</w:t>
      </w:r>
      <w:r w:rsidR="000A32C9">
        <w:t xml:space="preserve"> </w:t>
      </w:r>
    </w:p>
    <w:p w:rsidR="002540C3" w:rsidRDefault="002540C3" w:rsidP="006C7CC7">
      <w:pPr>
        <w:pStyle w:val="BodyText"/>
      </w:pPr>
      <w:r w:rsidRPr="0085036F">
        <w:t xml:space="preserve">Some of the findings of the contextual overviews have also been used to </w:t>
      </w:r>
      <w:r w:rsidR="00417ECA">
        <w:t xml:space="preserve">provide scores for </w:t>
      </w:r>
      <w:r w:rsidRPr="0085036F">
        <w:t xml:space="preserve">the </w:t>
      </w:r>
      <w:r w:rsidR="00417ECA">
        <w:t>‘</w:t>
      </w:r>
      <w:r w:rsidRPr="0085036F">
        <w:t>Masterlist</w:t>
      </w:r>
      <w:r w:rsidR="00417ECA">
        <w:t>’</w:t>
      </w:r>
      <w:r w:rsidRPr="0085036F">
        <w:t xml:space="preserve"> of indicators for children’s involvement in </w:t>
      </w:r>
      <w:r w:rsidR="000A32C9">
        <w:t>civil and administrative judicial</w:t>
      </w:r>
      <w:r w:rsidRPr="0085036F">
        <w:t xml:space="preserve"> proceedings that </w:t>
      </w:r>
      <w:r w:rsidR="001F39F9">
        <w:t>is</w:t>
      </w:r>
      <w:r w:rsidRPr="0085036F">
        <w:t xml:space="preserve"> also accessible </w:t>
      </w:r>
      <w:r w:rsidR="00D25374">
        <w:t>via</w:t>
      </w:r>
      <w:r w:rsidRPr="0085036F">
        <w:t xml:space="preserve"> the </w:t>
      </w:r>
      <w:hyperlink r:id="rId15" w:history="1">
        <w:r w:rsidRPr="00453ED2">
          <w:rPr>
            <w:rStyle w:val="Hyperlink"/>
          </w:rPr>
          <w:t>on-line database</w:t>
        </w:r>
      </w:hyperlink>
      <w:r w:rsidRPr="0085036F">
        <w:rPr>
          <w:rStyle w:val="FootnoteReference"/>
          <w:sz w:val="22"/>
          <w:szCs w:val="22"/>
        </w:rPr>
        <w:footnoteReference w:id="7"/>
      </w:r>
      <w:r w:rsidRPr="0085036F">
        <w:t>.</w:t>
      </w:r>
      <w:r w:rsidR="00050135">
        <w:t xml:space="preserve"> </w:t>
      </w:r>
    </w:p>
    <w:p w:rsidR="00405154" w:rsidRDefault="00D25374" w:rsidP="006C7CC7">
      <w:pPr>
        <w:pStyle w:val="BodyText"/>
      </w:pPr>
      <w:r>
        <w:t xml:space="preserve">A wide range </w:t>
      </w:r>
      <w:r w:rsidR="005B08BB" w:rsidRPr="00405154">
        <w:t xml:space="preserve">of issues </w:t>
      </w:r>
      <w:r>
        <w:t xml:space="preserve">are </w:t>
      </w:r>
      <w:r w:rsidR="005B08BB" w:rsidRPr="00405154">
        <w:t>covered by civil and administrative judicial proceedings</w:t>
      </w:r>
      <w:r>
        <w:t>. T</w:t>
      </w:r>
      <w:r w:rsidR="005B08BB" w:rsidRPr="00405154">
        <w:t xml:space="preserve">he </w:t>
      </w:r>
      <w:r>
        <w:t xml:space="preserve">study </w:t>
      </w:r>
      <w:r w:rsidR="005B08BB" w:rsidRPr="00405154">
        <w:t>focuse</w:t>
      </w:r>
      <w:r>
        <w:t>d</w:t>
      </w:r>
      <w:r w:rsidR="005B08BB" w:rsidRPr="00405154">
        <w:t xml:space="preserve"> on the procedural rules governing those areas</w:t>
      </w:r>
      <w:r w:rsidR="00775E16">
        <w:t xml:space="preserve"> of civil and administrative justice</w:t>
      </w:r>
      <w:r w:rsidR="005B08BB" w:rsidRPr="00405154">
        <w:t xml:space="preserve"> that are most likely to be relevant to children</w:t>
      </w:r>
      <w:r w:rsidR="00417ECA">
        <w:t>.</w:t>
      </w:r>
    </w:p>
    <w:p w:rsidR="00405154" w:rsidRDefault="00DD749A" w:rsidP="006C7CC7">
      <w:pPr>
        <w:pStyle w:val="BodyText"/>
      </w:pPr>
      <w:r>
        <w:t xml:space="preserve">Different areas of law </w:t>
      </w:r>
      <w:r w:rsidR="00437FF4">
        <w:t>are governed by civil or administrative judicial procedures in different M</w:t>
      </w:r>
      <w:r w:rsidR="00F4523C">
        <w:t>S. In</w:t>
      </w:r>
      <w:r w:rsidR="00437FF4">
        <w:t xml:space="preserve"> several areas of law (such as family, health, placement in care) the same area of law may be governed by </w:t>
      </w:r>
      <w:r w:rsidR="00F4523C">
        <w:t xml:space="preserve">both </w:t>
      </w:r>
      <w:r w:rsidR="00437FF4">
        <w:t>civil and administrative procedural rules</w:t>
      </w:r>
      <w:r w:rsidR="00F4523C">
        <w:t>,</w:t>
      </w:r>
      <w:r w:rsidR="00437FF4">
        <w:t xml:space="preserve"> depending on the circumstances of the case </w:t>
      </w:r>
      <w:r w:rsidR="00F4523C">
        <w:t>and in particular</w:t>
      </w:r>
      <w:r w:rsidR="00437FF4">
        <w:t xml:space="preserve"> whether </w:t>
      </w:r>
      <w:r w:rsidR="00890E2C">
        <w:t>the state is one of the parties</w:t>
      </w:r>
      <w:r w:rsidR="00437FF4">
        <w:t xml:space="preserve">. This complexity is tackled in this report </w:t>
      </w:r>
      <w:r w:rsidR="00405154" w:rsidRPr="00405154">
        <w:t xml:space="preserve">by </w:t>
      </w:r>
      <w:r w:rsidR="00890E2C">
        <w:t xml:space="preserve">summarising the variations in a short narrative and in </w:t>
      </w:r>
      <w:r w:rsidR="00890E2C" w:rsidRPr="00890E2C">
        <w:rPr>
          <w:b/>
          <w:color w:val="0067AC" w:themeColor="text2"/>
        </w:rPr>
        <w:fldChar w:fldCharType="begin"/>
      </w:r>
      <w:r w:rsidR="00890E2C" w:rsidRPr="00890E2C">
        <w:rPr>
          <w:b/>
          <w:color w:val="0067AC" w:themeColor="text2"/>
        </w:rPr>
        <w:instrText xml:space="preserve"> REF _Ref395881811 \r \h  \* MERGEFORMAT </w:instrText>
      </w:r>
      <w:r w:rsidR="00890E2C" w:rsidRPr="00890E2C">
        <w:rPr>
          <w:b/>
          <w:color w:val="0067AC" w:themeColor="text2"/>
        </w:rPr>
      </w:r>
      <w:r w:rsidR="00890E2C" w:rsidRPr="00890E2C">
        <w:rPr>
          <w:b/>
          <w:color w:val="0067AC" w:themeColor="text2"/>
        </w:rPr>
        <w:fldChar w:fldCharType="separate"/>
      </w:r>
      <w:r w:rsidR="000223E8">
        <w:rPr>
          <w:b/>
          <w:color w:val="0067AC" w:themeColor="text2"/>
        </w:rPr>
        <w:t>Table A3.1</w:t>
      </w:r>
      <w:r w:rsidR="00890E2C" w:rsidRPr="00890E2C">
        <w:rPr>
          <w:b/>
          <w:color w:val="0067AC" w:themeColor="text2"/>
        </w:rPr>
        <w:fldChar w:fldCharType="end"/>
      </w:r>
      <w:r w:rsidR="00890E2C" w:rsidRPr="00890E2C">
        <w:rPr>
          <w:b/>
          <w:color w:val="0067AC" w:themeColor="text2"/>
        </w:rPr>
        <w:t xml:space="preserve"> </w:t>
      </w:r>
      <w:r w:rsidR="00890E2C">
        <w:t>(see</w:t>
      </w:r>
      <w:r w:rsidR="00E16EF7">
        <w:t xml:space="preserve"> Annex 3</w:t>
      </w:r>
      <w:r w:rsidR="00890E2C">
        <w:t>)</w:t>
      </w:r>
      <w:r w:rsidR="00405154" w:rsidRPr="00405154">
        <w:t xml:space="preserve"> and, in the body of the report, focusing on areas of law and the rules that apply irrespective of whether they are categorised as civil or administrative rules.</w:t>
      </w:r>
    </w:p>
    <w:p w:rsidR="00FA4CF0" w:rsidRDefault="00FA4CF0" w:rsidP="00A5732C">
      <w:pPr>
        <w:pStyle w:val="Heading3"/>
      </w:pPr>
      <w:bookmarkStart w:id="87" w:name="_Toc408908687"/>
      <w:r>
        <w:t>Indicators</w:t>
      </w:r>
      <w:bookmarkEnd w:id="87"/>
    </w:p>
    <w:p w:rsidR="002E05A5" w:rsidRDefault="002E05A5" w:rsidP="00A5732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85036F">
        <w:rPr>
          <w:sz w:val="22"/>
          <w:szCs w:val="22"/>
        </w:rPr>
        <w:t xml:space="preserve">The study identified and collated available data </w:t>
      </w:r>
      <w:r>
        <w:rPr>
          <w:sz w:val="22"/>
          <w:szCs w:val="22"/>
        </w:rPr>
        <w:t xml:space="preserve">from official sources </w:t>
      </w:r>
      <w:r w:rsidRPr="0085036F">
        <w:rPr>
          <w:sz w:val="22"/>
          <w:szCs w:val="22"/>
        </w:rPr>
        <w:t xml:space="preserve">pertinent to the Masterlist of indicators for the years </w:t>
      </w:r>
      <w:r w:rsidRPr="00A5732C">
        <w:rPr>
          <w:b/>
          <w:sz w:val="22"/>
          <w:szCs w:val="22"/>
        </w:rPr>
        <w:t>2008-2011</w:t>
      </w:r>
      <w:r w:rsidRPr="0085036F">
        <w:rPr>
          <w:sz w:val="22"/>
          <w:szCs w:val="22"/>
        </w:rPr>
        <w:t>.</w:t>
      </w:r>
      <w:r>
        <w:rPr>
          <w:sz w:val="22"/>
          <w:szCs w:val="22"/>
        </w:rPr>
        <w:t xml:space="preserve"> </w:t>
      </w:r>
      <w:r w:rsidRPr="002E05A5">
        <w:rPr>
          <w:sz w:val="22"/>
          <w:szCs w:val="22"/>
        </w:rPr>
        <w:t xml:space="preserve">Out of the </w:t>
      </w:r>
      <w:r w:rsidRPr="00A5732C">
        <w:rPr>
          <w:b/>
          <w:sz w:val="22"/>
          <w:szCs w:val="22"/>
        </w:rPr>
        <w:t>196 indicators</w:t>
      </w:r>
      <w:r w:rsidRPr="002E05A5">
        <w:rPr>
          <w:sz w:val="22"/>
          <w:szCs w:val="22"/>
        </w:rPr>
        <w:t xml:space="preserve"> which were drawn up for civil and administrative judicial proceedings</w:t>
      </w:r>
      <w:r w:rsidRPr="00A5732C">
        <w:rPr>
          <w:b/>
          <w:sz w:val="22"/>
          <w:szCs w:val="22"/>
        </w:rPr>
        <w:t>, 42 indicators</w:t>
      </w:r>
      <w:r w:rsidRPr="002E05A5">
        <w:rPr>
          <w:sz w:val="22"/>
          <w:szCs w:val="22"/>
        </w:rPr>
        <w:t xml:space="preserve"> were </w:t>
      </w:r>
      <w:r w:rsidRPr="00A5732C">
        <w:rPr>
          <w:b/>
          <w:sz w:val="22"/>
          <w:szCs w:val="22"/>
        </w:rPr>
        <w:t xml:space="preserve">contextual </w:t>
      </w:r>
      <w:r w:rsidRPr="002E05A5">
        <w:rPr>
          <w:sz w:val="22"/>
          <w:szCs w:val="22"/>
        </w:rPr>
        <w:t xml:space="preserve">indicators, where comparative data could potentially be identified, and </w:t>
      </w:r>
      <w:r w:rsidRPr="00A5732C">
        <w:rPr>
          <w:b/>
          <w:sz w:val="22"/>
          <w:szCs w:val="22"/>
        </w:rPr>
        <w:t xml:space="preserve">154 </w:t>
      </w:r>
      <w:r w:rsidRPr="002E05A5">
        <w:rPr>
          <w:sz w:val="22"/>
          <w:szCs w:val="22"/>
        </w:rPr>
        <w:t xml:space="preserve">were indicators around </w:t>
      </w:r>
      <w:r w:rsidRPr="00A5732C">
        <w:rPr>
          <w:b/>
          <w:sz w:val="22"/>
          <w:szCs w:val="22"/>
        </w:rPr>
        <w:t>safeguards</w:t>
      </w:r>
      <w:r w:rsidRPr="002E05A5">
        <w:rPr>
          <w:sz w:val="22"/>
          <w:szCs w:val="22"/>
        </w:rPr>
        <w:t>. O</w:t>
      </w:r>
      <w:r>
        <w:rPr>
          <w:sz w:val="22"/>
          <w:szCs w:val="22"/>
        </w:rPr>
        <w:t>f the 42</w:t>
      </w:r>
      <w:r w:rsidRPr="002E05A5">
        <w:rPr>
          <w:sz w:val="22"/>
          <w:szCs w:val="22"/>
        </w:rPr>
        <w:t xml:space="preserve"> contextual indicators, </w:t>
      </w:r>
      <w:r w:rsidR="002B6C1B">
        <w:rPr>
          <w:sz w:val="22"/>
          <w:szCs w:val="22"/>
        </w:rPr>
        <w:t xml:space="preserve">there are </w:t>
      </w:r>
      <w:r w:rsidRPr="002E05A5">
        <w:rPr>
          <w:sz w:val="22"/>
          <w:szCs w:val="22"/>
        </w:rPr>
        <w:t xml:space="preserve">four </w:t>
      </w:r>
      <w:r w:rsidR="002B6C1B">
        <w:rPr>
          <w:sz w:val="22"/>
          <w:szCs w:val="22"/>
        </w:rPr>
        <w:t>well</w:t>
      </w:r>
      <w:r w:rsidRPr="002E05A5">
        <w:rPr>
          <w:sz w:val="22"/>
          <w:szCs w:val="22"/>
        </w:rPr>
        <w:t xml:space="preserve"> populated indicators (where there is data for 20 or more M</w:t>
      </w:r>
      <w:r w:rsidR="00F4523C">
        <w:rPr>
          <w:sz w:val="22"/>
          <w:szCs w:val="22"/>
        </w:rPr>
        <w:t>S</w:t>
      </w:r>
      <w:r w:rsidR="008A4FAD">
        <w:rPr>
          <w:sz w:val="22"/>
          <w:szCs w:val="22"/>
        </w:rPr>
        <w:t>)</w:t>
      </w:r>
      <w:r w:rsidRPr="002E05A5">
        <w:rPr>
          <w:sz w:val="22"/>
          <w:szCs w:val="22"/>
        </w:rPr>
        <w:t>, four indicators where there is data for between 10 and 19 M</w:t>
      </w:r>
      <w:r w:rsidR="00F4523C">
        <w:rPr>
          <w:sz w:val="22"/>
          <w:szCs w:val="22"/>
        </w:rPr>
        <w:t>S</w:t>
      </w:r>
      <w:r w:rsidRPr="002E05A5">
        <w:rPr>
          <w:sz w:val="22"/>
          <w:szCs w:val="22"/>
        </w:rPr>
        <w:t xml:space="preserve">, </w:t>
      </w:r>
      <w:r w:rsidR="00F4523C">
        <w:rPr>
          <w:sz w:val="22"/>
          <w:szCs w:val="22"/>
        </w:rPr>
        <w:t>17</w:t>
      </w:r>
      <w:r w:rsidRPr="002E05A5">
        <w:rPr>
          <w:sz w:val="22"/>
          <w:szCs w:val="22"/>
        </w:rPr>
        <w:t xml:space="preserve"> indicators for which there is no data, three indicators with only approximate data in some Member States, and 14 indicators </w:t>
      </w:r>
      <w:r w:rsidR="00F4523C">
        <w:rPr>
          <w:sz w:val="22"/>
          <w:szCs w:val="22"/>
        </w:rPr>
        <w:t xml:space="preserve">where </w:t>
      </w:r>
      <w:r w:rsidRPr="002E05A5">
        <w:rPr>
          <w:sz w:val="22"/>
          <w:szCs w:val="22"/>
        </w:rPr>
        <w:t xml:space="preserve">data is </w:t>
      </w:r>
      <w:r w:rsidR="00F4523C">
        <w:rPr>
          <w:sz w:val="22"/>
          <w:szCs w:val="22"/>
        </w:rPr>
        <w:t>available</w:t>
      </w:r>
      <w:r w:rsidRPr="002E05A5">
        <w:rPr>
          <w:sz w:val="22"/>
          <w:szCs w:val="22"/>
        </w:rPr>
        <w:t xml:space="preserve"> for fewer than 10 M</w:t>
      </w:r>
      <w:r w:rsidR="00F4523C">
        <w:rPr>
          <w:sz w:val="22"/>
          <w:szCs w:val="22"/>
        </w:rPr>
        <w:t>S</w:t>
      </w:r>
      <w:r w:rsidRPr="002E05A5">
        <w:rPr>
          <w:sz w:val="22"/>
          <w:szCs w:val="22"/>
        </w:rPr>
        <w:t>.</w:t>
      </w:r>
    </w:p>
    <w:p w:rsidR="002540C3" w:rsidRDefault="001755A6" w:rsidP="006C7CC7">
      <w:pPr>
        <w:pStyle w:val="BodyText"/>
      </w:pPr>
      <w:r>
        <w:lastRenderedPageBreak/>
        <w:t xml:space="preserve">Researching the availability of data to inform 196 indicators has helped </w:t>
      </w:r>
      <w:r w:rsidR="002540C3" w:rsidRPr="0085036F">
        <w:t xml:space="preserve">to identify areas where little or no data are </w:t>
      </w:r>
      <w:r>
        <w:t xml:space="preserve">available </w:t>
      </w:r>
      <w:r w:rsidR="00DB53C0">
        <w:t>and where improvements can be made</w:t>
      </w:r>
      <w:r w:rsidR="002540C3" w:rsidRPr="0085036F">
        <w:t xml:space="preserve">. As international and EU standards are in place, it is useful to consider the role of data collection and analysis in the monitoring and evaluation of compliance with international standards and, more generally, monitoring and reporting on the respect of the rights of the child. Improved data </w:t>
      </w:r>
      <w:r w:rsidR="001551AF">
        <w:t xml:space="preserve">collection </w:t>
      </w:r>
      <w:r w:rsidR="002540C3" w:rsidRPr="0085036F">
        <w:t xml:space="preserve">can assist in the development of legislation, policy and practice. </w:t>
      </w:r>
    </w:p>
    <w:p w:rsidR="00273969" w:rsidRPr="000F3C1C" w:rsidRDefault="00273969" w:rsidP="006C7CC7">
      <w:pPr>
        <w:pStyle w:val="BodyText"/>
      </w:pPr>
      <w:r w:rsidRPr="000F3C1C">
        <w:t>In parallel and in close cooperation with th</w:t>
      </w:r>
      <w:r>
        <w:t xml:space="preserve">is study, </w:t>
      </w:r>
      <w:r w:rsidRPr="000F3C1C">
        <w:t>the F</w:t>
      </w:r>
      <w:r>
        <w:t>undamental Rights Agency of the European Union (FRA)</w:t>
      </w:r>
      <w:r w:rsidRPr="000F3C1C">
        <w:t xml:space="preserve"> conduct</w:t>
      </w:r>
      <w:r w:rsidR="001755A6">
        <w:t>ed</w:t>
      </w:r>
      <w:r w:rsidRPr="000F3C1C">
        <w:t xml:space="preserve"> primary research among 500 judicial and other practitioners, via interviews and focus groups, of the impact of legislation and policy on child</w:t>
      </w:r>
      <w:r w:rsidR="007525CC">
        <w:t xml:space="preserve">ren involved in criminal and civil judicial proceedings </w:t>
      </w:r>
      <w:r w:rsidRPr="000F3C1C">
        <w:t xml:space="preserve">in 10 </w:t>
      </w:r>
      <w:r w:rsidR="000F3C1C">
        <w:t>MS</w:t>
      </w:r>
      <w:r w:rsidRPr="000F3C1C">
        <w:t xml:space="preserve"> (BG, EE, FI, FR, DE, HR, PL, RO, ES, and UK)</w:t>
      </w:r>
      <w:r w:rsidR="000F3C1C">
        <w:rPr>
          <w:rStyle w:val="FootnoteReference"/>
          <w:sz w:val="22"/>
          <w:szCs w:val="22"/>
        </w:rPr>
        <w:footnoteReference w:id="8"/>
      </w:r>
      <w:r w:rsidRPr="000F3C1C">
        <w:t xml:space="preserve">. The research </w:t>
      </w:r>
      <w:r w:rsidR="007F504F">
        <w:t>aims to</w:t>
      </w:r>
      <w:r w:rsidRPr="000F3C1C">
        <w:t xml:space="preserve"> identify what is or is not implemented and how</w:t>
      </w:r>
      <w:r w:rsidR="001755A6">
        <w:t>;</w:t>
      </w:r>
      <w:r w:rsidRPr="000F3C1C">
        <w:t xml:space="preserve"> assess impact</w:t>
      </w:r>
      <w:r w:rsidR="001755A6">
        <w:t>; and identify</w:t>
      </w:r>
      <w:r w:rsidRPr="000F3C1C">
        <w:t xml:space="preserve"> good practice, difficulties and gaps</w:t>
      </w:r>
      <w:r w:rsidR="001755A6">
        <w:t xml:space="preserve"> in the </w:t>
      </w:r>
      <w:r w:rsidRPr="000F3C1C">
        <w:t>use of the Council of Europe Guidelines and child-friendly procedures</w:t>
      </w:r>
      <w:r w:rsidR="001755A6">
        <w:t>.</w:t>
      </w:r>
      <w:r w:rsidRPr="000F3C1C">
        <w:t xml:space="preserve"> The results will help to populate some of the outcome indicators developed in </w:t>
      </w:r>
      <w:r w:rsidR="008A4FAD">
        <w:t>this</w:t>
      </w:r>
      <w:r w:rsidRPr="000F3C1C">
        <w:t xml:space="preserve"> study. </w:t>
      </w:r>
      <w:r w:rsidR="007525CC">
        <w:t>Throughout</w:t>
      </w:r>
      <w:r w:rsidRPr="000F3C1C">
        <w:t xml:space="preserve"> 2013 and 2014, the FRA </w:t>
      </w:r>
      <w:r w:rsidR="007525CC">
        <w:t>interview</w:t>
      </w:r>
      <w:r w:rsidR="002B6C1B">
        <w:t>ed</w:t>
      </w:r>
      <w:r w:rsidR="008A4FAD">
        <w:t xml:space="preserve"> </w:t>
      </w:r>
      <w:r w:rsidRPr="000F3C1C">
        <w:t xml:space="preserve">children about their experiences with the justice system in the same 10 </w:t>
      </w:r>
      <w:r w:rsidR="000F3C1C">
        <w:t>MS</w:t>
      </w:r>
      <w:r w:rsidRPr="000F3C1C">
        <w:t xml:space="preserve">. </w:t>
      </w:r>
    </w:p>
    <w:p w:rsidR="0034040C" w:rsidRPr="000F3C1C" w:rsidRDefault="00273969" w:rsidP="006C7CC7">
      <w:pPr>
        <w:pStyle w:val="BodyText"/>
      </w:pPr>
      <w:r w:rsidRPr="000F3C1C">
        <w:t xml:space="preserve">The Commission was assisted by a steering group for this study including representatives from </w:t>
      </w:r>
      <w:r w:rsidR="008A4FAD">
        <w:t xml:space="preserve">UNICEF (TransMONEE), </w:t>
      </w:r>
      <w:r w:rsidR="0034040C" w:rsidRPr="000F3C1C">
        <w:t xml:space="preserve">the Council of Europe, the UN Office on Drugs and Crime (UNODC), the International Juvenile Justice Observatory, </w:t>
      </w:r>
      <w:r w:rsidR="001755A6">
        <w:t>FRA</w:t>
      </w:r>
      <w:r w:rsidR="0034040C" w:rsidRPr="000F3C1C">
        <w:t xml:space="preserve">, an academic expert (Professor Ursula Kilkelly), two independent experts on rights of the child (Peter Newell and Ankie Vandekerckhove) and representatives from the following national administrations: FR, </w:t>
      </w:r>
      <w:r w:rsidR="000F3C1C">
        <w:t>EL</w:t>
      </w:r>
      <w:r w:rsidR="0034040C" w:rsidRPr="000F3C1C">
        <w:t>, PL and SK. The steering group's mandate was</w:t>
      </w:r>
      <w:r w:rsidR="009F7577">
        <w:t>:</w:t>
      </w:r>
      <w:r w:rsidR="0034040C" w:rsidRPr="000F3C1C">
        <w:t xml:space="preserve"> to ensure that relevant knowledge and expertise within the remit of the steering group was made available to the Contractor in good time</w:t>
      </w:r>
      <w:r w:rsidR="009F7577">
        <w:t>;</w:t>
      </w:r>
      <w:r w:rsidR="0034040C" w:rsidRPr="000F3C1C">
        <w:t xml:space="preserve"> to advise the Commission as contracting party in taking informed key decisions</w:t>
      </w:r>
      <w:r w:rsidR="009F7577">
        <w:t>;</w:t>
      </w:r>
      <w:r w:rsidR="0034040C" w:rsidRPr="000F3C1C">
        <w:t xml:space="preserve"> and</w:t>
      </w:r>
      <w:r w:rsidR="009F7577">
        <w:t>,</w:t>
      </w:r>
      <w:r w:rsidR="0034040C" w:rsidRPr="000F3C1C">
        <w:t xml:space="preserve"> to steer the work in order to ensure that the contractual requirements could be fulfilled. The steering group met</w:t>
      </w:r>
      <w:r w:rsidR="008A4FAD">
        <w:t xml:space="preserve"> twice</w:t>
      </w:r>
      <w:r w:rsidR="002E05A5">
        <w:t xml:space="preserve"> </w:t>
      </w:r>
      <w:r w:rsidR="0034040C" w:rsidRPr="000F3C1C">
        <w:t>during th</w:t>
      </w:r>
      <w:r w:rsidR="009F7577">
        <w:t xml:space="preserve">e civil and administrative </w:t>
      </w:r>
      <w:r w:rsidR="0034040C" w:rsidRPr="000F3C1C">
        <w:t>phase of the study.</w:t>
      </w:r>
    </w:p>
    <w:p w:rsidR="002540C3" w:rsidRPr="0085036F" w:rsidRDefault="002540C3" w:rsidP="006C7CC7">
      <w:pPr>
        <w:pStyle w:val="Heading2"/>
      </w:pPr>
      <w:bookmarkStart w:id="88" w:name="_Toc371412630"/>
      <w:bookmarkStart w:id="89" w:name="_Toc406590135"/>
      <w:bookmarkStart w:id="90" w:name="_Toc408908688"/>
      <w:r w:rsidRPr="0085036F">
        <w:lastRenderedPageBreak/>
        <w:t>Report content and structure</w:t>
      </w:r>
      <w:bookmarkEnd w:id="88"/>
      <w:bookmarkEnd w:id="89"/>
      <w:bookmarkEnd w:id="90"/>
    </w:p>
    <w:p w:rsidR="002540C3" w:rsidRPr="0085036F" w:rsidRDefault="002540C3" w:rsidP="006C7CC7">
      <w:pPr>
        <w:pStyle w:val="BodyText"/>
      </w:pPr>
      <w:r w:rsidRPr="0085036F">
        <w:t xml:space="preserve">The report identifies key features and variations in the legal and institutional context of the </w:t>
      </w:r>
      <w:r w:rsidR="00403015">
        <w:t xml:space="preserve">MS </w:t>
      </w:r>
      <w:r w:rsidRPr="0085036F">
        <w:t xml:space="preserve">affecting children’s involvement in </w:t>
      </w:r>
      <w:r w:rsidR="00A6736E">
        <w:t>civil and administrative judicial</w:t>
      </w:r>
      <w:r w:rsidRPr="0085036F">
        <w:t xml:space="preserve"> proceedings. It includes </w:t>
      </w:r>
      <w:r w:rsidR="00CB539F">
        <w:t xml:space="preserve">in the main text and annexes </w:t>
      </w:r>
      <w:r w:rsidRPr="0085036F">
        <w:t xml:space="preserve">a series of tables which provide background quantitative information and an overview of statutory and policy measures pertinent to the protection of children’s rights in </w:t>
      </w:r>
      <w:r w:rsidR="00A6736E">
        <w:t>civil and administrative</w:t>
      </w:r>
      <w:r w:rsidRPr="0085036F">
        <w:t xml:space="preserve"> judicial proceedings. The report highlights examples of legislation, polic</w:t>
      </w:r>
      <w:r w:rsidR="00A73944">
        <w:t>y</w:t>
      </w:r>
      <w:r w:rsidRPr="0085036F">
        <w:t xml:space="preserve"> and institutional practices which illustrate the functioning of key safeguards designed to guarantee children's effective access to and adequate treatment in </w:t>
      </w:r>
      <w:r w:rsidR="00A6736E">
        <w:t>civil and administrative</w:t>
      </w:r>
      <w:r w:rsidRPr="0085036F">
        <w:t xml:space="preserve"> justice</w:t>
      </w:r>
      <w:r w:rsidR="00273969">
        <w:t xml:space="preserve"> and includes summary observations for each section.</w:t>
      </w:r>
    </w:p>
    <w:p w:rsidR="002540C3" w:rsidRPr="0085036F" w:rsidRDefault="000F3C1C" w:rsidP="006C7CC7">
      <w:pPr>
        <w:pStyle w:val="BodyText"/>
      </w:pPr>
      <w:r>
        <w:t>The report</w:t>
      </w:r>
      <w:r w:rsidRPr="0085036F">
        <w:t xml:space="preserve"> </w:t>
      </w:r>
      <w:r w:rsidR="002540C3" w:rsidRPr="0085036F">
        <w:t>also identifies gaps in the coverage of these safeguards that affect child</w:t>
      </w:r>
      <w:r w:rsidR="00A500CC">
        <w:t>ren as</w:t>
      </w:r>
      <w:r w:rsidR="002540C3" w:rsidRPr="0085036F">
        <w:t xml:space="preserve"> </w:t>
      </w:r>
      <w:r w:rsidR="009C4805" w:rsidRPr="009C4805">
        <w:rPr>
          <w:b/>
        </w:rPr>
        <w:t>plainti</w:t>
      </w:r>
      <w:r w:rsidR="009C4805" w:rsidRPr="008A4FAD">
        <w:rPr>
          <w:b/>
        </w:rPr>
        <w:t>ff</w:t>
      </w:r>
      <w:r w:rsidR="00A500CC" w:rsidRPr="008A4FAD">
        <w:rPr>
          <w:b/>
        </w:rPr>
        <w:t>s</w:t>
      </w:r>
      <w:r w:rsidR="00A500CC">
        <w:t xml:space="preserve">, </w:t>
      </w:r>
      <w:r w:rsidR="009C4805">
        <w:rPr>
          <w:b/>
        </w:rPr>
        <w:t>defendants</w:t>
      </w:r>
      <w:r w:rsidR="00A500CC">
        <w:t xml:space="preserve">, </w:t>
      </w:r>
      <w:r w:rsidR="009C4805" w:rsidRPr="009C4805">
        <w:rPr>
          <w:b/>
        </w:rPr>
        <w:t>witnesses</w:t>
      </w:r>
      <w:r w:rsidR="009A7EBE">
        <w:t xml:space="preserve"> and </w:t>
      </w:r>
      <w:r w:rsidR="00A500CC" w:rsidRPr="009C4805">
        <w:rPr>
          <w:b/>
        </w:rPr>
        <w:t>subjects</w:t>
      </w:r>
      <w:r w:rsidR="002540C3" w:rsidRPr="0085036F">
        <w:t xml:space="preserve">. </w:t>
      </w:r>
    </w:p>
    <w:p w:rsidR="000E0BD1" w:rsidRDefault="002540C3" w:rsidP="006C7CC7">
      <w:pPr>
        <w:pStyle w:val="BodyText"/>
      </w:pPr>
      <w:r w:rsidRPr="0085036F">
        <w:t>The report is structured in</w:t>
      </w:r>
      <w:r w:rsidR="00A500CC">
        <w:t xml:space="preserve">to </w:t>
      </w:r>
      <w:r w:rsidR="006F7671">
        <w:t>five</w:t>
      </w:r>
      <w:r w:rsidR="00A500CC">
        <w:t xml:space="preserve"> </w:t>
      </w:r>
      <w:r w:rsidR="009F7577">
        <w:t>sections</w:t>
      </w:r>
      <w:r w:rsidRPr="0085036F">
        <w:t xml:space="preserve">. Section 2 provides an overview of the </w:t>
      </w:r>
      <w:r w:rsidR="009F7577">
        <w:t xml:space="preserve">numbers of </w:t>
      </w:r>
      <w:r w:rsidRPr="0085036F">
        <w:t>child</w:t>
      </w:r>
      <w:r w:rsidR="009F7577">
        <w:t>ren</w:t>
      </w:r>
      <w:r w:rsidRPr="0085036F">
        <w:t xml:space="preserve"> involved in </w:t>
      </w:r>
      <w:r w:rsidR="006F7671">
        <w:t>civil and administrative</w:t>
      </w:r>
      <w:r w:rsidRPr="0085036F">
        <w:t xml:space="preserve"> judicial proceedings, in order to </w:t>
      </w:r>
      <w:r w:rsidR="009F7577">
        <w:t xml:space="preserve">provide </w:t>
      </w:r>
      <w:r w:rsidRPr="0085036F">
        <w:t xml:space="preserve">context </w:t>
      </w:r>
      <w:r w:rsidR="009F7577">
        <w:t>for</w:t>
      </w:r>
      <w:r w:rsidRPr="0085036F">
        <w:t xml:space="preserve"> subsequent comparative analysis of the legal and policy framework</w:t>
      </w:r>
      <w:r w:rsidR="001F39F9">
        <w:t>s</w:t>
      </w:r>
      <w:r w:rsidRPr="0085036F">
        <w:t xml:space="preserve"> in EU </w:t>
      </w:r>
      <w:r w:rsidR="00CB539F">
        <w:t>MS</w:t>
      </w:r>
      <w:r w:rsidRPr="0085036F">
        <w:t xml:space="preserve">. </w:t>
      </w:r>
    </w:p>
    <w:p w:rsidR="000E0BD1" w:rsidRDefault="002540C3" w:rsidP="006C7CC7">
      <w:pPr>
        <w:pStyle w:val="BodyText"/>
      </w:pPr>
      <w:r w:rsidRPr="0085036F">
        <w:t xml:space="preserve">Section 3 describes key aspects of </w:t>
      </w:r>
      <w:r w:rsidR="00CB539F">
        <w:t>MS</w:t>
      </w:r>
      <w:r w:rsidRPr="0085036F">
        <w:t xml:space="preserve">’ general approach to dealing with children in </w:t>
      </w:r>
      <w:r w:rsidR="00451655">
        <w:t>civil and administrative judicial</w:t>
      </w:r>
      <w:r w:rsidRPr="0085036F">
        <w:t xml:space="preserve"> proceedings, including the </w:t>
      </w:r>
      <w:r w:rsidR="00451655">
        <w:t xml:space="preserve">type of institutions dealing with children </w:t>
      </w:r>
      <w:r w:rsidR="009F7577">
        <w:t>during</w:t>
      </w:r>
      <w:r w:rsidR="00451655">
        <w:t xml:space="preserve"> these proceedings</w:t>
      </w:r>
      <w:r w:rsidRPr="0085036F">
        <w:t xml:space="preserve">. </w:t>
      </w:r>
    </w:p>
    <w:p w:rsidR="009F7577" w:rsidRDefault="002540C3" w:rsidP="006C7CC7">
      <w:pPr>
        <w:pStyle w:val="BodyText"/>
      </w:pPr>
      <w:r w:rsidRPr="0085036F">
        <w:t xml:space="preserve">Section 4 examines </w:t>
      </w:r>
      <w:r w:rsidR="000E0BD1">
        <w:t xml:space="preserve">different areas of protection and </w:t>
      </w:r>
      <w:r w:rsidRPr="0085036F">
        <w:t xml:space="preserve">the </w:t>
      </w:r>
      <w:r w:rsidR="00B73349">
        <w:t xml:space="preserve">extent to which </w:t>
      </w:r>
      <w:r w:rsidR="000E0BD1">
        <w:t xml:space="preserve">safeguards </w:t>
      </w:r>
      <w:r w:rsidR="00B73349">
        <w:t>are in place to ensure that children e</w:t>
      </w:r>
      <w:r w:rsidR="009F7577">
        <w:t>xperience</w:t>
      </w:r>
      <w:r w:rsidR="00B73349">
        <w:t xml:space="preserve"> effective access to and adequate treatment in civil and administrative judicial proceedings. </w:t>
      </w:r>
    </w:p>
    <w:p w:rsidR="00B73349" w:rsidRDefault="00B73349" w:rsidP="006C7CC7">
      <w:pPr>
        <w:pStyle w:val="BodyText"/>
      </w:pPr>
      <w:r>
        <w:t xml:space="preserve">Where applicable, the general approach to dealing with children in civil and administrative judicial proceedings, and the </w:t>
      </w:r>
      <w:r w:rsidR="000E0BD1">
        <w:t>safeguards</w:t>
      </w:r>
      <w:r w:rsidR="00050135">
        <w:t xml:space="preserve"> </w:t>
      </w:r>
      <w:r>
        <w:t>that apply</w:t>
      </w:r>
      <w:r w:rsidR="000E0BD1">
        <w:t xml:space="preserve"> in different areas of protection</w:t>
      </w:r>
      <w:r>
        <w:t xml:space="preserve"> are </w:t>
      </w:r>
      <w:r w:rsidR="000E0BD1">
        <w:t xml:space="preserve">considered </w:t>
      </w:r>
      <w:r>
        <w:t>by area of law</w:t>
      </w:r>
      <w:r w:rsidRPr="00B73349">
        <w:t>)</w:t>
      </w:r>
      <w:r w:rsidR="000E0BD1">
        <w:t>,</w:t>
      </w:r>
      <w:r w:rsidR="009C4805">
        <w:t xml:space="preserve"> by role of the child; and the relevant stage of judicial proceedings (before, during, enforcement proceedings).</w:t>
      </w:r>
    </w:p>
    <w:p w:rsidR="002540C3" w:rsidRDefault="002540C3" w:rsidP="006C7CC7">
      <w:pPr>
        <w:pStyle w:val="BodyText"/>
      </w:pPr>
      <w:r w:rsidRPr="0085036F">
        <w:t xml:space="preserve">Section </w:t>
      </w:r>
      <w:r w:rsidR="009C4805">
        <w:t>5</w:t>
      </w:r>
      <w:r w:rsidRPr="0085036F">
        <w:t xml:space="preserve"> </w:t>
      </w:r>
      <w:r w:rsidR="000E0BD1">
        <w:t xml:space="preserve">provides </w:t>
      </w:r>
      <w:r w:rsidRPr="0085036F">
        <w:t>a horizontal analysis of the key safeguards in place by role of the child (</w:t>
      </w:r>
      <w:r w:rsidR="009C4805" w:rsidRPr="009C4805">
        <w:rPr>
          <w:b/>
        </w:rPr>
        <w:t>plaintiff</w:t>
      </w:r>
      <w:r w:rsidR="009C4805" w:rsidRPr="007525CC">
        <w:rPr>
          <w:b/>
        </w:rPr>
        <w:t>s</w:t>
      </w:r>
      <w:r w:rsidR="009C4805">
        <w:t xml:space="preserve">, </w:t>
      </w:r>
      <w:r w:rsidR="009C4805" w:rsidRPr="009C4805">
        <w:rPr>
          <w:b/>
        </w:rPr>
        <w:t>plaintiff</w:t>
      </w:r>
      <w:r w:rsidR="009C4805">
        <w:t xml:space="preserve">s, </w:t>
      </w:r>
      <w:r w:rsidR="009C4805" w:rsidRPr="009C4805">
        <w:rPr>
          <w:b/>
        </w:rPr>
        <w:t>witnesses</w:t>
      </w:r>
      <w:r w:rsidR="009C4805">
        <w:t xml:space="preserve">, </w:t>
      </w:r>
      <w:r w:rsidR="009C4805" w:rsidRPr="009C4805">
        <w:rPr>
          <w:b/>
        </w:rPr>
        <w:t>subjects</w:t>
      </w:r>
      <w:r w:rsidRPr="0085036F">
        <w:rPr>
          <w:b/>
        </w:rPr>
        <w:t>)</w:t>
      </w:r>
      <w:r w:rsidR="00705572">
        <w:t xml:space="preserve"> and by area of law (</w:t>
      </w:r>
      <w:r w:rsidR="00705572" w:rsidRPr="00705572">
        <w:rPr>
          <w:b/>
        </w:rPr>
        <w:t>family, employment, asylum, migration, education, health, placement in care, administrative sanctions, and offences committed</w:t>
      </w:r>
      <w:r w:rsidR="00A73944">
        <w:rPr>
          <w:b/>
        </w:rPr>
        <w:t>/offending behaviour</w:t>
      </w:r>
      <w:r w:rsidR="00705572" w:rsidRPr="00705572">
        <w:rPr>
          <w:b/>
        </w:rPr>
        <w:t xml:space="preserve"> by children below the </w:t>
      </w:r>
      <w:r w:rsidR="008A4FAD">
        <w:rPr>
          <w:b/>
        </w:rPr>
        <w:t>age of criminal responsibility</w:t>
      </w:r>
      <w:r w:rsidR="008A4FAD">
        <w:t>),</w:t>
      </w:r>
      <w:r w:rsidRPr="0085036F">
        <w:t xml:space="preserve"> identifying </w:t>
      </w:r>
      <w:r w:rsidR="000E0BD1">
        <w:t xml:space="preserve">the </w:t>
      </w:r>
      <w:r w:rsidRPr="0085036F">
        <w:t xml:space="preserve">safeguards that are frequently provided across the EU and </w:t>
      </w:r>
      <w:r w:rsidR="000E0BD1">
        <w:t>the</w:t>
      </w:r>
      <w:r w:rsidR="000E0BD1" w:rsidRPr="0085036F">
        <w:t xml:space="preserve"> </w:t>
      </w:r>
      <w:r w:rsidRPr="0085036F">
        <w:t>safeguards that are less common.</w:t>
      </w:r>
    </w:p>
    <w:p w:rsidR="000279A2" w:rsidRDefault="000279A2" w:rsidP="006C7CC7">
      <w:pPr>
        <w:pStyle w:val="BodyText"/>
      </w:pPr>
      <w:bookmarkStart w:id="91" w:name="_Toc371412631"/>
      <w:bookmarkStart w:id="92" w:name="_Toc365616794"/>
      <w:bookmarkStart w:id="93" w:name="_Toc365881766"/>
      <w:bookmarkStart w:id="94" w:name="_Toc371943953"/>
      <w:r w:rsidRPr="0053779E">
        <w:lastRenderedPageBreak/>
        <w:t>As this is an EU level synthesis report simplification is to an extent unavoidable in order to present the situation across Europe. Details about the provisions in individual MS can be found in the national contextual overviews.</w:t>
      </w:r>
    </w:p>
    <w:p w:rsidR="005F2B12" w:rsidRPr="0085036F" w:rsidRDefault="005F2B12" w:rsidP="009D241E">
      <w:pPr>
        <w:pStyle w:val="Heading1noPg"/>
      </w:pPr>
      <w:bookmarkStart w:id="95" w:name="_Toc406590136"/>
      <w:bookmarkStart w:id="96" w:name="_Toc408908689"/>
      <w:r w:rsidRPr="005B309B">
        <w:t>The numbers of children affected</w:t>
      </w:r>
      <w:bookmarkEnd w:id="91"/>
      <w:bookmarkEnd w:id="95"/>
      <w:bookmarkEnd w:id="96"/>
    </w:p>
    <w:p w:rsidR="00812FDB" w:rsidRPr="000E00C6" w:rsidRDefault="00812FDB" w:rsidP="009D241E">
      <w:pPr>
        <w:pStyle w:val="Heading2"/>
      </w:pPr>
      <w:bookmarkStart w:id="97" w:name="_Toc406590137"/>
      <w:bookmarkStart w:id="98" w:name="_Toc408908690"/>
      <w:r w:rsidRPr="000E00C6">
        <w:t>Introduction</w:t>
      </w:r>
      <w:bookmarkEnd w:id="97"/>
      <w:bookmarkEnd w:id="98"/>
    </w:p>
    <w:p w:rsidR="00F00A65" w:rsidRDefault="00F00A65" w:rsidP="006C7CC7">
      <w:pPr>
        <w:pStyle w:val="BodyText"/>
      </w:pPr>
      <w:r>
        <w:t>This Section presents evidence on the numbers of children that are involved in various roles in civil and administrative judicial proceedings.</w:t>
      </w:r>
    </w:p>
    <w:p w:rsidR="004A1A38" w:rsidRPr="00A5732C" w:rsidRDefault="00E7749D" w:rsidP="00A5732C">
      <w:pPr>
        <w:pStyle w:val="BodyText"/>
        <w:pBdr>
          <w:top w:val="single" w:sz="6" w:space="1" w:color="auto"/>
          <w:left w:val="single" w:sz="6" w:space="4" w:color="auto"/>
          <w:bottom w:val="single" w:sz="6" w:space="1" w:color="auto"/>
          <w:right w:val="single" w:sz="6" w:space="4" w:color="auto"/>
          <w:between w:val="single" w:sz="6" w:space="1" w:color="auto"/>
          <w:bar w:val="single" w:sz="6" w:color="auto"/>
        </w:pBdr>
        <w:rPr>
          <w:rFonts w:cs="Arial"/>
          <w:b/>
          <w:bCs/>
          <w:color w:val="000000"/>
          <w:sz w:val="22"/>
          <w:szCs w:val="22"/>
        </w:rPr>
      </w:pPr>
      <w:r w:rsidRPr="00A5732C">
        <w:rPr>
          <w:rFonts w:cs="Arial"/>
          <w:b/>
          <w:bCs/>
          <w:color w:val="000000"/>
          <w:sz w:val="22"/>
          <w:szCs w:val="22"/>
        </w:rPr>
        <w:t>E</w:t>
      </w:r>
      <w:r w:rsidR="004A1A38" w:rsidRPr="00A5732C">
        <w:rPr>
          <w:rFonts w:cs="Arial"/>
          <w:b/>
          <w:bCs/>
          <w:color w:val="000000"/>
          <w:sz w:val="22"/>
          <w:szCs w:val="22"/>
        </w:rPr>
        <w:t xml:space="preserve">very effort </w:t>
      </w:r>
      <w:r w:rsidRPr="00A5732C">
        <w:rPr>
          <w:rFonts w:cs="Arial"/>
          <w:b/>
          <w:bCs/>
          <w:color w:val="000000"/>
          <w:sz w:val="22"/>
          <w:szCs w:val="22"/>
        </w:rPr>
        <w:t>was</w:t>
      </w:r>
      <w:r w:rsidR="004A1A38" w:rsidRPr="00A5732C">
        <w:rPr>
          <w:rFonts w:cs="Arial"/>
          <w:b/>
          <w:bCs/>
          <w:color w:val="000000"/>
          <w:sz w:val="22"/>
          <w:szCs w:val="22"/>
        </w:rPr>
        <w:t xml:space="preserve"> made to gather available data. </w:t>
      </w:r>
      <w:r w:rsidR="007F504F" w:rsidRPr="00A5732C">
        <w:rPr>
          <w:rFonts w:cs="Arial"/>
          <w:b/>
          <w:bCs/>
          <w:color w:val="000000"/>
          <w:sz w:val="22"/>
          <w:szCs w:val="22"/>
        </w:rPr>
        <w:t>However, t</w:t>
      </w:r>
      <w:r w:rsidR="004A1A38" w:rsidRPr="00A5732C">
        <w:rPr>
          <w:rFonts w:cs="Arial"/>
          <w:b/>
          <w:bCs/>
          <w:color w:val="000000"/>
          <w:sz w:val="22"/>
          <w:szCs w:val="22"/>
        </w:rPr>
        <w:t xml:space="preserve">here are gaps in </w:t>
      </w:r>
      <w:r w:rsidR="00812FDB" w:rsidRPr="00A5732C">
        <w:rPr>
          <w:rFonts w:cs="Arial"/>
          <w:b/>
          <w:bCs/>
          <w:color w:val="000000"/>
          <w:sz w:val="22"/>
          <w:szCs w:val="22"/>
        </w:rPr>
        <w:t xml:space="preserve">the information from </w:t>
      </w:r>
      <w:r w:rsidR="004A1A38" w:rsidRPr="00A5732C">
        <w:rPr>
          <w:rFonts w:cs="Arial"/>
          <w:b/>
          <w:bCs/>
          <w:color w:val="000000"/>
          <w:sz w:val="22"/>
          <w:szCs w:val="22"/>
        </w:rPr>
        <w:t xml:space="preserve">Member States </w:t>
      </w:r>
      <w:r w:rsidR="00D55A0F" w:rsidRPr="00A5732C">
        <w:rPr>
          <w:rFonts w:cs="Arial"/>
          <w:b/>
          <w:bCs/>
          <w:color w:val="000000"/>
          <w:sz w:val="22"/>
          <w:szCs w:val="22"/>
        </w:rPr>
        <w:t xml:space="preserve">(MS) </w:t>
      </w:r>
      <w:r w:rsidR="004A1A38" w:rsidRPr="00A5732C">
        <w:rPr>
          <w:rFonts w:cs="Arial"/>
          <w:b/>
          <w:bCs/>
          <w:color w:val="000000"/>
          <w:sz w:val="22"/>
          <w:szCs w:val="22"/>
        </w:rPr>
        <w:t>and it is therefore not possible to assess the precise scale of children’s involvement in c</w:t>
      </w:r>
      <w:r w:rsidR="00812FDB" w:rsidRPr="00A5732C">
        <w:rPr>
          <w:rFonts w:cs="Arial"/>
          <w:b/>
          <w:bCs/>
          <w:color w:val="000000"/>
          <w:sz w:val="22"/>
          <w:szCs w:val="22"/>
        </w:rPr>
        <w:t xml:space="preserve">ivil and administrative </w:t>
      </w:r>
      <w:r w:rsidR="004A1A38" w:rsidRPr="00A5732C">
        <w:rPr>
          <w:rFonts w:cs="Arial"/>
          <w:b/>
          <w:bCs/>
          <w:color w:val="000000"/>
          <w:sz w:val="22"/>
          <w:szCs w:val="22"/>
        </w:rPr>
        <w:t>judicial proceedings</w:t>
      </w:r>
      <w:r w:rsidR="00812FDB" w:rsidRPr="00A5732C">
        <w:rPr>
          <w:rFonts w:cs="Arial"/>
          <w:b/>
          <w:bCs/>
          <w:color w:val="000000"/>
          <w:sz w:val="22"/>
          <w:szCs w:val="22"/>
        </w:rPr>
        <w:t>.</w:t>
      </w:r>
      <w:r w:rsidR="004A1A38" w:rsidRPr="00A5732C">
        <w:rPr>
          <w:rFonts w:cs="Arial"/>
          <w:b/>
          <w:bCs/>
          <w:color w:val="000000"/>
          <w:sz w:val="22"/>
          <w:szCs w:val="22"/>
        </w:rPr>
        <w:t xml:space="preserve"> </w:t>
      </w:r>
      <w:r w:rsidR="00812FDB" w:rsidRPr="00A5732C">
        <w:rPr>
          <w:rFonts w:cs="Arial"/>
          <w:b/>
          <w:bCs/>
          <w:color w:val="000000"/>
          <w:sz w:val="22"/>
          <w:szCs w:val="22"/>
        </w:rPr>
        <w:t>The findings from a</w:t>
      </w:r>
      <w:r w:rsidR="004A1A38" w:rsidRPr="00A5732C">
        <w:rPr>
          <w:rFonts w:cs="Arial"/>
          <w:b/>
          <w:bCs/>
          <w:color w:val="000000"/>
          <w:sz w:val="22"/>
          <w:szCs w:val="22"/>
        </w:rPr>
        <w:t xml:space="preserve">vailable data </w:t>
      </w:r>
      <w:r w:rsidR="00812FDB" w:rsidRPr="00A5732C">
        <w:rPr>
          <w:rFonts w:cs="Arial"/>
          <w:b/>
          <w:bCs/>
          <w:color w:val="000000"/>
          <w:sz w:val="22"/>
          <w:szCs w:val="22"/>
        </w:rPr>
        <w:t>are</w:t>
      </w:r>
      <w:r w:rsidR="004A1A38" w:rsidRPr="00A5732C">
        <w:rPr>
          <w:rFonts w:cs="Arial"/>
          <w:b/>
          <w:bCs/>
          <w:color w:val="000000"/>
          <w:sz w:val="22"/>
          <w:szCs w:val="22"/>
        </w:rPr>
        <w:t xml:space="preserve"> summarised below.</w:t>
      </w:r>
    </w:p>
    <w:p w:rsidR="004A1A38" w:rsidRDefault="004A1A38" w:rsidP="006C7CC7">
      <w:pPr>
        <w:pStyle w:val="BodyText"/>
      </w:pPr>
      <w:r w:rsidRPr="004A1A38">
        <w:t>Data on children involved in civil and administrative judicial proceedings has been assembled from 31 international datasets</w:t>
      </w:r>
      <w:r w:rsidRPr="004A1A38">
        <w:rPr>
          <w:rStyle w:val="FootnoteReference"/>
          <w:rFonts w:cs="Arial"/>
          <w:color w:val="000000"/>
          <w:sz w:val="22"/>
          <w:szCs w:val="22"/>
        </w:rPr>
        <w:footnoteReference w:id="9"/>
      </w:r>
      <w:r w:rsidRPr="004A1A38">
        <w:t xml:space="preserve"> and 555 national datasets. The numbers of datasets from each MS are </w:t>
      </w:r>
      <w:r w:rsidR="00F00A65">
        <w:t>shown</w:t>
      </w:r>
      <w:r w:rsidRPr="004A1A38">
        <w:t xml:space="preserve"> in</w:t>
      </w:r>
      <w:r w:rsidR="003845C5">
        <w:t xml:space="preserve"> </w:t>
      </w:r>
      <w:r w:rsidR="000E525A" w:rsidRPr="000E00C6">
        <w:rPr>
          <w:b/>
          <w:color w:val="0070C0"/>
        </w:rPr>
        <w:fldChar w:fldCharType="begin"/>
      </w:r>
      <w:r w:rsidR="000E525A" w:rsidRPr="000E00C6">
        <w:rPr>
          <w:b/>
          <w:color w:val="0070C0"/>
        </w:rPr>
        <w:instrText xml:space="preserve"> REF _Ref392679931 \r \h  \* MERGEFORMAT </w:instrText>
      </w:r>
      <w:r w:rsidR="000E525A" w:rsidRPr="000E00C6">
        <w:rPr>
          <w:b/>
          <w:color w:val="0070C0"/>
        </w:rPr>
      </w:r>
      <w:r w:rsidR="000E525A" w:rsidRPr="000E00C6">
        <w:rPr>
          <w:b/>
          <w:color w:val="0070C0"/>
        </w:rPr>
        <w:fldChar w:fldCharType="separate"/>
      </w:r>
      <w:r w:rsidR="000223E8">
        <w:rPr>
          <w:b/>
          <w:color w:val="0070C0"/>
        </w:rPr>
        <w:t>Table A2.1</w:t>
      </w:r>
      <w:r w:rsidR="000E525A" w:rsidRPr="000E00C6">
        <w:rPr>
          <w:b/>
          <w:color w:val="0070C0"/>
        </w:rPr>
        <w:fldChar w:fldCharType="end"/>
      </w:r>
      <w:r w:rsidRPr="004A1A38">
        <w:t>. These datasets are a</w:t>
      </w:r>
      <w:r w:rsidR="00F00A65">
        <w:t>ccessible</w:t>
      </w:r>
      <w:r w:rsidRPr="004A1A38">
        <w:t xml:space="preserve"> via the </w:t>
      </w:r>
      <w:hyperlink r:id="rId16" w:history="1">
        <w:r w:rsidRPr="002961B6">
          <w:rPr>
            <w:rStyle w:val="Hyperlink"/>
            <w:rFonts w:cs="Arial"/>
            <w:sz w:val="22"/>
            <w:szCs w:val="22"/>
          </w:rPr>
          <w:t>online database</w:t>
        </w:r>
      </w:hyperlink>
      <w:r w:rsidRPr="004A1A38">
        <w:t>. However, there are both gaps and differences in what is measured that make direct comparisons and the drawing of generalisations of the scale of issues at the EU level problematic. Nevertheless</w:t>
      </w:r>
      <w:r w:rsidR="00F00A65">
        <w:t>,</w:t>
      </w:r>
      <w:r w:rsidRPr="004A1A38">
        <w:t xml:space="preserve"> the information has been organised into comparative tables that are included in </w:t>
      </w:r>
      <w:r w:rsidR="000E00C6" w:rsidRPr="000E00C6">
        <w:rPr>
          <w:b/>
          <w:color w:val="0070C0"/>
        </w:rPr>
        <w:fldChar w:fldCharType="begin"/>
      </w:r>
      <w:r w:rsidR="000E00C6" w:rsidRPr="000E00C6">
        <w:rPr>
          <w:b/>
          <w:color w:val="0070C0"/>
        </w:rPr>
        <w:instrText xml:space="preserve"> REF _Ref397595320 \r \h  \* MERGEFORMAT </w:instrText>
      </w:r>
      <w:r w:rsidR="000E00C6" w:rsidRPr="000E00C6">
        <w:rPr>
          <w:b/>
          <w:color w:val="0070C0"/>
        </w:rPr>
      </w:r>
      <w:r w:rsidR="000E00C6" w:rsidRPr="000E00C6">
        <w:rPr>
          <w:b/>
          <w:color w:val="0070C0"/>
        </w:rPr>
        <w:fldChar w:fldCharType="separate"/>
      </w:r>
      <w:r w:rsidR="000223E8">
        <w:rPr>
          <w:b/>
          <w:color w:val="0070C0"/>
        </w:rPr>
        <w:t>Annex 2</w:t>
      </w:r>
      <w:r w:rsidR="000E00C6" w:rsidRPr="000E00C6">
        <w:rPr>
          <w:b/>
          <w:color w:val="0070C0"/>
        </w:rPr>
        <w:fldChar w:fldCharType="end"/>
      </w:r>
      <w:r w:rsidRPr="004A1A38">
        <w:t>.</w:t>
      </w:r>
    </w:p>
    <w:p w:rsidR="00F41A43" w:rsidRPr="004A1A38" w:rsidRDefault="00F41A43" w:rsidP="006C7CC7">
      <w:pPr>
        <w:pStyle w:val="BodyText"/>
      </w:pPr>
      <w:r>
        <w:t xml:space="preserve">The discussion of the data below focusses on data which is comparable across </w:t>
      </w:r>
      <w:r w:rsidR="00D55A0F">
        <w:t>MS</w:t>
      </w:r>
      <w:r>
        <w:t xml:space="preserve">. For some of the topics, </w:t>
      </w:r>
      <w:r w:rsidR="00D55A0F">
        <w:t>MS</w:t>
      </w:r>
      <w:r>
        <w:t xml:space="preserve"> collect data which approximately matches the topic. The </w:t>
      </w:r>
      <w:r w:rsidR="00D55A0F">
        <w:t>MS</w:t>
      </w:r>
      <w:r>
        <w:t xml:space="preserve"> which collect approximate data for each topic are listed in </w:t>
      </w:r>
      <w:r w:rsidRPr="0076023B">
        <w:rPr>
          <w:b/>
          <w:color w:val="0070C0"/>
        </w:rPr>
        <w:fldChar w:fldCharType="begin"/>
      </w:r>
      <w:r w:rsidRPr="0076023B">
        <w:rPr>
          <w:b/>
          <w:color w:val="0070C0"/>
        </w:rPr>
        <w:instrText xml:space="preserve"> REF _Ref395861400 \r \h  \* MERGEFORMAT </w:instrText>
      </w:r>
      <w:r w:rsidRPr="0076023B">
        <w:rPr>
          <w:b/>
          <w:color w:val="0070C0"/>
        </w:rPr>
      </w:r>
      <w:r w:rsidRPr="0076023B">
        <w:rPr>
          <w:b/>
          <w:color w:val="0070C0"/>
        </w:rPr>
        <w:fldChar w:fldCharType="separate"/>
      </w:r>
      <w:r w:rsidR="000223E8">
        <w:rPr>
          <w:b/>
          <w:color w:val="0070C0"/>
        </w:rPr>
        <w:t>Table A2.14</w:t>
      </w:r>
      <w:r w:rsidRPr="0076023B">
        <w:rPr>
          <w:b/>
          <w:color w:val="0070C0"/>
        </w:rPr>
        <w:fldChar w:fldCharType="end"/>
      </w:r>
      <w:r>
        <w:t xml:space="preserve">. </w:t>
      </w:r>
    </w:p>
    <w:p w:rsidR="004A1A38" w:rsidRPr="004A1A38" w:rsidRDefault="004A1A38" w:rsidP="006C7CC7">
      <w:pPr>
        <w:pStyle w:val="Heading2"/>
      </w:pPr>
      <w:bookmarkStart w:id="99" w:name="_Toc406590138"/>
      <w:bookmarkStart w:id="100" w:name="_Toc408908691"/>
      <w:r w:rsidRPr="004A1A38">
        <w:t>Children affected by parental divorce</w:t>
      </w:r>
      <w:bookmarkEnd w:id="99"/>
      <w:bookmarkEnd w:id="100"/>
    </w:p>
    <w:p w:rsidR="004A1A38" w:rsidRPr="004A1A38" w:rsidRDefault="00F41A43" w:rsidP="006C7CC7">
      <w:pPr>
        <w:pStyle w:val="BodyText"/>
      </w:pPr>
      <w:r>
        <w:t xml:space="preserve">There were 495,000 </w:t>
      </w:r>
      <w:r w:rsidRPr="004A1A38">
        <w:t xml:space="preserve">children affected by parental divorce </w:t>
      </w:r>
      <w:r>
        <w:t>i</w:t>
      </w:r>
      <w:r w:rsidR="004A1A38" w:rsidRPr="004A1A38">
        <w:t xml:space="preserve">n </w:t>
      </w:r>
      <w:r>
        <w:t xml:space="preserve">the </w:t>
      </w:r>
      <w:r w:rsidR="004A1A38" w:rsidRPr="004A1A38">
        <w:t>11 M</w:t>
      </w:r>
      <w:r w:rsidR="000E0BD1">
        <w:t>S</w:t>
      </w:r>
      <w:r>
        <w:t xml:space="preserve"> where </w:t>
      </w:r>
      <w:r w:rsidR="004A1A38" w:rsidRPr="004A1A38">
        <w:t xml:space="preserve">comparable data was </w:t>
      </w:r>
      <w:r>
        <w:t>collected in 2010,</w:t>
      </w:r>
      <w:r w:rsidR="00CB529F">
        <w:t xml:space="preserve"> a rate of 8</w:t>
      </w:r>
      <w:r>
        <w:t>17 children affected</w:t>
      </w:r>
      <w:r w:rsidR="00CB529F">
        <w:t xml:space="preserve"> per 100,000 children</w:t>
      </w:r>
      <w:r w:rsidR="004A1A38" w:rsidRPr="004A1A38">
        <w:t xml:space="preserve">. </w:t>
      </w:r>
      <w:r>
        <w:t xml:space="preserve">In </w:t>
      </w:r>
      <w:r>
        <w:lastRenderedPageBreak/>
        <w:t>the 10 MS where data was available for 2008</w:t>
      </w:r>
      <w:r w:rsidR="004A1A38" w:rsidRPr="004A1A38">
        <w:rPr>
          <w:rStyle w:val="FootnoteReference"/>
          <w:rFonts w:cs="Arial"/>
          <w:color w:val="000000"/>
          <w:sz w:val="22"/>
          <w:szCs w:val="22"/>
        </w:rPr>
        <w:footnoteReference w:id="10"/>
      </w:r>
      <w:r w:rsidR="004A1A38" w:rsidRPr="004A1A38">
        <w:t xml:space="preserve"> </w:t>
      </w:r>
      <w:r w:rsidR="00CA021B">
        <w:t xml:space="preserve">there were </w:t>
      </w:r>
      <w:r w:rsidR="004A1A38" w:rsidRPr="004A1A38">
        <w:t>509,000 children affected by parental divorce</w:t>
      </w:r>
      <w:r w:rsidR="00CA021B">
        <w:t xml:space="preserve"> (874 children per 100,000 in the population).</w:t>
      </w:r>
      <w:r w:rsidR="004A1A38" w:rsidRPr="004A1A38">
        <w:t xml:space="preserve"> </w:t>
      </w:r>
      <w:r w:rsidRPr="004A1A38">
        <w:t xml:space="preserve">These data are presented in </w:t>
      </w:r>
      <w:r w:rsidRPr="0076023B">
        <w:rPr>
          <w:b/>
          <w:color w:val="0070C0"/>
        </w:rPr>
        <w:fldChar w:fldCharType="begin"/>
      </w:r>
      <w:r w:rsidRPr="0076023B">
        <w:rPr>
          <w:b/>
          <w:color w:val="0070C0"/>
        </w:rPr>
        <w:instrText xml:space="preserve"> REF _Ref395831597 \r \h  \* MERGEFORMAT </w:instrText>
      </w:r>
      <w:r w:rsidRPr="0076023B">
        <w:rPr>
          <w:b/>
          <w:color w:val="0070C0"/>
        </w:rPr>
      </w:r>
      <w:r w:rsidRPr="0076023B">
        <w:rPr>
          <w:b/>
          <w:color w:val="0070C0"/>
        </w:rPr>
        <w:fldChar w:fldCharType="separate"/>
      </w:r>
      <w:r w:rsidR="000223E8">
        <w:rPr>
          <w:b/>
          <w:color w:val="0070C0"/>
        </w:rPr>
        <w:t>Table A2.2</w:t>
      </w:r>
      <w:r w:rsidRPr="0076023B">
        <w:rPr>
          <w:b/>
          <w:color w:val="0070C0"/>
        </w:rPr>
        <w:fldChar w:fldCharType="end"/>
      </w:r>
      <w:r w:rsidRPr="004A1A38">
        <w:t>.</w:t>
      </w:r>
      <w:r>
        <w:t xml:space="preserve"> </w:t>
      </w:r>
      <w:r w:rsidR="00CA021B">
        <w:t xml:space="preserve">This means that between 2008 and 2010 there has been a decrease in the number of children affected by parental divorce of 3%. </w:t>
      </w:r>
      <w:r>
        <w:t xml:space="preserve">Approximate data for children affected by parental divorce is collected in </w:t>
      </w:r>
      <w:r w:rsidR="00416192">
        <w:t xml:space="preserve">a further </w:t>
      </w:r>
      <w:r>
        <w:t>12 M</w:t>
      </w:r>
      <w:r w:rsidR="00416192">
        <w:t>S</w:t>
      </w:r>
      <w:r>
        <w:t>.</w:t>
      </w:r>
    </w:p>
    <w:p w:rsidR="004A1A38" w:rsidRPr="004A1A38" w:rsidRDefault="00A773BB" w:rsidP="009D241E">
      <w:pPr>
        <w:pStyle w:val="Heading2"/>
      </w:pPr>
      <w:bookmarkStart w:id="101" w:name="_Toc406590139"/>
      <w:bookmarkStart w:id="102" w:name="_Toc408908692"/>
      <w:r>
        <w:t>T</w:t>
      </w:r>
      <w:r w:rsidR="004A1A38" w:rsidRPr="004A1A38">
        <w:t>he international abduction of children</w:t>
      </w:r>
      <w:bookmarkEnd w:id="101"/>
      <w:bookmarkEnd w:id="102"/>
    </w:p>
    <w:p w:rsidR="004A1A38" w:rsidRPr="004A1A38" w:rsidRDefault="00CA021B" w:rsidP="006C7CC7">
      <w:pPr>
        <w:pStyle w:val="BodyText"/>
      </w:pPr>
      <w:r>
        <w:t xml:space="preserve">In 2010 there were 2,600 court cases </w:t>
      </w:r>
      <w:r w:rsidRPr="004A1A38">
        <w:t>involving the international abduction of children</w:t>
      </w:r>
      <w:r>
        <w:t xml:space="preserve"> in the 25 MS where comparable data was available, which is a rate of 2.85 per 100,000 children.</w:t>
      </w:r>
      <w:r w:rsidRPr="004A1A38">
        <w:t xml:space="preserve"> </w:t>
      </w:r>
      <w:r w:rsidR="0056173E">
        <w:t>There has been little change in the number of cases since 2008, when there were 2,400 cases in 24 MS</w:t>
      </w:r>
      <w:r w:rsidR="0056173E" w:rsidRPr="004A1A38">
        <w:rPr>
          <w:rStyle w:val="FootnoteReference"/>
          <w:rFonts w:cs="Arial"/>
          <w:sz w:val="22"/>
          <w:szCs w:val="22"/>
        </w:rPr>
        <w:t xml:space="preserve"> </w:t>
      </w:r>
      <w:r w:rsidR="004A1A38" w:rsidRPr="004A1A38">
        <w:rPr>
          <w:rStyle w:val="FootnoteReference"/>
          <w:rFonts w:cs="Arial"/>
          <w:sz w:val="22"/>
          <w:szCs w:val="22"/>
        </w:rPr>
        <w:footnoteReference w:id="11"/>
      </w:r>
      <w:r w:rsidR="00AD52DD">
        <w:t xml:space="preserve"> (a rate of 2.64 per 100,000 children)</w:t>
      </w:r>
      <w:r w:rsidR="004A1A38" w:rsidRPr="004A1A38">
        <w:t>. These data are presented in</w:t>
      </w:r>
      <w:r w:rsidR="000E525A">
        <w:t xml:space="preserve"> </w:t>
      </w:r>
      <w:r w:rsidR="000E525A" w:rsidRPr="0076023B">
        <w:rPr>
          <w:b/>
          <w:color w:val="0070C0"/>
        </w:rPr>
        <w:fldChar w:fldCharType="begin"/>
      </w:r>
      <w:r w:rsidR="000E525A" w:rsidRPr="0076023B">
        <w:rPr>
          <w:b/>
          <w:color w:val="0070C0"/>
        </w:rPr>
        <w:instrText xml:space="preserve"> REF _Ref394595699 \r \h  \* MERGEFORMAT </w:instrText>
      </w:r>
      <w:r w:rsidR="000E525A" w:rsidRPr="0076023B">
        <w:rPr>
          <w:b/>
          <w:color w:val="0070C0"/>
        </w:rPr>
      </w:r>
      <w:r w:rsidR="000E525A" w:rsidRPr="0076023B">
        <w:rPr>
          <w:b/>
          <w:color w:val="0070C0"/>
        </w:rPr>
        <w:fldChar w:fldCharType="separate"/>
      </w:r>
      <w:r w:rsidR="000223E8">
        <w:rPr>
          <w:b/>
          <w:color w:val="0070C0"/>
        </w:rPr>
        <w:t>Table A2.4</w:t>
      </w:r>
      <w:r w:rsidR="000E525A" w:rsidRPr="0076023B">
        <w:rPr>
          <w:b/>
          <w:color w:val="0070C0"/>
        </w:rPr>
        <w:fldChar w:fldCharType="end"/>
      </w:r>
      <w:r w:rsidR="004A1A38" w:rsidRPr="004A1A38">
        <w:t>.</w:t>
      </w:r>
      <w:r w:rsidR="00050135">
        <w:t xml:space="preserve"> </w:t>
      </w:r>
      <w:r w:rsidR="009C5633">
        <w:t xml:space="preserve">There are no approximate data collected elsewhere. </w:t>
      </w:r>
    </w:p>
    <w:p w:rsidR="004A1A38" w:rsidRPr="004A1A38" w:rsidRDefault="004A1A38" w:rsidP="009D241E">
      <w:pPr>
        <w:pStyle w:val="Heading2"/>
      </w:pPr>
      <w:bookmarkStart w:id="103" w:name="_Toc406590140"/>
      <w:bookmarkStart w:id="104" w:name="_Toc408908693"/>
      <w:r w:rsidRPr="004A1A38">
        <w:t xml:space="preserve">Children affected by </w:t>
      </w:r>
      <w:r w:rsidR="009F5097">
        <w:t xml:space="preserve">national and inter-country </w:t>
      </w:r>
      <w:r w:rsidRPr="004A1A38">
        <w:t>adoption process</w:t>
      </w:r>
      <w:r w:rsidR="009F5097">
        <w:t>es</w:t>
      </w:r>
      <w:bookmarkEnd w:id="103"/>
      <w:bookmarkEnd w:id="104"/>
    </w:p>
    <w:p w:rsidR="004A1A38" w:rsidRPr="004A1A38" w:rsidRDefault="002616EC" w:rsidP="006C7CC7">
      <w:pPr>
        <w:pStyle w:val="BodyText"/>
      </w:pPr>
      <w:r>
        <w:t>There were 10,000 children who were subject to national adoption processes i</w:t>
      </w:r>
      <w:r w:rsidR="004A1A38" w:rsidRPr="004A1A38">
        <w:t>n 13 M</w:t>
      </w:r>
      <w:r>
        <w:t>S in 2010, at a rate of 28.7 children affected per 100,000 children (</w:t>
      </w:r>
      <w:r w:rsidRPr="004A1A38">
        <w:t>see</w:t>
      </w:r>
      <w:r>
        <w:t xml:space="preserve"> </w:t>
      </w:r>
      <w:r w:rsidRPr="0076023B">
        <w:rPr>
          <w:b/>
          <w:color w:val="0070C0"/>
        </w:rPr>
        <w:fldChar w:fldCharType="begin"/>
      </w:r>
      <w:r w:rsidRPr="0076023B">
        <w:rPr>
          <w:b/>
          <w:color w:val="0070C0"/>
        </w:rPr>
        <w:instrText xml:space="preserve"> REF _Ref394595713 \r \h  \* MERGEFORMAT </w:instrText>
      </w:r>
      <w:r w:rsidRPr="0076023B">
        <w:rPr>
          <w:b/>
          <w:color w:val="0070C0"/>
        </w:rPr>
      </w:r>
      <w:r w:rsidRPr="0076023B">
        <w:rPr>
          <w:b/>
          <w:color w:val="0070C0"/>
        </w:rPr>
        <w:fldChar w:fldCharType="separate"/>
      </w:r>
      <w:r w:rsidR="000223E8">
        <w:rPr>
          <w:b/>
          <w:color w:val="0070C0"/>
        </w:rPr>
        <w:t>Table A2.5</w:t>
      </w:r>
      <w:r w:rsidRPr="0076023B">
        <w:rPr>
          <w:b/>
          <w:color w:val="0070C0"/>
        </w:rPr>
        <w:fldChar w:fldCharType="end"/>
      </w:r>
      <w:r>
        <w:t xml:space="preserve">). </w:t>
      </w:r>
      <w:r w:rsidR="006C7E50">
        <w:t>There was</w:t>
      </w:r>
      <w:r w:rsidR="004A1A38" w:rsidRPr="004A1A38">
        <w:t xml:space="preserve"> an increase of 9% in the number of children adopted between 2008 and 2010</w:t>
      </w:r>
      <w:r>
        <w:t xml:space="preserve">, with </w:t>
      </w:r>
      <w:r w:rsidRPr="004A1A38">
        <w:t>9,200</w:t>
      </w:r>
      <w:r>
        <w:t xml:space="preserve"> children affected (at a rate of 26.2 children per 100,000) in these MS in 2008</w:t>
      </w:r>
      <w:r w:rsidR="004A1A38" w:rsidRPr="004A1A38">
        <w:t>.</w:t>
      </w:r>
      <w:r>
        <w:t xml:space="preserve"> Approximate data was available </w:t>
      </w:r>
      <w:r w:rsidR="00416192">
        <w:t>in an additional 12 MS.</w:t>
      </w:r>
      <w:r w:rsidR="00050135">
        <w:t xml:space="preserve"> </w:t>
      </w:r>
    </w:p>
    <w:p w:rsidR="004A1A38" w:rsidRPr="004A1A38" w:rsidRDefault="00416192" w:rsidP="006C7CC7">
      <w:pPr>
        <w:pStyle w:val="BodyText"/>
      </w:pPr>
      <w:r>
        <w:t xml:space="preserve">Further to this, there were </w:t>
      </w:r>
      <w:r w:rsidR="0077241F" w:rsidRPr="004A1A38">
        <w:t>13,400 int</w:t>
      </w:r>
      <w:r w:rsidR="0077241F">
        <w:t>er</w:t>
      </w:r>
      <w:r w:rsidR="0077241F" w:rsidRPr="004A1A38">
        <w:t xml:space="preserve">-country adoptions in 16 </w:t>
      </w:r>
      <w:r w:rsidR="0077241F">
        <w:t>MS in 2010 (23.8 children per 100,000). T</w:t>
      </w:r>
      <w:r w:rsidR="0077241F" w:rsidRPr="004A1A38">
        <w:t>here has been a slight decrease of 3% in the number of court cases for int</w:t>
      </w:r>
      <w:r w:rsidR="0077241F">
        <w:t>er</w:t>
      </w:r>
      <w:r w:rsidR="0077241F" w:rsidRPr="004A1A38">
        <w:t>-country adoptions</w:t>
      </w:r>
      <w:r w:rsidR="0077241F">
        <w:t xml:space="preserve"> in the 15 MS where data is available between 2008 and 2010.</w:t>
      </w:r>
      <w:r w:rsidR="004A1A38" w:rsidRPr="004A1A38">
        <w:rPr>
          <w:rStyle w:val="FootnoteReference"/>
          <w:rFonts w:cs="Arial"/>
          <w:sz w:val="22"/>
          <w:szCs w:val="22"/>
        </w:rPr>
        <w:footnoteReference w:id="12"/>
      </w:r>
      <w:r w:rsidR="004A1A38" w:rsidRPr="004A1A38">
        <w:t xml:space="preserve"> </w:t>
      </w:r>
      <w:r w:rsidR="0077241F">
        <w:t>In 2008, there were 13,700 inter-country adoptions (at a</w:t>
      </w:r>
      <w:r w:rsidR="006C2075">
        <w:t xml:space="preserve"> rate of </w:t>
      </w:r>
      <w:r w:rsidR="0077241F">
        <w:t>24</w:t>
      </w:r>
      <w:r w:rsidR="006C2075">
        <w:t>.7 children per 100,000</w:t>
      </w:r>
      <w:r w:rsidR="0077241F">
        <w:t>)</w:t>
      </w:r>
      <w:r w:rsidR="006C2075">
        <w:t>.</w:t>
      </w:r>
      <w:r w:rsidR="0077241F">
        <w:t xml:space="preserve"> </w:t>
      </w:r>
      <w:r w:rsidR="0077241F" w:rsidRPr="004A1A38">
        <w:t>These data are presented in</w:t>
      </w:r>
      <w:r w:rsidR="0077241F">
        <w:t xml:space="preserve"> </w:t>
      </w:r>
      <w:r w:rsidR="0077241F" w:rsidRPr="0076023B">
        <w:rPr>
          <w:b/>
          <w:color w:val="0070C0"/>
        </w:rPr>
        <w:fldChar w:fldCharType="begin"/>
      </w:r>
      <w:r w:rsidR="0077241F" w:rsidRPr="0076023B">
        <w:rPr>
          <w:b/>
          <w:color w:val="0070C0"/>
        </w:rPr>
        <w:instrText xml:space="preserve"> REF _Ref394595781 \r \h  \* MERGEFORMAT </w:instrText>
      </w:r>
      <w:r w:rsidR="0077241F" w:rsidRPr="0076023B">
        <w:rPr>
          <w:b/>
          <w:color w:val="0070C0"/>
        </w:rPr>
      </w:r>
      <w:r w:rsidR="0077241F" w:rsidRPr="0076023B">
        <w:rPr>
          <w:b/>
          <w:color w:val="0070C0"/>
        </w:rPr>
        <w:fldChar w:fldCharType="separate"/>
      </w:r>
      <w:r w:rsidR="000223E8">
        <w:rPr>
          <w:b/>
          <w:color w:val="0070C0"/>
        </w:rPr>
        <w:t>Table A2.6</w:t>
      </w:r>
      <w:r w:rsidR="0077241F" w:rsidRPr="0076023B">
        <w:rPr>
          <w:b/>
          <w:color w:val="0070C0"/>
        </w:rPr>
        <w:fldChar w:fldCharType="end"/>
      </w:r>
      <w:r w:rsidR="0077241F" w:rsidRPr="004A1A38">
        <w:t>.</w:t>
      </w:r>
      <w:r w:rsidR="0077241F">
        <w:t xml:space="preserve"> Approximate data was available in six MS.</w:t>
      </w:r>
    </w:p>
    <w:p w:rsidR="004A1A38" w:rsidRPr="004A1A38" w:rsidRDefault="004A1A38" w:rsidP="009D241E">
      <w:pPr>
        <w:pStyle w:val="Heading2"/>
      </w:pPr>
      <w:bookmarkStart w:id="105" w:name="_Toc406590141"/>
      <w:bookmarkStart w:id="106" w:name="_Toc408908694"/>
      <w:r w:rsidRPr="004A1A38">
        <w:lastRenderedPageBreak/>
        <w:t>Children affected by asylum application</w:t>
      </w:r>
      <w:r w:rsidR="00A773BB">
        <w:t xml:space="preserve"> decision</w:t>
      </w:r>
      <w:r w:rsidRPr="004A1A38">
        <w:t>s</w:t>
      </w:r>
      <w:bookmarkEnd w:id="105"/>
      <w:bookmarkEnd w:id="106"/>
    </w:p>
    <w:p w:rsidR="00695DB0" w:rsidRDefault="004A1A38" w:rsidP="006C7CC7">
      <w:pPr>
        <w:pStyle w:val="BodyText"/>
      </w:pPr>
      <w:r w:rsidRPr="004A1A38">
        <w:t>In 2010 there were 52,900 decisions made on asylum applications for children (aged 0–17)</w:t>
      </w:r>
      <w:r w:rsidR="004842A3">
        <w:t xml:space="preserve"> in 27 MS</w:t>
      </w:r>
      <w:r w:rsidR="006C2075">
        <w:t xml:space="preserve">, </w:t>
      </w:r>
      <w:r w:rsidR="004842A3">
        <w:t>which represents</w:t>
      </w:r>
      <w:r w:rsidR="006C2075">
        <w:t xml:space="preserve"> a rate of 55.7 children affected per 100,000 children in the population.</w:t>
      </w:r>
      <w:r w:rsidRPr="004A1A38">
        <w:t xml:space="preserve"> </w:t>
      </w:r>
      <w:r w:rsidR="006C2075">
        <w:t>T</w:t>
      </w:r>
      <w:r w:rsidRPr="004A1A38">
        <w:t xml:space="preserve">he majority of these </w:t>
      </w:r>
      <w:r w:rsidR="004842A3">
        <w:t xml:space="preserve">children </w:t>
      </w:r>
      <w:r w:rsidRPr="004A1A38">
        <w:t xml:space="preserve">were aged 0-14 (73%). </w:t>
      </w:r>
      <w:r w:rsidR="004842A3">
        <w:t xml:space="preserve">There has been a large increase (40%) since 2008 </w:t>
      </w:r>
      <w:r w:rsidR="004842A3" w:rsidRPr="004A1A38">
        <w:t xml:space="preserve">in </w:t>
      </w:r>
      <w:r w:rsidR="004842A3">
        <w:t xml:space="preserve">the number of </w:t>
      </w:r>
      <w:r w:rsidR="004842A3" w:rsidRPr="004A1A38">
        <w:t xml:space="preserve">first instance decisions on asylum applications </w:t>
      </w:r>
      <w:r w:rsidR="004842A3">
        <w:t xml:space="preserve">in the 24 MS were data is available. </w:t>
      </w:r>
      <w:r w:rsidRPr="004A1A38">
        <w:t>These data are presented i</w:t>
      </w:r>
      <w:r w:rsidR="00F03946">
        <w:t xml:space="preserve">n </w:t>
      </w:r>
      <w:r w:rsidR="00F03946" w:rsidRPr="0076023B">
        <w:rPr>
          <w:b/>
          <w:color w:val="0070C0"/>
        </w:rPr>
        <w:fldChar w:fldCharType="begin"/>
      </w:r>
      <w:r w:rsidR="00F03946" w:rsidRPr="0076023B">
        <w:rPr>
          <w:b/>
          <w:color w:val="0070C0"/>
        </w:rPr>
        <w:instrText xml:space="preserve"> REF _Ref394595749 \r \h  \* MERGEFORMAT </w:instrText>
      </w:r>
      <w:r w:rsidR="00F03946" w:rsidRPr="0076023B">
        <w:rPr>
          <w:b/>
          <w:color w:val="0070C0"/>
        </w:rPr>
      </w:r>
      <w:r w:rsidR="00F03946" w:rsidRPr="0076023B">
        <w:rPr>
          <w:b/>
          <w:color w:val="0070C0"/>
        </w:rPr>
        <w:fldChar w:fldCharType="separate"/>
      </w:r>
      <w:r w:rsidR="000223E8">
        <w:rPr>
          <w:b/>
          <w:color w:val="0070C0"/>
        </w:rPr>
        <w:t>Table A2.7</w:t>
      </w:r>
      <w:r w:rsidR="00F03946" w:rsidRPr="0076023B">
        <w:rPr>
          <w:b/>
          <w:color w:val="0070C0"/>
        </w:rPr>
        <w:fldChar w:fldCharType="end"/>
      </w:r>
      <w:r w:rsidRPr="004A1A38">
        <w:t>.</w:t>
      </w:r>
      <w:r w:rsidR="00E074DC">
        <w:t xml:space="preserve"> </w:t>
      </w:r>
    </w:p>
    <w:p w:rsidR="004A1A38" w:rsidRPr="004A1A38" w:rsidRDefault="007D7B76" w:rsidP="006C7CC7">
      <w:pPr>
        <w:pStyle w:val="BodyText"/>
      </w:pPr>
      <w:r>
        <w:t xml:space="preserve">There were </w:t>
      </w:r>
      <w:r w:rsidR="00E074DC" w:rsidRPr="00E074DC">
        <w:t xml:space="preserve">10,800 unaccompanied children </w:t>
      </w:r>
      <w:r>
        <w:t xml:space="preserve">that </w:t>
      </w:r>
      <w:r w:rsidR="00E074DC" w:rsidRPr="00E074DC">
        <w:t xml:space="preserve">applied for asylum in the EU </w:t>
      </w:r>
      <w:r>
        <w:t xml:space="preserve">in 2010 </w:t>
      </w:r>
      <w:r w:rsidR="00E074DC" w:rsidRPr="00E074DC">
        <w:t xml:space="preserve">(data </w:t>
      </w:r>
      <w:r w:rsidR="00012EFA">
        <w:t>are</w:t>
      </w:r>
      <w:r w:rsidR="00E074DC" w:rsidRPr="00E074DC">
        <w:t xml:space="preserve"> available for 27 </w:t>
      </w:r>
      <w:r w:rsidR="00101257">
        <w:t>MS</w:t>
      </w:r>
      <w:r w:rsidR="00E074DC" w:rsidRPr="00E074DC">
        <w:t>)</w:t>
      </w:r>
      <w:r>
        <w:t>, which is a rate of</w:t>
      </w:r>
      <w:r w:rsidR="006C2075">
        <w:t xml:space="preserve"> 11.4 applications per 100,000 children in the population</w:t>
      </w:r>
      <w:r w:rsidR="00E074DC" w:rsidRPr="00E074DC">
        <w:t xml:space="preserve">. </w:t>
      </w:r>
      <w:r>
        <w:t>There has been a decrease of 7% in the number of unaccompanied children applying for asylum since 2008, when 11,700 applications were made (at a rate of 12.2 applications per 100,000 children in the population).</w:t>
      </w:r>
      <w:r w:rsidR="00695DB0">
        <w:t xml:space="preserve"> </w:t>
      </w:r>
      <w:r w:rsidR="005061F3">
        <w:t xml:space="preserve">These data are presented in </w:t>
      </w:r>
      <w:r w:rsidR="005061F3" w:rsidRPr="005061F3">
        <w:rPr>
          <w:b/>
          <w:color w:val="0070C0"/>
        </w:rPr>
        <w:fldChar w:fldCharType="begin"/>
      </w:r>
      <w:r w:rsidR="005061F3" w:rsidRPr="005061F3">
        <w:rPr>
          <w:b/>
          <w:color w:val="0070C0"/>
        </w:rPr>
        <w:instrText xml:space="preserve"> REF _Ref398149093 \r \h  \* MERGEFORMAT </w:instrText>
      </w:r>
      <w:r w:rsidR="005061F3" w:rsidRPr="005061F3">
        <w:rPr>
          <w:b/>
          <w:color w:val="0070C0"/>
        </w:rPr>
      </w:r>
      <w:r w:rsidR="005061F3" w:rsidRPr="005061F3">
        <w:rPr>
          <w:b/>
          <w:color w:val="0070C0"/>
        </w:rPr>
        <w:fldChar w:fldCharType="separate"/>
      </w:r>
      <w:r w:rsidR="000223E8">
        <w:rPr>
          <w:b/>
          <w:color w:val="0070C0"/>
        </w:rPr>
        <w:t>0</w:t>
      </w:r>
      <w:r w:rsidR="005061F3" w:rsidRPr="005061F3">
        <w:rPr>
          <w:b/>
          <w:color w:val="0070C0"/>
        </w:rPr>
        <w:fldChar w:fldCharType="end"/>
      </w:r>
      <w:r w:rsidR="005061F3">
        <w:t>.</w:t>
      </w:r>
      <w:r w:rsidR="00050135">
        <w:t xml:space="preserve"> </w:t>
      </w:r>
      <w:r w:rsidR="009C5633">
        <w:t xml:space="preserve">There are no approximate data collected elsewhere. </w:t>
      </w:r>
    </w:p>
    <w:p w:rsidR="004A1A38" w:rsidRPr="004A1A38" w:rsidRDefault="00A773BB" w:rsidP="009D241E">
      <w:pPr>
        <w:pStyle w:val="Heading2"/>
      </w:pPr>
      <w:bookmarkStart w:id="107" w:name="_Toc406590142"/>
      <w:bookmarkStart w:id="108" w:name="_Toc408908695"/>
      <w:r>
        <w:t>Court cases concerning c</w:t>
      </w:r>
      <w:r w:rsidR="004A1A38" w:rsidRPr="004A1A38">
        <w:t>hild maintenance</w:t>
      </w:r>
      <w:bookmarkEnd w:id="107"/>
      <w:bookmarkEnd w:id="108"/>
    </w:p>
    <w:p w:rsidR="004A1A38" w:rsidRPr="004A1A38" w:rsidRDefault="004A1A38" w:rsidP="006C7CC7">
      <w:pPr>
        <w:pStyle w:val="BodyText"/>
      </w:pPr>
      <w:r w:rsidRPr="004A1A38">
        <w:t xml:space="preserve">In 2010, there were 358,500 court cases for child maintenance in </w:t>
      </w:r>
      <w:r w:rsidR="00101257">
        <w:t>10 MS</w:t>
      </w:r>
      <w:r w:rsidR="00E11E99">
        <w:t xml:space="preserve"> (a rate of 1,220 per 100,000 children)</w:t>
      </w:r>
      <w:r w:rsidRPr="004A1A38">
        <w:t xml:space="preserve">. In 2008, data </w:t>
      </w:r>
      <w:r w:rsidR="00C92BF5">
        <w:t>was</w:t>
      </w:r>
      <w:r w:rsidR="00C92BF5" w:rsidRPr="004A1A38">
        <w:t xml:space="preserve"> </w:t>
      </w:r>
      <w:r w:rsidRPr="004A1A38">
        <w:t xml:space="preserve">available for nine of these </w:t>
      </w:r>
      <w:r w:rsidR="00101257">
        <w:t>MS</w:t>
      </w:r>
      <w:r w:rsidRPr="004A1A38">
        <w:rPr>
          <w:rStyle w:val="FootnoteReference"/>
          <w:rFonts w:cs="Arial"/>
          <w:sz w:val="22"/>
          <w:szCs w:val="22"/>
        </w:rPr>
        <w:footnoteReference w:id="13"/>
      </w:r>
      <w:r w:rsidRPr="004A1A38">
        <w:t>, and since 2008 there has been an increase in the number of court cases concerning child maintenance of 3%. These data are presented in</w:t>
      </w:r>
      <w:r w:rsidR="005061F3">
        <w:t xml:space="preserve"> </w:t>
      </w:r>
      <w:r w:rsidR="005061F3" w:rsidRPr="005061F3">
        <w:rPr>
          <w:b/>
          <w:color w:val="0070C0"/>
        </w:rPr>
        <w:fldChar w:fldCharType="begin"/>
      </w:r>
      <w:r w:rsidR="005061F3" w:rsidRPr="005061F3">
        <w:rPr>
          <w:b/>
          <w:color w:val="0070C0"/>
        </w:rPr>
        <w:instrText xml:space="preserve"> REF _Ref398149127 \r \h  \* MERGEFORMAT </w:instrText>
      </w:r>
      <w:r w:rsidR="005061F3" w:rsidRPr="005061F3">
        <w:rPr>
          <w:b/>
          <w:color w:val="0070C0"/>
        </w:rPr>
      </w:r>
      <w:r w:rsidR="005061F3" w:rsidRPr="005061F3">
        <w:rPr>
          <w:b/>
          <w:color w:val="0070C0"/>
        </w:rPr>
        <w:fldChar w:fldCharType="separate"/>
      </w:r>
      <w:r w:rsidR="000223E8">
        <w:rPr>
          <w:b/>
          <w:color w:val="0070C0"/>
        </w:rPr>
        <w:t>Table A2.9</w:t>
      </w:r>
      <w:r w:rsidR="005061F3" w:rsidRPr="005061F3">
        <w:rPr>
          <w:b/>
          <w:color w:val="0070C0"/>
        </w:rPr>
        <w:fldChar w:fldCharType="end"/>
      </w:r>
      <w:r w:rsidRPr="004A1A38">
        <w:t>.</w:t>
      </w:r>
      <w:r w:rsidR="00C92BF5">
        <w:t xml:space="preserve"> Approximate data is collected in a further nine Member States.</w:t>
      </w:r>
    </w:p>
    <w:p w:rsidR="00FF6EA6" w:rsidRPr="002B7C39" w:rsidRDefault="00FF6EA6" w:rsidP="009D241E">
      <w:pPr>
        <w:pStyle w:val="Heading2"/>
      </w:pPr>
      <w:bookmarkStart w:id="109" w:name="_Toc406590143"/>
      <w:bookmarkStart w:id="110" w:name="_Toc408908696"/>
      <w:r w:rsidRPr="002B7C39">
        <w:t>Administrative sanctions</w:t>
      </w:r>
      <w:r w:rsidR="00A773BB" w:rsidRPr="002B7C39">
        <w:t xml:space="preserve"> received by children</w:t>
      </w:r>
      <w:bookmarkEnd w:id="109"/>
      <w:bookmarkEnd w:id="110"/>
    </w:p>
    <w:p w:rsidR="00FF6EA6" w:rsidRPr="002B7C39" w:rsidRDefault="00C92BF5" w:rsidP="006C7CC7">
      <w:pPr>
        <w:pStyle w:val="BodyText"/>
      </w:pPr>
      <w:r w:rsidRPr="002B7C39">
        <w:t>There were 24,300 children who received an administrative sanction for anti-social behaviour in 2010 in the seven MS where comparable data is available (206 children per 100,000 receiving such a sanction</w:t>
      </w:r>
      <w:r w:rsidR="00527E74">
        <w:t>)</w:t>
      </w:r>
      <w:r w:rsidR="00FF6EA6" w:rsidRPr="002B7C39">
        <w:t xml:space="preserve">. </w:t>
      </w:r>
      <w:r w:rsidRPr="002B7C39">
        <w:t xml:space="preserve">There has been a decrease </w:t>
      </w:r>
      <w:r w:rsidR="00C35CBD" w:rsidRPr="002B7C39">
        <w:t xml:space="preserve">of 9% </w:t>
      </w:r>
      <w:r w:rsidRPr="002B7C39">
        <w:t xml:space="preserve">in the number of children </w:t>
      </w:r>
      <w:r w:rsidR="00C35CBD" w:rsidRPr="002B7C39">
        <w:t xml:space="preserve">who received a sanction for anti-social behaviour since 2008, when </w:t>
      </w:r>
      <w:r w:rsidR="00FF6EA6" w:rsidRPr="002B7C39">
        <w:t>26,500 children received sanctions</w:t>
      </w:r>
      <w:r w:rsidR="00E11E99" w:rsidRPr="002B7C39">
        <w:t xml:space="preserve"> (at a rate of 218 per 100,000 children)</w:t>
      </w:r>
      <w:r w:rsidR="00C35CBD" w:rsidRPr="002B7C39">
        <w:t>.</w:t>
      </w:r>
      <w:r w:rsidR="00FF6EA6" w:rsidRPr="002B7C39">
        <w:t xml:space="preserve"> </w:t>
      </w:r>
      <w:r w:rsidR="00695DB0" w:rsidRPr="002B7C39">
        <w:t xml:space="preserve">These data are presented in </w:t>
      </w:r>
      <w:r w:rsidR="00695DB0" w:rsidRPr="009A6683">
        <w:rPr>
          <w:b/>
          <w:color w:val="0070C0"/>
        </w:rPr>
        <w:fldChar w:fldCharType="begin"/>
      </w:r>
      <w:r w:rsidR="00695DB0" w:rsidRPr="009A6683">
        <w:rPr>
          <w:b/>
          <w:color w:val="0070C0"/>
        </w:rPr>
        <w:instrText xml:space="preserve"> REF _Ref395861467 \r \h  \* MERGEFORMAT </w:instrText>
      </w:r>
      <w:r w:rsidR="00695DB0" w:rsidRPr="009A6683">
        <w:rPr>
          <w:b/>
          <w:color w:val="0070C0"/>
        </w:rPr>
      </w:r>
      <w:r w:rsidR="00695DB0" w:rsidRPr="009A6683">
        <w:rPr>
          <w:b/>
          <w:color w:val="0070C0"/>
        </w:rPr>
        <w:fldChar w:fldCharType="separate"/>
      </w:r>
      <w:r w:rsidR="000223E8">
        <w:rPr>
          <w:b/>
          <w:color w:val="0070C0"/>
        </w:rPr>
        <w:t>Table A2.10</w:t>
      </w:r>
      <w:r w:rsidR="00695DB0" w:rsidRPr="009A6683">
        <w:rPr>
          <w:b/>
          <w:color w:val="0070C0"/>
        </w:rPr>
        <w:fldChar w:fldCharType="end"/>
      </w:r>
      <w:r w:rsidR="00695DB0" w:rsidRPr="009A6683">
        <w:t>.</w:t>
      </w:r>
      <w:r w:rsidR="00C35CBD" w:rsidRPr="002B7C39">
        <w:t xml:space="preserve"> Approximate data was collected by three additional MS.</w:t>
      </w:r>
    </w:p>
    <w:p w:rsidR="00FF6EA6" w:rsidRPr="002B7C39" w:rsidRDefault="00C35CBD" w:rsidP="006C7CC7">
      <w:pPr>
        <w:pStyle w:val="BodyText"/>
      </w:pPr>
      <w:r w:rsidRPr="002B7C39">
        <w:lastRenderedPageBreak/>
        <w:t xml:space="preserve">Comparable data was also collected in six MS for the number of children who received sanctions for road traffic offences, and in 2010 10,100 received such a sanction (at a rate of 46.9 per 100,000 children). </w:t>
      </w:r>
      <w:r w:rsidR="00FF6EA6" w:rsidRPr="002B7C39">
        <w:t>Since 2008, there has been a decrease of 12% in the number of children receiving sanctions for road traffic offences.</w:t>
      </w:r>
      <w:r w:rsidR="00695DB0" w:rsidRPr="002B7C39">
        <w:t xml:space="preserve"> These data are presented in </w:t>
      </w:r>
      <w:r w:rsidR="00695DB0" w:rsidRPr="009A6683">
        <w:rPr>
          <w:b/>
          <w:color w:val="0070C0"/>
        </w:rPr>
        <w:fldChar w:fldCharType="begin"/>
      </w:r>
      <w:r w:rsidR="00695DB0" w:rsidRPr="009A6683">
        <w:rPr>
          <w:b/>
          <w:color w:val="0070C0"/>
        </w:rPr>
        <w:instrText xml:space="preserve"> REF _Ref395861708 \r \h  \* MERGEFORMAT </w:instrText>
      </w:r>
      <w:r w:rsidR="00695DB0" w:rsidRPr="009A6683">
        <w:rPr>
          <w:b/>
          <w:color w:val="0070C0"/>
        </w:rPr>
      </w:r>
      <w:r w:rsidR="00695DB0" w:rsidRPr="009A6683">
        <w:rPr>
          <w:b/>
          <w:color w:val="0070C0"/>
        </w:rPr>
        <w:fldChar w:fldCharType="separate"/>
      </w:r>
      <w:r w:rsidR="000223E8">
        <w:rPr>
          <w:b/>
          <w:color w:val="0070C0"/>
        </w:rPr>
        <w:t>Table A2.11</w:t>
      </w:r>
      <w:r w:rsidR="00695DB0" w:rsidRPr="009A6683">
        <w:rPr>
          <w:b/>
          <w:color w:val="0070C0"/>
        </w:rPr>
        <w:fldChar w:fldCharType="end"/>
      </w:r>
      <w:r w:rsidR="00695DB0" w:rsidRPr="009A6683">
        <w:t>.</w:t>
      </w:r>
      <w:r w:rsidRPr="002B7C39">
        <w:t xml:space="preserve"> Approximate data was collected by one further MS.</w:t>
      </w:r>
    </w:p>
    <w:p w:rsidR="00FF6EA6" w:rsidRPr="002B7C39" w:rsidRDefault="00FF6EA6" w:rsidP="009D241E">
      <w:pPr>
        <w:pStyle w:val="Heading2"/>
      </w:pPr>
      <w:bookmarkStart w:id="111" w:name="_Toc406590144"/>
      <w:bookmarkStart w:id="112" w:name="_Toc408908697"/>
      <w:r w:rsidRPr="002B7C39">
        <w:t xml:space="preserve">Court cases regarding </w:t>
      </w:r>
      <w:r w:rsidR="00110AB4" w:rsidRPr="002B7C39">
        <w:t xml:space="preserve">children in </w:t>
      </w:r>
      <w:r w:rsidRPr="002B7C39">
        <w:t>care</w:t>
      </w:r>
      <w:r w:rsidR="00110AB4" w:rsidRPr="002B7C39">
        <w:t xml:space="preserve"> placements</w:t>
      </w:r>
      <w:bookmarkEnd w:id="111"/>
      <w:bookmarkEnd w:id="112"/>
    </w:p>
    <w:p w:rsidR="00FF6EA6" w:rsidRPr="002B7C39" w:rsidRDefault="00527E74" w:rsidP="006C7CC7">
      <w:pPr>
        <w:pStyle w:val="BodyText"/>
      </w:pPr>
      <w:r w:rsidRPr="00527E74">
        <w:t xml:space="preserve">In 2010, there were </w:t>
      </w:r>
      <w:r w:rsidR="00D80E8A">
        <w:t>14,329</w:t>
      </w:r>
      <w:r w:rsidR="00D80E8A" w:rsidRPr="00527E74">
        <w:t xml:space="preserve"> </w:t>
      </w:r>
      <w:r w:rsidRPr="00527E74">
        <w:t>court cases concerning institutional care placement in the six MS that provided comparable data</w:t>
      </w:r>
      <w:r w:rsidRPr="00527E74">
        <w:rPr>
          <w:vertAlign w:val="superscript"/>
        </w:rPr>
        <w:footnoteReference w:id="14"/>
      </w:r>
      <w:r w:rsidRPr="00527E74">
        <w:t xml:space="preserve">, with 107 per 100,000 children affected. Data was available for all these MS in 2008, when there were </w:t>
      </w:r>
      <w:r w:rsidR="00D80E8A" w:rsidRPr="00527E74">
        <w:t>14,</w:t>
      </w:r>
      <w:r w:rsidR="00D80E8A">
        <w:t>759</w:t>
      </w:r>
      <w:r w:rsidR="00D80E8A" w:rsidRPr="00527E74">
        <w:t xml:space="preserve"> </w:t>
      </w:r>
      <w:r w:rsidRPr="00527E74">
        <w:t>court cases (at a rate of 107 per 100,000 children affected), meaning that between 2008 and 2010 there was a decrease in court cases concerning institutional care of 3%.</w:t>
      </w:r>
      <w:r w:rsidR="00050135">
        <w:t xml:space="preserve"> </w:t>
      </w:r>
      <w:r w:rsidRPr="00527E74">
        <w:t>These data are presented in</w:t>
      </w:r>
      <w:r>
        <w:t xml:space="preserve"> </w:t>
      </w:r>
      <w:r w:rsidR="00695DB0" w:rsidRPr="009A6683">
        <w:rPr>
          <w:b/>
          <w:color w:val="0070C0"/>
        </w:rPr>
        <w:fldChar w:fldCharType="begin"/>
      </w:r>
      <w:r w:rsidR="00695DB0" w:rsidRPr="009A6683">
        <w:rPr>
          <w:b/>
          <w:color w:val="0070C0"/>
        </w:rPr>
        <w:instrText xml:space="preserve"> REF _Ref395861915 \r \h  \* MERGEFORMAT </w:instrText>
      </w:r>
      <w:r w:rsidR="00695DB0" w:rsidRPr="009A6683">
        <w:rPr>
          <w:b/>
          <w:color w:val="0070C0"/>
        </w:rPr>
      </w:r>
      <w:r w:rsidR="00695DB0" w:rsidRPr="009A6683">
        <w:rPr>
          <w:b/>
          <w:color w:val="0070C0"/>
        </w:rPr>
        <w:fldChar w:fldCharType="separate"/>
      </w:r>
      <w:r w:rsidR="000223E8">
        <w:rPr>
          <w:b/>
          <w:color w:val="0070C0"/>
        </w:rPr>
        <w:t>Table A2.12</w:t>
      </w:r>
      <w:r w:rsidR="00695DB0" w:rsidRPr="009A6683">
        <w:rPr>
          <w:b/>
          <w:color w:val="0070C0"/>
        </w:rPr>
        <w:fldChar w:fldCharType="end"/>
      </w:r>
      <w:r w:rsidR="00695DB0" w:rsidRPr="002B7C39">
        <w:t>.</w:t>
      </w:r>
      <w:r w:rsidR="00C35CBD" w:rsidRPr="002B7C39">
        <w:t xml:space="preserve"> Approximate data was collected by a further 19 MS.</w:t>
      </w:r>
    </w:p>
    <w:p w:rsidR="00FF6EA6" w:rsidRPr="002B7C39" w:rsidRDefault="00FF6EA6" w:rsidP="006C7CC7">
      <w:pPr>
        <w:pStyle w:val="BodyText"/>
      </w:pPr>
      <w:r w:rsidRPr="002B7C39">
        <w:t>Comparable data regarding the number of court cases concerning foster family placements is available in eight Member States for 2010, and there were 15,600 court cases in 2010</w:t>
      </w:r>
      <w:r w:rsidR="00E11E99" w:rsidRPr="002B7C39">
        <w:t xml:space="preserve"> (</w:t>
      </w:r>
      <w:r w:rsidR="003B0E1B" w:rsidRPr="002B7C39">
        <w:t>a rate of 51.5 children affected per 100,000)</w:t>
      </w:r>
      <w:r w:rsidRPr="002B7C39">
        <w:t xml:space="preserve">. Data for seven of these </w:t>
      </w:r>
      <w:r w:rsidR="00101257">
        <w:t>MS</w:t>
      </w:r>
      <w:r w:rsidRPr="002B7C39">
        <w:t xml:space="preserve"> was available in 2008.</w:t>
      </w:r>
      <w:r w:rsidRPr="00101257">
        <w:rPr>
          <w:vertAlign w:val="superscript"/>
        </w:rPr>
        <w:footnoteReference w:id="15"/>
      </w:r>
      <w:r w:rsidRPr="002B7C39">
        <w:t xml:space="preserve"> In these </w:t>
      </w:r>
      <w:r w:rsidR="00101257">
        <w:t>MS</w:t>
      </w:r>
      <w:r w:rsidRPr="002B7C39">
        <w:t>, there has been a decrease of 3% in the number of court cases concerning foster family placements.</w:t>
      </w:r>
      <w:r w:rsidR="00695DB0" w:rsidRPr="002B7C39">
        <w:t xml:space="preserve"> These data are presented in </w:t>
      </w:r>
      <w:r w:rsidR="00695DB0" w:rsidRPr="009A6683">
        <w:rPr>
          <w:b/>
          <w:color w:val="0070C0"/>
        </w:rPr>
        <w:fldChar w:fldCharType="begin"/>
      </w:r>
      <w:r w:rsidR="00695DB0" w:rsidRPr="009A6683">
        <w:rPr>
          <w:b/>
          <w:color w:val="0070C0"/>
        </w:rPr>
        <w:instrText xml:space="preserve"> REF _Ref395861953 \r \h  \* MERGEFORMAT </w:instrText>
      </w:r>
      <w:r w:rsidR="00695DB0" w:rsidRPr="009A6683">
        <w:rPr>
          <w:b/>
          <w:color w:val="0070C0"/>
        </w:rPr>
      </w:r>
      <w:r w:rsidR="00695DB0" w:rsidRPr="009A6683">
        <w:rPr>
          <w:b/>
          <w:color w:val="0070C0"/>
        </w:rPr>
        <w:fldChar w:fldCharType="separate"/>
      </w:r>
      <w:r w:rsidR="000223E8">
        <w:rPr>
          <w:b/>
          <w:color w:val="0070C0"/>
        </w:rPr>
        <w:t>Table A2.13</w:t>
      </w:r>
      <w:r w:rsidR="00695DB0" w:rsidRPr="009A6683">
        <w:rPr>
          <w:b/>
          <w:color w:val="0070C0"/>
        </w:rPr>
        <w:fldChar w:fldCharType="end"/>
      </w:r>
      <w:r w:rsidR="00695DB0" w:rsidRPr="002B7C39">
        <w:t>.</w:t>
      </w:r>
      <w:r w:rsidR="007B25BD">
        <w:t xml:space="preserve"> </w:t>
      </w:r>
      <w:r w:rsidR="00C35CBD" w:rsidRPr="002B7C39">
        <w:t>Approximate data was collected by a further 13 MS.</w:t>
      </w:r>
    </w:p>
    <w:p w:rsidR="004A1A38" w:rsidRDefault="00B2414F" w:rsidP="006C7CC7">
      <w:pPr>
        <w:pStyle w:val="BodyText"/>
      </w:pPr>
      <w:r w:rsidRPr="00B2414F">
        <w:t xml:space="preserve">A summary of the comparable data discussed above is presented in </w:t>
      </w:r>
      <w:r w:rsidR="00A85BF3" w:rsidRPr="009A6683">
        <w:rPr>
          <w:b/>
          <w:color w:val="0070C0"/>
        </w:rPr>
        <w:fldChar w:fldCharType="begin"/>
      </w:r>
      <w:r w:rsidR="00A85BF3" w:rsidRPr="009A6683">
        <w:rPr>
          <w:b/>
          <w:color w:val="0070C0"/>
        </w:rPr>
        <w:instrText xml:space="preserve"> REF _Ref396834950 \r \h </w:instrText>
      </w:r>
      <w:r w:rsidR="009A6683" w:rsidRPr="009A6683">
        <w:rPr>
          <w:b/>
          <w:color w:val="0070C0"/>
        </w:rPr>
        <w:instrText xml:space="preserve"> \* MERGEFORMAT </w:instrText>
      </w:r>
      <w:r w:rsidR="00A85BF3" w:rsidRPr="009A6683">
        <w:rPr>
          <w:b/>
          <w:color w:val="0070C0"/>
        </w:rPr>
      </w:r>
      <w:r w:rsidR="00A85BF3" w:rsidRPr="009A6683">
        <w:rPr>
          <w:b/>
          <w:color w:val="0070C0"/>
        </w:rPr>
        <w:fldChar w:fldCharType="separate"/>
      </w:r>
      <w:r w:rsidR="000223E8">
        <w:rPr>
          <w:b/>
          <w:color w:val="0070C0"/>
        </w:rPr>
        <w:t>Table 2.1</w:t>
      </w:r>
      <w:r w:rsidR="00A85BF3" w:rsidRPr="009A6683">
        <w:rPr>
          <w:b/>
          <w:color w:val="0070C0"/>
        </w:rPr>
        <w:fldChar w:fldCharType="end"/>
      </w:r>
      <w:r w:rsidR="00A85BF3">
        <w:t xml:space="preserve"> below.</w:t>
      </w:r>
    </w:p>
    <w:p w:rsidR="00A37ABC" w:rsidRDefault="00A37ABC" w:rsidP="006C7CC7">
      <w:pPr>
        <w:pStyle w:val="BodyText"/>
        <w:sectPr w:rsidR="00A37ABC" w:rsidSect="007026C3">
          <w:footerReference w:type="default" r:id="rId17"/>
          <w:pgSz w:w="11907" w:h="16839" w:code="9"/>
          <w:pgMar w:top="1134" w:right="1134" w:bottom="1134" w:left="1134" w:header="680" w:footer="567" w:gutter="0"/>
          <w:pgNumType w:start="1"/>
          <w:cols w:space="708"/>
          <w:docGrid w:linePitch="360"/>
        </w:sectPr>
      </w:pPr>
    </w:p>
    <w:p w:rsidR="00B2414F" w:rsidRDefault="00B2414F" w:rsidP="00B2414F">
      <w:pPr>
        <w:pStyle w:val="Table"/>
        <w:numPr>
          <w:ilvl w:val="6"/>
          <w:numId w:val="23"/>
        </w:numPr>
        <w:tabs>
          <w:tab w:val="num" w:pos="710"/>
        </w:tabs>
        <w:ind w:left="1787"/>
      </w:pPr>
      <w:bookmarkStart w:id="113" w:name="_Ref396834950"/>
      <w:bookmarkStart w:id="114" w:name="_Toc408908615"/>
      <w:r>
        <w:lastRenderedPageBreak/>
        <w:t>Summary of number of children involved in civil and administrative process</w:t>
      </w:r>
      <w:bookmarkEnd w:id="113"/>
      <w:bookmarkEnd w:id="114"/>
    </w:p>
    <w:tbl>
      <w:tblPr>
        <w:tblpPr w:leftFromText="180" w:rightFromText="180" w:vertAnchor="text" w:tblpX="935"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dotted" w:sz="4" w:space="0" w:color="auto"/>
        </w:tblBorders>
        <w:tblCellMar>
          <w:top w:w="57" w:type="dxa"/>
          <w:left w:w="85" w:type="dxa"/>
          <w:bottom w:w="57" w:type="dxa"/>
          <w:right w:w="85" w:type="dxa"/>
        </w:tblCellMar>
        <w:tblLook w:val="0000" w:firstRow="0" w:lastRow="0" w:firstColumn="0" w:lastColumn="0" w:noHBand="0" w:noVBand="0"/>
      </w:tblPr>
      <w:tblGrid>
        <w:gridCol w:w="2256"/>
        <w:gridCol w:w="4111"/>
        <w:gridCol w:w="1360"/>
        <w:gridCol w:w="1360"/>
        <w:gridCol w:w="1356"/>
        <w:gridCol w:w="2149"/>
        <w:gridCol w:w="2149"/>
      </w:tblGrid>
      <w:tr w:rsidR="002E01CA" w:rsidTr="00546996">
        <w:trPr>
          <w:cantSplit/>
        </w:trPr>
        <w:tc>
          <w:tcPr>
            <w:tcW w:w="765" w:type="pct"/>
          </w:tcPr>
          <w:p w:rsidR="00A85BF3" w:rsidRDefault="00A85BF3" w:rsidP="009A6683">
            <w:pPr>
              <w:pStyle w:val="TableTitle"/>
            </w:pPr>
            <w:r>
              <w:t>Civil or administrative process</w:t>
            </w:r>
          </w:p>
        </w:tc>
        <w:tc>
          <w:tcPr>
            <w:tcW w:w="1394" w:type="pct"/>
          </w:tcPr>
          <w:p w:rsidR="00A85BF3" w:rsidRPr="00AE1113" w:rsidRDefault="00A85BF3" w:rsidP="009A6683">
            <w:pPr>
              <w:pStyle w:val="TableTitle"/>
            </w:pPr>
            <w:r>
              <w:t>MS where comparable data was available</w:t>
            </w:r>
          </w:p>
        </w:tc>
        <w:tc>
          <w:tcPr>
            <w:tcW w:w="461" w:type="pct"/>
            <w:shd w:val="clear" w:color="auto" w:fill="auto"/>
          </w:tcPr>
          <w:p w:rsidR="00A85BF3" w:rsidRPr="00AE1113" w:rsidRDefault="00A85BF3" w:rsidP="009A6683">
            <w:pPr>
              <w:pStyle w:val="TableTitle"/>
            </w:pPr>
            <w:r>
              <w:t>Number of children affected 2008</w:t>
            </w:r>
          </w:p>
        </w:tc>
        <w:tc>
          <w:tcPr>
            <w:tcW w:w="461" w:type="pct"/>
          </w:tcPr>
          <w:p w:rsidR="00A85BF3" w:rsidRPr="00AE1113" w:rsidRDefault="00A85BF3" w:rsidP="009A6683">
            <w:pPr>
              <w:pStyle w:val="TableTitle"/>
            </w:pPr>
            <w:r>
              <w:t>Number of children affected 2010</w:t>
            </w:r>
          </w:p>
        </w:tc>
        <w:tc>
          <w:tcPr>
            <w:tcW w:w="460" w:type="pct"/>
          </w:tcPr>
          <w:p w:rsidR="00A85BF3" w:rsidRPr="00AE1113" w:rsidRDefault="00A85BF3" w:rsidP="009A6683">
            <w:pPr>
              <w:pStyle w:val="TableTitle"/>
            </w:pPr>
            <w:r>
              <w:t>Change in the number of children</w:t>
            </w:r>
          </w:p>
        </w:tc>
        <w:tc>
          <w:tcPr>
            <w:tcW w:w="729" w:type="pct"/>
          </w:tcPr>
          <w:p w:rsidR="00A85BF3" w:rsidRDefault="00A85BF3" w:rsidP="009A6683">
            <w:pPr>
              <w:pStyle w:val="TableTitle"/>
            </w:pPr>
            <w:r>
              <w:t>Rate of children affected 2008 (per 100,000 of child population)</w:t>
            </w:r>
          </w:p>
        </w:tc>
        <w:tc>
          <w:tcPr>
            <w:tcW w:w="729" w:type="pct"/>
          </w:tcPr>
          <w:p w:rsidR="00A85BF3" w:rsidRDefault="00A85BF3" w:rsidP="00527E74">
            <w:pPr>
              <w:pStyle w:val="TableTitle"/>
            </w:pPr>
            <w:r>
              <w:t>Rate of children affected 20</w:t>
            </w:r>
            <w:r w:rsidR="00527E74">
              <w:t>10</w:t>
            </w:r>
            <w:r>
              <w:t xml:space="preserve"> (per 100,000 of child population)</w:t>
            </w:r>
          </w:p>
        </w:tc>
      </w:tr>
      <w:tr w:rsidR="002E01CA" w:rsidTr="00546996">
        <w:trPr>
          <w:cantSplit/>
        </w:trPr>
        <w:tc>
          <w:tcPr>
            <w:tcW w:w="765" w:type="pct"/>
          </w:tcPr>
          <w:p w:rsidR="00A85BF3" w:rsidRDefault="00A85BF3" w:rsidP="006C7CC7">
            <w:pPr>
              <w:pStyle w:val="TableText"/>
            </w:pPr>
            <w:r>
              <w:t>Parental divorce</w:t>
            </w:r>
          </w:p>
        </w:tc>
        <w:tc>
          <w:tcPr>
            <w:tcW w:w="1394" w:type="pct"/>
          </w:tcPr>
          <w:p w:rsidR="00A85BF3" w:rsidRDefault="00692F0E" w:rsidP="006C7CC7">
            <w:pPr>
              <w:pStyle w:val="TableText"/>
            </w:pPr>
            <w:r>
              <w:t>BE, CZ, DE, EE, EL</w:t>
            </w:r>
            <w:r w:rsidR="00B01CF5">
              <w:t xml:space="preserve"> (o</w:t>
            </w:r>
            <w:r w:rsidR="003B1DC0">
              <w:t>nly 2008)</w:t>
            </w:r>
            <w:r>
              <w:t>, FR, HR</w:t>
            </w:r>
            <w:r w:rsidR="00B01CF5">
              <w:t xml:space="preserve"> (o</w:t>
            </w:r>
            <w:r w:rsidR="003B1DC0">
              <w:t>nly 2010)</w:t>
            </w:r>
            <w:r>
              <w:t xml:space="preserve">, </w:t>
            </w:r>
            <w:r w:rsidR="003B1DC0">
              <w:t xml:space="preserve">HU, </w:t>
            </w:r>
            <w:r>
              <w:t>IT, LV, AT, UK (E&amp;W)</w:t>
            </w:r>
          </w:p>
          <w:p w:rsidR="003B1DC0" w:rsidRPr="00A5732C" w:rsidRDefault="003B1DC0" w:rsidP="006C7CC7">
            <w:pPr>
              <w:pStyle w:val="TableText"/>
              <w:rPr>
                <w:b/>
              </w:rPr>
            </w:pPr>
            <w:r w:rsidRPr="00A5732C">
              <w:rPr>
                <w:b/>
              </w:rPr>
              <w:t>11 MS</w:t>
            </w:r>
          </w:p>
        </w:tc>
        <w:tc>
          <w:tcPr>
            <w:tcW w:w="461" w:type="pct"/>
            <w:shd w:val="clear" w:color="auto" w:fill="auto"/>
          </w:tcPr>
          <w:p w:rsidR="003B1DC0" w:rsidRPr="009A6683" w:rsidRDefault="003B1DC0" w:rsidP="006C7CC7">
            <w:pPr>
              <w:pStyle w:val="TableText"/>
              <w:spacing w:after="0" w:line="240" w:lineRule="auto"/>
              <w:rPr>
                <w:rFonts w:cs="Arial"/>
                <w:szCs w:val="18"/>
              </w:rPr>
            </w:pPr>
            <w:r w:rsidRPr="009A6683">
              <w:rPr>
                <w:rFonts w:cs="Arial"/>
                <w:szCs w:val="18"/>
              </w:rPr>
              <w:t>508,871</w:t>
            </w:r>
          </w:p>
          <w:p w:rsidR="00A85BF3" w:rsidRPr="00DC6342" w:rsidRDefault="003B1DC0" w:rsidP="006C7CC7">
            <w:pPr>
              <w:pStyle w:val="TableText"/>
              <w:spacing w:after="0" w:line="240" w:lineRule="auto"/>
              <w:rPr>
                <w:rFonts w:cs="Arial"/>
                <w:szCs w:val="18"/>
              </w:rPr>
            </w:pPr>
            <w:r w:rsidRPr="00DC6342">
              <w:rPr>
                <w:rFonts w:cs="Arial"/>
                <w:szCs w:val="18"/>
              </w:rPr>
              <w:t>(excl</w:t>
            </w:r>
            <w:r w:rsidR="00411853" w:rsidRPr="00DC6342">
              <w:rPr>
                <w:rFonts w:cs="Arial"/>
                <w:szCs w:val="18"/>
              </w:rPr>
              <w:t>.</w:t>
            </w:r>
            <w:r w:rsidRPr="00DC6342">
              <w:rPr>
                <w:rFonts w:cs="Arial"/>
                <w:szCs w:val="18"/>
              </w:rPr>
              <w:t xml:space="preserve"> EL)</w:t>
            </w:r>
          </w:p>
        </w:tc>
        <w:tc>
          <w:tcPr>
            <w:tcW w:w="461" w:type="pct"/>
          </w:tcPr>
          <w:p w:rsidR="003B1DC0" w:rsidRPr="009A6683" w:rsidRDefault="003B1DC0" w:rsidP="006C7CC7">
            <w:pPr>
              <w:pStyle w:val="TableText"/>
              <w:spacing w:after="0" w:line="240" w:lineRule="auto"/>
              <w:rPr>
                <w:rFonts w:cs="Arial"/>
                <w:szCs w:val="18"/>
              </w:rPr>
            </w:pPr>
            <w:r w:rsidRPr="009A6683">
              <w:rPr>
                <w:rFonts w:cs="Arial"/>
                <w:szCs w:val="18"/>
              </w:rPr>
              <w:t>492,297</w:t>
            </w:r>
          </w:p>
          <w:p w:rsidR="00A85BF3" w:rsidRPr="00DC6342" w:rsidRDefault="003B1DC0" w:rsidP="006C7CC7">
            <w:pPr>
              <w:pStyle w:val="TableText"/>
              <w:spacing w:line="240" w:lineRule="auto"/>
              <w:rPr>
                <w:rFonts w:cs="Arial"/>
                <w:szCs w:val="18"/>
              </w:rPr>
            </w:pPr>
            <w:r w:rsidRPr="00DC6342">
              <w:rPr>
                <w:rFonts w:cs="Arial"/>
                <w:szCs w:val="18"/>
              </w:rPr>
              <w:t>(excl</w:t>
            </w:r>
            <w:r w:rsidR="00EF0F7C" w:rsidRPr="00DC6342">
              <w:rPr>
                <w:rFonts w:cs="Arial"/>
                <w:szCs w:val="18"/>
              </w:rPr>
              <w:t>.</w:t>
            </w:r>
            <w:r w:rsidRPr="00DC6342">
              <w:rPr>
                <w:rFonts w:cs="Arial"/>
                <w:szCs w:val="18"/>
              </w:rPr>
              <w:t xml:space="preserve"> HR)</w:t>
            </w:r>
          </w:p>
          <w:p w:rsidR="003B1DC0" w:rsidRPr="009A6683" w:rsidRDefault="003B1DC0" w:rsidP="006C7CC7">
            <w:pPr>
              <w:pStyle w:val="TableText"/>
              <w:spacing w:after="0" w:line="240" w:lineRule="auto"/>
              <w:rPr>
                <w:rFonts w:cs="Arial"/>
                <w:szCs w:val="18"/>
              </w:rPr>
            </w:pPr>
            <w:r w:rsidRPr="009A6683">
              <w:rPr>
                <w:rFonts w:cs="Arial"/>
                <w:szCs w:val="18"/>
              </w:rPr>
              <w:t>495,194</w:t>
            </w:r>
          </w:p>
          <w:p w:rsidR="003B1DC0" w:rsidRPr="00DC6342" w:rsidRDefault="003B1DC0" w:rsidP="006C7CC7">
            <w:pPr>
              <w:pStyle w:val="TableText"/>
              <w:spacing w:after="0" w:line="240" w:lineRule="auto"/>
              <w:rPr>
                <w:rFonts w:cs="Arial"/>
                <w:szCs w:val="18"/>
              </w:rPr>
            </w:pPr>
            <w:r w:rsidRPr="00DC6342">
              <w:rPr>
                <w:rFonts w:cs="Arial"/>
                <w:szCs w:val="18"/>
              </w:rPr>
              <w:t>(incl</w:t>
            </w:r>
            <w:r w:rsidR="00EF0F7C" w:rsidRPr="00DC6342">
              <w:rPr>
                <w:rFonts w:cs="Arial"/>
                <w:szCs w:val="18"/>
              </w:rPr>
              <w:t>.</w:t>
            </w:r>
            <w:r w:rsidRPr="00DC6342">
              <w:rPr>
                <w:rFonts w:cs="Arial"/>
                <w:szCs w:val="18"/>
              </w:rPr>
              <w:t xml:space="preserve"> HR)</w:t>
            </w:r>
          </w:p>
        </w:tc>
        <w:tc>
          <w:tcPr>
            <w:tcW w:w="460" w:type="pct"/>
          </w:tcPr>
          <w:p w:rsidR="003B1DC0" w:rsidRPr="00DC6342" w:rsidRDefault="003B1DC0" w:rsidP="006C7CC7">
            <w:pPr>
              <w:pStyle w:val="TableText"/>
              <w:spacing w:after="0" w:line="240" w:lineRule="auto"/>
              <w:rPr>
                <w:rFonts w:cs="Arial"/>
                <w:szCs w:val="18"/>
              </w:rPr>
            </w:pPr>
            <w:r w:rsidRPr="009A6683">
              <w:rPr>
                <w:rFonts w:cs="Arial"/>
                <w:szCs w:val="18"/>
              </w:rPr>
              <w:t>-50,190</w:t>
            </w:r>
          </w:p>
          <w:p w:rsidR="003B1DC0" w:rsidRPr="009A6683" w:rsidRDefault="003B1DC0" w:rsidP="006C7CC7">
            <w:pPr>
              <w:pStyle w:val="TableText"/>
              <w:spacing w:after="0" w:line="240" w:lineRule="auto"/>
              <w:rPr>
                <w:rFonts w:cs="Arial"/>
                <w:szCs w:val="18"/>
              </w:rPr>
            </w:pPr>
            <w:r w:rsidRPr="00DC6342">
              <w:rPr>
                <w:rFonts w:cs="Arial"/>
                <w:szCs w:val="18"/>
              </w:rPr>
              <w:t>(</w:t>
            </w:r>
            <w:r w:rsidR="00872F4B" w:rsidRPr="00DC6342">
              <w:rPr>
                <w:rFonts w:cs="Arial"/>
                <w:szCs w:val="18"/>
              </w:rPr>
              <w:t>-3%)</w:t>
            </w:r>
          </w:p>
          <w:p w:rsidR="00A85BF3" w:rsidRPr="00DC6342" w:rsidRDefault="00A85BF3" w:rsidP="006C7CC7">
            <w:pPr>
              <w:pStyle w:val="TableText"/>
              <w:spacing w:after="0" w:line="240" w:lineRule="auto"/>
              <w:rPr>
                <w:rFonts w:cs="Arial"/>
                <w:szCs w:val="18"/>
              </w:rPr>
            </w:pPr>
          </w:p>
        </w:tc>
        <w:tc>
          <w:tcPr>
            <w:tcW w:w="729" w:type="pct"/>
          </w:tcPr>
          <w:p w:rsidR="003B1DC0" w:rsidRPr="009A6683" w:rsidRDefault="003B1DC0" w:rsidP="006C7CC7">
            <w:pPr>
              <w:pStyle w:val="TableText"/>
              <w:spacing w:after="0" w:line="240" w:lineRule="auto"/>
              <w:rPr>
                <w:rFonts w:cs="Arial"/>
                <w:szCs w:val="18"/>
              </w:rPr>
            </w:pPr>
            <w:r w:rsidRPr="009A6683">
              <w:rPr>
                <w:rFonts w:cs="Arial"/>
                <w:szCs w:val="18"/>
              </w:rPr>
              <w:t>874</w:t>
            </w:r>
          </w:p>
          <w:p w:rsidR="00A85BF3" w:rsidRPr="00DC6342" w:rsidRDefault="003B1DC0" w:rsidP="006C7CC7">
            <w:pPr>
              <w:pStyle w:val="TableText"/>
              <w:spacing w:after="0" w:line="240" w:lineRule="auto"/>
              <w:rPr>
                <w:rFonts w:cs="Arial"/>
                <w:szCs w:val="18"/>
              </w:rPr>
            </w:pPr>
            <w:r w:rsidRPr="00DC6342">
              <w:rPr>
                <w:rFonts w:cs="Arial"/>
                <w:szCs w:val="18"/>
              </w:rPr>
              <w:t>(excl</w:t>
            </w:r>
            <w:r w:rsidR="00EF0F7C" w:rsidRPr="00DC6342">
              <w:rPr>
                <w:rFonts w:cs="Arial"/>
                <w:szCs w:val="18"/>
              </w:rPr>
              <w:t>.</w:t>
            </w:r>
            <w:r w:rsidRPr="00DC6342">
              <w:rPr>
                <w:rFonts w:cs="Arial"/>
                <w:szCs w:val="18"/>
              </w:rPr>
              <w:t xml:space="preserve"> </w:t>
            </w:r>
            <w:r w:rsidR="00B95E63" w:rsidRPr="00DC6342">
              <w:rPr>
                <w:rFonts w:cs="Arial"/>
                <w:szCs w:val="18"/>
              </w:rPr>
              <w:t>EL</w:t>
            </w:r>
            <w:r w:rsidRPr="00DC6342">
              <w:rPr>
                <w:rFonts w:cs="Arial"/>
                <w:szCs w:val="18"/>
              </w:rPr>
              <w:t>)</w:t>
            </w:r>
          </w:p>
        </w:tc>
        <w:tc>
          <w:tcPr>
            <w:tcW w:w="729" w:type="pct"/>
          </w:tcPr>
          <w:p w:rsidR="003B1DC0" w:rsidRPr="009A6683" w:rsidRDefault="003B1DC0" w:rsidP="006C7CC7">
            <w:pPr>
              <w:pStyle w:val="TableText"/>
              <w:spacing w:after="0" w:line="240" w:lineRule="auto"/>
              <w:rPr>
                <w:rFonts w:cs="Arial"/>
                <w:szCs w:val="18"/>
              </w:rPr>
            </w:pPr>
            <w:r w:rsidRPr="009A6683">
              <w:rPr>
                <w:rFonts w:cs="Arial"/>
                <w:szCs w:val="18"/>
              </w:rPr>
              <w:t>852</w:t>
            </w:r>
          </w:p>
          <w:p w:rsidR="00A85BF3" w:rsidRPr="00DC6342" w:rsidRDefault="003B1DC0" w:rsidP="006C7CC7">
            <w:pPr>
              <w:pStyle w:val="TableText"/>
              <w:spacing w:line="240" w:lineRule="auto"/>
              <w:rPr>
                <w:rFonts w:cs="Arial"/>
                <w:szCs w:val="18"/>
              </w:rPr>
            </w:pPr>
            <w:r w:rsidRPr="00DC6342">
              <w:rPr>
                <w:rFonts w:cs="Arial"/>
                <w:szCs w:val="18"/>
              </w:rPr>
              <w:t>(excl</w:t>
            </w:r>
            <w:r w:rsidR="00EF0F7C" w:rsidRPr="00DC6342">
              <w:rPr>
                <w:rFonts w:cs="Arial"/>
                <w:szCs w:val="18"/>
              </w:rPr>
              <w:t>.</w:t>
            </w:r>
            <w:r w:rsidRPr="00DC6342">
              <w:rPr>
                <w:rFonts w:cs="Arial"/>
                <w:szCs w:val="18"/>
              </w:rPr>
              <w:t xml:space="preserve"> HR)</w:t>
            </w:r>
          </w:p>
          <w:p w:rsidR="003B1DC0" w:rsidRPr="009A6683" w:rsidRDefault="003B1DC0" w:rsidP="006C7CC7">
            <w:pPr>
              <w:pStyle w:val="TableText"/>
              <w:spacing w:after="0" w:line="240" w:lineRule="auto"/>
              <w:rPr>
                <w:rFonts w:cs="Arial"/>
                <w:szCs w:val="18"/>
              </w:rPr>
            </w:pPr>
            <w:r w:rsidRPr="009A6683">
              <w:rPr>
                <w:rFonts w:cs="Arial"/>
                <w:szCs w:val="18"/>
              </w:rPr>
              <w:t>817</w:t>
            </w:r>
          </w:p>
          <w:p w:rsidR="003B1DC0" w:rsidRPr="00DC6342" w:rsidRDefault="003B1DC0" w:rsidP="006C7CC7">
            <w:pPr>
              <w:pStyle w:val="TableText"/>
              <w:spacing w:after="0" w:line="240" w:lineRule="auto"/>
              <w:rPr>
                <w:rFonts w:cs="Arial"/>
                <w:szCs w:val="18"/>
              </w:rPr>
            </w:pPr>
            <w:r w:rsidRPr="00DC6342">
              <w:rPr>
                <w:rFonts w:cs="Arial"/>
                <w:szCs w:val="18"/>
              </w:rPr>
              <w:t>(incl</w:t>
            </w:r>
            <w:r w:rsidR="00EF0F7C" w:rsidRPr="00DC6342">
              <w:rPr>
                <w:rFonts w:cs="Arial"/>
                <w:szCs w:val="18"/>
              </w:rPr>
              <w:t>.</w:t>
            </w:r>
            <w:r w:rsidRPr="00DC6342">
              <w:rPr>
                <w:rFonts w:cs="Arial"/>
                <w:szCs w:val="18"/>
              </w:rPr>
              <w:t>HR)</w:t>
            </w:r>
          </w:p>
        </w:tc>
      </w:tr>
      <w:tr w:rsidR="002E01CA" w:rsidTr="00546996">
        <w:trPr>
          <w:cantSplit/>
        </w:trPr>
        <w:tc>
          <w:tcPr>
            <w:tcW w:w="765" w:type="pct"/>
          </w:tcPr>
          <w:p w:rsidR="00A85BF3" w:rsidRDefault="00A85BF3" w:rsidP="006C7CC7">
            <w:pPr>
              <w:pStyle w:val="TableText"/>
            </w:pPr>
            <w:r>
              <w:t>International abduction of children</w:t>
            </w:r>
          </w:p>
        </w:tc>
        <w:tc>
          <w:tcPr>
            <w:tcW w:w="1394" w:type="pct"/>
          </w:tcPr>
          <w:p w:rsidR="00A85BF3" w:rsidRDefault="00B01CF5" w:rsidP="006C7CC7">
            <w:pPr>
              <w:pStyle w:val="TableText"/>
            </w:pPr>
            <w:r>
              <w:t>BE, BG, CZ, DK, DE, EE, IE, ES, FR, HR (2010 only), IT, CY,LV, LT, LU, HU, NL, AT, PL, RO, SI, SK, FI, SE, UK</w:t>
            </w:r>
          </w:p>
          <w:p w:rsidR="00B01CF5" w:rsidRPr="00A5732C" w:rsidRDefault="00B01CF5" w:rsidP="006C7CC7">
            <w:pPr>
              <w:pStyle w:val="TableText"/>
              <w:rPr>
                <w:b/>
              </w:rPr>
            </w:pPr>
            <w:r w:rsidRPr="00A5732C">
              <w:rPr>
                <w:b/>
              </w:rPr>
              <w:t>25 MS</w:t>
            </w:r>
          </w:p>
        </w:tc>
        <w:tc>
          <w:tcPr>
            <w:tcW w:w="461" w:type="pct"/>
            <w:shd w:val="clear" w:color="auto" w:fill="auto"/>
          </w:tcPr>
          <w:p w:rsidR="00A85BF3" w:rsidRPr="00DC6342" w:rsidRDefault="00872F4B" w:rsidP="006C7CC7">
            <w:pPr>
              <w:pStyle w:val="TableText"/>
              <w:spacing w:after="0" w:line="240" w:lineRule="auto"/>
              <w:rPr>
                <w:rFonts w:cs="Arial"/>
                <w:szCs w:val="18"/>
              </w:rPr>
            </w:pPr>
            <w:r w:rsidRPr="00DC6342">
              <w:rPr>
                <w:rFonts w:cs="Arial"/>
                <w:szCs w:val="18"/>
              </w:rPr>
              <w:t>2,392</w:t>
            </w:r>
          </w:p>
        </w:tc>
        <w:tc>
          <w:tcPr>
            <w:tcW w:w="461" w:type="pct"/>
          </w:tcPr>
          <w:p w:rsidR="00A85BF3" w:rsidRPr="00DC6342" w:rsidRDefault="00872F4B" w:rsidP="006C7CC7">
            <w:pPr>
              <w:pStyle w:val="TableText"/>
              <w:spacing w:after="0" w:line="240" w:lineRule="auto"/>
              <w:rPr>
                <w:rFonts w:cs="Arial"/>
                <w:szCs w:val="18"/>
              </w:rPr>
            </w:pPr>
            <w:r w:rsidRPr="00DC6342">
              <w:rPr>
                <w:rFonts w:cs="Arial"/>
                <w:szCs w:val="18"/>
              </w:rPr>
              <w:t>2,455</w:t>
            </w:r>
          </w:p>
          <w:p w:rsidR="00872F4B" w:rsidRPr="00DC6342" w:rsidRDefault="00872F4B" w:rsidP="006C7CC7">
            <w:pPr>
              <w:pStyle w:val="TableText"/>
              <w:spacing w:line="240" w:lineRule="auto"/>
              <w:rPr>
                <w:rFonts w:cs="Arial"/>
                <w:szCs w:val="18"/>
              </w:rPr>
            </w:pPr>
            <w:r w:rsidRPr="00DC6342">
              <w:rPr>
                <w:rFonts w:cs="Arial"/>
                <w:szCs w:val="18"/>
              </w:rPr>
              <w:t>(excl</w:t>
            </w:r>
            <w:r w:rsidR="00EF0F7C" w:rsidRPr="00DC6342">
              <w:rPr>
                <w:rFonts w:cs="Arial"/>
                <w:szCs w:val="18"/>
              </w:rPr>
              <w:t>.</w:t>
            </w:r>
            <w:r w:rsidRPr="00DC6342">
              <w:rPr>
                <w:rFonts w:cs="Arial"/>
                <w:szCs w:val="18"/>
              </w:rPr>
              <w:t xml:space="preserve"> HR)</w:t>
            </w:r>
          </w:p>
          <w:p w:rsidR="00872F4B" w:rsidRPr="00DC6342" w:rsidRDefault="00872F4B" w:rsidP="006C7CC7">
            <w:pPr>
              <w:pStyle w:val="TableText"/>
              <w:spacing w:after="0" w:line="240" w:lineRule="auto"/>
              <w:rPr>
                <w:rFonts w:cs="Arial"/>
                <w:szCs w:val="18"/>
              </w:rPr>
            </w:pPr>
            <w:r w:rsidRPr="00DC6342">
              <w:rPr>
                <w:rFonts w:cs="Arial"/>
                <w:szCs w:val="18"/>
              </w:rPr>
              <w:t>2,595</w:t>
            </w:r>
          </w:p>
          <w:p w:rsidR="00872F4B" w:rsidRPr="002E01CA" w:rsidRDefault="00872F4B" w:rsidP="006C7CC7">
            <w:pPr>
              <w:pStyle w:val="TableText"/>
              <w:spacing w:after="0" w:line="240" w:lineRule="auto"/>
              <w:rPr>
                <w:rFonts w:cs="Arial"/>
                <w:szCs w:val="18"/>
              </w:rPr>
            </w:pPr>
            <w:r w:rsidRPr="002E01CA">
              <w:rPr>
                <w:rFonts w:cs="Arial"/>
                <w:szCs w:val="18"/>
              </w:rPr>
              <w:t>(incl</w:t>
            </w:r>
            <w:r w:rsidR="00EF0F7C" w:rsidRPr="002E01CA">
              <w:rPr>
                <w:rFonts w:cs="Arial"/>
                <w:szCs w:val="18"/>
              </w:rPr>
              <w:t>.</w:t>
            </w:r>
            <w:r w:rsidRPr="002E01CA">
              <w:rPr>
                <w:rFonts w:cs="Arial"/>
                <w:szCs w:val="18"/>
              </w:rPr>
              <w:t xml:space="preserve"> HR)</w:t>
            </w:r>
          </w:p>
        </w:tc>
        <w:tc>
          <w:tcPr>
            <w:tcW w:w="460" w:type="pct"/>
          </w:tcPr>
          <w:p w:rsidR="00A85BF3" w:rsidRPr="002E01CA" w:rsidRDefault="00872F4B" w:rsidP="006C7CC7">
            <w:pPr>
              <w:pStyle w:val="TableText"/>
              <w:spacing w:after="0" w:line="240" w:lineRule="auto"/>
              <w:rPr>
                <w:rFonts w:cs="Arial"/>
                <w:szCs w:val="18"/>
              </w:rPr>
            </w:pPr>
            <w:r w:rsidRPr="002E01CA">
              <w:rPr>
                <w:rFonts w:cs="Arial"/>
                <w:szCs w:val="18"/>
              </w:rPr>
              <w:t>+63</w:t>
            </w:r>
          </w:p>
          <w:p w:rsidR="00872F4B" w:rsidRPr="002E01CA" w:rsidRDefault="00872F4B" w:rsidP="006C7CC7">
            <w:pPr>
              <w:pStyle w:val="TableText"/>
              <w:spacing w:after="0" w:line="240" w:lineRule="auto"/>
              <w:rPr>
                <w:rFonts w:cs="Arial"/>
                <w:szCs w:val="18"/>
              </w:rPr>
            </w:pPr>
            <w:r w:rsidRPr="002E01CA">
              <w:rPr>
                <w:rFonts w:cs="Arial"/>
                <w:szCs w:val="18"/>
              </w:rPr>
              <w:t>(3%)</w:t>
            </w:r>
          </w:p>
        </w:tc>
        <w:tc>
          <w:tcPr>
            <w:tcW w:w="729" w:type="pct"/>
          </w:tcPr>
          <w:p w:rsidR="00A85BF3" w:rsidRPr="002E01CA" w:rsidRDefault="00670BD7" w:rsidP="006C7CC7">
            <w:pPr>
              <w:pStyle w:val="TableText"/>
              <w:spacing w:after="0" w:line="240" w:lineRule="auto"/>
              <w:rPr>
                <w:rFonts w:cs="Arial"/>
                <w:szCs w:val="18"/>
              </w:rPr>
            </w:pPr>
            <w:r w:rsidRPr="002E01CA">
              <w:rPr>
                <w:rFonts w:cs="Arial"/>
                <w:szCs w:val="18"/>
              </w:rPr>
              <w:t>2.64</w:t>
            </w:r>
          </w:p>
        </w:tc>
        <w:tc>
          <w:tcPr>
            <w:tcW w:w="729" w:type="pct"/>
          </w:tcPr>
          <w:p w:rsidR="00A85BF3" w:rsidRPr="002E01CA" w:rsidRDefault="00670BD7" w:rsidP="006C7CC7">
            <w:pPr>
              <w:pStyle w:val="TableText"/>
              <w:spacing w:after="0" w:line="240" w:lineRule="auto"/>
              <w:rPr>
                <w:rFonts w:cs="Arial"/>
                <w:szCs w:val="18"/>
              </w:rPr>
            </w:pPr>
            <w:r w:rsidRPr="002E01CA">
              <w:rPr>
                <w:rFonts w:cs="Arial"/>
                <w:szCs w:val="18"/>
              </w:rPr>
              <w:t xml:space="preserve">2.73 </w:t>
            </w:r>
          </w:p>
          <w:p w:rsidR="00670BD7" w:rsidRPr="002E01CA" w:rsidRDefault="00670BD7" w:rsidP="006C7CC7">
            <w:pPr>
              <w:pStyle w:val="TableText"/>
              <w:spacing w:line="240" w:lineRule="auto"/>
              <w:rPr>
                <w:rFonts w:cs="Arial"/>
                <w:szCs w:val="18"/>
              </w:rPr>
            </w:pPr>
            <w:r w:rsidRPr="002E01CA">
              <w:rPr>
                <w:rFonts w:cs="Arial"/>
                <w:szCs w:val="18"/>
              </w:rPr>
              <w:t>(excl</w:t>
            </w:r>
            <w:r w:rsidR="00EF0F7C" w:rsidRPr="002E01CA">
              <w:rPr>
                <w:rFonts w:cs="Arial"/>
                <w:szCs w:val="18"/>
              </w:rPr>
              <w:t>.</w:t>
            </w:r>
            <w:r w:rsidRPr="002E01CA">
              <w:rPr>
                <w:rFonts w:cs="Arial"/>
                <w:szCs w:val="18"/>
              </w:rPr>
              <w:t xml:space="preserve"> HR)</w:t>
            </w:r>
          </w:p>
          <w:p w:rsidR="00670BD7" w:rsidRPr="002E01CA" w:rsidRDefault="00670BD7" w:rsidP="006C7CC7">
            <w:pPr>
              <w:pStyle w:val="TableText"/>
              <w:spacing w:after="0" w:line="240" w:lineRule="auto"/>
              <w:rPr>
                <w:rFonts w:cs="Arial"/>
                <w:szCs w:val="18"/>
              </w:rPr>
            </w:pPr>
            <w:r w:rsidRPr="002E01CA">
              <w:rPr>
                <w:rFonts w:cs="Arial"/>
                <w:szCs w:val="18"/>
              </w:rPr>
              <w:t>2.85</w:t>
            </w:r>
          </w:p>
          <w:p w:rsidR="00670BD7" w:rsidRPr="00491726" w:rsidRDefault="00670BD7" w:rsidP="006C7CC7">
            <w:pPr>
              <w:pStyle w:val="TableText"/>
              <w:spacing w:after="0" w:line="240" w:lineRule="auto"/>
              <w:rPr>
                <w:rFonts w:cs="Arial"/>
                <w:szCs w:val="18"/>
              </w:rPr>
            </w:pPr>
            <w:r w:rsidRPr="002E01CA">
              <w:rPr>
                <w:rFonts w:cs="Arial"/>
                <w:szCs w:val="18"/>
              </w:rPr>
              <w:t>(incl</w:t>
            </w:r>
            <w:r w:rsidR="00EF0F7C" w:rsidRPr="002E01CA">
              <w:rPr>
                <w:rFonts w:cs="Arial"/>
                <w:szCs w:val="18"/>
              </w:rPr>
              <w:t>.</w:t>
            </w:r>
            <w:r w:rsidRPr="00491726">
              <w:rPr>
                <w:rFonts w:cs="Arial"/>
                <w:szCs w:val="18"/>
              </w:rPr>
              <w:t xml:space="preserve"> HR)</w:t>
            </w:r>
          </w:p>
        </w:tc>
      </w:tr>
      <w:tr w:rsidR="002E01CA" w:rsidTr="00546996">
        <w:trPr>
          <w:cantSplit/>
        </w:trPr>
        <w:tc>
          <w:tcPr>
            <w:tcW w:w="765" w:type="pct"/>
          </w:tcPr>
          <w:p w:rsidR="00A85BF3" w:rsidRDefault="00A85BF3" w:rsidP="006C7CC7">
            <w:pPr>
              <w:pStyle w:val="TableText"/>
            </w:pPr>
            <w:r>
              <w:t>National adoption process</w:t>
            </w:r>
          </w:p>
        </w:tc>
        <w:tc>
          <w:tcPr>
            <w:tcW w:w="1394" w:type="pct"/>
          </w:tcPr>
          <w:p w:rsidR="00A85BF3" w:rsidRDefault="00B01CF5" w:rsidP="006C7CC7">
            <w:pPr>
              <w:pStyle w:val="TableText"/>
            </w:pPr>
            <w:r>
              <w:t>BE, BG, CZ, EE, IE, ES, HR, HU, NL, AT, PL, RO, SK</w:t>
            </w:r>
          </w:p>
          <w:p w:rsidR="00B01CF5" w:rsidRPr="00A5732C" w:rsidRDefault="00B01CF5" w:rsidP="006C7CC7">
            <w:pPr>
              <w:pStyle w:val="TableText"/>
              <w:rPr>
                <w:b/>
              </w:rPr>
            </w:pPr>
            <w:r w:rsidRPr="00A5732C">
              <w:rPr>
                <w:b/>
              </w:rPr>
              <w:t>13 MS</w:t>
            </w:r>
          </w:p>
        </w:tc>
        <w:tc>
          <w:tcPr>
            <w:tcW w:w="461" w:type="pct"/>
            <w:shd w:val="clear" w:color="auto" w:fill="auto"/>
          </w:tcPr>
          <w:p w:rsidR="00A85BF3" w:rsidRPr="00DC6342" w:rsidRDefault="00670BD7" w:rsidP="006C7CC7">
            <w:pPr>
              <w:pStyle w:val="TableText"/>
              <w:spacing w:after="0" w:line="240" w:lineRule="auto"/>
              <w:rPr>
                <w:rFonts w:cs="Arial"/>
                <w:szCs w:val="18"/>
              </w:rPr>
            </w:pPr>
            <w:r w:rsidRPr="00DC6342">
              <w:rPr>
                <w:rFonts w:cs="Arial"/>
                <w:szCs w:val="18"/>
              </w:rPr>
              <w:t>9,201</w:t>
            </w:r>
          </w:p>
        </w:tc>
        <w:tc>
          <w:tcPr>
            <w:tcW w:w="461" w:type="pct"/>
          </w:tcPr>
          <w:p w:rsidR="00A85BF3" w:rsidRPr="002E01CA" w:rsidRDefault="00670BD7" w:rsidP="006C7CC7">
            <w:pPr>
              <w:pStyle w:val="TableText"/>
              <w:spacing w:after="0" w:line="240" w:lineRule="auto"/>
              <w:rPr>
                <w:rFonts w:cs="Arial"/>
                <w:szCs w:val="18"/>
              </w:rPr>
            </w:pPr>
            <w:r w:rsidRPr="002E01CA">
              <w:rPr>
                <w:rFonts w:cs="Arial"/>
                <w:szCs w:val="18"/>
              </w:rPr>
              <w:t>10,005</w:t>
            </w:r>
          </w:p>
        </w:tc>
        <w:tc>
          <w:tcPr>
            <w:tcW w:w="460" w:type="pct"/>
          </w:tcPr>
          <w:p w:rsidR="00A85BF3" w:rsidRPr="002E01CA" w:rsidRDefault="00670BD7" w:rsidP="006C7CC7">
            <w:pPr>
              <w:pStyle w:val="TableText"/>
              <w:spacing w:after="0" w:line="240" w:lineRule="auto"/>
              <w:rPr>
                <w:rFonts w:cs="Arial"/>
                <w:szCs w:val="18"/>
              </w:rPr>
            </w:pPr>
            <w:r w:rsidRPr="002E01CA">
              <w:rPr>
                <w:rFonts w:cs="Arial"/>
                <w:szCs w:val="18"/>
              </w:rPr>
              <w:t>+804</w:t>
            </w:r>
          </w:p>
          <w:p w:rsidR="00670BD7" w:rsidRPr="002E01CA" w:rsidRDefault="00670BD7" w:rsidP="006C7CC7">
            <w:pPr>
              <w:pStyle w:val="TableText"/>
              <w:spacing w:after="0" w:line="240" w:lineRule="auto"/>
              <w:rPr>
                <w:rFonts w:cs="Arial"/>
                <w:szCs w:val="18"/>
              </w:rPr>
            </w:pPr>
            <w:r w:rsidRPr="002E01CA">
              <w:rPr>
                <w:rFonts w:cs="Arial"/>
                <w:szCs w:val="18"/>
              </w:rPr>
              <w:t>(+9%)</w:t>
            </w:r>
          </w:p>
        </w:tc>
        <w:tc>
          <w:tcPr>
            <w:tcW w:w="729" w:type="pct"/>
          </w:tcPr>
          <w:p w:rsidR="00A85BF3" w:rsidRPr="002E01CA" w:rsidRDefault="00670BD7" w:rsidP="006C7CC7">
            <w:pPr>
              <w:pStyle w:val="TableText"/>
              <w:spacing w:after="0" w:line="240" w:lineRule="auto"/>
              <w:rPr>
                <w:rFonts w:cs="Arial"/>
                <w:szCs w:val="18"/>
              </w:rPr>
            </w:pPr>
            <w:r w:rsidRPr="002E01CA">
              <w:rPr>
                <w:rFonts w:cs="Arial"/>
                <w:szCs w:val="18"/>
              </w:rPr>
              <w:t>26.2</w:t>
            </w:r>
          </w:p>
        </w:tc>
        <w:tc>
          <w:tcPr>
            <w:tcW w:w="729" w:type="pct"/>
          </w:tcPr>
          <w:p w:rsidR="00A85BF3" w:rsidRPr="002E01CA" w:rsidRDefault="00670BD7" w:rsidP="006C7CC7">
            <w:pPr>
              <w:pStyle w:val="TableText"/>
              <w:spacing w:after="0" w:line="240" w:lineRule="auto"/>
              <w:rPr>
                <w:rFonts w:cs="Arial"/>
                <w:szCs w:val="18"/>
              </w:rPr>
            </w:pPr>
            <w:r w:rsidRPr="002E01CA">
              <w:rPr>
                <w:rFonts w:cs="Arial"/>
                <w:szCs w:val="18"/>
              </w:rPr>
              <w:t>28.7</w:t>
            </w:r>
          </w:p>
        </w:tc>
      </w:tr>
      <w:tr w:rsidR="002E01CA" w:rsidTr="00546996">
        <w:trPr>
          <w:cantSplit/>
        </w:trPr>
        <w:tc>
          <w:tcPr>
            <w:tcW w:w="765" w:type="pct"/>
          </w:tcPr>
          <w:p w:rsidR="00A85BF3" w:rsidRDefault="00A85BF3" w:rsidP="006C7CC7">
            <w:pPr>
              <w:pStyle w:val="TableText"/>
            </w:pPr>
            <w:r>
              <w:t>International adoption process</w:t>
            </w:r>
          </w:p>
        </w:tc>
        <w:tc>
          <w:tcPr>
            <w:tcW w:w="1394" w:type="pct"/>
          </w:tcPr>
          <w:p w:rsidR="00A85BF3" w:rsidRDefault="00B01CF5" w:rsidP="006C7CC7">
            <w:pPr>
              <w:pStyle w:val="TableText"/>
            </w:pPr>
            <w:r>
              <w:t>BE, BG, CZ, EE, ES, FR, HR (2010 only), IT, LV, LT, HU, NL, PL, SI, SK, SE</w:t>
            </w:r>
          </w:p>
          <w:p w:rsidR="00B01CF5" w:rsidRPr="00A5732C" w:rsidRDefault="00B01CF5" w:rsidP="006C7CC7">
            <w:pPr>
              <w:pStyle w:val="TableText"/>
              <w:rPr>
                <w:b/>
              </w:rPr>
            </w:pPr>
            <w:r w:rsidRPr="00A5732C">
              <w:rPr>
                <w:b/>
              </w:rPr>
              <w:t>16 MS</w:t>
            </w:r>
          </w:p>
        </w:tc>
        <w:tc>
          <w:tcPr>
            <w:tcW w:w="461" w:type="pct"/>
            <w:shd w:val="clear" w:color="auto" w:fill="auto"/>
          </w:tcPr>
          <w:p w:rsidR="00A85BF3" w:rsidRPr="00DC6342" w:rsidRDefault="00670BD7" w:rsidP="006C7CC7">
            <w:pPr>
              <w:pStyle w:val="TableText"/>
              <w:spacing w:after="0" w:line="240" w:lineRule="auto"/>
              <w:rPr>
                <w:rFonts w:cs="Arial"/>
                <w:szCs w:val="18"/>
              </w:rPr>
            </w:pPr>
            <w:r w:rsidRPr="00DC6342">
              <w:rPr>
                <w:rFonts w:cs="Arial"/>
                <w:szCs w:val="18"/>
              </w:rPr>
              <w:t>13,651</w:t>
            </w:r>
          </w:p>
        </w:tc>
        <w:tc>
          <w:tcPr>
            <w:tcW w:w="461" w:type="pct"/>
          </w:tcPr>
          <w:p w:rsidR="00A85BF3" w:rsidRPr="00DC6342" w:rsidRDefault="00670BD7" w:rsidP="006C7CC7">
            <w:pPr>
              <w:pStyle w:val="TableText"/>
              <w:spacing w:after="0" w:line="240" w:lineRule="auto"/>
              <w:rPr>
                <w:rFonts w:cs="Arial"/>
                <w:szCs w:val="18"/>
              </w:rPr>
            </w:pPr>
            <w:r w:rsidRPr="00DC6342">
              <w:rPr>
                <w:rFonts w:cs="Arial"/>
                <w:szCs w:val="18"/>
              </w:rPr>
              <w:t>13,245</w:t>
            </w:r>
          </w:p>
          <w:p w:rsidR="00670BD7" w:rsidRPr="00DC6342" w:rsidRDefault="00670BD7" w:rsidP="006C7CC7">
            <w:pPr>
              <w:pStyle w:val="TableText"/>
              <w:spacing w:line="240" w:lineRule="auto"/>
              <w:rPr>
                <w:rFonts w:cs="Arial"/>
                <w:szCs w:val="18"/>
              </w:rPr>
            </w:pPr>
            <w:r w:rsidRPr="00DC6342">
              <w:rPr>
                <w:rFonts w:cs="Arial"/>
                <w:szCs w:val="18"/>
              </w:rPr>
              <w:t>(excl</w:t>
            </w:r>
            <w:r w:rsidR="00EF0F7C" w:rsidRPr="00DC6342">
              <w:rPr>
                <w:rFonts w:cs="Arial"/>
                <w:szCs w:val="18"/>
              </w:rPr>
              <w:t>.</w:t>
            </w:r>
            <w:r w:rsidRPr="00DC6342">
              <w:rPr>
                <w:rFonts w:cs="Arial"/>
                <w:szCs w:val="18"/>
              </w:rPr>
              <w:t xml:space="preserve"> HR)</w:t>
            </w:r>
          </w:p>
          <w:p w:rsidR="00670BD7" w:rsidRPr="00DC6342" w:rsidRDefault="00670BD7" w:rsidP="006C7CC7">
            <w:pPr>
              <w:pStyle w:val="TableText"/>
              <w:spacing w:after="0" w:line="240" w:lineRule="auto"/>
              <w:rPr>
                <w:rFonts w:cs="Arial"/>
                <w:szCs w:val="18"/>
              </w:rPr>
            </w:pPr>
            <w:r w:rsidRPr="00DC6342">
              <w:rPr>
                <w:rFonts w:cs="Arial"/>
                <w:szCs w:val="18"/>
              </w:rPr>
              <w:t>13,373</w:t>
            </w:r>
          </w:p>
          <w:p w:rsidR="00670BD7" w:rsidRPr="002E01CA" w:rsidRDefault="00670BD7" w:rsidP="006C7CC7">
            <w:pPr>
              <w:pStyle w:val="TableText"/>
              <w:spacing w:after="0" w:line="240" w:lineRule="auto"/>
              <w:rPr>
                <w:rFonts w:cs="Arial"/>
                <w:szCs w:val="18"/>
              </w:rPr>
            </w:pPr>
            <w:r w:rsidRPr="002E01CA">
              <w:rPr>
                <w:rFonts w:cs="Arial"/>
                <w:szCs w:val="18"/>
              </w:rPr>
              <w:t>(incl</w:t>
            </w:r>
            <w:r w:rsidR="00EF0F7C" w:rsidRPr="002E01CA">
              <w:rPr>
                <w:rFonts w:cs="Arial"/>
                <w:szCs w:val="18"/>
              </w:rPr>
              <w:t>.</w:t>
            </w:r>
            <w:r w:rsidRPr="002E01CA">
              <w:rPr>
                <w:rFonts w:cs="Arial"/>
                <w:szCs w:val="18"/>
              </w:rPr>
              <w:t xml:space="preserve"> HR)</w:t>
            </w:r>
          </w:p>
        </w:tc>
        <w:tc>
          <w:tcPr>
            <w:tcW w:w="460" w:type="pct"/>
          </w:tcPr>
          <w:p w:rsidR="00670BD7" w:rsidRPr="002E01CA" w:rsidRDefault="00670BD7" w:rsidP="006C7CC7">
            <w:pPr>
              <w:pStyle w:val="TableText"/>
              <w:spacing w:after="0" w:line="240" w:lineRule="auto"/>
              <w:rPr>
                <w:rFonts w:cs="Arial"/>
                <w:szCs w:val="18"/>
              </w:rPr>
            </w:pPr>
            <w:r w:rsidRPr="002E01CA">
              <w:rPr>
                <w:rFonts w:cs="Arial"/>
                <w:szCs w:val="18"/>
              </w:rPr>
              <w:t>-406</w:t>
            </w:r>
          </w:p>
          <w:p w:rsidR="00A85BF3" w:rsidRPr="002E01CA" w:rsidRDefault="00670BD7" w:rsidP="006C7CC7">
            <w:pPr>
              <w:pStyle w:val="TableText"/>
              <w:spacing w:after="0" w:line="240" w:lineRule="auto"/>
              <w:rPr>
                <w:rFonts w:cs="Arial"/>
                <w:szCs w:val="18"/>
              </w:rPr>
            </w:pPr>
            <w:r w:rsidRPr="002E01CA">
              <w:rPr>
                <w:rFonts w:cs="Arial"/>
                <w:szCs w:val="18"/>
              </w:rPr>
              <w:t>(-3%)</w:t>
            </w:r>
          </w:p>
        </w:tc>
        <w:tc>
          <w:tcPr>
            <w:tcW w:w="729" w:type="pct"/>
          </w:tcPr>
          <w:p w:rsidR="00A85BF3" w:rsidRPr="002E01CA" w:rsidRDefault="00670BD7" w:rsidP="006C7CC7">
            <w:pPr>
              <w:pStyle w:val="TableText"/>
              <w:spacing w:after="0" w:line="240" w:lineRule="auto"/>
              <w:rPr>
                <w:rFonts w:cs="Arial"/>
                <w:szCs w:val="18"/>
              </w:rPr>
            </w:pPr>
            <w:r w:rsidRPr="002E01CA">
              <w:rPr>
                <w:rFonts w:cs="Arial"/>
                <w:szCs w:val="18"/>
              </w:rPr>
              <w:t>24.7</w:t>
            </w:r>
          </w:p>
        </w:tc>
        <w:tc>
          <w:tcPr>
            <w:tcW w:w="729" w:type="pct"/>
          </w:tcPr>
          <w:p w:rsidR="00A85BF3" w:rsidRPr="002E01CA" w:rsidRDefault="00670BD7" w:rsidP="006C7CC7">
            <w:pPr>
              <w:pStyle w:val="TableText"/>
              <w:spacing w:after="0" w:line="240" w:lineRule="auto"/>
              <w:rPr>
                <w:rFonts w:cs="Arial"/>
                <w:szCs w:val="18"/>
              </w:rPr>
            </w:pPr>
            <w:r w:rsidRPr="002E01CA">
              <w:rPr>
                <w:rFonts w:cs="Arial"/>
                <w:szCs w:val="18"/>
              </w:rPr>
              <w:t xml:space="preserve">24.0 </w:t>
            </w:r>
          </w:p>
          <w:p w:rsidR="00670BD7" w:rsidRPr="002E01CA" w:rsidRDefault="00670BD7" w:rsidP="006C7CC7">
            <w:pPr>
              <w:pStyle w:val="TableText"/>
              <w:spacing w:line="240" w:lineRule="auto"/>
              <w:rPr>
                <w:rFonts w:cs="Arial"/>
                <w:szCs w:val="18"/>
              </w:rPr>
            </w:pPr>
            <w:r w:rsidRPr="002E01CA">
              <w:rPr>
                <w:rFonts w:cs="Arial"/>
                <w:szCs w:val="18"/>
              </w:rPr>
              <w:t>(excl</w:t>
            </w:r>
            <w:r w:rsidR="00EF0F7C" w:rsidRPr="002E01CA">
              <w:rPr>
                <w:rFonts w:cs="Arial"/>
                <w:szCs w:val="18"/>
              </w:rPr>
              <w:t>.</w:t>
            </w:r>
            <w:r w:rsidRPr="002E01CA">
              <w:rPr>
                <w:rFonts w:cs="Arial"/>
                <w:szCs w:val="18"/>
              </w:rPr>
              <w:t xml:space="preserve"> HR)</w:t>
            </w:r>
          </w:p>
          <w:p w:rsidR="00670BD7" w:rsidRPr="002E01CA" w:rsidRDefault="00670BD7" w:rsidP="006C7CC7">
            <w:pPr>
              <w:pStyle w:val="TableText"/>
              <w:spacing w:after="0" w:line="240" w:lineRule="auto"/>
              <w:rPr>
                <w:rFonts w:cs="Arial"/>
                <w:szCs w:val="18"/>
              </w:rPr>
            </w:pPr>
            <w:r w:rsidRPr="002E01CA">
              <w:rPr>
                <w:rFonts w:cs="Arial"/>
                <w:szCs w:val="18"/>
              </w:rPr>
              <w:t>23.8</w:t>
            </w:r>
          </w:p>
          <w:p w:rsidR="00670BD7" w:rsidRPr="00491726" w:rsidRDefault="00670BD7" w:rsidP="006C7CC7">
            <w:pPr>
              <w:pStyle w:val="TableText"/>
              <w:spacing w:after="0" w:line="240" w:lineRule="auto"/>
              <w:rPr>
                <w:rFonts w:cs="Arial"/>
                <w:szCs w:val="18"/>
              </w:rPr>
            </w:pPr>
            <w:r w:rsidRPr="00491726">
              <w:rPr>
                <w:rFonts w:cs="Arial"/>
                <w:szCs w:val="18"/>
              </w:rPr>
              <w:t>(incl</w:t>
            </w:r>
            <w:r w:rsidR="00EF0F7C" w:rsidRPr="00491726">
              <w:rPr>
                <w:rFonts w:cs="Arial"/>
                <w:szCs w:val="18"/>
              </w:rPr>
              <w:t>.</w:t>
            </w:r>
            <w:r w:rsidRPr="00491726">
              <w:rPr>
                <w:rFonts w:cs="Arial"/>
                <w:szCs w:val="18"/>
              </w:rPr>
              <w:t xml:space="preserve"> HR)</w:t>
            </w:r>
          </w:p>
        </w:tc>
      </w:tr>
      <w:tr w:rsidR="002E01CA" w:rsidTr="00546996">
        <w:trPr>
          <w:cantSplit/>
        </w:trPr>
        <w:tc>
          <w:tcPr>
            <w:tcW w:w="765" w:type="pct"/>
          </w:tcPr>
          <w:p w:rsidR="00A37ABC" w:rsidRDefault="00A37ABC" w:rsidP="006C7CC7">
            <w:pPr>
              <w:pStyle w:val="TableText"/>
            </w:pPr>
            <w:r>
              <w:t>Decisions on asylum application</w:t>
            </w:r>
          </w:p>
        </w:tc>
        <w:tc>
          <w:tcPr>
            <w:tcW w:w="1394" w:type="pct"/>
          </w:tcPr>
          <w:p w:rsidR="00A37ABC" w:rsidRDefault="00B01CF5" w:rsidP="006C7CC7">
            <w:pPr>
              <w:pStyle w:val="TableText"/>
            </w:pPr>
            <w:r>
              <w:t>BE, BG, CZ, DK (only 2010), DE, EE, IE, EL, ES, FR, IT, CY</w:t>
            </w:r>
            <w:r w:rsidR="00374D69">
              <w:t xml:space="preserve"> (only 2010)</w:t>
            </w:r>
            <w:r>
              <w:t>, LV, LT, LU, HU</w:t>
            </w:r>
            <w:r w:rsidR="00374D69">
              <w:t xml:space="preserve"> (only 2010)</w:t>
            </w:r>
            <w:r>
              <w:t>, MT, NL, AT, PL, PT, RO, SI, FI, SK, SE, UK</w:t>
            </w:r>
          </w:p>
          <w:p w:rsidR="00B01CF5" w:rsidRPr="00A5732C" w:rsidRDefault="00B01CF5" w:rsidP="006C7CC7">
            <w:pPr>
              <w:pStyle w:val="TableText"/>
              <w:rPr>
                <w:b/>
              </w:rPr>
            </w:pPr>
            <w:r w:rsidRPr="00A5732C">
              <w:rPr>
                <w:b/>
              </w:rPr>
              <w:t>27 MS</w:t>
            </w:r>
          </w:p>
        </w:tc>
        <w:tc>
          <w:tcPr>
            <w:tcW w:w="461" w:type="pct"/>
            <w:shd w:val="clear" w:color="auto" w:fill="auto"/>
          </w:tcPr>
          <w:p w:rsidR="00A37ABC" w:rsidRPr="00DC6342" w:rsidRDefault="00EF0F7C" w:rsidP="006C7CC7">
            <w:pPr>
              <w:pStyle w:val="TableText"/>
              <w:spacing w:after="0" w:line="240" w:lineRule="auto"/>
              <w:rPr>
                <w:rFonts w:cs="Arial"/>
                <w:szCs w:val="18"/>
              </w:rPr>
            </w:pPr>
            <w:r w:rsidRPr="00DC6342">
              <w:rPr>
                <w:rFonts w:cs="Arial"/>
                <w:szCs w:val="18"/>
              </w:rPr>
              <w:t>36,875</w:t>
            </w:r>
          </w:p>
        </w:tc>
        <w:tc>
          <w:tcPr>
            <w:tcW w:w="461" w:type="pct"/>
          </w:tcPr>
          <w:p w:rsidR="00A37ABC" w:rsidRPr="00007D34" w:rsidRDefault="00EF0F7C" w:rsidP="006C7CC7">
            <w:pPr>
              <w:pStyle w:val="TableText"/>
              <w:spacing w:after="0" w:line="240" w:lineRule="auto"/>
              <w:rPr>
                <w:lang w:val="es-ES"/>
              </w:rPr>
            </w:pPr>
            <w:r w:rsidRPr="00007D34">
              <w:rPr>
                <w:lang w:val="es-ES"/>
              </w:rPr>
              <w:t xml:space="preserve">51,490 </w:t>
            </w:r>
          </w:p>
          <w:p w:rsidR="00EF0F7C" w:rsidRPr="00007D34" w:rsidRDefault="00EF0F7C" w:rsidP="006C7CC7">
            <w:pPr>
              <w:pStyle w:val="TableText"/>
              <w:spacing w:line="240" w:lineRule="auto"/>
              <w:rPr>
                <w:lang w:val="es-ES"/>
              </w:rPr>
            </w:pPr>
            <w:r w:rsidRPr="00007D34">
              <w:rPr>
                <w:lang w:val="es-ES"/>
              </w:rPr>
              <w:t>(excl. DK, CY, HU)</w:t>
            </w:r>
          </w:p>
          <w:p w:rsidR="00EF0F7C" w:rsidRPr="00007D34" w:rsidRDefault="00EF0F7C" w:rsidP="006C7CC7">
            <w:pPr>
              <w:pStyle w:val="TableText"/>
              <w:spacing w:after="0" w:line="240" w:lineRule="auto"/>
              <w:rPr>
                <w:lang w:val="es-ES"/>
              </w:rPr>
            </w:pPr>
            <w:r w:rsidRPr="00007D34">
              <w:rPr>
                <w:lang w:val="es-ES"/>
              </w:rPr>
              <w:t>52,935</w:t>
            </w:r>
          </w:p>
          <w:p w:rsidR="00EF0F7C" w:rsidRPr="002E01CA" w:rsidRDefault="00EF0F7C" w:rsidP="006C7CC7">
            <w:pPr>
              <w:pStyle w:val="TableText"/>
              <w:spacing w:after="0" w:line="240" w:lineRule="auto"/>
              <w:rPr>
                <w:rFonts w:cs="Arial"/>
                <w:szCs w:val="18"/>
              </w:rPr>
            </w:pPr>
            <w:r w:rsidRPr="00007D34">
              <w:rPr>
                <w:lang w:val="es-ES"/>
              </w:rPr>
              <w:t xml:space="preserve">(incl. </w:t>
            </w:r>
            <w:r w:rsidRPr="002E01CA">
              <w:rPr>
                <w:rFonts w:cs="Arial"/>
                <w:szCs w:val="18"/>
              </w:rPr>
              <w:t>DK, CY, HU)</w:t>
            </w:r>
          </w:p>
        </w:tc>
        <w:tc>
          <w:tcPr>
            <w:tcW w:w="460" w:type="pct"/>
          </w:tcPr>
          <w:p w:rsidR="00A37ABC" w:rsidRPr="002E01CA" w:rsidRDefault="00EF0F7C" w:rsidP="006C7CC7">
            <w:pPr>
              <w:pStyle w:val="TableText"/>
              <w:spacing w:after="0" w:line="240" w:lineRule="auto"/>
              <w:rPr>
                <w:rFonts w:cs="Arial"/>
                <w:szCs w:val="18"/>
              </w:rPr>
            </w:pPr>
            <w:r w:rsidRPr="002E01CA">
              <w:rPr>
                <w:rFonts w:cs="Arial"/>
                <w:szCs w:val="18"/>
              </w:rPr>
              <w:t>+14,615</w:t>
            </w:r>
          </w:p>
          <w:p w:rsidR="00EF0F7C" w:rsidRPr="002E01CA" w:rsidRDefault="00EF0F7C" w:rsidP="006C7CC7">
            <w:pPr>
              <w:pStyle w:val="TableText"/>
              <w:spacing w:after="0" w:line="240" w:lineRule="auto"/>
              <w:rPr>
                <w:rFonts w:cs="Arial"/>
                <w:szCs w:val="18"/>
              </w:rPr>
            </w:pPr>
            <w:r w:rsidRPr="002E01CA">
              <w:rPr>
                <w:rFonts w:cs="Arial"/>
                <w:szCs w:val="18"/>
              </w:rPr>
              <w:t>(+40%)</w:t>
            </w:r>
          </w:p>
        </w:tc>
        <w:tc>
          <w:tcPr>
            <w:tcW w:w="729" w:type="pct"/>
          </w:tcPr>
          <w:p w:rsidR="00A37ABC" w:rsidRPr="002E01CA" w:rsidRDefault="00EF0F7C" w:rsidP="006C7CC7">
            <w:pPr>
              <w:pStyle w:val="TableText"/>
              <w:spacing w:after="0" w:line="240" w:lineRule="auto"/>
              <w:rPr>
                <w:rFonts w:cs="Arial"/>
                <w:szCs w:val="18"/>
              </w:rPr>
            </w:pPr>
            <w:r w:rsidRPr="002E01CA">
              <w:rPr>
                <w:rFonts w:cs="Arial"/>
                <w:szCs w:val="18"/>
              </w:rPr>
              <w:t>39.9</w:t>
            </w:r>
          </w:p>
        </w:tc>
        <w:tc>
          <w:tcPr>
            <w:tcW w:w="729" w:type="pct"/>
          </w:tcPr>
          <w:p w:rsidR="00A37ABC" w:rsidRPr="00007D34" w:rsidRDefault="00EF0F7C" w:rsidP="006C7CC7">
            <w:pPr>
              <w:pStyle w:val="TableText"/>
              <w:spacing w:after="0" w:line="240" w:lineRule="auto"/>
              <w:rPr>
                <w:lang w:val="es-ES"/>
              </w:rPr>
            </w:pPr>
            <w:r w:rsidRPr="00007D34">
              <w:rPr>
                <w:lang w:val="es-ES"/>
              </w:rPr>
              <w:t>56.1</w:t>
            </w:r>
          </w:p>
          <w:p w:rsidR="00EF0F7C" w:rsidRPr="00007D34" w:rsidRDefault="00EF0F7C" w:rsidP="006C7CC7">
            <w:pPr>
              <w:pStyle w:val="TableText"/>
              <w:spacing w:line="240" w:lineRule="auto"/>
              <w:rPr>
                <w:lang w:val="es-ES"/>
              </w:rPr>
            </w:pPr>
            <w:r w:rsidRPr="00007D34">
              <w:rPr>
                <w:lang w:val="es-ES"/>
              </w:rPr>
              <w:t>(excl. DK, CY, HU)</w:t>
            </w:r>
          </w:p>
          <w:p w:rsidR="00EF0F7C" w:rsidRPr="00007D34" w:rsidRDefault="00EF0F7C" w:rsidP="006C7CC7">
            <w:pPr>
              <w:pStyle w:val="TableText"/>
              <w:spacing w:after="0" w:line="240" w:lineRule="auto"/>
              <w:rPr>
                <w:lang w:val="es-ES"/>
              </w:rPr>
            </w:pPr>
            <w:r w:rsidRPr="00007D34">
              <w:rPr>
                <w:lang w:val="es-ES"/>
              </w:rPr>
              <w:t>55.7</w:t>
            </w:r>
          </w:p>
          <w:p w:rsidR="00EF0F7C" w:rsidRPr="002E01CA" w:rsidRDefault="00EF0F7C" w:rsidP="006C7CC7">
            <w:pPr>
              <w:pStyle w:val="TableText"/>
              <w:spacing w:after="0" w:line="240" w:lineRule="auto"/>
              <w:rPr>
                <w:rFonts w:cs="Arial"/>
                <w:szCs w:val="18"/>
              </w:rPr>
            </w:pPr>
            <w:r w:rsidRPr="00007D34">
              <w:rPr>
                <w:lang w:val="es-ES"/>
              </w:rPr>
              <w:t xml:space="preserve">(incl. </w:t>
            </w:r>
            <w:r w:rsidRPr="002E01CA">
              <w:rPr>
                <w:rFonts w:cs="Arial"/>
                <w:szCs w:val="18"/>
              </w:rPr>
              <w:t>DK, CY, HU)</w:t>
            </w:r>
          </w:p>
        </w:tc>
      </w:tr>
      <w:tr w:rsidR="002E01CA" w:rsidTr="00546996">
        <w:trPr>
          <w:cantSplit/>
        </w:trPr>
        <w:tc>
          <w:tcPr>
            <w:tcW w:w="765" w:type="pct"/>
          </w:tcPr>
          <w:p w:rsidR="00B01CF5" w:rsidRDefault="00B01CF5" w:rsidP="006C7CC7">
            <w:pPr>
              <w:pStyle w:val="TableText"/>
            </w:pPr>
            <w:r>
              <w:t>Applications for asylum by unaccompanied children</w:t>
            </w:r>
          </w:p>
        </w:tc>
        <w:tc>
          <w:tcPr>
            <w:tcW w:w="1394" w:type="pct"/>
          </w:tcPr>
          <w:p w:rsidR="00B01CF5" w:rsidRDefault="00B01CF5" w:rsidP="006C7CC7">
            <w:pPr>
              <w:pStyle w:val="TableText"/>
            </w:pPr>
            <w:r>
              <w:t>BE, BG, CZ, DK, DE, EE, IE, EL, ES, FR, IT, CY, LV, LT, LU, HU, MT, NL, AT, PL, PT, RO, SI, FI, SK, SE, UK</w:t>
            </w:r>
          </w:p>
          <w:p w:rsidR="00B01CF5" w:rsidRPr="00A5732C" w:rsidRDefault="00B01CF5" w:rsidP="006C7CC7">
            <w:pPr>
              <w:pStyle w:val="TableText"/>
              <w:rPr>
                <w:b/>
              </w:rPr>
            </w:pPr>
            <w:r w:rsidRPr="00A5732C">
              <w:rPr>
                <w:b/>
              </w:rPr>
              <w:t>27 MS</w:t>
            </w:r>
          </w:p>
        </w:tc>
        <w:tc>
          <w:tcPr>
            <w:tcW w:w="461" w:type="pct"/>
            <w:shd w:val="clear" w:color="auto" w:fill="auto"/>
          </w:tcPr>
          <w:p w:rsidR="00B01CF5" w:rsidRPr="00DC6342" w:rsidRDefault="00603D57" w:rsidP="006C7CC7">
            <w:pPr>
              <w:pStyle w:val="TableText"/>
              <w:spacing w:after="0" w:line="240" w:lineRule="auto"/>
              <w:rPr>
                <w:rFonts w:cs="Arial"/>
                <w:szCs w:val="18"/>
              </w:rPr>
            </w:pPr>
            <w:r w:rsidRPr="00DC6342">
              <w:rPr>
                <w:rFonts w:cs="Arial"/>
                <w:szCs w:val="18"/>
              </w:rPr>
              <w:t>11,710</w:t>
            </w:r>
          </w:p>
        </w:tc>
        <w:tc>
          <w:tcPr>
            <w:tcW w:w="461" w:type="pct"/>
          </w:tcPr>
          <w:p w:rsidR="00B01CF5" w:rsidRPr="002E01CA" w:rsidRDefault="00603D57" w:rsidP="006C7CC7">
            <w:pPr>
              <w:pStyle w:val="TableText"/>
              <w:spacing w:after="0" w:line="240" w:lineRule="auto"/>
              <w:rPr>
                <w:rFonts w:cs="Arial"/>
                <w:szCs w:val="18"/>
              </w:rPr>
            </w:pPr>
            <w:r w:rsidRPr="002E01CA">
              <w:rPr>
                <w:rFonts w:cs="Arial"/>
                <w:szCs w:val="18"/>
              </w:rPr>
              <w:t>10,840</w:t>
            </w:r>
          </w:p>
        </w:tc>
        <w:tc>
          <w:tcPr>
            <w:tcW w:w="460" w:type="pct"/>
          </w:tcPr>
          <w:p w:rsidR="00B01CF5" w:rsidRPr="002E01CA" w:rsidRDefault="00603D57" w:rsidP="006C7CC7">
            <w:pPr>
              <w:pStyle w:val="TableText"/>
              <w:spacing w:after="0" w:line="240" w:lineRule="auto"/>
              <w:rPr>
                <w:rFonts w:cs="Arial"/>
                <w:szCs w:val="18"/>
              </w:rPr>
            </w:pPr>
            <w:r w:rsidRPr="002E01CA">
              <w:rPr>
                <w:rFonts w:cs="Arial"/>
                <w:szCs w:val="18"/>
              </w:rPr>
              <w:t>-870</w:t>
            </w:r>
          </w:p>
          <w:p w:rsidR="00603D57" w:rsidRPr="002E01CA" w:rsidRDefault="00603D57" w:rsidP="006C7CC7">
            <w:pPr>
              <w:pStyle w:val="TableText"/>
              <w:spacing w:after="0" w:line="240" w:lineRule="auto"/>
              <w:rPr>
                <w:rFonts w:cs="Arial"/>
                <w:szCs w:val="18"/>
              </w:rPr>
            </w:pPr>
            <w:r w:rsidRPr="002E01CA">
              <w:rPr>
                <w:rFonts w:cs="Arial"/>
                <w:szCs w:val="18"/>
              </w:rPr>
              <w:t>(-7%)</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12.2</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11.4</w:t>
            </w:r>
          </w:p>
        </w:tc>
      </w:tr>
      <w:tr w:rsidR="002E01CA" w:rsidTr="00546996">
        <w:trPr>
          <w:cantSplit/>
        </w:trPr>
        <w:tc>
          <w:tcPr>
            <w:tcW w:w="765" w:type="pct"/>
          </w:tcPr>
          <w:p w:rsidR="00B01CF5" w:rsidRDefault="00B01CF5" w:rsidP="006C7CC7">
            <w:pPr>
              <w:pStyle w:val="TableText"/>
            </w:pPr>
            <w:r>
              <w:t>Child maintenance</w:t>
            </w:r>
          </w:p>
        </w:tc>
        <w:tc>
          <w:tcPr>
            <w:tcW w:w="1394" w:type="pct"/>
          </w:tcPr>
          <w:p w:rsidR="00B01CF5" w:rsidRPr="00007D34" w:rsidRDefault="00374D69" w:rsidP="006C7CC7">
            <w:pPr>
              <w:pStyle w:val="TableText"/>
              <w:rPr>
                <w:lang w:val="nb-NO"/>
              </w:rPr>
            </w:pPr>
            <w:r w:rsidRPr="00007D34">
              <w:rPr>
                <w:lang w:val="nb-NO"/>
              </w:rPr>
              <w:t>BG, CZ, DE (only 2010), HR, HU, MT, AT, PL, SI, SK</w:t>
            </w:r>
          </w:p>
          <w:p w:rsidR="00374D69" w:rsidRPr="00A5732C" w:rsidRDefault="00374D69" w:rsidP="006C7CC7">
            <w:pPr>
              <w:pStyle w:val="TableText"/>
              <w:rPr>
                <w:b/>
              </w:rPr>
            </w:pPr>
            <w:r w:rsidRPr="00A5732C">
              <w:rPr>
                <w:b/>
              </w:rPr>
              <w:t>10 MS</w:t>
            </w:r>
          </w:p>
        </w:tc>
        <w:tc>
          <w:tcPr>
            <w:tcW w:w="461" w:type="pct"/>
            <w:shd w:val="clear" w:color="auto" w:fill="auto"/>
          </w:tcPr>
          <w:p w:rsidR="00B01CF5" w:rsidRPr="00DC6342" w:rsidRDefault="00603D57" w:rsidP="006C7CC7">
            <w:pPr>
              <w:pStyle w:val="TableText"/>
              <w:spacing w:after="0" w:line="240" w:lineRule="auto"/>
              <w:rPr>
                <w:rFonts w:cs="Arial"/>
                <w:szCs w:val="18"/>
              </w:rPr>
            </w:pPr>
            <w:r w:rsidRPr="00DC6342">
              <w:rPr>
                <w:rFonts w:cs="Arial"/>
                <w:szCs w:val="18"/>
              </w:rPr>
              <w:t>263,139</w:t>
            </w:r>
          </w:p>
        </w:tc>
        <w:tc>
          <w:tcPr>
            <w:tcW w:w="461" w:type="pct"/>
          </w:tcPr>
          <w:p w:rsidR="00B01CF5" w:rsidRPr="00DC6342" w:rsidRDefault="00603D57" w:rsidP="006C7CC7">
            <w:pPr>
              <w:pStyle w:val="TableText"/>
              <w:spacing w:after="0" w:line="240" w:lineRule="auto"/>
              <w:rPr>
                <w:rFonts w:cs="Arial"/>
                <w:szCs w:val="18"/>
              </w:rPr>
            </w:pPr>
            <w:r w:rsidRPr="00DC6342">
              <w:rPr>
                <w:rFonts w:cs="Arial"/>
                <w:szCs w:val="18"/>
              </w:rPr>
              <w:t>270,083</w:t>
            </w:r>
          </w:p>
          <w:p w:rsidR="00603D57" w:rsidRPr="002E01CA" w:rsidRDefault="00603D57" w:rsidP="006C7CC7">
            <w:pPr>
              <w:pStyle w:val="TableText"/>
              <w:spacing w:line="240" w:lineRule="auto"/>
              <w:rPr>
                <w:rFonts w:cs="Arial"/>
                <w:szCs w:val="18"/>
              </w:rPr>
            </w:pPr>
            <w:r w:rsidRPr="00DC6342">
              <w:rPr>
                <w:rFonts w:cs="Arial"/>
                <w:szCs w:val="18"/>
              </w:rPr>
              <w:t>(excl. DE)</w:t>
            </w:r>
          </w:p>
          <w:p w:rsidR="00603D57" w:rsidRPr="002E01CA" w:rsidRDefault="00603D57" w:rsidP="006C7CC7">
            <w:pPr>
              <w:pStyle w:val="TableText"/>
              <w:spacing w:after="0" w:line="240" w:lineRule="auto"/>
              <w:rPr>
                <w:rFonts w:cs="Arial"/>
                <w:szCs w:val="18"/>
              </w:rPr>
            </w:pPr>
            <w:r w:rsidRPr="002E01CA">
              <w:rPr>
                <w:rFonts w:cs="Arial"/>
                <w:szCs w:val="18"/>
              </w:rPr>
              <w:t>358,523</w:t>
            </w:r>
          </w:p>
          <w:p w:rsidR="00603D57" w:rsidRPr="002E01CA" w:rsidRDefault="00603D57" w:rsidP="006C7CC7">
            <w:pPr>
              <w:pStyle w:val="TableText"/>
              <w:spacing w:after="0" w:line="240" w:lineRule="auto"/>
              <w:rPr>
                <w:rFonts w:cs="Arial"/>
                <w:szCs w:val="18"/>
              </w:rPr>
            </w:pPr>
            <w:r w:rsidRPr="002E01CA">
              <w:rPr>
                <w:rFonts w:cs="Arial"/>
                <w:szCs w:val="18"/>
              </w:rPr>
              <w:t>(incl. DE)</w:t>
            </w:r>
          </w:p>
        </w:tc>
        <w:tc>
          <w:tcPr>
            <w:tcW w:w="460" w:type="pct"/>
          </w:tcPr>
          <w:p w:rsidR="00B01CF5" w:rsidRPr="002E01CA" w:rsidRDefault="00603D57" w:rsidP="006C7CC7">
            <w:pPr>
              <w:pStyle w:val="TableText"/>
              <w:spacing w:after="0" w:line="240" w:lineRule="auto"/>
              <w:rPr>
                <w:rFonts w:cs="Arial"/>
                <w:szCs w:val="18"/>
              </w:rPr>
            </w:pPr>
            <w:r w:rsidRPr="002E01CA">
              <w:rPr>
                <w:rFonts w:cs="Arial"/>
                <w:szCs w:val="18"/>
              </w:rPr>
              <w:t>+6,944</w:t>
            </w:r>
          </w:p>
          <w:p w:rsidR="00603D57" w:rsidRPr="002E01CA" w:rsidRDefault="00603D57" w:rsidP="006C7CC7">
            <w:pPr>
              <w:pStyle w:val="TableText"/>
              <w:spacing w:after="0" w:line="240" w:lineRule="auto"/>
              <w:rPr>
                <w:rFonts w:cs="Arial"/>
                <w:szCs w:val="18"/>
              </w:rPr>
            </w:pPr>
            <w:r w:rsidRPr="002E01CA">
              <w:rPr>
                <w:rFonts w:cs="Arial"/>
                <w:szCs w:val="18"/>
              </w:rPr>
              <w:t>(+3%)</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1,600</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1,690</w:t>
            </w:r>
          </w:p>
          <w:p w:rsidR="00603D57" w:rsidRPr="002E01CA" w:rsidRDefault="00603D57" w:rsidP="006C7CC7">
            <w:pPr>
              <w:pStyle w:val="TableText"/>
              <w:spacing w:line="240" w:lineRule="auto"/>
              <w:rPr>
                <w:rFonts w:cs="Arial"/>
                <w:szCs w:val="18"/>
              </w:rPr>
            </w:pPr>
            <w:r w:rsidRPr="002E01CA">
              <w:rPr>
                <w:rFonts w:cs="Arial"/>
                <w:szCs w:val="18"/>
              </w:rPr>
              <w:t>(excl. DE)</w:t>
            </w:r>
          </w:p>
          <w:p w:rsidR="00603D57" w:rsidRPr="002E01CA" w:rsidRDefault="00603D57" w:rsidP="006C7CC7">
            <w:pPr>
              <w:pStyle w:val="TableText"/>
              <w:spacing w:after="0" w:line="240" w:lineRule="auto"/>
              <w:rPr>
                <w:rFonts w:cs="Arial"/>
                <w:szCs w:val="18"/>
              </w:rPr>
            </w:pPr>
            <w:r w:rsidRPr="002E01CA">
              <w:rPr>
                <w:rFonts w:cs="Arial"/>
                <w:szCs w:val="18"/>
              </w:rPr>
              <w:t>1,220</w:t>
            </w:r>
          </w:p>
          <w:p w:rsidR="00603D57" w:rsidRPr="002E01CA" w:rsidRDefault="00603D57" w:rsidP="006C7CC7">
            <w:pPr>
              <w:pStyle w:val="TableText"/>
              <w:spacing w:after="0" w:line="240" w:lineRule="auto"/>
              <w:rPr>
                <w:rFonts w:cs="Arial"/>
                <w:szCs w:val="18"/>
              </w:rPr>
            </w:pPr>
            <w:r w:rsidRPr="002E01CA">
              <w:rPr>
                <w:rFonts w:cs="Arial"/>
                <w:szCs w:val="18"/>
              </w:rPr>
              <w:t>(incl. DE)</w:t>
            </w:r>
          </w:p>
        </w:tc>
      </w:tr>
      <w:tr w:rsidR="002E01CA" w:rsidTr="00546996">
        <w:trPr>
          <w:cantSplit/>
        </w:trPr>
        <w:tc>
          <w:tcPr>
            <w:tcW w:w="765" w:type="pct"/>
          </w:tcPr>
          <w:p w:rsidR="00B01CF5" w:rsidRDefault="00B01CF5" w:rsidP="006C7CC7">
            <w:pPr>
              <w:pStyle w:val="TableText"/>
            </w:pPr>
            <w:r>
              <w:t>Sanctions for anti-social behaviour</w:t>
            </w:r>
          </w:p>
        </w:tc>
        <w:tc>
          <w:tcPr>
            <w:tcW w:w="1394" w:type="pct"/>
          </w:tcPr>
          <w:p w:rsidR="00B01CF5" w:rsidRPr="00007D34" w:rsidRDefault="00374D69" w:rsidP="006C7CC7">
            <w:pPr>
              <w:pStyle w:val="TableText"/>
              <w:rPr>
                <w:lang w:val="fr-BE"/>
              </w:rPr>
            </w:pPr>
            <w:r w:rsidRPr="00007D34">
              <w:rPr>
                <w:lang w:val="fr-BE"/>
              </w:rPr>
              <w:t>BG, HR, LV, LT, PL, SI, SK</w:t>
            </w:r>
          </w:p>
          <w:p w:rsidR="00374D69" w:rsidRPr="00A5732C" w:rsidRDefault="00374D69" w:rsidP="006C7CC7">
            <w:pPr>
              <w:pStyle w:val="TableText"/>
              <w:rPr>
                <w:b/>
              </w:rPr>
            </w:pPr>
            <w:r w:rsidRPr="00A5732C">
              <w:rPr>
                <w:b/>
              </w:rPr>
              <w:lastRenderedPageBreak/>
              <w:t>7 MS</w:t>
            </w:r>
          </w:p>
        </w:tc>
        <w:tc>
          <w:tcPr>
            <w:tcW w:w="461" w:type="pct"/>
            <w:shd w:val="clear" w:color="auto" w:fill="auto"/>
          </w:tcPr>
          <w:p w:rsidR="00B01CF5" w:rsidRPr="00DC6342" w:rsidRDefault="00603D57" w:rsidP="006C7CC7">
            <w:pPr>
              <w:pStyle w:val="TableText"/>
              <w:spacing w:after="0" w:line="240" w:lineRule="auto"/>
              <w:rPr>
                <w:rFonts w:cs="Arial"/>
                <w:szCs w:val="18"/>
              </w:rPr>
            </w:pPr>
            <w:r w:rsidRPr="00DC6342">
              <w:rPr>
                <w:rFonts w:cs="Arial"/>
                <w:szCs w:val="18"/>
              </w:rPr>
              <w:lastRenderedPageBreak/>
              <w:t>26,462</w:t>
            </w:r>
          </w:p>
        </w:tc>
        <w:tc>
          <w:tcPr>
            <w:tcW w:w="461" w:type="pct"/>
          </w:tcPr>
          <w:p w:rsidR="00B01CF5" w:rsidRPr="002E01CA" w:rsidRDefault="00603D57" w:rsidP="006C7CC7">
            <w:pPr>
              <w:pStyle w:val="TableText"/>
              <w:spacing w:after="0" w:line="240" w:lineRule="auto"/>
              <w:rPr>
                <w:rFonts w:cs="Arial"/>
                <w:szCs w:val="18"/>
              </w:rPr>
            </w:pPr>
            <w:r w:rsidRPr="002E01CA">
              <w:rPr>
                <w:rFonts w:cs="Arial"/>
                <w:szCs w:val="18"/>
              </w:rPr>
              <w:t>24,161</w:t>
            </w:r>
          </w:p>
        </w:tc>
        <w:tc>
          <w:tcPr>
            <w:tcW w:w="460" w:type="pct"/>
          </w:tcPr>
          <w:p w:rsidR="00B01CF5" w:rsidRPr="002E01CA" w:rsidRDefault="00603D57" w:rsidP="006C7CC7">
            <w:pPr>
              <w:pStyle w:val="TableText"/>
              <w:spacing w:after="0" w:line="240" w:lineRule="auto"/>
              <w:rPr>
                <w:rFonts w:cs="Arial"/>
                <w:szCs w:val="18"/>
              </w:rPr>
            </w:pPr>
            <w:r w:rsidRPr="002E01CA">
              <w:rPr>
                <w:rFonts w:cs="Arial"/>
                <w:szCs w:val="18"/>
              </w:rPr>
              <w:t>-2,301</w:t>
            </w:r>
          </w:p>
          <w:p w:rsidR="00603D57" w:rsidRPr="002E01CA" w:rsidRDefault="00603D57" w:rsidP="006C7CC7">
            <w:pPr>
              <w:pStyle w:val="TableText"/>
              <w:spacing w:after="0" w:line="240" w:lineRule="auto"/>
              <w:rPr>
                <w:rFonts w:cs="Arial"/>
                <w:szCs w:val="18"/>
              </w:rPr>
            </w:pPr>
            <w:r w:rsidRPr="002E01CA">
              <w:rPr>
                <w:rFonts w:cs="Arial"/>
                <w:szCs w:val="18"/>
              </w:rPr>
              <w:t>(-9%)</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218</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206</w:t>
            </w:r>
          </w:p>
        </w:tc>
      </w:tr>
      <w:tr w:rsidR="002E01CA" w:rsidTr="00546996">
        <w:trPr>
          <w:cantSplit/>
        </w:trPr>
        <w:tc>
          <w:tcPr>
            <w:tcW w:w="765" w:type="pct"/>
          </w:tcPr>
          <w:p w:rsidR="00B01CF5" w:rsidRDefault="00B01CF5" w:rsidP="006C7CC7">
            <w:pPr>
              <w:pStyle w:val="TableText"/>
            </w:pPr>
            <w:r>
              <w:lastRenderedPageBreak/>
              <w:t>Sanctions for road traffic offences</w:t>
            </w:r>
          </w:p>
        </w:tc>
        <w:tc>
          <w:tcPr>
            <w:tcW w:w="1394" w:type="pct"/>
          </w:tcPr>
          <w:p w:rsidR="00B01CF5" w:rsidRPr="00B24D06" w:rsidRDefault="00374D69" w:rsidP="006C7CC7">
            <w:pPr>
              <w:pStyle w:val="TableText"/>
              <w:rPr>
                <w:lang w:val="es-ES"/>
              </w:rPr>
            </w:pPr>
            <w:r w:rsidRPr="00B24D06">
              <w:rPr>
                <w:lang w:val="es-ES"/>
              </w:rPr>
              <w:t>BE, DE, HR, LT, RO, SI</w:t>
            </w:r>
          </w:p>
          <w:p w:rsidR="00374D69" w:rsidRPr="00A5732C" w:rsidRDefault="00374D69" w:rsidP="006C7CC7">
            <w:pPr>
              <w:pStyle w:val="TableText"/>
              <w:rPr>
                <w:b/>
              </w:rPr>
            </w:pPr>
            <w:r w:rsidRPr="00A5732C">
              <w:rPr>
                <w:b/>
              </w:rPr>
              <w:t>6 MS</w:t>
            </w:r>
          </w:p>
        </w:tc>
        <w:tc>
          <w:tcPr>
            <w:tcW w:w="461" w:type="pct"/>
            <w:shd w:val="clear" w:color="auto" w:fill="auto"/>
          </w:tcPr>
          <w:p w:rsidR="00B01CF5" w:rsidRPr="00DC6342" w:rsidRDefault="00603D57" w:rsidP="006C7CC7">
            <w:pPr>
              <w:pStyle w:val="TableText"/>
              <w:spacing w:after="0" w:line="240" w:lineRule="auto"/>
              <w:rPr>
                <w:rFonts w:cs="Arial"/>
                <w:szCs w:val="18"/>
              </w:rPr>
            </w:pPr>
            <w:r w:rsidRPr="00DC6342">
              <w:rPr>
                <w:rFonts w:cs="Arial"/>
                <w:szCs w:val="18"/>
              </w:rPr>
              <w:t>11,437</w:t>
            </w:r>
          </w:p>
        </w:tc>
        <w:tc>
          <w:tcPr>
            <w:tcW w:w="461" w:type="pct"/>
          </w:tcPr>
          <w:p w:rsidR="00B01CF5" w:rsidRPr="002E01CA" w:rsidRDefault="00603D57" w:rsidP="006C7CC7">
            <w:pPr>
              <w:pStyle w:val="TableText"/>
              <w:spacing w:after="0" w:line="240" w:lineRule="auto"/>
              <w:rPr>
                <w:rFonts w:cs="Arial"/>
                <w:szCs w:val="18"/>
              </w:rPr>
            </w:pPr>
            <w:r w:rsidRPr="002E01CA">
              <w:rPr>
                <w:rFonts w:cs="Arial"/>
                <w:szCs w:val="18"/>
              </w:rPr>
              <w:t>10,073</w:t>
            </w:r>
          </w:p>
        </w:tc>
        <w:tc>
          <w:tcPr>
            <w:tcW w:w="460" w:type="pct"/>
          </w:tcPr>
          <w:p w:rsidR="00B01CF5" w:rsidRPr="002E01CA" w:rsidRDefault="00603D57" w:rsidP="006C7CC7">
            <w:pPr>
              <w:pStyle w:val="TableText"/>
              <w:spacing w:after="0" w:line="240" w:lineRule="auto"/>
              <w:rPr>
                <w:rFonts w:cs="Arial"/>
                <w:szCs w:val="18"/>
              </w:rPr>
            </w:pPr>
            <w:r w:rsidRPr="002E01CA">
              <w:rPr>
                <w:rFonts w:cs="Arial"/>
                <w:szCs w:val="18"/>
              </w:rPr>
              <w:t>-1,364</w:t>
            </w:r>
          </w:p>
          <w:p w:rsidR="00603D57" w:rsidRPr="002E01CA" w:rsidRDefault="00603D57" w:rsidP="006C7CC7">
            <w:pPr>
              <w:pStyle w:val="TableText"/>
              <w:spacing w:after="0" w:line="240" w:lineRule="auto"/>
              <w:rPr>
                <w:rFonts w:cs="Arial"/>
                <w:szCs w:val="18"/>
              </w:rPr>
            </w:pPr>
            <w:r w:rsidRPr="002E01CA">
              <w:rPr>
                <w:rFonts w:cs="Arial"/>
                <w:szCs w:val="18"/>
              </w:rPr>
              <w:t>(-12%)</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51.7</w:t>
            </w:r>
          </w:p>
        </w:tc>
        <w:tc>
          <w:tcPr>
            <w:tcW w:w="729" w:type="pct"/>
          </w:tcPr>
          <w:p w:rsidR="00B01CF5" w:rsidRPr="002E01CA" w:rsidRDefault="00603D57" w:rsidP="006C7CC7">
            <w:pPr>
              <w:pStyle w:val="TableText"/>
              <w:spacing w:after="0" w:line="240" w:lineRule="auto"/>
              <w:rPr>
                <w:rFonts w:cs="Arial"/>
                <w:szCs w:val="18"/>
              </w:rPr>
            </w:pPr>
            <w:r w:rsidRPr="002E01CA">
              <w:rPr>
                <w:rFonts w:cs="Arial"/>
                <w:szCs w:val="18"/>
              </w:rPr>
              <w:t>46.9</w:t>
            </w:r>
          </w:p>
        </w:tc>
      </w:tr>
      <w:tr w:rsidR="00527E74" w:rsidTr="00546996">
        <w:trPr>
          <w:cantSplit/>
        </w:trPr>
        <w:tc>
          <w:tcPr>
            <w:tcW w:w="765" w:type="pct"/>
          </w:tcPr>
          <w:p w:rsidR="00527E74" w:rsidRDefault="00527E74" w:rsidP="006C7CC7">
            <w:pPr>
              <w:pStyle w:val="TableText"/>
            </w:pPr>
            <w:r>
              <w:t xml:space="preserve">Institutional care placements </w:t>
            </w:r>
          </w:p>
        </w:tc>
        <w:tc>
          <w:tcPr>
            <w:tcW w:w="1394" w:type="pct"/>
          </w:tcPr>
          <w:p w:rsidR="00527E74" w:rsidRDefault="00527E74" w:rsidP="006C7CC7">
            <w:pPr>
              <w:pStyle w:val="TableText"/>
            </w:pPr>
            <w:r>
              <w:t>BG, CZ, FR</w:t>
            </w:r>
            <w:r w:rsidRPr="00527E74">
              <w:rPr>
                <w:rStyle w:val="FootnoteReference"/>
              </w:rPr>
              <w:footnoteReference w:id="16"/>
            </w:r>
            <w:r w:rsidRPr="00527E74">
              <w:t>,</w:t>
            </w:r>
            <w:r>
              <w:t xml:space="preserve"> MT, PL, PT, SK</w:t>
            </w:r>
          </w:p>
          <w:p w:rsidR="00527E74" w:rsidRPr="00A5732C" w:rsidRDefault="00527E74" w:rsidP="006C7CC7">
            <w:pPr>
              <w:pStyle w:val="TableText"/>
              <w:rPr>
                <w:b/>
              </w:rPr>
            </w:pPr>
            <w:r w:rsidRPr="00A5732C">
              <w:rPr>
                <w:b/>
              </w:rPr>
              <w:t>7 MS</w:t>
            </w:r>
          </w:p>
        </w:tc>
        <w:tc>
          <w:tcPr>
            <w:tcW w:w="461" w:type="pct"/>
            <w:shd w:val="clear" w:color="auto" w:fill="auto"/>
          </w:tcPr>
          <w:p w:rsidR="00527E74" w:rsidRPr="00527E74" w:rsidRDefault="00527E74" w:rsidP="006C7CC7">
            <w:pPr>
              <w:pStyle w:val="TableText"/>
              <w:spacing w:after="0" w:line="240" w:lineRule="auto"/>
              <w:rPr>
                <w:rFonts w:cs="Arial"/>
                <w:szCs w:val="18"/>
              </w:rPr>
            </w:pPr>
            <w:r w:rsidRPr="00527E74">
              <w:rPr>
                <w:rFonts w:cs="Arial"/>
                <w:szCs w:val="18"/>
              </w:rPr>
              <w:t>14,759</w:t>
            </w:r>
          </w:p>
        </w:tc>
        <w:tc>
          <w:tcPr>
            <w:tcW w:w="461" w:type="pct"/>
          </w:tcPr>
          <w:p w:rsidR="00527E74" w:rsidRPr="00527E74" w:rsidRDefault="00527E74" w:rsidP="006C7CC7">
            <w:pPr>
              <w:pStyle w:val="TableText"/>
              <w:spacing w:after="0" w:line="240" w:lineRule="auto"/>
              <w:rPr>
                <w:rFonts w:cs="Arial"/>
                <w:szCs w:val="18"/>
              </w:rPr>
            </w:pPr>
            <w:r w:rsidRPr="00527E74">
              <w:rPr>
                <w:rFonts w:cs="Arial"/>
                <w:szCs w:val="18"/>
              </w:rPr>
              <w:t>14,329</w:t>
            </w:r>
          </w:p>
        </w:tc>
        <w:tc>
          <w:tcPr>
            <w:tcW w:w="460" w:type="pct"/>
          </w:tcPr>
          <w:p w:rsidR="00527E74" w:rsidRPr="00527E74" w:rsidRDefault="00527E74" w:rsidP="006C7CC7">
            <w:pPr>
              <w:pStyle w:val="TableText"/>
              <w:spacing w:after="0" w:line="240" w:lineRule="auto"/>
              <w:rPr>
                <w:rFonts w:cs="Arial"/>
                <w:szCs w:val="18"/>
              </w:rPr>
            </w:pPr>
            <w:r w:rsidRPr="00527E74">
              <w:rPr>
                <w:rFonts w:cs="Arial"/>
                <w:szCs w:val="18"/>
              </w:rPr>
              <w:t>-430</w:t>
            </w:r>
          </w:p>
          <w:p w:rsidR="00527E74" w:rsidRPr="00527E74" w:rsidRDefault="00527E74" w:rsidP="006C7CC7">
            <w:pPr>
              <w:pStyle w:val="TableText"/>
              <w:spacing w:after="0" w:line="240" w:lineRule="auto"/>
              <w:rPr>
                <w:rFonts w:cs="Arial"/>
                <w:szCs w:val="18"/>
              </w:rPr>
            </w:pPr>
            <w:r w:rsidRPr="00527E74">
              <w:rPr>
                <w:rFonts w:cs="Arial"/>
                <w:szCs w:val="18"/>
              </w:rPr>
              <w:t>(-3%)</w:t>
            </w:r>
          </w:p>
        </w:tc>
        <w:tc>
          <w:tcPr>
            <w:tcW w:w="729" w:type="pct"/>
          </w:tcPr>
          <w:p w:rsidR="00527E74" w:rsidRPr="00527E74" w:rsidRDefault="00527E74" w:rsidP="006C7CC7">
            <w:pPr>
              <w:pStyle w:val="TableText"/>
              <w:spacing w:after="0" w:line="240" w:lineRule="auto"/>
              <w:rPr>
                <w:rFonts w:cs="Arial"/>
                <w:szCs w:val="18"/>
              </w:rPr>
            </w:pPr>
            <w:r w:rsidRPr="00527E74">
              <w:rPr>
                <w:rFonts w:cs="Arial"/>
                <w:szCs w:val="18"/>
              </w:rPr>
              <w:t>107</w:t>
            </w:r>
          </w:p>
        </w:tc>
        <w:tc>
          <w:tcPr>
            <w:tcW w:w="729" w:type="pct"/>
          </w:tcPr>
          <w:p w:rsidR="00527E74" w:rsidRPr="00527E74" w:rsidRDefault="00527E74" w:rsidP="006C7CC7">
            <w:pPr>
              <w:pStyle w:val="TableText"/>
              <w:spacing w:after="0" w:line="240" w:lineRule="auto"/>
              <w:rPr>
                <w:rFonts w:cs="Arial"/>
                <w:szCs w:val="18"/>
              </w:rPr>
            </w:pPr>
            <w:r w:rsidRPr="00527E74">
              <w:rPr>
                <w:rFonts w:cs="Arial"/>
                <w:szCs w:val="18"/>
              </w:rPr>
              <w:t>107</w:t>
            </w:r>
          </w:p>
        </w:tc>
      </w:tr>
      <w:tr w:rsidR="002E01CA" w:rsidTr="00546996">
        <w:trPr>
          <w:cantSplit/>
        </w:trPr>
        <w:tc>
          <w:tcPr>
            <w:tcW w:w="765" w:type="pct"/>
          </w:tcPr>
          <w:p w:rsidR="00B01CF5" w:rsidRDefault="00B01CF5" w:rsidP="006C7CC7">
            <w:pPr>
              <w:pStyle w:val="TableText"/>
            </w:pPr>
            <w:r>
              <w:t>Foster care placements</w:t>
            </w:r>
          </w:p>
        </w:tc>
        <w:tc>
          <w:tcPr>
            <w:tcW w:w="1394" w:type="pct"/>
          </w:tcPr>
          <w:p w:rsidR="00B01CF5" w:rsidRDefault="005234C5" w:rsidP="006C7CC7">
            <w:pPr>
              <w:pStyle w:val="TableText"/>
            </w:pPr>
            <w:r>
              <w:t>BE, BG, CZ, FR, LV, PL, PT (only 2010), SK</w:t>
            </w:r>
          </w:p>
          <w:p w:rsidR="00B24D06" w:rsidRPr="00A5732C" w:rsidRDefault="00B24D06" w:rsidP="006C7CC7">
            <w:pPr>
              <w:pStyle w:val="TableText"/>
              <w:rPr>
                <w:b/>
              </w:rPr>
            </w:pPr>
            <w:r>
              <w:rPr>
                <w:b/>
              </w:rPr>
              <w:t>7 MS</w:t>
            </w:r>
          </w:p>
        </w:tc>
        <w:tc>
          <w:tcPr>
            <w:tcW w:w="461" w:type="pct"/>
            <w:shd w:val="clear" w:color="auto" w:fill="auto"/>
          </w:tcPr>
          <w:p w:rsidR="00B01CF5" w:rsidRPr="00DC6342" w:rsidRDefault="00603D57" w:rsidP="006C7CC7">
            <w:pPr>
              <w:pStyle w:val="TableText"/>
              <w:spacing w:after="0" w:line="240" w:lineRule="auto"/>
              <w:rPr>
                <w:rFonts w:cs="Arial"/>
                <w:szCs w:val="18"/>
              </w:rPr>
            </w:pPr>
            <w:r w:rsidRPr="00DC6342">
              <w:rPr>
                <w:rFonts w:cs="Arial"/>
                <w:szCs w:val="18"/>
              </w:rPr>
              <w:t>15,587</w:t>
            </w:r>
          </w:p>
        </w:tc>
        <w:tc>
          <w:tcPr>
            <w:tcW w:w="461" w:type="pct"/>
          </w:tcPr>
          <w:p w:rsidR="00B01CF5" w:rsidRPr="00527E74" w:rsidRDefault="00603D57" w:rsidP="006C7CC7">
            <w:pPr>
              <w:pStyle w:val="TableText"/>
              <w:spacing w:after="0" w:line="240" w:lineRule="auto"/>
              <w:rPr>
                <w:rFonts w:cs="Arial"/>
                <w:szCs w:val="18"/>
              </w:rPr>
            </w:pPr>
            <w:r w:rsidRPr="00527E74">
              <w:rPr>
                <w:rFonts w:cs="Arial"/>
                <w:szCs w:val="18"/>
              </w:rPr>
              <w:t>15,153</w:t>
            </w:r>
          </w:p>
          <w:p w:rsidR="00603D57" w:rsidRPr="00527E74" w:rsidRDefault="00603D57" w:rsidP="006C7CC7">
            <w:pPr>
              <w:pStyle w:val="TableText"/>
              <w:spacing w:line="240" w:lineRule="auto"/>
              <w:rPr>
                <w:rFonts w:cs="Arial"/>
                <w:szCs w:val="18"/>
              </w:rPr>
            </w:pPr>
            <w:r w:rsidRPr="00527E74">
              <w:rPr>
                <w:rFonts w:cs="Arial"/>
                <w:szCs w:val="18"/>
              </w:rPr>
              <w:t>(excl. PT)</w:t>
            </w:r>
          </w:p>
          <w:p w:rsidR="00603D57" w:rsidRPr="00527E74" w:rsidRDefault="00603D57" w:rsidP="006C7CC7">
            <w:pPr>
              <w:pStyle w:val="TableText"/>
              <w:spacing w:after="0" w:line="240" w:lineRule="auto"/>
              <w:rPr>
                <w:rFonts w:cs="Arial"/>
                <w:szCs w:val="18"/>
              </w:rPr>
            </w:pPr>
            <w:r w:rsidRPr="00527E74">
              <w:rPr>
                <w:rFonts w:cs="Arial"/>
                <w:szCs w:val="18"/>
              </w:rPr>
              <w:t>15,596</w:t>
            </w:r>
          </w:p>
          <w:p w:rsidR="00603D57" w:rsidRPr="00527E74" w:rsidRDefault="00603D57" w:rsidP="006C7CC7">
            <w:pPr>
              <w:pStyle w:val="TableText"/>
              <w:spacing w:after="0" w:line="240" w:lineRule="auto"/>
              <w:rPr>
                <w:rFonts w:cs="Arial"/>
                <w:szCs w:val="18"/>
              </w:rPr>
            </w:pPr>
            <w:r w:rsidRPr="00527E74">
              <w:rPr>
                <w:rFonts w:cs="Arial"/>
                <w:szCs w:val="18"/>
              </w:rPr>
              <w:t>(incl. PT)</w:t>
            </w:r>
          </w:p>
        </w:tc>
        <w:tc>
          <w:tcPr>
            <w:tcW w:w="460" w:type="pct"/>
          </w:tcPr>
          <w:p w:rsidR="00B01CF5" w:rsidRPr="002E01CA" w:rsidRDefault="00603D57" w:rsidP="006C7CC7">
            <w:pPr>
              <w:pStyle w:val="TableText"/>
              <w:spacing w:after="0" w:line="240" w:lineRule="auto"/>
              <w:rPr>
                <w:rFonts w:cs="Arial"/>
                <w:szCs w:val="18"/>
              </w:rPr>
            </w:pPr>
            <w:r w:rsidRPr="002E01CA">
              <w:rPr>
                <w:rFonts w:cs="Arial"/>
                <w:szCs w:val="18"/>
              </w:rPr>
              <w:t>-434</w:t>
            </w:r>
          </w:p>
          <w:p w:rsidR="00603D57" w:rsidRPr="002E01CA" w:rsidRDefault="00603D57" w:rsidP="006C7CC7">
            <w:pPr>
              <w:pStyle w:val="TableText"/>
              <w:spacing w:after="0" w:line="240" w:lineRule="auto"/>
              <w:rPr>
                <w:rFonts w:cs="Arial"/>
                <w:szCs w:val="18"/>
              </w:rPr>
            </w:pPr>
            <w:r w:rsidRPr="002E01CA">
              <w:rPr>
                <w:rFonts w:cs="Arial"/>
                <w:szCs w:val="18"/>
              </w:rPr>
              <w:t>(-3%)</w:t>
            </w:r>
          </w:p>
        </w:tc>
        <w:tc>
          <w:tcPr>
            <w:tcW w:w="729" w:type="pct"/>
          </w:tcPr>
          <w:p w:rsidR="00B01CF5" w:rsidRPr="002E01CA" w:rsidRDefault="00693738" w:rsidP="006C7CC7">
            <w:pPr>
              <w:pStyle w:val="TableText"/>
              <w:spacing w:after="0" w:line="240" w:lineRule="auto"/>
              <w:rPr>
                <w:rFonts w:cs="Arial"/>
                <w:szCs w:val="18"/>
              </w:rPr>
            </w:pPr>
            <w:r w:rsidRPr="002E01CA">
              <w:rPr>
                <w:rFonts w:cs="Arial"/>
                <w:szCs w:val="18"/>
              </w:rPr>
              <w:t>54.5</w:t>
            </w:r>
          </w:p>
        </w:tc>
        <w:tc>
          <w:tcPr>
            <w:tcW w:w="729" w:type="pct"/>
          </w:tcPr>
          <w:p w:rsidR="00B01CF5" w:rsidRPr="002E01CA" w:rsidRDefault="00693738" w:rsidP="006C7CC7">
            <w:pPr>
              <w:pStyle w:val="TableText"/>
              <w:spacing w:after="0" w:line="240" w:lineRule="auto"/>
              <w:rPr>
                <w:rFonts w:cs="Arial"/>
                <w:szCs w:val="18"/>
              </w:rPr>
            </w:pPr>
            <w:r w:rsidRPr="002E01CA">
              <w:rPr>
                <w:rFonts w:cs="Arial"/>
                <w:szCs w:val="18"/>
              </w:rPr>
              <w:t>53.4</w:t>
            </w:r>
          </w:p>
          <w:p w:rsidR="00693738" w:rsidRPr="002E01CA" w:rsidRDefault="00693738" w:rsidP="006C7CC7">
            <w:pPr>
              <w:pStyle w:val="TableText"/>
              <w:spacing w:line="240" w:lineRule="auto"/>
              <w:rPr>
                <w:rFonts w:cs="Arial"/>
                <w:szCs w:val="18"/>
              </w:rPr>
            </w:pPr>
            <w:r w:rsidRPr="002E01CA">
              <w:rPr>
                <w:rFonts w:cs="Arial"/>
                <w:szCs w:val="18"/>
              </w:rPr>
              <w:t>(excl. PT)</w:t>
            </w:r>
          </w:p>
          <w:p w:rsidR="00693738" w:rsidRPr="002E01CA" w:rsidRDefault="00693738" w:rsidP="006C7CC7">
            <w:pPr>
              <w:pStyle w:val="TableText"/>
              <w:spacing w:after="0" w:line="240" w:lineRule="auto"/>
              <w:rPr>
                <w:rFonts w:cs="Arial"/>
                <w:szCs w:val="18"/>
              </w:rPr>
            </w:pPr>
            <w:r w:rsidRPr="002E01CA">
              <w:rPr>
                <w:rFonts w:cs="Arial"/>
                <w:szCs w:val="18"/>
              </w:rPr>
              <w:t>51.5</w:t>
            </w:r>
          </w:p>
          <w:p w:rsidR="00693738" w:rsidRPr="00491726" w:rsidRDefault="00693738" w:rsidP="006C7CC7">
            <w:pPr>
              <w:pStyle w:val="TableText"/>
              <w:spacing w:after="0" w:line="240" w:lineRule="auto"/>
              <w:rPr>
                <w:rFonts w:cs="Arial"/>
                <w:szCs w:val="18"/>
              </w:rPr>
            </w:pPr>
            <w:r w:rsidRPr="00491726">
              <w:rPr>
                <w:rFonts w:cs="Arial"/>
                <w:szCs w:val="18"/>
              </w:rPr>
              <w:t>(incl. PT)</w:t>
            </w:r>
          </w:p>
        </w:tc>
      </w:tr>
    </w:tbl>
    <w:p w:rsidR="00B2414F" w:rsidRDefault="00B2414F" w:rsidP="00B2414F">
      <w:pPr>
        <w:pStyle w:val="BodyText"/>
      </w:pPr>
    </w:p>
    <w:p w:rsidR="00B2414F" w:rsidRPr="00320DB7" w:rsidRDefault="00B2414F" w:rsidP="00B2414F"/>
    <w:p w:rsidR="001A55B6" w:rsidRDefault="001A55B6" w:rsidP="00A37ABC">
      <w:pPr>
        <w:pStyle w:val="BodyText"/>
        <w:ind w:left="0"/>
        <w:rPr>
          <w:rFonts w:cs="Arial"/>
          <w:sz w:val="22"/>
          <w:szCs w:val="22"/>
        </w:rPr>
      </w:pPr>
    </w:p>
    <w:p w:rsidR="001A55B6" w:rsidRPr="001A55B6" w:rsidRDefault="001A55B6" w:rsidP="001A55B6"/>
    <w:p w:rsidR="001A55B6" w:rsidRDefault="001A55B6" w:rsidP="001A55B6">
      <w:pPr>
        <w:tabs>
          <w:tab w:val="left" w:pos="1350"/>
        </w:tabs>
      </w:pPr>
      <w:r>
        <w:tab/>
      </w:r>
    </w:p>
    <w:p w:rsidR="00A37ABC" w:rsidRPr="001A55B6" w:rsidRDefault="001A55B6" w:rsidP="001A55B6">
      <w:pPr>
        <w:tabs>
          <w:tab w:val="left" w:pos="1350"/>
        </w:tabs>
        <w:sectPr w:rsidR="00A37ABC" w:rsidRPr="001A55B6" w:rsidSect="00546996">
          <w:pgSz w:w="16839" w:h="11907" w:orient="landscape" w:code="9"/>
          <w:pgMar w:top="1134" w:right="1134" w:bottom="1134" w:left="1134" w:header="720" w:footer="567" w:gutter="0"/>
          <w:cols w:space="708"/>
          <w:docGrid w:linePitch="360"/>
        </w:sectPr>
      </w:pPr>
      <w:r>
        <w:tab/>
      </w:r>
    </w:p>
    <w:p w:rsidR="00977E06" w:rsidRDefault="00977E06" w:rsidP="009D241E">
      <w:pPr>
        <w:pStyle w:val="Heading1noPg"/>
      </w:pPr>
      <w:bookmarkStart w:id="115" w:name="_Toc355087175"/>
      <w:bookmarkStart w:id="116" w:name="_Toc355087408"/>
      <w:bookmarkStart w:id="117" w:name="_Toc355100777"/>
      <w:bookmarkStart w:id="118" w:name="_Toc365616800"/>
      <w:bookmarkStart w:id="119" w:name="_Toc365881772"/>
      <w:bookmarkStart w:id="120" w:name="_Toc371943954"/>
      <w:bookmarkStart w:id="121" w:name="_Toc406590145"/>
      <w:bookmarkStart w:id="122" w:name="_Toc408908698"/>
      <w:bookmarkEnd w:id="92"/>
      <w:bookmarkEnd w:id="93"/>
      <w:bookmarkEnd w:id="94"/>
      <w:r>
        <w:lastRenderedPageBreak/>
        <w:t xml:space="preserve">General elements of child-friendly justice in </w:t>
      </w:r>
      <w:r w:rsidR="004D728B">
        <w:t xml:space="preserve">civil and administrative judicial </w:t>
      </w:r>
      <w:r>
        <w:t>proceedings</w:t>
      </w:r>
      <w:bookmarkEnd w:id="115"/>
      <w:bookmarkEnd w:id="116"/>
      <w:bookmarkEnd w:id="117"/>
      <w:bookmarkEnd w:id="118"/>
      <w:bookmarkEnd w:id="119"/>
      <w:bookmarkEnd w:id="120"/>
      <w:bookmarkEnd w:id="121"/>
      <w:bookmarkEnd w:id="122"/>
      <w:r>
        <w:t xml:space="preserve"> </w:t>
      </w:r>
    </w:p>
    <w:p w:rsidR="00E7772F" w:rsidRPr="009A6683" w:rsidRDefault="00E7772F" w:rsidP="009D241E">
      <w:pPr>
        <w:pStyle w:val="Heading2"/>
      </w:pPr>
      <w:bookmarkStart w:id="123" w:name="_Toc406590146"/>
      <w:bookmarkStart w:id="124" w:name="_Toc408908699"/>
      <w:r w:rsidRPr="009A6683">
        <w:t>Introduction</w:t>
      </w:r>
      <w:bookmarkEnd w:id="123"/>
      <w:bookmarkEnd w:id="124"/>
    </w:p>
    <w:p w:rsidR="00287A94" w:rsidRDefault="00DD65AF" w:rsidP="006C7CC7">
      <w:pPr>
        <w:pStyle w:val="BodyText"/>
      </w:pPr>
      <w:r w:rsidRPr="00DD65AF">
        <w:t xml:space="preserve">This section </w:t>
      </w:r>
      <w:r w:rsidR="004D728B">
        <w:t>discusses</w:t>
      </w:r>
      <w:r w:rsidRPr="00DD65AF">
        <w:t xml:space="preserve"> the main similarities and differences in the approach of MS to the general elements of child-friendly justice in civil and administrative judicial proceedings</w:t>
      </w:r>
      <w:r w:rsidR="00A57A19">
        <w:t>. The following general elements are considered</w:t>
      </w:r>
      <w:r w:rsidRPr="00DD65AF">
        <w:t xml:space="preserve">: </w:t>
      </w:r>
    </w:p>
    <w:p w:rsidR="00287A94" w:rsidRPr="00007D34" w:rsidRDefault="00F8239C" w:rsidP="006C7CC7">
      <w:pPr>
        <w:pStyle w:val="BTBullet1"/>
      </w:pPr>
      <w:r w:rsidRPr="00007D34">
        <w:t>T</w:t>
      </w:r>
      <w:r w:rsidR="004D728B" w:rsidRPr="00272897">
        <w:t xml:space="preserve">he </w:t>
      </w:r>
      <w:r w:rsidR="00DD65AF" w:rsidRPr="00CB3C84">
        <w:t xml:space="preserve">type of </w:t>
      </w:r>
      <w:r w:rsidR="00F34414" w:rsidRPr="00E607FB">
        <w:t>courts</w:t>
      </w:r>
      <w:r w:rsidR="00F34414" w:rsidRPr="0068321E">
        <w:t xml:space="preserve"> </w:t>
      </w:r>
      <w:r w:rsidR="00DD65AF" w:rsidRPr="007454AF">
        <w:t xml:space="preserve">dealing with children </w:t>
      </w:r>
      <w:r w:rsidR="00F34414" w:rsidRPr="00272897">
        <w:t xml:space="preserve">and the procedural rules applying </w:t>
      </w:r>
      <w:r w:rsidR="00DD65AF" w:rsidRPr="00CB3C84">
        <w:t>in these proceedings</w:t>
      </w:r>
      <w:r w:rsidR="000824F3" w:rsidRPr="00E607FB">
        <w:t xml:space="preserve"> (Section 3.2)</w:t>
      </w:r>
      <w:r w:rsidR="00DD65AF" w:rsidRPr="0068321E">
        <w:t xml:space="preserve">; </w:t>
      </w:r>
    </w:p>
    <w:p w:rsidR="00287A94" w:rsidRPr="00007D34" w:rsidRDefault="00F8239C" w:rsidP="006C7CC7">
      <w:pPr>
        <w:pStyle w:val="BTBullet1"/>
      </w:pPr>
      <w:r w:rsidRPr="00007D34">
        <w:t>P</w:t>
      </w:r>
      <w:r w:rsidR="00DD65AF" w:rsidRPr="00272897">
        <w:t>rovisions in place to ensure access to justice for children involved in civil and administrative proceedings,</w:t>
      </w:r>
      <w:r w:rsidR="00DD65AF" w:rsidRPr="00CB3C84">
        <w:t xml:space="preserve"> including </w:t>
      </w:r>
      <w:r w:rsidR="004D728B" w:rsidRPr="00E607FB">
        <w:t xml:space="preserve">limits to the </w:t>
      </w:r>
      <w:r w:rsidR="00DD65AF" w:rsidRPr="0068321E">
        <w:t>age of procedural capacity</w:t>
      </w:r>
      <w:r w:rsidR="000824F3" w:rsidRPr="007A5E6C">
        <w:t xml:space="preserve"> (3.3.)</w:t>
      </w:r>
      <w:r w:rsidR="00DD65AF" w:rsidRPr="00864BEF">
        <w:t xml:space="preserve">; </w:t>
      </w:r>
    </w:p>
    <w:p w:rsidR="00287A94" w:rsidRPr="00007D34" w:rsidRDefault="00F8239C" w:rsidP="006C7CC7">
      <w:pPr>
        <w:pStyle w:val="BTBullet1"/>
      </w:pPr>
      <w:r w:rsidRPr="00007D34">
        <w:t>M</w:t>
      </w:r>
      <w:r w:rsidR="00DD65AF" w:rsidRPr="00272897">
        <w:t>easures in place to advance a child’s best interests in judicial proceedings</w:t>
      </w:r>
      <w:r w:rsidR="000824F3" w:rsidRPr="00CB3C84">
        <w:t xml:space="preserve"> (3.4)</w:t>
      </w:r>
      <w:r w:rsidR="00DD65AF" w:rsidRPr="00E607FB">
        <w:t xml:space="preserve">; </w:t>
      </w:r>
    </w:p>
    <w:p w:rsidR="00287A94" w:rsidRPr="00007D34" w:rsidRDefault="00F8239C" w:rsidP="006C7CC7">
      <w:pPr>
        <w:pStyle w:val="BTBullet1"/>
      </w:pPr>
      <w:r w:rsidRPr="00007D34">
        <w:t>W</w:t>
      </w:r>
      <w:r w:rsidR="00DD65AF" w:rsidRPr="00272897">
        <w:t>hether monitoring mechanisms exist to review domestic legislation, policies and practice related to these proc</w:t>
      </w:r>
      <w:r w:rsidR="00DD65AF" w:rsidRPr="00CB3C84">
        <w:t>eedings</w:t>
      </w:r>
      <w:r w:rsidR="00A57A19" w:rsidRPr="00E607FB">
        <w:t xml:space="preserve"> (3.5)</w:t>
      </w:r>
      <w:r w:rsidR="00DD65AF" w:rsidRPr="0068321E">
        <w:t xml:space="preserve">; </w:t>
      </w:r>
    </w:p>
    <w:p w:rsidR="00287A94" w:rsidRPr="00007D34" w:rsidRDefault="00F8239C" w:rsidP="006C7CC7">
      <w:pPr>
        <w:pStyle w:val="BTBullet1"/>
      </w:pPr>
      <w:r w:rsidRPr="00007D34">
        <w:t>T</w:t>
      </w:r>
      <w:r w:rsidR="004D728B" w:rsidRPr="00272897">
        <w:t xml:space="preserve">he </w:t>
      </w:r>
      <w:r w:rsidR="00DD65AF" w:rsidRPr="00CB3C84">
        <w:t>extent to which MS apply multidisciplinary measures in their approach to children in these proceedings</w:t>
      </w:r>
      <w:r w:rsidR="00A57A19" w:rsidRPr="00E607FB">
        <w:t xml:space="preserve"> (3.6)</w:t>
      </w:r>
      <w:r w:rsidR="00DD65AF" w:rsidRPr="0068321E">
        <w:t xml:space="preserve">; </w:t>
      </w:r>
      <w:r w:rsidR="00676E85" w:rsidRPr="007A5E6C">
        <w:t>and</w:t>
      </w:r>
      <w:r w:rsidR="00676E85" w:rsidRPr="006346DC">
        <w:t xml:space="preserve"> </w:t>
      </w:r>
    </w:p>
    <w:p w:rsidR="00977E06" w:rsidRPr="0068321E" w:rsidRDefault="00F8239C" w:rsidP="006C7CC7">
      <w:pPr>
        <w:pStyle w:val="BTBullet1"/>
      </w:pPr>
      <w:r w:rsidRPr="00007D34">
        <w:t>T</w:t>
      </w:r>
      <w:r w:rsidR="00DD65AF" w:rsidRPr="00272897">
        <w:t>raining requirements that exist for professionals working for or with children in these proceedings</w:t>
      </w:r>
      <w:r w:rsidR="00A57A19" w:rsidRPr="00CB3C84">
        <w:t xml:space="preserve"> (3.7)</w:t>
      </w:r>
      <w:r w:rsidR="00676E85" w:rsidRPr="00E607FB">
        <w:t>.</w:t>
      </w:r>
    </w:p>
    <w:p w:rsidR="00977E06" w:rsidRPr="0085036F" w:rsidRDefault="009F5097" w:rsidP="009D241E">
      <w:pPr>
        <w:pStyle w:val="Heading2"/>
      </w:pPr>
      <w:bookmarkStart w:id="125" w:name="_Toc406590147"/>
      <w:bookmarkStart w:id="126" w:name="_Toc408908700"/>
      <w:r>
        <w:t>Key v</w:t>
      </w:r>
      <w:r w:rsidR="004D728B">
        <w:t>ariations in i</w:t>
      </w:r>
      <w:r w:rsidR="00DD65AF">
        <w:t>nstitutional framework</w:t>
      </w:r>
      <w:r w:rsidR="004D728B">
        <w:t>s</w:t>
      </w:r>
      <w:bookmarkEnd w:id="125"/>
      <w:bookmarkEnd w:id="126"/>
    </w:p>
    <w:p w:rsidR="00905861" w:rsidRPr="009C77B5" w:rsidRDefault="00905861" w:rsidP="006C7CC7">
      <w:pPr>
        <w:pStyle w:val="BodyText"/>
      </w:pPr>
      <w:bookmarkStart w:id="127" w:name="_Toc365616802"/>
      <w:bookmarkStart w:id="128" w:name="_Toc365881774"/>
      <w:r w:rsidRPr="009C77B5">
        <w:t xml:space="preserve">This </w:t>
      </w:r>
      <w:r w:rsidR="00940ADD">
        <w:t>sub-</w:t>
      </w:r>
      <w:r w:rsidRPr="009C77B5">
        <w:t xml:space="preserve">section </w:t>
      </w:r>
      <w:r w:rsidR="00D14E56">
        <w:t>describes</w:t>
      </w:r>
      <w:r w:rsidR="00940ADD">
        <w:t>:</w:t>
      </w:r>
      <w:r>
        <w:t xml:space="preserve"> </w:t>
      </w:r>
      <w:r w:rsidR="00AD76C3">
        <w:t>t</w:t>
      </w:r>
      <w:r w:rsidR="00D14E56">
        <w:t xml:space="preserve">he </w:t>
      </w:r>
      <w:r w:rsidR="00AD76C3">
        <w:t>t</w:t>
      </w:r>
      <w:r w:rsidR="00D14E56" w:rsidRPr="00AD76C3">
        <w:t>ype of courts and applicable procedural rules (civil, administrative, criminal and other) when dealing with children</w:t>
      </w:r>
      <w:r w:rsidR="00AD76C3">
        <w:t xml:space="preserve"> in different areas of law; </w:t>
      </w:r>
      <w:r w:rsidR="00D14E56">
        <w:t xml:space="preserve">the extent to which </w:t>
      </w:r>
      <w:r w:rsidR="001645CA">
        <w:t xml:space="preserve">MS have </w:t>
      </w:r>
      <w:r w:rsidR="001645CA" w:rsidRPr="001645CA">
        <w:t>developed rules that are specific to children or whether the same rules are in place as for adults (and where child-specific rules are in place, which areas of law these tend to occur in</w:t>
      </w:r>
      <w:r w:rsidR="001645CA">
        <w:t>)</w:t>
      </w:r>
      <w:r w:rsidR="00D14E56">
        <w:t>; and</w:t>
      </w:r>
      <w:r w:rsidR="001645CA">
        <w:t xml:space="preserve"> those MS where</w:t>
      </w:r>
      <w:r>
        <w:t xml:space="preserve"> </w:t>
      </w:r>
      <w:r w:rsidR="001645CA" w:rsidRPr="001645CA">
        <w:t xml:space="preserve">non-judicial (administrative) bodies can take ‘judicial decisions’ </w:t>
      </w:r>
      <w:r w:rsidR="00D14E56">
        <w:t>in particular</w:t>
      </w:r>
      <w:r w:rsidR="001645CA" w:rsidRPr="001645CA">
        <w:t xml:space="preserve"> decisions on the placement of children in care, if these are taken with the acquiescence of the child’s parents or guardian</w:t>
      </w:r>
      <w:r w:rsidR="001645CA">
        <w:t>.</w:t>
      </w:r>
    </w:p>
    <w:p w:rsidR="00905861" w:rsidRDefault="00905861" w:rsidP="00A5732C">
      <w:pPr>
        <w:pStyle w:val="Heading3"/>
      </w:pPr>
      <w:bookmarkStart w:id="129" w:name="_Toc408908701"/>
      <w:r w:rsidRPr="00905861">
        <w:t>Type of courts and applicable procedural rules</w:t>
      </w:r>
      <w:r w:rsidR="00683D53">
        <w:t xml:space="preserve"> when dealing with children</w:t>
      </w:r>
      <w:bookmarkEnd w:id="129"/>
    </w:p>
    <w:p w:rsidR="00905861" w:rsidRDefault="00642874" w:rsidP="006C7CC7">
      <w:pPr>
        <w:pStyle w:val="BodyText"/>
      </w:pPr>
      <w:r>
        <w:t xml:space="preserve">Whether judicial matters in different areas of law are dealt with in civil or </w:t>
      </w:r>
      <w:r w:rsidR="00905861">
        <w:t xml:space="preserve">administrative judicial proceedings </w:t>
      </w:r>
      <w:r w:rsidR="00D14E56">
        <w:t xml:space="preserve">(or indeed criminal judicial proceedings) </w:t>
      </w:r>
      <w:r w:rsidR="00905861">
        <w:t>var</w:t>
      </w:r>
      <w:r>
        <w:t>ies</w:t>
      </w:r>
      <w:r w:rsidR="00905861">
        <w:t xml:space="preserve"> </w:t>
      </w:r>
      <w:r>
        <w:t xml:space="preserve">between </w:t>
      </w:r>
      <w:r w:rsidR="00905861">
        <w:t>MS</w:t>
      </w:r>
      <w:r>
        <w:t>.</w:t>
      </w:r>
      <w:r w:rsidR="00905861">
        <w:t xml:space="preserve"> </w:t>
      </w:r>
      <w:r>
        <w:t xml:space="preserve">So </w:t>
      </w:r>
      <w:r>
        <w:lastRenderedPageBreak/>
        <w:t xml:space="preserve">too </w:t>
      </w:r>
      <w:r w:rsidR="00905861">
        <w:t xml:space="preserve">do the type of procedural rules that apply. </w:t>
      </w:r>
      <w:r w:rsidR="0056714C">
        <w:t>A</w:t>
      </w:r>
      <w:r w:rsidR="00504600">
        <w:t xml:space="preserve"> summary </w:t>
      </w:r>
      <w:r w:rsidR="0056714C">
        <w:t xml:space="preserve">of the </w:t>
      </w:r>
      <w:r w:rsidR="001907DA">
        <w:t xml:space="preserve">type of courts and procedural rules </w:t>
      </w:r>
      <w:r w:rsidR="0056714C">
        <w:t xml:space="preserve">that apply in each area of law is provided in </w:t>
      </w:r>
      <w:r w:rsidR="0056714C" w:rsidRPr="00E16EF7">
        <w:t>Annex 3</w:t>
      </w:r>
      <w:r w:rsidR="0056714C">
        <w:t xml:space="preserve"> </w:t>
      </w:r>
      <w:r w:rsidR="00504600">
        <w:t xml:space="preserve">(see also </w:t>
      </w:r>
      <w:r w:rsidR="001907DA" w:rsidRPr="001B32CE">
        <w:rPr>
          <w:b/>
          <w:color w:val="0070C0"/>
        </w:rPr>
        <w:fldChar w:fldCharType="begin"/>
      </w:r>
      <w:r w:rsidR="001907DA" w:rsidRPr="001B32CE">
        <w:rPr>
          <w:b/>
          <w:color w:val="0070C0"/>
        </w:rPr>
        <w:instrText xml:space="preserve"> REF _Ref395881811 \r \h  \* MERGEFORMAT </w:instrText>
      </w:r>
      <w:r w:rsidR="001907DA" w:rsidRPr="001B32CE">
        <w:rPr>
          <w:b/>
          <w:color w:val="0070C0"/>
        </w:rPr>
      </w:r>
      <w:r w:rsidR="001907DA" w:rsidRPr="001B32CE">
        <w:rPr>
          <w:b/>
          <w:color w:val="0070C0"/>
        </w:rPr>
        <w:fldChar w:fldCharType="separate"/>
      </w:r>
      <w:r w:rsidR="000223E8">
        <w:rPr>
          <w:b/>
          <w:color w:val="0070C0"/>
        </w:rPr>
        <w:t>Table A3.1</w:t>
      </w:r>
      <w:r w:rsidR="001907DA" w:rsidRPr="001B32CE">
        <w:rPr>
          <w:b/>
          <w:color w:val="0070C0"/>
        </w:rPr>
        <w:fldChar w:fldCharType="end"/>
      </w:r>
      <w:r w:rsidR="001907DA">
        <w:t>)</w:t>
      </w:r>
      <w:r>
        <w:t>.</w:t>
      </w:r>
      <w:r w:rsidR="001907DA">
        <w:t xml:space="preserve"> </w:t>
      </w:r>
      <w:r w:rsidR="005E581D">
        <w:t>Here it is note</w:t>
      </w:r>
      <w:r w:rsidR="006404D6">
        <w:t>d</w:t>
      </w:r>
      <w:r w:rsidR="005E581D">
        <w:t xml:space="preserve"> that:</w:t>
      </w:r>
    </w:p>
    <w:p w:rsidR="005E581D" w:rsidRPr="009D241E" w:rsidRDefault="005E581D" w:rsidP="006C7CC7">
      <w:pPr>
        <w:pStyle w:val="BTBullet1"/>
      </w:pPr>
      <w:r w:rsidRPr="009D241E">
        <w:t xml:space="preserve">In the majority of jurisdictions, </w:t>
      </w:r>
      <w:r w:rsidRPr="009D241E">
        <w:rPr>
          <w:b/>
        </w:rPr>
        <w:t>ordinary civil courts</w:t>
      </w:r>
      <w:r w:rsidRPr="009D241E">
        <w:t xml:space="preserve"> are competent to deal with children involved in </w:t>
      </w:r>
      <w:r w:rsidRPr="009D241E">
        <w:rPr>
          <w:b/>
        </w:rPr>
        <w:t>family</w:t>
      </w:r>
      <w:r w:rsidRPr="009D241E">
        <w:t xml:space="preserve"> (17 jurisdictions) and </w:t>
      </w:r>
      <w:r w:rsidRPr="009D241E">
        <w:rPr>
          <w:b/>
        </w:rPr>
        <w:t>employment</w:t>
      </w:r>
      <w:r w:rsidRPr="009D241E">
        <w:t xml:space="preserve"> cases (16 jurisdictions). In the other jurisdictions, more than one type of court, specialist courts, or specialist divisions within the ordinary courts, are used instead.</w:t>
      </w:r>
      <w:r w:rsidR="006404D6" w:rsidRPr="009D241E">
        <w:t xml:space="preserve"> </w:t>
      </w:r>
    </w:p>
    <w:p w:rsidR="005E581D" w:rsidRPr="009D241E" w:rsidRDefault="005E581D" w:rsidP="006C7CC7">
      <w:pPr>
        <w:pStyle w:val="BTBullet1"/>
      </w:pPr>
      <w:r w:rsidRPr="009D241E">
        <w:t xml:space="preserve">In the majority of jurisdictions, </w:t>
      </w:r>
      <w:r w:rsidRPr="009D241E">
        <w:rPr>
          <w:b/>
        </w:rPr>
        <w:t>administrative courts</w:t>
      </w:r>
      <w:r w:rsidRPr="009D241E">
        <w:t xml:space="preserve"> are used to review the decisions of administrative authorities in </w:t>
      </w:r>
      <w:r w:rsidRPr="009D241E">
        <w:rPr>
          <w:b/>
        </w:rPr>
        <w:t>asylum</w:t>
      </w:r>
      <w:r w:rsidRPr="009D241E">
        <w:t xml:space="preserve"> cases (20 jurisdictions), </w:t>
      </w:r>
      <w:r w:rsidRPr="009D241E">
        <w:rPr>
          <w:b/>
        </w:rPr>
        <w:t>migration</w:t>
      </w:r>
      <w:r w:rsidRPr="009D241E">
        <w:t xml:space="preserve"> cases (22 jurisdictions), </w:t>
      </w:r>
      <w:r w:rsidRPr="009D241E">
        <w:rPr>
          <w:b/>
        </w:rPr>
        <w:t>education</w:t>
      </w:r>
      <w:r w:rsidRPr="009D241E">
        <w:t xml:space="preserve"> cases (23 jurisdictions) and cases concerning </w:t>
      </w:r>
      <w:r w:rsidRPr="009D241E">
        <w:rPr>
          <w:b/>
        </w:rPr>
        <w:t>administrative sanctions</w:t>
      </w:r>
      <w:r w:rsidRPr="009D241E">
        <w:t xml:space="preserve"> (15 jurisdictions). In the other jurisdictions, more than one type of court, civil courts, juvenile courts, specialist courts, or specialist divisions within ordinary courts, are used instead.</w:t>
      </w:r>
    </w:p>
    <w:p w:rsidR="005E581D" w:rsidRPr="009D241E" w:rsidRDefault="005E581D" w:rsidP="006C7CC7">
      <w:pPr>
        <w:pStyle w:val="BTBullet1"/>
      </w:pPr>
      <w:r w:rsidRPr="009D241E">
        <w:t xml:space="preserve">Variations in the type of courts dealing with children are especially significant in three areas of law: </w:t>
      </w:r>
      <w:r w:rsidRPr="009D241E">
        <w:rPr>
          <w:b/>
        </w:rPr>
        <w:t xml:space="preserve">health, placement into care </w:t>
      </w:r>
      <w:r w:rsidRPr="009D241E">
        <w:t>and</w:t>
      </w:r>
      <w:r w:rsidRPr="009D241E">
        <w:rPr>
          <w:b/>
        </w:rPr>
        <w:t xml:space="preserve"> offences committed</w:t>
      </w:r>
      <w:r w:rsidR="00A73944">
        <w:rPr>
          <w:b/>
        </w:rPr>
        <w:t>/offending behaviour</w:t>
      </w:r>
      <w:r w:rsidRPr="009D241E">
        <w:rPr>
          <w:b/>
        </w:rPr>
        <w:t xml:space="preserve"> below MACR</w:t>
      </w:r>
      <w:r w:rsidRPr="009D241E">
        <w:t xml:space="preserve">. In these areas, no particular type of court is more prevalent than others. </w:t>
      </w:r>
      <w:r w:rsidR="006404D6" w:rsidRPr="009D241E">
        <w:t xml:space="preserve">The type of courts that are used include civil, administrative, criminal, juvenile, specialist courts and combinations of these, depending on the matter in question. </w:t>
      </w:r>
      <w:r w:rsidRPr="009D241E">
        <w:t xml:space="preserve">In certain MS, e.g. MT and SI, children below MACR who have committed offences are not dealt with in court, but by social services. </w:t>
      </w:r>
    </w:p>
    <w:p w:rsidR="000E2050" w:rsidRDefault="00683D53" w:rsidP="00A5732C">
      <w:pPr>
        <w:pStyle w:val="Heading3"/>
      </w:pPr>
      <w:bookmarkStart w:id="130" w:name="_Toc408908702"/>
      <w:r>
        <w:t>The e</w:t>
      </w:r>
      <w:r w:rsidR="000E2050">
        <w:t>xistence of child-specific procedural rules that apply to civil and administrative judicial proceedings</w:t>
      </w:r>
      <w:bookmarkEnd w:id="130"/>
    </w:p>
    <w:p w:rsidR="0096653B" w:rsidRDefault="00D71561" w:rsidP="006C7CC7">
      <w:pPr>
        <w:pStyle w:val="BodyText"/>
      </w:pPr>
      <w:r w:rsidRPr="00D71561">
        <w:t>Except for certain specific provisions referred to in this report, the rules that govern civil and administrative</w:t>
      </w:r>
      <w:r>
        <w:t xml:space="preserve"> judicial</w:t>
      </w:r>
      <w:r w:rsidRPr="00D71561">
        <w:t xml:space="preserve"> proceedings in the MS apply to children and adults alike. </w:t>
      </w:r>
    </w:p>
    <w:p w:rsidR="0096653B" w:rsidRPr="0096653B" w:rsidRDefault="00D71561" w:rsidP="006C7CC7">
      <w:pPr>
        <w:pStyle w:val="BodyText"/>
      </w:pPr>
      <w:r w:rsidRPr="00D71561">
        <w:t xml:space="preserve">The extent and scope of </w:t>
      </w:r>
      <w:r>
        <w:t xml:space="preserve">the child-specific </w:t>
      </w:r>
      <w:r w:rsidRPr="00D71561">
        <w:t xml:space="preserve">provisions </w:t>
      </w:r>
      <w:r>
        <w:t xml:space="preserve">that exist </w:t>
      </w:r>
      <w:r w:rsidRPr="00D71561">
        <w:t xml:space="preserve">vary among </w:t>
      </w:r>
      <w:r w:rsidR="00287A94">
        <w:t>jurisdictions</w:t>
      </w:r>
      <w:r>
        <w:t>.</w:t>
      </w:r>
      <w:r w:rsidR="000E2050">
        <w:rPr>
          <w:b/>
          <w:i/>
        </w:rPr>
        <w:t xml:space="preserve"> </w:t>
      </w:r>
      <w:r w:rsidR="0096653B">
        <w:t>They include provisions relating to the right to be heard (e</w:t>
      </w:r>
      <w:r w:rsidR="0096653B" w:rsidRPr="0096653B">
        <w:t xml:space="preserve">.g. in </w:t>
      </w:r>
      <w:r w:rsidR="0096653B">
        <w:t xml:space="preserve">FI and </w:t>
      </w:r>
      <w:r w:rsidR="0096653B" w:rsidRPr="0096653B">
        <w:t xml:space="preserve">PL), </w:t>
      </w:r>
      <w:r w:rsidR="0096653B">
        <w:t xml:space="preserve">procedural capacity </w:t>
      </w:r>
      <w:r w:rsidR="0096653B" w:rsidRPr="0096653B">
        <w:t>(e.g. in DE, EL)</w:t>
      </w:r>
      <w:r w:rsidR="0096653B">
        <w:t>;</w:t>
      </w:r>
      <w:r w:rsidR="0096653B" w:rsidRPr="0096653B">
        <w:t xml:space="preserve"> the right to legal representation in </w:t>
      </w:r>
      <w:r w:rsidR="0096653B">
        <w:t xml:space="preserve">the child’s </w:t>
      </w:r>
      <w:r w:rsidR="0096653B" w:rsidRPr="0096653B">
        <w:t>own name (e.g. in CZ, DE, FI, HU, LU, LT, RO, UK-E&amp;W , UK-NI)</w:t>
      </w:r>
      <w:r w:rsidR="0096653B">
        <w:t>; and provisions on guardianship</w:t>
      </w:r>
      <w:r w:rsidR="0096653B" w:rsidRPr="0096653B">
        <w:t xml:space="preserve"> (e.g</w:t>
      </w:r>
      <w:r w:rsidR="0096653B">
        <w:t>.</w:t>
      </w:r>
      <w:r w:rsidR="0096653B" w:rsidRPr="0096653B">
        <w:t xml:space="preserve"> in DE, FI, PT, UK-E&amp;W and UK-NI).</w:t>
      </w:r>
      <w:r w:rsidR="0096653B">
        <w:rPr>
          <w:rStyle w:val="FootnoteReference"/>
          <w:sz w:val="22"/>
          <w:szCs w:val="22"/>
        </w:rPr>
        <w:footnoteReference w:id="17"/>
      </w:r>
      <w:r w:rsidR="0096653B" w:rsidRPr="0096653B">
        <w:t xml:space="preserve"> </w:t>
      </w:r>
    </w:p>
    <w:p w:rsidR="0096653B" w:rsidRDefault="0096653B" w:rsidP="006C7CC7">
      <w:pPr>
        <w:pStyle w:val="BodyText"/>
      </w:pPr>
      <w:r>
        <w:lastRenderedPageBreak/>
        <w:t xml:space="preserve">Child-specific procedural rules appear to apply most often in family and placement in care proceedings. </w:t>
      </w:r>
      <w:r w:rsidRPr="0096653B">
        <w:t>For example</w:t>
      </w:r>
      <w:r w:rsidR="00F1628D">
        <w:t xml:space="preserve">, in several </w:t>
      </w:r>
      <w:r w:rsidR="00287A94">
        <w:t>jurisdictions</w:t>
      </w:r>
      <w:r w:rsidR="00F1628D">
        <w:t>:</w:t>
      </w:r>
    </w:p>
    <w:p w:rsidR="0096653B" w:rsidRPr="00A7584E" w:rsidRDefault="00F1628D" w:rsidP="006C7CC7">
      <w:pPr>
        <w:pStyle w:val="BTBullet1"/>
      </w:pPr>
      <w:r w:rsidRPr="00A7584E">
        <w:t>Children</w:t>
      </w:r>
      <w:r w:rsidR="0096653B" w:rsidRPr="00A7584E">
        <w:t xml:space="preserve"> aged 15 and above in marital and family disputes are allowed to carry out litigation acts independently without their legal representative/s</w:t>
      </w:r>
      <w:r w:rsidRPr="00A7584E">
        <w:t xml:space="preserve"> (e.g. SI)</w:t>
      </w:r>
      <w:r w:rsidR="0096653B" w:rsidRPr="00A7584E">
        <w:t xml:space="preserve">; </w:t>
      </w:r>
    </w:p>
    <w:p w:rsidR="00F1628D" w:rsidRPr="00A7584E" w:rsidRDefault="00F1628D" w:rsidP="006C7CC7">
      <w:pPr>
        <w:pStyle w:val="BTBullet1"/>
      </w:pPr>
      <w:r w:rsidRPr="00A7584E">
        <w:t>S</w:t>
      </w:r>
      <w:r w:rsidR="0096653B" w:rsidRPr="00A7584E">
        <w:t>pecific rules exist on the representation of children</w:t>
      </w:r>
      <w:r w:rsidRPr="00A7584E">
        <w:t xml:space="preserve"> in family cases, including as regards the appointment of a Children’s Guardian (e.g. UK-E&amp;W)</w:t>
      </w:r>
      <w:r w:rsidR="0096653B" w:rsidRPr="00A7584E">
        <w:t xml:space="preserve">; </w:t>
      </w:r>
    </w:p>
    <w:p w:rsidR="00F1628D" w:rsidRPr="00A7584E" w:rsidRDefault="00F1628D" w:rsidP="006C7CC7">
      <w:pPr>
        <w:pStyle w:val="BTBullet1"/>
      </w:pPr>
      <w:r w:rsidRPr="00A7584E">
        <w:t>S</w:t>
      </w:r>
      <w:r w:rsidR="0096653B" w:rsidRPr="00A7584E">
        <w:t>pecific provisions on the hearing of children and their right to inspection of files</w:t>
      </w:r>
      <w:r w:rsidRPr="00A7584E">
        <w:t xml:space="preserve"> exist in certain family and placement in care cases (e.g. NL, UK-S)</w:t>
      </w:r>
      <w:r w:rsidR="0096653B" w:rsidRPr="00A7584E">
        <w:t xml:space="preserve">; </w:t>
      </w:r>
    </w:p>
    <w:p w:rsidR="0096653B" w:rsidRPr="00A7584E" w:rsidRDefault="00F1628D" w:rsidP="006C7CC7">
      <w:pPr>
        <w:pStyle w:val="BTBullet1"/>
      </w:pPr>
      <w:r w:rsidRPr="00A7584E">
        <w:t xml:space="preserve">In cases of parental separation, children can </w:t>
      </w:r>
      <w:r w:rsidR="0096653B" w:rsidRPr="00A7584E">
        <w:rPr>
          <w:bCs/>
        </w:rPr>
        <w:t xml:space="preserve">request the postponement of the adoption of certain measures regulating relations between the parents, or between the parents and the children, in order to give the parents the possibility to apply to family mediation </w:t>
      </w:r>
      <w:r w:rsidRPr="00A7584E">
        <w:rPr>
          <w:bCs/>
        </w:rPr>
        <w:t>(e.g. IT</w:t>
      </w:r>
      <w:r w:rsidR="0096653B" w:rsidRPr="00A7584E">
        <w:t xml:space="preserve">). </w:t>
      </w:r>
    </w:p>
    <w:p w:rsidR="0096653B" w:rsidRPr="0096653B" w:rsidRDefault="0096653B" w:rsidP="006C7CC7">
      <w:pPr>
        <w:pStyle w:val="BodyText"/>
      </w:pPr>
      <w:r w:rsidRPr="0096653B">
        <w:t>In addition to specific provisions, several MS have adopted general principles usually contained in separate acts or policies to guide the courts in conducting child-friendly proceeding</w:t>
      </w:r>
      <w:r w:rsidR="00F1628D">
        <w:t>s</w:t>
      </w:r>
      <w:r w:rsidRPr="0096653B">
        <w:t>, for example by taking into account the best interests of the child (see</w:t>
      </w:r>
      <w:r w:rsidR="00314A3C">
        <w:t xml:space="preserve"> </w:t>
      </w:r>
      <w:r w:rsidR="00314A3C" w:rsidRPr="00314A3C">
        <w:rPr>
          <w:b/>
          <w:color w:val="0070C0"/>
        </w:rPr>
        <w:t>S</w:t>
      </w:r>
      <w:r w:rsidR="00F1628D" w:rsidRPr="00314A3C">
        <w:rPr>
          <w:b/>
          <w:color w:val="0070C0"/>
        </w:rPr>
        <w:t>ection</w:t>
      </w:r>
      <w:r w:rsidRPr="00314A3C">
        <w:rPr>
          <w:b/>
          <w:color w:val="0070C0"/>
        </w:rPr>
        <w:t xml:space="preserve"> </w:t>
      </w:r>
      <w:r w:rsidR="00F1628D" w:rsidRPr="00314A3C">
        <w:rPr>
          <w:b/>
          <w:color w:val="0070C0"/>
        </w:rPr>
        <w:fldChar w:fldCharType="begin"/>
      </w:r>
      <w:r w:rsidR="00F1628D" w:rsidRPr="00314A3C">
        <w:rPr>
          <w:b/>
          <w:color w:val="0070C0"/>
        </w:rPr>
        <w:instrText xml:space="preserve"> REF _Ref397607019 \r \h </w:instrText>
      </w:r>
      <w:r w:rsidR="00314A3C" w:rsidRPr="00314A3C">
        <w:rPr>
          <w:b/>
          <w:color w:val="0070C0"/>
        </w:rPr>
        <w:instrText xml:space="preserve"> \* MERGEFORMAT </w:instrText>
      </w:r>
      <w:r w:rsidR="00F1628D" w:rsidRPr="00314A3C">
        <w:rPr>
          <w:b/>
          <w:color w:val="0070C0"/>
        </w:rPr>
      </w:r>
      <w:r w:rsidR="00F1628D" w:rsidRPr="00314A3C">
        <w:rPr>
          <w:b/>
          <w:color w:val="0070C0"/>
        </w:rPr>
        <w:fldChar w:fldCharType="separate"/>
      </w:r>
      <w:r w:rsidR="000223E8">
        <w:rPr>
          <w:b/>
          <w:color w:val="0070C0"/>
        </w:rPr>
        <w:t>3.4</w:t>
      </w:r>
      <w:r w:rsidR="00F1628D" w:rsidRPr="00314A3C">
        <w:rPr>
          <w:b/>
          <w:color w:val="0070C0"/>
        </w:rPr>
        <w:fldChar w:fldCharType="end"/>
      </w:r>
      <w:r w:rsidRPr="0096653B">
        <w:t>.</w:t>
      </w:r>
      <w:r w:rsidR="00F1628D">
        <w:t xml:space="preserve"> </w:t>
      </w:r>
      <w:r w:rsidRPr="0096653B">
        <w:t xml:space="preserve">on “Measures for advancing the principle of </w:t>
      </w:r>
      <w:r w:rsidR="00706EE0">
        <w:t>the</w:t>
      </w:r>
      <w:r w:rsidRPr="0096653B">
        <w:t xml:space="preserve"> ‘child’s best interest). </w:t>
      </w:r>
    </w:p>
    <w:p w:rsidR="001645CA" w:rsidRPr="000E2050" w:rsidRDefault="00683D53" w:rsidP="00A5732C">
      <w:pPr>
        <w:pStyle w:val="Heading3"/>
      </w:pPr>
      <w:bookmarkStart w:id="131" w:name="_Toc408908703"/>
      <w:r>
        <w:t>The i</w:t>
      </w:r>
      <w:r w:rsidR="000E2050" w:rsidRPr="000E2050">
        <w:t>nvolvement of judicial and non-judicial bodies in decision</w:t>
      </w:r>
      <w:r>
        <w:t>s</w:t>
      </w:r>
      <w:r w:rsidR="000E2050" w:rsidRPr="000E2050">
        <w:t xml:space="preserve"> to place children into care</w:t>
      </w:r>
      <w:bookmarkEnd w:id="131"/>
    </w:p>
    <w:p w:rsidR="000E2050" w:rsidRPr="000E2050" w:rsidRDefault="000E2050" w:rsidP="006C7CC7">
      <w:pPr>
        <w:pStyle w:val="BodyText"/>
      </w:pPr>
      <w:r w:rsidRPr="000E2050">
        <w:t xml:space="preserve">In </w:t>
      </w:r>
      <w:r w:rsidR="00E03C14">
        <w:t xml:space="preserve">at least </w:t>
      </w:r>
      <w:r w:rsidR="006E36B7">
        <w:t>22</w:t>
      </w:r>
      <w:r w:rsidR="00971CDB">
        <w:t xml:space="preserve"> jurisdictions</w:t>
      </w:r>
      <w:r w:rsidRPr="000E2050">
        <w:t xml:space="preserve"> </w:t>
      </w:r>
      <w:r w:rsidRPr="0074583B">
        <w:rPr>
          <w:b/>
        </w:rPr>
        <w:t xml:space="preserve">a court can order </w:t>
      </w:r>
      <w:r w:rsidR="00971CDB">
        <w:rPr>
          <w:b/>
        </w:rPr>
        <w:t xml:space="preserve">a child’s </w:t>
      </w:r>
      <w:r w:rsidRPr="0074583B">
        <w:rPr>
          <w:b/>
        </w:rPr>
        <w:t>placement into care</w:t>
      </w:r>
      <w:r w:rsidRPr="000E2050">
        <w:t>. These are AT, BE, BG, CY, CZ, DE, EE, FI, FR, IE, NL, HU</w:t>
      </w:r>
      <w:r w:rsidR="00BE7466">
        <w:t>, LU,</w:t>
      </w:r>
      <w:r w:rsidRPr="000E2050">
        <w:t xml:space="preserve"> SE, </w:t>
      </w:r>
      <w:r w:rsidR="006E36B7">
        <w:t>SK,</w:t>
      </w:r>
      <w:r w:rsidRPr="000E2050">
        <w:t xml:space="preserve"> RO</w:t>
      </w:r>
      <w:r w:rsidR="00314A3C">
        <w:t xml:space="preserve">, </w:t>
      </w:r>
      <w:r w:rsidR="006E36B7">
        <w:t xml:space="preserve">PL, </w:t>
      </w:r>
      <w:r w:rsidRPr="000E2050">
        <w:t>PT, UK-E&amp;W, UK-NI, and UK-S. In CY, this is by convention only</w:t>
      </w:r>
      <w:r w:rsidR="00971CDB">
        <w:t>. U</w:t>
      </w:r>
      <w:r w:rsidRPr="000E2050">
        <w:t>nder the constitution, the power to place children into care lies with the social welfare service.</w:t>
      </w:r>
      <w:r w:rsidR="00050135">
        <w:t xml:space="preserve"> </w:t>
      </w:r>
    </w:p>
    <w:p w:rsidR="000E2050" w:rsidRPr="000E2050" w:rsidRDefault="000E2050" w:rsidP="006C7CC7">
      <w:pPr>
        <w:pStyle w:val="BodyText"/>
      </w:pPr>
      <w:r w:rsidRPr="000E2050">
        <w:t xml:space="preserve">In </w:t>
      </w:r>
      <w:r w:rsidR="00B3438D">
        <w:t>at least</w:t>
      </w:r>
      <w:r w:rsidRPr="000E2050">
        <w:t xml:space="preserve"> </w:t>
      </w:r>
      <w:r w:rsidR="00971CDB">
        <w:t>six</w:t>
      </w:r>
      <w:r w:rsidRPr="000E2050">
        <w:t xml:space="preserve"> jurisdictions, there is no need for a court order if the child or parent/guardian consents to placement into care.</w:t>
      </w:r>
      <w:r w:rsidR="00050135">
        <w:t xml:space="preserve"> </w:t>
      </w:r>
      <w:r w:rsidRPr="000E2050">
        <w:t>These are BE, FI, IE, RO, PT and UK-S. In PT, where a child’s parents consent to the child being placed into care, the decision is made by the Commission for the Protection of Children and Juveniles and there is a right of appeal before the family and children court by the children, if older than 12 years, or by their legal representatives, parents, legal guardians or by the Public Prosecutor.</w:t>
      </w:r>
    </w:p>
    <w:p w:rsidR="000E2050" w:rsidRPr="000E2050" w:rsidRDefault="000E2050" w:rsidP="006C7CC7">
      <w:pPr>
        <w:pStyle w:val="BodyText"/>
      </w:pPr>
      <w:r w:rsidRPr="000E2050">
        <w:t xml:space="preserve">In </w:t>
      </w:r>
      <w:r w:rsidR="00B3438D" w:rsidRPr="000E2050">
        <w:t>BG and SE</w:t>
      </w:r>
      <w:r w:rsidRPr="000E2050">
        <w:t xml:space="preserve"> a child may be placed into care without a court order in an emergency. In BG, in an emergency, a child can be placed into care temporarily by an administrative decision which can be made permanent only by court order.</w:t>
      </w:r>
      <w:r w:rsidR="00050135">
        <w:t xml:space="preserve"> </w:t>
      </w:r>
      <w:r w:rsidRPr="000E2050">
        <w:t xml:space="preserve">In SE, in an emergency, social services may place a child into compulsory care with immediate effect. </w:t>
      </w:r>
      <w:r w:rsidRPr="000E2050">
        <w:lastRenderedPageBreak/>
        <w:t xml:space="preserve">This decision must be submitted for approval to the administrative court within </w:t>
      </w:r>
      <w:r w:rsidR="00706EE0">
        <w:t>seven</w:t>
      </w:r>
      <w:r w:rsidRPr="000E2050">
        <w:t xml:space="preserve"> days and, if approval is given, an application for a compulsory care order must be made within four weeks of that decision.</w:t>
      </w:r>
    </w:p>
    <w:p w:rsidR="000E2050" w:rsidRPr="000E2050" w:rsidRDefault="000E2050" w:rsidP="006C7CC7">
      <w:pPr>
        <w:pStyle w:val="BodyText"/>
      </w:pPr>
      <w:r w:rsidRPr="000E2050">
        <w:t xml:space="preserve">In </w:t>
      </w:r>
      <w:r w:rsidR="00B24D06">
        <w:t>six jurisdictions (</w:t>
      </w:r>
      <w:r w:rsidRPr="000E2050">
        <w:t>DK, ES,</w:t>
      </w:r>
      <w:r w:rsidR="00314A3C" w:rsidRPr="000E2050">
        <w:t xml:space="preserve"> </w:t>
      </w:r>
      <w:r w:rsidR="006E36B7">
        <w:t>LT</w:t>
      </w:r>
      <w:r w:rsidRPr="000E2050">
        <w:t>,</w:t>
      </w:r>
      <w:r w:rsidR="00314A3C" w:rsidRPr="000E2050">
        <w:t xml:space="preserve"> LV,</w:t>
      </w:r>
      <w:r w:rsidR="00314A3C">
        <w:rPr>
          <w:rStyle w:val="FootnoteReference"/>
          <w:sz w:val="22"/>
          <w:szCs w:val="22"/>
        </w:rPr>
        <w:footnoteReference w:id="18"/>
      </w:r>
      <w:r w:rsidR="00314A3C" w:rsidRPr="000E2050">
        <w:t xml:space="preserve"> </w:t>
      </w:r>
      <w:r w:rsidRPr="000E2050">
        <w:t>MT, and SI</w:t>
      </w:r>
      <w:r w:rsidR="00B24D06">
        <w:t>)</w:t>
      </w:r>
      <w:r w:rsidRPr="000E2050">
        <w:t xml:space="preserve"> a child may be placed into care by an administrative authority but the parties have a right either to appeal the decision or apply for judicial review of the decision. In ES, a decision to place a child into care can also be made by a court o</w:t>
      </w:r>
      <w:r w:rsidR="007F504F">
        <w:t>n</w:t>
      </w:r>
      <w:r w:rsidRPr="000E2050">
        <w:t xml:space="preserve"> its own motion. </w:t>
      </w:r>
    </w:p>
    <w:p w:rsidR="000E2050" w:rsidRPr="000E2050" w:rsidRDefault="000E2050" w:rsidP="006C7CC7">
      <w:pPr>
        <w:pStyle w:val="BodyText"/>
      </w:pPr>
      <w:r w:rsidRPr="000E2050">
        <w:t xml:space="preserve">In </w:t>
      </w:r>
      <w:r w:rsidR="00971CDB">
        <w:t>three</w:t>
      </w:r>
      <w:r w:rsidRPr="000E2050">
        <w:t xml:space="preserve"> MS (IT, HR, EL) a decision to place a child into care is taken by an administrative body, but the decision must be approved by a court.</w:t>
      </w:r>
      <w:r w:rsidR="00050135">
        <w:t xml:space="preserve"> </w:t>
      </w:r>
      <w:r w:rsidRPr="000E2050">
        <w:t>In IT, the approval of the court is not required if the decision to place the child into care is taken with the agreement of the child’s family.</w:t>
      </w:r>
      <w:r w:rsidR="00050135">
        <w:t xml:space="preserve"> </w:t>
      </w:r>
      <w:r w:rsidRPr="000E2050">
        <w:t xml:space="preserve">Similarly, in EL, the approval of the court is needed, only where the decision to place a child into care is made by the public prosecutor but not where it is made </w:t>
      </w:r>
      <w:r w:rsidR="00B80049">
        <w:t>with</w:t>
      </w:r>
      <w:r w:rsidRPr="000E2050">
        <w:t xml:space="preserve"> the agreement of the child’s parents/guardian with foster family/care institution and under supervision and guidance of the competent social authority. </w:t>
      </w:r>
    </w:p>
    <w:p w:rsidR="00FE36A2" w:rsidRDefault="00FE36A2" w:rsidP="006C7CC7">
      <w:pPr>
        <w:pStyle w:val="BodyText"/>
      </w:pPr>
      <w:r w:rsidRPr="004C752A">
        <w:t xml:space="preserve">The following </w:t>
      </w:r>
      <w:r w:rsidR="00914C9B">
        <w:t xml:space="preserve">key variations can be observed as regards the institutions </w:t>
      </w:r>
      <w:r w:rsidR="00C55D2B">
        <w:t>dealing with children in civil and administrative judicial proceedings</w:t>
      </w:r>
      <w:r>
        <w:t xml:space="preserve">.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C7CC7" w:rsidTr="004017DA">
        <w:tc>
          <w:tcPr>
            <w:tcW w:w="8222" w:type="dxa"/>
            <w:shd w:val="clear" w:color="auto" w:fill="CDEBFF"/>
          </w:tcPr>
          <w:p w:rsidR="006C7CC7" w:rsidRPr="00A74691" w:rsidRDefault="006C7CC7" w:rsidP="006C7CC7">
            <w:pPr>
              <w:pStyle w:val="Conclusion"/>
              <w:numPr>
                <w:ilvl w:val="0"/>
                <w:numId w:val="0"/>
              </w:numPr>
              <w:rPr>
                <w:sz w:val="32"/>
                <w:szCs w:val="32"/>
              </w:rPr>
            </w:pPr>
            <w:r>
              <w:rPr>
                <w:sz w:val="32"/>
                <w:szCs w:val="32"/>
              </w:rPr>
              <w:t>Key variations in</w:t>
            </w:r>
            <w:r w:rsidRPr="00A74691">
              <w:rPr>
                <w:sz w:val="32"/>
                <w:szCs w:val="32"/>
              </w:rPr>
              <w:t xml:space="preserve"> </w:t>
            </w:r>
            <w:r>
              <w:rPr>
                <w:sz w:val="32"/>
                <w:szCs w:val="32"/>
              </w:rPr>
              <w:t>institutional frameworks</w:t>
            </w:r>
          </w:p>
          <w:p w:rsidR="006C7CC7" w:rsidRDefault="006C7CC7" w:rsidP="006C7CC7">
            <w:pPr>
              <w:pStyle w:val="Bullet1"/>
            </w:pPr>
            <w:r>
              <w:t xml:space="preserve">The </w:t>
            </w:r>
            <w:r w:rsidRPr="00914C9B">
              <w:rPr>
                <w:b/>
              </w:rPr>
              <w:t>type of courts</w:t>
            </w:r>
            <w:r>
              <w:t xml:space="preserve"> dealing with children in civil and administrative judicial proceedings in the different areas of law vary significantly across MS.</w:t>
            </w:r>
          </w:p>
          <w:p w:rsidR="006C7CC7" w:rsidRPr="00914C9B" w:rsidRDefault="006C7CC7" w:rsidP="006C7CC7">
            <w:pPr>
              <w:pStyle w:val="Bullet1"/>
            </w:pPr>
            <w:r w:rsidRPr="00914C9B">
              <w:t>In the majority of jurisdictions, ordinary civil courts are competent to deal with children involved in family and employment cases, whereas administrative courts are predominantly used to review the decisions of administrative authorities in asylum, migration, education and administrative sanctions cases. Variations in the type of courts dealing with children are especially significant in three areas of law: health, placement into care and offences committed below MACR.</w:t>
            </w:r>
          </w:p>
          <w:p w:rsidR="006C7CC7" w:rsidRDefault="006C7CC7" w:rsidP="006C7CC7">
            <w:pPr>
              <w:pStyle w:val="Bullet1"/>
            </w:pPr>
            <w:r>
              <w:t xml:space="preserve">Except for certain specific provisions that are adapted to the needs of children, the </w:t>
            </w:r>
            <w:r w:rsidRPr="00914C9B">
              <w:t xml:space="preserve">rules that govern civil and administrative judicial proceedings in the MS apply to children and </w:t>
            </w:r>
            <w:r w:rsidRPr="00914C9B">
              <w:lastRenderedPageBreak/>
              <w:t>adults alike</w:t>
            </w:r>
            <w:r>
              <w:t xml:space="preserve">. Where </w:t>
            </w:r>
            <w:r w:rsidRPr="00914C9B">
              <w:rPr>
                <w:b/>
              </w:rPr>
              <w:t>child-specific provisions</w:t>
            </w:r>
            <w:r>
              <w:t xml:space="preserve"> exist, e.g. as regards the right to be heard, procedural capacity or legal representation, they apply most frequently in the areas of family and placement into care.</w:t>
            </w:r>
          </w:p>
          <w:p w:rsidR="006C7CC7" w:rsidRPr="006C7CC7" w:rsidRDefault="006C7CC7" w:rsidP="006C7CC7">
            <w:pPr>
              <w:pStyle w:val="Bullet1"/>
            </w:pPr>
            <w:r>
              <w:t xml:space="preserve">In at least 22 jurisdictions, </w:t>
            </w:r>
            <w:r w:rsidRPr="006C7CC7">
              <w:rPr>
                <w:b/>
              </w:rPr>
              <w:t>a court can order a child’s placement into care</w:t>
            </w:r>
            <w:r>
              <w:t xml:space="preserve">. In the other jurisdictions, the decision can be taken by an administrative authority with the consent of the parents, with the approval of a court, or pending review by a court. </w:t>
            </w:r>
          </w:p>
        </w:tc>
      </w:tr>
    </w:tbl>
    <w:p w:rsidR="00977E06" w:rsidRDefault="009F5097" w:rsidP="00EE0223">
      <w:pPr>
        <w:pStyle w:val="Heading2"/>
      </w:pPr>
      <w:bookmarkStart w:id="132" w:name="_Ref395829672"/>
      <w:bookmarkStart w:id="133" w:name="_Toc406590148"/>
      <w:bookmarkStart w:id="134" w:name="_Toc408908704"/>
      <w:bookmarkStart w:id="135" w:name="_Toc371943956"/>
      <w:bookmarkEnd w:id="127"/>
      <w:bookmarkEnd w:id="128"/>
      <w:r>
        <w:lastRenderedPageBreak/>
        <w:t xml:space="preserve">Procedural rules affecting children’s </w:t>
      </w:r>
      <w:r w:rsidR="002E6643">
        <w:t>access to justice</w:t>
      </w:r>
      <w:bookmarkEnd w:id="132"/>
      <w:bookmarkEnd w:id="133"/>
      <w:bookmarkEnd w:id="134"/>
      <w:r w:rsidR="00C233EC" w:rsidRPr="0085036F">
        <w:t xml:space="preserve"> </w:t>
      </w:r>
      <w:bookmarkEnd w:id="135"/>
    </w:p>
    <w:p w:rsidR="000E6087" w:rsidRDefault="0016489D" w:rsidP="006C7CC7">
      <w:pPr>
        <w:pStyle w:val="BodyText"/>
      </w:pPr>
      <w:r w:rsidRPr="0016489D">
        <w:t>Th</w:t>
      </w:r>
      <w:r w:rsidR="004D728B">
        <w:t xml:space="preserve">ere are variations in </w:t>
      </w:r>
      <w:r>
        <w:t xml:space="preserve">key procedural rules that affect </w:t>
      </w:r>
      <w:r w:rsidR="004D728B">
        <w:t xml:space="preserve">children’s </w:t>
      </w:r>
      <w:r>
        <w:t xml:space="preserve">access to civil and administrative judicial proceedings. </w:t>
      </w:r>
      <w:r w:rsidR="00656377">
        <w:t>The</w:t>
      </w:r>
      <w:r w:rsidR="004D728B">
        <w:t>se concern:</w:t>
      </w:r>
      <w:r>
        <w:t xml:space="preserve"> </w:t>
      </w:r>
    </w:p>
    <w:p w:rsidR="000E6087" w:rsidRPr="00EE0223" w:rsidRDefault="000E6087" w:rsidP="006C7CC7">
      <w:pPr>
        <w:pStyle w:val="BTBullet1"/>
      </w:pPr>
      <w:r w:rsidRPr="00EE0223">
        <w:t>T</w:t>
      </w:r>
      <w:r w:rsidR="0016489D" w:rsidRPr="00EE0223">
        <w:t xml:space="preserve">he rules that MS apply </w:t>
      </w:r>
      <w:r w:rsidR="001E1A59" w:rsidRPr="00EE0223">
        <w:t xml:space="preserve">regarding the </w:t>
      </w:r>
      <w:r w:rsidR="0016489D" w:rsidRPr="00EE0223">
        <w:t xml:space="preserve">procedural capacity </w:t>
      </w:r>
      <w:r w:rsidR="001E1A59" w:rsidRPr="00EE0223">
        <w:t xml:space="preserve">of </w:t>
      </w:r>
      <w:r w:rsidR="0016489D" w:rsidRPr="00EE0223">
        <w:t xml:space="preserve">children </w:t>
      </w:r>
      <w:r w:rsidR="001B4731" w:rsidRPr="00EE0223">
        <w:t xml:space="preserve">to act </w:t>
      </w:r>
      <w:r w:rsidR="004D728B" w:rsidRPr="00EE0223">
        <w:t>(</w:t>
      </w:r>
      <w:r w:rsidR="0016489D" w:rsidRPr="00EE0223">
        <w:t>e.</w:t>
      </w:r>
      <w:r w:rsidR="001E1A59" w:rsidRPr="00EE0223">
        <w:t>g.</w:t>
      </w:r>
      <w:r w:rsidR="0016489D" w:rsidRPr="00EE0223">
        <w:t xml:space="preserve"> </w:t>
      </w:r>
      <w:r w:rsidR="004D728B" w:rsidRPr="00EE0223">
        <w:t xml:space="preserve">age limits </w:t>
      </w:r>
      <w:r w:rsidR="001E1A59" w:rsidRPr="00EE0223">
        <w:t>and other conditions affecting</w:t>
      </w:r>
      <w:r w:rsidR="004D728B" w:rsidRPr="00EE0223">
        <w:t xml:space="preserve"> </w:t>
      </w:r>
      <w:r w:rsidR="0016489D" w:rsidRPr="00EE0223">
        <w:t>whether a child can bring a case before a court</w:t>
      </w:r>
      <w:r w:rsidR="004D728B" w:rsidRPr="00EE0223">
        <w:t>)</w:t>
      </w:r>
      <w:r w:rsidR="0016489D" w:rsidRPr="00EE0223">
        <w:t xml:space="preserve">; </w:t>
      </w:r>
    </w:p>
    <w:p w:rsidR="000E6087" w:rsidRPr="00EE0223" w:rsidRDefault="000E6087" w:rsidP="006C7CC7">
      <w:pPr>
        <w:pStyle w:val="BTBullet1"/>
      </w:pPr>
      <w:r w:rsidRPr="00EE0223">
        <w:t>T</w:t>
      </w:r>
      <w:r w:rsidR="00AD61F7" w:rsidRPr="00EE0223">
        <w:t xml:space="preserve">he </w:t>
      </w:r>
      <w:r w:rsidR="00DA63F6" w:rsidRPr="00EE0223">
        <w:t>measures</w:t>
      </w:r>
      <w:r w:rsidR="0016489D" w:rsidRPr="00EE0223">
        <w:t xml:space="preserve"> in place </w:t>
      </w:r>
      <w:r w:rsidR="00DA63F6" w:rsidRPr="00EE0223">
        <w:t xml:space="preserve">across MS </w:t>
      </w:r>
      <w:r w:rsidR="0016489D" w:rsidRPr="00EE0223">
        <w:t>to facilitate child</w:t>
      </w:r>
      <w:r w:rsidR="00003197" w:rsidRPr="00EE0223">
        <w:t>ren</w:t>
      </w:r>
      <w:r w:rsidR="0016489D" w:rsidRPr="00EE0223">
        <w:t xml:space="preserve">’s </w:t>
      </w:r>
      <w:r w:rsidR="00DA63F6" w:rsidRPr="00EE0223">
        <w:t xml:space="preserve">access to justice, including </w:t>
      </w:r>
      <w:r w:rsidR="009C783A" w:rsidRPr="00EE0223">
        <w:t>judicial discretion to grant dispensation as to the minimum age of procedural capacity</w:t>
      </w:r>
      <w:r w:rsidR="00DA63F6" w:rsidRPr="00EE0223">
        <w:t xml:space="preserve">; </w:t>
      </w:r>
    </w:p>
    <w:p w:rsidR="000E6087" w:rsidRPr="00EE0223" w:rsidRDefault="000E6087" w:rsidP="006C7CC7">
      <w:pPr>
        <w:pStyle w:val="BTBullet1"/>
      </w:pPr>
      <w:r w:rsidRPr="00EE0223">
        <w:t>T</w:t>
      </w:r>
      <w:r w:rsidR="0038199E" w:rsidRPr="00EE0223">
        <w:t xml:space="preserve">he existence </w:t>
      </w:r>
      <w:r w:rsidR="00181954" w:rsidRPr="00EE0223">
        <w:t xml:space="preserve">(or not) </w:t>
      </w:r>
      <w:r w:rsidR="0038199E" w:rsidRPr="00EE0223">
        <w:t>of a statute of limitations which permits children to</w:t>
      </w:r>
      <w:r w:rsidR="00696F3F" w:rsidRPr="00EE0223">
        <w:t xml:space="preserve"> pursue certain civil or administrative law claims for a period of time after the child has turned 18;</w:t>
      </w:r>
      <w:r w:rsidR="0038199E" w:rsidRPr="00EE0223">
        <w:t xml:space="preserve"> and</w:t>
      </w:r>
      <w:r w:rsidR="00F34414" w:rsidRPr="00EE0223">
        <w:t xml:space="preserve">, </w:t>
      </w:r>
    </w:p>
    <w:p w:rsidR="000E6087" w:rsidRPr="00EE0223" w:rsidRDefault="000E6087" w:rsidP="006C7CC7">
      <w:pPr>
        <w:pStyle w:val="BTBullet1"/>
      </w:pPr>
      <w:r w:rsidRPr="00EE0223">
        <w:t>T</w:t>
      </w:r>
      <w:r w:rsidR="00AD61F7" w:rsidRPr="00EE0223">
        <w:t>he provisions in place to ensure that legal proceedings are started in child protection cases</w:t>
      </w:r>
      <w:r w:rsidR="00656377" w:rsidRPr="00EE0223">
        <w:t xml:space="preserve">, including whether </w:t>
      </w:r>
      <w:r w:rsidR="00003197" w:rsidRPr="00EE0223">
        <w:t xml:space="preserve">and when </w:t>
      </w:r>
      <w:r w:rsidR="00656377" w:rsidRPr="00EE0223">
        <w:t xml:space="preserve">courts have the right to adopt precautionary and interim measures </w:t>
      </w:r>
      <w:r w:rsidR="00003197" w:rsidRPr="00EE0223">
        <w:t xml:space="preserve">(e.g. </w:t>
      </w:r>
      <w:r w:rsidR="009907F6" w:rsidRPr="00EE0223">
        <w:t xml:space="preserve">removing the child from the care of </w:t>
      </w:r>
      <w:r w:rsidR="006E36B7">
        <w:t>his/</w:t>
      </w:r>
      <w:r w:rsidR="007F504F">
        <w:t>her</w:t>
      </w:r>
      <w:r w:rsidR="009907F6" w:rsidRPr="00EE0223">
        <w:t xml:space="preserve"> parents to prevent </w:t>
      </w:r>
      <w:r w:rsidR="009642C4" w:rsidRPr="00EE0223">
        <w:t>harm to the child</w:t>
      </w:r>
      <w:r w:rsidR="009907F6" w:rsidRPr="00EE0223">
        <w:t>).</w:t>
      </w:r>
      <w:r w:rsidR="009C783A" w:rsidRPr="00EE0223">
        <w:t xml:space="preserve"> </w:t>
      </w:r>
    </w:p>
    <w:p w:rsidR="00656377" w:rsidRPr="009C783A" w:rsidRDefault="00656377" w:rsidP="00A5732C">
      <w:pPr>
        <w:pStyle w:val="Heading3"/>
      </w:pPr>
      <w:bookmarkStart w:id="136" w:name="_Toc408908705"/>
      <w:r w:rsidRPr="009C783A">
        <w:t>Age of procedural capacity</w:t>
      </w:r>
      <w:bookmarkEnd w:id="136"/>
      <w:r w:rsidR="001B4731">
        <w:t xml:space="preserve"> </w:t>
      </w:r>
    </w:p>
    <w:p w:rsidR="0075564F" w:rsidRDefault="00F34414" w:rsidP="006C7CC7">
      <w:pPr>
        <w:pStyle w:val="BodyText"/>
      </w:pPr>
      <w:r>
        <w:t>C</w:t>
      </w:r>
      <w:r w:rsidR="00EE018C" w:rsidRPr="00EE018C">
        <w:t xml:space="preserve">hildren </w:t>
      </w:r>
      <w:r>
        <w:t xml:space="preserve">may be </w:t>
      </w:r>
      <w:r w:rsidR="00003197">
        <w:t xml:space="preserve">deemed to </w:t>
      </w:r>
      <w:r w:rsidR="00EE018C" w:rsidRPr="00EE018C">
        <w:t>lack full procedural capacity to act</w:t>
      </w:r>
      <w:r w:rsidR="00BB47FF">
        <w:t xml:space="preserve"> in civil and administrative judicial proceedings</w:t>
      </w:r>
      <w:r w:rsidR="00003197">
        <w:t xml:space="preserve">. If so they </w:t>
      </w:r>
      <w:r w:rsidR="00EE018C" w:rsidRPr="00EE018C">
        <w:t>cannot take procedural actions in their own right</w:t>
      </w:r>
      <w:r w:rsidR="00102F20">
        <w:t xml:space="preserve"> and, </w:t>
      </w:r>
      <w:r w:rsidR="00EE018C" w:rsidRPr="00EE018C">
        <w:t>in order to appear</w:t>
      </w:r>
      <w:r w:rsidR="00EE018C">
        <w:t xml:space="preserve"> </w:t>
      </w:r>
      <w:r w:rsidR="00EE018C" w:rsidRPr="00EE018C">
        <w:t xml:space="preserve">before </w:t>
      </w:r>
      <w:r w:rsidR="00EE018C">
        <w:t xml:space="preserve">a </w:t>
      </w:r>
      <w:r w:rsidR="00EE018C" w:rsidRPr="00EE018C">
        <w:t>court</w:t>
      </w:r>
      <w:r w:rsidR="00EE018C">
        <w:t>,</w:t>
      </w:r>
      <w:r w:rsidR="00EE018C" w:rsidRPr="00EE018C">
        <w:t xml:space="preserve"> need to be represented by their legal representatives or guardians (typically by their </w:t>
      </w:r>
      <w:r w:rsidR="00EE018C">
        <w:t xml:space="preserve">parents). </w:t>
      </w:r>
    </w:p>
    <w:p w:rsidR="0075564F" w:rsidRPr="006C7CC7" w:rsidRDefault="00102F20" w:rsidP="006C7CC7">
      <w:pPr>
        <w:pStyle w:val="BodyText"/>
        <w:rPr>
          <w:rFonts w:cs="Arial"/>
          <w:bCs/>
        </w:rPr>
      </w:pPr>
      <w:r>
        <w:t>T</w:t>
      </w:r>
      <w:r w:rsidR="00EE018C">
        <w:t xml:space="preserve">he precise rules regarding the procedural capacity of children </w:t>
      </w:r>
      <w:r w:rsidR="006835B8">
        <w:t xml:space="preserve">to act </w:t>
      </w:r>
      <w:r w:rsidR="00EE018C">
        <w:t xml:space="preserve">in civil and administrative judicial proceedings vary depending on the </w:t>
      </w:r>
      <w:r w:rsidR="00BB47FF">
        <w:t xml:space="preserve">role of the child and the </w:t>
      </w:r>
      <w:r w:rsidR="00EE018C">
        <w:t>area of law</w:t>
      </w:r>
      <w:r w:rsidR="00BB47FF">
        <w:t xml:space="preserve"> concerned</w:t>
      </w:r>
      <w:r w:rsidR="00EE018C">
        <w:t xml:space="preserve">. </w:t>
      </w:r>
      <w:r w:rsidR="00504600">
        <w:t xml:space="preserve">In this sub section, </w:t>
      </w:r>
      <w:r w:rsidR="00B26378">
        <w:t>the age of procedural capacity of child plaintiffs</w:t>
      </w:r>
      <w:r w:rsidR="00247A19">
        <w:t>/defendants,</w:t>
      </w:r>
      <w:r w:rsidR="00B26378">
        <w:t xml:space="preserve"> </w:t>
      </w:r>
      <w:r w:rsidR="00247A19">
        <w:t xml:space="preserve">subjects and </w:t>
      </w:r>
      <w:r w:rsidR="00B26378">
        <w:t>witnesses is reviewed.</w:t>
      </w:r>
      <w:r w:rsidR="0075564F">
        <w:t xml:space="preserve"> In most MS the same age of procedural capacity applies to defendants and plaintiffs. In some MS, for example in </w:t>
      </w:r>
      <w:r w:rsidR="0075564F">
        <w:lastRenderedPageBreak/>
        <w:t xml:space="preserve">EL and IT, there are no </w:t>
      </w:r>
      <w:r w:rsidR="0075564F" w:rsidRPr="00DA2E0E">
        <w:t>defendants in first instance administrative proceedings</w:t>
      </w:r>
      <w:r w:rsidR="0075564F">
        <w:t xml:space="preserve">. In NL, </w:t>
      </w:r>
      <w:r w:rsidR="0075564F" w:rsidRPr="007705BB">
        <w:rPr>
          <w:rFonts w:cs="Arial"/>
          <w:bCs/>
        </w:rPr>
        <w:t xml:space="preserve">children can only be sued </w:t>
      </w:r>
      <w:r w:rsidR="00382511">
        <w:rPr>
          <w:rFonts w:cs="Arial"/>
          <w:bCs/>
        </w:rPr>
        <w:t xml:space="preserve">in civil proceedings </w:t>
      </w:r>
      <w:r w:rsidR="0075564F" w:rsidRPr="007705BB">
        <w:rPr>
          <w:rFonts w:cs="Arial"/>
          <w:bCs/>
        </w:rPr>
        <w:t>with respect to certain disputes specified in legislation.</w:t>
      </w:r>
    </w:p>
    <w:p w:rsidR="00462FBE" w:rsidRPr="001B4731" w:rsidRDefault="0015467B" w:rsidP="006C7CC7">
      <w:pPr>
        <w:pStyle w:val="Heading4NoNumb"/>
        <w:ind w:firstLine="851"/>
      </w:pPr>
      <w:r w:rsidRPr="001B4731">
        <w:t>Child</w:t>
      </w:r>
      <w:r w:rsidR="00656377" w:rsidRPr="001B4731">
        <w:t xml:space="preserve"> plaintiffs</w:t>
      </w:r>
      <w:r w:rsidR="001B4731">
        <w:t xml:space="preserve"> (CivAdm045)</w:t>
      </w:r>
    </w:p>
    <w:p w:rsidR="0015467B" w:rsidRDefault="009B2C3F" w:rsidP="006C7CC7">
      <w:pPr>
        <w:pStyle w:val="BodyText"/>
      </w:pPr>
      <w:r>
        <w:t>In 15</w:t>
      </w:r>
      <w:r w:rsidR="0015467B">
        <w:t xml:space="preserve"> </w:t>
      </w:r>
      <w:r w:rsidR="006E36B7">
        <w:t>jurisdictions</w:t>
      </w:r>
      <w:r w:rsidR="0015467B">
        <w:t xml:space="preserve"> (</w:t>
      </w:r>
      <w:r w:rsidR="0015467B" w:rsidRPr="0015467B">
        <w:t xml:space="preserve">AT, </w:t>
      </w:r>
      <w:r w:rsidR="00407426">
        <w:t xml:space="preserve">BG, </w:t>
      </w:r>
      <w:r w:rsidR="0015467B" w:rsidRPr="0015467B">
        <w:t xml:space="preserve">DE, </w:t>
      </w:r>
      <w:r>
        <w:t xml:space="preserve">EE, EL, FI, FR, HR, </w:t>
      </w:r>
      <w:r w:rsidR="0015467B" w:rsidRPr="0015467B">
        <w:t xml:space="preserve">HU, IT, NL, </w:t>
      </w:r>
      <w:r w:rsidR="005E361D">
        <w:t>PL,</w:t>
      </w:r>
      <w:r w:rsidR="006E36B7">
        <w:t xml:space="preserve"> </w:t>
      </w:r>
      <w:r>
        <w:t xml:space="preserve">RO, SE, </w:t>
      </w:r>
      <w:r w:rsidR="0015467B" w:rsidRPr="0015467B">
        <w:t>UK-S</w:t>
      </w:r>
      <w:r>
        <w:t>)</w:t>
      </w:r>
      <w:r w:rsidR="0015467B">
        <w:t xml:space="preserve">, children have the right to bring certain types of cases to court; in all of these MS, minimum ages apply (ranging from 12 to 16 years). Children </w:t>
      </w:r>
      <w:r w:rsidR="006E36B7">
        <w:t>below</w:t>
      </w:r>
      <w:r w:rsidR="0015467B">
        <w:t xml:space="preserve"> these minimum ages must act through a legal representative. </w:t>
      </w:r>
    </w:p>
    <w:p w:rsidR="001B4731" w:rsidRDefault="006B0289" w:rsidP="006C7CC7">
      <w:pPr>
        <w:pStyle w:val="BodyText"/>
      </w:pPr>
      <w:r w:rsidRPr="006B0289">
        <w:t xml:space="preserve">In </w:t>
      </w:r>
      <w:r w:rsidR="009B2C3F">
        <w:t>15</w:t>
      </w:r>
      <w:r w:rsidRPr="006B0289">
        <w:t xml:space="preserve"> </w:t>
      </w:r>
      <w:r w:rsidR="0015467B">
        <w:t>jurisdictions</w:t>
      </w:r>
      <w:r w:rsidRPr="006B0289">
        <w:t xml:space="preserve"> (BE, CY, CZ, DK, ES, IE, </w:t>
      </w:r>
      <w:r w:rsidR="009B2C3F">
        <w:t xml:space="preserve">LT, </w:t>
      </w:r>
      <w:r w:rsidRPr="006B0289">
        <w:t>LU, LV, MT, PT, SI, SK, UK-E&amp;W, UK-NI), only</w:t>
      </w:r>
      <w:r>
        <w:t xml:space="preserve"> a</w:t>
      </w:r>
      <w:r w:rsidRPr="006B0289">
        <w:t xml:space="preserve">dults </w:t>
      </w:r>
      <w:r>
        <w:t xml:space="preserve">enjoy full procedural capacity to </w:t>
      </w:r>
      <w:r w:rsidR="00DB4714">
        <w:t xml:space="preserve">bring a case before a court </w:t>
      </w:r>
      <w:r>
        <w:t>in all of the areas of law covered in this report</w:t>
      </w:r>
      <w:r w:rsidR="00BE1D4D">
        <w:t xml:space="preserve"> (subject to judicial discretion as to the minimum age </w:t>
      </w:r>
      <w:r w:rsidR="00F06349">
        <w:t xml:space="preserve">of procedural capacity </w:t>
      </w:r>
      <w:r w:rsidR="00BE1D4D">
        <w:t xml:space="preserve">– see </w:t>
      </w:r>
      <w:r w:rsidR="006835B8">
        <w:t xml:space="preserve">sub </w:t>
      </w:r>
      <w:r w:rsidR="00453C7F">
        <w:t xml:space="preserve">section </w:t>
      </w:r>
      <w:r w:rsidR="00BE1D4D">
        <w:t>below)</w:t>
      </w:r>
      <w:r>
        <w:t xml:space="preserve">. </w:t>
      </w:r>
    </w:p>
    <w:p w:rsidR="00EE018C" w:rsidRDefault="00AE2EF5" w:rsidP="006C7CC7">
      <w:pPr>
        <w:pStyle w:val="BodyText"/>
      </w:pPr>
      <w:r>
        <w:t xml:space="preserve">In eight </w:t>
      </w:r>
      <w:r w:rsidR="001B4731">
        <w:t>of</w:t>
      </w:r>
      <w:r>
        <w:t xml:space="preserve"> the</w:t>
      </w:r>
      <w:r w:rsidR="001B4731">
        <w:t xml:space="preserve"> 15 </w:t>
      </w:r>
      <w:r w:rsidR="002F7339">
        <w:t>jurisdictions</w:t>
      </w:r>
      <w:r>
        <w:t xml:space="preserve"> </w:t>
      </w:r>
      <w:r w:rsidR="001B4731">
        <w:t xml:space="preserve">where only adults enjoy full procedural capacity to act </w:t>
      </w:r>
      <w:r>
        <w:t xml:space="preserve">(BE, DK, ES, LU, LV, PT, SI and SK), exceptions apply </w:t>
      </w:r>
      <w:r w:rsidR="005B5787">
        <w:t>for those</w:t>
      </w:r>
      <w:r w:rsidR="003600C9">
        <w:t xml:space="preserve"> </w:t>
      </w:r>
      <w:r>
        <w:t>16</w:t>
      </w:r>
      <w:r w:rsidR="005B5787">
        <w:t xml:space="preserve"> years and </w:t>
      </w:r>
      <w:r w:rsidR="003600C9">
        <w:t>older</w:t>
      </w:r>
      <w:r>
        <w:t xml:space="preserve"> that have been ‘emancipated’ either through marriage or through judicial or parental authorisation. </w:t>
      </w:r>
      <w:r w:rsidR="00DB4714">
        <w:t xml:space="preserve">In the other six </w:t>
      </w:r>
      <w:r w:rsidR="007F504F">
        <w:t>jurisdictions</w:t>
      </w:r>
      <w:r w:rsidR="00102F20">
        <w:t xml:space="preserve"> </w:t>
      </w:r>
      <w:r w:rsidR="00DB4714">
        <w:t>(CY, CZ, IE, MT, UK-E&amp;W, UK-NI) children who wish to bring a case to court must always act through a legal representative</w:t>
      </w:r>
    </w:p>
    <w:p w:rsidR="00BE1D4D" w:rsidRDefault="007E76BD" w:rsidP="006C7CC7">
      <w:pPr>
        <w:pStyle w:val="BodyText"/>
      </w:pPr>
      <w:r w:rsidRPr="007E76BD">
        <w:rPr>
          <w:b/>
          <w:color w:val="0070C0"/>
        </w:rPr>
        <w:fldChar w:fldCharType="begin"/>
      </w:r>
      <w:r w:rsidRPr="007E76BD">
        <w:rPr>
          <w:b/>
          <w:color w:val="0070C0"/>
        </w:rPr>
        <w:instrText xml:space="preserve"> REF _Ref397613854 \r \h  \* MERGEFORMAT </w:instrText>
      </w:r>
      <w:r w:rsidRPr="007E76BD">
        <w:rPr>
          <w:b/>
          <w:color w:val="0070C0"/>
        </w:rPr>
      </w:r>
      <w:r w:rsidRPr="007E76BD">
        <w:rPr>
          <w:b/>
          <w:color w:val="0070C0"/>
        </w:rPr>
        <w:fldChar w:fldCharType="separate"/>
      </w:r>
      <w:r w:rsidR="000223E8">
        <w:rPr>
          <w:b/>
          <w:color w:val="0070C0"/>
        </w:rPr>
        <w:t>Table A3.2</w:t>
      </w:r>
      <w:r w:rsidRPr="007E76BD">
        <w:rPr>
          <w:b/>
          <w:color w:val="0070C0"/>
        </w:rPr>
        <w:fldChar w:fldCharType="end"/>
      </w:r>
      <w:r>
        <w:t xml:space="preserve"> </w:t>
      </w:r>
      <w:r w:rsidR="00CB7B88">
        <w:t xml:space="preserve">maps the minimum age of procedural capacity for </w:t>
      </w:r>
      <w:r w:rsidR="0015467B">
        <w:t xml:space="preserve">child plaintiffs in </w:t>
      </w:r>
      <w:r w:rsidR="00CB7B88">
        <w:t>each M</w:t>
      </w:r>
      <w:r w:rsidR="00102F20">
        <w:t>S</w:t>
      </w:r>
      <w:r w:rsidR="00CB7B88">
        <w:t xml:space="preserve">. The following </w:t>
      </w:r>
      <w:r w:rsidR="001B4731">
        <w:t xml:space="preserve">trends can </w:t>
      </w:r>
      <w:r w:rsidR="00CB7B88">
        <w:t>be</w:t>
      </w:r>
      <w:r w:rsidR="001B4731">
        <w:t xml:space="preserve"> observed</w:t>
      </w:r>
      <w:r w:rsidR="00CB7B88">
        <w:t>:</w:t>
      </w:r>
    </w:p>
    <w:p w:rsidR="006C7741" w:rsidRPr="00EE0223" w:rsidRDefault="009829CC" w:rsidP="006C7CC7">
      <w:pPr>
        <w:pStyle w:val="BTBullet1"/>
      </w:pPr>
      <w:r w:rsidRPr="00EE0223">
        <w:t xml:space="preserve">In certain </w:t>
      </w:r>
      <w:r w:rsidR="006E36B7" w:rsidRPr="004A77D2">
        <w:t>jurisdictions</w:t>
      </w:r>
      <w:r w:rsidRPr="00EE0223">
        <w:t xml:space="preserve"> (e.g. </w:t>
      </w:r>
      <w:r w:rsidR="006C7741" w:rsidRPr="00EE0223">
        <w:t xml:space="preserve">AT, </w:t>
      </w:r>
      <w:r w:rsidRPr="00EE0223">
        <w:t xml:space="preserve">DE, HU, IT, NL, UK-S), children have the right to bring cases before a court in </w:t>
      </w:r>
      <w:r w:rsidRPr="00EE0223">
        <w:rPr>
          <w:b/>
        </w:rPr>
        <w:t>certain areas of law but not others</w:t>
      </w:r>
      <w:r w:rsidRPr="00EE0223">
        <w:t xml:space="preserve">. In DE, for example, the minimum age of procedural capacity is 14 in family </w:t>
      </w:r>
      <w:r w:rsidR="006C7741" w:rsidRPr="00EE0223">
        <w:t xml:space="preserve">and placement in care </w:t>
      </w:r>
      <w:r w:rsidRPr="00EE0223">
        <w:t xml:space="preserve">cases, 15 in employment cases, </w:t>
      </w:r>
      <w:r w:rsidR="006C7741" w:rsidRPr="00EE0223">
        <w:t xml:space="preserve">and </w:t>
      </w:r>
      <w:r w:rsidRPr="00EE0223">
        <w:t xml:space="preserve">16 in migration and asylum cases. However, in cases concerning education, health, administrative sanctions and offences below the </w:t>
      </w:r>
      <w:r w:rsidR="007F504F">
        <w:t xml:space="preserve">minimum </w:t>
      </w:r>
      <w:r w:rsidRPr="00EE0223">
        <w:t xml:space="preserve">age of criminal responsibility, children do not </w:t>
      </w:r>
      <w:r w:rsidR="00102F20" w:rsidRPr="00EE0223">
        <w:t>have</w:t>
      </w:r>
      <w:r w:rsidRPr="00EE0223">
        <w:t xml:space="preserve"> procedural capacity to act. In other MS (e.g. AT, EL, PL and SE), children have the right to bring cases before a court that </w:t>
      </w:r>
      <w:r w:rsidRPr="00EE0223">
        <w:rPr>
          <w:b/>
        </w:rPr>
        <w:t>concern specific matters</w:t>
      </w:r>
      <w:r w:rsidRPr="00EE0223">
        <w:t>.</w:t>
      </w:r>
      <w:r w:rsidR="006C7741" w:rsidRPr="00EE0223">
        <w:t xml:space="preserve"> For example, in EL, while children do not normally enjoy procedural capacity to act in family cases, if these concern termination of adoption or non-contentious proceedings, they do</w:t>
      </w:r>
      <w:r w:rsidR="00DA1B7C" w:rsidRPr="00EE0223">
        <w:t>. T</w:t>
      </w:r>
      <w:r w:rsidR="006C7741" w:rsidRPr="00EE0223">
        <w:t xml:space="preserve">he minimum age </w:t>
      </w:r>
      <w:r w:rsidR="002A175B" w:rsidRPr="00EE0223">
        <w:t xml:space="preserve">of </w:t>
      </w:r>
      <w:r w:rsidR="006C7741" w:rsidRPr="00EE0223">
        <w:t xml:space="preserve">procedural capacity in these cases </w:t>
      </w:r>
      <w:r w:rsidR="00DA1B7C" w:rsidRPr="00EE0223">
        <w:t xml:space="preserve">is </w:t>
      </w:r>
      <w:r w:rsidR="006C7741" w:rsidRPr="00EE0223">
        <w:rPr>
          <w:lang w:val="en-US"/>
        </w:rPr>
        <w:t>12 and 16</w:t>
      </w:r>
      <w:r w:rsidR="002A175B" w:rsidRPr="00EE0223">
        <w:rPr>
          <w:lang w:val="en-US"/>
        </w:rPr>
        <w:t xml:space="preserve"> years</w:t>
      </w:r>
      <w:r w:rsidR="006C7741" w:rsidRPr="00EE0223">
        <w:rPr>
          <w:lang w:val="en-US"/>
        </w:rPr>
        <w:t>, respectively.</w:t>
      </w:r>
    </w:p>
    <w:p w:rsidR="009829CC" w:rsidRPr="00EE0223" w:rsidRDefault="006C7741" w:rsidP="006C7CC7">
      <w:pPr>
        <w:pStyle w:val="BTBullet1"/>
      </w:pPr>
      <w:r w:rsidRPr="00EE0223">
        <w:t xml:space="preserve">In still other MS (e.g. BG and RO), children have the right to bring cases before a court in all areas of law as long as their </w:t>
      </w:r>
      <w:r w:rsidRPr="00EE0223">
        <w:rPr>
          <w:b/>
        </w:rPr>
        <w:t>parents or guardians have given their consent</w:t>
      </w:r>
      <w:r w:rsidRPr="00EE0223">
        <w:t xml:space="preserve"> (in these cases, the minimum age of procedural capacity </w:t>
      </w:r>
      <w:r w:rsidR="00DA1B7C" w:rsidRPr="00EE0223">
        <w:t>is</w:t>
      </w:r>
      <w:r w:rsidRPr="00EE0223">
        <w:t xml:space="preserve"> 14).</w:t>
      </w:r>
    </w:p>
    <w:p w:rsidR="006C7741" w:rsidRPr="00EE0223" w:rsidRDefault="00765F3D" w:rsidP="006C7CC7">
      <w:pPr>
        <w:pStyle w:val="BTBullet1"/>
      </w:pPr>
      <w:r w:rsidRPr="00EE0223">
        <w:lastRenderedPageBreak/>
        <w:t>I</w:t>
      </w:r>
      <w:r w:rsidR="006C7741" w:rsidRPr="00EE0223">
        <w:t>n at least one M</w:t>
      </w:r>
      <w:r w:rsidR="00DA1B7C" w:rsidRPr="00EE0223">
        <w:t>S</w:t>
      </w:r>
      <w:r w:rsidR="006C7741" w:rsidRPr="00EE0223">
        <w:t xml:space="preserve"> (FI), </w:t>
      </w:r>
      <w:r w:rsidR="009A0C78" w:rsidRPr="00EE0223">
        <w:rPr>
          <w:lang w:val="en-US"/>
        </w:rPr>
        <w:t xml:space="preserve">children aged </w:t>
      </w:r>
      <w:r w:rsidR="00DA1B7C" w:rsidRPr="00EE0223">
        <w:rPr>
          <w:lang w:val="en-US"/>
        </w:rPr>
        <w:t xml:space="preserve">15 years and above </w:t>
      </w:r>
      <w:r w:rsidR="009A0C78" w:rsidRPr="00EE0223">
        <w:rPr>
          <w:lang w:val="en-US"/>
        </w:rPr>
        <w:t xml:space="preserve">and the legal representative have </w:t>
      </w:r>
      <w:r w:rsidR="009A0C78" w:rsidRPr="00EE0223">
        <w:rPr>
          <w:b/>
          <w:lang w:val="en-US"/>
        </w:rPr>
        <w:t>independent but parallel rights</w:t>
      </w:r>
      <w:r w:rsidR="009A0C78" w:rsidRPr="00EE0223">
        <w:t xml:space="preserve"> </w:t>
      </w:r>
      <w:r w:rsidR="006C7741" w:rsidRPr="00EE0223">
        <w:t>to bring cases before a court; that is, both the child</w:t>
      </w:r>
      <w:r w:rsidR="00050135">
        <w:t xml:space="preserve"> </w:t>
      </w:r>
      <w:r w:rsidR="006C7741" w:rsidRPr="00EE0223">
        <w:t xml:space="preserve">and the parent or guardian enjoy procedural capacity to act (on behalf of the child). In FI, this applies to </w:t>
      </w:r>
      <w:r w:rsidR="009A0C78" w:rsidRPr="00EE0223">
        <w:t>cases concerning asylum, migration, placement into care, administrative sanctions and offences below the age of criminal responsibility.</w:t>
      </w:r>
    </w:p>
    <w:p w:rsidR="00247A19" w:rsidRDefault="0042732D" w:rsidP="006C7CC7">
      <w:pPr>
        <w:pStyle w:val="Heading4NoNumb"/>
      </w:pPr>
      <w:r>
        <w:tab/>
      </w:r>
      <w:r w:rsidR="00247A19" w:rsidRPr="00247A19">
        <w:t>Child subjects (CivAdm053)</w:t>
      </w:r>
    </w:p>
    <w:p w:rsidR="00201AF6" w:rsidRPr="008377B5" w:rsidRDefault="00201AF6" w:rsidP="006C7CC7">
      <w:pPr>
        <w:pStyle w:val="BodyText"/>
      </w:pPr>
      <w:r>
        <w:t xml:space="preserve">In five MS, there are statutory provisions establishing the minimum age at which child subjects can be heard: in BG it is 10 in all areas of law except employment; in MT it is 14 in certain family cases; in RO, it is 10 in family cases; and in ES it is 12 in divorce and adoption cases. </w:t>
      </w:r>
    </w:p>
    <w:p w:rsidR="00201AF6" w:rsidRDefault="008377B5" w:rsidP="006C7CC7">
      <w:pPr>
        <w:pStyle w:val="BodyText"/>
      </w:pPr>
      <w:r w:rsidRPr="008377B5">
        <w:t xml:space="preserve">In the majority of MS, there is no statutory minimum age at which a child can participate in judicial proceedings when they are the subject. </w:t>
      </w:r>
      <w:r>
        <w:t xml:space="preserve">In AT, for example, the child concerned must always be heard in adoption proceedings, regardless of his or her age. </w:t>
      </w:r>
      <w:r w:rsidR="007A5429">
        <w:t xml:space="preserve">In NL, children aged </w:t>
      </w:r>
      <w:r w:rsidR="00201AF6">
        <w:t xml:space="preserve">12 must be heard but children under this age can request to be heard (see also </w:t>
      </w:r>
      <w:r w:rsidR="00201AF6" w:rsidRPr="00201AF6">
        <w:rPr>
          <w:b/>
          <w:color w:val="0070C0"/>
        </w:rPr>
        <w:t xml:space="preserve">Section </w:t>
      </w:r>
      <w:r w:rsidR="00201AF6" w:rsidRPr="00201AF6">
        <w:rPr>
          <w:b/>
          <w:color w:val="0070C0"/>
        </w:rPr>
        <w:fldChar w:fldCharType="begin"/>
      </w:r>
      <w:r w:rsidR="00201AF6" w:rsidRPr="00201AF6">
        <w:rPr>
          <w:b/>
          <w:color w:val="0070C0"/>
        </w:rPr>
        <w:instrText xml:space="preserve"> REF _Ref398152553 \r \h  \* MERGEFORMAT </w:instrText>
      </w:r>
      <w:r w:rsidR="00201AF6" w:rsidRPr="00201AF6">
        <w:rPr>
          <w:b/>
          <w:color w:val="0070C0"/>
        </w:rPr>
      </w:r>
      <w:r w:rsidR="00201AF6" w:rsidRPr="00201AF6">
        <w:rPr>
          <w:b/>
          <w:color w:val="0070C0"/>
        </w:rPr>
        <w:fldChar w:fldCharType="separate"/>
      </w:r>
      <w:r w:rsidR="000223E8">
        <w:rPr>
          <w:b/>
          <w:color w:val="0070C0"/>
        </w:rPr>
        <w:t>0</w:t>
      </w:r>
      <w:r w:rsidR="00201AF6" w:rsidRPr="00201AF6">
        <w:rPr>
          <w:b/>
          <w:color w:val="0070C0"/>
        </w:rPr>
        <w:fldChar w:fldCharType="end"/>
      </w:r>
      <w:r w:rsidR="00201AF6">
        <w:t xml:space="preserve"> on the right of children to be heard). </w:t>
      </w:r>
    </w:p>
    <w:p w:rsidR="0073680B" w:rsidRDefault="0073680B" w:rsidP="006C7CC7">
      <w:pPr>
        <w:pStyle w:val="BodyText"/>
      </w:pPr>
      <w:r>
        <w:t xml:space="preserve">In CY, </w:t>
      </w:r>
      <w:r w:rsidR="001F4B4A">
        <w:t>c</w:t>
      </w:r>
      <w:r>
        <w:t xml:space="preserve">ase-law foresees that </w:t>
      </w:r>
      <w:r w:rsidRPr="00007D34">
        <w:t>the court must take the child’s wishes into account at the age of 14 for boys and 16 for girls.</w:t>
      </w:r>
      <w:r w:rsidR="00050135">
        <w:t xml:space="preserve"> </w:t>
      </w:r>
    </w:p>
    <w:p w:rsidR="0073680B" w:rsidRDefault="007A5429" w:rsidP="006C7CC7">
      <w:pPr>
        <w:pStyle w:val="BodyText"/>
      </w:pPr>
      <w:r>
        <w:t xml:space="preserve">In BE and LU, the minimum age at which a subject can participate in the proceedings in his or her own right is 18 – in other words, child subjects must always be represented by their parents or guardians (although the judge can waive this provision in particular cases). </w:t>
      </w:r>
    </w:p>
    <w:p w:rsidR="0042732D" w:rsidRPr="009C783A" w:rsidRDefault="0042732D" w:rsidP="006C7CC7">
      <w:pPr>
        <w:pStyle w:val="Heading4NoNumb"/>
        <w:ind w:firstLine="851"/>
      </w:pPr>
      <w:r w:rsidRPr="009C783A">
        <w:t>Child witnesses</w:t>
      </w:r>
      <w:r w:rsidR="007B0851">
        <w:t xml:space="preserve"> (CivAdm050)</w:t>
      </w:r>
    </w:p>
    <w:p w:rsidR="009C783A" w:rsidRDefault="0042732D" w:rsidP="006C7CC7">
      <w:pPr>
        <w:pStyle w:val="BodyText"/>
      </w:pPr>
      <w:r w:rsidRPr="0042732D">
        <w:t xml:space="preserve">Statutory conditions </w:t>
      </w:r>
      <w:r>
        <w:t xml:space="preserve">for children </w:t>
      </w:r>
      <w:r w:rsidRPr="0042732D">
        <w:t>to participate as witness</w:t>
      </w:r>
      <w:r w:rsidR="000E274A">
        <w:t>es</w:t>
      </w:r>
      <w:r w:rsidRPr="0042732D">
        <w:t xml:space="preserve"> apply in </w:t>
      </w:r>
      <w:r w:rsidR="002A392D">
        <w:t>nine</w:t>
      </w:r>
      <w:r w:rsidRPr="0042732D">
        <w:t xml:space="preserve"> MS (CY, FI, FR, EL, IT, LU, NL, PL, ES).</w:t>
      </w:r>
      <w:r w:rsidR="00050135">
        <w:t xml:space="preserve"> </w:t>
      </w:r>
      <w:r>
        <w:t>In the othe</w:t>
      </w:r>
      <w:r w:rsidR="008C4375">
        <w:t>r 21 jurisdictions,</w:t>
      </w:r>
      <w:r w:rsidR="00564D51">
        <w:t xml:space="preserve"> </w:t>
      </w:r>
      <w:r w:rsidR="00564D51" w:rsidRPr="00564D51">
        <w:t>there are no specific leg</w:t>
      </w:r>
      <w:r w:rsidR="002B268F">
        <w:t>islative provisions for child</w:t>
      </w:r>
      <w:r w:rsidR="00564D51" w:rsidRPr="00564D51">
        <w:t xml:space="preserve"> witnesses</w:t>
      </w:r>
      <w:r w:rsidR="009C783A">
        <w:t xml:space="preserve">; in these cases, general rules tend to apply e.g. </w:t>
      </w:r>
      <w:r w:rsidR="009C783A" w:rsidRPr="009C783A">
        <w:t>general rules that s</w:t>
      </w:r>
      <w:r w:rsidR="009C783A">
        <w:t>et conditions applying to adult</w:t>
      </w:r>
      <w:r w:rsidR="009C783A" w:rsidRPr="009C783A">
        <w:t xml:space="preserve"> witnesses or general </w:t>
      </w:r>
      <w:r w:rsidR="009C783A">
        <w:t xml:space="preserve">rules regarding the </w:t>
      </w:r>
      <w:r w:rsidR="009C783A" w:rsidRPr="009C783A">
        <w:t xml:space="preserve">conditions </w:t>
      </w:r>
      <w:r w:rsidR="009C783A">
        <w:t xml:space="preserve">for children to be heard. </w:t>
      </w:r>
    </w:p>
    <w:p w:rsidR="002B268F" w:rsidRPr="006C7CC7" w:rsidRDefault="008C4375" w:rsidP="006C7CC7">
      <w:pPr>
        <w:pStyle w:val="BodyText"/>
      </w:pPr>
      <w:r w:rsidRPr="002B268F">
        <w:t xml:space="preserve">Where </w:t>
      </w:r>
      <w:r w:rsidR="009C783A" w:rsidRPr="002B268F">
        <w:t xml:space="preserve">specific </w:t>
      </w:r>
      <w:r w:rsidRPr="002B268F">
        <w:t xml:space="preserve">statutory conditions for children to participate as </w:t>
      </w:r>
      <w:r w:rsidR="006835B8" w:rsidRPr="002B268F">
        <w:t xml:space="preserve">a </w:t>
      </w:r>
      <w:r w:rsidRPr="002B268F">
        <w:t>witness apply, t</w:t>
      </w:r>
      <w:r w:rsidR="0042732D" w:rsidRPr="002B268F">
        <w:t>he conditions vary between MS</w:t>
      </w:r>
      <w:r w:rsidR="009C783A" w:rsidRPr="002B268F">
        <w:t>:</w:t>
      </w:r>
    </w:p>
    <w:p w:rsidR="002B268F" w:rsidRPr="00EE0223" w:rsidRDefault="0042732D" w:rsidP="006C7CC7">
      <w:pPr>
        <w:pStyle w:val="BTBullet1"/>
      </w:pPr>
      <w:r w:rsidRPr="00EE0223">
        <w:t xml:space="preserve">Some MS consider whether a child is </w:t>
      </w:r>
      <w:r w:rsidRPr="00EE0223">
        <w:rPr>
          <w:b/>
        </w:rPr>
        <w:t>sufficiently mature or has sufficient comprehension to testify</w:t>
      </w:r>
      <w:r w:rsidR="002B268F" w:rsidRPr="00EE0223">
        <w:rPr>
          <w:b/>
        </w:rPr>
        <w:t xml:space="preserve"> </w:t>
      </w:r>
      <w:r w:rsidR="002B268F" w:rsidRPr="00EE0223">
        <w:t>(e.g. CY, LU and IT)</w:t>
      </w:r>
      <w:r w:rsidRPr="00EE0223">
        <w:t xml:space="preserve">. In CY, </w:t>
      </w:r>
      <w:r w:rsidR="000E50F8">
        <w:t xml:space="preserve">as described above under child </w:t>
      </w:r>
      <w:r w:rsidR="000E50F8">
        <w:lastRenderedPageBreak/>
        <w:t xml:space="preserve">subjects, </w:t>
      </w:r>
      <w:r w:rsidRPr="00EE0223">
        <w:t xml:space="preserve">the </w:t>
      </w:r>
      <w:r w:rsidR="000E50F8">
        <w:t>assessment whether a chil</w:t>
      </w:r>
      <w:r w:rsidRPr="00EE0223">
        <w:t>d</w:t>
      </w:r>
      <w:r w:rsidR="000E50F8">
        <w:t xml:space="preserve"> witness</w:t>
      </w:r>
      <w:r w:rsidRPr="00EE0223">
        <w:t xml:space="preserve"> is </w:t>
      </w:r>
      <w:r w:rsidR="000E50F8">
        <w:t xml:space="preserve">considered </w:t>
      </w:r>
      <w:r w:rsidR="002B268F" w:rsidRPr="00EE0223">
        <w:t>adequately mature</w:t>
      </w:r>
      <w:r w:rsidR="000E50F8">
        <w:t xml:space="preserve"> also depends on the child’s gender.</w:t>
      </w:r>
      <w:r w:rsidR="001663C5">
        <w:t xml:space="preserve"> T</w:t>
      </w:r>
      <w:r w:rsidRPr="00EE0223">
        <w:t>his condition applies in family, employment and placement into care. Similarly in LU there is no age restriction for a child to participate as a witness as long as he/she has the capacity of discernment. This applies to all areas of law except</w:t>
      </w:r>
      <w:r w:rsidR="002B268F" w:rsidRPr="00EE0223">
        <w:t xml:space="preserve"> offences committed</w:t>
      </w:r>
      <w:r w:rsidR="00A90546">
        <w:t>/offending behaviour</w:t>
      </w:r>
      <w:r w:rsidR="002B268F" w:rsidRPr="00EE0223">
        <w:t xml:space="preserve"> by children under </w:t>
      </w:r>
      <w:r w:rsidRPr="00EE0223">
        <w:t xml:space="preserve">MACR. In IT, </w:t>
      </w:r>
      <w:r w:rsidR="002B268F" w:rsidRPr="00EE0223">
        <w:t xml:space="preserve">the </w:t>
      </w:r>
      <w:r w:rsidRPr="00EE0223">
        <w:t xml:space="preserve">child </w:t>
      </w:r>
      <w:r w:rsidR="002B268F" w:rsidRPr="00EE0223">
        <w:t xml:space="preserve">must be </w:t>
      </w:r>
      <w:r w:rsidRPr="00EE0223">
        <w:t>sufficiently mature and fit to testify</w:t>
      </w:r>
      <w:r w:rsidR="00410B32" w:rsidRPr="00EE0223">
        <w:t>.</w:t>
      </w:r>
    </w:p>
    <w:p w:rsidR="002B268F" w:rsidRPr="00EE0223" w:rsidRDefault="0042732D" w:rsidP="006C7CC7">
      <w:pPr>
        <w:pStyle w:val="BTBullet1"/>
      </w:pPr>
      <w:r w:rsidRPr="00EE0223">
        <w:t xml:space="preserve">In </w:t>
      </w:r>
      <w:r w:rsidR="002B268F" w:rsidRPr="00EE0223">
        <w:t xml:space="preserve">other MS, there is a </w:t>
      </w:r>
      <w:r w:rsidR="002B268F" w:rsidRPr="00EE0223">
        <w:rPr>
          <w:b/>
        </w:rPr>
        <w:t>minimum age</w:t>
      </w:r>
      <w:r w:rsidR="002B268F" w:rsidRPr="00EE0223">
        <w:t xml:space="preserve"> at which a child can participate as a witness (e.g. ES and PL). I</w:t>
      </w:r>
      <w:r w:rsidRPr="00EE0223">
        <w:t>n ES the</w:t>
      </w:r>
      <w:r w:rsidR="002B268F" w:rsidRPr="00EE0223">
        <w:t xml:space="preserve"> minimum age is</w:t>
      </w:r>
      <w:r w:rsidRPr="00EE0223">
        <w:t xml:space="preserve"> 14 years old. This applies in all areas of law except </w:t>
      </w:r>
      <w:r w:rsidR="002B268F" w:rsidRPr="00EE0223">
        <w:t xml:space="preserve">offences committed by children under </w:t>
      </w:r>
      <w:r w:rsidRPr="00EE0223">
        <w:t>MACR.</w:t>
      </w:r>
      <w:r w:rsidR="00050135">
        <w:t xml:space="preserve"> </w:t>
      </w:r>
      <w:r w:rsidRPr="00EE0223">
        <w:t>In PL, in family cases, children below the age of 13 cannot be witnesses.</w:t>
      </w:r>
      <w:r w:rsidR="00050135">
        <w:t xml:space="preserve"> </w:t>
      </w:r>
      <w:r w:rsidRPr="00EE0223">
        <w:t xml:space="preserve">In all other areas of law, anyone who is not able to perceive or communicate his/her understanding of the case cannot be a witness. This may include children. </w:t>
      </w:r>
    </w:p>
    <w:p w:rsidR="002B268F" w:rsidRPr="00EE0223" w:rsidRDefault="0042732D" w:rsidP="006C7CC7">
      <w:pPr>
        <w:pStyle w:val="BTBullet1"/>
      </w:pPr>
      <w:r w:rsidRPr="00EE0223">
        <w:t xml:space="preserve">Some MS focus on </w:t>
      </w:r>
      <w:r w:rsidRPr="00EE0223">
        <w:rPr>
          <w:b/>
        </w:rPr>
        <w:t>whether the child is likely to suffer harm</w:t>
      </w:r>
      <w:r w:rsidRPr="00EE0223">
        <w:t xml:space="preserve"> if called to be a witness</w:t>
      </w:r>
      <w:r w:rsidR="00410B32" w:rsidRPr="00EE0223">
        <w:t xml:space="preserve"> (e.g. FI, IT, PL)</w:t>
      </w:r>
      <w:r w:rsidRPr="00EE0223">
        <w:t>. For example, in F</w:t>
      </w:r>
      <w:r w:rsidR="002B268F" w:rsidRPr="00EE0223">
        <w:t>I,</w:t>
      </w:r>
      <w:r w:rsidRPr="00EE0223">
        <w:t xml:space="preserve"> </w:t>
      </w:r>
      <w:r w:rsidR="002B268F" w:rsidRPr="00EE0223">
        <w:t>c</w:t>
      </w:r>
      <w:r w:rsidRPr="00EE0223">
        <w:t>hildren under 15 years old can be heard as witnesses if the court deems this appropriate and if the hearing of the child personally is of central significance to the clarification of the matter and would not cause the child suffering or o</w:t>
      </w:r>
      <w:r w:rsidR="00410B32" w:rsidRPr="00EE0223">
        <w:t xml:space="preserve">ther harm that could injure his or </w:t>
      </w:r>
      <w:r w:rsidRPr="00EE0223">
        <w:t xml:space="preserve">her </w:t>
      </w:r>
      <w:r w:rsidR="00410B32" w:rsidRPr="00EE0223">
        <w:t>d</w:t>
      </w:r>
      <w:r w:rsidRPr="00EE0223">
        <w:t xml:space="preserve">evelopment. IT considers whether the child </w:t>
      </w:r>
      <w:r w:rsidR="00410B32" w:rsidRPr="00EE0223">
        <w:t xml:space="preserve">witness </w:t>
      </w:r>
      <w:r w:rsidRPr="00EE0223">
        <w:t>will be ade</w:t>
      </w:r>
      <w:r w:rsidR="002B268F" w:rsidRPr="00EE0223">
        <w:t>quately protected</w:t>
      </w:r>
      <w:r w:rsidR="00410B32" w:rsidRPr="00EE0223">
        <w:t xml:space="preserve">; and in PL, </w:t>
      </w:r>
      <w:r w:rsidRPr="00EE0223">
        <w:t>some family members of parties to the proceedings may not be subject to the general obligation to be a witness</w:t>
      </w:r>
      <w:r w:rsidR="00410B32" w:rsidRPr="00EE0223">
        <w:t>.</w:t>
      </w:r>
    </w:p>
    <w:p w:rsidR="002B268F" w:rsidRPr="00EE0223" w:rsidRDefault="0042732D" w:rsidP="006C7CC7">
      <w:pPr>
        <w:pStyle w:val="BTBullet1"/>
      </w:pPr>
      <w:r w:rsidRPr="00EE0223">
        <w:t xml:space="preserve">Other MS consider </w:t>
      </w:r>
      <w:r w:rsidRPr="00EE0223">
        <w:rPr>
          <w:b/>
        </w:rPr>
        <w:t>whether the child wishes to give evidence</w:t>
      </w:r>
      <w:r w:rsidRPr="00EE0223">
        <w:t>. In NL, in family matters, the child can refuse to testify at any stage of the proceedings.</w:t>
      </w:r>
      <w:r w:rsidR="00050135">
        <w:t xml:space="preserve"> </w:t>
      </w:r>
      <w:r w:rsidRPr="00EE0223">
        <w:t xml:space="preserve">In FR, in family and placement into care matters, one of the circumstances in which a child may be a witness is where he/she willingly wishes to explain what he/she witnessed. </w:t>
      </w:r>
    </w:p>
    <w:p w:rsidR="0042732D" w:rsidRPr="00EE0223" w:rsidRDefault="0042732D" w:rsidP="006C7CC7">
      <w:pPr>
        <w:pStyle w:val="BTBullet1"/>
      </w:pPr>
      <w:r w:rsidRPr="00EE0223">
        <w:t>In EL, in practice, a child’s parents are likely to be asked by the court if they are aware that the child has been asked to testify although this is not a statutory requirement. This applies in health, employment and placement into care. In other areas of law, children have the same obligations as adult witnesses.</w:t>
      </w:r>
    </w:p>
    <w:p w:rsidR="00E00F41" w:rsidRPr="000E6087" w:rsidRDefault="00E00F41" w:rsidP="00A5732C">
      <w:pPr>
        <w:pStyle w:val="Heading3"/>
      </w:pPr>
      <w:bookmarkStart w:id="137" w:name="_Toc408908706"/>
      <w:r w:rsidRPr="000E6087">
        <w:t>Measures in place to facilitate a child’</w:t>
      </w:r>
      <w:r w:rsidR="00F41E08" w:rsidRPr="000E6087">
        <w:t>s right to file a claim</w:t>
      </w:r>
      <w:bookmarkEnd w:id="137"/>
    </w:p>
    <w:p w:rsidR="00F41E08" w:rsidRDefault="00DD5459" w:rsidP="006C7CC7">
      <w:pPr>
        <w:pStyle w:val="BodyText"/>
      </w:pPr>
      <w:r>
        <w:t xml:space="preserve">A number of MS have adopted </w:t>
      </w:r>
      <w:r w:rsidR="00F41E08">
        <w:t xml:space="preserve">measures to facilitate a </w:t>
      </w:r>
      <w:r>
        <w:t xml:space="preserve">child’s right </w:t>
      </w:r>
      <w:r w:rsidR="00F41E08">
        <w:t>to file a claim, including in cases whe</w:t>
      </w:r>
      <w:r w:rsidR="00B02952">
        <w:t xml:space="preserve">re the claim must be filed </w:t>
      </w:r>
      <w:r w:rsidR="00F41E08">
        <w:t xml:space="preserve">on behalf of the child. </w:t>
      </w:r>
      <w:r w:rsidR="00AE3916">
        <w:t>This sub-section looks at two such</w:t>
      </w:r>
      <w:r w:rsidR="004F667D">
        <w:t xml:space="preserve"> measures:</w:t>
      </w:r>
      <w:r w:rsidR="00F41E08">
        <w:t xml:space="preserve"> discretionary powers on the part of </w:t>
      </w:r>
      <w:r w:rsidR="00AE3916">
        <w:t>the judge</w:t>
      </w:r>
      <w:r w:rsidR="00F41E08">
        <w:t xml:space="preserve"> to grant dispensation as to the minimum age of procedural capacity</w:t>
      </w:r>
      <w:r w:rsidR="006D3089">
        <w:t xml:space="preserve">, thereby allowing </w:t>
      </w:r>
      <w:r>
        <w:t>children to file claims in their own right</w:t>
      </w:r>
      <w:r w:rsidR="00F41E08">
        <w:t xml:space="preserve">; </w:t>
      </w:r>
      <w:r w:rsidR="00B327CE">
        <w:t>and</w:t>
      </w:r>
      <w:r w:rsidR="00F41E08">
        <w:t xml:space="preserve"> </w:t>
      </w:r>
      <w:r>
        <w:t xml:space="preserve">the </w:t>
      </w:r>
      <w:r w:rsidR="00F41E08">
        <w:t xml:space="preserve">existence of statutory conditions attached to </w:t>
      </w:r>
      <w:r w:rsidR="00F41E08">
        <w:lastRenderedPageBreak/>
        <w:t>representation of the child by a legal representative or guardian</w:t>
      </w:r>
      <w:r>
        <w:t xml:space="preserve">, thereby ensuring that the child retains some </w:t>
      </w:r>
      <w:r w:rsidR="00AE3916">
        <w:t>influence over the proceedings</w:t>
      </w:r>
      <w:r>
        <w:t xml:space="preserve"> even if he or she must rely on a legal representative to bring the claim to court.</w:t>
      </w:r>
    </w:p>
    <w:p w:rsidR="007E5941" w:rsidRPr="00AE4C8A" w:rsidRDefault="007E5941" w:rsidP="006C7CC7">
      <w:pPr>
        <w:pStyle w:val="Heading4NoNumb"/>
        <w:ind w:firstLine="851"/>
      </w:pPr>
      <w:r w:rsidRPr="000E6087">
        <w:t>Judicial discretion to grant dispensation as to the minimum age</w:t>
      </w:r>
      <w:r w:rsidR="00AE4C8A">
        <w:t xml:space="preserve"> (CivAdm046)</w:t>
      </w:r>
    </w:p>
    <w:p w:rsidR="00845E37" w:rsidRPr="00CC1B18" w:rsidRDefault="00765F3D" w:rsidP="00CC1B18">
      <w:pPr>
        <w:pStyle w:val="BodyText"/>
      </w:pPr>
      <w:r w:rsidRPr="00765F3D">
        <w:t xml:space="preserve">In </w:t>
      </w:r>
      <w:r>
        <w:t xml:space="preserve">nine </w:t>
      </w:r>
      <w:r w:rsidRPr="00765F3D">
        <w:t>jurisdictions</w:t>
      </w:r>
      <w:r>
        <w:t xml:space="preserve"> (BE, CZ, EE, EL, MT, NL, RO, SI, UK-S), the judge or court </w:t>
      </w:r>
      <w:r w:rsidR="00A645A3">
        <w:t>has</w:t>
      </w:r>
      <w:r>
        <w:t xml:space="preserve"> discretionary powers to grant dispensation as to the minimum age at which a child can bring a case to court in their own right. As </w:t>
      </w:r>
      <w:r w:rsidR="00A645A3">
        <w:t xml:space="preserve">indicated in </w:t>
      </w:r>
      <w:r w:rsidR="00F333B9" w:rsidRPr="00F333B9">
        <w:rPr>
          <w:b/>
          <w:color w:val="0070C0"/>
        </w:rPr>
        <w:fldChar w:fldCharType="begin"/>
      </w:r>
      <w:r w:rsidR="00F333B9" w:rsidRPr="00F333B9">
        <w:rPr>
          <w:b/>
          <w:color w:val="0070C0"/>
        </w:rPr>
        <w:instrText xml:space="preserve"> REF _Ref397689185 \r \h  \* MERGEFORMAT </w:instrText>
      </w:r>
      <w:r w:rsidR="00F333B9" w:rsidRPr="00F333B9">
        <w:rPr>
          <w:b/>
          <w:color w:val="0070C0"/>
        </w:rPr>
      </w:r>
      <w:r w:rsidR="00F333B9" w:rsidRPr="00F333B9">
        <w:rPr>
          <w:b/>
          <w:color w:val="0070C0"/>
        </w:rPr>
        <w:fldChar w:fldCharType="separate"/>
      </w:r>
      <w:r w:rsidR="000223E8">
        <w:rPr>
          <w:b/>
          <w:color w:val="0070C0"/>
        </w:rPr>
        <w:t>0</w:t>
      </w:r>
      <w:r w:rsidR="00F333B9" w:rsidRPr="00F333B9">
        <w:rPr>
          <w:b/>
          <w:color w:val="0070C0"/>
        </w:rPr>
        <w:fldChar w:fldCharType="end"/>
      </w:r>
      <w:r w:rsidR="00D91100" w:rsidRPr="00007D34">
        <w:rPr>
          <w:color w:val="0070C0"/>
        </w:rPr>
        <w:t xml:space="preserve"> just below</w:t>
      </w:r>
      <w:r>
        <w:t xml:space="preserve"> in </w:t>
      </w:r>
      <w:r w:rsidR="00BC61C1">
        <w:t>three of the MS concer</w:t>
      </w:r>
      <w:r w:rsidR="004F667D">
        <w:t>ned (BE, CZ and EE) judges have</w:t>
      </w:r>
      <w:r w:rsidR="00BC61C1">
        <w:t xml:space="preserve"> these discretionary powers as regards all</w:t>
      </w:r>
      <w:r w:rsidR="00F333B9">
        <w:t xml:space="preserve"> areas of law. In the other six</w:t>
      </w:r>
      <w:r w:rsidR="00BC61C1">
        <w:t xml:space="preserve"> MS, the discretionary powers only cover certain areas of law.</w:t>
      </w:r>
      <w:r>
        <w:t xml:space="preserve"> </w:t>
      </w:r>
      <w:bookmarkStart w:id="138" w:name="_Ref397689185"/>
    </w:p>
    <w:p w:rsidR="00765F3D" w:rsidRDefault="00DA63F6" w:rsidP="00CC1B18">
      <w:pPr>
        <w:pStyle w:val="Table"/>
        <w:numPr>
          <w:ilvl w:val="6"/>
          <w:numId w:val="26"/>
        </w:numPr>
        <w:ind w:hanging="1118"/>
      </w:pPr>
      <w:bookmarkStart w:id="139" w:name="_Toc408908616"/>
      <w:r>
        <w:t>Existence of discretionary powers on the part of a judge or</w:t>
      </w:r>
      <w:r w:rsidR="00F906CC">
        <w:t xml:space="preserve"> court to grant dispensation </w:t>
      </w:r>
      <w:r>
        <w:t>as to the minimum age of procedural capacity</w:t>
      </w:r>
      <w:bookmarkEnd w:id="138"/>
      <w:r w:rsidR="00D91100">
        <w:t xml:space="preserve"> (nine jurisdictions)</w:t>
      </w:r>
      <w:bookmarkEnd w:id="139"/>
    </w:p>
    <w:tbl>
      <w:tblPr>
        <w:tblStyle w:val="TableGrid"/>
        <w:tblW w:w="8258" w:type="dxa"/>
        <w:tblInd w:w="813"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900"/>
        <w:gridCol w:w="3027"/>
        <w:gridCol w:w="4331"/>
      </w:tblGrid>
      <w:tr w:rsidR="006C7CC7" w:rsidRPr="00036276" w:rsidTr="00CC1B18">
        <w:trPr>
          <w:tblHeader/>
        </w:trPr>
        <w:tc>
          <w:tcPr>
            <w:tcW w:w="900" w:type="dxa"/>
            <w:shd w:val="clear" w:color="auto" w:fill="DBE5F1" w:themeFill="accent1" w:themeFillTint="33"/>
          </w:tcPr>
          <w:p w:rsidR="00765F3D" w:rsidRPr="00CC1B18" w:rsidRDefault="00765F3D" w:rsidP="006C7CC7">
            <w:pPr>
              <w:pStyle w:val="TableTextNoSpace"/>
              <w:rPr>
                <w:b/>
              </w:rPr>
            </w:pPr>
            <w:r w:rsidRPr="00CC1B18">
              <w:rPr>
                <w:b/>
              </w:rPr>
              <w:t>MS</w:t>
            </w:r>
          </w:p>
        </w:tc>
        <w:tc>
          <w:tcPr>
            <w:tcW w:w="3027" w:type="dxa"/>
            <w:shd w:val="clear" w:color="auto" w:fill="DBE5F1" w:themeFill="accent1" w:themeFillTint="33"/>
          </w:tcPr>
          <w:p w:rsidR="00765F3D" w:rsidRPr="00CC1B18" w:rsidRDefault="00BC61C1" w:rsidP="006C7CC7">
            <w:pPr>
              <w:pStyle w:val="TableTextNoSpace"/>
              <w:rPr>
                <w:b/>
              </w:rPr>
            </w:pPr>
            <w:r w:rsidRPr="00CC1B18">
              <w:rPr>
                <w:b/>
              </w:rPr>
              <w:t>Areas of law</w:t>
            </w:r>
          </w:p>
        </w:tc>
        <w:tc>
          <w:tcPr>
            <w:tcW w:w="4331" w:type="dxa"/>
            <w:shd w:val="clear" w:color="auto" w:fill="DBE5F1" w:themeFill="accent1" w:themeFillTint="33"/>
          </w:tcPr>
          <w:p w:rsidR="00765F3D" w:rsidRPr="00CC1B18" w:rsidRDefault="00497924" w:rsidP="006C7CC7">
            <w:pPr>
              <w:pStyle w:val="TableTextNoSpace"/>
              <w:rPr>
                <w:b/>
              </w:rPr>
            </w:pPr>
            <w:r w:rsidRPr="00CC1B18">
              <w:rPr>
                <w:b/>
              </w:rPr>
              <w:t>Circumstances when discretion can be applied</w:t>
            </w:r>
          </w:p>
        </w:tc>
      </w:tr>
      <w:tr w:rsidR="006C7CC7" w:rsidRPr="00036276" w:rsidTr="006C7CC7">
        <w:trPr>
          <w:trHeight w:val="392"/>
        </w:trPr>
        <w:tc>
          <w:tcPr>
            <w:tcW w:w="900" w:type="dxa"/>
            <w:shd w:val="clear" w:color="auto" w:fill="auto"/>
          </w:tcPr>
          <w:p w:rsidR="00765F3D" w:rsidRPr="00036276" w:rsidRDefault="00765F3D" w:rsidP="006C7CC7">
            <w:pPr>
              <w:pStyle w:val="TableTextNoSpace"/>
            </w:pPr>
            <w:r w:rsidRPr="00036276">
              <w:rPr>
                <w:b/>
              </w:rPr>
              <w:t>BE</w:t>
            </w:r>
          </w:p>
        </w:tc>
        <w:tc>
          <w:tcPr>
            <w:tcW w:w="3027" w:type="dxa"/>
            <w:shd w:val="clear" w:color="auto" w:fill="auto"/>
          </w:tcPr>
          <w:p w:rsidR="00765F3D" w:rsidRPr="00036276" w:rsidRDefault="00BC61C1" w:rsidP="006C7CC7">
            <w:pPr>
              <w:pStyle w:val="TableTextNoSpace"/>
            </w:pPr>
            <w:r w:rsidRPr="00036276">
              <w:t>All areas of law</w:t>
            </w:r>
          </w:p>
        </w:tc>
        <w:tc>
          <w:tcPr>
            <w:tcW w:w="4331" w:type="dxa"/>
            <w:shd w:val="clear" w:color="auto" w:fill="auto"/>
          </w:tcPr>
          <w:p w:rsidR="00765F3D" w:rsidRPr="00036276" w:rsidRDefault="00F333B9" w:rsidP="006C7CC7">
            <w:pPr>
              <w:pStyle w:val="TableTextNoSpace"/>
            </w:pPr>
            <w:r>
              <w:t>In case of conflicts of interest with the parents or when the action is considered absolutely necessary</w:t>
            </w:r>
          </w:p>
        </w:tc>
      </w:tr>
      <w:tr w:rsidR="006C7CC7" w:rsidRPr="00036276" w:rsidTr="006C7CC7">
        <w:trPr>
          <w:trHeight w:val="28"/>
        </w:trPr>
        <w:tc>
          <w:tcPr>
            <w:tcW w:w="900" w:type="dxa"/>
            <w:shd w:val="clear" w:color="auto" w:fill="auto"/>
          </w:tcPr>
          <w:p w:rsidR="00765F3D" w:rsidRPr="00036276" w:rsidRDefault="00765F3D" w:rsidP="006C7CC7">
            <w:pPr>
              <w:pStyle w:val="TableTextNoSpace"/>
            </w:pPr>
            <w:r w:rsidRPr="00036276">
              <w:rPr>
                <w:b/>
              </w:rPr>
              <w:t>CZ</w:t>
            </w:r>
          </w:p>
        </w:tc>
        <w:tc>
          <w:tcPr>
            <w:tcW w:w="3027" w:type="dxa"/>
            <w:shd w:val="clear" w:color="auto" w:fill="auto"/>
          </w:tcPr>
          <w:p w:rsidR="00765F3D" w:rsidRPr="00036276" w:rsidRDefault="00BC61C1" w:rsidP="006C7CC7">
            <w:pPr>
              <w:pStyle w:val="TableTextNoSpace"/>
            </w:pPr>
            <w:r w:rsidRPr="00036276">
              <w:t>All areas of law</w:t>
            </w:r>
          </w:p>
        </w:tc>
        <w:tc>
          <w:tcPr>
            <w:tcW w:w="4331" w:type="dxa"/>
            <w:shd w:val="clear" w:color="auto" w:fill="auto"/>
          </w:tcPr>
          <w:p w:rsidR="00765F3D" w:rsidRPr="00036276" w:rsidRDefault="00497924" w:rsidP="006C7CC7">
            <w:pPr>
              <w:pStyle w:val="TableTextNoSpace"/>
            </w:pPr>
            <w:r w:rsidRPr="00036276">
              <w:t>In all cases – in the context of assessing</w:t>
            </w:r>
            <w:r w:rsidR="00F906CC" w:rsidRPr="00036276">
              <w:t xml:space="preserve"> the child’s evolving capacity</w:t>
            </w:r>
          </w:p>
        </w:tc>
      </w:tr>
      <w:tr w:rsidR="006C7CC7" w:rsidRPr="00036276" w:rsidTr="006C7CC7">
        <w:tc>
          <w:tcPr>
            <w:tcW w:w="900" w:type="dxa"/>
            <w:shd w:val="clear" w:color="auto" w:fill="auto"/>
          </w:tcPr>
          <w:p w:rsidR="00765F3D" w:rsidRPr="00036276" w:rsidRDefault="00765F3D" w:rsidP="006C7CC7">
            <w:pPr>
              <w:pStyle w:val="TableTextNoSpace"/>
            </w:pPr>
            <w:r w:rsidRPr="00036276">
              <w:rPr>
                <w:b/>
              </w:rPr>
              <w:t>EE</w:t>
            </w:r>
          </w:p>
        </w:tc>
        <w:tc>
          <w:tcPr>
            <w:tcW w:w="3027" w:type="dxa"/>
            <w:shd w:val="clear" w:color="auto" w:fill="auto"/>
          </w:tcPr>
          <w:p w:rsidR="00765F3D" w:rsidRPr="00036276" w:rsidRDefault="00BC61C1" w:rsidP="006C7CC7">
            <w:pPr>
              <w:pStyle w:val="TableTextNoSpace"/>
            </w:pPr>
            <w:r w:rsidRPr="00036276">
              <w:t>All areas of law</w:t>
            </w:r>
          </w:p>
        </w:tc>
        <w:tc>
          <w:tcPr>
            <w:tcW w:w="4331" w:type="dxa"/>
            <w:shd w:val="clear" w:color="auto" w:fill="auto"/>
          </w:tcPr>
          <w:p w:rsidR="00765F3D" w:rsidRPr="00036276" w:rsidRDefault="00497924" w:rsidP="006C7CC7">
            <w:pPr>
              <w:pStyle w:val="TableTextNoSpace"/>
            </w:pPr>
            <w:r w:rsidRPr="00036276">
              <w:t>In the context of a request by a child aged 16+</w:t>
            </w:r>
            <w:r w:rsidR="00F906CC" w:rsidRPr="00036276">
              <w:t xml:space="preserve"> for emancipation or </w:t>
            </w:r>
            <w:r w:rsidRPr="00036276">
              <w:t>in</w:t>
            </w:r>
            <w:r w:rsidR="00F906CC" w:rsidRPr="00036276">
              <w:t xml:space="preserve"> cases where </w:t>
            </w:r>
            <w:r w:rsidRPr="00036276">
              <w:t xml:space="preserve">the </w:t>
            </w:r>
            <w:r w:rsidR="00F906CC" w:rsidRPr="00036276">
              <w:t>child is in need of protection</w:t>
            </w:r>
            <w:r w:rsidRPr="00036276">
              <w:t xml:space="preserve"> </w:t>
            </w:r>
          </w:p>
        </w:tc>
      </w:tr>
      <w:tr w:rsidR="006C7CC7" w:rsidRPr="00036276" w:rsidTr="006C7CC7">
        <w:trPr>
          <w:trHeight w:val="329"/>
        </w:trPr>
        <w:tc>
          <w:tcPr>
            <w:tcW w:w="900" w:type="dxa"/>
            <w:shd w:val="clear" w:color="auto" w:fill="auto"/>
          </w:tcPr>
          <w:p w:rsidR="00765F3D" w:rsidRPr="00036276" w:rsidRDefault="00765F3D" w:rsidP="006C7CC7">
            <w:pPr>
              <w:pStyle w:val="TableTextNoSpace"/>
            </w:pPr>
            <w:r w:rsidRPr="00036276">
              <w:rPr>
                <w:b/>
              </w:rPr>
              <w:t>EL</w:t>
            </w:r>
          </w:p>
        </w:tc>
        <w:tc>
          <w:tcPr>
            <w:tcW w:w="3027" w:type="dxa"/>
            <w:shd w:val="clear" w:color="auto" w:fill="auto"/>
          </w:tcPr>
          <w:p w:rsidR="00765F3D" w:rsidRPr="00036276" w:rsidRDefault="00BC61C1" w:rsidP="006C7CC7">
            <w:pPr>
              <w:pStyle w:val="TableTextNoSpace"/>
            </w:pPr>
            <w:r w:rsidRPr="00036276">
              <w:t>All areas except employment and placement into care</w:t>
            </w:r>
          </w:p>
        </w:tc>
        <w:tc>
          <w:tcPr>
            <w:tcW w:w="4331" w:type="dxa"/>
            <w:shd w:val="clear" w:color="auto" w:fill="auto"/>
          </w:tcPr>
          <w:p w:rsidR="00765F3D" w:rsidRPr="00036276" w:rsidRDefault="00F906CC" w:rsidP="006C7CC7">
            <w:pPr>
              <w:pStyle w:val="TableTextNoSpace"/>
            </w:pPr>
            <w:r w:rsidRPr="00036276">
              <w:t>In the context of an injunction in order to prevent imminent danger</w:t>
            </w:r>
          </w:p>
        </w:tc>
      </w:tr>
      <w:tr w:rsidR="006C7CC7" w:rsidRPr="00036276" w:rsidTr="006C7CC7">
        <w:tc>
          <w:tcPr>
            <w:tcW w:w="900" w:type="dxa"/>
            <w:shd w:val="clear" w:color="auto" w:fill="auto"/>
          </w:tcPr>
          <w:p w:rsidR="00765F3D" w:rsidRPr="00036276" w:rsidRDefault="00765F3D" w:rsidP="006C7CC7">
            <w:pPr>
              <w:pStyle w:val="TableTextNoSpace"/>
            </w:pPr>
            <w:r w:rsidRPr="00036276">
              <w:rPr>
                <w:b/>
              </w:rPr>
              <w:t>MT</w:t>
            </w:r>
          </w:p>
        </w:tc>
        <w:tc>
          <w:tcPr>
            <w:tcW w:w="3027" w:type="dxa"/>
            <w:shd w:val="clear" w:color="auto" w:fill="auto"/>
          </w:tcPr>
          <w:p w:rsidR="00765F3D" w:rsidRPr="00036276" w:rsidRDefault="00BC61C1" w:rsidP="006C7CC7">
            <w:pPr>
              <w:pStyle w:val="TableTextNoSpace"/>
            </w:pPr>
            <w:r w:rsidRPr="00036276">
              <w:t>All areas except placement into care, administrative sanctions and offences below the age of criminal responsibility</w:t>
            </w:r>
          </w:p>
        </w:tc>
        <w:tc>
          <w:tcPr>
            <w:tcW w:w="4331" w:type="dxa"/>
            <w:shd w:val="clear" w:color="auto" w:fill="auto"/>
          </w:tcPr>
          <w:p w:rsidR="00765F3D" w:rsidRPr="00036276" w:rsidRDefault="00F906CC" w:rsidP="006C7CC7">
            <w:pPr>
              <w:pStyle w:val="TableTextNoSpace"/>
            </w:pPr>
            <w:r w:rsidRPr="00036276">
              <w:t>In cases where the legal representative is unable or unwilling</w:t>
            </w:r>
            <w:r w:rsidR="00497924" w:rsidRPr="00036276">
              <w:t>, due to absence or other reasons,</w:t>
            </w:r>
            <w:r w:rsidRPr="00036276">
              <w:t xml:space="preserve"> </w:t>
            </w:r>
            <w:r w:rsidR="00497924" w:rsidRPr="00036276">
              <w:t>to appear for the child</w:t>
            </w:r>
          </w:p>
        </w:tc>
      </w:tr>
      <w:tr w:rsidR="006C7CC7" w:rsidRPr="00036276" w:rsidTr="006C7CC7">
        <w:tc>
          <w:tcPr>
            <w:tcW w:w="900" w:type="dxa"/>
            <w:shd w:val="clear" w:color="auto" w:fill="auto"/>
          </w:tcPr>
          <w:p w:rsidR="00765F3D" w:rsidRPr="00036276" w:rsidRDefault="00765F3D" w:rsidP="006C7CC7">
            <w:pPr>
              <w:pStyle w:val="TableTextNoSpace"/>
            </w:pPr>
            <w:r w:rsidRPr="00036276">
              <w:rPr>
                <w:b/>
              </w:rPr>
              <w:t>NL</w:t>
            </w:r>
          </w:p>
        </w:tc>
        <w:tc>
          <w:tcPr>
            <w:tcW w:w="3027" w:type="dxa"/>
            <w:shd w:val="clear" w:color="auto" w:fill="auto"/>
          </w:tcPr>
          <w:p w:rsidR="00765F3D" w:rsidRPr="00036276" w:rsidRDefault="00BC61C1" w:rsidP="006C7CC7">
            <w:pPr>
              <w:pStyle w:val="TableTextNoSpace"/>
            </w:pPr>
            <w:r w:rsidRPr="00036276">
              <w:t>Family, migration, asylum and health</w:t>
            </w:r>
          </w:p>
        </w:tc>
        <w:tc>
          <w:tcPr>
            <w:tcW w:w="4331" w:type="dxa"/>
            <w:shd w:val="clear" w:color="auto" w:fill="auto"/>
          </w:tcPr>
          <w:p w:rsidR="00765F3D" w:rsidRPr="00036276" w:rsidRDefault="00497924" w:rsidP="006C7CC7">
            <w:pPr>
              <w:pStyle w:val="TableTextNoSpace"/>
            </w:pPr>
            <w:r w:rsidRPr="00036276">
              <w:t>In the context of a request by the child aged 16+ for emancipation</w:t>
            </w:r>
          </w:p>
        </w:tc>
      </w:tr>
      <w:tr w:rsidR="006C7CC7" w:rsidRPr="00036276" w:rsidTr="006C7CC7">
        <w:tc>
          <w:tcPr>
            <w:tcW w:w="900" w:type="dxa"/>
            <w:shd w:val="clear" w:color="auto" w:fill="auto"/>
          </w:tcPr>
          <w:p w:rsidR="00765F3D" w:rsidRPr="00036276" w:rsidRDefault="00765F3D" w:rsidP="006C7CC7">
            <w:pPr>
              <w:pStyle w:val="TableTextNoSpace"/>
            </w:pPr>
            <w:r w:rsidRPr="00036276">
              <w:rPr>
                <w:b/>
              </w:rPr>
              <w:t>RO</w:t>
            </w:r>
          </w:p>
        </w:tc>
        <w:tc>
          <w:tcPr>
            <w:tcW w:w="3027" w:type="dxa"/>
            <w:shd w:val="clear" w:color="auto" w:fill="auto"/>
          </w:tcPr>
          <w:p w:rsidR="00765F3D" w:rsidRPr="00036276" w:rsidRDefault="00BC61C1" w:rsidP="006C7CC7">
            <w:pPr>
              <w:pStyle w:val="TableTextNoSpace"/>
            </w:pPr>
            <w:r w:rsidRPr="00036276">
              <w:t>Family, employment, education, health, placement into care, administrative sanctions</w:t>
            </w:r>
          </w:p>
        </w:tc>
        <w:tc>
          <w:tcPr>
            <w:tcW w:w="4331" w:type="dxa"/>
            <w:shd w:val="clear" w:color="auto" w:fill="auto"/>
          </w:tcPr>
          <w:p w:rsidR="00765F3D" w:rsidRPr="00036276" w:rsidRDefault="007D3647" w:rsidP="006C7CC7">
            <w:pPr>
              <w:pStyle w:val="TableTextNoSpace"/>
            </w:pPr>
            <w:r w:rsidRPr="00036276">
              <w:t>In the context of a request by the child aged 16+ for emancipation</w:t>
            </w:r>
          </w:p>
        </w:tc>
      </w:tr>
      <w:tr w:rsidR="006C7CC7" w:rsidRPr="00036276" w:rsidTr="006C7CC7">
        <w:tc>
          <w:tcPr>
            <w:tcW w:w="900" w:type="dxa"/>
            <w:shd w:val="clear" w:color="auto" w:fill="auto"/>
          </w:tcPr>
          <w:p w:rsidR="00765F3D" w:rsidRPr="00036276" w:rsidRDefault="00765F3D" w:rsidP="006C7CC7">
            <w:pPr>
              <w:pStyle w:val="TableTextNoSpace"/>
            </w:pPr>
            <w:r w:rsidRPr="00036276">
              <w:rPr>
                <w:b/>
              </w:rPr>
              <w:lastRenderedPageBreak/>
              <w:t>SI</w:t>
            </w:r>
          </w:p>
        </w:tc>
        <w:tc>
          <w:tcPr>
            <w:tcW w:w="3027" w:type="dxa"/>
            <w:shd w:val="clear" w:color="auto" w:fill="auto"/>
          </w:tcPr>
          <w:p w:rsidR="00765F3D" w:rsidRPr="00036276" w:rsidRDefault="00BC61C1" w:rsidP="006C7CC7">
            <w:pPr>
              <w:pStyle w:val="TableTextNoSpace"/>
            </w:pPr>
            <w:r w:rsidRPr="00036276">
              <w:t xml:space="preserve">All areas except asylum, migration and offences below the age of criminal responsibility </w:t>
            </w:r>
          </w:p>
        </w:tc>
        <w:tc>
          <w:tcPr>
            <w:tcW w:w="4331" w:type="dxa"/>
            <w:shd w:val="clear" w:color="auto" w:fill="auto"/>
          </w:tcPr>
          <w:p w:rsidR="00765F3D" w:rsidRPr="00036276" w:rsidRDefault="00571821" w:rsidP="006C7CC7">
            <w:pPr>
              <w:pStyle w:val="TableTextNoSpace"/>
            </w:pPr>
            <w:r w:rsidRPr="00036276">
              <w:t>In all cases</w:t>
            </w:r>
          </w:p>
        </w:tc>
      </w:tr>
      <w:tr w:rsidR="006C7CC7" w:rsidRPr="00036276" w:rsidTr="006C7CC7">
        <w:tc>
          <w:tcPr>
            <w:tcW w:w="900" w:type="dxa"/>
            <w:shd w:val="clear" w:color="auto" w:fill="auto"/>
          </w:tcPr>
          <w:p w:rsidR="00765F3D" w:rsidRPr="00036276" w:rsidRDefault="00765F3D" w:rsidP="006C7CC7">
            <w:pPr>
              <w:pStyle w:val="TableTextNoSpace"/>
            </w:pPr>
            <w:r w:rsidRPr="00036276">
              <w:rPr>
                <w:b/>
              </w:rPr>
              <w:t>UK-S</w:t>
            </w:r>
          </w:p>
        </w:tc>
        <w:tc>
          <w:tcPr>
            <w:tcW w:w="3027" w:type="dxa"/>
            <w:shd w:val="clear" w:color="auto" w:fill="auto"/>
          </w:tcPr>
          <w:p w:rsidR="00765F3D" w:rsidRPr="00036276" w:rsidRDefault="00BC61C1" w:rsidP="006C7CC7">
            <w:pPr>
              <w:pStyle w:val="TableTextNoSpace"/>
            </w:pPr>
            <w:r w:rsidRPr="00036276">
              <w:t>Family, placement into care, offences below the age of criminal responsibility</w:t>
            </w:r>
          </w:p>
        </w:tc>
        <w:tc>
          <w:tcPr>
            <w:tcW w:w="4331" w:type="dxa"/>
            <w:shd w:val="clear" w:color="auto" w:fill="auto"/>
          </w:tcPr>
          <w:p w:rsidR="00765F3D" w:rsidRPr="00036276" w:rsidRDefault="00571821" w:rsidP="006C7CC7">
            <w:pPr>
              <w:pStyle w:val="TableTextNoSpace"/>
            </w:pPr>
            <w:r w:rsidRPr="00036276">
              <w:t xml:space="preserve">In all cases where </w:t>
            </w:r>
            <w:r w:rsidR="009642C4">
              <w:t xml:space="preserve">the </w:t>
            </w:r>
            <w:r w:rsidRPr="00036276">
              <w:t>child is 12 years old or more</w:t>
            </w:r>
          </w:p>
        </w:tc>
      </w:tr>
    </w:tbl>
    <w:p w:rsidR="007E5941" w:rsidRPr="00AE4C8A" w:rsidRDefault="007E5941" w:rsidP="006C7CC7">
      <w:pPr>
        <w:pStyle w:val="Heading4NoNumb"/>
        <w:ind w:firstLine="851"/>
      </w:pPr>
      <w:r w:rsidRPr="00A76D23">
        <w:t>Conditions attached to representation of the child</w:t>
      </w:r>
      <w:r w:rsidR="00AE4C8A">
        <w:t xml:space="preserve"> (CivAdm049)</w:t>
      </w:r>
    </w:p>
    <w:p w:rsidR="00654998" w:rsidRDefault="00654998" w:rsidP="006C7CC7">
      <w:pPr>
        <w:pStyle w:val="BodyText"/>
      </w:pPr>
      <w:r>
        <w:t>In eight jurisdictions (BG, CY, DK, MT, NL, PT, UK-E&amp;W, UK-NI)</w:t>
      </w:r>
      <w:r w:rsidR="00CB7B88" w:rsidRPr="00CB7B88">
        <w:t xml:space="preserve">, statutory conditions </w:t>
      </w:r>
      <w:r>
        <w:t xml:space="preserve">are </w:t>
      </w:r>
      <w:r w:rsidR="00CB7B88" w:rsidRPr="00CB7B88">
        <w:t>attached to representation of the child by a legal representative or guardian</w:t>
      </w:r>
      <w:r>
        <w:t xml:space="preserve">. These conditions aim at ensuring that </w:t>
      </w:r>
      <w:r w:rsidR="00CB7B88" w:rsidRPr="00CB7B88">
        <w:t xml:space="preserve">the child retains some </w:t>
      </w:r>
      <w:r w:rsidR="00A76D23">
        <w:t>influence</w:t>
      </w:r>
      <w:r w:rsidR="00CB7B88" w:rsidRPr="00CB7B88">
        <w:t xml:space="preserve"> over the </w:t>
      </w:r>
      <w:r>
        <w:t xml:space="preserve">proceedings, even if he or she cannot file the claim or suit independently. </w:t>
      </w:r>
    </w:p>
    <w:p w:rsidR="00CB7B88" w:rsidRDefault="00654998" w:rsidP="006C7CC7">
      <w:pPr>
        <w:pStyle w:val="BodyText"/>
      </w:pPr>
      <w:r>
        <w:t>The conditions include:</w:t>
      </w:r>
    </w:p>
    <w:p w:rsidR="00B83AED" w:rsidRPr="00A7584E" w:rsidRDefault="00B83AED" w:rsidP="006C7CC7">
      <w:pPr>
        <w:pStyle w:val="BTBullet1"/>
      </w:pPr>
      <w:r w:rsidRPr="00A7584E">
        <w:t>Obligation on the part of the parent</w:t>
      </w:r>
      <w:r w:rsidR="00803CAD" w:rsidRPr="00A7584E">
        <w:t xml:space="preserve">, </w:t>
      </w:r>
      <w:r w:rsidRPr="00A7584E">
        <w:t xml:space="preserve">guardian </w:t>
      </w:r>
      <w:r w:rsidR="00D52C2F" w:rsidRPr="00A7584E">
        <w:t>or Litigation Friend</w:t>
      </w:r>
      <w:r w:rsidR="00A76D23" w:rsidRPr="00A7584E">
        <w:rPr>
          <w:rStyle w:val="FootnoteReference"/>
          <w:sz w:val="22"/>
          <w:szCs w:val="22"/>
        </w:rPr>
        <w:footnoteReference w:id="19"/>
      </w:r>
      <w:r w:rsidR="00D52C2F" w:rsidRPr="00A7584E">
        <w:t xml:space="preserve"> to conduct proceedings fairly and competently, to have no interests in the proceedings adverse to that of the child, and to </w:t>
      </w:r>
      <w:r w:rsidRPr="00A7584E">
        <w:t>give priority to the best interests of the child (</w:t>
      </w:r>
      <w:r w:rsidR="00A61206" w:rsidRPr="00A7584E">
        <w:t xml:space="preserve">e.g. </w:t>
      </w:r>
      <w:r w:rsidRPr="00A7584E">
        <w:t>CY</w:t>
      </w:r>
      <w:r w:rsidR="00270419" w:rsidRPr="00A7584E">
        <w:t>: all areas of law except for offences committed by children below the age of criminal responsibility</w:t>
      </w:r>
      <w:r w:rsidR="00D52C2F" w:rsidRPr="00A7584E">
        <w:t>; UK-E&amp;W: family, placement into care and administrative sanctions</w:t>
      </w:r>
      <w:r w:rsidRPr="00A7584E">
        <w:t>)</w:t>
      </w:r>
      <w:r w:rsidR="00270419" w:rsidRPr="00A7584E">
        <w:t>;</w:t>
      </w:r>
    </w:p>
    <w:p w:rsidR="00A61206" w:rsidRPr="00A7584E" w:rsidRDefault="00A61206" w:rsidP="006C7CC7">
      <w:pPr>
        <w:pStyle w:val="BTBullet1"/>
      </w:pPr>
      <w:r w:rsidRPr="00A7584E">
        <w:t xml:space="preserve">Requirement for person proposing to be Next Friend to submit documents including written consent of </w:t>
      </w:r>
      <w:r w:rsidR="00D91100">
        <w:t>the</w:t>
      </w:r>
      <w:r w:rsidRPr="00A7584E">
        <w:t xml:space="preserve"> child (UK-NI: family, employment, administrative sanctions, offences committed by children under the age of criminal responsibility).</w:t>
      </w:r>
    </w:p>
    <w:p w:rsidR="007E5941" w:rsidRPr="00A7584E" w:rsidRDefault="00697EED" w:rsidP="006C7CC7">
      <w:pPr>
        <w:pStyle w:val="BTBullet1"/>
      </w:pPr>
      <w:r w:rsidRPr="00A7584E">
        <w:t>Requirement for the parent or guardian to</w:t>
      </w:r>
      <w:r w:rsidR="00270419" w:rsidRPr="00A7584E">
        <w:t xml:space="preserve"> obtain consent of a child aged 15+ </w:t>
      </w:r>
      <w:r w:rsidRPr="00A7584E">
        <w:t xml:space="preserve">years before </w:t>
      </w:r>
      <w:r w:rsidR="00270419" w:rsidRPr="00A7584E">
        <w:t xml:space="preserve">making decisions on </w:t>
      </w:r>
      <w:r w:rsidRPr="00A7584E">
        <w:t>important matters</w:t>
      </w:r>
      <w:r w:rsidR="00270419" w:rsidRPr="00A7584E">
        <w:t xml:space="preserve"> (</w:t>
      </w:r>
      <w:r w:rsidR="00A61206" w:rsidRPr="00A7584E">
        <w:t xml:space="preserve">e.g. </w:t>
      </w:r>
      <w:r w:rsidR="00270419" w:rsidRPr="00A7584E">
        <w:t>DK: all areas of law);</w:t>
      </w:r>
    </w:p>
    <w:p w:rsidR="00270419" w:rsidRPr="00A7584E" w:rsidRDefault="00270419" w:rsidP="006C7CC7">
      <w:pPr>
        <w:pStyle w:val="BTBullet1"/>
      </w:pPr>
      <w:r w:rsidRPr="00A7584E">
        <w:t>Requirement for the child to give his/her signed, written consent before the legal representative can make an appeal (</w:t>
      </w:r>
      <w:r w:rsidR="00A61206" w:rsidRPr="00A7584E">
        <w:t xml:space="preserve">e.g. </w:t>
      </w:r>
      <w:r w:rsidRPr="00A7584E">
        <w:t>NL: asylum, migration);</w:t>
      </w:r>
    </w:p>
    <w:p w:rsidR="00270419" w:rsidRPr="00A7584E" w:rsidRDefault="00A61206" w:rsidP="006C7CC7">
      <w:pPr>
        <w:pStyle w:val="BTBullet1"/>
      </w:pPr>
      <w:r w:rsidRPr="00A7584E">
        <w:t>Requirement for the p</w:t>
      </w:r>
      <w:r w:rsidR="00803CAD" w:rsidRPr="00A7584E">
        <w:t xml:space="preserve">ublic prosecutor </w:t>
      </w:r>
      <w:r w:rsidRPr="00A7584E">
        <w:t xml:space="preserve">to </w:t>
      </w:r>
      <w:r w:rsidR="00803CAD" w:rsidRPr="00A7584E">
        <w:t>be heard on the designation by the court of a ‘provisory curator’ to represent the child in cases where he or she does not have a legal representative (</w:t>
      </w:r>
      <w:r w:rsidRPr="00A7584E">
        <w:t xml:space="preserve">e.g. </w:t>
      </w:r>
      <w:r w:rsidR="00803CAD" w:rsidRPr="00A7584E">
        <w:t>PT: all areas of law)</w:t>
      </w:r>
    </w:p>
    <w:p w:rsidR="00270419" w:rsidRPr="00A7584E" w:rsidRDefault="00803CAD" w:rsidP="006C7CC7">
      <w:pPr>
        <w:pStyle w:val="BTBullet1"/>
      </w:pPr>
      <w:r w:rsidRPr="00A7584E">
        <w:lastRenderedPageBreak/>
        <w:t>Designation of a special curator to represent the child in cases where there is a conflict of interests between the child and his/her parents or legal representative, or where the two parents representing a child disagree on how to handle a case (</w:t>
      </w:r>
      <w:r w:rsidR="00A61206" w:rsidRPr="00A7584E">
        <w:t xml:space="preserve">e.g. </w:t>
      </w:r>
      <w:r w:rsidRPr="00A7584E">
        <w:t>MT and PT: all areas of law);</w:t>
      </w:r>
      <w:r w:rsidR="00AF71F4" w:rsidRPr="00A7584E">
        <w:t xml:space="preserve"> and,</w:t>
      </w:r>
    </w:p>
    <w:p w:rsidR="00654998" w:rsidRPr="00A61206" w:rsidRDefault="007E5941" w:rsidP="00A5732C">
      <w:pPr>
        <w:pStyle w:val="Heading3"/>
      </w:pPr>
      <w:bookmarkStart w:id="140" w:name="_Toc408908707"/>
      <w:r w:rsidRPr="00A61206">
        <w:t>Statute of limitations</w:t>
      </w:r>
      <w:bookmarkEnd w:id="140"/>
    </w:p>
    <w:p w:rsidR="009F3A86" w:rsidRDefault="00D91100" w:rsidP="006C7CC7">
      <w:pPr>
        <w:pStyle w:val="BodyText"/>
      </w:pPr>
      <w:r w:rsidRPr="00B327CE">
        <w:t>In 13 MS (</w:t>
      </w:r>
      <w:r w:rsidRPr="00B327CE">
        <w:rPr>
          <w:lang w:val="en-US"/>
        </w:rPr>
        <w:t>BE,</w:t>
      </w:r>
      <w:r w:rsidR="009F73F6">
        <w:rPr>
          <w:lang w:val="en-US"/>
        </w:rPr>
        <w:t xml:space="preserve"> </w:t>
      </w:r>
      <w:r w:rsidRPr="00B327CE">
        <w:rPr>
          <w:lang w:val="en-US"/>
        </w:rPr>
        <w:t xml:space="preserve">CY, EL, ES, FR, HR, HU, IE, MT, PL, PT, RO, SI) </w:t>
      </w:r>
      <w:r w:rsidR="00B327CE" w:rsidRPr="00B327CE">
        <w:rPr>
          <w:lang w:val="en-US"/>
        </w:rPr>
        <w:t xml:space="preserve">the </w:t>
      </w:r>
      <w:r w:rsidR="00B327CE" w:rsidRPr="00B327CE">
        <w:t xml:space="preserve">statute of limitations </w:t>
      </w:r>
      <w:r w:rsidR="004E1889">
        <w:t>(which prescribes the period of time in which any civil or administrative claim must be brought) is adapted in the case of children in order to allow them</w:t>
      </w:r>
      <w:r w:rsidR="00B327CE" w:rsidRPr="00B327CE">
        <w:t xml:space="preserve"> to pursue claims for a period after </w:t>
      </w:r>
      <w:r w:rsidR="004E1889">
        <w:t xml:space="preserve">they have </w:t>
      </w:r>
      <w:r w:rsidR="00B327CE" w:rsidRPr="00B327CE">
        <w:t>reached the age of majority</w:t>
      </w:r>
      <w:r w:rsidR="00A61206">
        <w:t xml:space="preserve"> (</w:t>
      </w:r>
      <w:r w:rsidR="00A61206">
        <w:rPr>
          <w:i/>
        </w:rPr>
        <w:t>CivAdm183</w:t>
      </w:r>
      <w:r w:rsidR="00A61206">
        <w:t>)</w:t>
      </w:r>
      <w:r w:rsidR="00B327CE" w:rsidRPr="00B327CE">
        <w:t xml:space="preserve">. This is relevant primarily to child plaintiffs because children who wish to pursue legal action may face difficulties in doing so before they reach the age of capacity.  </w:t>
      </w:r>
    </w:p>
    <w:p w:rsidR="00B327CE" w:rsidRPr="00B327CE" w:rsidRDefault="00B327CE" w:rsidP="006C7CC7">
      <w:pPr>
        <w:pStyle w:val="BodyText"/>
      </w:pPr>
      <w:r w:rsidRPr="00B327CE">
        <w:t xml:space="preserve">This provision applies most </w:t>
      </w:r>
      <w:r w:rsidR="00D41FE3">
        <w:t>frequently</w:t>
      </w:r>
      <w:r w:rsidRPr="00B327CE">
        <w:t xml:space="preserve"> in </w:t>
      </w:r>
      <w:r w:rsidRPr="00AE4C8A">
        <w:rPr>
          <w:b/>
        </w:rPr>
        <w:t>family proceedings</w:t>
      </w:r>
      <w:r w:rsidR="004E1889">
        <w:t xml:space="preserve"> (</w:t>
      </w:r>
      <w:r w:rsidRPr="00B327CE">
        <w:t>in all 13 MS with such a provision</w:t>
      </w:r>
      <w:r w:rsidR="004E1889">
        <w:t>)</w:t>
      </w:r>
      <w:r w:rsidRPr="00B327CE">
        <w:t xml:space="preserve">. </w:t>
      </w:r>
      <w:r w:rsidR="004E1889">
        <w:t>The</w:t>
      </w:r>
      <w:r w:rsidRPr="00B327CE">
        <w:t xml:space="preserve"> provision applies least </w:t>
      </w:r>
      <w:r w:rsidR="00D41FE3">
        <w:t>frequently</w:t>
      </w:r>
      <w:r w:rsidRPr="00B327CE">
        <w:t xml:space="preserve"> to </w:t>
      </w:r>
      <w:r w:rsidRPr="009F3A86">
        <w:rPr>
          <w:b/>
        </w:rPr>
        <w:t>administrative sanctions</w:t>
      </w:r>
      <w:r w:rsidRPr="00B327CE">
        <w:t xml:space="preserve"> </w:t>
      </w:r>
      <w:r w:rsidR="004E1889">
        <w:t>(</w:t>
      </w:r>
      <w:r w:rsidRPr="00B327CE">
        <w:t xml:space="preserve">in </w:t>
      </w:r>
      <w:r w:rsidR="004E1889">
        <w:t xml:space="preserve">five MS: </w:t>
      </w:r>
      <w:r w:rsidRPr="00B327CE">
        <w:t>HU, IE, LV, PT, RO).</w:t>
      </w:r>
    </w:p>
    <w:p w:rsidR="00975D96" w:rsidRDefault="00B327CE" w:rsidP="006C7CC7">
      <w:pPr>
        <w:pStyle w:val="BodyText"/>
      </w:pPr>
      <w:r w:rsidRPr="00B327CE">
        <w:t>Th</w:t>
      </w:r>
      <w:r w:rsidR="004E1889">
        <w:t>e</w:t>
      </w:r>
      <w:r w:rsidRPr="00B327CE">
        <w:t xml:space="preserve"> provision operates in different ways</w:t>
      </w:r>
      <w:r w:rsidR="00975D96">
        <w:t>:</w:t>
      </w:r>
      <w:r w:rsidRPr="00B327CE">
        <w:t xml:space="preserve"> </w:t>
      </w:r>
    </w:p>
    <w:p w:rsidR="00975D96" w:rsidRPr="00A7584E" w:rsidRDefault="00B327CE" w:rsidP="006C7CC7">
      <w:pPr>
        <w:pStyle w:val="BTBullet1"/>
      </w:pPr>
      <w:r w:rsidRPr="00A7584E">
        <w:t xml:space="preserve">In some </w:t>
      </w:r>
      <w:r w:rsidR="00D41FE3" w:rsidRPr="00A7584E">
        <w:t>MS</w:t>
      </w:r>
      <w:r w:rsidRPr="00A7584E">
        <w:t xml:space="preserve"> the </w:t>
      </w:r>
      <w:r w:rsidRPr="00A7584E">
        <w:rPr>
          <w:b/>
        </w:rPr>
        <w:t>limitation period does not begin until the child has reached the age of capacity</w:t>
      </w:r>
      <w:r w:rsidRPr="00A7584E">
        <w:t xml:space="preserve"> (</w:t>
      </w:r>
      <w:r w:rsidR="00D41FE3" w:rsidRPr="00A7584E">
        <w:t>e.g.</w:t>
      </w:r>
      <w:r w:rsidRPr="00A7584E">
        <w:t xml:space="preserve"> </w:t>
      </w:r>
      <w:r w:rsidR="00975D96" w:rsidRPr="00A7584E">
        <w:t xml:space="preserve">in </w:t>
      </w:r>
      <w:r w:rsidRPr="00A7584E">
        <w:t xml:space="preserve">BE with respect to child victims of some sexual offences and trafficking, among other offences; </w:t>
      </w:r>
      <w:r w:rsidR="00975D96" w:rsidRPr="00A7584E">
        <w:t xml:space="preserve">in </w:t>
      </w:r>
      <w:r w:rsidRPr="00A7584E">
        <w:t xml:space="preserve">CY with respect to trusts and </w:t>
      </w:r>
      <w:r w:rsidR="00975D96" w:rsidRPr="00A7584E">
        <w:t>probate</w:t>
      </w:r>
      <w:r w:rsidRPr="00A7584E">
        <w:t xml:space="preserve"> and other civil matters; </w:t>
      </w:r>
      <w:r w:rsidR="00975D96" w:rsidRPr="00A7584E">
        <w:t xml:space="preserve">in </w:t>
      </w:r>
      <w:r w:rsidRPr="00A7584E">
        <w:t xml:space="preserve">FR with respect to claims against the Family Council; </w:t>
      </w:r>
      <w:r w:rsidR="00975D96" w:rsidRPr="00A7584E">
        <w:t xml:space="preserve">and in </w:t>
      </w:r>
      <w:r w:rsidRPr="00A7584E">
        <w:t>MT</w:t>
      </w:r>
      <w:r w:rsidR="00975D96" w:rsidRPr="00A7584E">
        <w:t xml:space="preserve"> and SI in cases of </w:t>
      </w:r>
      <w:r w:rsidRPr="00A7584E">
        <w:t>sexual abuse)</w:t>
      </w:r>
      <w:r w:rsidR="00975D96" w:rsidRPr="00A7584E">
        <w:t>.</w:t>
      </w:r>
    </w:p>
    <w:p w:rsidR="00975D96" w:rsidRPr="00A7584E" w:rsidRDefault="00975D96" w:rsidP="006C7CC7">
      <w:pPr>
        <w:pStyle w:val="BTBullet1"/>
      </w:pPr>
      <w:r w:rsidRPr="00A7584E">
        <w:t xml:space="preserve">In other MS, </w:t>
      </w:r>
      <w:r w:rsidR="00B327CE" w:rsidRPr="00A7584E">
        <w:rPr>
          <w:b/>
        </w:rPr>
        <w:t>the limitation period extends for a fixed period</w:t>
      </w:r>
      <w:r w:rsidR="00B327CE" w:rsidRPr="00A7584E">
        <w:t xml:space="preserve"> after the child has reached the age of capacity (</w:t>
      </w:r>
      <w:r w:rsidRPr="00A7584E">
        <w:t xml:space="preserve">e.g. </w:t>
      </w:r>
      <w:r w:rsidR="00B327CE" w:rsidRPr="00A7584E">
        <w:t>PT where the period is one year)</w:t>
      </w:r>
      <w:r w:rsidRPr="00A7584E">
        <w:t>.</w:t>
      </w:r>
    </w:p>
    <w:p w:rsidR="00975D96" w:rsidRPr="00A7584E" w:rsidRDefault="00B327CE" w:rsidP="006C7CC7">
      <w:pPr>
        <w:pStyle w:val="BTBullet1"/>
      </w:pPr>
      <w:r w:rsidRPr="00A7584E">
        <w:t xml:space="preserve">In some MS the court has </w:t>
      </w:r>
      <w:r w:rsidRPr="00A7584E">
        <w:rPr>
          <w:b/>
        </w:rPr>
        <w:t>discretion not to debar a claim brought</w:t>
      </w:r>
      <w:r w:rsidR="00975D96" w:rsidRPr="00A7584E">
        <w:rPr>
          <w:b/>
        </w:rPr>
        <w:t xml:space="preserve"> by</w:t>
      </w:r>
      <w:r w:rsidRPr="00A7584E">
        <w:rPr>
          <w:b/>
        </w:rPr>
        <w:t xml:space="preserve"> a child after the limitation period</w:t>
      </w:r>
      <w:r w:rsidRPr="00A7584E">
        <w:t xml:space="preserve"> has expired (</w:t>
      </w:r>
      <w:r w:rsidR="00D41FE3" w:rsidRPr="00A7584E">
        <w:t>e.g. in</w:t>
      </w:r>
      <w:r w:rsidRPr="00A7584E">
        <w:t xml:space="preserve"> BE </w:t>
      </w:r>
      <w:r w:rsidR="00975D96" w:rsidRPr="00A7584E">
        <w:t>in circumstances where</w:t>
      </w:r>
      <w:r w:rsidRPr="00A7584E">
        <w:t xml:space="preserve"> legal representation i</w:t>
      </w:r>
      <w:r w:rsidR="004E1889" w:rsidRPr="00A7584E">
        <w:t>s</w:t>
      </w:r>
      <w:r w:rsidRPr="00A7584E">
        <w:t xml:space="preserve"> not secured in time for an appeal in matters relating to asylum, migration, education</w:t>
      </w:r>
      <w:r w:rsidR="00D41FE3" w:rsidRPr="00A7584E">
        <w:t xml:space="preserve"> and</w:t>
      </w:r>
      <w:r w:rsidRPr="00A7584E">
        <w:t xml:space="preserve"> placement in care; </w:t>
      </w:r>
      <w:r w:rsidR="00D41FE3" w:rsidRPr="00A7584E">
        <w:t xml:space="preserve">in </w:t>
      </w:r>
      <w:r w:rsidRPr="00A7584E">
        <w:t>CY in cases involving bodily injury or death, the court has discretion not to apply the two</w:t>
      </w:r>
      <w:r w:rsidR="00A90546">
        <w:t>-</w:t>
      </w:r>
      <w:r w:rsidRPr="00A7584E">
        <w:t>year limitation period</w:t>
      </w:r>
      <w:r w:rsidR="004E1889" w:rsidRPr="00A7584E">
        <w:t xml:space="preserve">; and in </w:t>
      </w:r>
      <w:r w:rsidRPr="00A7584E">
        <w:t xml:space="preserve">RO, </w:t>
      </w:r>
      <w:r w:rsidR="004E1889" w:rsidRPr="00A7584E">
        <w:t xml:space="preserve">where </w:t>
      </w:r>
      <w:r w:rsidRPr="00A7584E">
        <w:t xml:space="preserve">the limitation period will not apply </w:t>
      </w:r>
      <w:r w:rsidR="004E1889" w:rsidRPr="00A7584E">
        <w:t xml:space="preserve">where the court considers that </w:t>
      </w:r>
      <w:r w:rsidRPr="00A7584E">
        <w:t>the legal representative has not been correctly representing the interests of the child</w:t>
      </w:r>
      <w:r w:rsidR="004E1889" w:rsidRPr="00A7584E">
        <w:t>)</w:t>
      </w:r>
      <w:r w:rsidRPr="00A7584E">
        <w:t>.</w:t>
      </w:r>
    </w:p>
    <w:p w:rsidR="00975D96" w:rsidRPr="00A7584E" w:rsidRDefault="00B327CE" w:rsidP="006C7CC7">
      <w:pPr>
        <w:pStyle w:val="BTBullet1"/>
      </w:pPr>
      <w:r w:rsidRPr="00A7584E">
        <w:t xml:space="preserve">In other cases, the </w:t>
      </w:r>
      <w:r w:rsidRPr="00A7584E">
        <w:rPr>
          <w:b/>
        </w:rPr>
        <w:t>limitation periods are so long that a child will reach the age of capacity within the period</w:t>
      </w:r>
      <w:r w:rsidRPr="00A7584E">
        <w:t xml:space="preserve"> (for example, </w:t>
      </w:r>
      <w:r w:rsidR="00975D96" w:rsidRPr="00A7584E">
        <w:t xml:space="preserve">in </w:t>
      </w:r>
      <w:r w:rsidRPr="00A7584E">
        <w:t xml:space="preserve">FR where the limitation period in </w:t>
      </w:r>
      <w:r w:rsidR="00975D96" w:rsidRPr="00A7584E">
        <w:t>certain areas of family law is</w:t>
      </w:r>
      <w:r w:rsidRPr="00A7584E">
        <w:t xml:space="preserve"> typically 30 years</w:t>
      </w:r>
      <w:r w:rsidR="00C10F44" w:rsidRPr="00A7584E">
        <w:t>)</w:t>
      </w:r>
      <w:r w:rsidRPr="00A7584E">
        <w:t>.</w:t>
      </w:r>
    </w:p>
    <w:p w:rsidR="00B327CE" w:rsidRPr="00A7584E" w:rsidRDefault="00B327CE" w:rsidP="006C7CC7">
      <w:pPr>
        <w:pStyle w:val="BTBullet1"/>
      </w:pPr>
      <w:r w:rsidRPr="00A7584E">
        <w:lastRenderedPageBreak/>
        <w:t xml:space="preserve">In some cases children are permitted to pursue certain types of claim after the age of majority </w:t>
      </w:r>
      <w:r w:rsidR="00975D96" w:rsidRPr="00A7584E">
        <w:rPr>
          <w:b/>
        </w:rPr>
        <w:t>if they remain in education or if they have special needs</w:t>
      </w:r>
      <w:r w:rsidR="00975D96" w:rsidRPr="00A7584E">
        <w:t xml:space="preserve"> </w:t>
      </w:r>
      <w:r w:rsidRPr="00A7584E">
        <w:t>(</w:t>
      </w:r>
      <w:r w:rsidR="00975D96" w:rsidRPr="00A7584E">
        <w:t>e.g</w:t>
      </w:r>
      <w:r w:rsidR="004E1889" w:rsidRPr="00A7584E">
        <w:t>.</w:t>
      </w:r>
      <w:r w:rsidR="00975D96" w:rsidRPr="00A7584E">
        <w:t xml:space="preserve"> in HR,</w:t>
      </w:r>
      <w:r w:rsidR="004E1889" w:rsidRPr="00A7584E">
        <w:t xml:space="preserve"> children</w:t>
      </w:r>
      <w:r w:rsidRPr="00A7584E">
        <w:t xml:space="preserve"> </w:t>
      </w:r>
      <w:r w:rsidR="004E1889" w:rsidRPr="00A7584E">
        <w:t xml:space="preserve">in education </w:t>
      </w:r>
      <w:r w:rsidRPr="00A7584E">
        <w:t xml:space="preserve">can pursue maintenance </w:t>
      </w:r>
      <w:r w:rsidR="004E1889" w:rsidRPr="00A7584E">
        <w:t xml:space="preserve">claims </w:t>
      </w:r>
      <w:r w:rsidRPr="00A7584E">
        <w:t xml:space="preserve">until </w:t>
      </w:r>
      <w:r w:rsidR="004E1889" w:rsidRPr="00A7584E">
        <w:t xml:space="preserve">the age of </w:t>
      </w:r>
      <w:r w:rsidRPr="00A7584E">
        <w:t>25</w:t>
      </w:r>
      <w:r w:rsidR="004E1889" w:rsidRPr="00A7584E">
        <w:t>.</w:t>
      </w:r>
      <w:r w:rsidRPr="00A7584E">
        <w:t>)</w:t>
      </w:r>
    </w:p>
    <w:p w:rsidR="00B327CE" w:rsidRPr="00B327CE" w:rsidRDefault="00B327CE" w:rsidP="006C7CC7">
      <w:pPr>
        <w:pStyle w:val="BodyText"/>
      </w:pPr>
      <w:r w:rsidRPr="00B327CE">
        <w:t xml:space="preserve">Whilst this </w:t>
      </w:r>
      <w:r w:rsidR="008D2228">
        <w:t>sub-</w:t>
      </w:r>
      <w:r w:rsidRPr="00B327CE">
        <w:t xml:space="preserve">section has focussed primarily on children who wish to pursue legal action after they have reached 18 years of age (i.e. child plaintiffs), in some countries, a different statute of limitations applies in the case of claims brought against children (i.e. child defendants). In SI, for example, </w:t>
      </w:r>
      <w:r w:rsidR="006E6E4F">
        <w:t xml:space="preserve">the limitation period </w:t>
      </w:r>
      <w:r w:rsidRPr="00B327CE">
        <w:t>in case of a claim against a child who does not have a legal representative expire</w:t>
      </w:r>
      <w:r w:rsidR="006E6E4F">
        <w:t>s</w:t>
      </w:r>
      <w:r w:rsidRPr="00B327CE">
        <w:t xml:space="preserve"> two years after the child has obtained full legal capacity or obtained a legal representative. </w:t>
      </w:r>
    </w:p>
    <w:p w:rsidR="00E00F41" w:rsidRPr="006E6E4F" w:rsidRDefault="007D3647" w:rsidP="00A5732C">
      <w:pPr>
        <w:pStyle w:val="Heading3"/>
      </w:pPr>
      <w:bookmarkStart w:id="141" w:name="_Toc408908708"/>
      <w:r w:rsidRPr="006E6E4F">
        <w:t>Provisions in place to ensure that legal proceedings are started in</w:t>
      </w:r>
      <w:r w:rsidR="00E00F41" w:rsidRPr="006E6E4F">
        <w:t xml:space="preserve"> child protection cases</w:t>
      </w:r>
      <w:bookmarkEnd w:id="141"/>
    </w:p>
    <w:p w:rsidR="009907F6" w:rsidRPr="009907F6" w:rsidRDefault="009907F6" w:rsidP="006C7CC7">
      <w:pPr>
        <w:pStyle w:val="BodyText"/>
      </w:pPr>
      <w:r w:rsidRPr="009907F6">
        <w:t xml:space="preserve">All MS have provisions in place to ensure that legal proceedings are started in child protection cases. These provisions tend to apply </w:t>
      </w:r>
      <w:r w:rsidR="00395001">
        <w:t>to</w:t>
      </w:r>
      <w:r>
        <w:t xml:space="preserve"> any child involved in the proceedings in need of protection</w:t>
      </w:r>
      <w:r w:rsidR="008A7B15">
        <w:t>,</w:t>
      </w:r>
      <w:r>
        <w:t xml:space="preserve"> i.e. </w:t>
      </w:r>
      <w:r w:rsidRPr="009907F6">
        <w:t xml:space="preserve">regardless of </w:t>
      </w:r>
      <w:r>
        <w:t xml:space="preserve">their role </w:t>
      </w:r>
      <w:r w:rsidRPr="009907F6">
        <w:t xml:space="preserve">in </w:t>
      </w:r>
      <w:r>
        <w:t xml:space="preserve">the </w:t>
      </w:r>
      <w:r w:rsidRPr="009907F6">
        <w:t>proceedings. The provisions range from statutory provision allowing entities to file applications/initiate legal proceedings in child protection cases; the right of the court to adopt precautionary and interim measures regarding children; and the right of social services to initiate precautionary and interim measures regarding children.</w:t>
      </w:r>
      <w:r w:rsidR="00050135">
        <w:t xml:space="preserve"> </w:t>
      </w:r>
    </w:p>
    <w:p w:rsidR="0073142D" w:rsidRDefault="009907F6" w:rsidP="006C7CC7">
      <w:pPr>
        <w:pStyle w:val="Heading4NoNumb"/>
        <w:ind w:left="851"/>
      </w:pPr>
      <w:r w:rsidRPr="0073142D">
        <w:t>Statutory provision allowing entities to file applications/initiate legal proceedings in child protection cases</w:t>
      </w:r>
      <w:r w:rsidRPr="009907F6">
        <w:t xml:space="preserve"> </w:t>
      </w:r>
      <w:r w:rsidR="006E6E4F">
        <w:t>(</w:t>
      </w:r>
      <w:r w:rsidR="006E6E4F" w:rsidRPr="006E6E4F">
        <w:t>CivAdm057</w:t>
      </w:r>
      <w:r w:rsidR="006E6E4F">
        <w:t xml:space="preserve">) </w:t>
      </w:r>
    </w:p>
    <w:p w:rsidR="009907F6" w:rsidRPr="009907F6" w:rsidRDefault="0073142D" w:rsidP="006C7CC7">
      <w:pPr>
        <w:pStyle w:val="BodyText"/>
      </w:pPr>
      <w:r>
        <w:t xml:space="preserve">This provision applies </w:t>
      </w:r>
      <w:r w:rsidR="00ED5876">
        <w:t xml:space="preserve">in </w:t>
      </w:r>
      <w:r w:rsidR="00ED5876" w:rsidRPr="00ED5876">
        <w:t>all MS except FR, LU and MT</w:t>
      </w:r>
      <w:r w:rsidR="00ED5876">
        <w:t xml:space="preserve">. It </w:t>
      </w:r>
      <w:r w:rsidR="009907F6" w:rsidRPr="009907F6">
        <w:t xml:space="preserve">most </w:t>
      </w:r>
      <w:r w:rsidR="006E6E4F">
        <w:t xml:space="preserve">frequently </w:t>
      </w:r>
      <w:r w:rsidR="008A7B15">
        <w:t>applies</w:t>
      </w:r>
      <w:r w:rsidR="006E6E4F">
        <w:t xml:space="preserve"> </w:t>
      </w:r>
      <w:r w:rsidR="009907F6" w:rsidRPr="009907F6">
        <w:t xml:space="preserve">in matters relating to the </w:t>
      </w:r>
      <w:r>
        <w:rPr>
          <w:b/>
        </w:rPr>
        <w:t>placement of children in</w:t>
      </w:r>
      <w:r w:rsidR="009907F6" w:rsidRPr="009F3A86">
        <w:rPr>
          <w:b/>
        </w:rPr>
        <w:t xml:space="preserve"> care</w:t>
      </w:r>
      <w:r w:rsidR="009907F6" w:rsidRPr="009907F6">
        <w:t xml:space="preserve"> (all </w:t>
      </w:r>
      <w:r w:rsidR="008A7B15">
        <w:t>jurisdiction</w:t>
      </w:r>
      <w:r w:rsidR="00642869">
        <w:t>s</w:t>
      </w:r>
      <w:r w:rsidR="009907F6" w:rsidRPr="009907F6">
        <w:t xml:space="preserve"> except FR, LU and MT, UK-NI), and least</w:t>
      </w:r>
      <w:r w:rsidR="006E6E4F">
        <w:t xml:space="preserve"> frequently</w:t>
      </w:r>
      <w:r w:rsidR="009907F6" w:rsidRPr="009907F6">
        <w:t xml:space="preserve"> in </w:t>
      </w:r>
      <w:r w:rsidR="009907F6" w:rsidRPr="009F3A86">
        <w:rPr>
          <w:b/>
        </w:rPr>
        <w:t>employment matters</w:t>
      </w:r>
      <w:r w:rsidR="009907F6" w:rsidRPr="009907F6">
        <w:t xml:space="preserve"> (</w:t>
      </w:r>
      <w:r w:rsidR="00050135">
        <w:t>e.g.</w:t>
      </w:r>
      <w:r w:rsidR="009907F6" w:rsidRPr="009907F6">
        <w:t xml:space="preserve"> BG, EE, EL, LT, LV, PL, SK, UK-NI)</w:t>
      </w:r>
      <w:r>
        <w:t>, e.g. in respect of child slavery</w:t>
      </w:r>
      <w:r w:rsidR="002635B0">
        <w:t xml:space="preserve"> or trafficking</w:t>
      </w:r>
      <w:r w:rsidR="009907F6" w:rsidRPr="009907F6">
        <w:t xml:space="preserve">. </w:t>
      </w:r>
    </w:p>
    <w:p w:rsidR="0073142D" w:rsidRDefault="009907F6" w:rsidP="006C7CC7">
      <w:pPr>
        <w:pStyle w:val="BodyText"/>
      </w:pPr>
      <w:r w:rsidRPr="009907F6">
        <w:t xml:space="preserve">The </w:t>
      </w:r>
      <w:r w:rsidRPr="0073142D">
        <w:rPr>
          <w:b/>
        </w:rPr>
        <w:t>entities</w:t>
      </w:r>
      <w:r w:rsidRPr="009907F6">
        <w:t xml:space="preserve"> </w:t>
      </w:r>
      <w:r w:rsidRPr="0073142D">
        <w:rPr>
          <w:b/>
        </w:rPr>
        <w:t>which may file applications</w:t>
      </w:r>
      <w:r w:rsidRPr="009907F6">
        <w:t xml:space="preserve"> in child protection c</w:t>
      </w:r>
      <w:r w:rsidR="0073142D">
        <w:t>ases vary between jurisdictions:</w:t>
      </w:r>
      <w:r w:rsidR="00050135">
        <w:t xml:space="preserve"> </w:t>
      </w:r>
    </w:p>
    <w:p w:rsidR="0073142D" w:rsidRPr="00A7584E" w:rsidRDefault="009907F6" w:rsidP="006C7CC7">
      <w:pPr>
        <w:pStyle w:val="BTBullet1"/>
      </w:pPr>
      <w:r w:rsidRPr="00A7584E">
        <w:t xml:space="preserve">In most jurisdictions </w:t>
      </w:r>
      <w:r w:rsidRPr="00A7584E">
        <w:rPr>
          <w:b/>
        </w:rPr>
        <w:t>social services</w:t>
      </w:r>
      <w:r w:rsidRPr="00A7584E">
        <w:t>/</w:t>
      </w:r>
      <w:r w:rsidR="00AC749F">
        <w:t xml:space="preserve"> </w:t>
      </w:r>
      <w:r w:rsidRPr="00A7584E">
        <w:t>child protection departments or similar agencies may begin proceedings (AT, BG, CY, CZ, DK, EE, FL, DE, EL, IE, IT, LT, NL, PL, RO SK, SL, ES, SE, and UK-E&amp;W).</w:t>
      </w:r>
      <w:r w:rsidR="00050135">
        <w:t xml:space="preserve"> </w:t>
      </w:r>
    </w:p>
    <w:p w:rsidR="0073142D" w:rsidRPr="00A7584E" w:rsidRDefault="009907F6" w:rsidP="006C7CC7">
      <w:pPr>
        <w:pStyle w:val="BTBullet1"/>
      </w:pPr>
      <w:r w:rsidRPr="00A7584E">
        <w:t xml:space="preserve">In </w:t>
      </w:r>
      <w:r w:rsidR="0073142D" w:rsidRPr="00A7584E">
        <w:t>other jurisdictions,</w:t>
      </w:r>
      <w:r w:rsidRPr="00A7584E">
        <w:t xml:space="preserve"> </w:t>
      </w:r>
      <w:r w:rsidRPr="00A7584E">
        <w:rPr>
          <w:b/>
        </w:rPr>
        <w:t>parents, grandparents or foster parents</w:t>
      </w:r>
      <w:r w:rsidRPr="00A7584E">
        <w:t xml:space="preserve"> may initiate proceedings (AT, BE, BG, and NL).</w:t>
      </w:r>
      <w:r w:rsidR="00050135">
        <w:t xml:space="preserve"> </w:t>
      </w:r>
    </w:p>
    <w:p w:rsidR="0073142D" w:rsidRPr="00A7584E" w:rsidRDefault="009907F6" w:rsidP="006C7CC7">
      <w:pPr>
        <w:pStyle w:val="BTBullet1"/>
      </w:pPr>
      <w:r w:rsidRPr="00A7584E">
        <w:t xml:space="preserve">In some MS (BG, CZ, EL, IT, LT, NL, PL, PT, and ES) the </w:t>
      </w:r>
      <w:r w:rsidRPr="00A7584E">
        <w:rPr>
          <w:b/>
        </w:rPr>
        <w:t>prosecutor</w:t>
      </w:r>
      <w:r w:rsidRPr="00A7584E">
        <w:t xml:space="preserve"> may bring proceedings. </w:t>
      </w:r>
    </w:p>
    <w:p w:rsidR="009907F6" w:rsidRDefault="009907F6" w:rsidP="006C7CC7">
      <w:pPr>
        <w:pStyle w:val="BTBullet1"/>
      </w:pPr>
      <w:r w:rsidRPr="00A7584E">
        <w:lastRenderedPageBreak/>
        <w:t xml:space="preserve">In CZ, HU and LV the </w:t>
      </w:r>
      <w:r w:rsidRPr="00A7584E">
        <w:rPr>
          <w:b/>
        </w:rPr>
        <w:t>court</w:t>
      </w:r>
      <w:r w:rsidRPr="00A7584E">
        <w:t xml:space="preserve"> may initiate proceedings on its own motion.</w:t>
      </w:r>
      <w:r w:rsidR="00050135">
        <w:t xml:space="preserve"> </w:t>
      </w:r>
    </w:p>
    <w:p w:rsidR="003D6E17" w:rsidRDefault="003D6E17" w:rsidP="006C7CC7">
      <w:pPr>
        <w:pStyle w:val="BTBullet1"/>
      </w:pPr>
      <w:r>
        <w:t>In UK-</w:t>
      </w:r>
      <w:r w:rsidRPr="003D6E17">
        <w:t xml:space="preserve"> </w:t>
      </w:r>
      <w:r>
        <w:t>S,  a</w:t>
      </w:r>
      <w:r w:rsidRPr="00414603">
        <w:t xml:space="preserve"> child may be referred to the </w:t>
      </w:r>
      <w:r w:rsidR="00A5732C" w:rsidRPr="00A5732C">
        <w:rPr>
          <w:rFonts w:cs="Arial"/>
        </w:rPr>
        <w:t>Scottish Children’s Reporters Administration</w:t>
      </w:r>
      <w:r w:rsidRPr="0068437B">
        <w:t xml:space="preserve"> (SCRA) and therefore there are a number of institutions that can initiate proceedings in child protection cases.</w:t>
      </w:r>
    </w:p>
    <w:p w:rsidR="00810046" w:rsidRPr="00A7584E" w:rsidRDefault="00810046" w:rsidP="00A5732C">
      <w:pPr>
        <w:pStyle w:val="BTBullet2"/>
        <w:numPr>
          <w:ilvl w:val="0"/>
          <w:numId w:val="0"/>
        </w:numPr>
      </w:pPr>
    </w:p>
    <w:p w:rsidR="00ED5876" w:rsidRPr="00ED5876" w:rsidRDefault="009907F6" w:rsidP="006C7CC7">
      <w:pPr>
        <w:pStyle w:val="Heading4NoNumb"/>
        <w:ind w:left="851"/>
      </w:pPr>
      <w:r w:rsidRPr="00ED5876">
        <w:t xml:space="preserve">Statutory provision on the right of the court </w:t>
      </w:r>
      <w:r w:rsidR="00ED5876" w:rsidRPr="00ED5876">
        <w:t xml:space="preserve">or social services </w:t>
      </w:r>
      <w:r w:rsidRPr="00ED5876">
        <w:t>to adopt precautionary and interim measures regarding children </w:t>
      </w:r>
      <w:r w:rsidR="00ED5876" w:rsidRPr="00ED5876">
        <w:t>(CivAdm058 and CivAdm061)</w:t>
      </w:r>
    </w:p>
    <w:p w:rsidR="009907F6" w:rsidRPr="009907F6" w:rsidRDefault="00ED5876" w:rsidP="006C7CC7">
      <w:pPr>
        <w:pStyle w:val="BodyText"/>
      </w:pPr>
      <w:r>
        <w:t xml:space="preserve">Statutory provisions on the right of the court to adopt precautionary and interim measures regarding children </w:t>
      </w:r>
      <w:r w:rsidR="009907F6" w:rsidRPr="009907F6">
        <w:t xml:space="preserve">exist in all MS in most areas of law. </w:t>
      </w:r>
      <w:r w:rsidR="00A67C0E" w:rsidRPr="00A67C0E">
        <w:t xml:space="preserve">An example of a precautionary or interim measure which may be taken in family proceedings is removing the child from the care of </w:t>
      </w:r>
      <w:r w:rsidR="00837010">
        <w:t>his/her</w:t>
      </w:r>
      <w:r w:rsidR="00A67C0E" w:rsidRPr="00A67C0E">
        <w:t xml:space="preserve"> parents to prevent harm to the </w:t>
      </w:r>
      <w:r w:rsidR="00A67C0E">
        <w:t xml:space="preserve">child (SE, UK-E&amp;W, UK-NI) or to </w:t>
      </w:r>
      <w:r w:rsidR="00A67C0E" w:rsidRPr="00A67C0E">
        <w:t>prevent the child being removed from the jurisdiction (FI, UK-E&amp;W, UK-NI).</w:t>
      </w:r>
      <w:r w:rsidR="009907F6" w:rsidRPr="009907F6">
        <w:t xml:space="preserve"> This provision applies in matters relating to the placement of children into care in all jurisdictions except MT and in matters relating to family in all jurisdicti</w:t>
      </w:r>
      <w:r w:rsidR="00FF1C59">
        <w:t>ons except IE and UK-S. The</w:t>
      </w:r>
      <w:r w:rsidR="009907F6" w:rsidRPr="009907F6">
        <w:t xml:space="preserve"> provision applies in all areas of law in 10 MS (BE, BG, CZ, EE, HU, LT, LU, LV, PT, SK)</w:t>
      </w:r>
      <w:r>
        <w:t>.</w:t>
      </w:r>
    </w:p>
    <w:p w:rsidR="00861AFF" w:rsidRPr="009907F6" w:rsidRDefault="009907F6" w:rsidP="006C7CC7">
      <w:pPr>
        <w:pStyle w:val="BodyText"/>
      </w:pPr>
      <w:r w:rsidRPr="00ED5876">
        <w:t>Statutory provisions on the right of social services to initiate precautionary and interim measures regarding children</w:t>
      </w:r>
      <w:r w:rsidR="00ED5876">
        <w:t xml:space="preserve"> appl</w:t>
      </w:r>
      <w:r w:rsidR="00B41049">
        <w:t>y</w:t>
      </w:r>
      <w:r w:rsidR="001A7766">
        <w:t xml:space="preserve"> </w:t>
      </w:r>
      <w:r w:rsidR="00ED5876">
        <w:t xml:space="preserve"> in all jurisdictions except </w:t>
      </w:r>
      <w:r w:rsidR="00ED5876" w:rsidRPr="00ED5876">
        <w:t>HU, LU, MT, NL and PT</w:t>
      </w:r>
      <w:r w:rsidR="00ED5876">
        <w:t xml:space="preserve">. It applies </w:t>
      </w:r>
      <w:r w:rsidRPr="009907F6">
        <w:t xml:space="preserve">most commonly in matters relating to the placement of children into care (23 </w:t>
      </w:r>
      <w:r w:rsidR="008A7B15">
        <w:t>jurisdictions</w:t>
      </w:r>
      <w:r w:rsidRPr="009907F6">
        <w:t xml:space="preserve">) and family (21 </w:t>
      </w:r>
      <w:r w:rsidR="008A7B15">
        <w:t>jurisdictions)</w:t>
      </w:r>
      <w:r w:rsidRPr="009907F6">
        <w:t xml:space="preserve">.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C7CC7" w:rsidTr="004017DA">
        <w:tc>
          <w:tcPr>
            <w:tcW w:w="8222" w:type="dxa"/>
            <w:shd w:val="clear" w:color="auto" w:fill="CDEBFF"/>
          </w:tcPr>
          <w:p w:rsidR="006C7CC7" w:rsidRPr="00694BE0" w:rsidRDefault="006C7CC7" w:rsidP="006C7CC7">
            <w:pPr>
              <w:pStyle w:val="Conclusion"/>
              <w:numPr>
                <w:ilvl w:val="0"/>
                <w:numId w:val="0"/>
              </w:numPr>
              <w:rPr>
                <w:sz w:val="26"/>
                <w:szCs w:val="26"/>
              </w:rPr>
            </w:pPr>
            <w:r w:rsidRPr="00694BE0">
              <w:rPr>
                <w:sz w:val="26"/>
                <w:szCs w:val="26"/>
              </w:rPr>
              <w:t>Ensuring children’s access to justice</w:t>
            </w:r>
          </w:p>
          <w:p w:rsidR="006C7CC7" w:rsidRPr="00201AF6" w:rsidRDefault="006C7CC7" w:rsidP="006C7CC7">
            <w:pPr>
              <w:pStyle w:val="Bullet1"/>
            </w:pPr>
            <w:r w:rsidRPr="00812B06">
              <w:t>In 15 jurisdictions</w:t>
            </w:r>
            <w:r>
              <w:t xml:space="preserve">, children have </w:t>
            </w:r>
            <w:r w:rsidRPr="00201AF6">
              <w:t xml:space="preserve">the right to bring certain types of cases to court (subject to minimum ages ranging from 12 to 16), whereas in the other 15 jurisdictions, only adults have such a right (subject to exceptions in all cases but CY, IE, UK-E&amp;W and UK-NI where children must always act through a legal representative or guardian). </w:t>
            </w:r>
          </w:p>
          <w:p w:rsidR="006C7CC7" w:rsidRPr="00201AF6" w:rsidRDefault="006C7CC7" w:rsidP="006C7CC7">
            <w:pPr>
              <w:pStyle w:val="Bullet1"/>
            </w:pPr>
            <w:r w:rsidRPr="00201AF6">
              <w:t xml:space="preserve">In most jurisdictions (24), the participation of child subjects is not subject to a minimum age of procedural capacity. </w:t>
            </w:r>
          </w:p>
          <w:p w:rsidR="006C7CC7" w:rsidRPr="00201AF6" w:rsidRDefault="006C7CC7" w:rsidP="006C7CC7">
            <w:pPr>
              <w:pStyle w:val="Bullet1"/>
            </w:pPr>
            <w:r w:rsidRPr="00201AF6">
              <w:t>In most jurisdictions (21), the participation of child witnesses in civil or administrative proceedings is subject to the same general rules as adults. In the other nine jurisdictions, child-specific conditions apply, including a minimum age or the requirement for a judge to assess a child’s maturity.</w:t>
            </w:r>
          </w:p>
          <w:p w:rsidR="006C7CC7" w:rsidRPr="00201AF6" w:rsidRDefault="006C7CC7" w:rsidP="006C7CC7">
            <w:pPr>
              <w:pStyle w:val="Bullet1"/>
            </w:pPr>
            <w:r w:rsidRPr="00201AF6">
              <w:lastRenderedPageBreak/>
              <w:t>In 13 jurisdictions,</w:t>
            </w:r>
            <w:r w:rsidRPr="00201AF6">
              <w:rPr>
                <w:lang w:val="en-US"/>
              </w:rPr>
              <w:t xml:space="preserve"> the </w:t>
            </w:r>
            <w:r w:rsidRPr="00201AF6">
              <w:t>statute of limitations is adapted in order to allow children to pursue claims for a period after they have reached the age of majority.</w:t>
            </w:r>
          </w:p>
          <w:p w:rsidR="006C7CC7" w:rsidRDefault="006C7CC7" w:rsidP="006C7CC7">
            <w:pPr>
              <w:pStyle w:val="Bullet1"/>
            </w:pPr>
            <w:r w:rsidRPr="00201AF6">
              <w:t>All jurisdictions have provisions to ensure legal proceedings are started in child protection cases. In most jurisdictions, social services have the right to file applications in these cases.</w:t>
            </w:r>
          </w:p>
          <w:p w:rsidR="006C7CC7" w:rsidRPr="006C7CC7" w:rsidRDefault="006C7CC7" w:rsidP="006C7CC7">
            <w:pPr>
              <w:pStyle w:val="Bullet1"/>
              <w:rPr>
                <w:sz w:val="22"/>
              </w:rPr>
            </w:pPr>
            <w:r w:rsidRPr="006C7CC7">
              <w:t xml:space="preserve">The above provisions aimed at ensuring children’s access to justice tend to be more rigorous in family and placement in care proceedings than in other areas of law. </w:t>
            </w:r>
          </w:p>
        </w:tc>
      </w:tr>
    </w:tbl>
    <w:p w:rsidR="004E2F6A" w:rsidRPr="00531D54" w:rsidRDefault="008534B6" w:rsidP="00A7584E">
      <w:pPr>
        <w:pStyle w:val="Heading2"/>
      </w:pPr>
      <w:bookmarkStart w:id="142" w:name="_Toc371943957"/>
      <w:bookmarkStart w:id="143" w:name="_Toc371944012"/>
      <w:bookmarkStart w:id="144" w:name="_Toc372039550"/>
      <w:bookmarkStart w:id="145" w:name="_Toc372193202"/>
      <w:bookmarkStart w:id="146" w:name="_Toc372197175"/>
      <w:bookmarkStart w:id="147" w:name="_Toc372197278"/>
      <w:bookmarkStart w:id="148" w:name="_Toc372197341"/>
      <w:bookmarkStart w:id="149" w:name="_Toc372198710"/>
      <w:bookmarkStart w:id="150" w:name="_Ref397607019"/>
      <w:bookmarkStart w:id="151" w:name="_Ref397722652"/>
      <w:bookmarkStart w:id="152" w:name="_Toc406590149"/>
      <w:bookmarkStart w:id="153" w:name="_Toc408908709"/>
      <w:bookmarkEnd w:id="142"/>
      <w:bookmarkEnd w:id="143"/>
      <w:bookmarkEnd w:id="144"/>
      <w:bookmarkEnd w:id="145"/>
      <w:bookmarkEnd w:id="146"/>
      <w:bookmarkEnd w:id="147"/>
      <w:bookmarkEnd w:id="148"/>
      <w:bookmarkEnd w:id="149"/>
      <w:r>
        <w:lastRenderedPageBreak/>
        <w:t>Measures for a</w:t>
      </w:r>
      <w:r w:rsidR="00A929DD">
        <w:t xml:space="preserve">dvancing the </w:t>
      </w:r>
      <w:r>
        <w:t xml:space="preserve">principle </w:t>
      </w:r>
      <w:r w:rsidR="00637817">
        <w:t>that the</w:t>
      </w:r>
      <w:r w:rsidR="000E274A">
        <w:t xml:space="preserve"> </w:t>
      </w:r>
      <w:r w:rsidR="00583B17">
        <w:t>best interests of the child</w:t>
      </w:r>
      <w:bookmarkEnd w:id="150"/>
      <w:r w:rsidR="00637817">
        <w:t xml:space="preserve"> should be a </w:t>
      </w:r>
      <w:r w:rsidR="008A7B15">
        <w:t xml:space="preserve">primary or the </w:t>
      </w:r>
      <w:r w:rsidR="00637817">
        <w:t>paramount consideration</w:t>
      </w:r>
      <w:bookmarkEnd w:id="151"/>
      <w:bookmarkEnd w:id="152"/>
      <w:bookmarkEnd w:id="153"/>
    </w:p>
    <w:p w:rsidR="00186841" w:rsidRDefault="00E60A83" w:rsidP="006C7CC7">
      <w:pPr>
        <w:pStyle w:val="BodyText"/>
      </w:pPr>
      <w:r>
        <w:t>Since 1989</w:t>
      </w:r>
      <w:r w:rsidR="00186841">
        <w:t>, with the adoption of t</w:t>
      </w:r>
      <w:r w:rsidR="00960610">
        <w:t>he</w:t>
      </w:r>
      <w:r w:rsidR="00583B17">
        <w:t xml:space="preserve"> </w:t>
      </w:r>
      <w:r w:rsidR="00960610">
        <w:t xml:space="preserve">UN </w:t>
      </w:r>
      <w:r w:rsidR="00960610" w:rsidRPr="00960610">
        <w:t>Convention on the Rights of the Child</w:t>
      </w:r>
      <w:r w:rsidR="00186841">
        <w:t xml:space="preserve">, the principle that the best interests of the child should be a </w:t>
      </w:r>
      <w:r w:rsidR="008A7B15">
        <w:t xml:space="preserve">primary </w:t>
      </w:r>
      <w:r w:rsidR="00186841">
        <w:t>consideration in decision-making, has become a general principle of international law.</w:t>
      </w:r>
      <w:r w:rsidR="0013302D">
        <w:t xml:space="preserve"> </w:t>
      </w:r>
    </w:p>
    <w:p w:rsidR="000E274A" w:rsidRDefault="00186841" w:rsidP="006C7CC7">
      <w:pPr>
        <w:pStyle w:val="BodyText"/>
      </w:pPr>
      <w:r>
        <w:t xml:space="preserve">While the UN Convention </w:t>
      </w:r>
      <w:r w:rsidR="0013302D">
        <w:t>extends the principle</w:t>
      </w:r>
      <w:r w:rsidR="00960610" w:rsidRPr="00960610">
        <w:t xml:space="preserve"> </w:t>
      </w:r>
      <w:r w:rsidR="0013302D">
        <w:t xml:space="preserve">to </w:t>
      </w:r>
      <w:r w:rsidR="00960610" w:rsidRPr="00960610">
        <w:t xml:space="preserve">cover </w:t>
      </w:r>
      <w:r w:rsidR="00960610" w:rsidRPr="00960610">
        <w:rPr>
          <w:iCs/>
        </w:rPr>
        <w:t>all</w:t>
      </w:r>
      <w:r w:rsidR="00960610" w:rsidRPr="00960610">
        <w:t xml:space="preserve"> decisions affecting the child</w:t>
      </w:r>
      <w:r>
        <w:t xml:space="preserve">, it gives </w:t>
      </w:r>
      <w:r w:rsidR="0013302D">
        <w:t xml:space="preserve">special weight to </w:t>
      </w:r>
      <w:r w:rsidR="008A7B15">
        <w:t xml:space="preserve">adoption </w:t>
      </w:r>
      <w:r w:rsidR="0013302D">
        <w:t xml:space="preserve">where the best interests </w:t>
      </w:r>
      <w:r>
        <w:t xml:space="preserve">of the child </w:t>
      </w:r>
      <w:r w:rsidR="0013302D">
        <w:t>are to be made “the” paramount consideration.</w:t>
      </w:r>
    </w:p>
    <w:p w:rsidR="00186841" w:rsidRDefault="00186841" w:rsidP="006C7CC7">
      <w:pPr>
        <w:pStyle w:val="BodyText"/>
      </w:pPr>
      <w:r>
        <w:t>MS have adopted a variety of measures to ensure</w:t>
      </w:r>
      <w:r w:rsidRPr="00676E85">
        <w:t xml:space="preserve"> the effective implementation of the </w:t>
      </w:r>
      <w:r>
        <w:t xml:space="preserve">principle that the </w:t>
      </w:r>
      <w:r w:rsidRPr="00676E85">
        <w:t xml:space="preserve">best interests </w:t>
      </w:r>
      <w:r>
        <w:t xml:space="preserve">of the child should </w:t>
      </w:r>
      <w:r w:rsidRPr="00676E85">
        <w:t xml:space="preserve">be a </w:t>
      </w:r>
      <w:r w:rsidR="008A7B15">
        <w:t xml:space="preserve">primary or </w:t>
      </w:r>
      <w:r>
        <w:t xml:space="preserve">paramount </w:t>
      </w:r>
      <w:r w:rsidRPr="00676E85">
        <w:t xml:space="preserve">consideration in </w:t>
      </w:r>
      <w:r>
        <w:t xml:space="preserve">the handling of civil and administrative judicial proceedings. </w:t>
      </w:r>
    </w:p>
    <w:p w:rsidR="00D07BBF" w:rsidRDefault="00186841" w:rsidP="006C7CC7">
      <w:pPr>
        <w:pStyle w:val="BodyText"/>
      </w:pPr>
      <w:r>
        <w:t>These measures include</w:t>
      </w:r>
      <w:r w:rsidR="00D07BBF">
        <w:t xml:space="preserve"> reflecting the principle in the Constitution or relevant legislation; developing criteria to determine the best interests of the child in particular circumstances; giving due weight to the </w:t>
      </w:r>
      <w:r w:rsidR="008A7B15">
        <w:t xml:space="preserve">views </w:t>
      </w:r>
      <w:r w:rsidR="00D07BBF">
        <w:t xml:space="preserve">expressed </w:t>
      </w:r>
      <w:r w:rsidR="008A7B15">
        <w:t>by</w:t>
      </w:r>
      <w:r w:rsidR="00D07BBF">
        <w:t xml:space="preserve"> the child; and adopting a multidisciplinary approach.</w:t>
      </w:r>
    </w:p>
    <w:p w:rsidR="00D07BBF" w:rsidRDefault="006327F5" w:rsidP="00A5732C">
      <w:pPr>
        <w:pStyle w:val="Heading3"/>
      </w:pPr>
      <w:bookmarkStart w:id="154" w:name="_Toc408908710"/>
      <w:r w:rsidRPr="00D07BBF">
        <w:t>Reflecting the principle in the Constitution</w:t>
      </w:r>
      <w:r w:rsidR="00D07BBF">
        <w:t xml:space="preserve"> or relevant legislation</w:t>
      </w:r>
      <w:bookmarkEnd w:id="154"/>
      <w:r w:rsidR="00715889">
        <w:t xml:space="preserve"> </w:t>
      </w:r>
    </w:p>
    <w:p w:rsidR="00D07BBF" w:rsidRDefault="00D07BBF" w:rsidP="006C7CC7">
      <w:pPr>
        <w:pStyle w:val="BodyText"/>
      </w:pPr>
      <w:r>
        <w:t>The majority of jurisdictions have reflected the principle that the best interests of the child should be a guiding force in decision-making in the Constitution (</w:t>
      </w:r>
      <w:r w:rsidR="00D0300A">
        <w:t xml:space="preserve">e.g. </w:t>
      </w:r>
      <w:r w:rsidR="00715889">
        <w:t>BE</w:t>
      </w:r>
      <w:r w:rsidR="00D0300A">
        <w:t>, ES, HR, SI</w:t>
      </w:r>
      <w:r w:rsidR="00715889">
        <w:t>)</w:t>
      </w:r>
      <w:r>
        <w:t xml:space="preserve"> or in relevant legislation (</w:t>
      </w:r>
      <w:r w:rsidR="00D0300A">
        <w:t xml:space="preserve">e.g. </w:t>
      </w:r>
      <w:r w:rsidR="00222626">
        <w:t>AT</w:t>
      </w:r>
      <w:r w:rsidR="00AF7E2E">
        <w:t xml:space="preserve">, </w:t>
      </w:r>
      <w:r w:rsidR="00D0300A">
        <w:t xml:space="preserve">BE, BG, </w:t>
      </w:r>
      <w:r w:rsidR="00AF7E2E">
        <w:t>CY</w:t>
      </w:r>
      <w:r w:rsidR="00AC0196">
        <w:t>, CZ</w:t>
      </w:r>
      <w:r w:rsidR="00D0300A">
        <w:t>, DK, EL, ES, FR, IT, LT, LU, MT, SE, SI, SK, UK-E&amp;W, UK-NI, UK-S</w:t>
      </w:r>
      <w:r w:rsidR="00222626">
        <w:t>)</w:t>
      </w:r>
      <w:r w:rsidR="00D0300A">
        <w:t xml:space="preserve">. </w:t>
      </w:r>
    </w:p>
    <w:p w:rsidR="00D07BBF" w:rsidRDefault="00D0300A" w:rsidP="006C7CC7">
      <w:pPr>
        <w:pStyle w:val="BodyText"/>
      </w:pPr>
      <w:r>
        <w:t xml:space="preserve">However, in some </w:t>
      </w:r>
      <w:r w:rsidR="00D07BBF">
        <w:t xml:space="preserve">jurisdictions </w:t>
      </w:r>
      <w:r>
        <w:t xml:space="preserve">(e.g. BE, IT) the relevant legislation only refers to the need to take the child’s best interests into account, it does not state that the child’s best interests should be a primary or paramount consideration. </w:t>
      </w:r>
    </w:p>
    <w:p w:rsidR="00D07BBF" w:rsidRDefault="00D0300A" w:rsidP="006C7CC7">
      <w:pPr>
        <w:pStyle w:val="BodyText"/>
      </w:pPr>
      <w:r>
        <w:lastRenderedPageBreak/>
        <w:t xml:space="preserve">In </w:t>
      </w:r>
      <w:r w:rsidR="00D07BBF">
        <w:t>certain jurisdictions</w:t>
      </w:r>
      <w:r>
        <w:t xml:space="preserve"> cases, the specific references to the principle of advancing the child’s best interests are only mentioned in civil judicial procedural codes (not administrative judicial procedural codes) or in specific sectoral legislation concerning family disputes and child protection rather than other areas of law (e.g. MT). </w:t>
      </w:r>
    </w:p>
    <w:p w:rsidR="00222626" w:rsidRDefault="00D0300A" w:rsidP="006C7CC7">
      <w:pPr>
        <w:pStyle w:val="BodyText"/>
      </w:pPr>
      <w:r>
        <w:t xml:space="preserve">In at least three Member States (CY, EE, IE) the principle is not enshrined in national legislation, although changes are underway in IE in this regard. </w:t>
      </w:r>
    </w:p>
    <w:p w:rsidR="00D07BBF" w:rsidRDefault="006327F5" w:rsidP="00A5732C">
      <w:pPr>
        <w:pStyle w:val="Heading3"/>
      </w:pPr>
      <w:bookmarkStart w:id="155" w:name="_Toc408908711"/>
      <w:r w:rsidRPr="00D07BBF">
        <w:t>Developing criteria</w:t>
      </w:r>
      <w:r w:rsidR="006864C1" w:rsidRPr="00D07BBF">
        <w:t xml:space="preserve"> to determine the best interests of the child in particular circumstances</w:t>
      </w:r>
      <w:bookmarkEnd w:id="155"/>
      <w:r w:rsidR="006864C1">
        <w:t xml:space="preserve"> </w:t>
      </w:r>
    </w:p>
    <w:p w:rsidR="00A44C2A" w:rsidRDefault="00A44C2A" w:rsidP="006C7CC7">
      <w:pPr>
        <w:pStyle w:val="BodyText"/>
      </w:pPr>
      <w:r>
        <w:t xml:space="preserve">In certain jurisdictions (e.g. </w:t>
      </w:r>
      <w:r w:rsidRPr="00A44C2A">
        <w:t>AT, FI, UK-E&amp;W, UK-S</w:t>
      </w:r>
      <w:r>
        <w:t xml:space="preserve">), criteria have been developed in legislation to help judges assess the best interests of the child in specific types of proceedings. </w:t>
      </w:r>
      <w:r w:rsidRPr="00D07BBF">
        <w:rPr>
          <w:b/>
          <w:color w:val="0070C0"/>
        </w:rPr>
        <w:fldChar w:fldCharType="begin"/>
      </w:r>
      <w:r w:rsidRPr="00D07BBF">
        <w:rPr>
          <w:b/>
          <w:color w:val="0070C0"/>
        </w:rPr>
        <w:instrText xml:space="preserve"> REF _Ref397699250 \r \h  \* MERGEFORMAT </w:instrText>
      </w:r>
      <w:r w:rsidRPr="00D07BBF">
        <w:rPr>
          <w:b/>
          <w:color w:val="0070C0"/>
        </w:rPr>
      </w:r>
      <w:r w:rsidRPr="00D07BBF">
        <w:rPr>
          <w:b/>
          <w:color w:val="0070C0"/>
        </w:rPr>
        <w:fldChar w:fldCharType="separate"/>
      </w:r>
      <w:r w:rsidR="000223E8">
        <w:rPr>
          <w:b/>
          <w:color w:val="0070C0"/>
        </w:rPr>
        <w:t>B</w:t>
      </w:r>
      <w:r w:rsidR="000223E8">
        <w:rPr>
          <w:b/>
          <w:color w:val="0070C0"/>
        </w:rPr>
        <w:t>o</w:t>
      </w:r>
      <w:r w:rsidR="000223E8">
        <w:rPr>
          <w:b/>
          <w:color w:val="0070C0"/>
        </w:rPr>
        <w:t>x 1</w:t>
      </w:r>
      <w:r w:rsidRPr="00D07BBF">
        <w:rPr>
          <w:b/>
          <w:color w:val="0070C0"/>
        </w:rPr>
        <w:fldChar w:fldCharType="end"/>
      </w:r>
      <w:r>
        <w:t xml:space="preserve"> elaborates the examples of AT and UK-E&amp;W. </w:t>
      </w:r>
    </w:p>
    <w:p w:rsidR="008A7B15" w:rsidRDefault="00A44C2A" w:rsidP="006C7CC7">
      <w:pPr>
        <w:pStyle w:val="BodyText"/>
      </w:pPr>
      <w:r>
        <w:t>In other cases</w:t>
      </w:r>
      <w:r w:rsidRPr="00A44C2A">
        <w:t xml:space="preserve"> </w:t>
      </w:r>
      <w:r>
        <w:t xml:space="preserve">(e.g. BG, CZ, DK, EL, ES, LU, LV, NL, PL, SI, UK-NI), </w:t>
      </w:r>
      <w:r w:rsidR="004F52B1">
        <w:t>looser guidelines, or parameters, have been developed usually through the case-law of higher courts</w:t>
      </w:r>
      <w:r w:rsidR="008A7B15">
        <w:t xml:space="preserve"> but also through legislation. </w:t>
      </w:r>
    </w:p>
    <w:p w:rsidR="006864C1" w:rsidRDefault="004F52B1" w:rsidP="006C7CC7">
      <w:pPr>
        <w:pStyle w:val="BodyText"/>
      </w:pPr>
      <w:r>
        <w:t xml:space="preserve">In </w:t>
      </w:r>
      <w:r w:rsidR="00A44C2A">
        <w:t xml:space="preserve">at least </w:t>
      </w:r>
      <w:r>
        <w:t xml:space="preserve">eight Member States (BE, CY, EE, FR, HR, LT, PT and SE) no such criteria or guidelines exist. In </w:t>
      </w:r>
      <w:r w:rsidR="003036BB">
        <w:t>SE</w:t>
      </w:r>
      <w:r>
        <w:t xml:space="preserve"> the absence of such criteria is deliberate as the g</w:t>
      </w:r>
      <w:r w:rsidRPr="004F52B1">
        <w:t xml:space="preserve">overnment </w:t>
      </w:r>
      <w:r>
        <w:t xml:space="preserve">has </w:t>
      </w:r>
      <w:r w:rsidRPr="004F52B1">
        <w:t xml:space="preserve">reasoned that the authorities and courts </w:t>
      </w:r>
      <w:r>
        <w:t xml:space="preserve">need to have </w:t>
      </w:r>
      <w:r w:rsidRPr="004F52B1">
        <w:t xml:space="preserve">the flexibility and discretion to decide what is in the best interests of the child and </w:t>
      </w:r>
      <w:r w:rsidR="003036BB">
        <w:t xml:space="preserve">to </w:t>
      </w:r>
      <w:r w:rsidRPr="004F52B1">
        <w:t xml:space="preserve">choose the most appropriate solution </w:t>
      </w:r>
      <w:r>
        <w:t>on a case-by-case basis.</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D5178" w:rsidRPr="000F388C" w:rsidTr="00D93464">
        <w:tc>
          <w:tcPr>
            <w:tcW w:w="8222" w:type="dxa"/>
            <w:shd w:val="clear" w:color="auto" w:fill="CDEBFF"/>
          </w:tcPr>
          <w:p w:rsidR="006D5178" w:rsidRPr="00694BE0" w:rsidRDefault="006D5178" w:rsidP="00173CAC">
            <w:pPr>
              <w:pStyle w:val="BoxNumb"/>
              <w:numPr>
                <w:ilvl w:val="4"/>
                <w:numId w:val="27"/>
              </w:numPr>
              <w:rPr>
                <w:sz w:val="26"/>
                <w:szCs w:val="26"/>
              </w:rPr>
            </w:pPr>
            <w:bookmarkStart w:id="156" w:name="_Ref397699250"/>
            <w:r w:rsidRPr="00694BE0">
              <w:rPr>
                <w:sz w:val="26"/>
                <w:szCs w:val="26"/>
              </w:rPr>
              <w:t>Austria and UK-E&amp;W – Determining the best interests of the child</w:t>
            </w:r>
            <w:bookmarkEnd w:id="156"/>
          </w:p>
          <w:p w:rsidR="006D5178" w:rsidRDefault="006D5178" w:rsidP="00D93464">
            <w:r>
              <w:t xml:space="preserve">Section 138 of the General Civil Code of </w:t>
            </w:r>
            <w:r w:rsidRPr="00A5732C">
              <w:rPr>
                <w:b/>
              </w:rPr>
              <w:t>Austria</w:t>
            </w:r>
            <w:r>
              <w:t xml:space="preserve"> establishes that</w:t>
            </w:r>
            <w:r w:rsidR="003A3F24">
              <w:t xml:space="preserve"> the</w:t>
            </w:r>
            <w:r>
              <w:t xml:space="preserve"> </w:t>
            </w:r>
            <w:r w:rsidRPr="00715889">
              <w:rPr>
                <w:b/>
              </w:rPr>
              <w:t>child’s welfare</w:t>
            </w:r>
            <w:r>
              <w:t xml:space="preserve"> should be the guiding principle in all matters regarding children who have not yet reached the age of </w:t>
            </w:r>
            <w:r w:rsidR="00CD7610">
              <w:t>14</w:t>
            </w:r>
            <w:r>
              <w:t xml:space="preserve">, including their involvement in all judicial proceedings. The General Civil Code identifies as general principles that should determine the child’s welfare: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S</w:t>
            </w:r>
            <w:r w:rsidRPr="009C393D">
              <w:rPr>
                <w:rFonts w:ascii="Arial" w:hAnsi="Arial" w:cs="Arial"/>
                <w:sz w:val="20"/>
                <w:szCs w:val="20"/>
              </w:rPr>
              <w:t xml:space="preserve">afety and protection of the physical and psychological integrity of the child;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T</w:t>
            </w:r>
            <w:r w:rsidRPr="009C393D">
              <w:rPr>
                <w:rFonts w:ascii="Arial" w:hAnsi="Arial" w:cs="Arial"/>
                <w:sz w:val="20"/>
                <w:szCs w:val="20"/>
              </w:rPr>
              <w:t xml:space="preserve">he appreciation and acceptance of the child by the parents;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P</w:t>
            </w:r>
            <w:r w:rsidRPr="009C393D">
              <w:rPr>
                <w:rFonts w:ascii="Arial" w:hAnsi="Arial" w:cs="Arial"/>
                <w:sz w:val="20"/>
                <w:szCs w:val="20"/>
              </w:rPr>
              <w:t>romotion of the talents, abilities, interests and development of the child;</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C</w:t>
            </w:r>
            <w:r w:rsidRPr="009C393D">
              <w:rPr>
                <w:rFonts w:ascii="Arial" w:hAnsi="Arial" w:cs="Arial"/>
                <w:sz w:val="20"/>
                <w:szCs w:val="20"/>
              </w:rPr>
              <w:t xml:space="preserve">onsideration of the views of the child in accordance with the child’s understanding and ability to form opinions;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A</w:t>
            </w:r>
            <w:r w:rsidRPr="009C393D">
              <w:rPr>
                <w:rFonts w:ascii="Arial" w:hAnsi="Arial" w:cs="Arial"/>
                <w:sz w:val="20"/>
                <w:szCs w:val="20"/>
              </w:rPr>
              <w:t>voiding any harm that the child might suffer through the implementation and enforcement of a measure against his/her will;</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lastRenderedPageBreak/>
              <w:t>A</w:t>
            </w:r>
            <w:r w:rsidRPr="009C393D">
              <w:rPr>
                <w:rFonts w:ascii="Arial" w:hAnsi="Arial" w:cs="Arial"/>
                <w:sz w:val="20"/>
                <w:szCs w:val="20"/>
              </w:rPr>
              <w:t>voiding any danger, assault or violence to the child;</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E</w:t>
            </w:r>
            <w:r w:rsidRPr="009C393D">
              <w:rPr>
                <w:rFonts w:ascii="Arial" w:hAnsi="Arial" w:cs="Arial"/>
                <w:sz w:val="20"/>
                <w:szCs w:val="20"/>
              </w:rPr>
              <w:t xml:space="preserve">nsuring meaningful contacts of the child with both parents;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A</w:t>
            </w:r>
            <w:r w:rsidRPr="009C393D">
              <w:rPr>
                <w:rFonts w:ascii="Arial" w:hAnsi="Arial" w:cs="Arial"/>
                <w:sz w:val="20"/>
                <w:szCs w:val="20"/>
              </w:rPr>
              <w:t>voiding conflicts of loyalty and guilt of the child;</w:t>
            </w:r>
            <w:r>
              <w:rPr>
                <w:rFonts w:ascii="Arial" w:hAnsi="Arial" w:cs="Arial"/>
                <w:sz w:val="20"/>
                <w:szCs w:val="20"/>
              </w:rPr>
              <w:t xml:space="preserve"> and,</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R</w:t>
            </w:r>
            <w:r w:rsidRPr="009C393D">
              <w:rPr>
                <w:rFonts w:ascii="Arial" w:hAnsi="Arial" w:cs="Arial"/>
                <w:sz w:val="20"/>
                <w:szCs w:val="20"/>
              </w:rPr>
              <w:t>espect for the rights and interest of the child, the living conditions of the child, his</w:t>
            </w:r>
            <w:r w:rsidR="009F73F6">
              <w:rPr>
                <w:rFonts w:ascii="Arial" w:hAnsi="Arial" w:cs="Arial"/>
                <w:sz w:val="20"/>
                <w:szCs w:val="20"/>
              </w:rPr>
              <w:t>/ her</w:t>
            </w:r>
            <w:r w:rsidRPr="009C393D">
              <w:rPr>
                <w:rFonts w:ascii="Arial" w:hAnsi="Arial" w:cs="Arial"/>
                <w:sz w:val="20"/>
                <w:szCs w:val="20"/>
              </w:rPr>
              <w:t xml:space="preserve"> parents and other surroundings.</w:t>
            </w:r>
          </w:p>
          <w:p w:rsidR="006D5178" w:rsidRDefault="006D5178" w:rsidP="00D93464">
            <w:r>
              <w:t>The</w:t>
            </w:r>
            <w:r w:rsidRPr="009C393D">
              <w:t xml:space="preserve"> Children Act 1989 </w:t>
            </w:r>
            <w:r>
              <w:t xml:space="preserve">of </w:t>
            </w:r>
            <w:r w:rsidRPr="00A5732C">
              <w:rPr>
                <w:b/>
              </w:rPr>
              <w:t>England and Wales</w:t>
            </w:r>
            <w:r>
              <w:t xml:space="preserve"> </w:t>
            </w:r>
            <w:r w:rsidRPr="009C393D">
              <w:t xml:space="preserve">contains a “Welfare Checklist”, which obliges the court, when considering whether to make a care and supervision order, to have regard, </w:t>
            </w:r>
            <w:r w:rsidRPr="009C393D">
              <w:rPr>
                <w:i/>
              </w:rPr>
              <w:t>inter alia,</w:t>
            </w:r>
            <w:r w:rsidRPr="009C393D">
              <w:t xml:space="preserve"> to</w:t>
            </w:r>
            <w:r>
              <w:t>:</w:t>
            </w:r>
            <w:r w:rsidRPr="009C393D">
              <w:t xml:space="preserve">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T</w:t>
            </w:r>
            <w:r w:rsidRPr="009C393D">
              <w:rPr>
                <w:rFonts w:ascii="Arial" w:hAnsi="Arial" w:cs="Arial"/>
                <w:sz w:val="20"/>
                <w:szCs w:val="20"/>
              </w:rPr>
              <w:t xml:space="preserve">he ascertainable wishes and feelings of the child concerned;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H</w:t>
            </w:r>
            <w:r w:rsidRPr="009C393D">
              <w:rPr>
                <w:rFonts w:ascii="Arial" w:hAnsi="Arial" w:cs="Arial"/>
                <w:sz w:val="20"/>
                <w:szCs w:val="20"/>
              </w:rPr>
              <w:t xml:space="preserve">is/her physical, emotional and educational needs and how these are to be met;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H</w:t>
            </w:r>
            <w:r w:rsidRPr="009C393D">
              <w:rPr>
                <w:rFonts w:ascii="Arial" w:hAnsi="Arial" w:cs="Arial"/>
                <w:sz w:val="20"/>
                <w:szCs w:val="20"/>
              </w:rPr>
              <w:t xml:space="preserve">is/her age, sex, background and any other characteristic considered relevant; </w:t>
            </w:r>
          </w:p>
          <w:p w:rsidR="006D5178" w:rsidRPr="009C393D" w:rsidRDefault="006D5178" w:rsidP="00173CAC">
            <w:pPr>
              <w:pStyle w:val="ListParagraph"/>
              <w:numPr>
                <w:ilvl w:val="0"/>
                <w:numId w:val="29"/>
              </w:numPr>
              <w:ind w:left="414"/>
              <w:rPr>
                <w:rFonts w:ascii="Arial" w:hAnsi="Arial" w:cs="Arial"/>
                <w:sz w:val="20"/>
                <w:szCs w:val="20"/>
              </w:rPr>
            </w:pPr>
            <w:r>
              <w:rPr>
                <w:rFonts w:ascii="Arial" w:hAnsi="Arial" w:cs="Arial"/>
                <w:sz w:val="20"/>
                <w:szCs w:val="20"/>
              </w:rPr>
              <w:t>A</w:t>
            </w:r>
            <w:r w:rsidRPr="009C393D">
              <w:rPr>
                <w:rFonts w:ascii="Arial" w:hAnsi="Arial" w:cs="Arial"/>
                <w:sz w:val="20"/>
                <w:szCs w:val="20"/>
              </w:rPr>
              <w:t xml:space="preserve">ny harm suffered or risk of harm; and, </w:t>
            </w:r>
          </w:p>
          <w:p w:rsidR="006D5178" w:rsidRPr="00715889" w:rsidRDefault="006D5178" w:rsidP="00173CAC">
            <w:pPr>
              <w:pStyle w:val="ListParagraph"/>
              <w:numPr>
                <w:ilvl w:val="0"/>
                <w:numId w:val="29"/>
              </w:numPr>
              <w:ind w:left="414"/>
            </w:pPr>
            <w:r>
              <w:rPr>
                <w:rFonts w:ascii="Arial" w:hAnsi="Arial" w:cs="Arial"/>
                <w:sz w:val="20"/>
                <w:szCs w:val="20"/>
              </w:rPr>
              <w:t>T</w:t>
            </w:r>
            <w:r w:rsidRPr="009C393D">
              <w:rPr>
                <w:rFonts w:ascii="Arial" w:hAnsi="Arial" w:cs="Arial"/>
                <w:sz w:val="20"/>
                <w:szCs w:val="20"/>
              </w:rPr>
              <w:t>he likely effect of a change in circumstances.</w:t>
            </w:r>
          </w:p>
        </w:tc>
      </w:tr>
    </w:tbl>
    <w:p w:rsidR="00A44C2A" w:rsidRDefault="006864C1" w:rsidP="00A5732C">
      <w:pPr>
        <w:pStyle w:val="Heading3"/>
      </w:pPr>
      <w:bookmarkStart w:id="157" w:name="_Toc408908712"/>
      <w:r w:rsidRPr="00A44C2A">
        <w:lastRenderedPageBreak/>
        <w:t>G</w:t>
      </w:r>
      <w:r w:rsidR="006327F5" w:rsidRPr="00A44C2A">
        <w:t>iving due weight to the expressed views of the child</w:t>
      </w:r>
      <w:bookmarkEnd w:id="157"/>
      <w:r w:rsidR="004F52B1">
        <w:t xml:space="preserve"> </w:t>
      </w:r>
    </w:p>
    <w:p w:rsidR="003C7CB1" w:rsidRDefault="003C7CB1" w:rsidP="006C7CC7">
      <w:pPr>
        <w:pStyle w:val="BodyText"/>
      </w:pPr>
      <w:r>
        <w:t xml:space="preserve">In several jurisdictions </w:t>
      </w:r>
      <w:r w:rsidR="004F52B1">
        <w:t>(</w:t>
      </w:r>
      <w:r>
        <w:t xml:space="preserve">e.g. </w:t>
      </w:r>
      <w:r w:rsidR="004F52B1">
        <w:t>BG, CY, DK</w:t>
      </w:r>
      <w:r w:rsidR="00E14E12">
        <w:t>, EL, ES, FI, FR, IT, LT</w:t>
      </w:r>
      <w:r w:rsidR="00AA78C3">
        <w:t>, NL, RO, SE, UK-E&amp;W, UK-NI, UK-S)</w:t>
      </w:r>
      <w:r>
        <w:t xml:space="preserve">, there is a legal obligation on the part of a court to hear the child and give due weight to his or her views before reaching a decision if he or </w:t>
      </w:r>
      <w:r w:rsidR="00637817">
        <w:t xml:space="preserve">she is considered mature enough. </w:t>
      </w:r>
      <w:r w:rsidR="00637817" w:rsidRPr="00637817">
        <w:t>In LU, this measure is followed in practice even though there is no legal requirement for the child to be heard in order to assess his or her best interests.</w:t>
      </w:r>
    </w:p>
    <w:p w:rsidR="00637817" w:rsidRDefault="00637817" w:rsidP="006C7CC7">
      <w:pPr>
        <w:pStyle w:val="BodyText"/>
      </w:pPr>
      <w:r>
        <w:t>In certain jurisdictions (</w:t>
      </w:r>
      <w:r w:rsidR="00AA78C3">
        <w:t>e.g. LT</w:t>
      </w:r>
      <w:r>
        <w:t xml:space="preserve">), this </w:t>
      </w:r>
      <w:r w:rsidR="00926792">
        <w:t>obligation only appl</w:t>
      </w:r>
      <w:r>
        <w:t xml:space="preserve">ies in the area of family law; </w:t>
      </w:r>
    </w:p>
    <w:p w:rsidR="00222626" w:rsidRDefault="00926792" w:rsidP="006C7CC7">
      <w:pPr>
        <w:pStyle w:val="BodyText"/>
      </w:pPr>
      <w:r>
        <w:t>In at least four jurisdictions (</w:t>
      </w:r>
      <w:r w:rsidR="00637817">
        <w:t xml:space="preserve">e.g. </w:t>
      </w:r>
      <w:r>
        <w:t>IE, LV, PT and SI), the court is under no legal obligation to consider the views of the child in order to determine his or her best interests, although legislative changes are foreseen in IE in this regard.</w:t>
      </w:r>
    </w:p>
    <w:p w:rsidR="00637817" w:rsidRPr="00637817" w:rsidRDefault="00926792" w:rsidP="00A5732C">
      <w:pPr>
        <w:pStyle w:val="Heading3"/>
      </w:pPr>
      <w:bookmarkStart w:id="158" w:name="_Toc408908713"/>
      <w:r w:rsidRPr="00637817">
        <w:t xml:space="preserve">Adopting a </w:t>
      </w:r>
      <w:r w:rsidR="006864C1" w:rsidRPr="00637817">
        <w:t>multidisciplinary approach</w:t>
      </w:r>
      <w:bookmarkEnd w:id="158"/>
      <w:r w:rsidR="006864C1" w:rsidRPr="00637817">
        <w:t xml:space="preserve"> </w:t>
      </w:r>
    </w:p>
    <w:p w:rsidR="00E60A83" w:rsidRDefault="00E60A83" w:rsidP="006C7CC7">
      <w:pPr>
        <w:pStyle w:val="BodyText"/>
      </w:pPr>
      <w:r>
        <w:t xml:space="preserve">In several MS (e.g. </w:t>
      </w:r>
      <w:r w:rsidRPr="00926792">
        <w:t>AT, BG</w:t>
      </w:r>
      <w:r>
        <w:t>, DK, ES, HR, IT, LT, LU, MT, NL, RO, PT, SI), the c</w:t>
      </w:r>
      <w:r w:rsidR="006864C1" w:rsidRPr="00926792">
        <w:t xml:space="preserve">ourt </w:t>
      </w:r>
      <w:r w:rsidR="005214E3">
        <w:t xml:space="preserve">consults </w:t>
      </w:r>
      <w:r w:rsidR="00926792">
        <w:t xml:space="preserve">with </w:t>
      </w:r>
      <w:r w:rsidR="006864C1" w:rsidRPr="00926792">
        <w:t xml:space="preserve">professionals/experts </w:t>
      </w:r>
      <w:r w:rsidR="00926792">
        <w:t>from different disciplines in order to reach a holistic pictur</w:t>
      </w:r>
      <w:r>
        <w:t>e of the child’s best interests.</w:t>
      </w:r>
    </w:p>
    <w:p w:rsidR="006C51BC" w:rsidRDefault="005214E3" w:rsidP="006C7CC7">
      <w:pPr>
        <w:pStyle w:val="BodyText"/>
      </w:pPr>
      <w:r>
        <w:t>In some M</w:t>
      </w:r>
      <w:r w:rsidR="003036BB">
        <w:t>S</w:t>
      </w:r>
      <w:r>
        <w:t xml:space="preserve"> these consultations are not obligatory (e.g. IT, LU). In others, the consultations are only obligatory in family and placement into care proceedings (e.g. ES, </w:t>
      </w:r>
      <w:r w:rsidR="006C51BC">
        <w:t xml:space="preserve">LT, </w:t>
      </w:r>
      <w:r w:rsidR="006C51BC">
        <w:lastRenderedPageBreak/>
        <w:t xml:space="preserve">RO). </w:t>
      </w:r>
      <w:r w:rsidR="00E60A83" w:rsidRPr="00E60A83">
        <w:rPr>
          <w:b/>
          <w:color w:val="0070C0"/>
        </w:rPr>
        <w:t xml:space="preserve">Section </w:t>
      </w:r>
      <w:r w:rsidR="00E60A83" w:rsidRPr="00E60A83">
        <w:rPr>
          <w:b/>
          <w:color w:val="0070C0"/>
        </w:rPr>
        <w:fldChar w:fldCharType="begin"/>
      </w:r>
      <w:r w:rsidR="00E60A83" w:rsidRPr="00E60A83">
        <w:rPr>
          <w:b/>
          <w:color w:val="0070C0"/>
        </w:rPr>
        <w:instrText xml:space="preserve"> REF _Ref397701011 \r \h  \* MERGEFORMAT </w:instrText>
      </w:r>
      <w:r w:rsidR="00E60A83" w:rsidRPr="00E60A83">
        <w:rPr>
          <w:b/>
          <w:color w:val="0070C0"/>
        </w:rPr>
      </w:r>
      <w:r w:rsidR="00E60A83" w:rsidRPr="00E60A83">
        <w:rPr>
          <w:b/>
          <w:color w:val="0070C0"/>
        </w:rPr>
        <w:fldChar w:fldCharType="separate"/>
      </w:r>
      <w:r w:rsidR="000223E8">
        <w:rPr>
          <w:b/>
          <w:color w:val="0070C0"/>
        </w:rPr>
        <w:t>3.6</w:t>
      </w:r>
      <w:r w:rsidR="00E60A83" w:rsidRPr="00E60A83">
        <w:rPr>
          <w:b/>
          <w:color w:val="0070C0"/>
        </w:rPr>
        <w:fldChar w:fldCharType="end"/>
      </w:r>
      <w:r w:rsidR="003036BB">
        <w:t xml:space="preserve"> </w:t>
      </w:r>
      <w:r w:rsidR="00757AF2">
        <w:t>provides further</w:t>
      </w:r>
      <w:r w:rsidR="004F52B1" w:rsidRPr="00926792">
        <w:t xml:space="preserve"> information on the use of multidisciplinary approaches </w:t>
      </w:r>
      <w:r w:rsidR="00E60A83">
        <w:t xml:space="preserve">by courts when dealing with </w:t>
      </w:r>
      <w:r w:rsidR="003036BB">
        <w:t xml:space="preserve">children involved </w:t>
      </w:r>
      <w:r w:rsidR="004F52B1" w:rsidRPr="00926792">
        <w:t>in civil and administrative judicial proceedings.</w:t>
      </w:r>
    </w:p>
    <w:p w:rsidR="00E60A83" w:rsidRDefault="006C51BC" w:rsidP="006C7CC7">
      <w:pPr>
        <w:pStyle w:val="BodyText"/>
      </w:pPr>
      <w:r>
        <w:t xml:space="preserve">The above listed measures to ensure </w:t>
      </w:r>
      <w:r w:rsidRPr="006C51BC">
        <w:t xml:space="preserve">the effective implementation of the best interests of the child </w:t>
      </w:r>
      <w:r>
        <w:t xml:space="preserve">in judicial proceedings are more strongly developed in the areas of family and placement into care than in other areas of law. </w:t>
      </w:r>
    </w:p>
    <w:p w:rsidR="006D5178" w:rsidRDefault="006C51BC" w:rsidP="006C7CC7">
      <w:pPr>
        <w:pStyle w:val="BodyText"/>
        <w:rPr>
          <w:lang w:val="en-US"/>
        </w:rPr>
      </w:pPr>
      <w:r>
        <w:t>For example, in the UK-E&amp;W,</w:t>
      </w:r>
      <w:r w:rsidR="00E07B9E">
        <w:t xml:space="preserve"> </w:t>
      </w:r>
      <w:r w:rsidR="00E07B9E" w:rsidRPr="00E07B9E">
        <w:rPr>
          <w:lang w:val="en-US"/>
        </w:rPr>
        <w:t xml:space="preserve">the Welfare </w:t>
      </w:r>
      <w:r w:rsidR="006D5178">
        <w:rPr>
          <w:lang w:val="en-US"/>
        </w:rPr>
        <w:t>Checklist</w:t>
      </w:r>
      <w:r w:rsidR="00E07B9E" w:rsidRPr="00E07B9E">
        <w:rPr>
          <w:lang w:val="en-US"/>
        </w:rPr>
        <w:t xml:space="preserve"> </w:t>
      </w:r>
      <w:r w:rsidR="00E60A83">
        <w:rPr>
          <w:lang w:val="en-US"/>
        </w:rPr>
        <w:t xml:space="preserve">(see </w:t>
      </w:r>
      <w:r w:rsidR="00E60A83" w:rsidRPr="00E60A83">
        <w:rPr>
          <w:b/>
          <w:color w:val="0070C0"/>
          <w:lang w:val="en-US"/>
        </w:rPr>
        <w:fldChar w:fldCharType="begin"/>
      </w:r>
      <w:r w:rsidR="00E60A83" w:rsidRPr="00E60A83">
        <w:rPr>
          <w:b/>
          <w:color w:val="0070C0"/>
          <w:lang w:val="en-US"/>
        </w:rPr>
        <w:instrText xml:space="preserve"> REF _Ref397699250 \r \h  \* MERGEFORMAT </w:instrText>
      </w:r>
      <w:r w:rsidR="00E60A83" w:rsidRPr="00E60A83">
        <w:rPr>
          <w:b/>
          <w:color w:val="0070C0"/>
          <w:lang w:val="en-US"/>
        </w:rPr>
      </w:r>
      <w:r w:rsidR="00E60A83" w:rsidRPr="00E60A83">
        <w:rPr>
          <w:b/>
          <w:color w:val="0070C0"/>
          <w:lang w:val="en-US"/>
        </w:rPr>
        <w:fldChar w:fldCharType="separate"/>
      </w:r>
      <w:r w:rsidR="000223E8">
        <w:rPr>
          <w:b/>
          <w:color w:val="0070C0"/>
          <w:lang w:val="en-US"/>
        </w:rPr>
        <w:t>B</w:t>
      </w:r>
      <w:r w:rsidR="000223E8">
        <w:rPr>
          <w:b/>
          <w:color w:val="0070C0"/>
          <w:lang w:val="en-US"/>
        </w:rPr>
        <w:t>o</w:t>
      </w:r>
      <w:r w:rsidR="000223E8">
        <w:rPr>
          <w:b/>
          <w:color w:val="0070C0"/>
          <w:lang w:val="en-US"/>
        </w:rPr>
        <w:t>x 1</w:t>
      </w:r>
      <w:r w:rsidR="00E60A83" w:rsidRPr="00E60A83">
        <w:rPr>
          <w:b/>
          <w:color w:val="0070C0"/>
          <w:lang w:val="en-US"/>
        </w:rPr>
        <w:fldChar w:fldCharType="end"/>
      </w:r>
      <w:r w:rsidR="00E60A83">
        <w:rPr>
          <w:lang w:val="en-US"/>
        </w:rPr>
        <w:t xml:space="preserve">) </w:t>
      </w:r>
      <w:r w:rsidR="006D5178">
        <w:rPr>
          <w:lang w:val="en-US"/>
        </w:rPr>
        <w:t xml:space="preserve">only applies </w:t>
      </w:r>
      <w:r w:rsidR="006D5178" w:rsidRPr="00E07B9E">
        <w:rPr>
          <w:lang w:val="en-US"/>
        </w:rPr>
        <w:t xml:space="preserve">when a Court </w:t>
      </w:r>
      <w:r w:rsidR="006D5178">
        <w:rPr>
          <w:lang w:val="en-US"/>
        </w:rPr>
        <w:t>determines a</w:t>
      </w:r>
      <w:r w:rsidR="006D5178" w:rsidRPr="00E07B9E">
        <w:rPr>
          <w:lang w:val="en-US"/>
        </w:rPr>
        <w:t xml:space="preserve"> question with respect to: (a) the upbringing of a child, and (b) the administration of a child’s property or the application of any income arising from it</w:t>
      </w:r>
      <w:r w:rsidR="006D5178">
        <w:rPr>
          <w:lang w:val="en-US"/>
        </w:rPr>
        <w:t xml:space="preserve">. It is therefore understood not to </w:t>
      </w:r>
      <w:r w:rsidR="00E07B9E" w:rsidRPr="00E07B9E">
        <w:rPr>
          <w:lang w:val="en-US"/>
        </w:rPr>
        <w:t>apply in procedural terms to tribunal proceedings</w:t>
      </w:r>
      <w:r w:rsidR="006D5178">
        <w:rPr>
          <w:lang w:val="en-US"/>
        </w:rPr>
        <w:t xml:space="preserve"> (including employment tribunals and migration tribunals). </w:t>
      </w:r>
    </w:p>
    <w:p w:rsidR="00A929DD" w:rsidRDefault="006D5178" w:rsidP="006C7CC7">
      <w:pPr>
        <w:pStyle w:val="BodyText"/>
      </w:pPr>
      <w:r>
        <w:rPr>
          <w:lang w:val="en-US"/>
        </w:rPr>
        <w:t xml:space="preserve">In other jurisdictions, </w:t>
      </w:r>
      <w:r w:rsidR="005C5763" w:rsidRPr="005C5763">
        <w:t xml:space="preserve">the principle that the best interests of the child </w:t>
      </w:r>
      <w:r w:rsidR="005C5763">
        <w:t xml:space="preserve">should be a </w:t>
      </w:r>
      <w:r w:rsidR="005C5763" w:rsidRPr="005C5763">
        <w:t xml:space="preserve">primary or paramount consideration </w:t>
      </w:r>
      <w:r w:rsidR="005C5763">
        <w:t xml:space="preserve">is </w:t>
      </w:r>
      <w:r w:rsidR="009F4B15">
        <w:t>enshrined in</w:t>
      </w:r>
      <w:r w:rsidR="005C5763">
        <w:t xml:space="preserve"> specific sectoral laws pertaining to specific areas of administrative justice, such as asylum and migration</w:t>
      </w:r>
      <w:r w:rsidR="006C51BC">
        <w:t xml:space="preserve"> </w:t>
      </w:r>
      <w:r w:rsidR="005C5763">
        <w:t>(EL, FR, IT, SE, SI), health (FR) and education (SE).</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C7CC7" w:rsidTr="004017DA">
        <w:tc>
          <w:tcPr>
            <w:tcW w:w="8222" w:type="dxa"/>
            <w:shd w:val="clear" w:color="auto" w:fill="CDEBFF"/>
          </w:tcPr>
          <w:p w:rsidR="006C7CC7" w:rsidRPr="00694BE0" w:rsidRDefault="006C7CC7" w:rsidP="006C7CC7">
            <w:pPr>
              <w:pStyle w:val="Conclusion"/>
              <w:numPr>
                <w:ilvl w:val="0"/>
                <w:numId w:val="0"/>
              </w:numPr>
              <w:rPr>
                <w:sz w:val="26"/>
                <w:szCs w:val="26"/>
              </w:rPr>
            </w:pPr>
            <w:r w:rsidRPr="00694BE0">
              <w:rPr>
                <w:sz w:val="26"/>
                <w:szCs w:val="26"/>
              </w:rPr>
              <w:t>Measures taken to advance the principle that the best interests of the child should be a paramount consideration</w:t>
            </w:r>
          </w:p>
          <w:p w:rsidR="006C7CC7" w:rsidRDefault="006C7CC7" w:rsidP="006C7CC7">
            <w:pPr>
              <w:pStyle w:val="Bullet1"/>
            </w:pPr>
            <w:r>
              <w:t xml:space="preserve">MS consider the principle of the best interest of the child to be paramount </w:t>
            </w:r>
            <w:r w:rsidRPr="00A91050">
              <w:t>in the handling of civil and administrative judicial proceedings.</w:t>
            </w:r>
            <w:r>
              <w:t xml:space="preserve"> However, in many countries there is no legally binding tool to assess the best interests of the child.</w:t>
            </w:r>
          </w:p>
          <w:p w:rsidR="006C7CC7" w:rsidRPr="006C7CC7" w:rsidRDefault="006C7CC7" w:rsidP="006C7CC7">
            <w:pPr>
              <w:pStyle w:val="Bullet1"/>
              <w:rPr>
                <w:rFonts w:ascii="Calibri" w:hAnsi="Calibri"/>
              </w:rPr>
            </w:pPr>
            <w:r w:rsidRPr="00A5732C">
              <w:rPr>
                <w:color w:val="000000" w:themeColor="text1"/>
              </w:rPr>
              <w:t xml:space="preserve">Measures to advance this principle </w:t>
            </w:r>
            <w:r w:rsidRPr="00A91050">
              <w:t>include</w:t>
            </w:r>
            <w:r>
              <w:t xml:space="preserve"> </w:t>
            </w:r>
            <w:r w:rsidRPr="003A3F24">
              <w:t>reflecting the principle in the Constitution or relevant legislation; developing criteria to determine the best interests of the child in particular circumstances; giving due weight to the expressed views of the child; and adopting a multidisciplinary approach.</w:t>
            </w:r>
          </w:p>
          <w:p w:rsidR="006C7CC7" w:rsidRPr="006C7CC7" w:rsidRDefault="006C7CC7" w:rsidP="006C7CC7">
            <w:pPr>
              <w:pStyle w:val="Bullet1"/>
              <w:rPr>
                <w:sz w:val="22"/>
              </w:rPr>
            </w:pPr>
            <w:r w:rsidRPr="006C7CC7">
              <w:t>The measures adopted by MS are more strongly developed in family and placement into care than in other areas of law.</w:t>
            </w:r>
          </w:p>
        </w:tc>
      </w:tr>
    </w:tbl>
    <w:p w:rsidR="00471768" w:rsidRDefault="008534B6" w:rsidP="00A7584E">
      <w:pPr>
        <w:pStyle w:val="Heading2"/>
      </w:pPr>
      <w:bookmarkStart w:id="159" w:name="_Toc406590150"/>
      <w:bookmarkStart w:id="160" w:name="_Toc408908714"/>
      <w:bookmarkStart w:id="161" w:name="_Toc365616804"/>
      <w:bookmarkStart w:id="162" w:name="_Toc365881776"/>
      <w:bookmarkStart w:id="163" w:name="_Toc371943959"/>
      <w:r>
        <w:t>National m</w:t>
      </w:r>
      <w:r w:rsidR="00471768">
        <w:t>onitoring mechanisms</w:t>
      </w:r>
      <w:r>
        <w:t xml:space="preserve"> to ensure the compatibility of safeguards with international standards</w:t>
      </w:r>
      <w:bookmarkEnd w:id="159"/>
      <w:bookmarkEnd w:id="160"/>
    </w:p>
    <w:p w:rsidR="00BE1A60" w:rsidRDefault="0070530D" w:rsidP="006C7CC7">
      <w:pPr>
        <w:pStyle w:val="BodyText"/>
      </w:pPr>
      <w:r>
        <w:t xml:space="preserve">National monitoring mechanisms can play a key role in supporting MS to effectively implement their international </w:t>
      </w:r>
      <w:r w:rsidR="00F44F2B">
        <w:t xml:space="preserve">rights of the child </w:t>
      </w:r>
      <w:r>
        <w:t xml:space="preserve">obligations and in helping children to </w:t>
      </w:r>
      <w:r>
        <w:lastRenderedPageBreak/>
        <w:t>become increasingly aware of their rights</w:t>
      </w:r>
      <w:r w:rsidR="00BE1A60">
        <w:t>, including in the context of civil and administrative judicial proceedings</w:t>
      </w:r>
      <w:r>
        <w:t xml:space="preserve">. </w:t>
      </w:r>
    </w:p>
    <w:p w:rsidR="00396F8B" w:rsidRDefault="00396F8B" w:rsidP="006C7CC7">
      <w:pPr>
        <w:pStyle w:val="BodyText"/>
      </w:pPr>
      <w:r>
        <w:t>Twenty</w:t>
      </w:r>
      <w:r w:rsidR="00F44F2B">
        <w:t>-</w:t>
      </w:r>
      <w:r>
        <w:t>three</w:t>
      </w:r>
      <w:r w:rsidR="008C4D35">
        <w:t xml:space="preserve"> MS have m</w:t>
      </w:r>
      <w:r w:rsidR="008C4D35" w:rsidRPr="009C77B5">
        <w:t>onitoring mechanisms</w:t>
      </w:r>
      <w:r w:rsidR="008C4D35">
        <w:t xml:space="preserve"> </w:t>
      </w:r>
      <w:r w:rsidR="008C4D35" w:rsidRPr="009C77B5">
        <w:t xml:space="preserve">at national level (e.g. Children’s Commissioners or Ombudspersons) to review domestic legislation, policies and practice related to </w:t>
      </w:r>
      <w:r w:rsidR="008C4D35">
        <w:t>children</w:t>
      </w:r>
      <w:r w:rsidR="00BE1A60">
        <w:t>, inter alia,</w:t>
      </w:r>
      <w:r w:rsidR="008C4D35">
        <w:t xml:space="preserve"> in </w:t>
      </w:r>
      <w:r w:rsidR="008C4D35" w:rsidRPr="009C77B5">
        <w:t>judicial proceedings to ensure their compatibility with international standards</w:t>
      </w:r>
      <w:r w:rsidR="008C4D35">
        <w:t>.</w:t>
      </w:r>
      <w:r w:rsidR="0070530D">
        <w:t xml:space="preserve"> </w:t>
      </w:r>
      <w:r w:rsidR="00726D9C">
        <w:t xml:space="preserve">The exceptions are </w:t>
      </w:r>
      <w:r w:rsidR="008C4D35">
        <w:t>DE, EE, MT, PT and RO</w:t>
      </w:r>
      <w:r w:rsidR="00726D9C">
        <w:t xml:space="preserve"> where such national-level monitoring mechanisms do not exist</w:t>
      </w:r>
      <w:r w:rsidR="008C4D35">
        <w:t xml:space="preserve">. </w:t>
      </w:r>
    </w:p>
    <w:p w:rsidR="009F3A86" w:rsidRDefault="00396F8B" w:rsidP="006C7CC7">
      <w:pPr>
        <w:pStyle w:val="BodyText"/>
      </w:pPr>
      <w:r>
        <w:t xml:space="preserve">In 15 out of the 25 jurisdictions where monitoring mechanisms exist, the mechanisms apply in </w:t>
      </w:r>
      <w:r w:rsidRPr="006F328B">
        <w:rPr>
          <w:b/>
        </w:rPr>
        <w:t>all areas of law</w:t>
      </w:r>
      <w:r>
        <w:t xml:space="preserve"> (AT, BE, CZ, DK, FI, HR, HU, IE, LT, LU, LV, PL, SK, UK-E&amp;W and UK-NI).</w:t>
      </w:r>
      <w:r w:rsidR="009F3A86">
        <w:t xml:space="preserve">The mechanisms apply most </w:t>
      </w:r>
      <w:r>
        <w:t>frequently</w:t>
      </w:r>
      <w:r w:rsidR="009F3A86">
        <w:t xml:space="preserve"> in </w:t>
      </w:r>
      <w:r w:rsidR="009F3A86" w:rsidRPr="009F3A86">
        <w:rPr>
          <w:b/>
        </w:rPr>
        <w:t>asylum, migration, education, health and placement into care</w:t>
      </w:r>
      <w:r w:rsidR="009F3A86">
        <w:t xml:space="preserve"> (24 jurisdictions each). They apply </w:t>
      </w:r>
      <w:r>
        <w:t>slightly less frequently</w:t>
      </w:r>
      <w:r w:rsidR="009F3A86">
        <w:t xml:space="preserve"> in </w:t>
      </w:r>
      <w:r w:rsidR="009F3A86" w:rsidRPr="00180764">
        <w:rPr>
          <w:b/>
        </w:rPr>
        <w:t xml:space="preserve">employment and </w:t>
      </w:r>
      <w:r w:rsidR="008A467C">
        <w:rPr>
          <w:b/>
        </w:rPr>
        <w:t xml:space="preserve">offences committed below </w:t>
      </w:r>
      <w:r>
        <w:rPr>
          <w:b/>
        </w:rPr>
        <w:t>MACR</w:t>
      </w:r>
      <w:r w:rsidR="00E11F47">
        <w:t xml:space="preserve"> (20 and 21 jurisdictions </w:t>
      </w:r>
      <w:r>
        <w:t>respectively</w:t>
      </w:r>
      <w:r w:rsidR="00E11F47">
        <w:t>)</w:t>
      </w:r>
      <w:r w:rsidR="009F3A86">
        <w:t xml:space="preserve">. </w:t>
      </w:r>
    </w:p>
    <w:p w:rsidR="00FD3DF8" w:rsidRDefault="0007580F" w:rsidP="006C7CC7">
      <w:pPr>
        <w:pStyle w:val="BodyText"/>
      </w:pPr>
      <w:r>
        <w:t>T</w:t>
      </w:r>
      <w:r w:rsidR="009F3A86">
        <w:t>he monitoring mechanism in UK-S only covers two areas of law (placement in care and</w:t>
      </w:r>
      <w:r w:rsidR="008A467C">
        <w:t xml:space="preserve"> offences committed below</w:t>
      </w:r>
      <w:r w:rsidR="009F3A86">
        <w:t xml:space="preserve"> </w:t>
      </w:r>
      <w:r>
        <w:t>MACR</w:t>
      </w:r>
      <w:r w:rsidR="00BE1A60">
        <w:t>)</w:t>
      </w:r>
      <w:r w:rsidR="009F3A86">
        <w:t xml:space="preserve">. </w:t>
      </w:r>
      <w:r w:rsidR="008C4D35">
        <w:t xml:space="preserve">They tend to </w:t>
      </w:r>
      <w:r w:rsidR="009F3A86">
        <w:t xml:space="preserve">apply in </w:t>
      </w:r>
      <w:r w:rsidR="008C4D35">
        <w:t xml:space="preserve">all but one area of law in the other jurisdictions. </w:t>
      </w:r>
    </w:p>
    <w:p w:rsidR="008C4D35" w:rsidRDefault="008C4D35" w:rsidP="006C7CC7">
      <w:pPr>
        <w:pStyle w:val="BodyText"/>
      </w:pPr>
      <w:r>
        <w:t xml:space="preserve">In 20 jurisdictions, the monitoring mechanisms </w:t>
      </w:r>
      <w:r w:rsidR="00636666">
        <w:t>apply to</w:t>
      </w:r>
      <w:r>
        <w:t xml:space="preserve"> </w:t>
      </w:r>
      <w:r w:rsidRPr="00E11F47">
        <w:rPr>
          <w:b/>
        </w:rPr>
        <w:t xml:space="preserve">all </w:t>
      </w:r>
      <w:r w:rsidR="0007580F">
        <w:rPr>
          <w:b/>
        </w:rPr>
        <w:t xml:space="preserve">the </w:t>
      </w:r>
      <w:r w:rsidRPr="00E11F47">
        <w:rPr>
          <w:b/>
        </w:rPr>
        <w:t>roles of the child.</w:t>
      </w:r>
      <w:r>
        <w:t xml:space="preserve"> Elsewhere, the mechanisms tend to </w:t>
      </w:r>
      <w:r w:rsidR="00636666">
        <w:t>apply to children in the role of</w:t>
      </w:r>
      <w:r>
        <w:t xml:space="preserve"> </w:t>
      </w:r>
      <w:r w:rsidRPr="006F328B">
        <w:rPr>
          <w:b/>
        </w:rPr>
        <w:t>plaintiffs</w:t>
      </w:r>
      <w:r>
        <w:t xml:space="preserve">, </w:t>
      </w:r>
      <w:r w:rsidRPr="006F328B">
        <w:rPr>
          <w:b/>
        </w:rPr>
        <w:t>witnesses</w:t>
      </w:r>
      <w:r>
        <w:t xml:space="preserve"> and </w:t>
      </w:r>
      <w:r w:rsidRPr="006F328B">
        <w:rPr>
          <w:b/>
        </w:rPr>
        <w:t>defendants</w:t>
      </w:r>
      <w:r>
        <w:t xml:space="preserve">. </w:t>
      </w:r>
      <w:r w:rsidR="00636666">
        <w:t>The mechanisms rarely apply to c</w:t>
      </w:r>
      <w:r>
        <w:t xml:space="preserve">hildren involved in judicial proceedings as </w:t>
      </w:r>
      <w:r w:rsidRPr="00180764">
        <w:rPr>
          <w:b/>
        </w:rPr>
        <w:t>subjects</w:t>
      </w:r>
      <w:r>
        <w:t xml:space="preserve">. </w:t>
      </w:r>
    </w:p>
    <w:p w:rsidR="008C4D35" w:rsidRDefault="008C4D35" w:rsidP="006C7CC7">
      <w:pPr>
        <w:pStyle w:val="BodyText"/>
      </w:pPr>
      <w:r>
        <w:t xml:space="preserve">In 19 jurisdictions, the monitoring procedure is carried out wholly or partly by an ombudsperson or commissioner. In 15 out of these 19 jurisdictions, the work of the ombudsperson (or one of their offices) deals exclusively with the concerns and rights of children. Of these children’s commissioners/ombudspersons, roughly half have among other things the task to review </w:t>
      </w:r>
      <w:r w:rsidRPr="009C77B5">
        <w:t>domestic legislation, policies and practice related to judicial proceedings to ensure their compatibility with international standards</w:t>
      </w:r>
      <w:r>
        <w:t xml:space="preserve"> (e.g. CY, DK, HR, IE, LU, SE, </w:t>
      </w:r>
      <w:r w:rsidR="00CD7610">
        <w:t>UK-S</w:t>
      </w:r>
      <w:r>
        <w:t>).</w:t>
      </w:r>
      <w:r w:rsidRPr="00CC36D3">
        <w:t xml:space="preserve"> </w:t>
      </w:r>
      <w:r>
        <w:t>Another type of monitoring mechanism that does not involve an ombudsperson is an inter-ministerial obligation to review the impact of legislative proposals on children (</w:t>
      </w:r>
      <w:r w:rsidR="00636666">
        <w:t xml:space="preserve">e.g. in </w:t>
      </w:r>
      <w:r>
        <w:t>AT, ES).</w:t>
      </w:r>
    </w:p>
    <w:p w:rsidR="008C4D35" w:rsidRDefault="008C4D35" w:rsidP="006C7CC7">
      <w:pPr>
        <w:pStyle w:val="BodyText"/>
      </w:pPr>
      <w:r>
        <w:t xml:space="preserve">In most of the jurisdictions, the task of monitoring the compatibility of domestic legislation, policies and practice related to children involved in judicial proceedings with international standards is shared between the ombudspersons or commissioners </w:t>
      </w:r>
      <w:r w:rsidR="0007580F">
        <w:t>and</w:t>
      </w:r>
      <w:r w:rsidR="00636666">
        <w:t xml:space="preserve"> </w:t>
      </w:r>
      <w:r>
        <w:t xml:space="preserve">at least one additional institution. </w:t>
      </w:r>
    </w:p>
    <w:p w:rsidR="008C4D35" w:rsidRDefault="008C4D35" w:rsidP="006C7CC7">
      <w:pPr>
        <w:pStyle w:val="BodyText"/>
      </w:pPr>
      <w:r>
        <w:lastRenderedPageBreak/>
        <w:t xml:space="preserve">The scope of action and the power vested in the ombudsperson/commissioner or similar monitoring body varies </w:t>
      </w:r>
      <w:r w:rsidR="00D97BBA">
        <w:t>between jurisdictions</w:t>
      </w:r>
      <w:r>
        <w:t>. In most cases, the</w:t>
      </w:r>
      <w:r w:rsidR="00D97BBA">
        <w:t xml:space="preserve"> monitoring mechanisms</w:t>
      </w:r>
      <w:r>
        <w:t xml:space="preserve"> have an advisory and mediatory function. More extensive powers relating to the rights and welfare of children include the </w:t>
      </w:r>
      <w:r w:rsidR="00D97BBA">
        <w:t>power</w:t>
      </w:r>
      <w:r>
        <w:t xml:space="preserve"> to, inter alia:</w:t>
      </w:r>
    </w:p>
    <w:p w:rsidR="008C4D35" w:rsidRPr="00A7584E" w:rsidRDefault="00785FAB" w:rsidP="006C7CC7">
      <w:pPr>
        <w:pStyle w:val="BTBullet1"/>
      </w:pPr>
      <w:r w:rsidRPr="00A7584E">
        <w:t>Lodg</w:t>
      </w:r>
      <w:r w:rsidR="00D97BBA" w:rsidRPr="00A7584E">
        <w:t>e</w:t>
      </w:r>
      <w:r w:rsidRPr="00A7584E">
        <w:t xml:space="preserve"> or handl</w:t>
      </w:r>
      <w:r w:rsidR="00D97BBA" w:rsidRPr="00A7584E">
        <w:t>e</w:t>
      </w:r>
      <w:r w:rsidR="008C4D35" w:rsidRPr="00A7584E">
        <w:t xml:space="preserve"> complaints or appeals from children over administrative decisions (e.g. CZ, DK, PL, SE);</w:t>
      </w:r>
    </w:p>
    <w:p w:rsidR="008C4D35" w:rsidRPr="00A7584E" w:rsidRDefault="00785FAB" w:rsidP="006C7CC7">
      <w:pPr>
        <w:pStyle w:val="BTBullet1"/>
        <w:rPr>
          <w:color w:val="000000"/>
        </w:rPr>
      </w:pPr>
      <w:r w:rsidRPr="00A7584E">
        <w:rPr>
          <w:rFonts w:eastAsia="Times New Roman" w:cs="Arial"/>
        </w:rPr>
        <w:t>B</w:t>
      </w:r>
      <w:r w:rsidR="008C4D35" w:rsidRPr="00A7584E">
        <w:rPr>
          <w:rFonts w:eastAsia="Times New Roman" w:cs="Arial"/>
        </w:rPr>
        <w:t>ring</w:t>
      </w:r>
      <w:r w:rsidRPr="00A7584E">
        <w:rPr>
          <w:rFonts w:eastAsia="Times New Roman" w:cs="Arial"/>
        </w:rPr>
        <w:t>, interven</w:t>
      </w:r>
      <w:r w:rsidR="00D97BBA" w:rsidRPr="00A7584E">
        <w:rPr>
          <w:rFonts w:eastAsia="Times New Roman" w:cs="Arial"/>
        </w:rPr>
        <w:t>e</w:t>
      </w:r>
      <w:r w:rsidR="008C4D35" w:rsidRPr="00A7584E">
        <w:rPr>
          <w:rFonts w:eastAsia="Times New Roman" w:cs="Arial"/>
        </w:rPr>
        <w:t xml:space="preserve"> or assist in administrative proceedings in any court or tribunal (</w:t>
      </w:r>
      <w:r w:rsidR="00E02702">
        <w:rPr>
          <w:rFonts w:eastAsia="Times New Roman" w:cs="Arial"/>
        </w:rPr>
        <w:t>UK-</w:t>
      </w:r>
      <w:r w:rsidR="008C4D35" w:rsidRPr="00A7584E">
        <w:rPr>
          <w:rFonts w:eastAsia="Times New Roman" w:cs="Arial"/>
        </w:rPr>
        <w:t xml:space="preserve">NI) or </w:t>
      </w:r>
      <w:r w:rsidR="008C4D35" w:rsidRPr="00A7584E">
        <w:rPr>
          <w:color w:val="000000"/>
        </w:rPr>
        <w:t>handle procedural factors of a case in general courts (e.g. FI, SI);</w:t>
      </w:r>
    </w:p>
    <w:p w:rsidR="008C4D35" w:rsidRPr="00A7584E" w:rsidRDefault="00785FAB" w:rsidP="006C7CC7">
      <w:pPr>
        <w:pStyle w:val="BTBullet1"/>
      </w:pPr>
      <w:r w:rsidRPr="00A7584E">
        <w:rPr>
          <w:rFonts w:eastAsia="Times New Roman"/>
          <w:lang w:eastAsia="en-GB"/>
        </w:rPr>
        <w:t>R</w:t>
      </w:r>
      <w:r w:rsidR="008C4D35" w:rsidRPr="00A7584E">
        <w:rPr>
          <w:rFonts w:eastAsia="Times New Roman"/>
          <w:lang w:eastAsia="en-GB"/>
        </w:rPr>
        <w:t>equest that legal proceedings be insti</w:t>
      </w:r>
      <w:r w:rsidR="00D97BBA" w:rsidRPr="00A7584E">
        <w:rPr>
          <w:rFonts w:eastAsia="Times New Roman"/>
          <w:lang w:eastAsia="en-GB"/>
        </w:rPr>
        <w:t>gated</w:t>
      </w:r>
      <w:r w:rsidR="008C4D35" w:rsidRPr="00A7584E">
        <w:rPr>
          <w:rFonts w:eastAsia="Times New Roman"/>
          <w:lang w:eastAsia="en-GB"/>
        </w:rPr>
        <w:t xml:space="preserve"> (</w:t>
      </w:r>
      <w:r w:rsidR="005243C6">
        <w:rPr>
          <w:rFonts w:eastAsia="Times New Roman"/>
          <w:lang w:eastAsia="en-GB"/>
        </w:rPr>
        <w:t xml:space="preserve">e.g </w:t>
      </w:r>
      <w:r w:rsidR="008C4D35" w:rsidRPr="00A7584E">
        <w:rPr>
          <w:rFonts w:eastAsia="Times New Roman"/>
          <w:lang w:eastAsia="en-GB"/>
        </w:rPr>
        <w:t>PL);</w:t>
      </w:r>
    </w:p>
    <w:p w:rsidR="008C4D35" w:rsidRPr="00A7584E" w:rsidRDefault="00785FAB" w:rsidP="006C7CC7">
      <w:pPr>
        <w:pStyle w:val="BTBullet1"/>
      </w:pPr>
      <w:r w:rsidRPr="00A7584E">
        <w:t>Initiat</w:t>
      </w:r>
      <w:r w:rsidR="00D97BBA" w:rsidRPr="00A7584E">
        <w:t>e</w:t>
      </w:r>
      <w:r w:rsidR="008C4D35" w:rsidRPr="00A7584E">
        <w:t xml:space="preserve"> proceedings before the Constitutional Court in cases where the authority is in breach </w:t>
      </w:r>
      <w:r w:rsidR="00D97BBA" w:rsidRPr="00A7584E">
        <w:t>of</w:t>
      </w:r>
      <w:r w:rsidR="008C4D35" w:rsidRPr="00A7584E">
        <w:t xml:space="preserve"> international standards (LV) or </w:t>
      </w:r>
      <w:r w:rsidR="008C4D35" w:rsidRPr="00A7584E">
        <w:rPr>
          <w:rFonts w:eastAsia="Times New Roman"/>
          <w:lang w:eastAsia="en-GB"/>
        </w:rPr>
        <w:t>request the Supreme Court to adjudicate on cases of divergence in the interpretation of law (PL);</w:t>
      </w:r>
    </w:p>
    <w:p w:rsidR="008C4D35" w:rsidRPr="00A7584E" w:rsidRDefault="00785FAB" w:rsidP="006C7CC7">
      <w:pPr>
        <w:pStyle w:val="BTBullet1"/>
      </w:pPr>
      <w:r w:rsidRPr="00A7584E">
        <w:t>Commenc</w:t>
      </w:r>
      <w:r w:rsidR="00D97BBA" w:rsidRPr="00A7584E">
        <w:t>e</w:t>
      </w:r>
      <w:r w:rsidR="008C4D35" w:rsidRPr="00A7584E">
        <w:t xml:space="preserve"> disciplinary actions against public officials (incl</w:t>
      </w:r>
      <w:r w:rsidR="00D97BBA" w:rsidRPr="00A7584E">
        <w:t>uding</w:t>
      </w:r>
      <w:r w:rsidR="008C4D35" w:rsidRPr="00A7584E">
        <w:t xml:space="preserve"> judges) (SE);</w:t>
      </w:r>
    </w:p>
    <w:p w:rsidR="00096180" w:rsidRDefault="00785FAB" w:rsidP="006C7CC7">
      <w:pPr>
        <w:pStyle w:val="BTBullet1"/>
      </w:pPr>
      <w:r w:rsidRPr="00A7584E">
        <w:t>M</w:t>
      </w:r>
      <w:r w:rsidR="008C4D35" w:rsidRPr="00A7584E">
        <w:t>onitor places of detention and imprisonment (HR, LV).</w:t>
      </w:r>
      <w:r w:rsidR="006C7CC7">
        <w:br/>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C7CC7" w:rsidRPr="000F388C" w:rsidTr="004017DA">
        <w:tc>
          <w:tcPr>
            <w:tcW w:w="8222" w:type="dxa"/>
            <w:shd w:val="clear" w:color="auto" w:fill="CDEBFF"/>
          </w:tcPr>
          <w:p w:rsidR="006C7CC7" w:rsidRPr="00694BE0" w:rsidRDefault="006C7CC7" w:rsidP="004017DA">
            <w:pPr>
              <w:pStyle w:val="BoxNumb"/>
              <w:numPr>
                <w:ilvl w:val="4"/>
                <w:numId w:val="27"/>
              </w:numPr>
              <w:rPr>
                <w:sz w:val="26"/>
                <w:szCs w:val="26"/>
              </w:rPr>
            </w:pPr>
            <w:r w:rsidRPr="00694BE0">
              <w:rPr>
                <w:sz w:val="26"/>
                <w:szCs w:val="26"/>
              </w:rPr>
              <w:t xml:space="preserve">Croatia – Monitoring the rights of children in judicial proceedings </w:t>
            </w:r>
          </w:p>
          <w:p w:rsidR="006C7CC7" w:rsidRPr="00785FAB" w:rsidRDefault="006C7CC7" w:rsidP="004017DA">
            <w:pPr>
              <w:pStyle w:val="TableText"/>
              <w:rPr>
                <w:sz w:val="20"/>
                <w:szCs w:val="20"/>
              </w:rPr>
            </w:pPr>
            <w:r w:rsidRPr="00785FAB">
              <w:rPr>
                <w:sz w:val="20"/>
                <w:szCs w:val="20"/>
              </w:rPr>
              <w:t xml:space="preserve">The Croatian Ombudsman for Children is an independent authority accountable to the Croatian Parliament. Its objective is to protect and monitor the rights and interests of children related to all types of administrative procedures and judicial proceedings. It also monitors the </w:t>
            </w:r>
            <w:r>
              <w:rPr>
                <w:sz w:val="20"/>
                <w:szCs w:val="20"/>
              </w:rPr>
              <w:t>compliance</w:t>
            </w:r>
            <w:r w:rsidRPr="00785FAB">
              <w:rPr>
                <w:sz w:val="20"/>
                <w:szCs w:val="20"/>
              </w:rPr>
              <w:t xml:space="preserve"> of Croatian legislation with international agreements and conventions ratified by Croatia. The Ombudsman has the right to issue recommendations and </w:t>
            </w:r>
            <w:r>
              <w:rPr>
                <w:sz w:val="20"/>
                <w:szCs w:val="20"/>
              </w:rPr>
              <w:t xml:space="preserve">to </w:t>
            </w:r>
            <w:r w:rsidRPr="00785FAB">
              <w:rPr>
                <w:sz w:val="20"/>
                <w:szCs w:val="20"/>
              </w:rPr>
              <w:t xml:space="preserve">address warnings to public administrative authorities dealing with children. Authorities are obliged to provide the Ombudsman with prompt responses on measures taken </w:t>
            </w:r>
            <w:r>
              <w:rPr>
                <w:sz w:val="20"/>
                <w:szCs w:val="20"/>
              </w:rPr>
              <w:t>following</w:t>
            </w:r>
            <w:r w:rsidRPr="00785FAB">
              <w:rPr>
                <w:sz w:val="20"/>
                <w:szCs w:val="20"/>
              </w:rPr>
              <w:t xml:space="preserve"> warnings. If necessary, the Ombudsman can report malpractice to the supervisory authorities or alternatively, directly to the Croatian Government. </w:t>
            </w:r>
          </w:p>
          <w:p w:rsidR="006C7CC7" w:rsidRPr="0085036F" w:rsidRDefault="006C7CC7" w:rsidP="004017DA">
            <w:pPr>
              <w:pStyle w:val="TableText"/>
              <w:rPr>
                <w:sz w:val="24"/>
              </w:rPr>
            </w:pPr>
            <w:r w:rsidRPr="00785FAB">
              <w:rPr>
                <w:sz w:val="20"/>
                <w:szCs w:val="20"/>
              </w:rPr>
              <w:t xml:space="preserve">To perform </w:t>
            </w:r>
            <w:r>
              <w:rPr>
                <w:sz w:val="20"/>
                <w:szCs w:val="20"/>
              </w:rPr>
              <w:t>his/her</w:t>
            </w:r>
            <w:r w:rsidRPr="00785FAB">
              <w:rPr>
                <w:sz w:val="20"/>
                <w:szCs w:val="20"/>
              </w:rPr>
              <w:t xml:space="preserve"> tasks, the Ombudsman has unlimited access to any data, information or files regarding any procedure involving children, including confidential data, and unlimited access to inspect premises providing shelters or</w:t>
            </w:r>
            <w:r>
              <w:rPr>
                <w:sz w:val="20"/>
                <w:szCs w:val="20"/>
              </w:rPr>
              <w:t xml:space="preserve"> </w:t>
            </w:r>
            <w:r w:rsidRPr="00785FAB">
              <w:rPr>
                <w:sz w:val="20"/>
                <w:szCs w:val="20"/>
              </w:rPr>
              <w:t>accommodation for children. The Ombudsman has the right to request expert assistance from any specialised institution, for example, to carry out psychological evaluation of a child or to provide as</w:t>
            </w:r>
            <w:r>
              <w:rPr>
                <w:sz w:val="20"/>
                <w:szCs w:val="20"/>
              </w:rPr>
              <w:t>sistance in questioning a child</w:t>
            </w:r>
            <w:r w:rsidRPr="0085036F">
              <w:rPr>
                <w:sz w:val="20"/>
                <w:szCs w:val="20"/>
              </w:rPr>
              <w:t xml:space="preserve">. </w:t>
            </w:r>
          </w:p>
        </w:tc>
      </w:tr>
    </w:tbl>
    <w:p w:rsidR="006C7CC7" w:rsidRDefault="006C7CC7" w:rsidP="006C7CC7">
      <w:pPr>
        <w:spacing w:before="0" w:after="0" w:line="240" w:lineRule="auto"/>
        <w:ind w:firstLine="851"/>
        <w:rPr>
          <w:b/>
          <w:color w:val="0070C0"/>
        </w:rPr>
      </w:pPr>
    </w:p>
    <w:p w:rsidR="006C7CC7" w:rsidRDefault="006C7CC7" w:rsidP="006C7CC7">
      <w:pPr>
        <w:spacing w:before="0" w:after="0" w:line="240" w:lineRule="auto"/>
        <w:ind w:left="851"/>
      </w:pPr>
      <w:r w:rsidRPr="001E3C40">
        <w:rPr>
          <w:b/>
          <w:color w:val="0070C0"/>
        </w:rPr>
        <w:fldChar w:fldCharType="begin"/>
      </w:r>
      <w:r w:rsidRPr="001E3C40">
        <w:rPr>
          <w:b/>
          <w:color w:val="0070C0"/>
        </w:rPr>
        <w:instrText xml:space="preserve"> REF _Ref398153049 \r \h  \* MERGEFORMAT </w:instrText>
      </w:r>
      <w:r w:rsidRPr="001E3C40">
        <w:rPr>
          <w:b/>
          <w:color w:val="0070C0"/>
        </w:rPr>
      </w:r>
      <w:r w:rsidRPr="001E3C40">
        <w:rPr>
          <w:b/>
          <w:color w:val="0070C0"/>
        </w:rPr>
        <w:fldChar w:fldCharType="separate"/>
      </w:r>
      <w:r w:rsidR="000223E8">
        <w:rPr>
          <w:b/>
          <w:color w:val="0070C0"/>
        </w:rPr>
        <w:t>Annex 1</w:t>
      </w:r>
      <w:r w:rsidRPr="001E3C40">
        <w:rPr>
          <w:b/>
          <w:color w:val="0070C0"/>
        </w:rPr>
        <w:fldChar w:fldCharType="end"/>
      </w:r>
      <w:r>
        <w:t xml:space="preserve"> provides a complete mapping of the coverage of monitoring by area of law and role of the child.</w:t>
      </w:r>
    </w:p>
    <w:p w:rsidR="006C7CC7" w:rsidRDefault="006C7CC7" w:rsidP="006C7CC7">
      <w:pPr>
        <w:spacing w:before="0" w:after="0" w:line="240" w:lineRule="auto"/>
        <w:ind w:left="851"/>
      </w:pP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C7CC7" w:rsidTr="004017DA">
        <w:tc>
          <w:tcPr>
            <w:tcW w:w="8222" w:type="dxa"/>
            <w:shd w:val="clear" w:color="auto" w:fill="CDEBFF"/>
          </w:tcPr>
          <w:p w:rsidR="006C7CC7" w:rsidRPr="00694BE0" w:rsidRDefault="006C7CC7" w:rsidP="004017DA">
            <w:pPr>
              <w:pStyle w:val="Conclusion"/>
              <w:numPr>
                <w:ilvl w:val="0"/>
                <w:numId w:val="0"/>
              </w:numPr>
              <w:rPr>
                <w:sz w:val="26"/>
                <w:szCs w:val="26"/>
              </w:rPr>
            </w:pPr>
            <w:r w:rsidRPr="00694BE0">
              <w:rPr>
                <w:sz w:val="26"/>
                <w:szCs w:val="26"/>
              </w:rPr>
              <w:lastRenderedPageBreak/>
              <w:t>The incidence and scope of national monitoring mechanisms</w:t>
            </w:r>
          </w:p>
          <w:p w:rsidR="006C7CC7" w:rsidRPr="00BE1A60" w:rsidRDefault="006C7CC7" w:rsidP="004017DA">
            <w:pPr>
              <w:pStyle w:val="Bullet1"/>
            </w:pPr>
            <w:r w:rsidRPr="00BE1A60">
              <w:t>There are national monitoring mechanisms with competence to monitor the rights and interests of children in civil and administrative judicial proceedings in all jurisdictions except</w:t>
            </w:r>
            <w:r>
              <w:t xml:space="preserve"> DE, EE, MT, PT and RO.</w:t>
            </w:r>
          </w:p>
          <w:p w:rsidR="006C7CC7" w:rsidRPr="00867F6A" w:rsidRDefault="006C7CC7" w:rsidP="004017DA">
            <w:pPr>
              <w:pStyle w:val="Bullet1"/>
            </w:pPr>
            <w:r>
              <w:t xml:space="preserve">The scope of action of the monitoring mechanisms varies between jurisdictions. Most of the mechanisms monitor the rights of children involved in the proceedings in all roles and in all areas of law, but in some jurisdictions the scope of the monitoring is more limited (e.g. UK-S, where it only covers </w:t>
            </w:r>
            <w:r w:rsidRPr="00CF5B7A">
              <w:t>placement in care and offen</w:t>
            </w:r>
            <w:r>
              <w:t>ding behaviour</w:t>
            </w:r>
            <w:r w:rsidRPr="00CF5B7A">
              <w:t xml:space="preserve"> below MACR</w:t>
            </w:r>
            <w:r>
              <w:t>).</w:t>
            </w:r>
          </w:p>
          <w:p w:rsidR="006C7CC7" w:rsidRPr="00156B82" w:rsidRDefault="006C7CC7" w:rsidP="004017DA">
            <w:pPr>
              <w:pStyle w:val="Bullet1"/>
            </w:pPr>
            <w:r w:rsidRPr="00867F6A">
              <w:t xml:space="preserve">The powers vested in the national monitoring mechanisms </w:t>
            </w:r>
            <w:r>
              <w:t>also vary between jurisdictions. These range from advisory and mediatory functions to the power to b</w:t>
            </w:r>
            <w:r w:rsidRPr="00867F6A">
              <w:t xml:space="preserve">ring, intervene or assist in </w:t>
            </w:r>
            <w:r>
              <w:t xml:space="preserve">judicial </w:t>
            </w:r>
            <w:r w:rsidRPr="00867F6A">
              <w:t xml:space="preserve">proceedings </w:t>
            </w:r>
            <w:r>
              <w:t xml:space="preserve">on behalf of the child. </w:t>
            </w:r>
          </w:p>
        </w:tc>
      </w:tr>
    </w:tbl>
    <w:p w:rsidR="00096180" w:rsidRDefault="00096180" w:rsidP="006C7CC7">
      <w:pPr>
        <w:spacing w:before="0" w:after="0" w:line="240" w:lineRule="auto"/>
        <w:ind w:left="851"/>
        <w:rPr>
          <w:sz w:val="22"/>
          <w:szCs w:val="22"/>
        </w:rPr>
      </w:pPr>
      <w:r>
        <w:rPr>
          <w:sz w:val="22"/>
          <w:szCs w:val="22"/>
        </w:rPr>
        <w:br w:type="page"/>
      </w:r>
    </w:p>
    <w:p w:rsidR="00977E06" w:rsidRDefault="008534B6" w:rsidP="00A7584E">
      <w:pPr>
        <w:pStyle w:val="Heading2"/>
      </w:pPr>
      <w:bookmarkStart w:id="164" w:name="_Ref397701011"/>
      <w:bookmarkStart w:id="165" w:name="_Toc406590151"/>
      <w:bookmarkStart w:id="166" w:name="_Toc408908715"/>
      <w:r>
        <w:lastRenderedPageBreak/>
        <w:t xml:space="preserve">The prevalence of </w:t>
      </w:r>
      <w:r w:rsidR="00EE7773">
        <w:t xml:space="preserve">a </w:t>
      </w:r>
      <w:r>
        <w:t>m</w:t>
      </w:r>
      <w:r w:rsidR="00977E06" w:rsidRPr="0085036F">
        <w:t>ultidisciplinary approach</w:t>
      </w:r>
      <w:bookmarkEnd w:id="161"/>
      <w:bookmarkEnd w:id="162"/>
      <w:bookmarkEnd w:id="163"/>
      <w:r>
        <w:t xml:space="preserve"> </w:t>
      </w:r>
      <w:r w:rsidR="00052BA2">
        <w:t xml:space="preserve">and cooperation </w:t>
      </w:r>
      <w:r>
        <w:t xml:space="preserve">to safeguard </w:t>
      </w:r>
      <w:r w:rsidR="00E403BA">
        <w:t xml:space="preserve">the rights of </w:t>
      </w:r>
      <w:r>
        <w:t>children in judicial proceedings</w:t>
      </w:r>
      <w:bookmarkEnd w:id="164"/>
      <w:bookmarkEnd w:id="165"/>
      <w:bookmarkEnd w:id="166"/>
    </w:p>
    <w:p w:rsidR="00D93464" w:rsidRDefault="00D93464" w:rsidP="00CC1B18">
      <w:pPr>
        <w:pStyle w:val="BodyText"/>
      </w:pPr>
      <w:r>
        <w:t xml:space="preserve">Adopting a multidisciplinary approach, </w:t>
      </w:r>
      <w:r w:rsidR="00A620A6" w:rsidRPr="00E403BA">
        <w:t>which takes into account the child’s legal, psychological, social, emotional, physical and cognitive situation</w:t>
      </w:r>
      <w:r w:rsidR="00A620A6">
        <w:t xml:space="preserve">, </w:t>
      </w:r>
      <w:r>
        <w:t xml:space="preserve">can be a crucial basis for the court </w:t>
      </w:r>
      <w:r w:rsidR="00A620A6">
        <w:t xml:space="preserve">to make an </w:t>
      </w:r>
      <w:r>
        <w:t xml:space="preserve">informed </w:t>
      </w:r>
      <w:r w:rsidR="00A620A6">
        <w:t xml:space="preserve">assessment of the best interests of the child (see </w:t>
      </w:r>
      <w:r w:rsidR="00A620A6" w:rsidRPr="00A620A6">
        <w:rPr>
          <w:b/>
          <w:color w:val="0070C0"/>
        </w:rPr>
        <w:t xml:space="preserve">Section </w:t>
      </w:r>
      <w:r w:rsidR="00A620A6" w:rsidRPr="00A620A6">
        <w:rPr>
          <w:b/>
          <w:color w:val="0070C0"/>
        </w:rPr>
        <w:fldChar w:fldCharType="begin"/>
      </w:r>
      <w:r w:rsidR="00A620A6" w:rsidRPr="00A620A6">
        <w:rPr>
          <w:b/>
          <w:color w:val="0070C0"/>
        </w:rPr>
        <w:instrText xml:space="preserve"> REF _Ref397722652 \r \h  \* MERGEFORMAT </w:instrText>
      </w:r>
      <w:r w:rsidR="00A620A6" w:rsidRPr="00A620A6">
        <w:rPr>
          <w:b/>
          <w:color w:val="0070C0"/>
        </w:rPr>
      </w:r>
      <w:r w:rsidR="00A620A6" w:rsidRPr="00A620A6">
        <w:rPr>
          <w:b/>
          <w:color w:val="0070C0"/>
        </w:rPr>
        <w:fldChar w:fldCharType="separate"/>
      </w:r>
      <w:r w:rsidR="000223E8">
        <w:rPr>
          <w:b/>
          <w:color w:val="0070C0"/>
        </w:rPr>
        <w:t>3.4</w:t>
      </w:r>
      <w:r w:rsidR="00A620A6" w:rsidRPr="00A620A6">
        <w:rPr>
          <w:b/>
          <w:color w:val="0070C0"/>
        </w:rPr>
        <w:fldChar w:fldCharType="end"/>
      </w:r>
      <w:r w:rsidR="00A620A6">
        <w:t xml:space="preserve">). </w:t>
      </w:r>
      <w:r>
        <w:t xml:space="preserve">It can also help the court in its efforts to </w:t>
      </w:r>
      <w:r w:rsidR="00462DCC">
        <w:t xml:space="preserve">minimise </w:t>
      </w:r>
      <w:r w:rsidRPr="00D93464">
        <w:t xml:space="preserve">the burden and hardship </w:t>
      </w:r>
      <w:r w:rsidR="00462DCC">
        <w:t xml:space="preserve">which </w:t>
      </w:r>
      <w:r w:rsidRPr="00D93464">
        <w:t xml:space="preserve">being involved in judicial proceedings </w:t>
      </w:r>
      <w:r w:rsidR="00462DCC">
        <w:t xml:space="preserve">can represent to the child (see </w:t>
      </w:r>
      <w:r w:rsidR="00462DCC" w:rsidRPr="00462DCC">
        <w:rPr>
          <w:b/>
          <w:color w:val="0070C0"/>
        </w:rPr>
        <w:t xml:space="preserve">Section </w:t>
      </w:r>
      <w:r w:rsidR="00462DCC" w:rsidRPr="00462DCC">
        <w:rPr>
          <w:b/>
          <w:color w:val="0070C0"/>
        </w:rPr>
        <w:fldChar w:fldCharType="begin"/>
      </w:r>
      <w:r w:rsidR="00462DCC" w:rsidRPr="00462DCC">
        <w:rPr>
          <w:b/>
          <w:color w:val="0070C0"/>
        </w:rPr>
        <w:instrText xml:space="preserve"> REF _Ref397836196 \r \h  \* MERGEFORMAT </w:instrText>
      </w:r>
      <w:r w:rsidR="00462DCC" w:rsidRPr="00462DCC">
        <w:rPr>
          <w:b/>
          <w:color w:val="0070C0"/>
        </w:rPr>
      </w:r>
      <w:r w:rsidR="00462DCC" w:rsidRPr="00462DCC">
        <w:rPr>
          <w:b/>
          <w:color w:val="0070C0"/>
        </w:rPr>
        <w:fldChar w:fldCharType="separate"/>
      </w:r>
      <w:r w:rsidR="000223E8">
        <w:rPr>
          <w:b/>
          <w:color w:val="0070C0"/>
        </w:rPr>
        <w:t>4.5</w:t>
      </w:r>
      <w:r w:rsidR="00462DCC" w:rsidRPr="00462DCC">
        <w:rPr>
          <w:b/>
          <w:color w:val="0070C0"/>
        </w:rPr>
        <w:fldChar w:fldCharType="end"/>
      </w:r>
      <w:r w:rsidR="00462DCC">
        <w:t>).</w:t>
      </w:r>
      <w:r>
        <w:t xml:space="preserve"> </w:t>
      </w:r>
    </w:p>
    <w:p w:rsidR="00F30D27" w:rsidRPr="006C7CC7" w:rsidRDefault="00721955" w:rsidP="006C7CC7">
      <w:pPr>
        <w:pStyle w:val="BodyText"/>
      </w:pPr>
      <w:r>
        <w:t xml:space="preserve">There are different ways for </w:t>
      </w:r>
      <w:r w:rsidR="00AA21BF">
        <w:t>courts to apply such a</w:t>
      </w:r>
      <w:r w:rsidR="00D93464">
        <w:t xml:space="preserve"> </w:t>
      </w:r>
      <w:r w:rsidR="00D93464" w:rsidRPr="00D93464">
        <w:t>comprehensive understanding of the child i</w:t>
      </w:r>
      <w:r w:rsidR="00462DCC">
        <w:t xml:space="preserve">nvolved in judicial proceedings. After reviewing the jurisdictions </w:t>
      </w:r>
      <w:r w:rsidR="00380C6E">
        <w:t xml:space="preserve">where a legal obligation to adopt </w:t>
      </w:r>
      <w:r w:rsidR="00462DCC">
        <w:t>a multidisciplinary</w:t>
      </w:r>
      <w:r w:rsidR="00380C6E">
        <w:t xml:space="preserve"> exists</w:t>
      </w:r>
      <w:r w:rsidR="00462DCC">
        <w:t xml:space="preserve">, this section considers three ways in which </w:t>
      </w:r>
      <w:r w:rsidR="00380C6E">
        <w:t>the multidisciplinary approach</w:t>
      </w:r>
      <w:r w:rsidR="00462DCC">
        <w:t xml:space="preserve"> is applied:</w:t>
      </w:r>
      <w:r w:rsidR="00AA21BF">
        <w:t xml:space="preserve"> by adopting </w:t>
      </w:r>
      <w:r w:rsidR="00AA21BF" w:rsidRPr="00B0027D">
        <w:t>formalised cooperation proce</w:t>
      </w:r>
      <w:r w:rsidR="00AA21BF">
        <w:t>dure</w:t>
      </w:r>
      <w:r>
        <w:t>s</w:t>
      </w:r>
      <w:r w:rsidR="00AA21BF">
        <w:t xml:space="preserve"> </w:t>
      </w:r>
      <w:r w:rsidR="00462DCC">
        <w:t xml:space="preserve">between </w:t>
      </w:r>
      <w:r w:rsidR="00CE62EF">
        <w:t xml:space="preserve">judicial authorities </w:t>
      </w:r>
      <w:r w:rsidR="00462DCC">
        <w:t xml:space="preserve">and </w:t>
      </w:r>
      <w:r w:rsidR="00AA21BF">
        <w:t>professionals</w:t>
      </w:r>
      <w:r w:rsidR="00462DCC">
        <w:t xml:space="preserve"> working in different disciplines</w:t>
      </w:r>
      <w:r w:rsidRPr="00721955">
        <w:t xml:space="preserve">; by </w:t>
      </w:r>
      <w:r w:rsidR="00462DCC">
        <w:t>adopting measures which facilitate</w:t>
      </w:r>
      <w:r w:rsidRPr="00721955">
        <w:t xml:space="preserve"> interactions between</w:t>
      </w:r>
      <w:r w:rsidR="00A620A6" w:rsidRPr="00721955">
        <w:t xml:space="preserve"> criminal, civil and/or administrative judicial proceedings</w:t>
      </w:r>
      <w:r w:rsidRPr="00721955">
        <w:t xml:space="preserve"> (in cases which span these jurisdictions); and by adopted common assessment frameworks for all professionals working with or for children in civil and administrative proceedings</w:t>
      </w:r>
      <w:r w:rsidR="00A620A6" w:rsidRPr="00721955">
        <w:t>.</w:t>
      </w:r>
    </w:p>
    <w:p w:rsidR="00EE7773" w:rsidRPr="006C7CC7" w:rsidRDefault="00EE7773" w:rsidP="006C7CC7">
      <w:pPr>
        <w:pStyle w:val="Heading4NoNumb"/>
        <w:ind w:left="851"/>
        <w:rPr>
          <w:rFonts w:eastAsia="Calibri"/>
        </w:rPr>
      </w:pPr>
      <w:r w:rsidRPr="00F30D27">
        <w:rPr>
          <w:rFonts w:eastAsia="Calibri"/>
        </w:rPr>
        <w:t>L</w:t>
      </w:r>
      <w:r w:rsidR="00B0027D" w:rsidRPr="00F30D27">
        <w:rPr>
          <w:rFonts w:eastAsia="Calibri"/>
        </w:rPr>
        <w:t>egal obligation on the part of the court to adopt</w:t>
      </w:r>
      <w:r w:rsidRPr="00F30D27">
        <w:rPr>
          <w:rFonts w:eastAsia="Calibri"/>
        </w:rPr>
        <w:t xml:space="preserve"> a multidisciplinary approach</w:t>
      </w:r>
      <w:r w:rsidR="00F30D27">
        <w:rPr>
          <w:rFonts w:eastAsia="Calibri"/>
        </w:rPr>
        <w:t xml:space="preserve"> </w:t>
      </w:r>
      <w:r w:rsidRPr="00F30D27">
        <w:rPr>
          <w:rFonts w:eastAsia="Calibri"/>
        </w:rPr>
        <w:t xml:space="preserve">(CivAdm099) </w:t>
      </w:r>
    </w:p>
    <w:p w:rsidR="00AA21BF" w:rsidRDefault="00F30D27" w:rsidP="006C7CC7">
      <w:pPr>
        <w:pStyle w:val="BodyText"/>
      </w:pPr>
      <w:r>
        <w:t>I</w:t>
      </w:r>
      <w:r w:rsidR="00B0027D" w:rsidRPr="00B0027D">
        <w:t xml:space="preserve">n </w:t>
      </w:r>
      <w:r w:rsidR="00052BA2">
        <w:t>1</w:t>
      </w:r>
      <w:r w:rsidR="00C61223">
        <w:t>5</w:t>
      </w:r>
      <w:r w:rsidR="00B0027D" w:rsidRPr="00B0027D">
        <w:t xml:space="preserve"> jurisdictions (AT, BG, CY, EE, EL, FI, FR, HR, IT, LT, PL, PT, SE, UK-E&amp;W and UK</w:t>
      </w:r>
      <w:r>
        <w:t xml:space="preserve">-NI) the court has a legal obligation to </w:t>
      </w:r>
      <w:r w:rsidR="00B0027D" w:rsidRPr="00B0027D">
        <w:t xml:space="preserve">obtain a comprehensive understanding of </w:t>
      </w:r>
      <w:r>
        <w:t>the child</w:t>
      </w:r>
      <w:r w:rsidR="00B0027D" w:rsidRPr="00B0027D">
        <w:t xml:space="preserve"> involved in </w:t>
      </w:r>
      <w:r w:rsidR="00462DCC">
        <w:t xml:space="preserve">civil or administrative </w:t>
      </w:r>
      <w:r w:rsidR="00B0027D" w:rsidRPr="00B0027D">
        <w:t xml:space="preserve">judicial proceedings </w:t>
      </w:r>
      <w:r>
        <w:t xml:space="preserve">by </w:t>
      </w:r>
      <w:r w:rsidR="00B0027D" w:rsidRPr="00B0027D">
        <w:t>assessing his or her legal, psychological, social, emotional, p</w:t>
      </w:r>
      <w:r>
        <w:t>hysical and cognitive situation</w:t>
      </w:r>
      <w:r w:rsidR="00B0027D" w:rsidRPr="00B0027D">
        <w:t xml:space="preserve">. </w:t>
      </w:r>
    </w:p>
    <w:p w:rsidR="00AA21BF" w:rsidRDefault="00B0027D" w:rsidP="006C7CC7">
      <w:pPr>
        <w:pStyle w:val="BodyText"/>
      </w:pPr>
      <w:r w:rsidRPr="00B0027D">
        <w:t xml:space="preserve">In those jurisdictions where the </w:t>
      </w:r>
      <w:r w:rsidR="00462DCC">
        <w:t xml:space="preserve">legal </w:t>
      </w:r>
      <w:r w:rsidRPr="00B0027D">
        <w:t>obligation to adopt a multidisciplinary approach exists, the provision applies most</w:t>
      </w:r>
      <w:r w:rsidR="00462DCC">
        <w:t xml:space="preserve"> frequently</w:t>
      </w:r>
      <w:r w:rsidRPr="00B0027D">
        <w:t xml:space="preserve"> in the areas of </w:t>
      </w:r>
      <w:r w:rsidRPr="00B0027D">
        <w:rPr>
          <w:b/>
        </w:rPr>
        <w:t>family and placement in care</w:t>
      </w:r>
      <w:r w:rsidRPr="00B0027D">
        <w:t xml:space="preserve"> (1</w:t>
      </w:r>
      <w:r w:rsidR="00C61223">
        <w:t>3</w:t>
      </w:r>
      <w:r w:rsidRPr="00B0027D">
        <w:t xml:space="preserve"> jurisdictions), followed closely by</w:t>
      </w:r>
      <w:r w:rsidR="00AA21BF">
        <w:t xml:space="preserve"> </w:t>
      </w:r>
      <w:r w:rsidR="00AA21BF" w:rsidRPr="00AA21BF">
        <w:rPr>
          <w:b/>
        </w:rPr>
        <w:t xml:space="preserve">offences committed </w:t>
      </w:r>
      <w:r w:rsidRPr="00AA21BF">
        <w:rPr>
          <w:b/>
        </w:rPr>
        <w:t xml:space="preserve">below </w:t>
      </w:r>
      <w:r w:rsidR="00AA21BF" w:rsidRPr="00AA21BF">
        <w:rPr>
          <w:b/>
        </w:rPr>
        <w:t>MACR</w:t>
      </w:r>
      <w:r w:rsidR="00462DCC">
        <w:t xml:space="preserve"> (</w:t>
      </w:r>
      <w:r w:rsidRPr="00B0027D">
        <w:t>1</w:t>
      </w:r>
      <w:r w:rsidR="00C61223">
        <w:t>1</w:t>
      </w:r>
      <w:r w:rsidRPr="00B0027D">
        <w:t xml:space="preserve"> jurisdictions</w:t>
      </w:r>
      <w:r w:rsidR="00462DCC">
        <w:t>)</w:t>
      </w:r>
      <w:r w:rsidRPr="00B0027D">
        <w:t xml:space="preserve">. </w:t>
      </w:r>
      <w:r w:rsidR="00462DCC">
        <w:t>The legal obligation to adopt a</w:t>
      </w:r>
      <w:r w:rsidRPr="00B0027D">
        <w:t xml:space="preserve"> multidisciplinary approach </w:t>
      </w:r>
      <w:r w:rsidR="00462DCC">
        <w:t>applies least</w:t>
      </w:r>
      <w:r w:rsidR="00AA21BF">
        <w:t xml:space="preserve"> frequently </w:t>
      </w:r>
      <w:r w:rsidRPr="00B0027D">
        <w:t xml:space="preserve">in the fields of </w:t>
      </w:r>
      <w:r w:rsidRPr="00B0027D">
        <w:rPr>
          <w:b/>
        </w:rPr>
        <w:t>employment and education</w:t>
      </w:r>
      <w:r w:rsidRPr="00B0027D">
        <w:t xml:space="preserve"> (</w:t>
      </w:r>
      <w:r w:rsidR="00C61223">
        <w:t>five</w:t>
      </w:r>
      <w:r w:rsidRPr="00B0027D">
        <w:t xml:space="preserve"> and </w:t>
      </w:r>
      <w:r w:rsidR="00C61223">
        <w:t>six</w:t>
      </w:r>
      <w:r w:rsidRPr="00B0027D">
        <w:t xml:space="preserve"> jurisdictions respectively). The legal obligation applies in four MS (AT, EE, IT, LT) in all areas of law</w:t>
      </w:r>
      <w:r w:rsidR="00AA21BF">
        <w:t>.</w:t>
      </w:r>
    </w:p>
    <w:p w:rsidR="00B0027D" w:rsidRPr="006C7CC7" w:rsidRDefault="00B0027D" w:rsidP="006C7CC7">
      <w:pPr>
        <w:pStyle w:val="BodyText"/>
        <w:rPr>
          <w:rFonts w:ascii="Calibri" w:hAnsi="Calibri"/>
        </w:rPr>
      </w:pPr>
      <w:r w:rsidRPr="00B0027D">
        <w:rPr>
          <w:rFonts w:cs="Arial"/>
        </w:rPr>
        <w:t xml:space="preserve">In the jurisdictions concerned, the multidisciplinary approach is applied predominantly to children in their role as </w:t>
      </w:r>
      <w:r w:rsidRPr="00B0027D">
        <w:rPr>
          <w:rFonts w:cs="Arial"/>
          <w:b/>
        </w:rPr>
        <w:t>plaintiffs and defendants</w:t>
      </w:r>
      <w:r w:rsidR="00462DCC">
        <w:rPr>
          <w:rFonts w:cs="Arial"/>
          <w:b/>
        </w:rPr>
        <w:t xml:space="preserve"> </w:t>
      </w:r>
      <w:r w:rsidR="00462DCC">
        <w:rPr>
          <w:rFonts w:cs="Arial"/>
        </w:rPr>
        <w:t>(</w:t>
      </w:r>
      <w:r w:rsidR="00C61223">
        <w:rPr>
          <w:rFonts w:cs="Arial"/>
        </w:rPr>
        <w:t xml:space="preserve">all </w:t>
      </w:r>
      <w:r w:rsidR="00462DCC">
        <w:rPr>
          <w:rFonts w:cs="Arial"/>
        </w:rPr>
        <w:t>1</w:t>
      </w:r>
      <w:r w:rsidR="00C61223">
        <w:rPr>
          <w:rFonts w:cs="Arial"/>
        </w:rPr>
        <w:t>5</w:t>
      </w:r>
      <w:r w:rsidR="00462DCC">
        <w:rPr>
          <w:rFonts w:cs="Arial"/>
        </w:rPr>
        <w:t xml:space="preserve"> jurisdictions)</w:t>
      </w:r>
      <w:r w:rsidRPr="00B0027D">
        <w:rPr>
          <w:rFonts w:cs="Arial"/>
        </w:rPr>
        <w:t xml:space="preserve">, and </w:t>
      </w:r>
      <w:r w:rsidR="003E36AD">
        <w:rPr>
          <w:rFonts w:cs="Arial"/>
        </w:rPr>
        <w:t xml:space="preserve">in fewer cases </w:t>
      </w:r>
      <w:r w:rsidRPr="00B0027D">
        <w:rPr>
          <w:rFonts w:cs="Arial"/>
        </w:rPr>
        <w:t xml:space="preserve">to </w:t>
      </w:r>
      <w:r w:rsidRPr="00B0027D">
        <w:rPr>
          <w:rFonts w:cs="Arial"/>
          <w:b/>
        </w:rPr>
        <w:t>subjects</w:t>
      </w:r>
      <w:r w:rsidR="003E36AD">
        <w:rPr>
          <w:rFonts w:cs="Arial"/>
          <w:b/>
        </w:rPr>
        <w:t xml:space="preserve"> and witnesses </w:t>
      </w:r>
      <w:r w:rsidR="00C61223">
        <w:rPr>
          <w:rFonts w:cs="Arial"/>
        </w:rPr>
        <w:t>(10 and 9</w:t>
      </w:r>
      <w:r w:rsidR="003E36AD" w:rsidRPr="003E36AD">
        <w:rPr>
          <w:rFonts w:cs="Arial"/>
        </w:rPr>
        <w:t xml:space="preserve"> jurisdictions respectively)</w:t>
      </w:r>
      <w:r w:rsidRPr="003E36AD">
        <w:rPr>
          <w:rFonts w:cs="Arial"/>
        </w:rPr>
        <w:t>.</w:t>
      </w:r>
      <w:r w:rsidRPr="00B0027D">
        <w:rPr>
          <w:rFonts w:cs="Arial"/>
        </w:rPr>
        <w:t xml:space="preserve"> In seven MS (BG, EE, EL, IT, PL, PT, SE), the legal obligation applies to </w:t>
      </w:r>
      <w:r w:rsidR="00A620A6">
        <w:rPr>
          <w:rFonts w:cs="Arial"/>
        </w:rPr>
        <w:t xml:space="preserve">children in </w:t>
      </w:r>
      <w:r w:rsidRPr="00B0027D">
        <w:rPr>
          <w:rFonts w:cs="Arial"/>
        </w:rPr>
        <w:t xml:space="preserve">all roles. In CY, </w:t>
      </w:r>
      <w:r w:rsidRPr="00B0027D">
        <w:rPr>
          <w:rFonts w:cs="Arial"/>
        </w:rPr>
        <w:lastRenderedPageBreak/>
        <w:t xml:space="preserve">FR, UK-E&amp;W and UK-NI a multidisciplinary approach is applied to plaintiffs, defendants and subjects, in AT and LT to witnesses, plaintiffs and defendants, in FI to witnesses and plaintiffs, and in HR only to subjects. </w:t>
      </w:r>
    </w:p>
    <w:p w:rsidR="00AA21BF" w:rsidRDefault="00A620A6" w:rsidP="006C7CC7">
      <w:pPr>
        <w:pStyle w:val="BodyText"/>
      </w:pPr>
      <w:r>
        <w:fldChar w:fldCharType="begin"/>
      </w:r>
      <w:r>
        <w:instrText xml:space="preserve"> REF _Ref395829058 \r \h  \* MERGEFORMAT </w:instrText>
      </w:r>
      <w:r>
        <w:fldChar w:fldCharType="separate"/>
      </w:r>
      <w:r w:rsidR="000223E8" w:rsidRPr="000223E8">
        <w:rPr>
          <w:b/>
          <w:color w:val="0067AC" w:themeColor="text2"/>
        </w:rPr>
        <w:t>Table</w:t>
      </w:r>
      <w:r w:rsidR="000223E8">
        <w:t xml:space="preserve"> </w:t>
      </w:r>
      <w:r w:rsidR="000223E8" w:rsidRPr="000223E8">
        <w:rPr>
          <w:b/>
          <w:color w:val="0067AC" w:themeColor="text2"/>
        </w:rPr>
        <w:t>A3.3</w:t>
      </w:r>
      <w:r>
        <w:fldChar w:fldCharType="end"/>
      </w:r>
      <w:r w:rsidRPr="00B0027D">
        <w:t xml:space="preserve"> provides an overview of the coverage of this provision by area of law and role of the child. </w:t>
      </w:r>
    </w:p>
    <w:p w:rsidR="00B0027D" w:rsidRPr="00B0027D" w:rsidRDefault="00B0027D" w:rsidP="006C7CC7">
      <w:pPr>
        <w:pStyle w:val="Heading4NoNumb"/>
        <w:ind w:left="851"/>
        <w:rPr>
          <w:rFonts w:eastAsia="Calibri"/>
        </w:rPr>
      </w:pPr>
      <w:r w:rsidRPr="00AA21BF">
        <w:rPr>
          <w:rFonts w:eastAsia="Calibri"/>
        </w:rPr>
        <w:t xml:space="preserve">Formalised cooperation procedures for professionals </w:t>
      </w:r>
      <w:r w:rsidR="00007D34">
        <w:rPr>
          <w:rFonts w:eastAsia="Calibri"/>
        </w:rPr>
        <w:t xml:space="preserve">working with or for children in </w:t>
      </w:r>
      <w:r w:rsidRPr="00AA21BF">
        <w:rPr>
          <w:rFonts w:eastAsia="Calibri"/>
        </w:rPr>
        <w:t>different government departments and agencies (CivAdm100)</w:t>
      </w:r>
    </w:p>
    <w:p w:rsidR="00B0027D" w:rsidRPr="006C7CC7" w:rsidRDefault="00B0027D" w:rsidP="006C7CC7">
      <w:pPr>
        <w:pStyle w:val="BodyText"/>
      </w:pPr>
      <w:r w:rsidRPr="00B0027D">
        <w:t xml:space="preserve">A formalised operational cooperation procedure for </w:t>
      </w:r>
      <w:r w:rsidRPr="00B0027D">
        <w:rPr>
          <w:b/>
        </w:rPr>
        <w:t xml:space="preserve">professionals working with or for children </w:t>
      </w:r>
      <w:r w:rsidR="00CE62EF">
        <w:rPr>
          <w:b/>
        </w:rPr>
        <w:t xml:space="preserve">in </w:t>
      </w:r>
      <w:r w:rsidRPr="00B0027D">
        <w:rPr>
          <w:b/>
        </w:rPr>
        <w:t xml:space="preserve">different government departments </w:t>
      </w:r>
      <w:r w:rsidRPr="00E403BA">
        <w:t>and agencies</w:t>
      </w:r>
      <w:r w:rsidRPr="00B0027D">
        <w:t xml:space="preserve"> exists in </w:t>
      </w:r>
      <w:r w:rsidR="00052BA2">
        <w:t>14</w:t>
      </w:r>
      <w:r w:rsidRPr="00B0027D">
        <w:t xml:space="preserve"> jurisdictions (BG, CY, CZ, EE, EL, ES, HR, LT, LV, NL, PT, UK-E&amp;W, UK-NI and </w:t>
      </w:r>
      <w:r w:rsidR="00CD7610">
        <w:t>UK-S</w:t>
      </w:r>
      <w:r w:rsidRPr="00B0027D">
        <w:t xml:space="preserve">). </w:t>
      </w:r>
    </w:p>
    <w:p w:rsidR="00B0027D" w:rsidRPr="006C7CC7" w:rsidRDefault="00B0027D" w:rsidP="006C7CC7">
      <w:pPr>
        <w:pStyle w:val="BodyText"/>
      </w:pPr>
      <w:r w:rsidRPr="00B0027D">
        <w:t>The formalised operational cooperation procedures take different forms in different MS:</w:t>
      </w:r>
    </w:p>
    <w:p w:rsidR="00B0027D" w:rsidRPr="00A7584E" w:rsidRDefault="00B0027D" w:rsidP="006C7CC7">
      <w:pPr>
        <w:pStyle w:val="BTBullet1"/>
      </w:pPr>
      <w:r w:rsidRPr="00A7584E">
        <w:t>In HR, for example, social, health and educational institutions are obliged to cooperate with judicial authorities or among themselves in their efforts to collect and share data.</w:t>
      </w:r>
    </w:p>
    <w:p w:rsidR="00B0027D" w:rsidRPr="00A7584E" w:rsidRDefault="00B0027D" w:rsidP="006C7CC7">
      <w:pPr>
        <w:pStyle w:val="BTBullet1"/>
        <w:rPr>
          <w:rFonts w:cs="Arial"/>
          <w:lang w:val="en-US"/>
        </w:rPr>
      </w:pPr>
      <w:r w:rsidRPr="00A7584E">
        <w:t xml:space="preserve">In NL, </w:t>
      </w:r>
      <w:r w:rsidRPr="00A7584E">
        <w:rPr>
          <w:rFonts w:cs="Arial"/>
          <w:lang w:val="en-US"/>
        </w:rPr>
        <w:t xml:space="preserve">a formal agreement exists specifying principles for the exchange of information between the relevant criminal, civil and/or administrative judicial organisations involved in migration proceedings. </w:t>
      </w:r>
    </w:p>
    <w:p w:rsidR="00B0027D" w:rsidRPr="006C7CC7" w:rsidRDefault="00B0027D" w:rsidP="006C7CC7">
      <w:pPr>
        <w:pStyle w:val="BTBullet1"/>
      </w:pPr>
      <w:r w:rsidRPr="00A7584E">
        <w:t>In PT, in civil guardianship and promotion and protection procedures, the social services, composed of multidisciplinary teams, are obliged to elaborate a so-called "social report" on the child, their integration in the society and their family.</w:t>
      </w:r>
    </w:p>
    <w:p w:rsidR="00B0027D" w:rsidRPr="00B0027D" w:rsidRDefault="00B0027D" w:rsidP="006C7CC7">
      <w:pPr>
        <w:pStyle w:val="BodyText"/>
      </w:pPr>
      <w:r w:rsidRPr="00B0027D">
        <w:t xml:space="preserve">The cooperation procedures that are in place apply in all or almost all areas of law in most jurisdictions. In eight jurisdictions (CZ, EE, HR, LT, LV, PT, UK-E&amp;W and UK-NI) the procedures apply in all areas of law; in EL in all areas except employment. In contrast, in CY a procedure exists only in the areas of family and placement in care. </w:t>
      </w:r>
    </w:p>
    <w:p w:rsidR="00A61FAF" w:rsidRDefault="00B0027D" w:rsidP="006C7CC7">
      <w:pPr>
        <w:pStyle w:val="BodyText"/>
      </w:pPr>
      <w:r w:rsidRPr="00B0027D">
        <w:t xml:space="preserve">Cooperation procedures apply predominantly in those jurisdictions concerned to children in the role as </w:t>
      </w:r>
      <w:r w:rsidRPr="00B0027D">
        <w:rPr>
          <w:b/>
        </w:rPr>
        <w:t>plaintiffs</w:t>
      </w:r>
      <w:r w:rsidRPr="00B0027D">
        <w:t xml:space="preserve">, followed by </w:t>
      </w:r>
      <w:r w:rsidRPr="00B0027D">
        <w:rPr>
          <w:b/>
        </w:rPr>
        <w:t>defendants</w:t>
      </w:r>
      <w:r w:rsidRPr="00B0027D">
        <w:t xml:space="preserve"> and then </w:t>
      </w:r>
      <w:r w:rsidRPr="00B0027D">
        <w:rPr>
          <w:b/>
        </w:rPr>
        <w:t>witnesses</w:t>
      </w:r>
      <w:r w:rsidRPr="00B0027D">
        <w:t xml:space="preserve">. </w:t>
      </w:r>
    </w:p>
    <w:p w:rsidR="00B0027D" w:rsidRPr="00B0027D" w:rsidRDefault="00B0027D" w:rsidP="006C7CC7">
      <w:pPr>
        <w:pStyle w:val="BodyText"/>
      </w:pPr>
      <w:r w:rsidRPr="00B0027D">
        <w:t xml:space="preserve">These procedures only rarely apply to </w:t>
      </w:r>
      <w:r w:rsidRPr="00B0027D">
        <w:rPr>
          <w:b/>
        </w:rPr>
        <w:t>subjects</w:t>
      </w:r>
      <w:r w:rsidRPr="00B0027D">
        <w:t xml:space="preserve">. In 10 out of the </w:t>
      </w:r>
      <w:r w:rsidR="00942430">
        <w:t>14</w:t>
      </w:r>
      <w:r w:rsidRPr="00B0027D">
        <w:t xml:space="preserve"> jurisdictions concerned (BG, CZ, EE, EL, ES, HR, NL, PT, UK-E&amp;W and UK-NI) cooperation procedures apply</w:t>
      </w:r>
      <w:r w:rsidR="00F16981">
        <w:t xml:space="preserve"> </w:t>
      </w:r>
      <w:r w:rsidRPr="00B0027D">
        <w:t xml:space="preserve">to all roles of the child. In BG, CY, UK-E&amp;W and UK-NI the procedures apply to all roles in </w:t>
      </w:r>
      <w:r w:rsidR="00F16981">
        <w:t>all relevant areas of law;</w:t>
      </w:r>
      <w:r w:rsidRPr="00B0027D">
        <w:t xml:space="preserve"> in ES and PT mainly to witnesses and plaintiffs</w:t>
      </w:r>
      <w:r w:rsidR="00F16981">
        <w:t>;</w:t>
      </w:r>
      <w:r w:rsidRPr="00B0027D">
        <w:t xml:space="preserve"> in HR mainly to witnesses, plaintiffs and defendants. In LV, they only apply to plaintiffs and defendants. </w:t>
      </w:r>
    </w:p>
    <w:p w:rsidR="00B0027D" w:rsidRPr="006C7CC7" w:rsidRDefault="00B0027D" w:rsidP="006C7CC7">
      <w:pPr>
        <w:pStyle w:val="BodyText"/>
      </w:pPr>
      <w:r w:rsidRPr="00B0027D">
        <w:lastRenderedPageBreak/>
        <w:t xml:space="preserve">In </w:t>
      </w:r>
      <w:r w:rsidR="00A61FAF" w:rsidRPr="00B0027D">
        <w:t>th</w:t>
      </w:r>
      <w:r w:rsidR="00A61FAF">
        <w:t>e 14</w:t>
      </w:r>
      <w:r w:rsidRPr="00B0027D">
        <w:t xml:space="preserve"> jurisdictions concerned, cooperation procedures apply at </w:t>
      </w:r>
      <w:r w:rsidRPr="00B0027D">
        <w:rPr>
          <w:b/>
        </w:rPr>
        <w:t>all stages of the proceeding</w:t>
      </w:r>
      <w:r w:rsidRPr="00B0027D">
        <w:t xml:space="preserve"> in all jurisdictions, with </w:t>
      </w:r>
      <w:r w:rsidR="00A61FAF" w:rsidRPr="00B0027D">
        <w:t>the</w:t>
      </w:r>
      <w:r w:rsidRPr="00B0027D">
        <w:t xml:space="preserve"> exception of EE (</w:t>
      </w:r>
      <w:r w:rsidR="00F16981">
        <w:t xml:space="preserve">where this is only the case in the areas of </w:t>
      </w:r>
      <w:r w:rsidRPr="00B0027D">
        <w:t>family and employment), EL (</w:t>
      </w:r>
      <w:r w:rsidR="00F16981">
        <w:t xml:space="preserve">where the cooperation procedures only apply </w:t>
      </w:r>
      <w:r w:rsidRPr="00B0027D">
        <w:t xml:space="preserve">during proceedings in family law and placement of care) and </w:t>
      </w:r>
      <w:r w:rsidR="00CD7610">
        <w:t>UK-S</w:t>
      </w:r>
      <w:r w:rsidRPr="00B0027D">
        <w:t xml:space="preserve"> (</w:t>
      </w:r>
      <w:r w:rsidR="00F16981">
        <w:t xml:space="preserve">where they only apply </w:t>
      </w:r>
      <w:r w:rsidRPr="00B0027D">
        <w:t xml:space="preserve">before proceedings in offences committed </w:t>
      </w:r>
      <w:r w:rsidR="00A61FAF" w:rsidRPr="00B0027D">
        <w:t>be</w:t>
      </w:r>
      <w:r w:rsidR="00A61FAF">
        <w:t>low</w:t>
      </w:r>
      <w:r w:rsidRPr="00B0027D">
        <w:t xml:space="preserve"> the age of criminal responsibility). </w:t>
      </w:r>
    </w:p>
    <w:p w:rsidR="00B0027D" w:rsidRPr="006C7CC7" w:rsidRDefault="00EB2F14" w:rsidP="006C7CC7">
      <w:pPr>
        <w:pStyle w:val="Heading4NoNumb"/>
        <w:ind w:left="851"/>
        <w:rPr>
          <w:rFonts w:eastAsia="Calibri"/>
        </w:rPr>
      </w:pPr>
      <w:r w:rsidRPr="00455958">
        <w:rPr>
          <w:rFonts w:eastAsia="Calibri"/>
        </w:rPr>
        <w:t>Procedures to facilitate i</w:t>
      </w:r>
      <w:r w:rsidR="00B0027D" w:rsidRPr="00455958">
        <w:rPr>
          <w:rFonts w:eastAsia="Calibri"/>
        </w:rPr>
        <w:t>nteractions between criminal, civil and administrative judicial proceedings (CivAdm103)</w:t>
      </w:r>
      <w:r w:rsidR="00B0027D" w:rsidRPr="00B0027D">
        <w:rPr>
          <w:rFonts w:eastAsia="Calibri"/>
        </w:rPr>
        <w:t xml:space="preserve"> </w:t>
      </w:r>
    </w:p>
    <w:p w:rsidR="00F16981" w:rsidRDefault="00B0027D" w:rsidP="006C7CC7">
      <w:pPr>
        <w:pStyle w:val="BodyText"/>
      </w:pPr>
      <w:r w:rsidRPr="00B0027D">
        <w:t xml:space="preserve">In eight jurisdictions (CZ, DK, EE, EL, ES, FR, PT, </w:t>
      </w:r>
      <w:r w:rsidR="00CD7610">
        <w:t>UK-S</w:t>
      </w:r>
      <w:r w:rsidRPr="00B0027D">
        <w:t xml:space="preserve">), mechanisms are in place to ensure formalised operational cooperation procedures between </w:t>
      </w:r>
      <w:r w:rsidRPr="00F16981">
        <w:t>professionals working in different jurisdictions, in cases that involve</w:t>
      </w:r>
      <w:r w:rsidRPr="00B0027D">
        <w:rPr>
          <w:b/>
        </w:rPr>
        <w:t xml:space="preserve"> interactions between criminal, civil and/or administrative judicial proceedings</w:t>
      </w:r>
      <w:r w:rsidRPr="00B0027D">
        <w:t xml:space="preserve">. </w:t>
      </w:r>
    </w:p>
    <w:p w:rsidR="00BA6801" w:rsidRPr="00CC1B18" w:rsidRDefault="00F16981" w:rsidP="00CC1B18">
      <w:pPr>
        <w:pStyle w:val="BodyText"/>
      </w:pPr>
      <w:r>
        <w:t>Examples of such procedures include</w:t>
      </w:r>
      <w:r w:rsidR="00BA6801">
        <w:t>:</w:t>
      </w:r>
      <w:r>
        <w:t xml:space="preserve"> </w:t>
      </w:r>
    </w:p>
    <w:p w:rsidR="00BA6801" w:rsidRPr="00A7584E" w:rsidRDefault="00BA6801" w:rsidP="006C7CC7">
      <w:pPr>
        <w:pStyle w:val="BTBullet1"/>
      </w:pPr>
      <w:r w:rsidRPr="00A7584E">
        <w:t>T</w:t>
      </w:r>
      <w:r w:rsidR="00F16981" w:rsidRPr="00A7584E">
        <w:t>he possibility for one court (e.g. administrative) to suspend proceedings until civil proceedings that are running in parallel are concluded</w:t>
      </w:r>
      <w:r w:rsidR="00DA4609" w:rsidRPr="00A7584E">
        <w:t xml:space="preserve"> (see for example EE in </w:t>
      </w:r>
      <w:r w:rsidR="00DA4609" w:rsidRPr="00A7584E">
        <w:rPr>
          <w:b/>
          <w:color w:val="0070C0"/>
        </w:rPr>
        <w:fldChar w:fldCharType="begin"/>
      </w:r>
      <w:r w:rsidR="00DA4609" w:rsidRPr="00A7584E">
        <w:rPr>
          <w:b/>
          <w:color w:val="0070C0"/>
        </w:rPr>
        <w:instrText xml:space="preserve"> REF _Ref397837388 \r \h  \* MERGEFORMAT </w:instrText>
      </w:r>
      <w:r w:rsidR="00DA4609" w:rsidRPr="00A7584E">
        <w:rPr>
          <w:b/>
          <w:color w:val="0070C0"/>
        </w:rPr>
      </w:r>
      <w:r w:rsidR="00DA4609" w:rsidRPr="00A7584E">
        <w:rPr>
          <w:b/>
          <w:color w:val="0070C0"/>
        </w:rPr>
        <w:fldChar w:fldCharType="separate"/>
      </w:r>
      <w:r w:rsidR="000223E8">
        <w:rPr>
          <w:b/>
          <w:color w:val="0070C0"/>
        </w:rPr>
        <w:t>B</w:t>
      </w:r>
      <w:r w:rsidR="000223E8">
        <w:rPr>
          <w:b/>
          <w:color w:val="0070C0"/>
        </w:rPr>
        <w:t>o</w:t>
      </w:r>
      <w:r w:rsidR="000223E8">
        <w:rPr>
          <w:b/>
          <w:color w:val="0070C0"/>
        </w:rPr>
        <w:t>x 3</w:t>
      </w:r>
      <w:r w:rsidR="00DA4609" w:rsidRPr="00A7584E">
        <w:rPr>
          <w:b/>
          <w:color w:val="0070C0"/>
        </w:rPr>
        <w:fldChar w:fldCharType="end"/>
      </w:r>
      <w:r w:rsidR="00DA4609" w:rsidRPr="00A7584E">
        <w:t xml:space="preserve"> </w:t>
      </w:r>
      <w:r w:rsidRPr="00A7584E">
        <w:t>below); and,</w:t>
      </w:r>
      <w:r w:rsidR="00F16981" w:rsidRPr="00A7584E">
        <w:t xml:space="preserve"> </w:t>
      </w:r>
    </w:p>
    <w:p w:rsidR="006C7CC7" w:rsidRPr="00A7584E" w:rsidRDefault="00BA6801" w:rsidP="006C7CC7">
      <w:pPr>
        <w:pStyle w:val="BTBullet1"/>
      </w:pPr>
      <w:r w:rsidRPr="00A7584E">
        <w:t>T</w:t>
      </w:r>
      <w:r w:rsidR="00F16981" w:rsidRPr="00A7584E">
        <w:t xml:space="preserve">he possibility of merging proceedings (e.g. in ES, where administrative proceedings </w:t>
      </w:r>
      <w:r w:rsidR="00DA4609" w:rsidRPr="00A7584E">
        <w:t>can be merged with a civil proceeding and taken before the civil court).</w:t>
      </w:r>
      <w:r w:rsidR="00F16981" w:rsidRPr="00A7584E">
        <w:t xml:space="preserve"> </w:t>
      </w:r>
    </w:p>
    <w:p w:rsidR="00B0027D" w:rsidRPr="00B0027D" w:rsidRDefault="00B0027D" w:rsidP="006C7CC7">
      <w:pPr>
        <w:pStyle w:val="BodyText"/>
      </w:pPr>
      <w:r w:rsidRPr="00B0027D">
        <w:t xml:space="preserve">Where such procedures exist, they apply in </w:t>
      </w:r>
      <w:r w:rsidRPr="00B0027D">
        <w:rPr>
          <w:b/>
        </w:rPr>
        <w:t>all or almost</w:t>
      </w:r>
      <w:r w:rsidRPr="00B0027D">
        <w:t xml:space="preserve"> </w:t>
      </w:r>
      <w:r w:rsidRPr="00B0027D">
        <w:rPr>
          <w:b/>
        </w:rPr>
        <w:t>all areas of law</w:t>
      </w:r>
      <w:r w:rsidRPr="00B0027D">
        <w:t xml:space="preserve">. This is the case in CZ, EE and PT. In EL such procedures apply in all areas of law except in offences committed below the age of criminal responsibility. In ES the procedures apply in all areas but employment and offences committed below the age of criminal responsibility. The procedure applies in FR and </w:t>
      </w:r>
      <w:r w:rsidR="00CD7610">
        <w:t>UK-S</w:t>
      </w:r>
      <w:r w:rsidRPr="00B0027D">
        <w:t xml:space="preserve"> in only three areas of law respectively (family, employment and placement in care; asylum, migration and offences committed by children below the age of criminal responsibility). </w:t>
      </w:r>
    </w:p>
    <w:p w:rsidR="00BA6801" w:rsidRDefault="00B0027D" w:rsidP="006C7CC7">
      <w:pPr>
        <w:pStyle w:val="BodyText"/>
      </w:pPr>
      <w:r w:rsidRPr="00B0027D">
        <w:t xml:space="preserve">Where jurisdictions provide for a formalised operational cooperation procedure in cases that involve interactions between criminal, civil and/or administrative judicial proceedings, the procedure applies above all to children as </w:t>
      </w:r>
      <w:r w:rsidRPr="00B0027D">
        <w:rPr>
          <w:b/>
        </w:rPr>
        <w:t>plaintiffs</w:t>
      </w:r>
      <w:r w:rsidRPr="00B0027D">
        <w:t xml:space="preserve">, followed by </w:t>
      </w:r>
      <w:r w:rsidRPr="00B0027D">
        <w:rPr>
          <w:b/>
        </w:rPr>
        <w:t>defendants</w:t>
      </w:r>
      <w:r w:rsidRPr="00B0027D">
        <w:t xml:space="preserve">. It applies least to </w:t>
      </w:r>
      <w:r w:rsidRPr="00B0027D">
        <w:rPr>
          <w:b/>
        </w:rPr>
        <w:t xml:space="preserve">witnesses and subjects. </w:t>
      </w:r>
    </w:p>
    <w:p w:rsidR="00B0027D" w:rsidRPr="006C7CC7" w:rsidRDefault="00B0027D" w:rsidP="006C7CC7">
      <w:pPr>
        <w:pStyle w:val="BodyText"/>
      </w:pPr>
      <w:r w:rsidRPr="00B0027D">
        <w:t xml:space="preserve">In five jurisdictions (EE, EL, ES, FR and </w:t>
      </w:r>
      <w:r w:rsidR="00CD7610">
        <w:t>UK-S</w:t>
      </w:r>
      <w:r w:rsidRPr="00B0027D">
        <w:t xml:space="preserve">) the procedure applies to all roles, in EL mainly to witnesses, and in </w:t>
      </w:r>
      <w:r w:rsidR="00CD7610">
        <w:t>UK-S</w:t>
      </w:r>
      <w:r w:rsidRPr="00B0027D">
        <w:t xml:space="preserve"> in the area of offences committed by children be</w:t>
      </w:r>
      <w:r w:rsidRPr="00B0027D">
        <w:lastRenderedPageBreak/>
        <w:t xml:space="preserve">low </w:t>
      </w:r>
      <w:r w:rsidR="00BA6801">
        <w:t>MACR</w:t>
      </w:r>
      <w:r w:rsidRPr="00B0027D">
        <w:t xml:space="preserve"> it applies only to subjects. In DK and PT the procedure applies to plaintiffs, defendants and subjects, in PT predominantly to plaintiffs. In CZ, it applies only to plaintiffs and defendants.</w:t>
      </w:r>
    </w:p>
    <w:p w:rsidR="00B0027D" w:rsidRPr="006C7CC7" w:rsidRDefault="00B0027D" w:rsidP="006C7CC7">
      <w:pPr>
        <w:pStyle w:val="Heading4NoNumb"/>
        <w:ind w:firstLine="851"/>
        <w:rPr>
          <w:rFonts w:eastAsia="Calibri"/>
        </w:rPr>
      </w:pPr>
      <w:r w:rsidRPr="00B0027D">
        <w:rPr>
          <w:rFonts w:eastAsia="Calibri"/>
        </w:rPr>
        <w:t>Common frameworks for professionals to assess the child’s situation (CivAdm 101)</w:t>
      </w:r>
    </w:p>
    <w:p w:rsidR="00B0027D" w:rsidRPr="00B0027D" w:rsidRDefault="002F1383" w:rsidP="006C7CC7">
      <w:pPr>
        <w:pStyle w:val="BodyText"/>
      </w:pPr>
      <w:r>
        <w:t>F</w:t>
      </w:r>
      <w:r w:rsidR="005B05BE">
        <w:t>our</w:t>
      </w:r>
      <w:r w:rsidR="00B0027D" w:rsidRPr="00B0027D">
        <w:t xml:space="preserve"> jurisdictions (CY, EE, UK-E&amp;W</w:t>
      </w:r>
      <w:r w:rsidR="005B05BE">
        <w:t xml:space="preserve"> and</w:t>
      </w:r>
      <w:r w:rsidR="00B0027D" w:rsidRPr="00B0027D">
        <w:t xml:space="preserve"> UK-N, ) have adopted a </w:t>
      </w:r>
      <w:r w:rsidR="00B0027D" w:rsidRPr="00B0027D">
        <w:rPr>
          <w:b/>
        </w:rPr>
        <w:t>common assessment framework for all professionals</w:t>
      </w:r>
      <w:r w:rsidR="00B0027D" w:rsidRPr="00B0027D">
        <w:t xml:space="preserve"> working with or for children in civil and administrative proceedings in order to assess the child’s legal, psychological, social, emotional, physical and cognitive situation</w:t>
      </w:r>
      <w:r w:rsidR="00BA6801">
        <w:t xml:space="preserve"> (for example, see </w:t>
      </w:r>
      <w:r w:rsidR="00BA6801" w:rsidRPr="00BA6801">
        <w:rPr>
          <w:b/>
          <w:color w:val="0070C0"/>
        </w:rPr>
        <w:fldChar w:fldCharType="begin"/>
      </w:r>
      <w:r w:rsidR="00BA6801" w:rsidRPr="00BA6801">
        <w:rPr>
          <w:b/>
          <w:color w:val="0070C0"/>
        </w:rPr>
        <w:instrText xml:space="preserve"> REF _Ref397837388 \r \h  \* MERGEFORMAT </w:instrText>
      </w:r>
      <w:r w:rsidR="00BA6801" w:rsidRPr="00BA6801">
        <w:rPr>
          <w:b/>
          <w:color w:val="0070C0"/>
        </w:rPr>
      </w:r>
      <w:r w:rsidR="00BA6801" w:rsidRPr="00BA6801">
        <w:rPr>
          <w:b/>
          <w:color w:val="0070C0"/>
        </w:rPr>
        <w:fldChar w:fldCharType="separate"/>
      </w:r>
      <w:r w:rsidR="000223E8">
        <w:rPr>
          <w:b/>
          <w:color w:val="0070C0"/>
        </w:rPr>
        <w:t>Box 3</w:t>
      </w:r>
      <w:r w:rsidR="00BA6801" w:rsidRPr="00BA6801">
        <w:rPr>
          <w:b/>
          <w:color w:val="0070C0"/>
        </w:rPr>
        <w:fldChar w:fldCharType="end"/>
      </w:r>
      <w:r w:rsidR="00BA6801">
        <w:t xml:space="preserve"> below on EE)</w:t>
      </w:r>
      <w:r w:rsidR="00B0027D" w:rsidRPr="00B0027D">
        <w:t>.</w:t>
      </w:r>
    </w:p>
    <w:p w:rsidR="00B0027D" w:rsidRPr="00A5732C" w:rsidRDefault="00B0027D" w:rsidP="006C7CC7">
      <w:pPr>
        <w:pStyle w:val="BodyText"/>
      </w:pPr>
      <w:r w:rsidRPr="00A5732C">
        <w:t xml:space="preserve">Common frameworks have above all been developed in the area of </w:t>
      </w:r>
      <w:r w:rsidRPr="00A5732C">
        <w:rPr>
          <w:b/>
        </w:rPr>
        <w:t>family law</w:t>
      </w:r>
      <w:r w:rsidRPr="00A5732C">
        <w:t xml:space="preserve"> (five out of six jurisdictions). In UK-E&amp;W and UK-NI, the frameworks apply in all areas of law. In CY frameworks exist in the areas of family and placement in care, in EE in family and employmen</w:t>
      </w:r>
      <w:r w:rsidR="005B05BE" w:rsidRPr="00A5732C">
        <w:t>t</w:t>
      </w:r>
      <w:r w:rsidR="00BA6801" w:rsidRPr="00A5732C">
        <w:t>.</w:t>
      </w:r>
    </w:p>
    <w:p w:rsidR="007525CC" w:rsidRPr="00BA6801" w:rsidRDefault="00B0027D" w:rsidP="006C7CC7">
      <w:pPr>
        <w:pStyle w:val="BodyText"/>
        <w:rPr>
          <w:rFonts w:cs="Arial"/>
        </w:rPr>
      </w:pPr>
      <w:r w:rsidRPr="00A5732C">
        <w:rPr>
          <w:rFonts w:cs="Arial"/>
        </w:rPr>
        <w:t xml:space="preserve">The common assessment framework in the six jurisdictions concerned </w:t>
      </w:r>
      <w:r w:rsidRPr="00A5732C">
        <w:rPr>
          <w:rFonts w:cs="Arial"/>
          <w:b/>
        </w:rPr>
        <w:t>applies to all roles of the child</w:t>
      </w:r>
      <w:r w:rsidRPr="00A5732C">
        <w:rPr>
          <w:rFonts w:cs="Arial"/>
        </w:rPr>
        <w:t>.</w:t>
      </w:r>
      <w:r w:rsidR="00050135">
        <w:rPr>
          <w:rFonts w:cs="Arial"/>
        </w:rPr>
        <w:t xml:space="preserve"> </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3C7720" w:rsidRPr="000F388C" w:rsidTr="00B93A67">
        <w:tc>
          <w:tcPr>
            <w:tcW w:w="8222" w:type="dxa"/>
            <w:shd w:val="clear" w:color="auto" w:fill="CDEBFF"/>
          </w:tcPr>
          <w:p w:rsidR="003C7720" w:rsidRPr="00694BE0" w:rsidRDefault="003C7720" w:rsidP="00173CAC">
            <w:pPr>
              <w:pStyle w:val="BoxNumb"/>
              <w:numPr>
                <w:ilvl w:val="4"/>
                <w:numId w:val="27"/>
              </w:numPr>
              <w:rPr>
                <w:sz w:val="26"/>
                <w:szCs w:val="26"/>
              </w:rPr>
            </w:pPr>
            <w:bookmarkStart w:id="167" w:name="_Ref397837388"/>
            <w:r w:rsidRPr="00694BE0">
              <w:rPr>
                <w:sz w:val="26"/>
                <w:szCs w:val="26"/>
              </w:rPr>
              <w:t>Multidisciplinary measures in Estonia</w:t>
            </w:r>
            <w:bookmarkEnd w:id="167"/>
            <w:r w:rsidRPr="00694BE0">
              <w:rPr>
                <w:sz w:val="26"/>
                <w:szCs w:val="26"/>
              </w:rPr>
              <w:t xml:space="preserve"> </w:t>
            </w:r>
          </w:p>
          <w:p w:rsidR="003C7720" w:rsidRPr="000872E5" w:rsidRDefault="003C7720" w:rsidP="003C7720">
            <w:pPr>
              <w:pStyle w:val="TableText"/>
              <w:rPr>
                <w:i/>
                <w:sz w:val="20"/>
                <w:szCs w:val="20"/>
              </w:rPr>
            </w:pPr>
            <w:r w:rsidRPr="000872E5">
              <w:rPr>
                <w:i/>
                <w:sz w:val="20"/>
                <w:szCs w:val="20"/>
              </w:rPr>
              <w:t>Multidisciplinary approach by the court</w:t>
            </w:r>
          </w:p>
          <w:p w:rsidR="003C7720" w:rsidRPr="003C7720" w:rsidRDefault="003C7720" w:rsidP="003C7720">
            <w:pPr>
              <w:pStyle w:val="TableText"/>
              <w:rPr>
                <w:sz w:val="20"/>
                <w:szCs w:val="20"/>
              </w:rPr>
            </w:pPr>
            <w:r w:rsidRPr="003C7720">
              <w:rPr>
                <w:sz w:val="20"/>
                <w:szCs w:val="20"/>
              </w:rPr>
              <w:t xml:space="preserve">In the hearing </w:t>
            </w:r>
            <w:r w:rsidR="00C76BBA">
              <w:rPr>
                <w:sz w:val="20"/>
                <w:szCs w:val="20"/>
              </w:rPr>
              <w:t>of</w:t>
            </w:r>
            <w:r w:rsidRPr="003C7720">
              <w:rPr>
                <w:sz w:val="20"/>
                <w:szCs w:val="20"/>
              </w:rPr>
              <w:t xml:space="preserve"> a witness, the law allows the court to involve a child protection official, social worker or psychologist, parent or guardian, if necessary. An expert opinion is required in all court cases involving children, and the social services departments are to monitor compliance with this requirement.</w:t>
            </w:r>
          </w:p>
          <w:p w:rsidR="003C7720" w:rsidRPr="003C7720" w:rsidRDefault="003C7720" w:rsidP="003C7720">
            <w:pPr>
              <w:pStyle w:val="TableText"/>
              <w:rPr>
                <w:sz w:val="20"/>
                <w:szCs w:val="20"/>
              </w:rPr>
            </w:pPr>
            <w:r w:rsidRPr="003C7720">
              <w:rPr>
                <w:sz w:val="20"/>
                <w:szCs w:val="20"/>
              </w:rPr>
              <w:t xml:space="preserve">Juvenile committees, relevant to the fields of education and offences committed by children below the age of criminal responsibility, are comprised of persons with diverse professional backgrounds of education, social welfare and health care, a </w:t>
            </w:r>
            <w:r w:rsidR="00C76BBA">
              <w:rPr>
                <w:sz w:val="20"/>
                <w:szCs w:val="20"/>
              </w:rPr>
              <w:t>p</w:t>
            </w:r>
            <w:r w:rsidRPr="003C7720">
              <w:rPr>
                <w:sz w:val="20"/>
                <w:szCs w:val="20"/>
              </w:rPr>
              <w:t xml:space="preserve">olice officer, staff member of either county, local government or city district government, and on county level also a probation officer. When deciding on the appropriate measure, the Committee is obliged to take into account the opinions of the child’s legal representative, social worker, representative of the school and </w:t>
            </w:r>
            <w:r w:rsidR="00C76BBA">
              <w:rPr>
                <w:sz w:val="20"/>
                <w:szCs w:val="20"/>
              </w:rPr>
              <w:t>p</w:t>
            </w:r>
            <w:r w:rsidRPr="003C7720">
              <w:rPr>
                <w:sz w:val="20"/>
                <w:szCs w:val="20"/>
              </w:rPr>
              <w:t xml:space="preserve">olice officer. The applied measure in turn is supervised by an appropriate professional. </w:t>
            </w:r>
          </w:p>
          <w:p w:rsidR="003C7720" w:rsidRPr="000872E5" w:rsidRDefault="003C7720" w:rsidP="003C7720">
            <w:pPr>
              <w:pStyle w:val="TableText"/>
              <w:rPr>
                <w:i/>
                <w:sz w:val="20"/>
                <w:szCs w:val="20"/>
              </w:rPr>
            </w:pPr>
            <w:r w:rsidRPr="000872E5">
              <w:rPr>
                <w:i/>
                <w:sz w:val="20"/>
                <w:szCs w:val="20"/>
              </w:rPr>
              <w:t>Common framework for professionals</w:t>
            </w:r>
          </w:p>
          <w:p w:rsidR="003C7720" w:rsidRPr="003C7720" w:rsidRDefault="003C7720" w:rsidP="003C7720">
            <w:pPr>
              <w:pStyle w:val="TableText"/>
              <w:rPr>
                <w:sz w:val="20"/>
                <w:szCs w:val="20"/>
              </w:rPr>
            </w:pPr>
            <w:r w:rsidRPr="003C7720">
              <w:rPr>
                <w:sz w:val="20"/>
                <w:szCs w:val="20"/>
              </w:rPr>
              <w:t xml:space="preserve">The Ministry of Social Affairs has issued Guidelines on the assessment of the child and family targeted at social workers and a handbook on case management. The handbook introduces a “social work method” in order to promote an integrated approach to cases and to ensure cooperation among specialists from different areas. </w:t>
            </w:r>
          </w:p>
          <w:p w:rsidR="003C7720" w:rsidRPr="000872E5" w:rsidRDefault="003C7720" w:rsidP="003C7720">
            <w:pPr>
              <w:pStyle w:val="TableText"/>
              <w:rPr>
                <w:i/>
                <w:sz w:val="20"/>
                <w:szCs w:val="20"/>
              </w:rPr>
            </w:pPr>
            <w:r w:rsidRPr="000872E5">
              <w:rPr>
                <w:i/>
                <w:sz w:val="20"/>
                <w:szCs w:val="20"/>
              </w:rPr>
              <w:t>Interactions between civil, administrative and criminal judicial proceedings</w:t>
            </w:r>
          </w:p>
          <w:p w:rsidR="003C7720" w:rsidRPr="0085036F" w:rsidRDefault="003C7720" w:rsidP="003C7720">
            <w:pPr>
              <w:pStyle w:val="TableText"/>
              <w:rPr>
                <w:sz w:val="24"/>
              </w:rPr>
            </w:pPr>
            <w:r w:rsidRPr="003C7720">
              <w:rPr>
                <w:sz w:val="20"/>
                <w:szCs w:val="20"/>
              </w:rPr>
              <w:t>Any court can suspend a proceeding if another court, e.g. administrative, criminal, the Supreme Court or a European Court, deliberates on a matter related to the case. In this case, the suspended proceeding resumes only after the other court has issued its</w:t>
            </w:r>
            <w:r>
              <w:rPr>
                <w:sz w:val="20"/>
                <w:szCs w:val="20"/>
              </w:rPr>
              <w:t xml:space="preserve"> judgment on the related matter</w:t>
            </w:r>
            <w:r w:rsidRPr="0085036F">
              <w:rPr>
                <w:sz w:val="20"/>
                <w:szCs w:val="20"/>
              </w:rPr>
              <w:t xml:space="preserve">. </w:t>
            </w:r>
          </w:p>
        </w:tc>
      </w:tr>
    </w:tbl>
    <w:p w:rsidR="00EF33CC" w:rsidRDefault="00EF33CC" w:rsidP="00DF45B8">
      <w:pPr>
        <w:pStyle w:val="BTBullet2"/>
        <w:numPr>
          <w:ilvl w:val="0"/>
          <w:numId w:val="0"/>
        </w:numPr>
        <w:ind w:left="1531"/>
      </w:pP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C7CC7" w:rsidTr="004017DA">
        <w:tc>
          <w:tcPr>
            <w:tcW w:w="8222" w:type="dxa"/>
            <w:shd w:val="clear" w:color="auto" w:fill="CDEBFF"/>
          </w:tcPr>
          <w:p w:rsidR="006C7CC7" w:rsidRPr="006C7CC7" w:rsidRDefault="006C7CC7" w:rsidP="006C7CC7">
            <w:pPr>
              <w:pStyle w:val="TableText"/>
              <w:rPr>
                <w:rFonts w:ascii="Calibri" w:hAnsi="Calibri"/>
                <w:b/>
                <w:color w:val="0067AC"/>
                <w:sz w:val="26"/>
                <w:szCs w:val="26"/>
              </w:rPr>
            </w:pPr>
            <w:r w:rsidRPr="006C7CC7">
              <w:rPr>
                <w:rFonts w:ascii="Calibri" w:hAnsi="Calibri"/>
                <w:b/>
                <w:color w:val="0067AC"/>
                <w:sz w:val="26"/>
                <w:szCs w:val="26"/>
              </w:rPr>
              <w:t>Multidisciplinary approach and cooperation</w:t>
            </w:r>
          </w:p>
          <w:p w:rsidR="006C7CC7" w:rsidRDefault="006C7CC7" w:rsidP="006C7CC7">
            <w:pPr>
              <w:pStyle w:val="Bullet1"/>
            </w:pPr>
            <w:r w:rsidRPr="006C7CC7">
              <w:t>In 16 jurisdictions there is a legal obligation to obtain a comprehensive understanding of the child involved in civil or administrative judicial proceedings by assessing his or her legal, psychological, social, emotional, physical and cognitive situation.</w:t>
            </w:r>
          </w:p>
          <w:p w:rsidR="006C7CC7" w:rsidRDefault="006C7CC7" w:rsidP="006C7CC7">
            <w:pPr>
              <w:pStyle w:val="Bullet1"/>
            </w:pPr>
            <w:r w:rsidRPr="006C7CC7">
              <w:t>In most cases, such a multidisciplinary approach is applied through the adoption of a formalised operational cooperation procedure between judicial authorities and professionals working with or for children in different government departments.</w:t>
            </w:r>
          </w:p>
          <w:p w:rsidR="006C7CC7" w:rsidRDefault="006C7CC7" w:rsidP="006C7CC7">
            <w:pPr>
              <w:pStyle w:val="Bullet1"/>
            </w:pPr>
            <w:r w:rsidRPr="006C7CC7">
              <w:t xml:space="preserve">In half of the jurisdictions concerned, procedures exist to facilitate interactions between criminal, civil and/or administrative judicial proceedings (e.g. merging proceedings), and in a smaller number of jurisdictions, common assessment frameworks have been adopted for all professionals working with or for children in civil and administrative judicial proceedings. </w:t>
            </w:r>
          </w:p>
          <w:p w:rsidR="006C7CC7" w:rsidRPr="006C7CC7" w:rsidRDefault="006C7CC7" w:rsidP="006C7CC7">
            <w:pPr>
              <w:pStyle w:val="Bullet1"/>
            </w:pPr>
            <w:r w:rsidRPr="006C7CC7">
              <w:t>The multidisciplinary approach tends to be used most frequently in family and placement in care proceedings, and to children involved as plaintiffs and defendants.</w:t>
            </w:r>
          </w:p>
        </w:tc>
      </w:tr>
    </w:tbl>
    <w:p w:rsidR="00EF33CC" w:rsidRDefault="00EF33CC">
      <w:pPr>
        <w:spacing w:before="0" w:after="0" w:line="240" w:lineRule="auto"/>
      </w:pPr>
    </w:p>
    <w:p w:rsidR="00977E06" w:rsidRDefault="00471768" w:rsidP="00A7584E">
      <w:pPr>
        <w:pStyle w:val="Heading2"/>
      </w:pPr>
      <w:bookmarkStart w:id="168" w:name="_Toc365616806"/>
      <w:bookmarkStart w:id="169" w:name="_Toc365881778"/>
      <w:bookmarkStart w:id="170" w:name="_Toc371943962"/>
      <w:bookmarkStart w:id="171" w:name="_Toc406590152"/>
      <w:bookmarkStart w:id="172" w:name="_Toc408908716"/>
      <w:r>
        <w:t>Training requirements</w:t>
      </w:r>
      <w:bookmarkEnd w:id="168"/>
      <w:bookmarkEnd w:id="169"/>
      <w:bookmarkEnd w:id="170"/>
      <w:r w:rsidR="00D22AE0">
        <w:t xml:space="preserve"> for professionals working with and for children</w:t>
      </w:r>
      <w:r w:rsidR="008534B6">
        <w:t xml:space="preserve"> in judicial proceedings</w:t>
      </w:r>
      <w:bookmarkEnd w:id="171"/>
      <w:bookmarkEnd w:id="172"/>
    </w:p>
    <w:p w:rsidR="00C61223" w:rsidRDefault="006C3840" w:rsidP="006C7CC7">
      <w:pPr>
        <w:pStyle w:val="BodyText"/>
        <w:rPr>
          <w:lang w:val="en"/>
        </w:rPr>
      </w:pPr>
      <w:r>
        <w:t>Training on the rights of children in judicial proceedings is a</w:t>
      </w:r>
      <w:r w:rsidR="00723A46">
        <w:t xml:space="preserve">n important pre-condition for professionals working with and for children to be </w:t>
      </w:r>
      <w:r w:rsidR="00723A46" w:rsidRPr="00723A46">
        <w:rPr>
          <w:lang w:val="en"/>
        </w:rPr>
        <w:t>aware of their legal obligations under</w:t>
      </w:r>
      <w:r w:rsidR="000F1290">
        <w:rPr>
          <w:lang w:val="en"/>
        </w:rPr>
        <w:t xml:space="preserve"> national and international law. </w:t>
      </w:r>
    </w:p>
    <w:p w:rsidR="00C61223" w:rsidRDefault="00C61223" w:rsidP="006C7CC7">
      <w:pPr>
        <w:pStyle w:val="BodyText"/>
        <w:rPr>
          <w:lang w:val="en"/>
        </w:rPr>
      </w:pPr>
      <w:r>
        <w:rPr>
          <w:lang w:val="en"/>
        </w:rPr>
        <w:t>Not all jurisdictions provide such training</w:t>
      </w:r>
      <w:r w:rsidR="001B29B0">
        <w:rPr>
          <w:lang w:val="en"/>
        </w:rPr>
        <w:t xml:space="preserve"> (on the basis of the documentary sources reviewed in this study, such training does not exist in BG, DE, DK, MT and RO)</w:t>
      </w:r>
      <w:r>
        <w:rPr>
          <w:lang w:val="en"/>
        </w:rPr>
        <w:t xml:space="preserve">. Where training on the rights of children in judicial proceedings exists, the training varies both in terms of its obligatory </w:t>
      </w:r>
      <w:r w:rsidR="001A48A0">
        <w:rPr>
          <w:lang w:val="en"/>
        </w:rPr>
        <w:t>or</w:t>
      </w:r>
      <w:r>
        <w:rPr>
          <w:lang w:val="en"/>
        </w:rPr>
        <w:t xml:space="preserve"> voluntary nature and in te</w:t>
      </w:r>
      <w:r w:rsidR="001A48A0">
        <w:rPr>
          <w:lang w:val="en"/>
        </w:rPr>
        <w:t>rms of the subject matter that it covers</w:t>
      </w:r>
      <w:r>
        <w:rPr>
          <w:lang w:val="en"/>
        </w:rPr>
        <w:t xml:space="preserve">. </w:t>
      </w:r>
      <w:r w:rsidR="000F1290">
        <w:rPr>
          <w:lang w:val="en"/>
        </w:rPr>
        <w:t xml:space="preserve">The training may focus on the rights of children from a purely legal perspective, or it might include a multidisciplinary approach or </w:t>
      </w:r>
      <w:r w:rsidR="001A48A0">
        <w:rPr>
          <w:lang w:val="en"/>
        </w:rPr>
        <w:t xml:space="preserve">it might focus </w:t>
      </w:r>
      <w:r w:rsidR="000F1290">
        <w:rPr>
          <w:lang w:val="en"/>
        </w:rPr>
        <w:t>on how to communicate with children.</w:t>
      </w:r>
    </w:p>
    <w:p w:rsidR="006C3840" w:rsidRDefault="00C61223" w:rsidP="006C7CC7">
      <w:pPr>
        <w:pStyle w:val="BodyText"/>
        <w:rPr>
          <w:lang w:val="en"/>
        </w:rPr>
      </w:pPr>
      <w:r>
        <w:rPr>
          <w:lang w:val="en"/>
        </w:rPr>
        <w:t xml:space="preserve">This section identifies those jurisdictions </w:t>
      </w:r>
      <w:r w:rsidR="00D36B23">
        <w:rPr>
          <w:lang w:val="en"/>
        </w:rPr>
        <w:t xml:space="preserve">which provide </w:t>
      </w:r>
      <w:r>
        <w:rPr>
          <w:lang w:val="en"/>
        </w:rPr>
        <w:t xml:space="preserve">initial </w:t>
      </w:r>
      <w:r w:rsidR="000F1290">
        <w:rPr>
          <w:lang w:val="en"/>
        </w:rPr>
        <w:t xml:space="preserve">and/or continuous </w:t>
      </w:r>
      <w:r>
        <w:rPr>
          <w:lang w:val="en"/>
        </w:rPr>
        <w:t>training</w:t>
      </w:r>
      <w:r w:rsidR="00D36B23">
        <w:rPr>
          <w:lang w:val="en"/>
        </w:rPr>
        <w:t xml:space="preserve"> to professionals who work for and with children in civil and administrative judicial proceedings, and those where there is a legal obligation to provide multidisciplinary training and/or </w:t>
      </w:r>
      <w:r w:rsidR="000F1290">
        <w:rPr>
          <w:lang w:val="en"/>
        </w:rPr>
        <w:t>training on communicating with children</w:t>
      </w:r>
      <w:r w:rsidR="00D36B23">
        <w:rPr>
          <w:lang w:val="en"/>
        </w:rPr>
        <w:t>.</w:t>
      </w:r>
      <w:r>
        <w:rPr>
          <w:lang w:val="en"/>
        </w:rPr>
        <w:t xml:space="preserve"> </w:t>
      </w:r>
    </w:p>
    <w:p w:rsidR="001A382C" w:rsidRPr="00D36B23" w:rsidRDefault="00D36B23" w:rsidP="006C7CC7">
      <w:pPr>
        <w:pStyle w:val="Heading4NoNumb"/>
        <w:ind w:firstLine="851"/>
      </w:pPr>
      <w:r w:rsidRPr="00D36B23">
        <w:t>Existence of i</w:t>
      </w:r>
      <w:r w:rsidR="001A382C" w:rsidRPr="00D36B23">
        <w:t>nitial training programmes (CivAdm095)</w:t>
      </w:r>
    </w:p>
    <w:p w:rsidR="001A382C" w:rsidRPr="001A48A0" w:rsidRDefault="009E4E25" w:rsidP="006C7CC7">
      <w:pPr>
        <w:pStyle w:val="BodyText"/>
      </w:pPr>
      <w:r>
        <w:t>Seventeen</w:t>
      </w:r>
      <w:r w:rsidR="001A382C" w:rsidRPr="001A48A0">
        <w:t xml:space="preserve"> jurisdictions </w:t>
      </w:r>
      <w:r w:rsidR="00D36B23" w:rsidRPr="001A48A0">
        <w:t>have</w:t>
      </w:r>
      <w:r w:rsidR="001A382C" w:rsidRPr="001A48A0">
        <w:t xml:space="preserve"> </w:t>
      </w:r>
      <w:r w:rsidR="001A382C" w:rsidRPr="001A48A0">
        <w:rPr>
          <w:b/>
        </w:rPr>
        <w:t>initial training programmes for professionals who work for and with children</w:t>
      </w:r>
      <w:r w:rsidR="001A382C" w:rsidRPr="001A48A0">
        <w:t xml:space="preserve"> involved in civil and administrative proceedings (AT, BE, CY, EE, EL, ES, FI, FR, HU, IE, NL, PL, PT, SE, SI, UK-E&amp;W and </w:t>
      </w:r>
      <w:r w:rsidR="00CD7610">
        <w:t>UK-S</w:t>
      </w:r>
      <w:r w:rsidR="001A382C" w:rsidRPr="001A48A0">
        <w:t xml:space="preserve">). </w:t>
      </w:r>
    </w:p>
    <w:p w:rsidR="001A382C" w:rsidRPr="001A48A0" w:rsidRDefault="001A382C" w:rsidP="006C7CC7">
      <w:pPr>
        <w:pStyle w:val="BodyText"/>
      </w:pPr>
      <w:r w:rsidRPr="001A48A0">
        <w:t xml:space="preserve">Where such initial training programmes are available, they apply mainly in the </w:t>
      </w:r>
      <w:r w:rsidRPr="001A48A0">
        <w:rPr>
          <w:b/>
        </w:rPr>
        <w:t xml:space="preserve">areas of family and placement in care </w:t>
      </w:r>
      <w:r w:rsidRPr="001A48A0">
        <w:t>(</w:t>
      </w:r>
      <w:r w:rsidR="001A48A0">
        <w:t xml:space="preserve">in </w:t>
      </w:r>
      <w:r w:rsidRPr="001A48A0">
        <w:t>16 jurisdictions</w:t>
      </w:r>
      <w:r w:rsidR="001A48A0">
        <w:t xml:space="preserve"> each</w:t>
      </w:r>
      <w:r w:rsidRPr="001A48A0">
        <w:t xml:space="preserve">). They apply least in the areas of </w:t>
      </w:r>
      <w:r w:rsidRPr="001A48A0">
        <w:rPr>
          <w:b/>
        </w:rPr>
        <w:t xml:space="preserve">employment, education, administrative sanctions </w:t>
      </w:r>
      <w:r w:rsidRPr="00FB6C19">
        <w:t xml:space="preserve">and </w:t>
      </w:r>
      <w:r w:rsidRPr="001A48A0">
        <w:rPr>
          <w:b/>
        </w:rPr>
        <w:t xml:space="preserve">offences committed below </w:t>
      </w:r>
      <w:r w:rsidR="00FB6C19">
        <w:rPr>
          <w:b/>
        </w:rPr>
        <w:t>MACR</w:t>
      </w:r>
      <w:r w:rsidRPr="001A48A0">
        <w:t xml:space="preserve"> (</w:t>
      </w:r>
      <w:r w:rsidR="001A48A0">
        <w:t xml:space="preserve">in </w:t>
      </w:r>
      <w:r w:rsidRPr="001A48A0">
        <w:t>10 jurisdictions</w:t>
      </w:r>
      <w:r w:rsidR="001A48A0">
        <w:t xml:space="preserve"> each</w:t>
      </w:r>
      <w:r w:rsidRPr="001A48A0">
        <w:t xml:space="preserve">). In seven jurisdictions, initial training programmes are provided </w:t>
      </w:r>
      <w:r w:rsidR="001A48A0">
        <w:t xml:space="preserve">to professionals working </w:t>
      </w:r>
      <w:r w:rsidRPr="001A48A0">
        <w:t xml:space="preserve">in all areas of law (AT, EE, HU, PL, PT, UK-E&amp;W and UK-NI). In SE and SI, they apply in all areas of law except offences committed below the age of criminal responsibility. In contrast, in CY, ES and FR, the programmes apply only to two areas of law (family and placement in care). </w:t>
      </w:r>
    </w:p>
    <w:p w:rsidR="001A382C" w:rsidRPr="001A48A0" w:rsidRDefault="001A382C" w:rsidP="006C7CC7">
      <w:pPr>
        <w:pStyle w:val="BodyText"/>
      </w:pPr>
      <w:r w:rsidRPr="001A48A0">
        <w:t xml:space="preserve">The </w:t>
      </w:r>
      <w:r w:rsidR="001A48A0">
        <w:t xml:space="preserve">type </w:t>
      </w:r>
      <w:r w:rsidRPr="001A48A0">
        <w:t xml:space="preserve">of professionals covered by initial training programmes varies among the MS. </w:t>
      </w:r>
      <w:r w:rsidR="001A48A0" w:rsidRPr="001A48A0">
        <w:t xml:space="preserve">In </w:t>
      </w:r>
      <w:r w:rsidR="00E86E6B">
        <w:t>t</w:t>
      </w:r>
      <w:r w:rsidR="001A48A0">
        <w:t>he</w:t>
      </w:r>
      <w:r w:rsidR="001A48A0" w:rsidRPr="00272897">
        <w:t xml:space="preserve"> majority of jurisdictions concerned, the training is provided to social workers. In certain MS </w:t>
      </w:r>
      <w:r w:rsidRPr="00272897">
        <w:t>(</w:t>
      </w:r>
      <w:r w:rsidR="001A48A0" w:rsidRPr="00272897">
        <w:t xml:space="preserve">e.g. </w:t>
      </w:r>
      <w:r w:rsidRPr="00272897">
        <w:t>EE, PT, SE, SI, UK-E&amp;W and UK-NI)</w:t>
      </w:r>
      <w:r w:rsidR="001A48A0" w:rsidRPr="00272897">
        <w:t>, the training is additionally provided to a range of legal professionals</w:t>
      </w:r>
      <w:r w:rsidR="00E91FE7" w:rsidRPr="00272897">
        <w:t xml:space="preserve">, including guardians (see </w:t>
      </w:r>
      <w:r w:rsidR="00E91FE7" w:rsidRPr="00272897">
        <w:rPr>
          <w:b/>
          <w:color w:val="0070C0"/>
        </w:rPr>
        <w:fldChar w:fldCharType="begin"/>
      </w:r>
      <w:r w:rsidR="00E91FE7" w:rsidRPr="00E91FE7">
        <w:rPr>
          <w:b/>
          <w:color w:val="0070C0"/>
        </w:rPr>
        <w:instrText xml:space="preserve"> REF _Ref397890493 \r \h  \* MERGEFORMAT </w:instrText>
      </w:r>
      <w:r w:rsidR="00E91FE7" w:rsidRPr="00272897">
        <w:rPr>
          <w:b/>
          <w:color w:val="0070C0"/>
        </w:rPr>
      </w:r>
      <w:r w:rsidR="00E91FE7" w:rsidRPr="00272897">
        <w:rPr>
          <w:b/>
          <w:color w:val="0070C0"/>
        </w:rPr>
        <w:fldChar w:fldCharType="separate"/>
      </w:r>
      <w:r w:rsidR="000223E8">
        <w:rPr>
          <w:b/>
          <w:color w:val="0070C0"/>
        </w:rPr>
        <w:t>Bo</w:t>
      </w:r>
      <w:r w:rsidR="000223E8">
        <w:rPr>
          <w:b/>
          <w:color w:val="0070C0"/>
        </w:rPr>
        <w:t>x</w:t>
      </w:r>
      <w:r w:rsidR="000223E8">
        <w:rPr>
          <w:b/>
          <w:color w:val="0070C0"/>
        </w:rPr>
        <w:t xml:space="preserve"> 4</w:t>
      </w:r>
      <w:r w:rsidR="00E91FE7" w:rsidRPr="00272897">
        <w:rPr>
          <w:b/>
          <w:color w:val="0070C0"/>
        </w:rPr>
        <w:fldChar w:fldCharType="end"/>
      </w:r>
      <w:r w:rsidR="00E91FE7" w:rsidRPr="00272897">
        <w:t xml:space="preserve"> for the example of SI)</w:t>
      </w:r>
      <w:r w:rsidRPr="00272897">
        <w:t>. In other MS</w:t>
      </w:r>
      <w:r w:rsidR="001A48A0" w:rsidRPr="00272897">
        <w:t xml:space="preserve"> (e.g. BE, </w:t>
      </w:r>
      <w:r w:rsidR="001A48A0" w:rsidRPr="00CB3C84">
        <w:t xml:space="preserve">ES, HU </w:t>
      </w:r>
      <w:r w:rsidR="001A48A0" w:rsidRPr="00E607FB">
        <w:t>and NL)</w:t>
      </w:r>
      <w:r w:rsidR="001A48A0" w:rsidRPr="0068321E">
        <w:t>, the training is</w:t>
      </w:r>
      <w:r w:rsidRPr="007A5E6C">
        <w:t xml:space="preserve"> provided to judges</w:t>
      </w:r>
      <w:r w:rsidR="00FB6C19">
        <w:t>.</w:t>
      </w:r>
    </w:p>
    <w:p w:rsidR="001A382C" w:rsidRPr="00455958" w:rsidRDefault="001A382C" w:rsidP="006C7CC7">
      <w:pPr>
        <w:pStyle w:val="Heading4NoNumb"/>
        <w:ind w:firstLine="851"/>
      </w:pPr>
      <w:r w:rsidRPr="00455958">
        <w:t xml:space="preserve">Continuous training programmes (CivAdm098) </w:t>
      </w:r>
    </w:p>
    <w:p w:rsidR="001A382C" w:rsidRDefault="001A382C" w:rsidP="006C7CC7">
      <w:pPr>
        <w:pStyle w:val="BodyText"/>
      </w:pPr>
      <w:r w:rsidRPr="00455958">
        <w:t xml:space="preserve">Continuous training programmes for professionals working for and </w:t>
      </w:r>
      <w:r w:rsidRPr="00391E77">
        <w:t>with children involved in civil and administrative proceedings exist in 18 jurisdictions (AT, CY, EE,</w:t>
      </w:r>
      <w:r>
        <w:t xml:space="preserve"> EL ES, FR, HR, HU, IT, LT, LV, NL, PL, PT, SE, SI, UK-E&amp;W and UK-NI). </w:t>
      </w:r>
    </w:p>
    <w:p w:rsidR="001A382C" w:rsidRDefault="001A382C" w:rsidP="006C7CC7">
      <w:pPr>
        <w:pStyle w:val="BodyText"/>
      </w:pPr>
      <w:r>
        <w:t xml:space="preserve">Where continuous training programmes are offered, they apply most frequently in the areas of </w:t>
      </w:r>
      <w:r w:rsidRPr="00FB6C19">
        <w:rPr>
          <w:b/>
        </w:rPr>
        <w:t>placement in care</w:t>
      </w:r>
      <w:r>
        <w:t xml:space="preserve"> (all jurisdictions) followed by </w:t>
      </w:r>
      <w:r w:rsidRPr="00FB6C19">
        <w:rPr>
          <w:b/>
        </w:rPr>
        <w:t>family</w:t>
      </w:r>
      <w:r>
        <w:t xml:space="preserve"> (16 jurisdictions). They apply least in </w:t>
      </w:r>
      <w:r w:rsidRPr="00FB6C19">
        <w:rPr>
          <w:b/>
        </w:rPr>
        <w:t>administrative sanctions</w:t>
      </w:r>
      <w:r>
        <w:t xml:space="preserve"> and </w:t>
      </w:r>
      <w:r w:rsidRPr="00FB6C19">
        <w:rPr>
          <w:b/>
        </w:rPr>
        <w:t xml:space="preserve">offences committed below </w:t>
      </w:r>
      <w:r w:rsidR="00FB6C19" w:rsidRPr="00FB6C19">
        <w:rPr>
          <w:b/>
        </w:rPr>
        <w:t>MACR</w:t>
      </w:r>
      <w:r>
        <w:t xml:space="preserve"> (12 and 11 jurisdictions respectively).</w:t>
      </w:r>
      <w:r w:rsidR="00050135">
        <w:t xml:space="preserve"> </w:t>
      </w:r>
    </w:p>
    <w:p w:rsidR="001A382C" w:rsidRPr="00842FA5" w:rsidRDefault="001A382C" w:rsidP="006C7CC7">
      <w:pPr>
        <w:pStyle w:val="BodyText"/>
      </w:pPr>
      <w:r>
        <w:t xml:space="preserve">In </w:t>
      </w:r>
      <w:r w:rsidR="009E4E25">
        <w:t>10</w:t>
      </w:r>
      <w:r>
        <w:t xml:space="preserve"> jurisdictions (AT, EE, HR, HU, LT, LV, PL, PT, UK-E&amp;W and UK-NI) the continuous training programmes apply in all areas of law. In SE and SI they apply in all areas except offences committed below </w:t>
      </w:r>
      <w:r w:rsidR="00FB6C19">
        <w:t>MACR</w:t>
      </w:r>
      <w:r>
        <w:t xml:space="preserve">. In contrast, in CY and FR they </w:t>
      </w:r>
      <w:r w:rsidR="00FB6C19">
        <w:t>apply</w:t>
      </w:r>
      <w:r>
        <w:t xml:space="preserve"> only to family and placement in care and in ES only to placement in care. </w:t>
      </w:r>
    </w:p>
    <w:p w:rsidR="00E91FE7" w:rsidRDefault="00FB6C19" w:rsidP="006C7CC7">
      <w:pPr>
        <w:pStyle w:val="BodyText"/>
      </w:pPr>
      <w:r>
        <w:t>In t</w:t>
      </w:r>
      <w:r w:rsidR="001A382C">
        <w:t xml:space="preserve">hose MS that </w:t>
      </w:r>
      <w:r>
        <w:t xml:space="preserve">also </w:t>
      </w:r>
      <w:r w:rsidR="001A382C">
        <w:t>provide initial training programmes</w:t>
      </w:r>
      <w:r>
        <w:t xml:space="preserve">, the </w:t>
      </w:r>
      <w:r w:rsidR="001A382C">
        <w:t xml:space="preserve">continuous training </w:t>
      </w:r>
      <w:r>
        <w:t xml:space="preserve">is mostly provided to the same group of </w:t>
      </w:r>
      <w:r w:rsidR="001A382C">
        <w:t>professionals</w:t>
      </w:r>
      <w:r>
        <w:t>. In</w:t>
      </w:r>
      <w:r w:rsidR="001A382C">
        <w:t xml:space="preserve"> the MS</w:t>
      </w:r>
      <w:r w:rsidR="003B1AFC">
        <w:t xml:space="preserve"> where initial training is not provided</w:t>
      </w:r>
      <w:r w:rsidR="001A382C">
        <w:t xml:space="preserve">, continuous training is available for </w:t>
      </w:r>
      <w:r w:rsidR="003B1AFC">
        <w:t xml:space="preserve">a variety of legal </w:t>
      </w:r>
      <w:r w:rsidR="001A382C">
        <w:t xml:space="preserve">professionals </w:t>
      </w:r>
      <w:r w:rsidR="003B1AFC">
        <w:t xml:space="preserve">and social workers </w:t>
      </w:r>
      <w:r w:rsidR="001A382C">
        <w:t xml:space="preserve">in LT and LV, for </w:t>
      </w:r>
      <w:r w:rsidR="003B1AFC">
        <w:t xml:space="preserve">a variety of </w:t>
      </w:r>
      <w:r w:rsidR="001A382C">
        <w:t xml:space="preserve">legal professionals in HR, </w:t>
      </w:r>
      <w:r w:rsidR="003B1AFC">
        <w:t xml:space="preserve">and specifically </w:t>
      </w:r>
      <w:r w:rsidR="001A382C">
        <w:t>for lawyers in IT.</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E91FE7" w:rsidRPr="000F388C" w:rsidTr="00D4155F">
        <w:tc>
          <w:tcPr>
            <w:tcW w:w="8222" w:type="dxa"/>
            <w:shd w:val="clear" w:color="auto" w:fill="CDEBFF"/>
          </w:tcPr>
          <w:p w:rsidR="00E91FE7" w:rsidRPr="00694BE0" w:rsidRDefault="00E91FE7" w:rsidP="00173CAC">
            <w:pPr>
              <w:pStyle w:val="BoxNumb"/>
              <w:numPr>
                <w:ilvl w:val="4"/>
                <w:numId w:val="27"/>
              </w:numPr>
              <w:rPr>
                <w:sz w:val="26"/>
                <w:szCs w:val="26"/>
              </w:rPr>
            </w:pPr>
            <w:bookmarkStart w:id="173" w:name="_Ref397890493"/>
            <w:r w:rsidRPr="00694BE0">
              <w:rPr>
                <w:sz w:val="26"/>
                <w:szCs w:val="26"/>
              </w:rPr>
              <w:t xml:space="preserve">Training for guardians of unaccompanied </w:t>
            </w:r>
            <w:r w:rsidR="004424AB">
              <w:rPr>
                <w:sz w:val="26"/>
                <w:szCs w:val="26"/>
              </w:rPr>
              <w:t>children</w:t>
            </w:r>
            <w:r w:rsidRPr="00694BE0">
              <w:rPr>
                <w:sz w:val="26"/>
                <w:szCs w:val="26"/>
              </w:rPr>
              <w:t xml:space="preserve"> in Slovenia</w:t>
            </w:r>
            <w:bookmarkEnd w:id="173"/>
          </w:p>
          <w:p w:rsidR="00E91FE7" w:rsidRPr="00C17744" w:rsidRDefault="00E91FE7" w:rsidP="00D4155F">
            <w:pPr>
              <w:pStyle w:val="TableText"/>
              <w:rPr>
                <w:sz w:val="20"/>
                <w:szCs w:val="20"/>
              </w:rPr>
            </w:pPr>
            <w:r w:rsidRPr="00C17744">
              <w:rPr>
                <w:sz w:val="20"/>
                <w:szCs w:val="20"/>
              </w:rPr>
              <w:t xml:space="preserve">Unaccompanied children who seek asylum must have a guardian appointed </w:t>
            </w:r>
            <w:r w:rsidR="002D6B7D">
              <w:rPr>
                <w:sz w:val="20"/>
                <w:szCs w:val="20"/>
              </w:rPr>
              <w:t xml:space="preserve">and the </w:t>
            </w:r>
            <w:r w:rsidR="00942430">
              <w:rPr>
                <w:sz w:val="20"/>
                <w:szCs w:val="20"/>
              </w:rPr>
              <w:t xml:space="preserve">guardian </w:t>
            </w:r>
            <w:r w:rsidR="002D6B7D">
              <w:rPr>
                <w:sz w:val="20"/>
                <w:szCs w:val="20"/>
              </w:rPr>
              <w:t>is</w:t>
            </w:r>
            <w:r w:rsidRPr="00C17744">
              <w:rPr>
                <w:sz w:val="20"/>
                <w:szCs w:val="20"/>
              </w:rPr>
              <w:t xml:space="preserve"> required to have completed mandatory training. </w:t>
            </w:r>
          </w:p>
          <w:p w:rsidR="00E91FE7" w:rsidRPr="00C17744" w:rsidRDefault="00E91FE7" w:rsidP="00D4155F">
            <w:pPr>
              <w:pStyle w:val="TableText"/>
              <w:rPr>
                <w:sz w:val="20"/>
                <w:szCs w:val="20"/>
              </w:rPr>
            </w:pPr>
            <w:r w:rsidRPr="00C17744">
              <w:rPr>
                <w:sz w:val="20"/>
                <w:szCs w:val="20"/>
              </w:rPr>
              <w:t xml:space="preserve">Training for guardians includes family law (guardianship, foster care, protection of human rights), social work (legislation in the field of social work in Slovenia, methods of work taking into account the best interests of children, intercultural, racial and religious characteristics, cultural and religious specificities, cultural shock, development of intercultural competencies in advocacy of children – self-awareness of guardians of their personal value system, confronting stereotypes, ability to adapt), psychology (development psychology, establishing a relationship of trust with a child, methods of talking to a child, post-traumatic stress syndrome, exposing a child to risks and dangers), protection of the rights and duties of children, protection of human rights and fundamental freedoms and asylum law (introduction to protection of human rights, asylum as a human right, EU legislation in the field of international protection, legal regulations in the field of international protection in Slovenia). </w:t>
            </w:r>
          </w:p>
          <w:p w:rsidR="00E91FE7" w:rsidRPr="0085036F" w:rsidRDefault="00E91FE7" w:rsidP="00D4155F">
            <w:pPr>
              <w:pStyle w:val="TableText"/>
              <w:rPr>
                <w:sz w:val="24"/>
              </w:rPr>
            </w:pPr>
            <w:r w:rsidRPr="00C17744">
              <w:rPr>
                <w:sz w:val="20"/>
                <w:szCs w:val="20"/>
              </w:rPr>
              <w:t xml:space="preserve">The training of candidates for guardians has to be carried out at least once a year. The initial training consists of 24 hours. Every five years each nominated guardian has to attend an advanced training course lasting </w:t>
            </w:r>
            <w:r w:rsidR="00413769">
              <w:rPr>
                <w:sz w:val="20"/>
                <w:szCs w:val="20"/>
              </w:rPr>
              <w:t>eight</w:t>
            </w:r>
            <w:r w:rsidRPr="00C17744">
              <w:rPr>
                <w:sz w:val="20"/>
                <w:szCs w:val="20"/>
              </w:rPr>
              <w:t xml:space="preserve"> hours.</w:t>
            </w:r>
            <w:r w:rsidRPr="0085036F">
              <w:rPr>
                <w:sz w:val="20"/>
                <w:szCs w:val="20"/>
              </w:rPr>
              <w:t xml:space="preserve"> </w:t>
            </w:r>
          </w:p>
        </w:tc>
      </w:tr>
    </w:tbl>
    <w:p w:rsidR="00D36B23" w:rsidRPr="009F3D8D" w:rsidRDefault="00D36B23" w:rsidP="006C7CC7">
      <w:pPr>
        <w:pStyle w:val="Heading4NoNumb"/>
        <w:ind w:firstLine="851"/>
      </w:pPr>
      <w:r>
        <w:t>Legal obligation to provide m</w:t>
      </w:r>
      <w:r w:rsidRPr="009F3D8D">
        <w:t>ultidisciplinary training (</w:t>
      </w:r>
      <w:r w:rsidRPr="00842FA5">
        <w:t>CivAdm094a)</w:t>
      </w:r>
    </w:p>
    <w:p w:rsidR="00D36B23" w:rsidRDefault="00D36B23" w:rsidP="006C7CC7">
      <w:pPr>
        <w:pStyle w:val="BodyText"/>
      </w:pPr>
      <w:r>
        <w:t xml:space="preserve">A </w:t>
      </w:r>
      <w:r w:rsidRPr="001A382C">
        <w:t>legal obligation to</w:t>
      </w:r>
      <w:r w:rsidRPr="00842FA5">
        <w:rPr>
          <w:b/>
        </w:rPr>
        <w:t xml:space="preserve"> </w:t>
      </w:r>
      <w:r w:rsidRPr="001A382C">
        <w:t>provide</w:t>
      </w:r>
      <w:r w:rsidRPr="00842FA5">
        <w:rPr>
          <w:b/>
        </w:rPr>
        <w:t xml:space="preserve"> multidisciplinary training </w:t>
      </w:r>
      <w:r w:rsidRPr="001A382C">
        <w:t>to all professionals working for and with children on</w:t>
      </w:r>
      <w:r>
        <w:t xml:space="preserve"> the rights and needs of children and on proceedings adapted to them exists in </w:t>
      </w:r>
      <w:r w:rsidRPr="00842FA5">
        <w:t>13 jurisdictions (</w:t>
      </w:r>
      <w:r>
        <w:t>EE, EL, ES, FR, IT, LT, LU, LV, PL, SE, SI, UK-E&amp;W and UK-NI).</w:t>
      </w:r>
      <w:r>
        <w:rPr>
          <w:rStyle w:val="FootnoteReference"/>
          <w:sz w:val="22"/>
          <w:szCs w:val="22"/>
        </w:rPr>
        <w:footnoteReference w:id="20"/>
      </w:r>
      <w:r>
        <w:t xml:space="preserve"> </w:t>
      </w:r>
      <w:r w:rsidR="007969A9">
        <w:t>In SE, for example, p</w:t>
      </w:r>
      <w:r w:rsidR="007969A9" w:rsidRPr="0075252C">
        <w:t>ersons who are undergoing training to become judges take mandat</w:t>
      </w:r>
      <w:r w:rsidR="007969A9">
        <w:t>ory courses concerning children</w:t>
      </w:r>
      <w:r w:rsidR="007969A9" w:rsidRPr="0075252C">
        <w:t>’s development and needs.</w:t>
      </w:r>
    </w:p>
    <w:p w:rsidR="00D36B23" w:rsidRDefault="00D36B23" w:rsidP="006C7CC7">
      <w:pPr>
        <w:pStyle w:val="BodyText"/>
      </w:pPr>
      <w:r>
        <w:t xml:space="preserve">Where the legal obligation exists, the provision applies most frequently in the areas of </w:t>
      </w:r>
      <w:r>
        <w:rPr>
          <w:b/>
        </w:rPr>
        <w:t>family and placement in care</w:t>
      </w:r>
      <w:r>
        <w:t xml:space="preserve"> (both 11 jurisdictions), followed by </w:t>
      </w:r>
      <w:r>
        <w:rPr>
          <w:b/>
        </w:rPr>
        <w:t xml:space="preserve">asylum </w:t>
      </w:r>
      <w:r w:rsidRPr="001A382C">
        <w:t>and</w:t>
      </w:r>
      <w:r>
        <w:rPr>
          <w:b/>
        </w:rPr>
        <w:t xml:space="preserve"> offences committed below </w:t>
      </w:r>
      <w:r w:rsidR="00FB6C19">
        <w:rPr>
          <w:b/>
        </w:rPr>
        <w:t>MACR</w:t>
      </w:r>
      <w:r>
        <w:t xml:space="preserve"> (both eight jurisdictions). The areas of law where the provision applies least frequently are </w:t>
      </w:r>
      <w:r>
        <w:rPr>
          <w:b/>
        </w:rPr>
        <w:t>education</w:t>
      </w:r>
      <w:r>
        <w:t xml:space="preserve"> and </w:t>
      </w:r>
      <w:r>
        <w:rPr>
          <w:b/>
        </w:rPr>
        <w:t>health</w:t>
      </w:r>
      <w:r>
        <w:t xml:space="preserve"> (in six jurisdictions each) and </w:t>
      </w:r>
      <w:r>
        <w:rPr>
          <w:b/>
        </w:rPr>
        <w:t>administrative sanctions</w:t>
      </w:r>
      <w:r>
        <w:t xml:space="preserve"> (in five jurisdictions). </w:t>
      </w:r>
    </w:p>
    <w:p w:rsidR="00D36B23" w:rsidRDefault="002C7B25" w:rsidP="006C7CC7">
      <w:pPr>
        <w:pStyle w:val="BodyText"/>
      </w:pPr>
      <w:r w:rsidRPr="002C7B25">
        <w:rPr>
          <w:b/>
          <w:color w:val="0067AC" w:themeColor="text2"/>
        </w:rPr>
        <w:fldChar w:fldCharType="begin"/>
      </w:r>
      <w:r w:rsidRPr="002C7B25">
        <w:rPr>
          <w:b/>
          <w:color w:val="0067AC" w:themeColor="text2"/>
        </w:rPr>
        <w:instrText xml:space="preserve"> REF _Ref397955751 \r \h </w:instrText>
      </w:r>
      <w:r>
        <w:rPr>
          <w:b/>
          <w:color w:val="0067AC" w:themeColor="text2"/>
        </w:rPr>
        <w:instrText xml:space="preserve"> \* MERGEFORMAT </w:instrText>
      </w:r>
      <w:r w:rsidRPr="002C7B25">
        <w:rPr>
          <w:b/>
          <w:color w:val="0067AC" w:themeColor="text2"/>
        </w:rPr>
      </w:r>
      <w:r w:rsidRPr="002C7B25">
        <w:rPr>
          <w:b/>
          <w:color w:val="0067AC" w:themeColor="text2"/>
        </w:rPr>
        <w:fldChar w:fldCharType="separate"/>
      </w:r>
      <w:r w:rsidR="000223E8">
        <w:rPr>
          <w:b/>
          <w:color w:val="0067AC" w:themeColor="text2"/>
        </w:rPr>
        <w:t>Table A3.6</w:t>
      </w:r>
      <w:r w:rsidRPr="002C7B25">
        <w:rPr>
          <w:b/>
          <w:color w:val="0067AC" w:themeColor="text2"/>
        </w:rPr>
        <w:fldChar w:fldCharType="end"/>
      </w:r>
      <w:r w:rsidRPr="002C7B25">
        <w:rPr>
          <w:b/>
          <w:color w:val="0067AC" w:themeColor="text2"/>
        </w:rPr>
        <w:t xml:space="preserve"> </w:t>
      </w:r>
      <w:r w:rsidR="00D36B23" w:rsidRPr="002C7B25">
        <w:t>provides</w:t>
      </w:r>
      <w:r w:rsidR="00D36B23">
        <w:t xml:space="preserve"> an overview of the coverage of this provision by area of law.</w:t>
      </w:r>
    </w:p>
    <w:p w:rsidR="00852BA0" w:rsidRDefault="00852BA0" w:rsidP="006C7CC7">
      <w:pPr>
        <w:pStyle w:val="BodyText"/>
      </w:pPr>
      <w:r>
        <w:rPr>
          <w:rFonts w:cs="Arial"/>
          <w:color w:val="4B4B4B"/>
          <w:spacing w:val="10"/>
          <w:sz w:val="18"/>
          <w:szCs w:val="18"/>
        </w:rPr>
        <w:fldChar w:fldCharType="begin"/>
      </w:r>
      <w:r>
        <w:rPr>
          <w:rFonts w:cs="Arial"/>
          <w:color w:val="4B4B4B"/>
          <w:spacing w:val="10"/>
          <w:sz w:val="18"/>
          <w:szCs w:val="18"/>
        </w:rPr>
        <w:instrText xml:space="preserve"> REF _Ref401247190 \r \h  \* MERGEFORMAT </w:instrText>
      </w:r>
      <w:r>
        <w:rPr>
          <w:rFonts w:cs="Arial"/>
          <w:color w:val="4B4B4B"/>
          <w:spacing w:val="10"/>
          <w:sz w:val="18"/>
          <w:szCs w:val="18"/>
        </w:rPr>
      </w:r>
      <w:r>
        <w:rPr>
          <w:rFonts w:cs="Arial"/>
          <w:color w:val="4B4B4B"/>
          <w:spacing w:val="10"/>
          <w:sz w:val="18"/>
          <w:szCs w:val="18"/>
        </w:rPr>
        <w:fldChar w:fldCharType="separate"/>
      </w:r>
      <w:r w:rsidR="000223E8" w:rsidRPr="000223E8">
        <w:rPr>
          <w:b/>
          <w:color w:val="0067AC" w:themeColor="text2"/>
        </w:rPr>
        <w:t>Table A3.7</w:t>
      </w:r>
      <w:r>
        <w:rPr>
          <w:rFonts w:cs="Arial"/>
          <w:color w:val="4B4B4B"/>
          <w:spacing w:val="10"/>
          <w:sz w:val="18"/>
          <w:szCs w:val="18"/>
        </w:rPr>
        <w:fldChar w:fldCharType="end"/>
      </w:r>
      <w:r>
        <w:rPr>
          <w:rFonts w:cs="Arial"/>
          <w:color w:val="4B4B4B"/>
          <w:spacing w:val="10"/>
          <w:sz w:val="18"/>
          <w:szCs w:val="18"/>
        </w:rPr>
        <w:t xml:space="preserve"> </w:t>
      </w:r>
      <w:r w:rsidRPr="00852BA0">
        <w:t xml:space="preserve">provides an overview of the coverage of </w:t>
      </w:r>
      <w:r w:rsidR="0087485F">
        <w:t>all jurisdictions and areas of law where m</w:t>
      </w:r>
      <w:r w:rsidRPr="00852BA0">
        <w:t xml:space="preserve">ultidisciplinary training is available but not mandatory </w:t>
      </w:r>
      <w:r>
        <w:t>(</w:t>
      </w:r>
      <w:r w:rsidRPr="00007D34">
        <w:t>CivAdm094b</w:t>
      </w:r>
      <w:r w:rsidR="0087485F">
        <w:t>)</w:t>
      </w:r>
      <w:r w:rsidRPr="00852BA0">
        <w:t>.</w:t>
      </w:r>
    </w:p>
    <w:p w:rsidR="00D36B23" w:rsidRDefault="00D36B23" w:rsidP="006C7CC7">
      <w:pPr>
        <w:pStyle w:val="BodyText"/>
      </w:pPr>
      <w:r>
        <w:t xml:space="preserve">In five jurisdictions (LT, LV, PL, UK-E&amp;W and UK-NI) the training requirement applies in all areas of law. In IT it applies in all areas except family, employment and administrative sanctions. In all remaining jurisdictions the training requirement covers a maximum of three areas of law, whereas in LU it only applies in one area (offences committed below MACR). </w:t>
      </w:r>
    </w:p>
    <w:p w:rsidR="001A382C" w:rsidRPr="009F3D8D" w:rsidRDefault="00E91FE7" w:rsidP="00571F56">
      <w:pPr>
        <w:pStyle w:val="Heading4NoNumb"/>
        <w:ind w:firstLine="851"/>
      </w:pPr>
      <w:r>
        <w:t>Mandatory</w:t>
      </w:r>
      <w:r w:rsidR="001A382C" w:rsidRPr="00842FA5">
        <w:t xml:space="preserve"> training </w:t>
      </w:r>
      <w:r w:rsidR="007969A9">
        <w:t>in communicating with children</w:t>
      </w:r>
      <w:r w:rsidR="001A382C" w:rsidRPr="009F3D8D">
        <w:t xml:space="preserve"> (</w:t>
      </w:r>
      <w:r w:rsidR="001A382C" w:rsidRPr="00842FA5">
        <w:t>CivAdm097a)</w:t>
      </w:r>
    </w:p>
    <w:p w:rsidR="007969A9" w:rsidRDefault="001A382C" w:rsidP="00571F56">
      <w:pPr>
        <w:pStyle w:val="BodyText"/>
      </w:pPr>
      <w:r>
        <w:t>The legal obligation to provide mandatory training relating to communication with children in civil and judicial proceedings at all ages and stages of their development exists in ten jurisdictions (AT</w:t>
      </w:r>
      <w:r>
        <w:rPr>
          <w:rStyle w:val="FootnoteReference"/>
          <w:sz w:val="22"/>
          <w:szCs w:val="22"/>
        </w:rPr>
        <w:footnoteReference w:id="21"/>
      </w:r>
      <w:r>
        <w:t>, BE, FR, EL, ES</w:t>
      </w:r>
      <w:r>
        <w:rPr>
          <w:rStyle w:val="FootnoteReference"/>
          <w:sz w:val="22"/>
          <w:szCs w:val="22"/>
        </w:rPr>
        <w:footnoteReference w:id="22"/>
      </w:r>
      <w:r>
        <w:t>, LU, SE, SI, UK-E&amp;W and UK-NI</w:t>
      </w:r>
      <w:r w:rsidR="007969A9">
        <w:rPr>
          <w:rStyle w:val="FootnoteReference"/>
          <w:sz w:val="22"/>
          <w:szCs w:val="22"/>
        </w:rPr>
        <w:footnoteReference w:id="23"/>
      </w:r>
      <w:r>
        <w:t xml:space="preserve">). </w:t>
      </w:r>
      <w:r w:rsidR="00E91FE7">
        <w:t>Such training aims at equipping judges, prosecutors and legal counsels, as well as guardians and social workers with the necessary knowledge and skills to communicate appropriately with children in these specific circumstances.</w:t>
      </w:r>
      <w:r w:rsidR="007969A9">
        <w:t xml:space="preserve"> </w:t>
      </w:r>
    </w:p>
    <w:p w:rsidR="001A382C" w:rsidRDefault="007969A9" w:rsidP="00571F56">
      <w:pPr>
        <w:pStyle w:val="BodyText"/>
      </w:pPr>
      <w:r>
        <w:t>Mandatory</w:t>
      </w:r>
      <w:r w:rsidR="001A382C">
        <w:t xml:space="preserve"> training </w:t>
      </w:r>
      <w:r>
        <w:t xml:space="preserve">in communicating with children </w:t>
      </w:r>
      <w:r w:rsidR="00FB6C19">
        <w:t>appl</w:t>
      </w:r>
      <w:r w:rsidR="00E91FE7">
        <w:t>ies</w:t>
      </w:r>
      <w:r w:rsidR="001A382C">
        <w:t xml:space="preserve"> </w:t>
      </w:r>
      <w:r w:rsidR="00FB6C19">
        <w:t xml:space="preserve">most frequently </w:t>
      </w:r>
      <w:r w:rsidR="001A382C">
        <w:t xml:space="preserve">in the </w:t>
      </w:r>
      <w:r w:rsidR="001A382C" w:rsidRPr="00FB6C19">
        <w:t>areas of</w:t>
      </w:r>
      <w:r w:rsidR="001A382C" w:rsidRPr="006154E8">
        <w:rPr>
          <w:b/>
        </w:rPr>
        <w:t xml:space="preserve"> family and placement in care</w:t>
      </w:r>
      <w:r w:rsidR="001A382C">
        <w:t xml:space="preserve"> (both eight jurisdictions), </w:t>
      </w:r>
      <w:r w:rsidR="001A382C" w:rsidRPr="006154E8">
        <w:rPr>
          <w:b/>
        </w:rPr>
        <w:t>and offences</w:t>
      </w:r>
      <w:r w:rsidR="001A382C">
        <w:rPr>
          <w:b/>
        </w:rPr>
        <w:t xml:space="preserve"> committed below </w:t>
      </w:r>
      <w:r w:rsidR="00FB6C19">
        <w:rPr>
          <w:b/>
        </w:rPr>
        <w:t>MACR</w:t>
      </w:r>
      <w:r w:rsidR="001A382C">
        <w:rPr>
          <w:b/>
        </w:rPr>
        <w:t xml:space="preserve"> </w:t>
      </w:r>
      <w:r w:rsidR="001A382C" w:rsidRPr="002B0B53">
        <w:t>(six</w:t>
      </w:r>
      <w:r w:rsidR="001A382C">
        <w:t xml:space="preserve"> jurisdictions). The legal obligation to provide training applies least in the field of </w:t>
      </w:r>
      <w:r w:rsidR="001A382C" w:rsidRPr="006154E8">
        <w:rPr>
          <w:b/>
        </w:rPr>
        <w:t>education</w:t>
      </w:r>
      <w:r w:rsidR="001A382C">
        <w:t xml:space="preserve"> (three jurisdictions). </w:t>
      </w:r>
    </w:p>
    <w:p w:rsidR="001A382C" w:rsidRPr="00857161" w:rsidRDefault="001A382C" w:rsidP="00571F56">
      <w:pPr>
        <w:pStyle w:val="Heading4NoNumb"/>
        <w:ind w:firstLine="851"/>
      </w:pPr>
      <w:r w:rsidRPr="00857161">
        <w:t>Non-ma</w:t>
      </w:r>
      <w:r w:rsidRPr="009F3D8D">
        <w:t>ndatory training</w:t>
      </w:r>
      <w:r w:rsidR="007969A9">
        <w:t xml:space="preserve"> in communicating with children</w:t>
      </w:r>
      <w:r w:rsidRPr="00194C5C">
        <w:t xml:space="preserve"> (</w:t>
      </w:r>
      <w:r w:rsidRPr="00842FA5">
        <w:t>CivAdm097c)</w:t>
      </w:r>
    </w:p>
    <w:p w:rsidR="001A382C" w:rsidRDefault="001A382C" w:rsidP="00571F56">
      <w:pPr>
        <w:pStyle w:val="BodyText"/>
      </w:pPr>
      <w:r>
        <w:rPr>
          <w:b/>
        </w:rPr>
        <w:t>Non-mandatory t</w:t>
      </w:r>
      <w:r w:rsidRPr="00CE7269">
        <w:rPr>
          <w:b/>
        </w:rPr>
        <w:t>raining opportunities</w:t>
      </w:r>
      <w:r>
        <w:t xml:space="preserve"> for professionals on communicating with children involved in civil and administrative proceedings </w:t>
      </w:r>
      <w:r w:rsidR="00FB6C19">
        <w:t>exist</w:t>
      </w:r>
      <w:r>
        <w:t xml:space="preserve"> in 17 jurisdictions (AT, CY</w:t>
      </w:r>
      <w:r>
        <w:rPr>
          <w:rStyle w:val="FootnoteReference"/>
          <w:sz w:val="22"/>
          <w:szCs w:val="22"/>
        </w:rPr>
        <w:footnoteReference w:id="24"/>
      </w:r>
      <w:r>
        <w:t>, CZ, EE</w:t>
      </w:r>
      <w:r>
        <w:rPr>
          <w:rStyle w:val="FootnoteReference"/>
          <w:sz w:val="22"/>
          <w:szCs w:val="22"/>
        </w:rPr>
        <w:footnoteReference w:id="25"/>
      </w:r>
      <w:r>
        <w:t xml:space="preserve">, EL, FI, HR, IE, LT, LV, NL, PT, SE, SI, SK, UK-E&amp;W and UK-NI). </w:t>
      </w:r>
      <w:r w:rsidR="007969A9">
        <w:t xml:space="preserve">The opportunities are mostly available to judges. </w:t>
      </w:r>
    </w:p>
    <w:p w:rsidR="001A382C" w:rsidRDefault="001A382C" w:rsidP="00571F56">
      <w:pPr>
        <w:pStyle w:val="BodyText"/>
      </w:pPr>
      <w:r>
        <w:t>The</w:t>
      </w:r>
      <w:r w:rsidR="00FB6C19">
        <w:t>se</w:t>
      </w:r>
      <w:r>
        <w:t xml:space="preserve"> training opportunities exist most </w:t>
      </w:r>
      <w:r w:rsidR="00FB6C19">
        <w:t xml:space="preserve">frequently </w:t>
      </w:r>
      <w:r>
        <w:t xml:space="preserve">in the areas of </w:t>
      </w:r>
      <w:r w:rsidRPr="00CE7269">
        <w:rPr>
          <w:b/>
        </w:rPr>
        <w:t>family and placement in care</w:t>
      </w:r>
      <w:r w:rsidR="00FB6C19">
        <w:t xml:space="preserve"> (</w:t>
      </w:r>
      <w:r>
        <w:t>in all 17 jurisdictions concerned</w:t>
      </w:r>
      <w:r w:rsidR="00FB6C19">
        <w:t>)</w:t>
      </w:r>
      <w:r>
        <w:t xml:space="preserve">. The training is offered </w:t>
      </w:r>
      <w:r w:rsidR="00FB6C19">
        <w:t xml:space="preserve">to professionals </w:t>
      </w:r>
      <w:r>
        <w:t xml:space="preserve">least </w:t>
      </w:r>
      <w:r w:rsidR="00FB6C19">
        <w:t xml:space="preserve">frequently </w:t>
      </w:r>
      <w:r>
        <w:t xml:space="preserve">in the area of </w:t>
      </w:r>
      <w:r w:rsidRPr="00CE7269">
        <w:rPr>
          <w:b/>
        </w:rPr>
        <w:t>employment</w:t>
      </w:r>
      <w:r>
        <w:t xml:space="preserve"> (12 jurisdictions). In ten jurisdictions (AT, CZ, EE, HU, LT, LV, MT, NL, UK-E&amp;W and UK-NI) non-mandatory training is offered in all areas of law. In SE and SI such training provision is provided in all areas of law save offences committed below </w:t>
      </w:r>
      <w:r w:rsidR="00FB6C19">
        <w:t>MACR</w:t>
      </w:r>
      <w:r>
        <w:t xml:space="preserve">. In contrast, in CY non-mandatory training is available only in the fields of family and placement in care.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71F56" w:rsidTr="004017DA">
        <w:tc>
          <w:tcPr>
            <w:tcW w:w="8222" w:type="dxa"/>
            <w:shd w:val="clear" w:color="auto" w:fill="CDEBFF"/>
          </w:tcPr>
          <w:p w:rsidR="00571F56" w:rsidRPr="00571F56" w:rsidRDefault="00571F56" w:rsidP="00571F56">
            <w:pPr>
              <w:pStyle w:val="TableText"/>
              <w:rPr>
                <w:rFonts w:ascii="Calibri" w:hAnsi="Calibri"/>
                <w:b/>
                <w:color w:val="0067AC"/>
                <w:sz w:val="26"/>
                <w:szCs w:val="26"/>
              </w:rPr>
            </w:pPr>
            <w:r w:rsidRPr="00571F56">
              <w:rPr>
                <w:rFonts w:ascii="Calibri" w:hAnsi="Calibri"/>
                <w:b/>
                <w:color w:val="0067AC"/>
                <w:sz w:val="26"/>
                <w:szCs w:val="26"/>
              </w:rPr>
              <w:t>Provision and scope of training on the rights of children</w:t>
            </w:r>
          </w:p>
          <w:p w:rsidR="00571F56" w:rsidRDefault="00571F56" w:rsidP="00571F56">
            <w:pPr>
              <w:pStyle w:val="Bullet1"/>
            </w:pPr>
            <w:r>
              <w:t>Some form of training on the rights of children for professionals working for and with children in civil and administrative proceedings exists in 25 jurisdictions (the exceptions are BG, DE, DK, MT and RO).</w:t>
            </w:r>
          </w:p>
          <w:p w:rsidR="00571F56" w:rsidRDefault="00571F56" w:rsidP="00571F56">
            <w:pPr>
              <w:pStyle w:val="Bullet1"/>
            </w:pPr>
            <w:r>
              <w:t>In 17 jurisdictions, initial training programmes are provided to the professionals concerned, while continuous training programmes are provided in 18 jurisdictions.</w:t>
            </w:r>
          </w:p>
          <w:p w:rsidR="00571F56" w:rsidRDefault="00571F56" w:rsidP="00571F56">
            <w:pPr>
              <w:pStyle w:val="Bullet1"/>
            </w:pPr>
            <w:r>
              <w:t>The scope of the training varies across MS. Besides training on the rights of children from a purely legal perspective, in 13 jurisdictions there is a legal obligation to provide multidisciplinary training and in 10 jurisdictions it is mandatory for the professionals concerned to attend training on communicating with children.</w:t>
            </w:r>
          </w:p>
          <w:p w:rsidR="00571F56" w:rsidRPr="00571F56" w:rsidRDefault="00571F56" w:rsidP="00571F56">
            <w:pPr>
              <w:pStyle w:val="Bullet1"/>
            </w:pPr>
            <w:r>
              <w:t>The training requirements most frequently apply to professionals working with children involved in family and placement in care proceedings, and least frequently to professionals working with children involved in education, administrative sanctions and offences committed below MACR.</w:t>
            </w:r>
          </w:p>
        </w:tc>
      </w:tr>
    </w:tbl>
    <w:p w:rsidR="00571F56" w:rsidRDefault="00571F56" w:rsidP="00571F56">
      <w:pPr>
        <w:pStyle w:val="BodyText"/>
      </w:pPr>
      <w:r>
        <w:br w:type="page"/>
      </w:r>
    </w:p>
    <w:p w:rsidR="00977E06" w:rsidRDefault="008534B6" w:rsidP="00007D34">
      <w:pPr>
        <w:pStyle w:val="Heading1noPg"/>
      </w:pPr>
      <w:bookmarkStart w:id="174" w:name="_Toc406590153"/>
      <w:bookmarkStart w:id="175" w:name="_Toc408908717"/>
      <w:bookmarkStart w:id="176" w:name="_Toc365616807"/>
      <w:bookmarkStart w:id="177" w:name="_Toc365881779"/>
      <w:bookmarkStart w:id="178" w:name="_Toc371943963"/>
      <w:r>
        <w:t>S</w:t>
      </w:r>
      <w:r w:rsidR="00040180">
        <w:t>pecific safeguards in different areas of protection for c</w:t>
      </w:r>
      <w:r w:rsidR="00977E06">
        <w:t>hild-friendly justice</w:t>
      </w:r>
      <w:bookmarkEnd w:id="174"/>
      <w:bookmarkEnd w:id="175"/>
      <w:r w:rsidR="00977E06">
        <w:t xml:space="preserve"> </w:t>
      </w:r>
      <w:bookmarkEnd w:id="176"/>
      <w:bookmarkEnd w:id="177"/>
      <w:bookmarkEnd w:id="178"/>
    </w:p>
    <w:p w:rsidR="00D22AE0" w:rsidRPr="00AA10F3" w:rsidRDefault="00D22AE0" w:rsidP="00A7584E">
      <w:pPr>
        <w:pStyle w:val="Heading2"/>
      </w:pPr>
      <w:bookmarkStart w:id="179" w:name="_Toc406590154"/>
      <w:bookmarkStart w:id="180" w:name="_Toc408908718"/>
      <w:r w:rsidRPr="00AA10F3">
        <w:t>Introduction</w:t>
      </w:r>
      <w:bookmarkEnd w:id="179"/>
      <w:bookmarkEnd w:id="180"/>
    </w:p>
    <w:p w:rsidR="00EA46FD" w:rsidRDefault="00977E06" w:rsidP="00571F56">
      <w:pPr>
        <w:pStyle w:val="BodyText"/>
      </w:pPr>
      <w:r w:rsidRPr="004C752A">
        <w:t xml:space="preserve">This section </w:t>
      </w:r>
      <w:r w:rsidR="00D22AE0">
        <w:t>considers</w:t>
      </w:r>
      <w:r w:rsidRPr="004C752A">
        <w:t xml:space="preserve"> the extent </w:t>
      </w:r>
      <w:r w:rsidR="00F618BC" w:rsidRPr="00F618BC">
        <w:t xml:space="preserve">to which </w:t>
      </w:r>
      <w:r w:rsidR="008534B6">
        <w:t xml:space="preserve">legislation, policy and practice </w:t>
      </w:r>
      <w:r w:rsidR="00F618BC" w:rsidRPr="00F618BC">
        <w:t xml:space="preserve">are in place </w:t>
      </w:r>
      <w:r w:rsidR="00ED61E7">
        <w:t xml:space="preserve">in EU Member States </w:t>
      </w:r>
      <w:r w:rsidR="00F618BC" w:rsidRPr="00F618BC">
        <w:t>to ensure that children enjoy adequate treatment in civil and administrative judicial proceedings</w:t>
      </w:r>
      <w:r w:rsidR="00ED61E7">
        <w:t xml:space="preserve"> and the enforcement of court judgments</w:t>
      </w:r>
      <w:r w:rsidR="00F618BC" w:rsidRPr="00F618BC">
        <w:t>.</w:t>
      </w:r>
      <w:r w:rsidR="001A7B7E">
        <w:t xml:space="preserve"> The</w:t>
      </w:r>
      <w:r w:rsidR="00D22AE0">
        <w:t xml:space="preserve"> safeguards considered </w:t>
      </w:r>
      <w:r w:rsidR="00040180">
        <w:t>cover the following areas of protection</w:t>
      </w:r>
      <w:r w:rsidR="0086235B">
        <w:t>:</w:t>
      </w:r>
      <w:r w:rsidR="001A7B7E">
        <w:t xml:space="preserve"> procedural rules concerning </w:t>
      </w:r>
      <w:r w:rsidR="00ED61E7">
        <w:t>children’s</w:t>
      </w:r>
      <w:r w:rsidR="001A7B7E">
        <w:t xml:space="preserve"> right</w:t>
      </w:r>
      <w:r w:rsidR="00D22AE0">
        <w:t>s</w:t>
      </w:r>
      <w:r w:rsidR="001A7B7E">
        <w:t xml:space="preserve"> to access information and advice</w:t>
      </w:r>
      <w:r w:rsidR="00715704">
        <w:t xml:space="preserve"> (Section 4.2)</w:t>
      </w:r>
      <w:r w:rsidR="002367E2">
        <w:t>;</w:t>
      </w:r>
      <w:r w:rsidR="00050135">
        <w:t xml:space="preserve"> </w:t>
      </w:r>
      <w:r w:rsidR="00D22AE0">
        <w:t>procedures</w:t>
      </w:r>
      <w:r w:rsidR="00D22AE0" w:rsidRPr="00AA10F3">
        <w:t xml:space="preserve"> protecti</w:t>
      </w:r>
      <w:r w:rsidR="00D22AE0">
        <w:t>ng</w:t>
      </w:r>
    </w:p>
    <w:p w:rsidR="00EA46FD" w:rsidRPr="00007D34" w:rsidRDefault="00F8239C" w:rsidP="00571F56">
      <w:pPr>
        <w:pStyle w:val="BTBullet1"/>
        <w:rPr>
          <w:szCs w:val="22"/>
        </w:rPr>
      </w:pPr>
      <w:r>
        <w:rPr>
          <w:szCs w:val="22"/>
        </w:rPr>
        <w:t>T</w:t>
      </w:r>
      <w:r w:rsidR="00D22AE0" w:rsidRPr="00272897">
        <w:t>he child’s private and family life</w:t>
      </w:r>
      <w:r w:rsidR="00715704" w:rsidRPr="00CB3C84">
        <w:t xml:space="preserve"> (4.3)</w:t>
      </w:r>
      <w:r w:rsidR="00D22AE0" w:rsidRPr="00E607FB">
        <w:t>;</w:t>
      </w:r>
      <w:r w:rsidR="009461EA" w:rsidRPr="0068321E">
        <w:t xml:space="preserve"> </w:t>
      </w:r>
    </w:p>
    <w:p w:rsidR="00EA46FD" w:rsidRPr="00007D34" w:rsidRDefault="00F8239C" w:rsidP="00571F56">
      <w:pPr>
        <w:pStyle w:val="BTBullet1"/>
        <w:rPr>
          <w:szCs w:val="22"/>
        </w:rPr>
      </w:pPr>
      <w:r>
        <w:rPr>
          <w:szCs w:val="22"/>
        </w:rPr>
        <w:t>P</w:t>
      </w:r>
      <w:r w:rsidR="00715704" w:rsidRPr="00272897">
        <w:t>rovisions on t</w:t>
      </w:r>
      <w:r w:rsidR="009461EA" w:rsidRPr="00272897">
        <w:t>he child’s right to be heard and to particip</w:t>
      </w:r>
      <w:r w:rsidR="009461EA" w:rsidRPr="00CB3C84">
        <w:t>ate in civil and a</w:t>
      </w:r>
      <w:r w:rsidR="009461EA" w:rsidRPr="00E607FB">
        <w:t>dministrative judicial proceedings</w:t>
      </w:r>
      <w:r w:rsidR="00715704" w:rsidRPr="0068321E">
        <w:t xml:space="preserve"> (4.4.)</w:t>
      </w:r>
      <w:r w:rsidR="009461EA" w:rsidRPr="007A5E6C">
        <w:t xml:space="preserve">; </w:t>
      </w:r>
    </w:p>
    <w:p w:rsidR="00EA46FD" w:rsidRPr="00007D34" w:rsidRDefault="00F8239C" w:rsidP="00571F56">
      <w:pPr>
        <w:pStyle w:val="BTBullet1"/>
        <w:rPr>
          <w:szCs w:val="22"/>
        </w:rPr>
      </w:pPr>
      <w:r>
        <w:rPr>
          <w:szCs w:val="22"/>
        </w:rPr>
        <w:t>S</w:t>
      </w:r>
      <w:r w:rsidR="009461EA" w:rsidRPr="00272897">
        <w:t>afeguards to protect children from harm in judicial proceedings and during interviews</w:t>
      </w:r>
      <w:r w:rsidR="00715704" w:rsidRPr="00272897">
        <w:t xml:space="preserve"> (4.5)</w:t>
      </w:r>
      <w:r w:rsidR="009461EA" w:rsidRPr="00CB3C84">
        <w:t xml:space="preserve">; </w:t>
      </w:r>
    </w:p>
    <w:p w:rsidR="00EA46FD" w:rsidRPr="00007D34" w:rsidRDefault="00F8239C" w:rsidP="00571F56">
      <w:pPr>
        <w:pStyle w:val="BTBullet1"/>
        <w:rPr>
          <w:szCs w:val="22"/>
        </w:rPr>
      </w:pPr>
      <w:r>
        <w:rPr>
          <w:szCs w:val="22"/>
        </w:rPr>
        <w:t>P</w:t>
      </w:r>
      <w:r w:rsidR="00715704" w:rsidRPr="00272897">
        <w:t xml:space="preserve">rovisions on </w:t>
      </w:r>
      <w:r w:rsidR="00ED61E7" w:rsidRPr="00272897">
        <w:t>children’s</w:t>
      </w:r>
      <w:r w:rsidR="009461EA" w:rsidRPr="00CB3C84">
        <w:t>’ rights to legal counsel, legal assistance and representation</w:t>
      </w:r>
      <w:r w:rsidR="00715704" w:rsidRPr="00E607FB">
        <w:t xml:space="preserve"> (4.6)</w:t>
      </w:r>
      <w:r w:rsidR="009461EA" w:rsidRPr="0068321E">
        <w:t>;</w:t>
      </w:r>
    </w:p>
    <w:p w:rsidR="00EA46FD" w:rsidRPr="00007D34" w:rsidRDefault="00F8239C" w:rsidP="00571F56">
      <w:pPr>
        <w:pStyle w:val="BTBullet1"/>
        <w:rPr>
          <w:szCs w:val="22"/>
        </w:rPr>
      </w:pPr>
      <w:r>
        <w:rPr>
          <w:szCs w:val="22"/>
        </w:rPr>
        <w:t>P</w:t>
      </w:r>
      <w:r w:rsidR="00ED61E7" w:rsidRPr="00272897">
        <w:t>rovisi</w:t>
      </w:r>
      <w:r w:rsidR="00ED61E7" w:rsidRPr="00CB3C84">
        <w:t>ons providin</w:t>
      </w:r>
      <w:r w:rsidR="00ED61E7" w:rsidRPr="00E607FB">
        <w:t>g a</w:t>
      </w:r>
      <w:r w:rsidR="00715704" w:rsidRPr="0068321E">
        <w:t>ccess to and facilitating alternatives to judicial proceedings for children</w:t>
      </w:r>
      <w:r w:rsidR="00EB118D" w:rsidRPr="007A5E6C">
        <w:t xml:space="preserve"> (4.7); </w:t>
      </w:r>
    </w:p>
    <w:p w:rsidR="00EA46FD" w:rsidRPr="00007D34" w:rsidRDefault="00F8239C" w:rsidP="00571F56">
      <w:pPr>
        <w:pStyle w:val="BTBullet1"/>
        <w:rPr>
          <w:szCs w:val="22"/>
        </w:rPr>
      </w:pPr>
      <w:r>
        <w:rPr>
          <w:szCs w:val="22"/>
        </w:rPr>
        <w:t>L</w:t>
      </w:r>
      <w:r w:rsidR="00EB118D" w:rsidRPr="00272897">
        <w:t xml:space="preserve">imitations to restrictions on liberty for children (4.8); </w:t>
      </w:r>
    </w:p>
    <w:p w:rsidR="00EA46FD" w:rsidRPr="00007D34" w:rsidRDefault="00F8239C" w:rsidP="00571F56">
      <w:pPr>
        <w:pStyle w:val="BTBullet1"/>
        <w:rPr>
          <w:szCs w:val="22"/>
        </w:rPr>
      </w:pPr>
      <w:r>
        <w:rPr>
          <w:szCs w:val="22"/>
        </w:rPr>
        <w:t>P</w:t>
      </w:r>
      <w:r w:rsidR="00EB118D" w:rsidRPr="00272897">
        <w:t>roviding children with legal remedies and compensation for violation of rights or failure to act (4.9);</w:t>
      </w:r>
    </w:p>
    <w:p w:rsidR="00571F56" w:rsidRPr="00571F56" w:rsidRDefault="00F8239C" w:rsidP="00571F56">
      <w:pPr>
        <w:pStyle w:val="BTBullet1"/>
        <w:rPr>
          <w:szCs w:val="22"/>
        </w:rPr>
      </w:pPr>
      <w:r>
        <w:rPr>
          <w:szCs w:val="22"/>
        </w:rPr>
        <w:t>O</w:t>
      </w:r>
      <w:r w:rsidR="00EB118D" w:rsidRPr="00272897">
        <w:t xml:space="preserve">ffsetting the </w:t>
      </w:r>
      <w:r w:rsidR="00ED61E7" w:rsidRPr="00CB3C84">
        <w:t>l</w:t>
      </w:r>
      <w:r w:rsidR="00EB118D" w:rsidRPr="00E607FB">
        <w:t xml:space="preserve">egal costs to child defendants and plaintiffs (4.10); </w:t>
      </w:r>
      <w:r w:rsidR="00ED61E7" w:rsidRPr="0068321E">
        <w:t xml:space="preserve">and </w:t>
      </w:r>
    </w:p>
    <w:p w:rsidR="00EB118D" w:rsidRPr="00571F56" w:rsidRDefault="00F8239C" w:rsidP="00571F56">
      <w:pPr>
        <w:pStyle w:val="BTBullet1"/>
      </w:pPr>
      <w:r w:rsidRPr="00571F56">
        <w:t>T</w:t>
      </w:r>
      <w:r w:rsidR="00ED61E7" w:rsidRPr="00571F56">
        <w:t>he e</w:t>
      </w:r>
      <w:r w:rsidR="00EB118D" w:rsidRPr="00571F56">
        <w:t>nforcement of court judgments in a child friendly manner (4.11)</w:t>
      </w:r>
      <w:r w:rsidR="00ED61E7" w:rsidRPr="00571F56">
        <w:t xml:space="preserve"> </w:t>
      </w:r>
    </w:p>
    <w:p w:rsidR="00D734A5" w:rsidRDefault="00EF3AF4" w:rsidP="00A7584E">
      <w:pPr>
        <w:pStyle w:val="Heading2"/>
      </w:pPr>
      <w:bookmarkStart w:id="181" w:name="_Toc365616808"/>
      <w:bookmarkStart w:id="182" w:name="_Toc365881780"/>
      <w:bookmarkStart w:id="183" w:name="_Toc371943964"/>
      <w:bookmarkStart w:id="184" w:name="_Toc406590155"/>
      <w:bookmarkStart w:id="185" w:name="_Toc408908719"/>
      <w:r>
        <w:t>Children’s</w:t>
      </w:r>
      <w:r w:rsidR="00D22AE0">
        <w:t xml:space="preserve"> a</w:t>
      </w:r>
      <w:r w:rsidR="00977E06" w:rsidRPr="0085036F">
        <w:t>ccess to information and advice</w:t>
      </w:r>
      <w:bookmarkEnd w:id="181"/>
      <w:bookmarkEnd w:id="182"/>
      <w:bookmarkEnd w:id="183"/>
      <w:bookmarkEnd w:id="184"/>
      <w:bookmarkEnd w:id="185"/>
    </w:p>
    <w:p w:rsidR="00FB75C1" w:rsidRDefault="00FB75C1" w:rsidP="00571F56">
      <w:pPr>
        <w:pStyle w:val="BodyText"/>
      </w:pPr>
      <w:r>
        <w:t xml:space="preserve">Access to information and advice is critically important to the wellbeing of children in civil and administrative judicial proceedings. </w:t>
      </w:r>
      <w:r w:rsidR="008323B3">
        <w:t>This section considers t</w:t>
      </w:r>
      <w:r>
        <w:t xml:space="preserve">he presence or otherwise in MS of several </w:t>
      </w:r>
      <w:r w:rsidR="008323B3">
        <w:t xml:space="preserve">related </w:t>
      </w:r>
      <w:r>
        <w:t>safeguards, in particular:</w:t>
      </w:r>
      <w:r w:rsidR="008323B3">
        <w:t xml:space="preserve"> t</w:t>
      </w:r>
      <w:r w:rsidRPr="008323B3">
        <w:t xml:space="preserve">he right </w:t>
      </w:r>
      <w:r w:rsidR="008323B3">
        <w:t xml:space="preserve">of children </w:t>
      </w:r>
      <w:r w:rsidRPr="008323B3">
        <w:t>to information about rights and procedures</w:t>
      </w:r>
      <w:r w:rsidR="008323B3">
        <w:t>; t</w:t>
      </w:r>
      <w:r w:rsidRPr="008323B3">
        <w:t xml:space="preserve">he right </w:t>
      </w:r>
      <w:r w:rsidR="008323B3">
        <w:t xml:space="preserve">of children </w:t>
      </w:r>
      <w:r w:rsidRPr="008323B3">
        <w:t>to information on the consequences of participating in judicial proceedings</w:t>
      </w:r>
      <w:r w:rsidR="008323B3">
        <w:t>; the r</w:t>
      </w:r>
      <w:r w:rsidRPr="008323B3">
        <w:t xml:space="preserve">ight </w:t>
      </w:r>
      <w:r w:rsidR="008323B3">
        <w:t xml:space="preserve">of children </w:t>
      </w:r>
      <w:r w:rsidRPr="008323B3">
        <w:t xml:space="preserve">to </w:t>
      </w:r>
      <w:r w:rsidR="008323B3">
        <w:t xml:space="preserve">receive </w:t>
      </w:r>
      <w:r w:rsidRPr="008323B3">
        <w:t>information at first contact</w:t>
      </w:r>
      <w:r w:rsidR="008323B3">
        <w:t xml:space="preserve">; the </w:t>
      </w:r>
      <w:r w:rsidR="00540D26" w:rsidRPr="008323B3">
        <w:t>right to information in a child-friendly format</w:t>
      </w:r>
      <w:r w:rsidR="008323B3">
        <w:t>; and the availability of g</w:t>
      </w:r>
      <w:r w:rsidRPr="008323B3">
        <w:t>uidance (on the provision of information to children in judicial proceedings) to judicial or other competent authorities</w:t>
      </w:r>
      <w:r w:rsidR="008323B3">
        <w:t>.</w:t>
      </w:r>
    </w:p>
    <w:p w:rsidR="000872E5" w:rsidRPr="008323B3" w:rsidRDefault="00EF3AF4" w:rsidP="00571F56">
      <w:pPr>
        <w:pStyle w:val="Heading4NoNumb"/>
        <w:ind w:firstLine="851"/>
      </w:pPr>
      <w:r w:rsidRPr="008323B3">
        <w:t>The r</w:t>
      </w:r>
      <w:r w:rsidR="000872E5" w:rsidRPr="008323B3">
        <w:t xml:space="preserve">ight to information about rights and procedures </w:t>
      </w:r>
      <w:r w:rsidR="008323B3">
        <w:t>(CivA</w:t>
      </w:r>
      <w:r w:rsidR="000872E5" w:rsidRPr="008323B3">
        <w:t>dm068a)</w:t>
      </w:r>
    </w:p>
    <w:p w:rsidR="000872E5" w:rsidRDefault="00640FBA" w:rsidP="00571F56">
      <w:pPr>
        <w:pStyle w:val="BodyText"/>
      </w:pPr>
      <w:r>
        <w:t xml:space="preserve">In 24 MS </w:t>
      </w:r>
      <w:r w:rsidR="000872E5">
        <w:t xml:space="preserve">children involved in civil and administrative judicial proceedings </w:t>
      </w:r>
      <w:r>
        <w:t xml:space="preserve">have </w:t>
      </w:r>
      <w:r w:rsidR="000872E5">
        <w:t xml:space="preserve">the </w:t>
      </w:r>
      <w:r w:rsidR="000872E5" w:rsidRPr="001E69B4">
        <w:rPr>
          <w:b/>
        </w:rPr>
        <w:t xml:space="preserve">statutory right to receive information on </w:t>
      </w:r>
      <w:r w:rsidR="000872E5" w:rsidRPr="00457FA9">
        <w:rPr>
          <w:b/>
        </w:rPr>
        <w:t>the systems and procedures involved</w:t>
      </w:r>
      <w:r w:rsidR="000A7A4E">
        <w:rPr>
          <w:b/>
        </w:rPr>
        <w:t xml:space="preserve">. </w:t>
      </w:r>
      <w:r w:rsidRPr="008323B3">
        <w:t xml:space="preserve">The </w:t>
      </w:r>
      <w:r>
        <w:t>MS where this right does not exist are CY, EE, ES, IE, IT and SK.</w:t>
      </w:r>
      <w:r w:rsidR="00050135">
        <w:t xml:space="preserve"> </w:t>
      </w:r>
      <w:r w:rsidR="000A7A4E" w:rsidRPr="008323B3">
        <w:t>This information covers</w:t>
      </w:r>
      <w:r w:rsidR="005645D0">
        <w:t>:</w:t>
      </w:r>
      <w:r w:rsidR="000872E5" w:rsidRPr="00BD3F42">
        <w:t xml:space="preserve"> </w:t>
      </w:r>
      <w:r w:rsidR="005645D0">
        <w:t xml:space="preserve">the </w:t>
      </w:r>
      <w:r w:rsidR="000872E5" w:rsidRPr="00BD3F42">
        <w:t>consequences of the procedure</w:t>
      </w:r>
      <w:r w:rsidR="005645D0">
        <w:t>;</w:t>
      </w:r>
      <w:r w:rsidR="000872E5" w:rsidRPr="00BD3F42">
        <w:t xml:space="preserve"> </w:t>
      </w:r>
      <w:r>
        <w:t xml:space="preserve">the </w:t>
      </w:r>
      <w:r w:rsidR="000872E5" w:rsidRPr="00BD3F42">
        <w:t>time and place of court procedures</w:t>
      </w:r>
      <w:r w:rsidR="005645D0">
        <w:t>;</w:t>
      </w:r>
      <w:r w:rsidR="000872E5" w:rsidRPr="00BD3F42">
        <w:t xml:space="preserve"> progress and outcome of the procedure</w:t>
      </w:r>
      <w:r w:rsidR="005645D0">
        <w:t>;</w:t>
      </w:r>
      <w:r w:rsidR="000872E5" w:rsidRPr="00BD3F42">
        <w:t xml:space="preserve"> review of decisions affecting the child</w:t>
      </w:r>
      <w:r w:rsidR="005645D0">
        <w:t>;</w:t>
      </w:r>
      <w:r w:rsidR="000872E5" w:rsidRPr="00BD3F42">
        <w:t xml:space="preserve"> </w:t>
      </w:r>
      <w:r>
        <w:t xml:space="preserve">the </w:t>
      </w:r>
      <w:r w:rsidR="000872E5" w:rsidRPr="00BD3F42">
        <w:t>rights of remedy</w:t>
      </w:r>
      <w:r w:rsidR="005645D0">
        <w:t>; and,</w:t>
      </w:r>
      <w:r w:rsidR="00531400">
        <w:t xml:space="preserve"> the</w:t>
      </w:r>
      <w:r w:rsidR="000872E5" w:rsidRPr="00BD3F42">
        <w:t xml:space="preserve"> availability of support services.</w:t>
      </w:r>
      <w:r w:rsidR="000872E5">
        <w:rPr>
          <w:b/>
        </w:rPr>
        <w:t xml:space="preserve"> </w:t>
      </w:r>
    </w:p>
    <w:p w:rsidR="00531400" w:rsidRDefault="00640FBA" w:rsidP="00571F56">
      <w:pPr>
        <w:pStyle w:val="BodyText"/>
      </w:pPr>
      <w:r>
        <w:t xml:space="preserve">In 17 MS (AT, BE, BG, CZ, DE, DK, EL, FI, FR, HR, HU, LT, LU, LV, PL, PT, RO), the provision applies in all areas of law. The right </w:t>
      </w:r>
      <w:r w:rsidR="00363496">
        <w:t xml:space="preserve">applies </w:t>
      </w:r>
      <w:r w:rsidR="00531400">
        <w:t xml:space="preserve">most frequently in the areas of </w:t>
      </w:r>
      <w:r w:rsidR="00531400" w:rsidRPr="00531400">
        <w:rPr>
          <w:b/>
        </w:rPr>
        <w:t>family and placement into care</w:t>
      </w:r>
      <w:r w:rsidR="00531400">
        <w:t xml:space="preserve"> (22 jurisdictions each). The provision applies least frequently in the area of </w:t>
      </w:r>
      <w:r w:rsidR="00531400" w:rsidRPr="00834B1A">
        <w:rPr>
          <w:b/>
        </w:rPr>
        <w:t>offences committed below th</w:t>
      </w:r>
      <w:r w:rsidR="00531400">
        <w:rPr>
          <w:b/>
        </w:rPr>
        <w:t xml:space="preserve">e age of criminal responsibility </w:t>
      </w:r>
      <w:r w:rsidR="00531400">
        <w:t xml:space="preserve">(16 jurisdictions). </w:t>
      </w:r>
    </w:p>
    <w:p w:rsidR="000872E5" w:rsidRDefault="001854FF" w:rsidP="00571F56">
      <w:pPr>
        <w:pStyle w:val="BodyText"/>
      </w:pPr>
      <w:r>
        <w:rPr>
          <w:highlight w:val="yellow"/>
        </w:rPr>
        <w:fldChar w:fldCharType="begin"/>
      </w:r>
      <w:r>
        <w:instrText xml:space="preserve"> REF _Ref395829637 \r \h </w:instrText>
      </w:r>
      <w:r>
        <w:rPr>
          <w:highlight w:val="yellow"/>
        </w:rPr>
        <w:instrText xml:space="preserve"> \* MERGEFORMAT </w:instrText>
      </w:r>
      <w:r>
        <w:rPr>
          <w:highlight w:val="yellow"/>
        </w:rPr>
      </w:r>
      <w:r>
        <w:rPr>
          <w:highlight w:val="yellow"/>
        </w:rPr>
        <w:fldChar w:fldCharType="separate"/>
      </w:r>
      <w:r w:rsidR="000223E8">
        <w:t>Table A4.1</w:t>
      </w:r>
      <w:r>
        <w:rPr>
          <w:highlight w:val="yellow"/>
        </w:rPr>
        <w:fldChar w:fldCharType="end"/>
      </w:r>
      <w:r w:rsidR="000872E5">
        <w:t xml:space="preserve"> </w:t>
      </w:r>
      <w:r w:rsidR="00363496">
        <w:t>maps</w:t>
      </w:r>
      <w:r w:rsidR="000872E5">
        <w:t xml:space="preserve"> the coverage of this provision by area of law, role of the child and stage of </w:t>
      </w:r>
      <w:r w:rsidR="00A748E1">
        <w:t xml:space="preserve">the </w:t>
      </w:r>
      <w:r w:rsidR="000872E5">
        <w:t>proceeding</w:t>
      </w:r>
      <w:r w:rsidR="00A748E1">
        <w:t>s</w:t>
      </w:r>
      <w:r w:rsidR="000872E5">
        <w:t>.</w:t>
      </w:r>
    </w:p>
    <w:p w:rsidR="000872E5" w:rsidRDefault="00363496" w:rsidP="00571F56">
      <w:pPr>
        <w:pStyle w:val="BodyText"/>
      </w:pPr>
      <w:r>
        <w:t>T</w:t>
      </w:r>
      <w:r w:rsidR="000872E5">
        <w:t xml:space="preserve">he right to such information applies </w:t>
      </w:r>
      <w:r w:rsidR="0001529C">
        <w:t xml:space="preserve">most frequently </w:t>
      </w:r>
      <w:r w:rsidR="000872E5">
        <w:t>to children involved in the proceedings as plaintiffs</w:t>
      </w:r>
      <w:r w:rsidR="0001529C">
        <w:t>, next to defendants and witnesses,</w:t>
      </w:r>
      <w:r w:rsidR="000872E5">
        <w:t xml:space="preserve"> and only rarely </w:t>
      </w:r>
      <w:r>
        <w:t>as</w:t>
      </w:r>
      <w:r w:rsidR="000872E5">
        <w:t xml:space="preserve"> subjects.</w:t>
      </w:r>
    </w:p>
    <w:p w:rsidR="000872E5" w:rsidRDefault="00363496" w:rsidP="00571F56">
      <w:pPr>
        <w:pStyle w:val="BodyText"/>
      </w:pPr>
      <w:r>
        <w:t>Where t</w:t>
      </w:r>
      <w:r w:rsidR="000872E5">
        <w:t xml:space="preserve">he statutory right to receive information about rights and procedures </w:t>
      </w:r>
      <w:r w:rsidR="00435E3E">
        <w:t xml:space="preserve">exists, it </w:t>
      </w:r>
      <w:r w:rsidR="000872E5">
        <w:t>applies</w:t>
      </w:r>
      <w:r w:rsidR="00435E3E">
        <w:t xml:space="preserve"> at</w:t>
      </w:r>
      <w:r w:rsidR="000872E5">
        <w:t xml:space="preserve"> </w:t>
      </w:r>
      <w:r w:rsidR="000872E5" w:rsidRPr="0037179B">
        <w:rPr>
          <w:b/>
        </w:rPr>
        <w:t>all stages of proceedings</w:t>
      </w:r>
      <w:r>
        <w:rPr>
          <w:b/>
        </w:rPr>
        <w:t xml:space="preserve"> </w:t>
      </w:r>
      <w:r w:rsidRPr="000E4F27">
        <w:t>except</w:t>
      </w:r>
      <w:r w:rsidR="000E4F27">
        <w:t>:</w:t>
      </w:r>
      <w:r w:rsidRPr="000E4F27">
        <w:t xml:space="preserve"> in</w:t>
      </w:r>
      <w:r>
        <w:rPr>
          <w:b/>
        </w:rPr>
        <w:t xml:space="preserve"> </w:t>
      </w:r>
      <w:r w:rsidR="000872E5">
        <w:t xml:space="preserve">BG where it exists only </w:t>
      </w:r>
      <w:r w:rsidR="000872E5" w:rsidRPr="00256393">
        <w:t xml:space="preserve">during </w:t>
      </w:r>
      <w:r w:rsidR="000872E5">
        <w:t xml:space="preserve">proceedings and at </w:t>
      </w:r>
      <w:r>
        <w:t xml:space="preserve">the </w:t>
      </w:r>
      <w:r w:rsidR="000872E5" w:rsidRPr="00256393">
        <w:t>enforcement</w:t>
      </w:r>
      <w:r w:rsidR="000872E5">
        <w:t xml:space="preserve"> of decisions</w:t>
      </w:r>
      <w:r w:rsidR="00435E3E">
        <w:t xml:space="preserve"> stage</w:t>
      </w:r>
      <w:r w:rsidR="00692847">
        <w:t>; in</w:t>
      </w:r>
      <w:r w:rsidR="000872E5" w:rsidRPr="00256393">
        <w:t xml:space="preserve"> DE (not during</w:t>
      </w:r>
      <w:r w:rsidR="000872E5">
        <w:t xml:space="preserve"> proceedings</w:t>
      </w:r>
      <w:r w:rsidR="000872E5" w:rsidRPr="00256393">
        <w:t>)</w:t>
      </w:r>
      <w:r w:rsidR="00692847">
        <w:t>; in</w:t>
      </w:r>
      <w:r w:rsidR="000872E5" w:rsidRPr="00256393">
        <w:t xml:space="preserve"> MT (only before and during</w:t>
      </w:r>
      <w:r w:rsidR="000872E5">
        <w:t xml:space="preserve"> proceedings</w:t>
      </w:r>
      <w:r w:rsidR="000872E5" w:rsidRPr="00256393">
        <w:t>)</w:t>
      </w:r>
      <w:r w:rsidR="00692847">
        <w:t>;</w:t>
      </w:r>
      <w:r w:rsidR="00435E3E">
        <w:t xml:space="preserve"> in</w:t>
      </w:r>
      <w:r w:rsidR="000872E5" w:rsidRPr="00256393">
        <w:t xml:space="preserve"> PL (</w:t>
      </w:r>
      <w:r w:rsidR="000872E5">
        <w:t>n</w:t>
      </w:r>
      <w:r w:rsidR="00692847">
        <w:t>ot</w:t>
      </w:r>
      <w:r w:rsidR="000872E5" w:rsidRPr="00256393">
        <w:t xml:space="preserve"> before </w:t>
      </w:r>
      <w:r w:rsidR="000872E5">
        <w:t xml:space="preserve">proceedings </w:t>
      </w:r>
      <w:r w:rsidR="000872E5" w:rsidRPr="00256393">
        <w:t xml:space="preserve">in family </w:t>
      </w:r>
      <w:r w:rsidR="00692847">
        <w:t>and</w:t>
      </w:r>
      <w:r w:rsidR="000872E5" w:rsidRPr="00256393">
        <w:t xml:space="preserve"> employme</w:t>
      </w:r>
      <w:r w:rsidR="000872E5">
        <w:t>nt</w:t>
      </w:r>
      <w:r w:rsidR="00692847">
        <w:t xml:space="preserve"> law</w:t>
      </w:r>
      <w:r w:rsidR="000872E5">
        <w:t xml:space="preserve">) and </w:t>
      </w:r>
      <w:r w:rsidR="000872E5" w:rsidRPr="00256393">
        <w:t>SI (only during</w:t>
      </w:r>
      <w:r w:rsidR="000872E5">
        <w:t xml:space="preserve"> proceedings</w:t>
      </w:r>
      <w:r w:rsidR="000872E5" w:rsidRPr="00256393">
        <w:t>)</w:t>
      </w:r>
      <w:r w:rsidR="000872E5">
        <w:t>.</w:t>
      </w:r>
    </w:p>
    <w:p w:rsidR="00D734A5" w:rsidRDefault="00692847" w:rsidP="00571F56">
      <w:pPr>
        <w:pStyle w:val="BodyText"/>
      </w:pPr>
      <w:r>
        <w:t xml:space="preserve">Generally the </w:t>
      </w:r>
      <w:r w:rsidR="000872E5">
        <w:t xml:space="preserve">legislation </w:t>
      </w:r>
      <w:r>
        <w:t xml:space="preserve">providing the right </w:t>
      </w:r>
      <w:r w:rsidR="000872E5" w:rsidRPr="0037179B">
        <w:rPr>
          <w:b/>
        </w:rPr>
        <w:t>do</w:t>
      </w:r>
      <w:r>
        <w:rPr>
          <w:b/>
        </w:rPr>
        <w:t>es</w:t>
      </w:r>
      <w:r w:rsidR="000872E5" w:rsidRPr="0037179B">
        <w:rPr>
          <w:b/>
        </w:rPr>
        <w:t xml:space="preserve"> not contain child-specific provisions </w:t>
      </w:r>
      <w:r w:rsidR="000872E5">
        <w:t xml:space="preserve">on the right to receive information about procedures. Hence the general rules applicable to adults are </w:t>
      </w:r>
      <w:r>
        <w:t xml:space="preserve">also </w:t>
      </w:r>
      <w:r w:rsidR="000872E5">
        <w:t>applicable to children</w:t>
      </w:r>
      <w:r>
        <w:t>.</w:t>
      </w:r>
      <w:r w:rsidR="000872E5">
        <w:t xml:space="preserve"> When the child lacks procedural capacity </w:t>
      </w:r>
      <w:r w:rsidR="000E4F27">
        <w:t xml:space="preserve">(see above </w:t>
      </w:r>
      <w:r w:rsidR="000E4F27" w:rsidRPr="00780665">
        <w:rPr>
          <w:b/>
          <w:color w:val="0070C0"/>
        </w:rPr>
        <w:t xml:space="preserve">Section </w:t>
      </w:r>
      <w:r w:rsidR="000E4F27" w:rsidRPr="001854FF">
        <w:rPr>
          <w:b/>
          <w:color w:val="0067AC" w:themeColor="text2"/>
        </w:rPr>
        <w:fldChar w:fldCharType="begin"/>
      </w:r>
      <w:r w:rsidR="000E4F27" w:rsidRPr="001854FF">
        <w:rPr>
          <w:b/>
          <w:color w:val="0067AC" w:themeColor="text2"/>
        </w:rPr>
        <w:instrText xml:space="preserve"> REF _Ref395829672 \r \h  \* MERGEFORMAT </w:instrText>
      </w:r>
      <w:r w:rsidR="000E4F27" w:rsidRPr="001854FF">
        <w:rPr>
          <w:b/>
          <w:color w:val="0067AC" w:themeColor="text2"/>
        </w:rPr>
      </w:r>
      <w:r w:rsidR="000E4F27" w:rsidRPr="001854FF">
        <w:rPr>
          <w:b/>
          <w:color w:val="0067AC" w:themeColor="text2"/>
        </w:rPr>
        <w:fldChar w:fldCharType="separate"/>
      </w:r>
      <w:r w:rsidR="000223E8">
        <w:rPr>
          <w:b/>
          <w:color w:val="0067AC" w:themeColor="text2"/>
        </w:rPr>
        <w:t>3.3</w:t>
      </w:r>
      <w:r w:rsidR="000E4F27" w:rsidRPr="001854FF">
        <w:rPr>
          <w:b/>
          <w:color w:val="0067AC" w:themeColor="text2"/>
        </w:rPr>
        <w:fldChar w:fldCharType="end"/>
      </w:r>
      <w:r w:rsidR="000E4F27">
        <w:t xml:space="preserve"> on access to justice), </w:t>
      </w:r>
      <w:r w:rsidR="000872E5">
        <w:t>their legal representative is usually obliged to inform the child about the procedure in a child-friendly manner, and can in most MS also request information on their behalf.</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0872E5" w:rsidRPr="000F388C" w:rsidTr="0051500A">
        <w:tc>
          <w:tcPr>
            <w:tcW w:w="8222" w:type="dxa"/>
            <w:shd w:val="clear" w:color="auto" w:fill="CDEBFF"/>
          </w:tcPr>
          <w:p w:rsidR="000872E5" w:rsidRPr="00694BE0" w:rsidRDefault="000872E5" w:rsidP="00173CAC">
            <w:pPr>
              <w:pStyle w:val="BoxNumb"/>
              <w:numPr>
                <w:ilvl w:val="4"/>
                <w:numId w:val="27"/>
              </w:numPr>
              <w:rPr>
                <w:sz w:val="26"/>
                <w:szCs w:val="26"/>
              </w:rPr>
            </w:pPr>
            <w:r w:rsidRPr="00694BE0">
              <w:rPr>
                <w:sz w:val="26"/>
                <w:szCs w:val="26"/>
              </w:rPr>
              <w:t xml:space="preserve">France – ensuring access to information </w:t>
            </w:r>
          </w:p>
          <w:p w:rsidR="000872E5" w:rsidRPr="000872E5" w:rsidRDefault="000872E5" w:rsidP="000872E5">
            <w:pPr>
              <w:pStyle w:val="TableText"/>
              <w:rPr>
                <w:i/>
                <w:sz w:val="20"/>
                <w:szCs w:val="20"/>
              </w:rPr>
            </w:pPr>
            <w:r w:rsidRPr="000872E5">
              <w:rPr>
                <w:i/>
                <w:sz w:val="20"/>
                <w:szCs w:val="20"/>
              </w:rPr>
              <w:t>The role of the parents</w:t>
            </w:r>
          </w:p>
          <w:p w:rsidR="000872E5" w:rsidRPr="000872E5" w:rsidRDefault="000872E5" w:rsidP="000872E5">
            <w:pPr>
              <w:pStyle w:val="TableText"/>
              <w:rPr>
                <w:sz w:val="20"/>
                <w:szCs w:val="20"/>
              </w:rPr>
            </w:pPr>
            <w:r w:rsidRPr="000872E5">
              <w:rPr>
                <w:sz w:val="20"/>
                <w:szCs w:val="20"/>
              </w:rPr>
              <w:t>In France, there are no general requirements on providing information to children involved in civil and administrative judicial proceedings as children lack legal capacity. However, children must be involved by their parents in decisions that affect them, according to their age and level of maturity. Except in the case of emancipated children, parents have the authority to choose what information contained in court notifications to disclose to the child, if they believe it not to be contrary to his/her interests. In case the interests conflict, an administrator is appointed who takes over the role of the parents.</w:t>
            </w:r>
            <w:r w:rsidR="00050135">
              <w:rPr>
                <w:sz w:val="20"/>
                <w:szCs w:val="20"/>
              </w:rPr>
              <w:t xml:space="preserve"> </w:t>
            </w:r>
          </w:p>
          <w:p w:rsidR="000872E5" w:rsidRPr="000872E5" w:rsidRDefault="000872E5" w:rsidP="000872E5">
            <w:pPr>
              <w:pStyle w:val="TableText"/>
              <w:rPr>
                <w:sz w:val="20"/>
                <w:szCs w:val="20"/>
              </w:rPr>
            </w:pPr>
            <w:r w:rsidRPr="000872E5">
              <w:rPr>
                <w:sz w:val="20"/>
                <w:szCs w:val="20"/>
              </w:rPr>
              <w:t>When a summons directly concerns a child because s/he is the object of the proceedings or in a role similar to that of a witness, it must include information on the child’s right to be heard alone or with his/her lawyer or a person of his/her choice, that s/he can benefit from legal aid (</w:t>
            </w:r>
            <w:r w:rsidRPr="00007D34">
              <w:rPr>
                <w:i/>
                <w:sz w:val="20"/>
              </w:rPr>
              <w:t>aide juridictionnelle</w:t>
            </w:r>
            <w:r w:rsidRPr="000872E5">
              <w:rPr>
                <w:sz w:val="20"/>
                <w:szCs w:val="20"/>
              </w:rPr>
              <w:t xml:space="preserve">) and can therefore have his/her own lawyer. Parents are required to confirm in a written sworn statement that they informed their child of his/her right to be heard. </w:t>
            </w:r>
          </w:p>
          <w:p w:rsidR="000872E5" w:rsidRPr="000872E5" w:rsidRDefault="000872E5" w:rsidP="000872E5">
            <w:pPr>
              <w:pStyle w:val="TableText"/>
              <w:rPr>
                <w:i/>
                <w:sz w:val="20"/>
                <w:szCs w:val="20"/>
              </w:rPr>
            </w:pPr>
            <w:r w:rsidRPr="000872E5">
              <w:rPr>
                <w:i/>
                <w:sz w:val="20"/>
                <w:szCs w:val="20"/>
              </w:rPr>
              <w:t xml:space="preserve">The role of court professionals </w:t>
            </w:r>
          </w:p>
          <w:p w:rsidR="000872E5" w:rsidRPr="000872E5" w:rsidRDefault="000872E5" w:rsidP="000872E5">
            <w:pPr>
              <w:pStyle w:val="TableText"/>
              <w:rPr>
                <w:sz w:val="20"/>
                <w:szCs w:val="20"/>
              </w:rPr>
            </w:pPr>
            <w:r w:rsidRPr="000872E5">
              <w:rPr>
                <w:sz w:val="20"/>
                <w:szCs w:val="20"/>
              </w:rPr>
              <w:t>Some Public Prosecutors and Juvenile Court judges are specifically trained to deal with children involved in civil judicial proceedings. They therefore usually provide information to children when coming into contact with them</w:t>
            </w:r>
            <w:r w:rsidR="004424AB">
              <w:rPr>
                <w:sz w:val="20"/>
                <w:szCs w:val="20"/>
              </w:rPr>
              <w:t xml:space="preserve">. </w:t>
            </w:r>
            <w:r w:rsidRPr="000872E5">
              <w:rPr>
                <w:sz w:val="20"/>
                <w:szCs w:val="20"/>
              </w:rPr>
              <w:t xml:space="preserve"> Moreover, any judge may request that other professionals who are trained to deal with children also explain </w:t>
            </w:r>
            <w:r w:rsidR="004424AB">
              <w:rPr>
                <w:sz w:val="20"/>
                <w:szCs w:val="20"/>
              </w:rPr>
              <w:t xml:space="preserve">the situation </w:t>
            </w:r>
            <w:r w:rsidRPr="000872E5">
              <w:rPr>
                <w:sz w:val="20"/>
                <w:szCs w:val="20"/>
              </w:rPr>
              <w:t xml:space="preserve">to the child. Providing information is also largely considered to be the role of the child’s lawyer or that of any other professional legal representative such as the administrator. </w:t>
            </w:r>
          </w:p>
          <w:p w:rsidR="000872E5" w:rsidRPr="000872E5" w:rsidRDefault="000872E5" w:rsidP="000872E5">
            <w:pPr>
              <w:pStyle w:val="TableText"/>
              <w:rPr>
                <w:i/>
                <w:sz w:val="20"/>
                <w:szCs w:val="20"/>
              </w:rPr>
            </w:pPr>
            <w:r w:rsidRPr="000872E5">
              <w:rPr>
                <w:i/>
                <w:sz w:val="20"/>
                <w:szCs w:val="20"/>
              </w:rPr>
              <w:t xml:space="preserve">Support </w:t>
            </w:r>
            <w:r>
              <w:rPr>
                <w:i/>
                <w:sz w:val="20"/>
                <w:szCs w:val="20"/>
              </w:rPr>
              <w:t>s</w:t>
            </w:r>
            <w:r w:rsidRPr="000872E5">
              <w:rPr>
                <w:i/>
                <w:sz w:val="20"/>
                <w:szCs w:val="20"/>
              </w:rPr>
              <w:t>tructure</w:t>
            </w:r>
          </w:p>
          <w:p w:rsidR="000872E5" w:rsidRPr="0085036F" w:rsidRDefault="000872E5" w:rsidP="000872E5">
            <w:pPr>
              <w:pStyle w:val="TableText"/>
              <w:rPr>
                <w:sz w:val="24"/>
              </w:rPr>
            </w:pPr>
            <w:r w:rsidRPr="000872E5">
              <w:rPr>
                <w:sz w:val="20"/>
                <w:szCs w:val="20"/>
              </w:rPr>
              <w:t>The Paris Bar Association (barreau de Paris) has established a children’s office (antenne des mineurs). This office as well as other local Bar Associations and Youth houses (Maison des jeunes) provide children with free and confidential legal information or advice</w:t>
            </w:r>
            <w:r w:rsidRPr="0085036F">
              <w:rPr>
                <w:sz w:val="20"/>
                <w:szCs w:val="20"/>
              </w:rPr>
              <w:t xml:space="preserve">. </w:t>
            </w:r>
          </w:p>
        </w:tc>
      </w:tr>
    </w:tbl>
    <w:p w:rsidR="000872E5" w:rsidRPr="00CD5321" w:rsidRDefault="007C4F83" w:rsidP="00571F56">
      <w:pPr>
        <w:pStyle w:val="Heading4NoNumb"/>
        <w:ind w:left="851"/>
      </w:pPr>
      <w:r w:rsidRPr="00455958">
        <w:t>The r</w:t>
      </w:r>
      <w:r w:rsidR="000872E5" w:rsidRPr="00455958">
        <w:t xml:space="preserve">ight to information on the consequences of participating in judicial proceedings </w:t>
      </w:r>
      <w:r w:rsidR="000E4F27" w:rsidRPr="00CD5321">
        <w:t>(CivA</w:t>
      </w:r>
      <w:r w:rsidR="000872E5" w:rsidRPr="00CD5321">
        <w:t>dm071)</w:t>
      </w:r>
    </w:p>
    <w:p w:rsidR="000872E5" w:rsidRPr="00455958" w:rsidRDefault="000872E5" w:rsidP="00571F56">
      <w:pPr>
        <w:pStyle w:val="BodyText"/>
        <w:rPr>
          <w:b/>
        </w:rPr>
      </w:pPr>
      <w:r w:rsidRPr="00455958">
        <w:t xml:space="preserve">Twelve MS provide children with a </w:t>
      </w:r>
      <w:r w:rsidRPr="00455958">
        <w:rPr>
          <w:b/>
        </w:rPr>
        <w:t xml:space="preserve">statutory right to receive information on the consequences of participating in judicial proceedings. </w:t>
      </w:r>
      <w:r w:rsidRPr="00455958">
        <w:t xml:space="preserve">There is no </w:t>
      </w:r>
      <w:r w:rsidR="006678CB" w:rsidRPr="00455958">
        <w:t>a</w:t>
      </w:r>
      <w:r w:rsidRPr="00455958">
        <w:t xml:space="preserve">rea of law where this </w:t>
      </w:r>
      <w:r w:rsidR="00692847" w:rsidRPr="00455958">
        <w:t xml:space="preserve">right </w:t>
      </w:r>
      <w:r w:rsidR="00A95970" w:rsidRPr="00455958">
        <w:t>occurs particularly frequently or infrequently.</w:t>
      </w:r>
    </w:p>
    <w:p w:rsidR="000872E5" w:rsidRPr="00455958" w:rsidRDefault="00A95970" w:rsidP="00571F56">
      <w:pPr>
        <w:pStyle w:val="BodyText"/>
      </w:pPr>
      <w:r w:rsidRPr="00455958">
        <w:t>In s</w:t>
      </w:r>
      <w:r w:rsidR="000872E5" w:rsidRPr="00455958">
        <w:t xml:space="preserve">even MS (AT, BG, FI, FR, HU, HR, PL) </w:t>
      </w:r>
      <w:r w:rsidRPr="00455958">
        <w:t xml:space="preserve">the right </w:t>
      </w:r>
      <w:r w:rsidR="006678CB" w:rsidRPr="00455958">
        <w:t xml:space="preserve">applies in </w:t>
      </w:r>
      <w:r w:rsidR="000872E5" w:rsidRPr="00455958">
        <w:rPr>
          <w:b/>
        </w:rPr>
        <w:t>all areas of law</w:t>
      </w:r>
      <w:r w:rsidRPr="00455958">
        <w:rPr>
          <w:b/>
        </w:rPr>
        <w:t xml:space="preserve">. </w:t>
      </w:r>
      <w:r w:rsidRPr="00455958">
        <w:t>In</w:t>
      </w:r>
      <w:r w:rsidR="000872E5" w:rsidRPr="00455958">
        <w:t xml:space="preserve"> three MS (EE, SE and SI) </w:t>
      </w:r>
      <w:r w:rsidRPr="00455958">
        <w:t xml:space="preserve">it </w:t>
      </w:r>
      <w:r w:rsidR="006678CB" w:rsidRPr="00455958">
        <w:t xml:space="preserve">applies </w:t>
      </w:r>
      <w:r w:rsidR="000872E5" w:rsidRPr="00455958">
        <w:t xml:space="preserve">only </w:t>
      </w:r>
      <w:r w:rsidR="006678CB" w:rsidRPr="00455958">
        <w:t xml:space="preserve">in </w:t>
      </w:r>
      <w:r w:rsidR="000872E5" w:rsidRPr="00455958">
        <w:t>one area of law (respectively education, asylum, family). Of the 12 MS</w:t>
      </w:r>
      <w:r w:rsidR="000E4F27" w:rsidRPr="00455958">
        <w:t xml:space="preserve"> where a statutory right exists</w:t>
      </w:r>
      <w:r w:rsidR="000872E5" w:rsidRPr="00455958">
        <w:t>, EE is the only MS in which a statutory right to information on rights and procedures does not also exist.</w:t>
      </w:r>
    </w:p>
    <w:p w:rsidR="000872E5" w:rsidRPr="00455958" w:rsidRDefault="000872E5" w:rsidP="00571F56">
      <w:pPr>
        <w:pStyle w:val="BodyText"/>
      </w:pPr>
      <w:r w:rsidRPr="00455958">
        <w:t xml:space="preserve">In seven </w:t>
      </w:r>
      <w:r w:rsidR="004A5C62" w:rsidRPr="00455958">
        <w:t xml:space="preserve">MS </w:t>
      </w:r>
      <w:r w:rsidRPr="00455958">
        <w:t>(BG, FI, FR, HU, HR, PL and SI)</w:t>
      </w:r>
      <w:r w:rsidR="000E4F27" w:rsidRPr="00455958">
        <w:t>, the right</w:t>
      </w:r>
      <w:r w:rsidRPr="00455958">
        <w:t xml:space="preserve"> </w:t>
      </w:r>
      <w:r w:rsidR="004A5C62" w:rsidRPr="00455958">
        <w:t xml:space="preserve">applies to children in </w:t>
      </w:r>
      <w:r w:rsidRPr="00455958">
        <w:rPr>
          <w:b/>
        </w:rPr>
        <w:t>all roles</w:t>
      </w:r>
      <w:r w:rsidR="00A95970" w:rsidRPr="00455958">
        <w:t xml:space="preserve">. </w:t>
      </w:r>
      <w:r w:rsidR="000E4F27" w:rsidRPr="00455958">
        <w:t>It applies most frequentl</w:t>
      </w:r>
      <w:r w:rsidR="000E57FB" w:rsidRPr="00455958">
        <w:t xml:space="preserve">y to </w:t>
      </w:r>
      <w:r w:rsidR="000E57FB" w:rsidRPr="00455958">
        <w:rPr>
          <w:b/>
        </w:rPr>
        <w:t>child plaintiffs</w:t>
      </w:r>
      <w:r w:rsidR="000E57FB" w:rsidRPr="00455958">
        <w:t xml:space="preserve"> (12 jurisdictions), next to </w:t>
      </w:r>
      <w:r w:rsidR="000E57FB" w:rsidRPr="00455958">
        <w:rPr>
          <w:b/>
        </w:rPr>
        <w:t>child defendants</w:t>
      </w:r>
      <w:r w:rsidR="000E57FB" w:rsidRPr="00455958">
        <w:t xml:space="preserve"> (11 jurisdictions) and </w:t>
      </w:r>
      <w:r w:rsidR="000E57FB" w:rsidRPr="00455958">
        <w:rPr>
          <w:b/>
        </w:rPr>
        <w:t>child subjects</w:t>
      </w:r>
      <w:r w:rsidR="000E57FB" w:rsidRPr="00455958">
        <w:t xml:space="preserve"> (8 jurisdictions) and least to </w:t>
      </w:r>
      <w:r w:rsidR="000E57FB" w:rsidRPr="00455958">
        <w:rPr>
          <w:b/>
        </w:rPr>
        <w:t>child witnesses</w:t>
      </w:r>
      <w:r w:rsidR="000E57FB" w:rsidRPr="00455958">
        <w:t xml:space="preserve"> (7 jurisdictions). </w:t>
      </w:r>
      <w:r w:rsidR="00A95970" w:rsidRPr="00455958">
        <w:t>In</w:t>
      </w:r>
      <w:r w:rsidRPr="00455958">
        <w:t xml:space="preserve"> FI and HU it applies </w:t>
      </w:r>
      <w:r w:rsidR="00A95970" w:rsidRPr="00455958">
        <w:t xml:space="preserve">mainly to </w:t>
      </w:r>
      <w:r w:rsidRPr="00455958">
        <w:t>witnesses and plaintiffs. In DE the right only applies to plaintiffs.</w:t>
      </w:r>
    </w:p>
    <w:p w:rsidR="004A5C62" w:rsidRPr="00455958" w:rsidRDefault="004A5C62" w:rsidP="00571F56">
      <w:pPr>
        <w:pStyle w:val="BodyText"/>
      </w:pPr>
      <w:r w:rsidRPr="00455958">
        <w:t xml:space="preserve">The types of institutions responsible for providing the information to children </w:t>
      </w:r>
      <w:r w:rsidR="000E4F27" w:rsidRPr="00455958">
        <w:t>include</w:t>
      </w:r>
      <w:r w:rsidRPr="00455958">
        <w:t>:</w:t>
      </w:r>
    </w:p>
    <w:p w:rsidR="004A5C62" w:rsidRPr="00455958" w:rsidRDefault="000E4F27" w:rsidP="00571F56">
      <w:pPr>
        <w:pStyle w:val="BTBullet1"/>
      </w:pPr>
      <w:r w:rsidRPr="00455958">
        <w:t xml:space="preserve">Judges (e.g. in EE, HR, PL, PT and </w:t>
      </w:r>
      <w:r w:rsidR="004A5C62" w:rsidRPr="00455958">
        <w:t>SI</w:t>
      </w:r>
      <w:r w:rsidRPr="00455958">
        <w:t>);</w:t>
      </w:r>
    </w:p>
    <w:p w:rsidR="004A5C62" w:rsidRPr="00455958" w:rsidRDefault="000E4F27" w:rsidP="00571F56">
      <w:pPr>
        <w:pStyle w:val="BTBullet1"/>
      </w:pPr>
      <w:r w:rsidRPr="00455958">
        <w:t xml:space="preserve">Public prosecutors (e.g. in </w:t>
      </w:r>
      <w:r w:rsidR="004A5C62" w:rsidRPr="00455958">
        <w:t>PT</w:t>
      </w:r>
      <w:r w:rsidRPr="00455958">
        <w:t>);</w:t>
      </w:r>
    </w:p>
    <w:p w:rsidR="004A5C62" w:rsidRPr="00455958" w:rsidRDefault="000E4F27" w:rsidP="00571F56">
      <w:pPr>
        <w:pStyle w:val="BTBullet1"/>
      </w:pPr>
      <w:r w:rsidRPr="00455958">
        <w:t xml:space="preserve">Social workers (e.g. in </w:t>
      </w:r>
      <w:r w:rsidR="004A5C62" w:rsidRPr="00455958">
        <w:t>BG, DE, FI, HR, PT</w:t>
      </w:r>
      <w:r w:rsidRPr="00455958">
        <w:t xml:space="preserve"> and</w:t>
      </w:r>
      <w:r w:rsidR="004A5C62" w:rsidRPr="00455958">
        <w:t xml:space="preserve"> SI</w:t>
      </w:r>
      <w:r w:rsidRPr="00455958">
        <w:t>);</w:t>
      </w:r>
    </w:p>
    <w:p w:rsidR="004A5C62" w:rsidRPr="00455958" w:rsidRDefault="000E4F27" w:rsidP="00571F56">
      <w:pPr>
        <w:pStyle w:val="BTBullet1"/>
      </w:pPr>
      <w:r w:rsidRPr="00455958">
        <w:t>Guardians/custodians (e.g. in FI and</w:t>
      </w:r>
      <w:r w:rsidR="004A5C62" w:rsidRPr="00455958">
        <w:t xml:space="preserve"> FR</w:t>
      </w:r>
      <w:r w:rsidRPr="00455958">
        <w:t>);</w:t>
      </w:r>
    </w:p>
    <w:p w:rsidR="004A5C62" w:rsidRPr="00455958" w:rsidRDefault="000E4F27" w:rsidP="00571F56">
      <w:pPr>
        <w:pStyle w:val="BTBullet1"/>
      </w:pPr>
      <w:r w:rsidRPr="00455958">
        <w:t xml:space="preserve">Ombudsperson (e.g. in </w:t>
      </w:r>
      <w:r w:rsidR="004A5C62" w:rsidRPr="00455958">
        <w:t>AT</w:t>
      </w:r>
      <w:r w:rsidRPr="00455958">
        <w:t>);</w:t>
      </w:r>
    </w:p>
    <w:p w:rsidR="004A5C62" w:rsidRPr="00455958" w:rsidRDefault="000E4F27" w:rsidP="00571F56">
      <w:pPr>
        <w:pStyle w:val="BTBullet1"/>
      </w:pPr>
      <w:r w:rsidRPr="00455958">
        <w:t xml:space="preserve">Lawyers (e.g. in DE and </w:t>
      </w:r>
      <w:r w:rsidR="004A5C62" w:rsidRPr="00455958">
        <w:t>PL</w:t>
      </w:r>
      <w:r w:rsidRPr="00455958">
        <w:t>).</w:t>
      </w:r>
    </w:p>
    <w:p w:rsidR="000872E5" w:rsidRPr="00EB6A28" w:rsidRDefault="000872E5" w:rsidP="00571F56">
      <w:pPr>
        <w:pStyle w:val="Heading4NoNumb"/>
        <w:ind w:firstLine="851"/>
      </w:pPr>
      <w:r w:rsidRPr="00455958">
        <w:t>Right to information at first contact (</w:t>
      </w:r>
      <w:r w:rsidR="000E4F27" w:rsidRPr="00455958">
        <w:t>CivA</w:t>
      </w:r>
      <w:r w:rsidRPr="00455958">
        <w:t>dm068b)</w:t>
      </w:r>
    </w:p>
    <w:p w:rsidR="000872E5" w:rsidRDefault="000872E5" w:rsidP="00571F56">
      <w:pPr>
        <w:pStyle w:val="BodyText"/>
      </w:pPr>
      <w:r>
        <w:t xml:space="preserve">Ten jurisdictions (AT, DE, EL, FR, LU, NL, PL, PT, UK-E&amp;W and UK-NI) have a </w:t>
      </w:r>
      <w:r w:rsidRPr="00170659">
        <w:t>statutory provision ensuring that information should be provided at the child’s first contact with the judicial system or other competent authorities</w:t>
      </w:r>
      <w:r>
        <w:t xml:space="preserve"> (</w:t>
      </w:r>
      <w:r w:rsidRPr="008364FD">
        <w:t>e.g.</w:t>
      </w:r>
      <w:r w:rsidR="00224FDF">
        <w:t xml:space="preserve"> when contact is first made with </w:t>
      </w:r>
      <w:r w:rsidR="000E4F27">
        <w:t>the</w:t>
      </w:r>
      <w:r w:rsidRPr="008364FD">
        <w:t xml:space="preserve"> police, immigration, educational, social or healthcar</w:t>
      </w:r>
      <w:r>
        <w:t xml:space="preserve">e services). There is no area of law where this </w:t>
      </w:r>
      <w:r w:rsidR="00224FDF">
        <w:t xml:space="preserve">right </w:t>
      </w:r>
      <w:r w:rsidR="004A5C62">
        <w:t>occurs particularly frequently or infrequently</w:t>
      </w:r>
      <w:r>
        <w:t>.</w:t>
      </w:r>
    </w:p>
    <w:p w:rsidR="000872E5" w:rsidRPr="003A3B66" w:rsidRDefault="000E4F27" w:rsidP="00571F56">
      <w:pPr>
        <w:pStyle w:val="BodyText"/>
      </w:pPr>
      <w:r>
        <w:t>The right</w:t>
      </w:r>
      <w:r w:rsidR="00080D54">
        <w:t xml:space="preserve"> applies </w:t>
      </w:r>
      <w:r w:rsidR="00A36388">
        <w:t>in</w:t>
      </w:r>
      <w:r w:rsidR="000872E5">
        <w:t xml:space="preserve"> </w:t>
      </w:r>
      <w:r w:rsidR="000872E5" w:rsidRPr="00170659">
        <w:t>all areas of law</w:t>
      </w:r>
      <w:r w:rsidR="000872E5">
        <w:t xml:space="preserve"> in LU; and almost </w:t>
      </w:r>
      <w:r w:rsidR="00A36388">
        <w:t>in</w:t>
      </w:r>
      <w:r w:rsidR="000872E5">
        <w:t xml:space="preserve"> all areas of law in DE (except employment and offences committed below </w:t>
      </w:r>
      <w:r w:rsidR="00F52D17">
        <w:t xml:space="preserve">the </w:t>
      </w:r>
      <w:r>
        <w:t>MACR</w:t>
      </w:r>
      <w:r w:rsidR="000872E5">
        <w:t xml:space="preserve">) and in NL (except administrative sanctions and offences committed by children below the age of criminal responsibility). In contrast, in EL and PT the provision applies exclusively </w:t>
      </w:r>
      <w:r w:rsidR="00A36388">
        <w:t>in</w:t>
      </w:r>
      <w:r w:rsidR="000872E5">
        <w:t xml:space="preserve"> one area of law (offences committed by </w:t>
      </w:r>
      <w:r w:rsidR="00F52D17">
        <w:t xml:space="preserve">children </w:t>
      </w:r>
      <w:r>
        <w:t xml:space="preserve">below </w:t>
      </w:r>
      <w:r w:rsidR="00F52D17">
        <w:t>the</w:t>
      </w:r>
      <w:r>
        <w:t xml:space="preserve"> MACR</w:t>
      </w:r>
      <w:r w:rsidR="000872E5">
        <w:t xml:space="preserve"> and administrative sanctions, respectively). </w:t>
      </w:r>
    </w:p>
    <w:p w:rsidR="000872E5" w:rsidRPr="00455958" w:rsidRDefault="00080D54" w:rsidP="00571F56">
      <w:pPr>
        <w:pStyle w:val="BodyText"/>
      </w:pPr>
      <w:r>
        <w:t>W</w:t>
      </w:r>
      <w:r w:rsidR="000872E5">
        <w:t xml:space="preserve">here the right exists, it applies predominantly to </w:t>
      </w:r>
      <w:r w:rsidR="000872E5" w:rsidRPr="004C3027">
        <w:t>plaintiffs</w:t>
      </w:r>
      <w:r w:rsidR="007D5C67">
        <w:t xml:space="preserve"> and </w:t>
      </w:r>
      <w:r w:rsidR="000872E5" w:rsidRPr="004C3027">
        <w:t>defendants</w:t>
      </w:r>
      <w:r w:rsidR="000872E5">
        <w:t xml:space="preserve"> </w:t>
      </w:r>
      <w:r w:rsidR="007D5C67">
        <w:t xml:space="preserve">(in eight jurisdictions each, although in the case of plaintiffs the provision applies in more areas of law) </w:t>
      </w:r>
      <w:r w:rsidR="000872E5">
        <w:t>and subjects</w:t>
      </w:r>
      <w:r w:rsidR="00EA4ED5">
        <w:t xml:space="preserve"> (</w:t>
      </w:r>
      <w:r w:rsidR="00F52D17">
        <w:t>six</w:t>
      </w:r>
      <w:r w:rsidR="00EA4ED5">
        <w:t xml:space="preserve"> jurisdictions)</w:t>
      </w:r>
      <w:r w:rsidR="000872E5">
        <w:t xml:space="preserve">. </w:t>
      </w:r>
      <w:r w:rsidR="00A36388">
        <w:t>It applies only very rarely to wi</w:t>
      </w:r>
      <w:r w:rsidR="000872E5" w:rsidRPr="004C3027">
        <w:t>tnesses</w:t>
      </w:r>
      <w:r w:rsidR="00EA4ED5">
        <w:t xml:space="preserve"> (</w:t>
      </w:r>
      <w:r w:rsidR="00F52D17">
        <w:t>two</w:t>
      </w:r>
      <w:r w:rsidR="00EA4ED5">
        <w:t xml:space="preserve"> jurisdictions).</w:t>
      </w:r>
      <w:r w:rsidR="000872E5">
        <w:t xml:space="preserve"> In NL the right </w:t>
      </w:r>
      <w:r w:rsidR="00A36388">
        <w:t xml:space="preserve">applies </w:t>
      </w:r>
      <w:r w:rsidR="000872E5">
        <w:t xml:space="preserve">to all roles of the child. In FR, LU, UK-E&amp;W and UK-NI it applies to children as plaintiffs, defendants and subjects (in FR for subjects only in placement of care). In AT and DE the right applies to child plaintiffs and defendants, in EL only to defendants, in PT only to subjects, and in PL </w:t>
      </w:r>
      <w:r w:rsidR="000872E5" w:rsidRPr="00455958">
        <w:t xml:space="preserve">to witnesses, plaintiffs and defendants. </w:t>
      </w:r>
    </w:p>
    <w:p w:rsidR="000872E5" w:rsidRPr="000E4F27" w:rsidRDefault="007C4F83" w:rsidP="00571F56">
      <w:pPr>
        <w:pStyle w:val="Heading4NoNumb"/>
        <w:ind w:firstLine="851"/>
      </w:pPr>
      <w:r w:rsidRPr="00455958">
        <w:t>The r</w:t>
      </w:r>
      <w:r w:rsidR="000872E5" w:rsidRPr="00455958">
        <w:t xml:space="preserve">ight to information in a child-friendly format </w:t>
      </w:r>
      <w:r w:rsidR="000E4F27" w:rsidRPr="00CD5321">
        <w:t>(CivA</w:t>
      </w:r>
      <w:r w:rsidR="000872E5" w:rsidRPr="00CD5321">
        <w:t>dm076a)</w:t>
      </w:r>
      <w:r w:rsidR="00571F56">
        <w:br/>
      </w:r>
    </w:p>
    <w:p w:rsidR="000872E5" w:rsidRDefault="000872E5" w:rsidP="00571F56">
      <w:pPr>
        <w:pStyle w:val="BodyText"/>
      </w:pPr>
      <w:r>
        <w:t xml:space="preserve">The statutory right of children to receive information about </w:t>
      </w:r>
      <w:r w:rsidRPr="00170659">
        <w:rPr>
          <w:b/>
        </w:rPr>
        <w:t>rights and procedures in a child-friendly format</w:t>
      </w:r>
      <w:r>
        <w:t xml:space="preserve"> exists in six jurisdictions (DE, HU, NL, PT, UK-E&amp;W, UK-NI).</w:t>
      </w:r>
      <w:r w:rsidR="00A36388">
        <w:t xml:space="preserve"> In all six jurisdictions</w:t>
      </w:r>
      <w:r>
        <w:t xml:space="preserve">, </w:t>
      </w:r>
      <w:r w:rsidR="00A36388">
        <w:t xml:space="preserve">the right applies in </w:t>
      </w:r>
      <w:r>
        <w:t xml:space="preserve">the areas of </w:t>
      </w:r>
      <w:r w:rsidRPr="004C3027">
        <w:rPr>
          <w:b/>
        </w:rPr>
        <w:t>family and placement in care</w:t>
      </w:r>
      <w:r>
        <w:t xml:space="preserve">. </w:t>
      </w:r>
      <w:r w:rsidR="00080D54">
        <w:t xml:space="preserve">The </w:t>
      </w:r>
      <w:r w:rsidR="006C1ABA">
        <w:t xml:space="preserve">right applies in </w:t>
      </w:r>
      <w:r>
        <w:t xml:space="preserve">other areas of law </w:t>
      </w:r>
      <w:r w:rsidR="006C1ABA" w:rsidRPr="000E4F27">
        <w:t xml:space="preserve">in </w:t>
      </w:r>
      <w:r w:rsidRPr="000E4F27">
        <w:t>t</w:t>
      </w:r>
      <w:r w:rsidR="000E4F27" w:rsidRPr="000E4F27">
        <w:t>wo or t</w:t>
      </w:r>
      <w:r w:rsidRPr="000E4F27">
        <w:t>hree jurisdictions</w:t>
      </w:r>
      <w:r>
        <w:t xml:space="preserve">. </w:t>
      </w:r>
    </w:p>
    <w:p w:rsidR="000872E5" w:rsidRDefault="000872E5" w:rsidP="00571F56">
      <w:pPr>
        <w:pStyle w:val="BodyText"/>
      </w:pPr>
      <w:r>
        <w:t xml:space="preserve">In NL and HU the right covers </w:t>
      </w:r>
      <w:r w:rsidRPr="00170659">
        <w:rPr>
          <w:b/>
        </w:rPr>
        <w:t>all areas of law</w:t>
      </w:r>
      <w:r>
        <w:t xml:space="preserve">. In the other four jurisdictions (DE, PT, UK-E&amp;W and UK-NI), where the right exists, it covers the areas of family and placement in care. In addition, in DE </w:t>
      </w:r>
      <w:r w:rsidR="004678B6">
        <w:t>such a right also exists for</w:t>
      </w:r>
      <w:r>
        <w:t xml:space="preserve"> administrative sanctions, and in PT to the areas of asylum and offences committed by children below the </w:t>
      </w:r>
      <w:r w:rsidR="00F52D17">
        <w:t>MACR</w:t>
      </w:r>
      <w:r>
        <w:t>.</w:t>
      </w:r>
    </w:p>
    <w:p w:rsidR="000872E5" w:rsidRDefault="000872E5" w:rsidP="00571F56">
      <w:pPr>
        <w:pStyle w:val="BodyText"/>
      </w:pPr>
      <w:r>
        <w:t xml:space="preserve">In the six jurisdictions where the right to receive information in a child-friendly format exists, it </w:t>
      </w:r>
      <w:r w:rsidR="000E4F27">
        <w:t>applies</w:t>
      </w:r>
      <w:r w:rsidR="00A36388">
        <w:t xml:space="preserve"> most frequently to </w:t>
      </w:r>
      <w:r>
        <w:t xml:space="preserve">children as </w:t>
      </w:r>
      <w:r w:rsidRPr="00477D30">
        <w:rPr>
          <w:b/>
        </w:rPr>
        <w:t>plaintiffs</w:t>
      </w:r>
      <w:r>
        <w:t xml:space="preserve">. In HU and NL, </w:t>
      </w:r>
      <w:r w:rsidR="006C1ABA">
        <w:t xml:space="preserve">the right applies to </w:t>
      </w:r>
      <w:r>
        <w:t>all roles of the child, in PT, UK-E&amp;W and UK-NI the provision applies to plaintiffs, defendants and subjects, and in DE only to plaintiffs and defendants</w:t>
      </w:r>
      <w:r w:rsidR="006C1ABA">
        <w:t>.</w:t>
      </w:r>
      <w:r>
        <w:t xml:space="preserve"> </w:t>
      </w:r>
    </w:p>
    <w:p w:rsidR="000872E5" w:rsidRPr="000E4F27" w:rsidRDefault="007C4F83" w:rsidP="00571F56">
      <w:pPr>
        <w:pStyle w:val="Heading4NoNumb"/>
        <w:ind w:firstLine="851"/>
      </w:pPr>
      <w:r w:rsidRPr="000E4F27">
        <w:t>The p</w:t>
      </w:r>
      <w:r w:rsidR="000872E5" w:rsidRPr="000E4F27">
        <w:t>rovision of information taking account of special needs of the child (</w:t>
      </w:r>
      <w:r w:rsidR="000E4F27">
        <w:t>CivA</w:t>
      </w:r>
      <w:r w:rsidR="000872E5" w:rsidRPr="000E4F27">
        <w:t>dm076b)</w:t>
      </w:r>
    </w:p>
    <w:p w:rsidR="000872E5" w:rsidRDefault="006C1ABA" w:rsidP="00571F56">
      <w:pPr>
        <w:pStyle w:val="BodyText"/>
      </w:pPr>
      <w:r>
        <w:t>S</w:t>
      </w:r>
      <w:r w:rsidR="000872E5">
        <w:t xml:space="preserve">ix jurisdictions (DE, HR, NL, PT, UK-E&amp;W and UK-NI) provide children with a </w:t>
      </w:r>
      <w:r w:rsidR="000872E5" w:rsidRPr="000E4F27">
        <w:t>statutory right to obtain information in a</w:t>
      </w:r>
      <w:r w:rsidR="000872E5" w:rsidRPr="00170659">
        <w:rPr>
          <w:b/>
        </w:rPr>
        <w:t xml:space="preserve"> manner that takes into account any special needs</w:t>
      </w:r>
      <w:r w:rsidR="000872E5">
        <w:t xml:space="preserve">. </w:t>
      </w:r>
    </w:p>
    <w:p w:rsidR="000872E5" w:rsidRDefault="006C1ABA" w:rsidP="00571F56">
      <w:pPr>
        <w:pStyle w:val="BodyText"/>
      </w:pPr>
      <w:r>
        <w:t>W</w:t>
      </w:r>
      <w:r w:rsidR="000872E5">
        <w:t xml:space="preserve">here the right exists, it applies </w:t>
      </w:r>
      <w:r>
        <w:t>most often</w:t>
      </w:r>
      <w:r w:rsidR="000872E5">
        <w:t xml:space="preserve"> </w:t>
      </w:r>
      <w:r w:rsidR="00A36388">
        <w:t>in</w:t>
      </w:r>
      <w:r w:rsidR="000872E5">
        <w:t xml:space="preserve"> the area of </w:t>
      </w:r>
      <w:r w:rsidR="000872E5" w:rsidRPr="00D029B2">
        <w:rPr>
          <w:b/>
        </w:rPr>
        <w:t>placement in care</w:t>
      </w:r>
      <w:r w:rsidR="000872E5">
        <w:t xml:space="preserve"> (5 jurisdictions), whilst </w:t>
      </w:r>
      <w:r w:rsidR="00B10F3D">
        <w:t xml:space="preserve">it applies </w:t>
      </w:r>
      <w:r w:rsidR="00A36388">
        <w:t>in</w:t>
      </w:r>
      <w:r w:rsidR="00B10F3D">
        <w:t xml:space="preserve"> </w:t>
      </w:r>
      <w:r w:rsidR="000872E5">
        <w:t xml:space="preserve">the other areas of law </w:t>
      </w:r>
      <w:r w:rsidR="00B10F3D">
        <w:t>in</w:t>
      </w:r>
      <w:r w:rsidR="00A36388">
        <w:t xml:space="preserve"> </w:t>
      </w:r>
      <w:r w:rsidR="00B10F3D">
        <w:t>o</w:t>
      </w:r>
      <w:r w:rsidR="000872E5">
        <w:t xml:space="preserve">ne or two jurisdictions. </w:t>
      </w:r>
    </w:p>
    <w:p w:rsidR="000872E5" w:rsidRDefault="000872E5" w:rsidP="00571F56">
      <w:pPr>
        <w:pStyle w:val="BodyText"/>
      </w:pPr>
      <w:r>
        <w:t>In NL, th</w:t>
      </w:r>
      <w:r w:rsidR="00B10F3D">
        <w:t>e</w:t>
      </w:r>
      <w:r>
        <w:t xml:space="preserve"> right is provided </w:t>
      </w:r>
      <w:r w:rsidR="00B10F3D">
        <w:t>in</w:t>
      </w:r>
      <w:r>
        <w:t xml:space="preserve"> all areas of law. </w:t>
      </w:r>
      <w:r w:rsidR="00B10F3D">
        <w:t>Elsewhere t</w:t>
      </w:r>
      <w:r>
        <w:t xml:space="preserve">he </w:t>
      </w:r>
      <w:r w:rsidR="00A36388">
        <w:t xml:space="preserve">right applies in </w:t>
      </w:r>
      <w:r>
        <w:t xml:space="preserve">the areas of </w:t>
      </w:r>
      <w:r>
        <w:rPr>
          <w:b/>
        </w:rPr>
        <w:t>f</w:t>
      </w:r>
      <w:r w:rsidRPr="00170659">
        <w:rPr>
          <w:b/>
        </w:rPr>
        <w:t>amily and placement in care</w:t>
      </w:r>
      <w:r>
        <w:t xml:space="preserve"> except HR, where </w:t>
      </w:r>
      <w:r w:rsidR="00A36388">
        <w:t xml:space="preserve">it only applies in the area of </w:t>
      </w:r>
      <w:r>
        <w:t>health.</w:t>
      </w:r>
      <w:r w:rsidR="00050135">
        <w:t xml:space="preserve"> </w:t>
      </w:r>
      <w:r w:rsidR="00B10F3D">
        <w:t>T</w:t>
      </w:r>
      <w:r>
        <w:t xml:space="preserve">he provision </w:t>
      </w:r>
      <w:r w:rsidR="00B10F3D">
        <w:t xml:space="preserve">also applies </w:t>
      </w:r>
      <w:r w:rsidR="00A36388">
        <w:t xml:space="preserve">in the area of </w:t>
      </w:r>
      <w:r w:rsidRPr="006C11DB">
        <w:t xml:space="preserve">administrative sanctions (DE), </w:t>
      </w:r>
      <w:r w:rsidR="00B10F3D">
        <w:t xml:space="preserve">and </w:t>
      </w:r>
      <w:r w:rsidRPr="006C11DB">
        <w:t>asylum, migration and offences committed by children below the age of criminal responsibility</w:t>
      </w:r>
      <w:r>
        <w:t xml:space="preserve"> (PT).</w:t>
      </w:r>
    </w:p>
    <w:p w:rsidR="000872E5" w:rsidRPr="003A3B66" w:rsidRDefault="000872E5" w:rsidP="00571F56">
      <w:pPr>
        <w:pStyle w:val="BodyText"/>
      </w:pPr>
      <w:r>
        <w:t xml:space="preserve">The right to receive information in a manner that takes into account the special needs of the child applies to all </w:t>
      </w:r>
      <w:r w:rsidRPr="00170659">
        <w:rPr>
          <w:b/>
        </w:rPr>
        <w:t>roles of the child</w:t>
      </w:r>
      <w:r w:rsidR="00A36388">
        <w:rPr>
          <w:b/>
        </w:rPr>
        <w:t xml:space="preserve"> </w:t>
      </w:r>
      <w:r w:rsidR="00A36388" w:rsidRPr="00A36388">
        <w:t>across</w:t>
      </w:r>
      <w:r w:rsidR="00A36388">
        <w:rPr>
          <w:b/>
        </w:rPr>
        <w:t xml:space="preserve"> </w:t>
      </w:r>
      <w:r w:rsidR="00A36388">
        <w:t>different jurisdictions</w:t>
      </w:r>
      <w:r>
        <w:rPr>
          <w:b/>
        </w:rPr>
        <w:t xml:space="preserve">, </w:t>
      </w:r>
      <w:r>
        <w:t xml:space="preserve">but </w:t>
      </w:r>
      <w:r w:rsidR="00B10F3D">
        <w:t>most often</w:t>
      </w:r>
      <w:r>
        <w:t xml:space="preserve"> to plaintiffs, and least </w:t>
      </w:r>
      <w:r w:rsidR="00BE2C1E">
        <w:t xml:space="preserve">often </w:t>
      </w:r>
      <w:r>
        <w:t xml:space="preserve">to witnesses. In NL and PT the right applies to all roles of the child. In DE, the right applies to plaintiffs and defendants, and this right is extended, in addition to these two roles, to subjects in UK-E&amp;W and UK-NI. In HR the right only applies to subjects. </w:t>
      </w:r>
    </w:p>
    <w:p w:rsidR="000872E5" w:rsidRPr="00855D28" w:rsidRDefault="000872E5" w:rsidP="00571F56">
      <w:pPr>
        <w:pStyle w:val="Heading4NoNumb"/>
        <w:ind w:left="851"/>
      </w:pPr>
      <w:r w:rsidRPr="00855D28">
        <w:t xml:space="preserve">Guidance </w:t>
      </w:r>
      <w:r w:rsidR="00BE2C1E" w:rsidRPr="00855D28">
        <w:t xml:space="preserve">(on the provision of information to children in judicial proceedings) </w:t>
      </w:r>
      <w:r w:rsidRPr="00855D28">
        <w:t>to judicial or other competent authorities (</w:t>
      </w:r>
      <w:r w:rsidR="0063784A" w:rsidRPr="00855D28">
        <w:t>CivA</w:t>
      </w:r>
      <w:r w:rsidRPr="00855D28">
        <w:t>dmin 069)</w:t>
      </w:r>
    </w:p>
    <w:p w:rsidR="000872E5" w:rsidRDefault="000872E5" w:rsidP="00571F56">
      <w:pPr>
        <w:pStyle w:val="BodyText"/>
      </w:pPr>
      <w:r w:rsidRPr="00170659">
        <w:rPr>
          <w:b/>
        </w:rPr>
        <w:t xml:space="preserve">Guidance or codes of conduct </w:t>
      </w:r>
      <w:r w:rsidRPr="00855D28">
        <w:t>for judicial or other competent authorities</w:t>
      </w:r>
      <w:r w:rsidRPr="00170659">
        <w:rPr>
          <w:b/>
        </w:rPr>
        <w:t xml:space="preserve"> </w:t>
      </w:r>
      <w:r w:rsidRPr="002535D2">
        <w:t>(e.g. police, immigration, educational, social or healthcare services) to ensure that children receive information</w:t>
      </w:r>
      <w:r>
        <w:t xml:space="preserve"> are available in four jurisdictions (BE, PT, UK-E&amp;W, UK-NI). </w:t>
      </w:r>
    </w:p>
    <w:p w:rsidR="000872E5" w:rsidRDefault="00BE2C1E" w:rsidP="00571F56">
      <w:pPr>
        <w:pStyle w:val="BodyText"/>
      </w:pPr>
      <w:r>
        <w:t>In the</w:t>
      </w:r>
      <w:r w:rsidR="000872E5">
        <w:t xml:space="preserve"> four jurisdictions </w:t>
      </w:r>
      <w:r>
        <w:t>the safeguard applies in</w:t>
      </w:r>
      <w:r w:rsidR="001E7A37">
        <w:t xml:space="preserve"> the </w:t>
      </w:r>
      <w:r w:rsidR="0063784A">
        <w:t>area of</w:t>
      </w:r>
      <w:r w:rsidR="000872E5">
        <w:t xml:space="preserve"> </w:t>
      </w:r>
      <w:r w:rsidR="000872E5" w:rsidRPr="009E6ED2">
        <w:rPr>
          <w:b/>
        </w:rPr>
        <w:t>placement in care</w:t>
      </w:r>
      <w:r w:rsidR="000872E5">
        <w:t>. The</w:t>
      </w:r>
      <w:r>
        <w:t xml:space="preserve"> safeguard </w:t>
      </w:r>
      <w:r w:rsidR="0063784A">
        <w:t xml:space="preserve">applies in </w:t>
      </w:r>
      <w:r w:rsidR="000872E5">
        <w:t xml:space="preserve">all </w:t>
      </w:r>
      <w:r w:rsidR="000872E5" w:rsidRPr="00170659">
        <w:rPr>
          <w:b/>
        </w:rPr>
        <w:t>areas of law</w:t>
      </w:r>
      <w:r w:rsidR="000872E5">
        <w:t xml:space="preserve"> in BE, </w:t>
      </w:r>
      <w:r w:rsidR="0063784A">
        <w:t xml:space="preserve">in </w:t>
      </w:r>
      <w:r w:rsidR="000872E5">
        <w:t xml:space="preserve">three areas of law in PT (migration, placement in care, offences committed by children below </w:t>
      </w:r>
      <w:r w:rsidR="00855D28">
        <w:t>MACR</w:t>
      </w:r>
      <w:r w:rsidR="000872E5">
        <w:t xml:space="preserve">), and </w:t>
      </w:r>
      <w:r w:rsidR="0063784A">
        <w:t xml:space="preserve">in </w:t>
      </w:r>
      <w:r w:rsidR="000872E5">
        <w:t xml:space="preserve">two areas of law in UK-E&amp;W and UK-NI (family and placement in care). </w:t>
      </w:r>
    </w:p>
    <w:p w:rsidR="000872E5" w:rsidRDefault="0063784A" w:rsidP="00571F56">
      <w:pPr>
        <w:pStyle w:val="BodyText"/>
      </w:pPr>
      <w:r>
        <w:t xml:space="preserve">Where </w:t>
      </w:r>
      <w:r w:rsidR="000872E5">
        <w:t xml:space="preserve">guidance </w:t>
      </w:r>
      <w:r>
        <w:t xml:space="preserve">or </w:t>
      </w:r>
      <w:r w:rsidR="000872E5">
        <w:t xml:space="preserve">codes </w:t>
      </w:r>
      <w:r>
        <w:t xml:space="preserve">of conduct are </w:t>
      </w:r>
      <w:r w:rsidR="000872E5">
        <w:t xml:space="preserve">available, </w:t>
      </w:r>
      <w:r>
        <w:t xml:space="preserve">they apply to </w:t>
      </w:r>
      <w:r w:rsidR="000872E5" w:rsidRPr="00170659">
        <w:rPr>
          <w:b/>
        </w:rPr>
        <w:t>all roles of the child</w:t>
      </w:r>
      <w:r>
        <w:rPr>
          <w:b/>
        </w:rPr>
        <w:t xml:space="preserve"> </w:t>
      </w:r>
      <w:r>
        <w:t>across different jurisdictions. However, they apply most frequently to</w:t>
      </w:r>
      <w:r w:rsidR="000872E5">
        <w:t xml:space="preserve"> plaintiffs and defendants. In UK-E&amp;W and UK-NI the </w:t>
      </w:r>
      <w:r>
        <w:t xml:space="preserve">guidance </w:t>
      </w:r>
      <w:r w:rsidR="000872E5">
        <w:t xml:space="preserve">does not apply to witnesses.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71F56" w:rsidTr="004017DA">
        <w:tc>
          <w:tcPr>
            <w:tcW w:w="8222" w:type="dxa"/>
            <w:shd w:val="clear" w:color="auto" w:fill="CDEBFF"/>
          </w:tcPr>
          <w:p w:rsidR="00571F56" w:rsidRPr="00571F56" w:rsidRDefault="00571F56" w:rsidP="00571F56">
            <w:pPr>
              <w:pStyle w:val="TableText"/>
              <w:rPr>
                <w:rFonts w:ascii="Calibri" w:hAnsi="Calibri"/>
                <w:b/>
                <w:color w:val="0067AC"/>
                <w:sz w:val="26"/>
                <w:szCs w:val="26"/>
              </w:rPr>
            </w:pPr>
            <w:r w:rsidRPr="00571F56">
              <w:rPr>
                <w:rFonts w:ascii="Calibri" w:hAnsi="Calibri"/>
                <w:b/>
                <w:color w:val="0067AC"/>
                <w:sz w:val="26"/>
                <w:szCs w:val="26"/>
              </w:rPr>
              <w:t>Children’s access to information and advice</w:t>
            </w:r>
          </w:p>
          <w:p w:rsidR="00571F56" w:rsidRDefault="00571F56" w:rsidP="00571F56">
            <w:pPr>
              <w:pStyle w:val="Bullet1"/>
            </w:pPr>
            <w:r w:rsidRPr="00571F56">
              <w:t xml:space="preserve">In 24 MS children involved in civil and administrative judicial proceedings have a statutory right to receive information about their rights and the procedures involved. </w:t>
            </w:r>
          </w:p>
          <w:p w:rsidR="00571F56" w:rsidRDefault="00571F56" w:rsidP="00571F56">
            <w:pPr>
              <w:pStyle w:val="Bullet1"/>
            </w:pPr>
            <w:r w:rsidRPr="00571F56">
              <w:t xml:space="preserve">However, child-friendly or child-sensitive measures to fulfil and implement this right are less frequently in place. These include: the right to receive information on the consequences of participating in judicial proceedings (12 jurisdictions); the right to receive information at first contact with the judicial system or other competent authorities (ten jurisdictions); the provision of information about rights and procedures in a child-friendly format (six jurisdictions) or its provision in a manner that takes any special needs of the child into account (six jurisdictions); and, the provision of guidance aimed at judicial and other competent authorities on the provision of information to children (four jurisdictions). </w:t>
            </w:r>
          </w:p>
          <w:p w:rsidR="00571F56" w:rsidRDefault="00571F56" w:rsidP="00571F56">
            <w:pPr>
              <w:pStyle w:val="Bullet1"/>
            </w:pPr>
            <w:r w:rsidRPr="00571F56">
              <w:t>Where the safeguards exist, they apply most frequently to children involved as plaintiffs and defendants in family and placement in care proceedings.</w:t>
            </w:r>
          </w:p>
          <w:p w:rsidR="00571F56" w:rsidRPr="00571F56" w:rsidRDefault="00571F56" w:rsidP="00571F56">
            <w:pPr>
              <w:pStyle w:val="Bullet1"/>
            </w:pPr>
            <w:r w:rsidRPr="00571F56">
              <w:t>The limited amount of guidance on the provision of information to children to judicial and other competent authorities raises doubts as to how the safeguards are reflected in practice.</w:t>
            </w:r>
          </w:p>
        </w:tc>
      </w:tr>
    </w:tbl>
    <w:p w:rsidR="00D734A5" w:rsidRDefault="00D22AE0" w:rsidP="00A7584E">
      <w:pPr>
        <w:pStyle w:val="Heading2"/>
      </w:pPr>
      <w:bookmarkStart w:id="186" w:name="_Toc406590156"/>
      <w:bookmarkStart w:id="187" w:name="_Toc408908720"/>
      <w:r>
        <w:t>The p</w:t>
      </w:r>
      <w:r w:rsidR="00D734A5" w:rsidRPr="00D734A5">
        <w:t>rotection of the child’s private and family life</w:t>
      </w:r>
      <w:bookmarkEnd w:id="186"/>
      <w:bookmarkEnd w:id="187"/>
    </w:p>
    <w:p w:rsidR="00E02BF2" w:rsidRPr="005D3FF6" w:rsidRDefault="00E02BF2" w:rsidP="00571F56">
      <w:pPr>
        <w:pStyle w:val="BodyText"/>
        <w:rPr>
          <w:rFonts w:cs="Arial"/>
        </w:rPr>
      </w:pPr>
      <w:r w:rsidRPr="005D3FF6">
        <w:t xml:space="preserve">This section assesses the extent to which the protection of children’s privacy </w:t>
      </w:r>
      <w:r w:rsidR="00047671">
        <w:t xml:space="preserve">and family life </w:t>
      </w:r>
      <w:r w:rsidRPr="005D3FF6">
        <w:t xml:space="preserve">is </w:t>
      </w:r>
      <w:r w:rsidR="005D3FF6" w:rsidRPr="005D3FF6">
        <w:t>ensured</w:t>
      </w:r>
      <w:r w:rsidR="005D3FF6" w:rsidRPr="005D3FF6">
        <w:rPr>
          <w:rFonts w:cs="Arial"/>
        </w:rPr>
        <w:t xml:space="preserve"> by </w:t>
      </w:r>
      <w:r w:rsidRPr="005D3FF6">
        <w:rPr>
          <w:rFonts w:cs="Arial"/>
        </w:rPr>
        <w:t>considering whether the following safeguards exist in MS:</w:t>
      </w:r>
    </w:p>
    <w:p w:rsidR="00E02BF2" w:rsidRPr="00A7584E" w:rsidRDefault="00E02BF2" w:rsidP="00571F56">
      <w:pPr>
        <w:pStyle w:val="BTBullet1"/>
      </w:pPr>
      <w:r w:rsidRPr="00A7584E">
        <w:t>A statutory right to privacy;</w:t>
      </w:r>
    </w:p>
    <w:p w:rsidR="00E02BF2" w:rsidRPr="00A7584E" w:rsidRDefault="00E02BF2" w:rsidP="00571F56">
      <w:pPr>
        <w:pStyle w:val="BTBullet1"/>
      </w:pPr>
      <w:r w:rsidRPr="00A7584E">
        <w:t>Discretionary powers of the judge to order the disclosure/non-disclosure of information to third parties;</w:t>
      </w:r>
    </w:p>
    <w:p w:rsidR="00E02BF2" w:rsidRPr="00A7584E" w:rsidRDefault="00E02BF2" w:rsidP="00571F56">
      <w:pPr>
        <w:pStyle w:val="BTBullet1"/>
      </w:pPr>
      <w:r w:rsidRPr="00A7584E">
        <w:t>Statutory provision on the protection of personal data, especially in the context of processing, storing and transmitting court records;</w:t>
      </w:r>
    </w:p>
    <w:p w:rsidR="00E02BF2" w:rsidRPr="00A7584E" w:rsidRDefault="00E02BF2" w:rsidP="00571F56">
      <w:pPr>
        <w:pStyle w:val="BTBullet1"/>
      </w:pPr>
      <w:r w:rsidRPr="00A7584E">
        <w:rPr>
          <w:bCs/>
        </w:rPr>
        <w:t>Procedures to ensure that the records of children are kept strictly confidential and closed to third parties</w:t>
      </w:r>
      <w:r w:rsidRPr="00A7584E">
        <w:t>;</w:t>
      </w:r>
    </w:p>
    <w:p w:rsidR="00E02BF2" w:rsidRPr="00A7584E" w:rsidRDefault="00E02BF2" w:rsidP="00571F56">
      <w:pPr>
        <w:pStyle w:val="BTBullet1"/>
      </w:pPr>
      <w:r w:rsidRPr="00A7584E">
        <w:t>Mechanisms for the prevention of privacy rights violations by the media;</w:t>
      </w:r>
    </w:p>
    <w:p w:rsidR="00E02BF2" w:rsidRPr="00A7584E" w:rsidRDefault="00E02BF2" w:rsidP="00571F56">
      <w:pPr>
        <w:pStyle w:val="BTBullet1"/>
      </w:pPr>
      <w:r w:rsidRPr="00A7584E">
        <w:t>Media self-regulatory measures and the independent monitoring of these measures; and</w:t>
      </w:r>
      <w:r w:rsidR="00161CE2">
        <w:t>,</w:t>
      </w:r>
    </w:p>
    <w:p w:rsidR="00E02BF2" w:rsidRPr="00A7584E" w:rsidRDefault="00047671" w:rsidP="00571F56">
      <w:pPr>
        <w:pStyle w:val="BTBullet1"/>
      </w:pPr>
      <w:r>
        <w:t>S</w:t>
      </w:r>
      <w:r w:rsidR="00E02BF2" w:rsidRPr="00A7584E">
        <w:t>upport measures to avoid adverse consequences of the proceedings on family relations.</w:t>
      </w:r>
    </w:p>
    <w:p w:rsidR="005B4379" w:rsidRPr="0048589A" w:rsidRDefault="005B4379" w:rsidP="00571F56">
      <w:pPr>
        <w:pStyle w:val="Heading4NoNumb"/>
        <w:ind w:firstLine="851"/>
      </w:pPr>
      <w:r w:rsidRPr="0048589A">
        <w:t>Statutory right to privacy</w:t>
      </w:r>
      <w:r w:rsidRPr="00ED262F">
        <w:t xml:space="preserve"> </w:t>
      </w:r>
      <w:r w:rsidRPr="0048589A">
        <w:t>(CivAdm080a)</w:t>
      </w:r>
    </w:p>
    <w:p w:rsidR="005B4379" w:rsidRDefault="005B4379" w:rsidP="00571F56">
      <w:pPr>
        <w:pStyle w:val="BodyText"/>
      </w:pPr>
      <w:r>
        <w:t>The</w:t>
      </w:r>
      <w:r w:rsidRPr="009B7F45">
        <w:t xml:space="preserve"> statutory right to privacy involves</w:t>
      </w:r>
      <w:r>
        <w:t>, at minimum,</w:t>
      </w:r>
      <w:r w:rsidRPr="009B7F45">
        <w:t xml:space="preserve"> a prohibition on the part of any actor to reveal the identity of the child</w:t>
      </w:r>
      <w:r>
        <w:t xml:space="preserve"> </w:t>
      </w:r>
      <w:r w:rsidR="00047671">
        <w:t xml:space="preserve">involved in court proceedings. </w:t>
      </w:r>
      <w:r w:rsidRPr="00ED262F">
        <w:rPr>
          <w:lang w:val="en-US"/>
        </w:rPr>
        <w:t>To protect the identity of the child involved in court proceedings, the names and other personal information of the parties must</w:t>
      </w:r>
      <w:r w:rsidR="00047671">
        <w:rPr>
          <w:lang w:val="en-US"/>
        </w:rPr>
        <w:t xml:space="preserve"> also</w:t>
      </w:r>
      <w:r w:rsidRPr="00ED262F">
        <w:rPr>
          <w:lang w:val="en-US"/>
        </w:rPr>
        <w:t xml:space="preserve"> be concealed when publishing court judgments (e.g. BG and DE). </w:t>
      </w:r>
      <w:r w:rsidRPr="00912452">
        <w:t>In a number of MS, in addition, legal professionals must treat all information and data conce</w:t>
      </w:r>
      <w:r>
        <w:t>rning the case confidentially. FR</w:t>
      </w:r>
      <w:r w:rsidRPr="00912452">
        <w:t xml:space="preserve"> provides an example of this more comprehensive definition of the right to privacy </w:t>
      </w:r>
      <w:r>
        <w:t>(see</w:t>
      </w:r>
      <w:r w:rsidR="00047671">
        <w:t xml:space="preserve"> </w:t>
      </w:r>
      <w:r w:rsidR="00047671" w:rsidRPr="00047671">
        <w:rPr>
          <w:b/>
          <w:color w:val="0070C0"/>
        </w:rPr>
        <w:fldChar w:fldCharType="begin"/>
      </w:r>
      <w:r w:rsidR="00047671" w:rsidRPr="00047671">
        <w:rPr>
          <w:b/>
          <w:color w:val="0070C0"/>
        </w:rPr>
        <w:instrText xml:space="preserve"> REF _Ref398025823 \r \h  \* MERGEFORMAT </w:instrText>
      </w:r>
      <w:r w:rsidR="00047671" w:rsidRPr="00047671">
        <w:rPr>
          <w:b/>
          <w:color w:val="0070C0"/>
        </w:rPr>
      </w:r>
      <w:r w:rsidR="00047671" w:rsidRPr="00047671">
        <w:rPr>
          <w:b/>
          <w:color w:val="0070C0"/>
        </w:rPr>
        <w:fldChar w:fldCharType="separate"/>
      </w:r>
      <w:r w:rsidR="000223E8">
        <w:rPr>
          <w:b/>
          <w:color w:val="0070C0"/>
        </w:rPr>
        <w:t>Bo</w:t>
      </w:r>
      <w:r w:rsidR="000223E8">
        <w:rPr>
          <w:b/>
          <w:color w:val="0070C0"/>
        </w:rPr>
        <w:t>x</w:t>
      </w:r>
      <w:r w:rsidR="000223E8">
        <w:rPr>
          <w:b/>
          <w:color w:val="0070C0"/>
        </w:rPr>
        <w:t xml:space="preserve"> 6</w:t>
      </w:r>
      <w:r w:rsidR="00047671" w:rsidRPr="00047671">
        <w:rPr>
          <w:b/>
          <w:color w:val="0070C0"/>
        </w:rPr>
        <w:fldChar w:fldCharType="end"/>
      </w:r>
      <w:r>
        <w:t>).</w:t>
      </w:r>
    </w:p>
    <w:p w:rsidR="005B4379" w:rsidRPr="00047671" w:rsidRDefault="005B4379" w:rsidP="00571F56">
      <w:pPr>
        <w:pStyle w:val="BodyText"/>
        <w:rPr>
          <w:b/>
        </w:rPr>
      </w:pPr>
      <w:r w:rsidRPr="00ED262F">
        <w:t>I</w:t>
      </w:r>
      <w:r>
        <w:t>n all jurisdictions except CZ</w:t>
      </w:r>
      <w:r w:rsidRPr="00ED262F">
        <w:t xml:space="preserve">, </w:t>
      </w:r>
      <w:r>
        <w:t xml:space="preserve">DK and SK, </w:t>
      </w:r>
      <w:r w:rsidRPr="00ED262F">
        <w:t xml:space="preserve">children involved in </w:t>
      </w:r>
      <w:r>
        <w:t xml:space="preserve">civil and administrative </w:t>
      </w:r>
      <w:r w:rsidRPr="00ED262F">
        <w:t xml:space="preserve">judicial proceedings enjoy a </w:t>
      </w:r>
      <w:r w:rsidRPr="00ED262F">
        <w:rPr>
          <w:b/>
        </w:rPr>
        <w:t>statutory right to privacy</w:t>
      </w:r>
      <w:r>
        <w:rPr>
          <w:b/>
        </w:rPr>
        <w:t xml:space="preserve">. </w:t>
      </w:r>
      <w:r>
        <w:t xml:space="preserve">In DK and SK, court proceedings, including those involving children, are public unless the judge makes a non-disclosure order to the contrary. In some countries (e.g. ES, SE, UK-E&amp;W, UK-NI, </w:t>
      </w:r>
      <w:r w:rsidR="00CD7610">
        <w:t>UK-S</w:t>
      </w:r>
      <w:r>
        <w:t xml:space="preserve">), certain categories of information are subject to confidentiality rules, but not others. </w:t>
      </w:r>
    </w:p>
    <w:p w:rsidR="005B4379" w:rsidRDefault="005B4379" w:rsidP="00571F56">
      <w:pPr>
        <w:pStyle w:val="BodyText"/>
      </w:pPr>
      <w:r>
        <w:t xml:space="preserve">For example, in SE, </w:t>
      </w:r>
      <w:r w:rsidRPr="005F27A4">
        <w:t>information before the court is public unless subject to confidentiality</w:t>
      </w:r>
      <w:r>
        <w:t xml:space="preserve"> rules</w:t>
      </w:r>
      <w:r w:rsidRPr="005F27A4">
        <w:t xml:space="preserve">, and the tests for confidentiality are clearly delineated in </w:t>
      </w:r>
      <w:r>
        <w:t>legislation. The confidentiality rules in SE are also more extensive in certain areas of law (namely, migration, asylum, health and placement into care) than others.</w:t>
      </w:r>
    </w:p>
    <w:p w:rsidR="005B4379" w:rsidRPr="00ED262F" w:rsidRDefault="005B4379" w:rsidP="00571F56">
      <w:pPr>
        <w:pStyle w:val="BodyText"/>
      </w:pPr>
      <w:r>
        <w:t>Where a statutory right to privacy exists for children, t</w:t>
      </w:r>
      <w:r w:rsidRPr="00ED262F">
        <w:t>he overall coverage of areas of law is extensive. The right to privacy applies most</w:t>
      </w:r>
      <w:r w:rsidR="00047671">
        <w:t xml:space="preserve"> frequently</w:t>
      </w:r>
      <w:r w:rsidRPr="00ED262F">
        <w:t xml:space="preserve"> in the </w:t>
      </w:r>
      <w:r w:rsidRPr="00ED262F">
        <w:rPr>
          <w:b/>
        </w:rPr>
        <w:t xml:space="preserve">areas of placement </w:t>
      </w:r>
      <w:r>
        <w:rPr>
          <w:b/>
        </w:rPr>
        <w:t xml:space="preserve">into </w:t>
      </w:r>
      <w:r w:rsidRPr="00ED262F">
        <w:rPr>
          <w:b/>
        </w:rPr>
        <w:t>care and family</w:t>
      </w:r>
      <w:r w:rsidRPr="00ED262F">
        <w:t xml:space="preserve"> (26 and 25 jurisdictions respectively), and least </w:t>
      </w:r>
      <w:r>
        <w:t xml:space="preserve">often </w:t>
      </w:r>
      <w:r w:rsidRPr="00ED262F">
        <w:t xml:space="preserve">in the areas of </w:t>
      </w:r>
      <w:r w:rsidRPr="00D532F3">
        <w:rPr>
          <w:b/>
        </w:rPr>
        <w:t xml:space="preserve">offences committed by children below </w:t>
      </w:r>
      <w:r w:rsidR="00D50305">
        <w:rPr>
          <w:b/>
        </w:rPr>
        <w:t>MACR</w:t>
      </w:r>
      <w:r w:rsidRPr="00ED262F">
        <w:t xml:space="preserve">. However, the right to privacy still applies in these areas in the majority of jurisdictions (19 and 20 jurisdictions respectively). </w:t>
      </w:r>
    </w:p>
    <w:p w:rsidR="005B4379" w:rsidRPr="00ED262F" w:rsidRDefault="005B4379" w:rsidP="00571F56">
      <w:pPr>
        <w:pStyle w:val="BodyText"/>
      </w:pPr>
      <w:r w:rsidRPr="00ED262F">
        <w:t xml:space="preserve">In 13 jurisdictions (BE, BG, CY, EE, EL, FI, HR, HU, LT, LU, LV, PL and RO) the child’s right to privacy concerns </w:t>
      </w:r>
      <w:r w:rsidRPr="00D532F3">
        <w:rPr>
          <w:b/>
        </w:rPr>
        <w:t>all areas of law</w:t>
      </w:r>
      <w:r w:rsidRPr="00ED262F">
        <w:t xml:space="preserve">. It applies in all areas except one in five jurisdictions (offences committed below the </w:t>
      </w:r>
      <w:r w:rsidR="008E34AB">
        <w:t>minimum</w:t>
      </w:r>
      <w:r w:rsidRPr="00ED262F">
        <w:t xml:space="preserve"> age of criminal responsibility in ES, FR, SE, SI, and all except administrative sanctions in IT). In terms of least coverage, in MT the right to privacy applies solely in </w:t>
      </w:r>
      <w:r>
        <w:t xml:space="preserve">the area of </w:t>
      </w:r>
      <w:r w:rsidRPr="00ED262F">
        <w:t>education.</w:t>
      </w:r>
    </w:p>
    <w:p w:rsidR="005B4379" w:rsidRPr="00ED262F" w:rsidRDefault="005B4379" w:rsidP="00571F56">
      <w:pPr>
        <w:pStyle w:val="BodyText"/>
      </w:pPr>
      <w:r w:rsidRPr="00ED262F">
        <w:t xml:space="preserve">Where the right to privacy is enshrined, it applies most </w:t>
      </w:r>
      <w:r>
        <w:t xml:space="preserve">often </w:t>
      </w:r>
      <w:r w:rsidRPr="00ED262F">
        <w:t xml:space="preserve">to child </w:t>
      </w:r>
      <w:r w:rsidRPr="00ED262F">
        <w:rPr>
          <w:b/>
        </w:rPr>
        <w:t>plaintiffs</w:t>
      </w:r>
      <w:r>
        <w:rPr>
          <w:b/>
        </w:rPr>
        <w:t xml:space="preserve">, defendants and witnesses </w:t>
      </w:r>
      <w:r w:rsidRPr="00EA4ED5">
        <w:t>(27 jurisdictions each),</w:t>
      </w:r>
      <w:r>
        <w:t xml:space="preserve"> although in the case of plaintiffs, the provision applies in more areas of law than in the case of defendants and witnesses</w:t>
      </w:r>
      <w:r w:rsidRPr="00EA4ED5">
        <w:t xml:space="preserve"> </w:t>
      </w:r>
      <w:r>
        <w:t>and less</w:t>
      </w:r>
      <w:r w:rsidRPr="00ED262F">
        <w:t xml:space="preserve"> </w:t>
      </w:r>
      <w:r>
        <w:t xml:space="preserve">often </w:t>
      </w:r>
      <w:r w:rsidRPr="00ED262F">
        <w:t xml:space="preserve">to </w:t>
      </w:r>
      <w:r w:rsidRPr="00ED262F">
        <w:rPr>
          <w:b/>
        </w:rPr>
        <w:t>subjects</w:t>
      </w:r>
      <w:r>
        <w:t xml:space="preserve"> (23 jurisdictions, but in very few areas of law).</w:t>
      </w:r>
      <w:r w:rsidRPr="00ED262F">
        <w:t xml:space="preserve"> </w:t>
      </w:r>
      <w:r>
        <w:t>In eight</w:t>
      </w:r>
      <w:r w:rsidRPr="00ED262F">
        <w:t xml:space="preserve"> jurisdictions</w:t>
      </w:r>
      <w:r>
        <w:t xml:space="preserve"> (CY, EE, IE, HR, IT, LU, UK-E&amp;W, UK-NI), the right applies</w:t>
      </w:r>
      <w:r w:rsidRPr="00ED262F">
        <w:t xml:space="preserve"> to all roles of the child</w:t>
      </w:r>
      <w:r>
        <w:t>.</w:t>
      </w:r>
      <w:r w:rsidRPr="00ED262F">
        <w:t xml:space="preserve"> </w:t>
      </w:r>
    </w:p>
    <w:p w:rsidR="005B4379" w:rsidRDefault="005B4379" w:rsidP="00571F56">
      <w:pPr>
        <w:pStyle w:val="BodyText"/>
      </w:pPr>
      <w:r w:rsidRPr="00ED262F">
        <w:t>The</w:t>
      </w:r>
      <w:r>
        <w:t xml:space="preserve"> right to privacy</w:t>
      </w:r>
      <w:r w:rsidRPr="00ED262F">
        <w:t xml:space="preserve"> applies </w:t>
      </w:r>
      <w:r>
        <w:t xml:space="preserve">to children concerned </w:t>
      </w:r>
      <w:r w:rsidRPr="00ED262F">
        <w:t xml:space="preserve">at </w:t>
      </w:r>
      <w:r w:rsidRPr="00ED262F">
        <w:rPr>
          <w:b/>
        </w:rPr>
        <w:t>all stages of the proceeding</w:t>
      </w:r>
      <w:r w:rsidRPr="00ED262F">
        <w:t xml:space="preserve"> in all jurisdictions, except in HR, where it applies only </w:t>
      </w:r>
      <w:r w:rsidRPr="00ED262F">
        <w:rPr>
          <w:b/>
        </w:rPr>
        <w:t>during</w:t>
      </w:r>
      <w:r w:rsidRPr="00ED262F">
        <w:t xml:space="preserve"> the proceeding</w:t>
      </w:r>
      <w:r>
        <w:t>s</w:t>
      </w:r>
      <w:r w:rsidRPr="00ED262F">
        <w:t xml:space="preserve">. </w:t>
      </w:r>
    </w:p>
    <w:p w:rsidR="005B4379" w:rsidRPr="00ED262F" w:rsidRDefault="00735DBA" w:rsidP="00571F56">
      <w:pPr>
        <w:pStyle w:val="BodyText"/>
        <w:rPr>
          <w:rFonts w:eastAsia="Times New Roman"/>
          <w:lang w:val="en-US"/>
        </w:rPr>
      </w:pPr>
      <w:r w:rsidRPr="00735DBA">
        <w:rPr>
          <w:b/>
          <w:color w:val="0070C0"/>
        </w:rPr>
        <w:fldChar w:fldCharType="begin"/>
      </w:r>
      <w:r w:rsidRPr="00735DBA">
        <w:rPr>
          <w:b/>
          <w:color w:val="0070C0"/>
        </w:rPr>
        <w:instrText xml:space="preserve"> REF _Ref395829784 \r \h  \* MERGEFORMAT </w:instrText>
      </w:r>
      <w:r w:rsidRPr="00735DBA">
        <w:rPr>
          <w:b/>
          <w:color w:val="0070C0"/>
        </w:rPr>
      </w:r>
      <w:r w:rsidRPr="00735DBA">
        <w:rPr>
          <w:b/>
          <w:color w:val="0070C0"/>
        </w:rPr>
        <w:fldChar w:fldCharType="separate"/>
      </w:r>
      <w:r w:rsidR="000223E8">
        <w:rPr>
          <w:b/>
          <w:color w:val="0070C0"/>
        </w:rPr>
        <w:t>Table A4.2</w:t>
      </w:r>
      <w:r w:rsidRPr="00735DBA">
        <w:rPr>
          <w:b/>
          <w:color w:val="0070C0"/>
        </w:rPr>
        <w:fldChar w:fldCharType="end"/>
      </w:r>
      <w:r>
        <w:t xml:space="preserve"> maps the coverage of this provision by area of law, role of the child and stage of the proceedings.</w:t>
      </w:r>
    </w:p>
    <w:tbl>
      <w:tblPr>
        <w:tblW w:w="0" w:type="auto"/>
        <w:tblInd w:w="895"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CellMar>
          <w:top w:w="57" w:type="dxa"/>
          <w:left w:w="85" w:type="dxa"/>
          <w:bottom w:w="57" w:type="dxa"/>
          <w:right w:w="85" w:type="dxa"/>
        </w:tblCellMar>
        <w:tblLook w:val="04A0" w:firstRow="1" w:lastRow="0" w:firstColumn="1" w:lastColumn="0" w:noHBand="0" w:noVBand="1"/>
      </w:tblPr>
      <w:tblGrid>
        <w:gridCol w:w="8346"/>
      </w:tblGrid>
      <w:tr w:rsidR="005B4379" w:rsidRPr="00FA6B99" w:rsidTr="00A17674">
        <w:tc>
          <w:tcPr>
            <w:tcW w:w="8346" w:type="dxa"/>
            <w:shd w:val="clear" w:color="auto" w:fill="CDEBFF"/>
          </w:tcPr>
          <w:p w:rsidR="005B4379" w:rsidRPr="00694BE0" w:rsidRDefault="005B4379" w:rsidP="00173CAC">
            <w:pPr>
              <w:pStyle w:val="BoxNumb"/>
              <w:numPr>
                <w:ilvl w:val="4"/>
                <w:numId w:val="27"/>
              </w:numPr>
              <w:rPr>
                <w:sz w:val="26"/>
                <w:szCs w:val="26"/>
              </w:rPr>
            </w:pPr>
            <w:bookmarkStart w:id="188" w:name="_Ref398025823"/>
            <w:r w:rsidRPr="00694BE0">
              <w:rPr>
                <w:sz w:val="26"/>
                <w:szCs w:val="26"/>
              </w:rPr>
              <w:t>France – Protection of the child’s data during family proceedings</w:t>
            </w:r>
            <w:bookmarkEnd w:id="188"/>
          </w:p>
          <w:p w:rsidR="005B4379" w:rsidRPr="00FA6B99" w:rsidRDefault="005B4379" w:rsidP="00690378">
            <w:pPr>
              <w:pStyle w:val="TableText"/>
              <w:rPr>
                <w:sz w:val="20"/>
                <w:szCs w:val="20"/>
              </w:rPr>
            </w:pPr>
            <w:r w:rsidRPr="00FA6B99">
              <w:rPr>
                <w:sz w:val="20"/>
                <w:szCs w:val="20"/>
              </w:rPr>
              <w:t>Only parties to the proceedings and judicial officials have access to the file of a case. A third party (e.g. Family Council or grandparent) may only consult the record of the case, and have a copy issued, if s/he proves his/her legitimate interest and the judge authorises him</w:t>
            </w:r>
            <w:r w:rsidR="008E34AB">
              <w:rPr>
                <w:sz w:val="20"/>
                <w:szCs w:val="20"/>
              </w:rPr>
              <w:t>/her</w:t>
            </w:r>
            <w:r w:rsidRPr="00FA6B99">
              <w:rPr>
                <w:sz w:val="20"/>
                <w:szCs w:val="20"/>
              </w:rPr>
              <w:t xml:space="preserve"> to do so. Furthermore, it is forbidden to disclose the identity, address, or other elements that allow the identification of a child who has fled from his/her parents, who is the victim of an offence, or to identify the biological family of a child who is subject to a full adoption. </w:t>
            </w:r>
          </w:p>
          <w:p w:rsidR="005B4379" w:rsidRPr="00FA6B99" w:rsidRDefault="005B4379" w:rsidP="00690378">
            <w:pPr>
              <w:pStyle w:val="TableText"/>
              <w:rPr>
                <w:sz w:val="20"/>
                <w:szCs w:val="20"/>
              </w:rPr>
            </w:pPr>
            <w:r w:rsidRPr="00FA6B99">
              <w:rPr>
                <w:sz w:val="20"/>
                <w:szCs w:val="20"/>
              </w:rPr>
              <w:t>Even disclosure of the real first name of the child, his/her school, or a picture of his/her parents is sufficient to constitute a criminal offence. The child may seek compensation through his</w:t>
            </w:r>
            <w:r w:rsidR="008E34AB">
              <w:rPr>
                <w:sz w:val="20"/>
                <w:szCs w:val="20"/>
              </w:rPr>
              <w:t>/her</w:t>
            </w:r>
            <w:r w:rsidRPr="00FA6B99">
              <w:rPr>
                <w:sz w:val="20"/>
                <w:szCs w:val="20"/>
              </w:rPr>
              <w:t xml:space="preserve"> parents in case his/her rights have been infringed. The Public Prosecutor may in his/her own right launch a formal lawsuit for children whose right to privacy has been violated. </w:t>
            </w:r>
          </w:p>
          <w:p w:rsidR="005B4379" w:rsidRPr="00FA6B99" w:rsidRDefault="005B4379" w:rsidP="00690378">
            <w:pPr>
              <w:pStyle w:val="TableText"/>
              <w:rPr>
                <w:sz w:val="20"/>
                <w:szCs w:val="20"/>
              </w:rPr>
            </w:pPr>
            <w:r w:rsidRPr="00FA6B99">
              <w:rPr>
                <w:sz w:val="20"/>
                <w:szCs w:val="20"/>
              </w:rPr>
              <w:t>Additionally, it is forbidden to disclose any information on the proceedings or publish any evidence relating to proceedings on filiation, maintenance allowance, divorce, separation, marriage, or abortion. Any public official who discloses such information would be subject to disciplinary proceedings.</w:t>
            </w:r>
          </w:p>
        </w:tc>
      </w:tr>
    </w:tbl>
    <w:p w:rsidR="005B4379" w:rsidRDefault="005B4379" w:rsidP="00A5732C">
      <w:pPr>
        <w:pStyle w:val="Heading4NoNumb"/>
        <w:ind w:left="851"/>
      </w:pPr>
      <w:r w:rsidRPr="0048589A">
        <w:t>Discretionary powers of the judge to order the disclosure/non-disclosure of information to third parties</w:t>
      </w:r>
      <w:r>
        <w:t xml:space="preserve"> </w:t>
      </w:r>
      <w:r w:rsidRPr="0048589A">
        <w:t>(CivAdm081)</w:t>
      </w:r>
    </w:p>
    <w:p w:rsidR="005B4379" w:rsidRDefault="005B4379" w:rsidP="00A5732C">
      <w:pPr>
        <w:pStyle w:val="BodyText"/>
      </w:pPr>
      <w:r>
        <w:t xml:space="preserve">In 17 of the </w:t>
      </w:r>
      <w:r w:rsidRPr="00E1173A">
        <w:t>27</w:t>
      </w:r>
      <w:r>
        <w:t xml:space="preserve"> jurisdictions where children involved in proceedings enjoy a statutory right to privacy (BE, BG, CY, EE, EL, ES, FI, FR, HR, HU, IE, NL, PL, SE, </w:t>
      </w:r>
      <w:r w:rsidRPr="00E1173A">
        <w:t xml:space="preserve">UK-E&amp;W, UK-NI and </w:t>
      </w:r>
      <w:r w:rsidR="00CD7610">
        <w:t>UK-S</w:t>
      </w:r>
      <w:r>
        <w:t xml:space="preserve">), the judge/court may </w:t>
      </w:r>
      <w:r w:rsidRPr="00E708DB">
        <w:rPr>
          <w:b/>
        </w:rPr>
        <w:t>order the disclosure of information related to the proceedings</w:t>
      </w:r>
      <w:r>
        <w:rPr>
          <w:b/>
        </w:rPr>
        <w:t xml:space="preserve"> to third parties</w:t>
      </w:r>
      <w:r>
        <w:t xml:space="preserve">, e.g. for reasons of public safety. </w:t>
      </w:r>
    </w:p>
    <w:p w:rsidR="005B4379" w:rsidRDefault="005B4379" w:rsidP="00571F56">
      <w:pPr>
        <w:pStyle w:val="BodyText"/>
      </w:pPr>
      <w:r>
        <w:t xml:space="preserve">In </w:t>
      </w:r>
      <w:r w:rsidR="008E34AB">
        <w:t>seven jurisdictions (</w:t>
      </w:r>
      <w:r>
        <w:t xml:space="preserve">DK, ES, SE, SK, UK-E&amp;W, UK-NI and </w:t>
      </w:r>
      <w:r w:rsidR="00CD7610">
        <w:t>UK-S</w:t>
      </w:r>
      <w:r w:rsidR="008E34AB">
        <w:t>)</w:t>
      </w:r>
      <w:r>
        <w:t xml:space="preserve">, where the starting point is either that proceedings should be public (DK and SK) or that certain information only should be confidential (ES, SE, UK-E&amp;W, UK-NI and </w:t>
      </w:r>
      <w:r w:rsidR="00CD7610">
        <w:t>UK-S</w:t>
      </w:r>
      <w:r>
        <w:t xml:space="preserve">) the judge (also) enjoys discretionary power to make </w:t>
      </w:r>
      <w:r w:rsidRPr="006851A7">
        <w:rPr>
          <w:b/>
        </w:rPr>
        <w:t>non-disclosure orders</w:t>
      </w:r>
      <w:r>
        <w:t xml:space="preserve"> regarding information related to the proceedings (e.g. for reasons of ensuring the child’s safety).</w:t>
      </w:r>
    </w:p>
    <w:p w:rsidR="005B4379" w:rsidRDefault="005B4379" w:rsidP="00571F56">
      <w:pPr>
        <w:pStyle w:val="BodyText"/>
      </w:pPr>
      <w:r>
        <w:t xml:space="preserve">In 10 jurisdictions (BG, EE, FI, HR, HU, IE, PL, ES, SE, and </w:t>
      </w:r>
      <w:r w:rsidR="00CD7610">
        <w:t>UK-S</w:t>
      </w:r>
      <w:r>
        <w:t xml:space="preserve">), the discretionary power of the judge to make disclosure orders applies in </w:t>
      </w:r>
      <w:r w:rsidRPr="00E1173A">
        <w:rPr>
          <w:b/>
        </w:rPr>
        <w:t>all of the areas of law</w:t>
      </w:r>
      <w:r>
        <w:t xml:space="preserve"> where the child enjoys a statutory right to privacy. In contrast, in </w:t>
      </w:r>
      <w:r w:rsidR="008E34AB">
        <w:t>six</w:t>
      </w:r>
      <w:r>
        <w:t xml:space="preserve"> jurisdictions (CY, FR, EL, NL, UK-E&amp;W, and </w:t>
      </w:r>
      <w:r w:rsidR="00CD7610">
        <w:t>UK-S</w:t>
      </w:r>
      <w:r>
        <w:t>), the judge’s discretionary power to make disclosure orders applies only in some of the areas of law where the child enjoys a statutory right to privacy. This means that, in the other areas, the judge does not have discretionary power to order disclosure of information (for example, in FR, there is a right to privacy and no discretion to make disclosure orders in employment, asylum, migration, education, health and administrative sanctions).</w:t>
      </w:r>
    </w:p>
    <w:p w:rsidR="005B4379" w:rsidRPr="00077E4A" w:rsidRDefault="005B4379" w:rsidP="00571F56">
      <w:pPr>
        <w:pStyle w:val="BodyText"/>
      </w:pPr>
      <w:r>
        <w:t xml:space="preserve">In </w:t>
      </w:r>
      <w:r w:rsidR="008E34AB">
        <w:t>seven</w:t>
      </w:r>
      <w:r>
        <w:t xml:space="preserve"> MS (HR, EE, FI, IE, PL, ES, and SE) the discretionary power of the judge applies to </w:t>
      </w:r>
      <w:r w:rsidRPr="00E1173A">
        <w:rPr>
          <w:b/>
        </w:rPr>
        <w:t>all the roles of the child</w:t>
      </w:r>
      <w:r>
        <w:t xml:space="preserve"> that enjoy the statutory right to privacy. </w:t>
      </w:r>
    </w:p>
    <w:p w:rsidR="005B4379" w:rsidRPr="0048589A" w:rsidRDefault="005B4379" w:rsidP="00571F56">
      <w:pPr>
        <w:pStyle w:val="Heading4NoNumb"/>
        <w:ind w:firstLine="851"/>
      </w:pPr>
      <w:r w:rsidRPr="0048589A">
        <w:t>Legal obligation to conduct court hearings behind closed doors (CivAdm083)</w:t>
      </w:r>
    </w:p>
    <w:p w:rsidR="005B4379" w:rsidRDefault="005B4379" w:rsidP="00571F56">
      <w:pPr>
        <w:pStyle w:val="BodyText"/>
      </w:pPr>
      <w:r>
        <w:t>In all but six jurisdictions (BE, CY, CZ, ES, LU, SK), t</w:t>
      </w:r>
      <w:r w:rsidRPr="00ED262F">
        <w:t>he</w:t>
      </w:r>
      <w:r>
        <w:t xml:space="preserve">re is a legal obligation to hold </w:t>
      </w:r>
      <w:r w:rsidRPr="000D105A">
        <w:rPr>
          <w:b/>
        </w:rPr>
        <w:t>certain types of proceedings</w:t>
      </w:r>
      <w:r w:rsidRPr="00ED262F">
        <w:t xml:space="preserve"> </w:t>
      </w:r>
      <w:r>
        <w:t>in certain areas of law</w:t>
      </w:r>
      <w:r w:rsidRPr="00ED262F">
        <w:t xml:space="preserve"> </w:t>
      </w:r>
      <w:r>
        <w:rPr>
          <w:i/>
        </w:rPr>
        <w:t xml:space="preserve">in </w:t>
      </w:r>
      <w:r w:rsidRPr="00ED262F">
        <w:rPr>
          <w:i/>
        </w:rPr>
        <w:t>camera</w:t>
      </w:r>
      <w:r w:rsidRPr="00ED262F">
        <w:t>.</w:t>
      </w:r>
      <w:r>
        <w:t xml:space="preserve"> </w:t>
      </w:r>
    </w:p>
    <w:p w:rsidR="005B4379" w:rsidRDefault="005B4379" w:rsidP="00571F56">
      <w:pPr>
        <w:pStyle w:val="BodyText"/>
      </w:pPr>
      <w:r>
        <w:t xml:space="preserve">For instance, in FR, all civil judicial proceedings held in the Juvenile Court must be conducted behind closed doors; in DK, family proceedings concerning child custody must be held </w:t>
      </w:r>
      <w:r w:rsidRPr="000D105A">
        <w:rPr>
          <w:i/>
        </w:rPr>
        <w:t>in camera</w:t>
      </w:r>
      <w:r>
        <w:t xml:space="preserve">; and in HR, disputes arising in connection with personal status matters (i.e. divorce, maternity or paternity, protection of the property of children) or adoption must always be conducted in camera. </w:t>
      </w:r>
    </w:p>
    <w:p w:rsidR="005B4379" w:rsidRDefault="005B4379" w:rsidP="00571F56">
      <w:pPr>
        <w:pStyle w:val="BodyText"/>
      </w:pPr>
      <w:r>
        <w:t xml:space="preserve">This obligation applies most </w:t>
      </w:r>
      <w:r w:rsidR="00735DBA">
        <w:t xml:space="preserve">frequently </w:t>
      </w:r>
      <w:r>
        <w:t xml:space="preserve">in the areas of </w:t>
      </w:r>
      <w:r w:rsidRPr="00735DBA">
        <w:rPr>
          <w:b/>
        </w:rPr>
        <w:t>family and placement</w:t>
      </w:r>
      <w:r>
        <w:t xml:space="preserve"> into care (27 MS in each case) and least commonly in the area of </w:t>
      </w:r>
      <w:r w:rsidRPr="00D50305">
        <w:rPr>
          <w:b/>
        </w:rPr>
        <w:t>education</w:t>
      </w:r>
      <w:r>
        <w:t xml:space="preserve"> (14 MS).</w:t>
      </w:r>
      <w:r w:rsidR="00050135">
        <w:t xml:space="preserve"> </w:t>
      </w:r>
      <w:r>
        <w:t xml:space="preserve">In 9 MS (BE, BG, DK, EE, FI, LV, LT, PT, and RO) this provision applies to all areas of law. </w:t>
      </w:r>
    </w:p>
    <w:p w:rsidR="005B4379" w:rsidRDefault="005B4379" w:rsidP="00571F56">
      <w:pPr>
        <w:pStyle w:val="BodyText"/>
      </w:pPr>
      <w:r>
        <w:t xml:space="preserve">Where this provision applies, it tends to apply to children who are </w:t>
      </w:r>
      <w:r w:rsidRPr="00D857DC">
        <w:rPr>
          <w:b/>
        </w:rPr>
        <w:t>witnesses, plaintiffs and defendants</w:t>
      </w:r>
      <w:r>
        <w:t xml:space="preserve">, or to </w:t>
      </w:r>
      <w:r w:rsidRPr="00D857DC">
        <w:rPr>
          <w:b/>
        </w:rPr>
        <w:t>witnesses, plaintiffs, defendants and subjects</w:t>
      </w:r>
      <w:r>
        <w:t>.</w:t>
      </w:r>
      <w:r w:rsidR="00050135">
        <w:t xml:space="preserve"> </w:t>
      </w:r>
      <w:r>
        <w:t>There are, however, many exceptions. For example, in SE in family matters the provision applies to witnesses and subjects only. In PT in placement into care proceedings, the provision applies to only witnesses and subjects.</w:t>
      </w:r>
      <w:r w:rsidR="00050135">
        <w:t xml:space="preserve"> </w:t>
      </w:r>
      <w:r>
        <w:t>In FI, in all areas of law except family and employment, the provision applies only to witnesses and plaintiffs. In HU in all</w:t>
      </w:r>
      <w:r w:rsidRPr="00425BE4">
        <w:t xml:space="preserve"> </w:t>
      </w:r>
      <w:r>
        <w:t>areas of law except family, employment, and health, the provision applies only to witnesses and plaintiffs</w:t>
      </w:r>
      <w:r w:rsidR="00900FBD">
        <w:t>.</w:t>
      </w:r>
    </w:p>
    <w:p w:rsidR="005B4379" w:rsidRPr="00A7584E" w:rsidRDefault="005B4379" w:rsidP="00571F56">
      <w:pPr>
        <w:pStyle w:val="BodyText"/>
      </w:pPr>
      <w:r w:rsidRPr="000D105A">
        <w:t>In the six jurisdictions where no such legal obligation exists, the judge has discretionary power to order the hearings to be held in camera</w:t>
      </w:r>
      <w:r>
        <w:t xml:space="preserve"> in BE, CY, ES and SK</w:t>
      </w:r>
      <w:r w:rsidRPr="000D105A">
        <w:t>.</w:t>
      </w:r>
      <w:r>
        <w:t xml:space="preserve"> Judges also have discretionary power to order hearings to be conducted behind closed doors in those MS where the legal obligation to conduct </w:t>
      </w:r>
      <w:r>
        <w:rPr>
          <w:i/>
        </w:rPr>
        <w:t xml:space="preserve">in camera </w:t>
      </w:r>
      <w:r>
        <w:t xml:space="preserve">proceedings only applies with respect to </w:t>
      </w:r>
      <w:r w:rsidRPr="00A7584E">
        <w:t xml:space="preserve">certain types of proceedings. They may do so for the following reasons: </w:t>
      </w:r>
    </w:p>
    <w:p w:rsidR="00D50305" w:rsidRPr="00D50305" w:rsidRDefault="005B4379" w:rsidP="00571F56">
      <w:pPr>
        <w:pStyle w:val="BTBullet1"/>
        <w:rPr>
          <w:lang w:val="en-US"/>
        </w:rPr>
      </w:pPr>
      <w:r w:rsidRPr="00D50305">
        <w:rPr>
          <w:lang w:val="en-US"/>
        </w:rPr>
        <w:t>In order to protect the parties’/participants’ perso</w:t>
      </w:r>
      <w:r w:rsidR="00D50305" w:rsidRPr="00D50305">
        <w:rPr>
          <w:lang w:val="en-US"/>
        </w:rPr>
        <w:t>nal</w:t>
      </w:r>
      <w:r w:rsidR="00D50305">
        <w:rPr>
          <w:lang w:val="en-US"/>
        </w:rPr>
        <w:t xml:space="preserve"> or</w:t>
      </w:r>
      <w:r w:rsidR="00D50305" w:rsidRPr="00D50305">
        <w:rPr>
          <w:lang w:val="en-US"/>
        </w:rPr>
        <w:t xml:space="preserve"> private life (e.g. BG, DE,</w:t>
      </w:r>
    </w:p>
    <w:p w:rsidR="005B4379" w:rsidRPr="00D50305" w:rsidRDefault="005B4379" w:rsidP="00571F56">
      <w:pPr>
        <w:pStyle w:val="BTBullet1"/>
        <w:rPr>
          <w:lang w:val="en-US"/>
        </w:rPr>
      </w:pPr>
      <w:r w:rsidRPr="00D50305">
        <w:rPr>
          <w:lang w:val="en-US"/>
        </w:rPr>
        <w:t xml:space="preserve">HR); </w:t>
      </w:r>
    </w:p>
    <w:p w:rsidR="005B4379" w:rsidRPr="00D50305" w:rsidRDefault="005B4379" w:rsidP="00571F56">
      <w:pPr>
        <w:pStyle w:val="BTBullet1"/>
        <w:rPr>
          <w:lang w:val="en-US"/>
        </w:rPr>
      </w:pPr>
      <w:r w:rsidRPr="00D50305">
        <w:rPr>
          <w:lang w:val="en-US"/>
        </w:rPr>
        <w:t>In order to protect the parties/participants from potential harm (DK);</w:t>
      </w:r>
    </w:p>
    <w:p w:rsidR="005B4379" w:rsidRPr="00D50305" w:rsidRDefault="005B4379" w:rsidP="00571F56">
      <w:pPr>
        <w:pStyle w:val="BTBullet1"/>
      </w:pPr>
      <w:r w:rsidRPr="00D50305">
        <w:t>If it is necessary due to moral considerations (HR);</w:t>
      </w:r>
    </w:p>
    <w:p w:rsidR="005B4379" w:rsidRPr="00D50305" w:rsidRDefault="005B4379" w:rsidP="00571F56">
      <w:pPr>
        <w:pStyle w:val="BTBullet1"/>
        <w:rPr>
          <w:lang w:val="en-US"/>
        </w:rPr>
      </w:pPr>
      <w:r w:rsidRPr="00D50305">
        <w:rPr>
          <w:lang w:val="en-US"/>
        </w:rPr>
        <w:t>If the subject matter of the case is linked to a personal or professional secret (BG);</w:t>
      </w:r>
    </w:p>
    <w:p w:rsidR="005B4379" w:rsidRPr="00D50305" w:rsidRDefault="005B4379" w:rsidP="00571F56">
      <w:pPr>
        <w:pStyle w:val="BTBullet1"/>
        <w:rPr>
          <w:lang w:val="en-US"/>
        </w:rPr>
      </w:pPr>
      <w:r w:rsidRPr="00D50305">
        <w:rPr>
          <w:lang w:val="en-US"/>
        </w:rPr>
        <w:t>Where publicity is not in the public interest (BG);</w:t>
      </w:r>
    </w:p>
    <w:p w:rsidR="005B4379" w:rsidRPr="00D50305" w:rsidRDefault="005B4379" w:rsidP="00571F56">
      <w:pPr>
        <w:pStyle w:val="BTBullet1"/>
      </w:pPr>
      <w:r w:rsidRPr="00D50305">
        <w:t>For the protection of public order or state security, or to guard military, official; or business secrets (HR); or,</w:t>
      </w:r>
    </w:p>
    <w:p w:rsidR="005B4379" w:rsidRPr="00CC1B18" w:rsidRDefault="005B4379" w:rsidP="00CC1B18">
      <w:pPr>
        <w:pStyle w:val="BTBullet1"/>
      </w:pPr>
      <w:r w:rsidRPr="00D50305">
        <w:t>If the presence of the public would be harmful to the interests of justice (HR).</w:t>
      </w:r>
    </w:p>
    <w:p w:rsidR="005B4379" w:rsidRPr="00571F56" w:rsidRDefault="005B4379" w:rsidP="00571F56">
      <w:pPr>
        <w:pStyle w:val="BodyText"/>
      </w:pPr>
      <w:r>
        <w:t xml:space="preserve">In certain jurisdictions </w:t>
      </w:r>
      <w:r w:rsidRPr="00ED262F">
        <w:t xml:space="preserve">(e.g. AT, </w:t>
      </w:r>
      <w:r>
        <w:t xml:space="preserve">BG, </w:t>
      </w:r>
      <w:r w:rsidRPr="00ED262F">
        <w:t xml:space="preserve">DK, </w:t>
      </w:r>
      <w:r>
        <w:t>EE, FR</w:t>
      </w:r>
      <w:r w:rsidRPr="00ED262F">
        <w:t>, HR)</w:t>
      </w:r>
      <w:r>
        <w:t>, p</w:t>
      </w:r>
      <w:r w:rsidRPr="00ED262F">
        <w:t xml:space="preserve">arties to the proceedings may request the court to order </w:t>
      </w:r>
      <w:r>
        <w:rPr>
          <w:i/>
        </w:rPr>
        <w:t xml:space="preserve">in </w:t>
      </w:r>
      <w:r w:rsidRPr="00ED262F">
        <w:rPr>
          <w:i/>
        </w:rPr>
        <w:t>camera</w:t>
      </w:r>
      <w:r w:rsidRPr="00ED262F">
        <w:t xml:space="preserve"> proceedings. In </w:t>
      </w:r>
      <w:r w:rsidRPr="00ED262F">
        <w:rPr>
          <w:rFonts w:eastAsia="Times New Roman"/>
          <w:lang w:val="en-US"/>
        </w:rPr>
        <w:t xml:space="preserve">BG children below 14 years may request </w:t>
      </w:r>
      <w:r>
        <w:rPr>
          <w:rFonts w:eastAsia="Times New Roman"/>
          <w:i/>
          <w:lang w:val="en-US"/>
        </w:rPr>
        <w:t xml:space="preserve">in </w:t>
      </w:r>
      <w:r w:rsidRPr="00ED262F">
        <w:rPr>
          <w:rFonts w:eastAsia="Times New Roman"/>
          <w:i/>
          <w:lang w:val="en-US"/>
        </w:rPr>
        <w:t>camera</w:t>
      </w:r>
      <w:r w:rsidRPr="00ED262F">
        <w:rPr>
          <w:rFonts w:eastAsia="Times New Roman"/>
          <w:lang w:val="en-US"/>
        </w:rPr>
        <w:t xml:space="preserve"> </w:t>
      </w:r>
      <w:r>
        <w:rPr>
          <w:rFonts w:eastAsia="Times New Roman"/>
          <w:lang w:val="en-US"/>
        </w:rPr>
        <w:t xml:space="preserve">proceedings </w:t>
      </w:r>
      <w:r w:rsidRPr="00ED262F">
        <w:rPr>
          <w:rFonts w:eastAsia="Times New Roman"/>
          <w:lang w:val="en-US"/>
        </w:rPr>
        <w:t>either through their parents/guardians, or in their own name if they are over 14 years of age, with their parents’ consent.</w:t>
      </w:r>
    </w:p>
    <w:p w:rsidR="005B4379" w:rsidRPr="00ED262F" w:rsidRDefault="005B4379" w:rsidP="00571F56">
      <w:pPr>
        <w:pStyle w:val="BodyText"/>
      </w:pPr>
      <w:r w:rsidRPr="00ED262F">
        <w:t xml:space="preserve">Recordings of </w:t>
      </w:r>
      <w:r w:rsidR="00D50305">
        <w:rPr>
          <w:i/>
        </w:rPr>
        <w:t xml:space="preserve">in </w:t>
      </w:r>
      <w:r w:rsidRPr="00ED262F">
        <w:rPr>
          <w:i/>
        </w:rPr>
        <w:t>camera</w:t>
      </w:r>
      <w:r w:rsidRPr="00ED262F">
        <w:t xml:space="preserve"> court proceedings are prohibited</w:t>
      </w:r>
      <w:r>
        <w:t xml:space="preserve"> (see further below on regulation of the media).</w:t>
      </w:r>
    </w:p>
    <w:p w:rsidR="005B4379" w:rsidRPr="0048589A" w:rsidRDefault="005B4379" w:rsidP="00571F56">
      <w:pPr>
        <w:pStyle w:val="Heading4NoNumb"/>
        <w:ind w:left="851"/>
      </w:pPr>
      <w:r w:rsidRPr="0048589A">
        <w:t>Statutory provision on the protection of personal data, especially in the context of processing, storing and transmitting court records (CivAdm085)</w:t>
      </w:r>
    </w:p>
    <w:p w:rsidR="005B4379" w:rsidRDefault="005B4379" w:rsidP="00571F56">
      <w:pPr>
        <w:pStyle w:val="BodyText"/>
        <w:rPr>
          <w:b/>
        </w:rPr>
      </w:pPr>
      <w:r w:rsidRPr="00ED262F">
        <w:t xml:space="preserve">The statutory right of children </w:t>
      </w:r>
      <w:r w:rsidR="008E34AB">
        <w:t>t</w:t>
      </w:r>
      <w:r>
        <w:t xml:space="preserve">o </w:t>
      </w:r>
      <w:r w:rsidRPr="00ED262F">
        <w:t xml:space="preserve">the </w:t>
      </w:r>
      <w:r w:rsidRPr="00ED262F">
        <w:rPr>
          <w:b/>
        </w:rPr>
        <w:t>protection of their personal data</w:t>
      </w:r>
      <w:r w:rsidRPr="00ED262F">
        <w:t xml:space="preserve">, </w:t>
      </w:r>
      <w:r w:rsidRPr="00ED262F">
        <w:rPr>
          <w:b/>
        </w:rPr>
        <w:t>especially in the context of processing, storing and transmitting court records</w:t>
      </w:r>
      <w:r w:rsidRPr="00ED262F">
        <w:t xml:space="preserve"> is provided for in all jurisdictions except</w:t>
      </w:r>
      <w:r>
        <w:t xml:space="preserve"> CZ.</w:t>
      </w:r>
      <w:r w:rsidR="00050135">
        <w:t xml:space="preserve"> </w:t>
      </w:r>
      <w:r w:rsidRPr="00ED262F">
        <w:t>The provision a</w:t>
      </w:r>
      <w:r>
        <w:t>pplies in all areas of law in 21</w:t>
      </w:r>
      <w:r w:rsidRPr="00ED262F">
        <w:t xml:space="preserve"> jurisdictions</w:t>
      </w:r>
      <w:r>
        <w:t xml:space="preserve"> (all except CY, SI, ES, SE, IT, IT, NL, and </w:t>
      </w:r>
      <w:r w:rsidR="00CD7610">
        <w:t>UK-S</w:t>
      </w:r>
      <w:r>
        <w:t>).</w:t>
      </w:r>
      <w:r w:rsidR="00050135">
        <w:t xml:space="preserve"> </w:t>
      </w:r>
      <w:r>
        <w:t xml:space="preserve">In CY, SI, and ES, the provision does not apply to offences committed below MACR. In IT and </w:t>
      </w:r>
      <w:r w:rsidR="00CD7610">
        <w:t>UK-S</w:t>
      </w:r>
      <w:r>
        <w:t>, the prevision does not apply to administrative sanctions, in NL the provision does not apply to either of these areas.</w:t>
      </w:r>
      <w:r w:rsidR="00050135">
        <w:t xml:space="preserve"> </w:t>
      </w:r>
      <w:r>
        <w:t xml:space="preserve">In SE the provision does </w:t>
      </w:r>
      <w:r w:rsidRPr="00ED262F">
        <w:t>not</w:t>
      </w:r>
      <w:r>
        <w:t xml:space="preserve"> apply </w:t>
      </w:r>
      <w:r w:rsidRPr="00ED262F">
        <w:t xml:space="preserve">in family, employment or offences committed below </w:t>
      </w:r>
      <w:r>
        <w:t xml:space="preserve">MACR and in IE the provision applies </w:t>
      </w:r>
      <w:r w:rsidRPr="00ED262F">
        <w:t>only in family and placement in care</w:t>
      </w:r>
      <w:r>
        <w:t xml:space="preserve">. </w:t>
      </w:r>
    </w:p>
    <w:p w:rsidR="00F06EE8" w:rsidRDefault="005B4379" w:rsidP="00571F56">
      <w:pPr>
        <w:pStyle w:val="BodyText"/>
      </w:pPr>
      <w:r>
        <w:t>Where this provision applies it typically applies to children who are witnesses, plaintiffs, and defendants, or witnesses</w:t>
      </w:r>
      <w:r w:rsidR="00F06EE8">
        <w:t>,</w:t>
      </w:r>
      <w:r>
        <w:t xml:space="preserve"> plaintiffs, defendants and subjects.</w:t>
      </w:r>
      <w:r w:rsidR="00050135">
        <w:t xml:space="preserve"> </w:t>
      </w:r>
      <w:r>
        <w:t>However, there are many exceptions. For example: in FR, the provision does not apply to witnesses in any area of law except family matters; in EL, the provision does not apply to witnesses, plaintiffs, or defendants in placement into care matters; in HU, the provision does not apply to defendants in asylum, migration, education, placement into care, or offences committed below MACR; in NL, the provision applies only to plaintiffs in the areas of health and placement into care; in PT, the provision does not apply to plaintiffs or defendants or children in other roles in placement into care proceedings.</w:t>
      </w:r>
    </w:p>
    <w:tbl>
      <w:tblPr>
        <w:tblW w:w="8173" w:type="dxa"/>
        <w:tblInd w:w="985"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173"/>
      </w:tblGrid>
      <w:tr w:rsidR="00F06EE8" w:rsidRPr="00FA6B99" w:rsidTr="00A17674">
        <w:tc>
          <w:tcPr>
            <w:tcW w:w="8173" w:type="dxa"/>
            <w:shd w:val="clear" w:color="auto" w:fill="CDEBFF"/>
          </w:tcPr>
          <w:p w:rsidR="00F06EE8" w:rsidRPr="00694BE0" w:rsidRDefault="00694BE0" w:rsidP="00173CAC">
            <w:pPr>
              <w:pStyle w:val="BoxNumb"/>
              <w:numPr>
                <w:ilvl w:val="4"/>
                <w:numId w:val="27"/>
              </w:numPr>
              <w:rPr>
                <w:sz w:val="26"/>
                <w:szCs w:val="26"/>
              </w:rPr>
            </w:pPr>
            <w:r>
              <w:rPr>
                <w:rFonts w:cs="Arial"/>
                <w:sz w:val="22"/>
                <w:szCs w:val="22"/>
              </w:rPr>
              <w:t xml:space="preserve"> </w:t>
            </w:r>
            <w:r w:rsidR="00F06EE8" w:rsidRPr="00694BE0">
              <w:rPr>
                <w:sz w:val="26"/>
                <w:szCs w:val="26"/>
              </w:rPr>
              <w:t>Malta – Protection of a child’s personal data</w:t>
            </w:r>
          </w:p>
          <w:p w:rsidR="00F06EE8" w:rsidRDefault="00F06EE8" w:rsidP="00690378">
            <w:pPr>
              <w:pStyle w:val="TableText"/>
              <w:rPr>
                <w:sz w:val="20"/>
                <w:szCs w:val="20"/>
              </w:rPr>
            </w:pPr>
            <w:r w:rsidRPr="00F06EE8">
              <w:rPr>
                <w:sz w:val="20"/>
                <w:szCs w:val="20"/>
              </w:rPr>
              <w:t>Where any person acting in a professional capacit</w:t>
            </w:r>
            <w:r>
              <w:rPr>
                <w:sz w:val="20"/>
                <w:szCs w:val="20"/>
              </w:rPr>
              <w:t>y in civil judicial proceedings</w:t>
            </w:r>
            <w:r w:rsidRPr="00F06EE8">
              <w:rPr>
                <w:sz w:val="20"/>
                <w:szCs w:val="20"/>
              </w:rPr>
              <w:t xml:space="preserve"> obtains information in relation to a child, he or she may process the information if such processing is in the best interests of the child. </w:t>
            </w:r>
          </w:p>
          <w:p w:rsidR="00F06EE8" w:rsidRDefault="00F06EE8" w:rsidP="00690378">
            <w:pPr>
              <w:pStyle w:val="TableText"/>
              <w:rPr>
                <w:sz w:val="20"/>
                <w:szCs w:val="20"/>
              </w:rPr>
            </w:pPr>
            <w:r w:rsidRPr="00F06EE8">
              <w:rPr>
                <w:sz w:val="20"/>
                <w:szCs w:val="20"/>
              </w:rPr>
              <w:t xml:space="preserve">Where personal data is being processed, the consent of the parents or other legal guardian of the child will not be required if this may be prejudicial to the best interests of the child. In such a case, the parent or other legal guardian will not have access to any personal data held in relation to such child. </w:t>
            </w:r>
          </w:p>
          <w:p w:rsidR="00F06EE8" w:rsidRPr="00FA6B99" w:rsidRDefault="00F06EE8" w:rsidP="00690378">
            <w:pPr>
              <w:pStyle w:val="TableText"/>
              <w:rPr>
                <w:sz w:val="20"/>
                <w:szCs w:val="20"/>
              </w:rPr>
            </w:pPr>
            <w:r w:rsidRPr="00F06EE8">
              <w:rPr>
                <w:sz w:val="20"/>
                <w:szCs w:val="20"/>
              </w:rPr>
              <w:t>This would apply also in relation to information obtained by persons acting in a professional capacity in civil judicial proceedings.</w:t>
            </w:r>
          </w:p>
        </w:tc>
      </w:tr>
    </w:tbl>
    <w:p w:rsidR="005B4379" w:rsidRPr="0048589A" w:rsidRDefault="005B4379" w:rsidP="00A5732C">
      <w:pPr>
        <w:pStyle w:val="Heading4NoNumb"/>
        <w:ind w:left="851"/>
      </w:pPr>
      <w:r w:rsidRPr="0048589A">
        <w:t>Procedures to ensure that the records of children are kept strictly confidential and closed to third parties (CivAdm086a)</w:t>
      </w:r>
    </w:p>
    <w:p w:rsidR="005B4379" w:rsidRPr="00F06EE8" w:rsidRDefault="005B4379" w:rsidP="00A5732C">
      <w:pPr>
        <w:pStyle w:val="BodyText"/>
      </w:pPr>
      <w:r w:rsidRPr="00F73636">
        <w:t xml:space="preserve">In 26 jurisdictions (all except CZ, LU, ES, and </w:t>
      </w:r>
      <w:r w:rsidR="00CD7610">
        <w:t>UK-S</w:t>
      </w:r>
      <w:r w:rsidRPr="00F73636">
        <w:t xml:space="preserve">) </w:t>
      </w:r>
      <w:r w:rsidRPr="00F06EE8">
        <w:t xml:space="preserve">procedures exist to ensure that the </w:t>
      </w:r>
      <w:r w:rsidRPr="00B711CC">
        <w:rPr>
          <w:b/>
        </w:rPr>
        <w:t>records of children are kept strictly confidential and closed to third parties</w:t>
      </w:r>
      <w:r w:rsidRPr="00F06EE8">
        <w:t>.</w:t>
      </w:r>
      <w:r w:rsidR="00050135">
        <w:t xml:space="preserve"> </w:t>
      </w:r>
      <w:r w:rsidRPr="00F06EE8">
        <w:t xml:space="preserve">In 18 MS (AT, BE, BG, HR, DK, EE, FI, DE, EL, HU, LV, LT, PL, PT, RO, SK, UK-E&amp;W, </w:t>
      </w:r>
      <w:r w:rsidR="00CD7610">
        <w:t>UK-S</w:t>
      </w:r>
      <w:r w:rsidRPr="00F06EE8">
        <w:t>) these procedures exist in all areas of law.</w:t>
      </w:r>
      <w:r w:rsidR="00050135">
        <w:t xml:space="preserve"> </w:t>
      </w:r>
      <w:r w:rsidRPr="00F06EE8">
        <w:t xml:space="preserve">Of the jurisdictions which have such provisions, they apply most </w:t>
      </w:r>
      <w:r w:rsidR="0048589A">
        <w:t>frequently</w:t>
      </w:r>
      <w:r w:rsidRPr="00F06EE8">
        <w:t xml:space="preserve"> in the area of </w:t>
      </w:r>
      <w:r w:rsidRPr="0048589A">
        <w:rPr>
          <w:b/>
        </w:rPr>
        <w:t>placement into care</w:t>
      </w:r>
      <w:r w:rsidRPr="00F06EE8">
        <w:t xml:space="preserve"> (all except MT); in family matters, the provision applies in 24 MS (all but SE and IT); in asylum matters, the provision applies in 24 MS (all but FR and IE); in health matters, the provision applies in 24 MS (all but FR and MT); in migration and education matters, the provision applies in 23 MS (all but FR, IE, and MT); in employment the provision applies in 21 MS (all but FR, IE, IT, MT, and SE); in administrative sanctions the provision applies in 21 MS (all but FR, IE, IT, MT, and NL).</w:t>
      </w:r>
      <w:r w:rsidR="00050135">
        <w:t xml:space="preserve"> </w:t>
      </w:r>
      <w:r w:rsidRPr="00F06EE8">
        <w:t xml:space="preserve">The provision applies least </w:t>
      </w:r>
      <w:r w:rsidR="0048589A">
        <w:t>frequent</w:t>
      </w:r>
      <w:r w:rsidRPr="00F06EE8">
        <w:t xml:space="preserve">ly in the area of </w:t>
      </w:r>
      <w:r w:rsidRPr="0048589A">
        <w:rPr>
          <w:b/>
        </w:rPr>
        <w:t>criminal offences committed below MACR</w:t>
      </w:r>
      <w:r w:rsidRPr="00F06EE8">
        <w:t xml:space="preserve"> (in 19 MS, all except CY, FR, IE, MT, NL, SL, and SE).</w:t>
      </w:r>
      <w:r w:rsidR="00050135">
        <w:t xml:space="preserve"> </w:t>
      </w:r>
    </w:p>
    <w:p w:rsidR="005B4379" w:rsidRPr="00F06EE8" w:rsidRDefault="005B4379" w:rsidP="00571F56">
      <w:pPr>
        <w:pStyle w:val="BodyText"/>
      </w:pPr>
      <w:r w:rsidRPr="00F06EE8">
        <w:t>Where this provision applies, it typically applies to children in the role</w:t>
      </w:r>
      <w:r w:rsidR="0048589A">
        <w:t>s</w:t>
      </w:r>
      <w:r w:rsidRPr="00F06EE8">
        <w:t xml:space="preserve"> of witnesses, plaintiffs and defendants with </w:t>
      </w:r>
      <w:r w:rsidR="00676F46">
        <w:t>five</w:t>
      </w:r>
      <w:r w:rsidR="00676F46" w:rsidRPr="00F06EE8">
        <w:t xml:space="preserve"> </w:t>
      </w:r>
      <w:r w:rsidRPr="00F06EE8">
        <w:t>exceptions.</w:t>
      </w:r>
      <w:r w:rsidR="00050135">
        <w:t xml:space="preserve"> </w:t>
      </w:r>
      <w:r w:rsidRPr="00F06EE8">
        <w:t xml:space="preserve">In FI, the provision does not apply to defendants except in family matters. In HU, </w:t>
      </w:r>
      <w:r w:rsidR="00900FBD">
        <w:t>t</w:t>
      </w:r>
      <w:r w:rsidRPr="00F06EE8">
        <w:t>he provision does not apply to plaintiffs or defendants in any areas of law, except administrative sanctions, where it applies to defendants only.</w:t>
      </w:r>
      <w:r w:rsidR="00050135">
        <w:t xml:space="preserve"> </w:t>
      </w:r>
      <w:r w:rsidRPr="00F06EE8">
        <w:t xml:space="preserve">In NL, where the provision applies, it applies only to plaintiffs except in family </w:t>
      </w:r>
      <w:r w:rsidR="00676F46">
        <w:t xml:space="preserve">law </w:t>
      </w:r>
      <w:r w:rsidRPr="00F06EE8">
        <w:t>where it applies to children in all roles. In PL, the provision does not apply to witnesses or defendants in asylum, migration, education and health matter</w:t>
      </w:r>
      <w:r w:rsidR="00676F46">
        <w:t>s</w:t>
      </w:r>
      <w:r w:rsidRPr="00F06EE8">
        <w:t>, and does not apply to defendants in placement into care matters. In PT the provision does not apply to defendants in employment, asylum, migration, education and health matters and does not apply to plaintiffs or defendant in placement into care.</w:t>
      </w:r>
      <w:r w:rsidR="00050135">
        <w:t xml:space="preserve"> </w:t>
      </w:r>
      <w:r w:rsidRPr="00F06EE8">
        <w:t>Where the provision applies to the role of witnesses, plaintiffs and defendants, if frequently applies to subjects and other roles as well.</w:t>
      </w:r>
      <w:r w:rsidR="00050135">
        <w:t xml:space="preserve"> </w:t>
      </w:r>
    </w:p>
    <w:p w:rsidR="005B4379" w:rsidRPr="00DA45BA" w:rsidRDefault="005B4379" w:rsidP="00571F56">
      <w:pPr>
        <w:pStyle w:val="BodyText"/>
        <w:rPr>
          <w:color w:val="000000"/>
          <w:spacing w:val="7"/>
          <w:shd w:val="clear" w:color="auto" w:fill="FFFFFF"/>
        </w:rPr>
      </w:pPr>
      <w:r>
        <w:rPr>
          <w:color w:val="000000"/>
          <w:spacing w:val="7"/>
          <w:shd w:val="clear" w:color="auto" w:fill="FFFFFF"/>
        </w:rPr>
        <w:t>Where this provision applies, it applies at all stages of proceedings.</w:t>
      </w:r>
      <w:r w:rsidR="00050135">
        <w:rPr>
          <w:color w:val="000000"/>
          <w:spacing w:val="7"/>
          <w:shd w:val="clear" w:color="auto" w:fill="FFFFFF"/>
        </w:rPr>
        <w:t xml:space="preserve"> </w:t>
      </w:r>
    </w:p>
    <w:p w:rsidR="00EC72EC" w:rsidRPr="00DA45BA" w:rsidRDefault="00EC72EC" w:rsidP="00571F56">
      <w:pPr>
        <w:pStyle w:val="BodyText"/>
        <w:rPr>
          <w:color w:val="000000"/>
          <w:spacing w:val="7"/>
          <w:shd w:val="clear" w:color="auto" w:fill="FFFFFF"/>
        </w:rPr>
      </w:pPr>
      <w:r>
        <w:rPr>
          <w:color w:val="000000"/>
          <w:spacing w:val="7"/>
          <w:shd w:val="clear" w:color="auto" w:fill="FFFFFF"/>
        </w:rPr>
        <w:fldChar w:fldCharType="begin"/>
      </w:r>
      <w:r>
        <w:rPr>
          <w:color w:val="000000"/>
          <w:spacing w:val="7"/>
          <w:shd w:val="clear" w:color="auto" w:fill="FFFFFF"/>
        </w:rPr>
        <w:instrText xml:space="preserve"> REF _Ref401248703 \r \h </w:instrText>
      </w:r>
      <w:r>
        <w:rPr>
          <w:color w:val="000000"/>
          <w:spacing w:val="7"/>
          <w:shd w:val="clear" w:color="auto" w:fill="FFFFFF"/>
        </w:rPr>
      </w:r>
      <w:r>
        <w:rPr>
          <w:color w:val="000000"/>
          <w:spacing w:val="7"/>
          <w:shd w:val="clear" w:color="auto" w:fill="FFFFFF"/>
        </w:rPr>
        <w:fldChar w:fldCharType="separate"/>
      </w:r>
      <w:r w:rsidR="000223E8">
        <w:rPr>
          <w:color w:val="000000"/>
          <w:spacing w:val="7"/>
          <w:shd w:val="clear" w:color="auto" w:fill="FFFFFF"/>
        </w:rPr>
        <w:t>Table A3.8</w:t>
      </w:r>
      <w:r>
        <w:rPr>
          <w:color w:val="000000"/>
          <w:spacing w:val="7"/>
          <w:shd w:val="clear" w:color="auto" w:fill="FFFFFF"/>
        </w:rPr>
        <w:fldChar w:fldCharType="end"/>
      </w:r>
      <w:r>
        <w:rPr>
          <w:color w:val="000000"/>
          <w:spacing w:val="7"/>
          <w:shd w:val="clear" w:color="auto" w:fill="FFFFFF"/>
        </w:rPr>
        <w:t xml:space="preserve"> provides an overview of the different procedures per section of law and jurisdiction.</w:t>
      </w:r>
    </w:p>
    <w:p w:rsidR="005B4379" w:rsidRPr="0063737C" w:rsidRDefault="005B4379" w:rsidP="00571F56">
      <w:pPr>
        <w:pStyle w:val="Heading4NoNumb"/>
        <w:ind w:firstLine="851"/>
      </w:pPr>
      <w:r w:rsidRPr="0063737C">
        <w:t>Prevention of privacy rights violations by the media (CivAdm089)</w:t>
      </w:r>
    </w:p>
    <w:p w:rsidR="005B4379" w:rsidRPr="00ED262F" w:rsidRDefault="005B4379" w:rsidP="00571F56">
      <w:pPr>
        <w:pStyle w:val="BodyText"/>
      </w:pPr>
      <w:r w:rsidRPr="00ED262F">
        <w:t xml:space="preserve">All jurisdictions except for six (BE, CZ, DE, EE, MT and SE) provide for </w:t>
      </w:r>
      <w:r w:rsidRPr="00B711CC">
        <w:rPr>
          <w:b/>
        </w:rPr>
        <w:t>legislative measures to prevent violations of children’s privacy rights by the media</w:t>
      </w:r>
      <w:r w:rsidRPr="00ED262F">
        <w:t xml:space="preserve"> at all stages of the proceedings. </w:t>
      </w:r>
      <w:r>
        <w:t>T</w:t>
      </w:r>
      <w:r w:rsidRPr="00ED262F">
        <w:t>h</w:t>
      </w:r>
      <w:r w:rsidR="008C2322">
        <w:t xml:space="preserve">e measures applies most frequently (in all 24 jurisdictions) </w:t>
      </w:r>
      <w:r w:rsidRPr="00ED262F">
        <w:t xml:space="preserve">in </w:t>
      </w:r>
      <w:r w:rsidRPr="00ED262F">
        <w:rPr>
          <w:b/>
        </w:rPr>
        <w:t>family and placement in care</w:t>
      </w:r>
      <w:r w:rsidRPr="00ED262F">
        <w:t xml:space="preserve">, and least </w:t>
      </w:r>
      <w:r w:rsidR="008C2322">
        <w:t xml:space="preserve">frequently </w:t>
      </w:r>
      <w:r w:rsidRPr="00ED262F">
        <w:t xml:space="preserve">in </w:t>
      </w:r>
      <w:r w:rsidRPr="00ED262F">
        <w:rPr>
          <w:b/>
        </w:rPr>
        <w:t>offences committed below the age of criminal responsibility</w:t>
      </w:r>
      <w:r w:rsidRPr="00ED262F">
        <w:t xml:space="preserve"> (18 jurisdictions). </w:t>
      </w:r>
    </w:p>
    <w:p w:rsidR="005B4379" w:rsidRPr="00ED262F" w:rsidRDefault="005B4379" w:rsidP="00571F56">
      <w:pPr>
        <w:pStyle w:val="BodyText"/>
      </w:pPr>
      <w:r w:rsidRPr="00ED262F">
        <w:t xml:space="preserve">In 16 out of the 24 jurisdictions where such legislative measures exist, the provision applies in </w:t>
      </w:r>
      <w:r w:rsidRPr="00B711CC">
        <w:rPr>
          <w:b/>
        </w:rPr>
        <w:t>all areas of law</w:t>
      </w:r>
      <w:r w:rsidRPr="00ED262F">
        <w:t xml:space="preserve"> (AT, BG, DK, EL, FI, HR, HU, LT, LU, LV, PL, PT, RO, SK, UK-E&amp;W and UK-NI). In five jurisdictions the measures apply in all but one area of law: administrative sanctions in IT, offences committed below the age of criminal responsibility in CY, ES, FR and SI. In NL they apply in all areas but administrative sanctions and offences committed below the age of criminal responsibility. In IE and </w:t>
      </w:r>
      <w:r w:rsidR="00CD7610">
        <w:t>UK-S</w:t>
      </w:r>
      <w:r w:rsidRPr="00ED262F">
        <w:t xml:space="preserve">, the measures only apply in three areas of law (family, placement in care in both, health and offences committed below the </w:t>
      </w:r>
      <w:r w:rsidR="00676F46">
        <w:t xml:space="preserve">minimum </w:t>
      </w:r>
      <w:r w:rsidRPr="00ED262F">
        <w:t xml:space="preserve">age of criminal responsibility respectively). </w:t>
      </w:r>
    </w:p>
    <w:p w:rsidR="005B4379" w:rsidRDefault="005B4379" w:rsidP="00571F56">
      <w:pPr>
        <w:pStyle w:val="BodyText"/>
      </w:pPr>
      <w:r w:rsidRPr="00ED262F">
        <w:t xml:space="preserve">In those jurisdictions where the legislative measures exist, they apply most often to children as </w:t>
      </w:r>
      <w:r w:rsidRPr="00ED262F">
        <w:rPr>
          <w:b/>
        </w:rPr>
        <w:t>plaintiffs</w:t>
      </w:r>
      <w:r w:rsidRPr="00ED262F">
        <w:t xml:space="preserve"> in judicial proceedings, followed closely by </w:t>
      </w:r>
      <w:r w:rsidRPr="00ED262F">
        <w:rPr>
          <w:b/>
        </w:rPr>
        <w:t>witnesses</w:t>
      </w:r>
      <w:r w:rsidRPr="00ED262F">
        <w:t xml:space="preserve">, then </w:t>
      </w:r>
      <w:r w:rsidRPr="00ED262F">
        <w:rPr>
          <w:b/>
        </w:rPr>
        <w:t>defendants</w:t>
      </w:r>
      <w:r w:rsidRPr="00ED262F">
        <w:t xml:space="preserve">. The measures apply least </w:t>
      </w:r>
      <w:r w:rsidR="00D81C60">
        <w:t xml:space="preserve">frequently </w:t>
      </w:r>
      <w:r w:rsidRPr="00ED262F">
        <w:t xml:space="preserve">in the case of </w:t>
      </w:r>
      <w:r w:rsidRPr="00ED262F">
        <w:rPr>
          <w:b/>
        </w:rPr>
        <w:t>subjects</w:t>
      </w:r>
      <w:r w:rsidRPr="00ED262F">
        <w:t xml:space="preserve">. The measures apply to all roles of the child in judicial proceedings in all jurisdictions concerned except in AT, LT, LV and SK, where they do not apply to subjects. </w:t>
      </w:r>
    </w:p>
    <w:p w:rsidR="00B17322" w:rsidRPr="00E1173A" w:rsidRDefault="00B17322" w:rsidP="00571F56">
      <w:pPr>
        <w:pStyle w:val="BodyText"/>
      </w:pPr>
      <w:r>
        <w:fldChar w:fldCharType="begin"/>
      </w:r>
      <w:r>
        <w:instrText xml:space="preserve"> REF _Ref406711860 \r \h </w:instrText>
      </w:r>
      <w:r>
        <w:fldChar w:fldCharType="separate"/>
      </w:r>
      <w:r w:rsidR="000223E8">
        <w:t>Table A4.3</w:t>
      </w:r>
      <w:r>
        <w:fldChar w:fldCharType="end"/>
      </w:r>
      <w:r>
        <w:t xml:space="preserve"> gives an overview of the e</w:t>
      </w:r>
      <w:r w:rsidRPr="000165DC">
        <w:t>xistence of legislative measures to prevent violations of the privacy rights of children by the media at all stages of the proceedings</w:t>
      </w:r>
      <w:r>
        <w:t>.</w:t>
      </w:r>
    </w:p>
    <w:p w:rsidR="005B4379" w:rsidRPr="0063737C" w:rsidRDefault="005B4379" w:rsidP="00571F56">
      <w:pPr>
        <w:pStyle w:val="Heading4NoNumb"/>
        <w:ind w:left="851"/>
      </w:pPr>
      <w:r w:rsidRPr="0063737C">
        <w:t xml:space="preserve">Media self-regulatory measures and independent monitoring </w:t>
      </w:r>
      <w:r w:rsidR="00F06EE8" w:rsidRPr="0063737C">
        <w:t xml:space="preserve">of these measures </w:t>
      </w:r>
      <w:r w:rsidRPr="0063737C">
        <w:t xml:space="preserve">(CivAdm090 and 092) </w:t>
      </w:r>
    </w:p>
    <w:p w:rsidR="005B4379" w:rsidRPr="00ED262F" w:rsidRDefault="005B4379" w:rsidP="00571F56">
      <w:pPr>
        <w:pStyle w:val="BodyText"/>
      </w:pPr>
      <w:r w:rsidRPr="00ED262F">
        <w:t xml:space="preserve">The </w:t>
      </w:r>
      <w:r w:rsidRPr="00B711CC">
        <w:rPr>
          <w:b/>
        </w:rPr>
        <w:t>media implement self-regulatory measures</w:t>
      </w:r>
      <w:r w:rsidRPr="00ED262F">
        <w:t xml:space="preserve"> in 22 jurisdictions (BE, BG, CY, DE, DK</w:t>
      </w:r>
      <w:r w:rsidR="0063737C">
        <w:t xml:space="preserve"> (see </w:t>
      </w:r>
      <w:r w:rsidR="0063737C" w:rsidRPr="0063737C">
        <w:rPr>
          <w:b/>
          <w:color w:val="0070C0"/>
        </w:rPr>
        <w:fldChar w:fldCharType="begin"/>
      </w:r>
      <w:r w:rsidR="0063737C" w:rsidRPr="0063737C">
        <w:rPr>
          <w:b/>
          <w:color w:val="0070C0"/>
        </w:rPr>
        <w:instrText xml:space="preserve"> REF _Ref398028315 \r \h  \* MERGEFORMAT </w:instrText>
      </w:r>
      <w:r w:rsidR="0063737C" w:rsidRPr="0063737C">
        <w:rPr>
          <w:b/>
          <w:color w:val="0070C0"/>
        </w:rPr>
      </w:r>
      <w:r w:rsidR="0063737C" w:rsidRPr="0063737C">
        <w:rPr>
          <w:b/>
          <w:color w:val="0070C0"/>
        </w:rPr>
        <w:fldChar w:fldCharType="separate"/>
      </w:r>
      <w:r w:rsidR="000223E8">
        <w:rPr>
          <w:b/>
          <w:color w:val="0070C0"/>
        </w:rPr>
        <w:t>Bo</w:t>
      </w:r>
      <w:r w:rsidR="000223E8">
        <w:rPr>
          <w:b/>
          <w:color w:val="0070C0"/>
        </w:rPr>
        <w:t>x</w:t>
      </w:r>
      <w:r w:rsidR="000223E8">
        <w:rPr>
          <w:b/>
          <w:color w:val="0070C0"/>
        </w:rPr>
        <w:t xml:space="preserve"> 8</w:t>
      </w:r>
      <w:r w:rsidR="0063737C" w:rsidRPr="0063737C">
        <w:rPr>
          <w:b/>
          <w:color w:val="0070C0"/>
        </w:rPr>
        <w:fldChar w:fldCharType="end"/>
      </w:r>
      <w:r w:rsidR="0063737C">
        <w:t>)</w:t>
      </w:r>
      <w:r w:rsidRPr="00ED262F">
        <w:t xml:space="preserve">, EE, ES, FI, HR, HU, IE, IT, LT, LV, MT, PT, SE, SI, SK, UK-E&amp;W, UK-NI and </w:t>
      </w:r>
      <w:r w:rsidR="00CD7610">
        <w:t>UK-S</w:t>
      </w:r>
      <w:r w:rsidRPr="00ED262F">
        <w:t xml:space="preserve">) </w:t>
      </w:r>
      <w:r w:rsidR="00D81C60" w:rsidRPr="00ED262F">
        <w:t>to protect the child’s right to privacy</w:t>
      </w:r>
      <w:r w:rsidR="00D81C60">
        <w:t>,</w:t>
      </w:r>
      <w:r w:rsidR="00D81C60" w:rsidRPr="00ED262F">
        <w:t xml:space="preserve"> </w:t>
      </w:r>
      <w:r w:rsidRPr="00ED262F">
        <w:t>such as a code of</w:t>
      </w:r>
      <w:r w:rsidR="00D81C60">
        <w:t xml:space="preserve"> ethics</w:t>
      </w:r>
      <w:r w:rsidRPr="00ED262F">
        <w:t>. Independent monitoring (non-media) of media self-regulatory measures exists in sixteen jurisdictions (BE, BG, CY, DK, EE, HR, IE, IT, LT, MT, PT,</w:t>
      </w:r>
      <w:r>
        <w:t xml:space="preserve"> </w:t>
      </w:r>
      <w:r w:rsidRPr="00ED262F">
        <w:t xml:space="preserve">SK, UK-E&amp;W, UK-NI and </w:t>
      </w:r>
      <w:r w:rsidR="00CD7610">
        <w:t>UK-S</w:t>
      </w:r>
      <w:r w:rsidRPr="00ED262F">
        <w:t>).</w:t>
      </w:r>
      <w:r w:rsidR="00050135">
        <w:t xml:space="preserve"> </w:t>
      </w:r>
      <w:r>
        <w:t>In respect of RO, the National Council of Audio-visual is an independent State institution which monitors the legal provisions in the field of audio-visual media.</w:t>
      </w:r>
      <w:r w:rsidR="00050135">
        <w:t xml:space="preserve"> </w:t>
      </w:r>
      <w:r>
        <w:t xml:space="preserve">It does not monitor self-regulatory measures applied by the media.  </w:t>
      </w:r>
    </w:p>
    <w:p w:rsidR="005B4379" w:rsidRPr="00ED262F" w:rsidRDefault="005B4379" w:rsidP="00571F56">
      <w:pPr>
        <w:pStyle w:val="BodyText"/>
      </w:pPr>
      <w:r>
        <w:t>Where m</w:t>
      </w:r>
      <w:r w:rsidRPr="00ED262F">
        <w:t xml:space="preserve">edia self-regulatory measures and the independent monitoring of these measures </w:t>
      </w:r>
      <w:r>
        <w:t>apply, they do so</w:t>
      </w:r>
      <w:r w:rsidRPr="00ED262F">
        <w:rPr>
          <w:b/>
        </w:rPr>
        <w:t xml:space="preserve"> in all areas of law,</w:t>
      </w:r>
      <w:r w:rsidRPr="00ED262F">
        <w:t xml:space="preserve"> with only </w:t>
      </w:r>
      <w:r w:rsidR="00676F46">
        <w:t>a</w:t>
      </w:r>
      <w:r w:rsidRPr="00ED262F">
        <w:t xml:space="preserve"> few exceptions: In five jurisdictions </w:t>
      </w:r>
      <w:r>
        <w:t>self-regulatory measures apply</w:t>
      </w:r>
      <w:r w:rsidRPr="00ED262F">
        <w:t xml:space="preserve"> in all areas but one (CY, ES and SI - </w:t>
      </w:r>
      <w:r w:rsidRPr="00ED262F">
        <w:rPr>
          <w:b/>
        </w:rPr>
        <w:t xml:space="preserve">offences committed below </w:t>
      </w:r>
      <w:r w:rsidR="0063737C">
        <w:rPr>
          <w:b/>
        </w:rPr>
        <w:t>MACR</w:t>
      </w:r>
      <w:r w:rsidRPr="00ED262F">
        <w:t xml:space="preserve">; IT and </w:t>
      </w:r>
      <w:r w:rsidR="00CD7610">
        <w:t>UK-S</w:t>
      </w:r>
      <w:r w:rsidRPr="00ED262F">
        <w:t xml:space="preserve"> – </w:t>
      </w:r>
      <w:r w:rsidRPr="00ED262F">
        <w:rPr>
          <w:b/>
        </w:rPr>
        <w:t>administrative sanctions</w:t>
      </w:r>
      <w:r w:rsidRPr="00ED262F">
        <w:t xml:space="preserve">). In SE </w:t>
      </w:r>
      <w:r>
        <w:t>self-regulatory measures apply</w:t>
      </w:r>
      <w:r w:rsidRPr="00ED262F">
        <w:t xml:space="preserve"> in all areas except family, employment and offences committed below the age of criminal responsibility.</w:t>
      </w:r>
    </w:p>
    <w:p w:rsidR="005B4379" w:rsidRDefault="005B4379" w:rsidP="00571F56">
      <w:pPr>
        <w:pStyle w:val="BodyText"/>
      </w:pPr>
      <w:r w:rsidRPr="00ED262F">
        <w:t>Where</w:t>
      </w:r>
      <w:r>
        <w:t>ver</w:t>
      </w:r>
      <w:r w:rsidRPr="00ED262F">
        <w:t xml:space="preserve"> self-regulatory measures are in place,</w:t>
      </w:r>
      <w:r>
        <w:t xml:space="preserve"> they apply to child </w:t>
      </w:r>
      <w:r w:rsidRPr="00B711CC">
        <w:rPr>
          <w:b/>
        </w:rPr>
        <w:t>witnesses, plaintiffs and defendants</w:t>
      </w:r>
      <w:r w:rsidRPr="00ED262F">
        <w:t xml:space="preserve"> </w:t>
      </w:r>
      <w:r>
        <w:t>with four exceptions (FI, HU, PT and ES).</w:t>
      </w:r>
      <w:r w:rsidR="00050135">
        <w:t xml:space="preserve"> </w:t>
      </w:r>
      <w:r>
        <w:t>In FI, this provision does not apply to defendants except in family matters. In HU, this provision does not apply to defendants except in family, employment, health and administrative sanctions.</w:t>
      </w:r>
      <w:r w:rsidR="00050135">
        <w:t xml:space="preserve"> </w:t>
      </w:r>
      <w:r>
        <w:t>In PT, this provision does not apply to defendants except in family, administrative sanctions, and offences committed below MACR.</w:t>
      </w:r>
      <w:r w:rsidR="00050135">
        <w:t xml:space="preserve"> </w:t>
      </w:r>
      <w:r>
        <w:t xml:space="preserve">In ES, the provision does not apply to </w:t>
      </w:r>
      <w:r w:rsidR="00285BC0">
        <w:t>defendants</w:t>
      </w:r>
      <w:r>
        <w:t xml:space="preserve">. In many jurisdictions in areas of law where </w:t>
      </w:r>
      <w:r w:rsidRPr="00ED262F">
        <w:t>self-regulatory measures are in place</w:t>
      </w:r>
      <w:r>
        <w:t xml:space="preserve"> they apply to subjects and, occasionally, to other roles as well.</w:t>
      </w:r>
      <w:r w:rsidR="00050135">
        <w:t xml:space="preserve"> </w:t>
      </w:r>
      <w:r>
        <w:t xml:space="preserve">The same exceptions as above apply to </w:t>
      </w:r>
      <w:r w:rsidRPr="00ED262F">
        <w:t>monitoring</w:t>
      </w:r>
      <w:r>
        <w:t xml:space="preserve"> of </w:t>
      </w:r>
      <w:r w:rsidRPr="00ED262F">
        <w:t>self-regulatory measures</w:t>
      </w:r>
      <w:r>
        <w:t>, except that in HU and ES, there is no such provision.</w:t>
      </w:r>
      <w:r w:rsidR="00050135">
        <w:t xml:space="preserve"> </w:t>
      </w:r>
    </w:p>
    <w:p w:rsidR="005B4379" w:rsidRPr="00ED262F" w:rsidRDefault="005B4379" w:rsidP="00571F56">
      <w:pPr>
        <w:pStyle w:val="BodyText"/>
      </w:pPr>
      <w:r>
        <w:t>Both provisions a</w:t>
      </w:r>
      <w:r w:rsidRPr="00ED262F">
        <w:t xml:space="preserve">pply least to </w:t>
      </w:r>
      <w:r w:rsidRPr="00ED262F">
        <w:rPr>
          <w:b/>
        </w:rPr>
        <w:t>subjects</w:t>
      </w:r>
      <w:r w:rsidRPr="00ED262F">
        <w:t xml:space="preserve">. They apply to all roles of the child in all jurisdictions </w:t>
      </w:r>
      <w:r>
        <w:t xml:space="preserve">in at least one area of law </w:t>
      </w:r>
      <w:r w:rsidRPr="00ED262F">
        <w:t xml:space="preserve">except in DE, LT, LV, SE and SK where they do not apply to subjects. </w:t>
      </w:r>
    </w:p>
    <w:p w:rsidR="005B4379" w:rsidRPr="00ED262F" w:rsidRDefault="00F06EE8" w:rsidP="00571F56">
      <w:pPr>
        <w:pStyle w:val="BodyText"/>
      </w:pPr>
      <w:r>
        <w:t>Examples of the</w:t>
      </w:r>
      <w:r w:rsidR="005B4379">
        <w:t xml:space="preserve"> </w:t>
      </w:r>
      <w:r>
        <w:t>i</w:t>
      </w:r>
      <w:r w:rsidR="005B4379" w:rsidRPr="00ED262F">
        <w:t>ndependent monitoring bodies include:</w:t>
      </w:r>
    </w:p>
    <w:p w:rsidR="005B4379" w:rsidRPr="0063737C" w:rsidRDefault="005B4379" w:rsidP="00571F56">
      <w:pPr>
        <w:pStyle w:val="BTBullet1"/>
      </w:pPr>
      <w:r w:rsidRPr="0063737C">
        <w:t>The independent, non-governmental Cyprus Media Complaints Commission (CY)</w:t>
      </w:r>
    </w:p>
    <w:p w:rsidR="005B4379" w:rsidRPr="0063737C" w:rsidRDefault="005B4379" w:rsidP="00571F56">
      <w:pPr>
        <w:pStyle w:val="BTBullet1"/>
      </w:pPr>
      <w:r w:rsidRPr="0063737C">
        <w:t>The Press Council (DK)</w:t>
      </w:r>
    </w:p>
    <w:p w:rsidR="005B4379" w:rsidRDefault="005B4379" w:rsidP="00571F56">
      <w:pPr>
        <w:pStyle w:val="BTBullet1"/>
      </w:pPr>
      <w:r w:rsidRPr="0063737C">
        <w:t>Office of the Inspector of Journalist Ethics (LT)</w:t>
      </w:r>
    </w:p>
    <w:p w:rsidR="0063737C" w:rsidRPr="0063737C" w:rsidRDefault="0063737C" w:rsidP="0063737C">
      <w:pPr>
        <w:pStyle w:val="BTBullet1"/>
        <w:numPr>
          <w:ilvl w:val="0"/>
          <w:numId w:val="0"/>
        </w:numPr>
        <w:ind w:left="1191"/>
        <w:rPr>
          <w:sz w:val="22"/>
          <w:szCs w:val="22"/>
        </w:rPr>
      </w:pPr>
    </w:p>
    <w:tbl>
      <w:tblPr>
        <w:tblW w:w="8353" w:type="dxa"/>
        <w:tblInd w:w="805"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353"/>
      </w:tblGrid>
      <w:tr w:rsidR="00F06EE8" w:rsidRPr="00FA6B99" w:rsidTr="00A17674">
        <w:tc>
          <w:tcPr>
            <w:tcW w:w="8353" w:type="dxa"/>
            <w:shd w:val="clear" w:color="auto" w:fill="CDEBFF"/>
          </w:tcPr>
          <w:p w:rsidR="00F06EE8" w:rsidRPr="00694BE0" w:rsidRDefault="00F06EE8" w:rsidP="00173CAC">
            <w:pPr>
              <w:pStyle w:val="BoxNumb"/>
              <w:numPr>
                <w:ilvl w:val="4"/>
                <w:numId w:val="27"/>
              </w:numPr>
              <w:rPr>
                <w:sz w:val="26"/>
                <w:szCs w:val="26"/>
              </w:rPr>
            </w:pPr>
            <w:bookmarkStart w:id="189" w:name="_Ref398028315"/>
            <w:r w:rsidRPr="00694BE0">
              <w:rPr>
                <w:sz w:val="26"/>
                <w:szCs w:val="26"/>
              </w:rPr>
              <w:t>Denmark – The media’s self-regulatory ethical rules</w:t>
            </w:r>
            <w:bookmarkEnd w:id="189"/>
            <w:r w:rsidRPr="00694BE0">
              <w:rPr>
                <w:sz w:val="26"/>
                <w:szCs w:val="26"/>
              </w:rPr>
              <w:t xml:space="preserve"> </w:t>
            </w:r>
          </w:p>
          <w:p w:rsidR="00F06EE8" w:rsidRDefault="00F06EE8" w:rsidP="00690378">
            <w:pPr>
              <w:pStyle w:val="TableText"/>
              <w:rPr>
                <w:sz w:val="20"/>
                <w:szCs w:val="20"/>
                <w:lang w:val="en-US"/>
              </w:rPr>
            </w:pPr>
            <w:r w:rsidRPr="00F06EE8">
              <w:rPr>
                <w:sz w:val="20"/>
                <w:szCs w:val="20"/>
              </w:rPr>
              <w:t xml:space="preserve">In civil court cases, including family cases, the media is bound by self-regulatory ethical rules, which regulate the way the media can report on court proceedings. The ethical rules are overseen by </w:t>
            </w:r>
            <w:r w:rsidRPr="00F06EE8">
              <w:rPr>
                <w:sz w:val="20"/>
                <w:szCs w:val="20"/>
                <w:lang w:val="en-US"/>
              </w:rPr>
              <w:t xml:space="preserve">the Press Council which is an independent, public tribunal dealing with complaints about the mass media. </w:t>
            </w:r>
          </w:p>
          <w:p w:rsidR="00F06EE8" w:rsidRDefault="00F06EE8" w:rsidP="00690378">
            <w:pPr>
              <w:pStyle w:val="TableText"/>
              <w:rPr>
                <w:sz w:val="20"/>
                <w:szCs w:val="20"/>
              </w:rPr>
            </w:pPr>
            <w:r w:rsidRPr="00F06EE8">
              <w:rPr>
                <w:sz w:val="20"/>
                <w:szCs w:val="20"/>
              </w:rPr>
              <w:t xml:space="preserve">There are no child-specific rules in the Press Ethical Rules. In general, according to the Press Ethical Rules: “The mention of a person’s family history, occupation, race, nationality, creed, or membership of organisations should be avoided unless this has something directly to do with the case”. </w:t>
            </w:r>
          </w:p>
          <w:p w:rsidR="00F06EE8" w:rsidRPr="00FA6B99" w:rsidRDefault="00F06EE8" w:rsidP="00690378">
            <w:pPr>
              <w:pStyle w:val="TableText"/>
              <w:rPr>
                <w:sz w:val="20"/>
                <w:szCs w:val="20"/>
              </w:rPr>
            </w:pPr>
            <w:r w:rsidRPr="00F06EE8">
              <w:rPr>
                <w:sz w:val="20"/>
                <w:szCs w:val="20"/>
                <w:lang w:val="en-US"/>
              </w:rPr>
              <w:t>The Press Council can express its criticism and may direct the editor to publish the decision of the Council to an extent specified by the Council. However, the Press Council cannot impose a sentence on mass media or assure the complainant financial compensation</w:t>
            </w:r>
            <w:r w:rsidR="00676F46">
              <w:rPr>
                <w:sz w:val="20"/>
                <w:szCs w:val="20"/>
                <w:lang w:val="en-US"/>
              </w:rPr>
              <w:t>.</w:t>
            </w:r>
          </w:p>
        </w:tc>
      </w:tr>
    </w:tbl>
    <w:p w:rsidR="005B4379" w:rsidRPr="00B711CC" w:rsidRDefault="005B4379" w:rsidP="00571F56">
      <w:pPr>
        <w:pStyle w:val="Heading4NoNumb"/>
        <w:ind w:left="851"/>
      </w:pPr>
      <w:r w:rsidRPr="00B711CC">
        <w:t>Right to family life: existence of support measures to avoid adverse consequences of the proceedings on family relations (CivAdm088)</w:t>
      </w:r>
    </w:p>
    <w:p w:rsidR="005B4379" w:rsidRPr="00ED262F" w:rsidRDefault="005B4379" w:rsidP="00571F56">
      <w:pPr>
        <w:pStyle w:val="BodyText"/>
      </w:pPr>
      <w:r w:rsidRPr="00ED262F">
        <w:t>Guidance and support measures for children and their families by specialised services are available in 18 jurisdictions (AT, BG, CY, DE, DK, EE, EL, HU, FI, FR, MT, PT, SE, SI, SK, UK-E&amp;W and UK-NI). The specialised services support the family to avoid adverse consequences of the judicial proceedings on their family relations. Twelve of these jurisdictions offer such guidance and support measures free of charge (AT, CY, DK, EE, FI, FR, DE, MT, PT, SK, SI, and SE).</w:t>
      </w:r>
      <w:r w:rsidR="00050135">
        <w:t xml:space="preserve"> </w:t>
      </w:r>
    </w:p>
    <w:p w:rsidR="005B4379" w:rsidRPr="00ED262F" w:rsidRDefault="005B4379" w:rsidP="00571F56">
      <w:pPr>
        <w:pStyle w:val="BodyText"/>
      </w:pPr>
      <w:r w:rsidRPr="00ED262F">
        <w:t xml:space="preserve">In those jurisdictions where the provision exists, it applies in all jurisdictions in the area of </w:t>
      </w:r>
      <w:r w:rsidRPr="00ED262F">
        <w:rPr>
          <w:b/>
        </w:rPr>
        <w:t>family</w:t>
      </w:r>
      <w:r w:rsidRPr="00ED262F">
        <w:t xml:space="preserve">, followed by </w:t>
      </w:r>
      <w:r w:rsidRPr="00ED262F">
        <w:rPr>
          <w:b/>
        </w:rPr>
        <w:t>placement in care</w:t>
      </w:r>
      <w:r w:rsidRPr="00ED262F">
        <w:t xml:space="preserve"> (15 jurisdictions). Seven MS (AT, BG, DE, EE, FI, MT, and SK) offer support measures in all areas of law, and in CY and SI in all but offences committed below the age of criminal responsibility. </w:t>
      </w:r>
    </w:p>
    <w:p w:rsidR="005B4379" w:rsidRPr="00ED262F" w:rsidRDefault="005B4379" w:rsidP="00571F56">
      <w:pPr>
        <w:pStyle w:val="BodyText"/>
      </w:pPr>
      <w:r w:rsidRPr="00ED262F">
        <w:t xml:space="preserve">Where the guidance and support measures exist, they apply most often to </w:t>
      </w:r>
      <w:r w:rsidRPr="00ED262F">
        <w:rPr>
          <w:b/>
        </w:rPr>
        <w:t>plaintiffs</w:t>
      </w:r>
      <w:r w:rsidRPr="00ED262F">
        <w:t xml:space="preserve">, followed by </w:t>
      </w:r>
      <w:r w:rsidRPr="00ED262F">
        <w:rPr>
          <w:b/>
        </w:rPr>
        <w:t>defendants</w:t>
      </w:r>
      <w:r w:rsidRPr="00ED262F">
        <w:t xml:space="preserve"> and </w:t>
      </w:r>
      <w:r w:rsidRPr="00ED262F">
        <w:rPr>
          <w:b/>
        </w:rPr>
        <w:t xml:space="preserve">witnesses, </w:t>
      </w:r>
      <w:r w:rsidRPr="00ED262F">
        <w:t xml:space="preserve">and apply least to </w:t>
      </w:r>
      <w:r w:rsidRPr="00ED262F">
        <w:rPr>
          <w:b/>
        </w:rPr>
        <w:t>subjects</w:t>
      </w:r>
      <w:r w:rsidRPr="00ED262F">
        <w:t xml:space="preserve">. They apply to all roles of the child in </w:t>
      </w:r>
      <w:r w:rsidR="00676F46">
        <w:t>10</w:t>
      </w:r>
      <w:r w:rsidRPr="00ED262F">
        <w:t xml:space="preserve"> MS. In AT and DE they do not apply to subjects, in SK, UK-E&amp;W and UK-NI not to witnesses. In EL, HU and SE, where the measures apply only in the area of family, they only concern witnesses in the case of EL, subjects in HU, and witnesses, plaintiffs and subjects in SE. </w:t>
      </w:r>
    </w:p>
    <w:p w:rsidR="005B4379" w:rsidRPr="00ED262F" w:rsidRDefault="005B4379" w:rsidP="00571F56">
      <w:pPr>
        <w:pStyle w:val="BodyText"/>
      </w:pPr>
      <w:r w:rsidRPr="00ED262F">
        <w:t xml:space="preserve">The measures are available in all jurisdictions </w:t>
      </w:r>
      <w:r w:rsidRPr="00ED262F">
        <w:rPr>
          <w:b/>
        </w:rPr>
        <w:t>at all stages of the proceeding</w:t>
      </w:r>
      <w:r w:rsidRPr="00ED262F">
        <w:t xml:space="preserve">, except in BG where they apply </w:t>
      </w:r>
      <w:r w:rsidRPr="00ED262F">
        <w:rPr>
          <w:b/>
        </w:rPr>
        <w:t>only during and after</w:t>
      </w:r>
      <w:r w:rsidRPr="00ED262F">
        <w:t xml:space="preserve"> the proceeding. </w:t>
      </w:r>
    </w:p>
    <w:p w:rsidR="005B4379" w:rsidRPr="00ED262F" w:rsidRDefault="005B4379" w:rsidP="00571F56">
      <w:pPr>
        <w:pStyle w:val="BodyText"/>
      </w:pPr>
      <w:r w:rsidRPr="00ED262F">
        <w:t>Types of guidance and support measures include:</w:t>
      </w:r>
    </w:p>
    <w:p w:rsidR="005B4379" w:rsidRPr="00A7584E" w:rsidRDefault="00676F46" w:rsidP="00571F56">
      <w:pPr>
        <w:pStyle w:val="BTBullet1"/>
      </w:pPr>
      <w:r>
        <w:t>s</w:t>
      </w:r>
      <w:r w:rsidR="005B4379" w:rsidRPr="00A7584E">
        <w:t xml:space="preserve">ocial </w:t>
      </w:r>
      <w:r>
        <w:t>s</w:t>
      </w:r>
      <w:r w:rsidR="005B4379" w:rsidRPr="00A7584E">
        <w:t xml:space="preserve">ervices when acting as a legal representative, i.e. unaccompanied </w:t>
      </w:r>
      <w:r>
        <w:t>children</w:t>
      </w:r>
      <w:r w:rsidR="005B4379" w:rsidRPr="00A7584E">
        <w:t xml:space="preserve"> seeking asylum or children under the care of </w:t>
      </w:r>
      <w:r>
        <w:t>so</w:t>
      </w:r>
      <w:r w:rsidR="005B4379" w:rsidRPr="00A7584E">
        <w:t xml:space="preserve">cial </w:t>
      </w:r>
      <w:r>
        <w:t>s</w:t>
      </w:r>
      <w:r w:rsidR="005B4379" w:rsidRPr="00A7584E">
        <w:t>ervices; the Child Commissioner in cases when fundamental rights issues are involved (CY)</w:t>
      </w:r>
    </w:p>
    <w:p w:rsidR="005B4379" w:rsidRPr="00A7584E" w:rsidRDefault="00676F46" w:rsidP="00571F56">
      <w:pPr>
        <w:pStyle w:val="BTBullet1"/>
      </w:pPr>
      <w:r>
        <w:t>y</w:t>
      </w:r>
      <w:r w:rsidR="005B4379" w:rsidRPr="00A7584E">
        <w:t>outh services may participate in proceedings before the family court to support the child and explain to him/her the proceedings in a child-friendly manner (DE)</w:t>
      </w:r>
    </w:p>
    <w:p w:rsidR="005B4379" w:rsidRPr="00A7584E" w:rsidRDefault="005B4379" w:rsidP="00571F56">
      <w:pPr>
        <w:pStyle w:val="BTBullet1"/>
      </w:pPr>
      <w:r w:rsidRPr="00A7584E">
        <w:t>In some civil guardianship procedures: family mediation services, t</w:t>
      </w:r>
      <w:r w:rsidRPr="00A7584E">
        <w:rPr>
          <w:rStyle w:val="st"/>
          <w:rFonts w:cs="Arial"/>
          <w:sz w:val="22"/>
          <w:szCs w:val="22"/>
        </w:rPr>
        <w:t xml:space="preserve">he Commission for the Protection of </w:t>
      </w:r>
      <w:r w:rsidRPr="00A7584E">
        <w:rPr>
          <w:rStyle w:val="Emphasis"/>
          <w:rFonts w:cs="Arial"/>
          <w:sz w:val="22"/>
          <w:szCs w:val="22"/>
        </w:rPr>
        <w:t>Children</w:t>
      </w:r>
      <w:r w:rsidRPr="00A7584E">
        <w:rPr>
          <w:rStyle w:val="st"/>
          <w:rFonts w:cs="Arial"/>
          <w:sz w:val="22"/>
          <w:szCs w:val="22"/>
        </w:rPr>
        <w:t xml:space="preserve"> and Juveniles (</w:t>
      </w:r>
      <w:r w:rsidRPr="00A7584E">
        <w:t>CPCJ), and social services (PT)</w:t>
      </w:r>
    </w:p>
    <w:p w:rsidR="005B4379" w:rsidRPr="00A7584E" w:rsidRDefault="005B4379" w:rsidP="00571F56">
      <w:pPr>
        <w:pStyle w:val="BTBullet1"/>
      </w:pPr>
      <w:r w:rsidRPr="00A7584E">
        <w:t>A guardianship court may direct the child and his/her parents to a therapy and monitor results of the therapy (PL)</w:t>
      </w:r>
    </w:p>
    <w:p w:rsidR="005B4379" w:rsidRDefault="005B4379" w:rsidP="00571F56">
      <w:pPr>
        <w:pStyle w:val="BodyText"/>
      </w:pPr>
      <w:r w:rsidRPr="00ED262F">
        <w:t>In order to avoid adverse consequences on family relations, e.g. in AT, EL and PT, child witnesses have the right not to testify against parties who are close relatives.</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71F56" w:rsidTr="004017DA">
        <w:tc>
          <w:tcPr>
            <w:tcW w:w="8222" w:type="dxa"/>
            <w:shd w:val="clear" w:color="auto" w:fill="CDEBFF"/>
          </w:tcPr>
          <w:p w:rsidR="00571F56" w:rsidRPr="00571F56" w:rsidRDefault="00571F56" w:rsidP="00571F56">
            <w:pPr>
              <w:pStyle w:val="TableText"/>
              <w:rPr>
                <w:rFonts w:ascii="Calibri" w:hAnsi="Calibri"/>
                <w:b/>
                <w:color w:val="0067AC"/>
                <w:sz w:val="26"/>
                <w:szCs w:val="26"/>
              </w:rPr>
            </w:pPr>
            <w:r w:rsidRPr="00571F56">
              <w:rPr>
                <w:rFonts w:ascii="Calibri" w:hAnsi="Calibri"/>
                <w:b/>
                <w:color w:val="0067AC"/>
                <w:sz w:val="26"/>
                <w:szCs w:val="26"/>
              </w:rPr>
              <w:t>Children’s right to private and family life</w:t>
            </w:r>
          </w:p>
          <w:p w:rsidR="00571F56" w:rsidRDefault="00571F56" w:rsidP="00571F56">
            <w:pPr>
              <w:pStyle w:val="BTBullet1"/>
              <w:tabs>
                <w:tab w:val="clear" w:pos="1191"/>
              </w:tabs>
              <w:ind w:left="414" w:hanging="360"/>
            </w:pPr>
            <w:r w:rsidRPr="00571F56">
              <w:t xml:space="preserve">Almost all jurisdictions guarantee children involved in civil and administrative proceedings the statutory right to privacy (27 jurisdictions) and protection of their personal data (all 29 jurisdictions). </w:t>
            </w:r>
          </w:p>
          <w:p w:rsidR="00571F56" w:rsidRDefault="00571F56" w:rsidP="00571F56">
            <w:pPr>
              <w:pStyle w:val="BTBullet1"/>
              <w:tabs>
                <w:tab w:val="clear" w:pos="1191"/>
              </w:tabs>
              <w:ind w:left="414" w:hanging="360"/>
            </w:pPr>
            <w:r w:rsidRPr="00571F56">
              <w:t xml:space="preserve">Professionals directly involved in the proceedings are largely bound by confidentiality rules. </w:t>
            </w:r>
          </w:p>
          <w:p w:rsidR="00571F56" w:rsidRDefault="00571F56" w:rsidP="00571F56">
            <w:pPr>
              <w:pStyle w:val="BTBullet1"/>
              <w:tabs>
                <w:tab w:val="clear" w:pos="1191"/>
              </w:tabs>
              <w:ind w:left="414" w:hanging="360"/>
            </w:pPr>
            <w:r w:rsidRPr="00571F56">
              <w:t xml:space="preserve">The right to privacy must be balanced against the right to freedom of information and expression. Nevertheless, in the majority of jurisdictions, legislative provisions (24 jurisdictions) and self-regulatory measures (22 jurisdictions) aim at preventing violations of the privacy rights of children by the media. </w:t>
            </w:r>
          </w:p>
          <w:p w:rsidR="00571F56" w:rsidRDefault="00571F56" w:rsidP="00571F56">
            <w:pPr>
              <w:pStyle w:val="BTBullet1"/>
              <w:tabs>
                <w:tab w:val="clear" w:pos="1191"/>
              </w:tabs>
              <w:ind w:left="414" w:hanging="360"/>
            </w:pPr>
            <w:r w:rsidRPr="00571F56">
              <w:t xml:space="preserve">Support measures exist in 28 jurisdictions to avoid adverse consequences of the proceedings on family life. </w:t>
            </w:r>
          </w:p>
          <w:p w:rsidR="00571F56" w:rsidRPr="00571F56" w:rsidRDefault="00571F56" w:rsidP="00571F56">
            <w:pPr>
              <w:pStyle w:val="BTBullet1"/>
              <w:tabs>
                <w:tab w:val="clear" w:pos="1191"/>
              </w:tabs>
              <w:ind w:left="414" w:hanging="360"/>
            </w:pPr>
            <w:r w:rsidRPr="00571F56">
              <w:t>The above listed measures apply most frequently to children involved as plaintiffs, defendants and witnesses in family and placement in care proceedings. In many jurisdictions, the relevant measures often do not cover children as subjects.</w:t>
            </w:r>
          </w:p>
        </w:tc>
      </w:tr>
      <w:tr w:rsidR="00B17322" w:rsidTr="004017DA">
        <w:tc>
          <w:tcPr>
            <w:tcW w:w="8222" w:type="dxa"/>
            <w:shd w:val="clear" w:color="auto" w:fill="CDEBFF"/>
          </w:tcPr>
          <w:p w:rsidR="00B17322" w:rsidRPr="00571F56" w:rsidRDefault="00B17322" w:rsidP="00571F56">
            <w:pPr>
              <w:pStyle w:val="TableText"/>
              <w:rPr>
                <w:rFonts w:ascii="Calibri" w:hAnsi="Calibri"/>
                <w:b/>
                <w:color w:val="0067AC"/>
                <w:sz w:val="26"/>
                <w:szCs w:val="26"/>
              </w:rPr>
            </w:pPr>
          </w:p>
        </w:tc>
      </w:tr>
    </w:tbl>
    <w:p w:rsidR="00B17322" w:rsidRDefault="00B17322" w:rsidP="00A5732C">
      <w:pPr>
        <w:pStyle w:val="Heading2"/>
        <w:numPr>
          <w:ilvl w:val="0"/>
          <w:numId w:val="0"/>
        </w:numPr>
        <w:ind w:left="851"/>
      </w:pPr>
      <w:bookmarkStart w:id="190" w:name="_Ref398030263"/>
      <w:bookmarkStart w:id="191" w:name="_Ref398152553"/>
      <w:bookmarkStart w:id="192" w:name="_Toc406590157"/>
    </w:p>
    <w:p w:rsidR="00D734A5" w:rsidRDefault="009461EA" w:rsidP="00A7584E">
      <w:pPr>
        <w:pStyle w:val="Heading2"/>
      </w:pPr>
      <w:bookmarkStart w:id="193" w:name="_Toc408908721"/>
      <w:r>
        <w:t>The child’s r</w:t>
      </w:r>
      <w:r w:rsidR="00D734A5" w:rsidRPr="00D734A5">
        <w:t xml:space="preserve">ight to be heard and </w:t>
      </w:r>
      <w:r>
        <w:t xml:space="preserve">to </w:t>
      </w:r>
      <w:r w:rsidR="00D734A5" w:rsidRPr="00D734A5">
        <w:t>participate in civil and administrative judicial proceedings</w:t>
      </w:r>
      <w:bookmarkEnd w:id="190"/>
      <w:bookmarkEnd w:id="191"/>
      <w:bookmarkEnd w:id="192"/>
      <w:bookmarkEnd w:id="193"/>
    </w:p>
    <w:p w:rsidR="000B6273" w:rsidRDefault="008A1EA2" w:rsidP="00571F56">
      <w:pPr>
        <w:pStyle w:val="BodyText"/>
      </w:pPr>
      <w:r>
        <w:t xml:space="preserve">This </w:t>
      </w:r>
      <w:r w:rsidR="000B6273">
        <w:t xml:space="preserve">sub </w:t>
      </w:r>
      <w:r>
        <w:t xml:space="preserve">section examines </w:t>
      </w:r>
      <w:r w:rsidRPr="008A1EA2">
        <w:t xml:space="preserve">the extent to which MS have developed </w:t>
      </w:r>
      <w:r>
        <w:t xml:space="preserve">legislation and </w:t>
      </w:r>
      <w:r w:rsidRPr="008A1EA2">
        <w:t>policies to give effect to the child’s right to be heard in civil and administrative judicial proceedings.</w:t>
      </w:r>
      <w:r w:rsidR="000B6273">
        <w:t xml:space="preserve"> In particular:</w:t>
      </w:r>
      <w:r w:rsidR="00D4155F">
        <w:t xml:space="preserve"> w</w:t>
      </w:r>
      <w:r w:rsidR="000B6273">
        <w:t xml:space="preserve">hether there is a </w:t>
      </w:r>
      <w:r w:rsidR="00D4155F">
        <w:t xml:space="preserve">statutory </w:t>
      </w:r>
      <w:r w:rsidR="000B6273">
        <w:t>right to be heard</w:t>
      </w:r>
      <w:r w:rsidR="00D4155F">
        <w:t>; w</w:t>
      </w:r>
      <w:r w:rsidR="00D531F7" w:rsidRPr="00D4155F">
        <w:t xml:space="preserve">hether </w:t>
      </w:r>
      <w:r w:rsidR="00FC3894">
        <w:t>g</w:t>
      </w:r>
      <w:r w:rsidR="000B6273" w:rsidRPr="00D4155F">
        <w:t>uidance for judicial authorities</w:t>
      </w:r>
      <w:r w:rsidR="00D531F7" w:rsidRPr="00D4155F">
        <w:t xml:space="preserve"> is provided</w:t>
      </w:r>
      <w:r w:rsidR="00B527CD">
        <w:t>;</w:t>
      </w:r>
      <w:r w:rsidR="00D531F7" w:rsidRPr="00D4155F">
        <w:t xml:space="preserve"> and, </w:t>
      </w:r>
      <w:r w:rsidR="00D4155F">
        <w:t>w</w:t>
      </w:r>
      <w:r w:rsidR="00D531F7" w:rsidRPr="00D4155F">
        <w:t xml:space="preserve">hether there is a </w:t>
      </w:r>
      <w:r w:rsidR="000B6273" w:rsidRPr="00D4155F">
        <w:t>statutory right to interpretation or translation</w:t>
      </w:r>
      <w:r w:rsidR="00D4155F">
        <w:t>.</w:t>
      </w:r>
    </w:p>
    <w:p w:rsidR="00341569" w:rsidRPr="00455958" w:rsidRDefault="00294B03" w:rsidP="00571F56">
      <w:pPr>
        <w:pStyle w:val="Heading4NoNumb"/>
        <w:ind w:firstLine="851"/>
      </w:pPr>
      <w:r w:rsidRPr="00455958">
        <w:t xml:space="preserve">Express right to be heard </w:t>
      </w:r>
      <w:r w:rsidR="008A1EA2" w:rsidRPr="00455958">
        <w:t xml:space="preserve">exists </w:t>
      </w:r>
      <w:r w:rsidRPr="00455958">
        <w:t>in legislation</w:t>
      </w:r>
      <w:r w:rsidR="0083206A" w:rsidRPr="00455958">
        <w:t xml:space="preserve"> (CivAdm127)</w:t>
      </w:r>
    </w:p>
    <w:p w:rsidR="00051A8B" w:rsidRDefault="00044AE9" w:rsidP="00571F56">
      <w:pPr>
        <w:pStyle w:val="BodyText"/>
      </w:pPr>
      <w:r>
        <w:t xml:space="preserve">An </w:t>
      </w:r>
      <w:r w:rsidR="00294B03" w:rsidRPr="00B527CD">
        <w:rPr>
          <w:b/>
        </w:rPr>
        <w:t xml:space="preserve">express right to be heard </w:t>
      </w:r>
      <w:r w:rsidR="00294B03">
        <w:t>exists</w:t>
      </w:r>
      <w:r>
        <w:t xml:space="preserve"> in 26 jurisdictions. In 15 out of these (AT, BE, BG, HR, CZ, DK, EE, FI, DE, HU, LV, LU, RO, SK, UK-E&amp;W)</w:t>
      </w:r>
      <w:r w:rsidR="008A1EA2">
        <w:t>, the right</w:t>
      </w:r>
      <w:r w:rsidR="00294B03">
        <w:t xml:space="preserve"> </w:t>
      </w:r>
      <w:r>
        <w:t>applies</w:t>
      </w:r>
      <w:r w:rsidR="00294B03">
        <w:t xml:space="preserve"> in </w:t>
      </w:r>
      <w:r>
        <w:rPr>
          <w:b/>
        </w:rPr>
        <w:t xml:space="preserve">all areas of law </w:t>
      </w:r>
      <w:r w:rsidR="008A1EA2">
        <w:t xml:space="preserve">to children in </w:t>
      </w:r>
      <w:r>
        <w:t>certain roles</w:t>
      </w:r>
      <w:r>
        <w:rPr>
          <w:b/>
        </w:rPr>
        <w:t>.</w:t>
      </w:r>
      <w:r w:rsidR="00294B03">
        <w:t xml:space="preserve"> In four other jurisdictions, the right applies in all areas of law except in one or two areas (</w:t>
      </w:r>
      <w:r>
        <w:t xml:space="preserve">in CY and ES, the exceptions are </w:t>
      </w:r>
      <w:r w:rsidR="00294B03">
        <w:t xml:space="preserve">offences below </w:t>
      </w:r>
      <w:r w:rsidR="00B527CD">
        <w:t>MACR</w:t>
      </w:r>
      <w:r w:rsidR="00294B03">
        <w:t>; in EL</w:t>
      </w:r>
      <w:r w:rsidR="00B527CD">
        <w:t>,</w:t>
      </w:r>
      <w:r w:rsidR="00B527CD" w:rsidRPr="00B527CD">
        <w:t xml:space="preserve"> </w:t>
      </w:r>
      <w:r w:rsidR="00B527CD">
        <w:t>placement in care</w:t>
      </w:r>
      <w:r w:rsidR="00294B03">
        <w:t>; in NL</w:t>
      </w:r>
      <w:r w:rsidR="00B527CD">
        <w:t>,</w:t>
      </w:r>
      <w:r w:rsidR="00B527CD" w:rsidRPr="00B527CD">
        <w:t xml:space="preserve"> </w:t>
      </w:r>
      <w:r w:rsidR="00B527CD">
        <w:t>administrative sanctions and offences below MACR</w:t>
      </w:r>
      <w:r w:rsidR="00294B03">
        <w:t xml:space="preserve">). </w:t>
      </w:r>
    </w:p>
    <w:p w:rsidR="00294B03" w:rsidRPr="00294B03" w:rsidRDefault="00294B03" w:rsidP="00571F56">
      <w:pPr>
        <w:pStyle w:val="BodyText"/>
      </w:pPr>
      <w:r>
        <w:t xml:space="preserve">There are very few jurisdictions where an express right to be heard only applies in </w:t>
      </w:r>
      <w:r w:rsidR="00051A8B">
        <w:t>three or fewer areas of law</w:t>
      </w:r>
      <w:r>
        <w:t xml:space="preserve">. This is the case in PT (where it applies in family law and offences below </w:t>
      </w:r>
      <w:r w:rsidR="00135A5D">
        <w:t>MACR only</w:t>
      </w:r>
      <w:r>
        <w:t xml:space="preserve">); in SI (where it applies in family and asylum </w:t>
      </w:r>
      <w:r w:rsidR="00135A5D">
        <w:t>proceedings only</w:t>
      </w:r>
      <w:r>
        <w:t xml:space="preserve">); and in </w:t>
      </w:r>
      <w:r w:rsidR="00CD7610">
        <w:t>UK-S</w:t>
      </w:r>
      <w:r>
        <w:t xml:space="preserve"> (where it applies in family, placement in care and offences below </w:t>
      </w:r>
      <w:r w:rsidR="00135A5D">
        <w:t>MACR only</w:t>
      </w:r>
      <w:r>
        <w:t>).</w:t>
      </w:r>
    </w:p>
    <w:p w:rsidR="001854FF" w:rsidRDefault="00051A8B" w:rsidP="00571F56">
      <w:pPr>
        <w:pStyle w:val="BodyText"/>
      </w:pPr>
      <w:r>
        <w:t xml:space="preserve">The express right to be heard applies </w:t>
      </w:r>
      <w:r w:rsidRPr="00051A8B">
        <w:rPr>
          <w:b/>
        </w:rPr>
        <w:t>most frequently to plaintiffs</w:t>
      </w:r>
      <w:r>
        <w:t xml:space="preserve"> and </w:t>
      </w:r>
      <w:r w:rsidRPr="00051A8B">
        <w:rPr>
          <w:b/>
        </w:rPr>
        <w:t>defendants</w:t>
      </w:r>
      <w:r>
        <w:t xml:space="preserve"> (in 24 jurisdictions, although in the case of defendants, it applies in fewer areas of law</w:t>
      </w:r>
      <w:r w:rsidR="00044AE9">
        <w:t xml:space="preserve">); </w:t>
      </w:r>
      <w:r w:rsidR="00A0265F">
        <w:t>it applies somewhat less frequently</w:t>
      </w:r>
      <w:r w:rsidRPr="00051A8B">
        <w:t xml:space="preserve"> </w:t>
      </w:r>
      <w:r w:rsidR="0083206A">
        <w:t xml:space="preserve">to </w:t>
      </w:r>
      <w:r w:rsidR="007215EF">
        <w:t>subjects (21 jurisdictions)</w:t>
      </w:r>
      <w:r w:rsidR="00044AE9">
        <w:t>;</w:t>
      </w:r>
      <w:r w:rsidR="007215EF">
        <w:t xml:space="preserve"> and least </w:t>
      </w:r>
      <w:r w:rsidR="00A0265F">
        <w:t>frequently</w:t>
      </w:r>
      <w:r w:rsidR="007215EF">
        <w:t xml:space="preserve"> to </w:t>
      </w:r>
      <w:r>
        <w:t xml:space="preserve">witnesses </w:t>
      </w:r>
      <w:r w:rsidR="007215EF">
        <w:t xml:space="preserve">(17 jurisdictions). </w:t>
      </w:r>
      <w:r w:rsidR="00A0265F">
        <w:t>Children who are called</w:t>
      </w:r>
      <w:r w:rsidR="00044AE9">
        <w:t xml:space="preserve"> upon to be witness</w:t>
      </w:r>
      <w:r w:rsidR="00A0265F">
        <w:t>es in a proceeding often have an obligation to testify</w:t>
      </w:r>
      <w:r w:rsidR="00044AE9">
        <w:t xml:space="preserve"> rather than a right to be heard.</w:t>
      </w:r>
      <w:r w:rsidR="00B5560F">
        <w:t xml:space="preserve"> </w:t>
      </w:r>
    </w:p>
    <w:p w:rsidR="00F67000" w:rsidRDefault="001854FF" w:rsidP="00571F56">
      <w:pPr>
        <w:pStyle w:val="BodyText"/>
      </w:pPr>
      <w:r w:rsidRPr="001854FF">
        <w:rPr>
          <w:b/>
          <w:color w:val="0067AC" w:themeColor="text2"/>
        </w:rPr>
        <w:fldChar w:fldCharType="begin"/>
      </w:r>
      <w:r w:rsidRPr="001854FF">
        <w:rPr>
          <w:b/>
          <w:color w:val="0067AC" w:themeColor="text2"/>
        </w:rPr>
        <w:instrText xml:space="preserve"> REF _Ref395829935 \r \h  \* MERGEFORMAT </w:instrText>
      </w:r>
      <w:r w:rsidRPr="001854FF">
        <w:rPr>
          <w:b/>
          <w:color w:val="0067AC" w:themeColor="text2"/>
        </w:rPr>
      </w:r>
      <w:r w:rsidRPr="001854FF">
        <w:rPr>
          <w:b/>
          <w:color w:val="0067AC" w:themeColor="text2"/>
        </w:rPr>
        <w:fldChar w:fldCharType="separate"/>
      </w:r>
      <w:r w:rsidR="000223E8">
        <w:rPr>
          <w:b/>
          <w:color w:val="0067AC" w:themeColor="text2"/>
        </w:rPr>
        <w:t>Table A4.4</w:t>
      </w:r>
      <w:r w:rsidRPr="001854FF">
        <w:rPr>
          <w:b/>
          <w:color w:val="0067AC" w:themeColor="text2"/>
        </w:rPr>
        <w:fldChar w:fldCharType="end"/>
      </w:r>
      <w:r>
        <w:t xml:space="preserve"> </w:t>
      </w:r>
      <w:r w:rsidR="00B5560F">
        <w:t xml:space="preserve">maps the coverage of this </w:t>
      </w:r>
      <w:r w:rsidR="000854AB">
        <w:t xml:space="preserve">provision </w:t>
      </w:r>
      <w:r w:rsidR="00B5560F">
        <w:t xml:space="preserve">across MS by area of law and role of the child. </w:t>
      </w:r>
    </w:p>
    <w:p w:rsidR="00051A8B" w:rsidRDefault="005155F2" w:rsidP="00571F56">
      <w:pPr>
        <w:pStyle w:val="BodyText"/>
      </w:pPr>
      <w:r w:rsidRPr="00B5560F">
        <w:rPr>
          <w:b/>
        </w:rPr>
        <w:t>Age limitations frequently apply</w:t>
      </w:r>
      <w:r>
        <w:t xml:space="preserve"> to the right to be heard. </w:t>
      </w:r>
      <w:r w:rsidR="008A1EA2" w:rsidRPr="008A1EA2">
        <w:t xml:space="preserve">In most cases, children below this age may be heard, but the decision is at the discretion of the court. </w:t>
      </w:r>
      <w:r>
        <w:t>The</w:t>
      </w:r>
      <w:r w:rsidR="008A1EA2">
        <w:t xml:space="preserve"> age limitations </w:t>
      </w:r>
      <w:r>
        <w:t xml:space="preserve">range from 10 years of age in BG and RO (for all areas of law except employment in the case of BG), 12 years of age in NL (for employment, health, education and most types of family cases), 14 years of age in DE and PT (for family cases), and 15 years of age in FI (for all areas of law). In some countries (e.g. CZ, EE), there are no age limitations, and it is up to the judge to decide, on a case-by-case basis, depending on the child’s maturity and ability to understand the proceedings, whether the child concerned should be heard. </w:t>
      </w:r>
      <w:r w:rsidR="00EC72EC">
        <w:t xml:space="preserve">In CY, </w:t>
      </w:r>
      <w:r w:rsidR="00B205FD" w:rsidRPr="00007D34">
        <w:t>c</w:t>
      </w:r>
      <w:r w:rsidR="00EC72EC" w:rsidRPr="00B205FD">
        <w:t xml:space="preserve">ase-law foresees that </w:t>
      </w:r>
      <w:r w:rsidR="00EC72EC" w:rsidRPr="00007D34">
        <w:t>the court must take the child’s wishes into account at the age of 14 for boys and 16 for girls.</w:t>
      </w:r>
      <w:r w:rsidR="00050135" w:rsidRPr="00007D34">
        <w:t xml:space="preserve"> </w:t>
      </w:r>
    </w:p>
    <w:p w:rsidR="006A6D82" w:rsidRDefault="007215EF" w:rsidP="00571F56">
      <w:pPr>
        <w:pStyle w:val="BodyText"/>
      </w:pPr>
      <w:r w:rsidRPr="006A6D82">
        <w:t xml:space="preserve">The </w:t>
      </w:r>
      <w:r w:rsidRPr="00B5560F">
        <w:rPr>
          <w:b/>
        </w:rPr>
        <w:t>scope of the right to be heard varies</w:t>
      </w:r>
      <w:r w:rsidRPr="006A6D82">
        <w:t xml:space="preserve"> </w:t>
      </w:r>
      <w:r w:rsidR="006A6D82" w:rsidRPr="006A6D82">
        <w:t>across</w:t>
      </w:r>
      <w:r w:rsidR="00B5560F">
        <w:t xml:space="preserve"> jurisdictions</w:t>
      </w:r>
      <w:r w:rsidR="006A6D82" w:rsidRPr="006A6D82">
        <w:t xml:space="preserve">. </w:t>
      </w:r>
      <w:r w:rsidR="006A6D82">
        <w:t>There are Member States, such as HR</w:t>
      </w:r>
      <w:r w:rsidR="001846DD">
        <w:t xml:space="preserve"> and FI</w:t>
      </w:r>
      <w:r w:rsidR="006A6D82">
        <w:t xml:space="preserve">, where children </w:t>
      </w:r>
      <w:r w:rsidR="00632033">
        <w:t xml:space="preserve">above a certain age </w:t>
      </w:r>
      <w:r w:rsidR="006A6D82">
        <w:t xml:space="preserve">have the right to be interviewed, provide evidence, receive court rulings directly, intervene in the proceedings and enforce their legal rights; whereas in other Member States, </w:t>
      </w:r>
      <w:r w:rsidR="00B5560F">
        <w:t xml:space="preserve">such as SI and SK, </w:t>
      </w:r>
      <w:r w:rsidR="006A6D82">
        <w:t xml:space="preserve">the right to be heard </w:t>
      </w:r>
      <w:r w:rsidR="00632033">
        <w:t xml:space="preserve">for children of any age </w:t>
      </w:r>
      <w:r w:rsidR="006A6D82">
        <w:t xml:space="preserve">is restricted </w:t>
      </w:r>
      <w:r w:rsidR="00B5560F">
        <w:t>to be</w:t>
      </w:r>
      <w:r w:rsidR="00632033">
        <w:t>ing</w:t>
      </w:r>
      <w:r w:rsidR="00B5560F">
        <w:t xml:space="preserve"> interviewed in private by the judge, who may or may not take the child’s views into account</w:t>
      </w:r>
      <w:r w:rsidR="006A6D82">
        <w:t>.</w:t>
      </w:r>
      <w:r w:rsidR="00050135">
        <w:t xml:space="preserve"> </w:t>
      </w:r>
    </w:p>
    <w:p w:rsidR="00632033" w:rsidRDefault="006A6D82" w:rsidP="00571F56">
      <w:pPr>
        <w:pStyle w:val="BodyText"/>
      </w:pPr>
      <w:r>
        <w:t>The scope of the right to be heard also varies within jurisdictions</w:t>
      </w:r>
      <w:r w:rsidR="003D493E">
        <w:t xml:space="preserve">, depending on the </w:t>
      </w:r>
      <w:r w:rsidR="007215EF" w:rsidRPr="005155F2">
        <w:t xml:space="preserve">area of law concerned. The most expansive definitions of the right to be heard tend to </w:t>
      </w:r>
      <w:r w:rsidR="00632033">
        <w:t>apply in the area of family law</w:t>
      </w:r>
      <w:r w:rsidR="008A1EA2">
        <w:t>. For example</w:t>
      </w:r>
      <w:r w:rsidR="00632033">
        <w:t>:</w:t>
      </w:r>
    </w:p>
    <w:p w:rsidR="007215EF" w:rsidRPr="00A7584E" w:rsidRDefault="00632033" w:rsidP="00571F56">
      <w:pPr>
        <w:pStyle w:val="BTBullet1"/>
      </w:pPr>
      <w:r w:rsidRPr="00A7584E">
        <w:t xml:space="preserve">In DE, children 14 years of age and above have the right to be heard in matters regarding </w:t>
      </w:r>
      <w:r w:rsidR="004A62DC">
        <w:t>their</w:t>
      </w:r>
      <w:r w:rsidRPr="00A7584E">
        <w:t xml:space="preserve"> care, custody or contact before the Family Court (even younger children may be heard in the Family Court if this appears necessary and useful); however, in migration or asylum proceedings, children need to be 16 years of age in order to be heard.</w:t>
      </w:r>
    </w:p>
    <w:p w:rsidR="00632033" w:rsidRPr="00A7584E" w:rsidRDefault="00632033" w:rsidP="00571F56">
      <w:pPr>
        <w:pStyle w:val="BTBullet1"/>
      </w:pPr>
      <w:r w:rsidRPr="00A7584E">
        <w:t>In PT, the law expressly requires the child’s hearing in cases regarding parental responsibility/custody when there is a disagreement between the two parents. In these cases, before deciding on the relevant issue, the judge must first hear the child. However, there is no obligation to hear the child in other civil proceedings, where it is at the judge’s discretion who should be admitted to testify.</w:t>
      </w:r>
    </w:p>
    <w:p w:rsidR="00AB19FF" w:rsidRDefault="003300AB" w:rsidP="00571F56">
      <w:pPr>
        <w:pStyle w:val="BodyText"/>
      </w:pPr>
      <w:r>
        <w:t>W</w:t>
      </w:r>
      <w:r w:rsidR="00AF076E">
        <w:t xml:space="preserve">here no express right to be heard exists for </w:t>
      </w:r>
      <w:r w:rsidR="00044AE9">
        <w:t>child plaintiffs or defendants</w:t>
      </w:r>
      <w:r w:rsidR="00A0265F">
        <w:t xml:space="preserve"> (FR, IE, IT and MT)</w:t>
      </w:r>
      <w:r w:rsidR="00AF076E">
        <w:t>,</w:t>
      </w:r>
      <w:r w:rsidR="00044AE9">
        <w:t xml:space="preserve"> it is up to their adult representative (parent, lawyer or guardian) to decide whether to consult with and voice the child’</w:t>
      </w:r>
      <w:r w:rsidR="006A6D82">
        <w:t>s opinions.</w:t>
      </w:r>
      <w:r w:rsidR="00044AE9">
        <w:t xml:space="preserve"> </w:t>
      </w:r>
      <w:r w:rsidR="006A6D82" w:rsidRPr="006A6D82">
        <w:rPr>
          <w:bCs/>
        </w:rPr>
        <w:t xml:space="preserve">In IE, </w:t>
      </w:r>
      <w:r w:rsidR="00AB19FF">
        <w:rPr>
          <w:bCs/>
        </w:rPr>
        <w:t xml:space="preserve">a recent proposed constitutional </w:t>
      </w:r>
      <w:r w:rsidR="00AB19FF" w:rsidRPr="00AB19FF">
        <w:t xml:space="preserve">amendment </w:t>
      </w:r>
      <w:r w:rsidR="00AB19FF" w:rsidRPr="00007D34">
        <w:t>states that provision shall be made by law to ensure that, as far as possible, the voice of the child is heard and given due weight in any proceedings brought by the State concerning the safety and welfare of the child, or any proceedings concerning adoption, guardianship, custody or access to a child. In order for the voice of the child to be heard, the child must be capable of forming his or her own views and the weight to be given to the views of the child will depend on the age and maturity of the child.</w:t>
      </w:r>
      <w:r w:rsidR="00050135">
        <w:t xml:space="preserve"> </w:t>
      </w:r>
      <w:r w:rsidR="00AB19FF">
        <w:t>The proposed amendment has not yet come into effect because of a legal challenge.</w:t>
      </w:r>
    </w:p>
    <w:p w:rsidR="006A6D82" w:rsidRDefault="002F6476" w:rsidP="00571F56">
      <w:pPr>
        <w:pStyle w:val="BodyText"/>
      </w:pPr>
      <w:r>
        <w:t>In several MS (e.g. BG, CZ, EL, FI, HU, LT, LV, NL, PL), c</w:t>
      </w:r>
      <w:r w:rsidR="008D4311">
        <w:t xml:space="preserve">hildren </w:t>
      </w:r>
      <w:r>
        <w:t xml:space="preserve">participating in the proceedings </w:t>
      </w:r>
      <w:r w:rsidR="00A0265F">
        <w:t>in ‘</w:t>
      </w:r>
      <w:r w:rsidR="00A0265F" w:rsidRPr="00320405">
        <w:rPr>
          <w:b/>
        </w:rPr>
        <w:t>other roles</w:t>
      </w:r>
      <w:r w:rsidR="00A0265F">
        <w:t>’ (i.e.</w:t>
      </w:r>
      <w:r>
        <w:t xml:space="preserve"> they </w:t>
      </w:r>
      <w:r w:rsidR="00A0265F">
        <w:t xml:space="preserve">are </w:t>
      </w:r>
      <w:r>
        <w:t xml:space="preserve">neither </w:t>
      </w:r>
      <w:r w:rsidR="00A0265F">
        <w:t>parties to the case</w:t>
      </w:r>
      <w:r w:rsidR="008D4311">
        <w:t xml:space="preserve"> nor considered witnesses or subjects</w:t>
      </w:r>
      <w:r w:rsidR="00A0265F">
        <w:t xml:space="preserve">) have the right to be heard by the judge in specific types of proceedings which concern them. </w:t>
      </w:r>
      <w:r>
        <w:t xml:space="preserve">These types of proceedings include </w:t>
      </w:r>
      <w:r w:rsidR="00A0265F">
        <w:t>adoption cases, foster care placements,</w:t>
      </w:r>
      <w:r w:rsidR="008D4311">
        <w:t xml:space="preserve"> </w:t>
      </w:r>
      <w:r w:rsidR="00A0265F" w:rsidRPr="00A0265F">
        <w:t>cases relating to parental authori</w:t>
      </w:r>
      <w:r w:rsidR="00A0265F">
        <w:t>ty</w:t>
      </w:r>
      <w:r w:rsidR="008D4311">
        <w:t xml:space="preserve"> and </w:t>
      </w:r>
      <w:r>
        <w:t xml:space="preserve">cases concerning </w:t>
      </w:r>
      <w:r w:rsidR="008D4311">
        <w:t>access rights</w:t>
      </w:r>
      <w:r>
        <w:t xml:space="preserve"> in the context of divorce</w:t>
      </w:r>
      <w:r w:rsidR="00A0265F">
        <w:t>.</w:t>
      </w:r>
      <w:r w:rsidR="00320405">
        <w:t xml:space="preserve"> </w:t>
      </w:r>
      <w:r w:rsidR="008D4311">
        <w:t>In the</w:t>
      </w:r>
      <w:r>
        <w:t xml:space="preserve">se cases, </w:t>
      </w:r>
      <w:r w:rsidR="008D4311">
        <w:t xml:space="preserve">children must </w:t>
      </w:r>
      <w:r>
        <w:t xml:space="preserve">often </w:t>
      </w:r>
      <w:r w:rsidR="008D4311">
        <w:t xml:space="preserve">give their consent before a judge is able to issue a decision. </w:t>
      </w:r>
      <w:r w:rsidRPr="002F6476">
        <w:t xml:space="preserve">This </w:t>
      </w:r>
      <w:r>
        <w:t>right to be heard for children in ‘other roles’ also exists in</w:t>
      </w:r>
      <w:r w:rsidRPr="002F6476">
        <w:t xml:space="preserve"> FR, IE, IT and MT, where no specific provisions are made for the right to be heard for child plaintiffs or defendants.</w:t>
      </w:r>
    </w:p>
    <w:p w:rsidR="00B5560F" w:rsidRPr="0083206A" w:rsidRDefault="00F41CBC" w:rsidP="00571F56">
      <w:pPr>
        <w:pStyle w:val="Heading4NoNumb"/>
        <w:ind w:firstLine="851"/>
      </w:pPr>
      <w:r w:rsidRPr="00F41CBC">
        <w:t>Guidance for judicial authorities</w:t>
      </w:r>
      <w:r w:rsidR="0083206A">
        <w:t xml:space="preserve"> (CivAdm128)</w:t>
      </w:r>
    </w:p>
    <w:p w:rsidR="0046573D" w:rsidRDefault="00375EFE" w:rsidP="00571F56">
      <w:pPr>
        <w:pStyle w:val="BodyText"/>
      </w:pPr>
      <w:r>
        <w:t>Besides the provisions contained in national legislation, four jurisdictions (NL, PL, UK-E&amp;W and UK-</w:t>
      </w:r>
      <w:r w:rsidR="0046573D">
        <w:t>NI</w:t>
      </w:r>
      <w:r>
        <w:t xml:space="preserve">) have developed guidance or codes of conduct </w:t>
      </w:r>
      <w:r w:rsidRPr="00375EFE">
        <w:t>for judicial authorities to ensure that the right to be heard of the child is respected</w:t>
      </w:r>
      <w:r>
        <w:t xml:space="preserve">. In the case of PL, the guidance concerns recommendations aimed at judicial authorities on how children should be interviewed. While these recommendations are drafted with children involved in criminal proceedings in mind, they are frequently used by professionals working in civil judicial proceedings. </w:t>
      </w:r>
    </w:p>
    <w:p w:rsidR="009E4E25" w:rsidRDefault="00375EFE" w:rsidP="00571F56">
      <w:pPr>
        <w:pStyle w:val="BodyText"/>
      </w:pPr>
      <w:r>
        <w:t>In</w:t>
      </w:r>
      <w:r w:rsidR="0046573D">
        <w:t xml:space="preserve"> UK-E&amp;W and UK-NI</w:t>
      </w:r>
      <w:r>
        <w:t xml:space="preserve">, the guidance is tailored more precisely to children involved in specific types of civil or administrative judicial proceedings. </w:t>
      </w:r>
      <w:r w:rsidR="0046573D">
        <w:t>In UK-E&amp;W, there is specific guidance tailored for judicial authorities to ensure that the right to be heard of the child is respected in asylum, migration, education, health and placement in care proceedings. (For more details on the guidance available in UK-E&amp;W for judicial authorities involved in education and placement in care proceedings, see</w:t>
      </w:r>
      <w:r>
        <w:t xml:space="preserve"> </w:t>
      </w:r>
      <w:r w:rsidR="00D4155F" w:rsidRPr="00D4155F">
        <w:rPr>
          <w:b/>
          <w:color w:val="0070C0"/>
        </w:rPr>
        <w:fldChar w:fldCharType="begin"/>
      </w:r>
      <w:r w:rsidR="00D4155F" w:rsidRPr="00D4155F">
        <w:rPr>
          <w:b/>
          <w:color w:val="0070C0"/>
        </w:rPr>
        <w:instrText xml:space="preserve"> REF _Ref397896495 \r \h  \* MERGEFORMAT </w:instrText>
      </w:r>
      <w:r w:rsidR="00D4155F" w:rsidRPr="00D4155F">
        <w:rPr>
          <w:b/>
          <w:color w:val="0070C0"/>
        </w:rPr>
      </w:r>
      <w:r w:rsidR="00D4155F" w:rsidRPr="00D4155F">
        <w:rPr>
          <w:b/>
          <w:color w:val="0070C0"/>
        </w:rPr>
        <w:fldChar w:fldCharType="separate"/>
      </w:r>
      <w:r w:rsidR="000223E8">
        <w:rPr>
          <w:b/>
          <w:color w:val="0070C0"/>
        </w:rPr>
        <w:t>Box</w:t>
      </w:r>
      <w:r w:rsidR="000223E8">
        <w:rPr>
          <w:b/>
          <w:color w:val="0070C0"/>
        </w:rPr>
        <w:t xml:space="preserve"> </w:t>
      </w:r>
      <w:r w:rsidR="000223E8">
        <w:rPr>
          <w:b/>
          <w:color w:val="0070C0"/>
        </w:rPr>
        <w:t>9</w:t>
      </w:r>
      <w:r w:rsidR="00D4155F" w:rsidRPr="00D4155F">
        <w:rPr>
          <w:b/>
          <w:color w:val="0070C0"/>
        </w:rPr>
        <w:fldChar w:fldCharType="end"/>
      </w:r>
      <w:r w:rsidR="00D4155F" w:rsidRPr="00D4155F">
        <w:rPr>
          <w:b/>
          <w:color w:val="0070C0"/>
        </w:rPr>
        <w:t xml:space="preserve"> </w:t>
      </w:r>
      <w:r w:rsidR="00D40E18">
        <w:t>below</w:t>
      </w:r>
      <w:r>
        <w:t>.</w:t>
      </w:r>
      <w:r w:rsidR="0046573D">
        <w:t>) In UK-NI, there is specific guidance tailored for judicial authorities to ensure that the right to be heard of the child is respected in asylum, migration and placement in care proceedings.</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D40E18" w:rsidRPr="000F388C" w:rsidTr="00B95049">
        <w:tc>
          <w:tcPr>
            <w:tcW w:w="8222" w:type="dxa"/>
            <w:shd w:val="clear" w:color="auto" w:fill="CDEBFF"/>
          </w:tcPr>
          <w:p w:rsidR="00D40E18" w:rsidRPr="00694BE0" w:rsidRDefault="00D40E18" w:rsidP="00173CAC">
            <w:pPr>
              <w:pStyle w:val="BoxNumb"/>
              <w:numPr>
                <w:ilvl w:val="4"/>
                <w:numId w:val="27"/>
              </w:numPr>
              <w:rPr>
                <w:sz w:val="26"/>
                <w:szCs w:val="26"/>
              </w:rPr>
            </w:pPr>
            <w:bookmarkStart w:id="194" w:name="_Ref397896495"/>
            <w:r w:rsidRPr="00694BE0">
              <w:rPr>
                <w:sz w:val="26"/>
                <w:szCs w:val="26"/>
              </w:rPr>
              <w:t xml:space="preserve">England and Wales – guidance on the right to be heard of children </w:t>
            </w:r>
            <w:r w:rsidR="00511050" w:rsidRPr="00694BE0">
              <w:rPr>
                <w:sz w:val="26"/>
                <w:szCs w:val="26"/>
              </w:rPr>
              <w:t>for judicial authorities in specific types of</w:t>
            </w:r>
            <w:r w:rsidR="00050135">
              <w:rPr>
                <w:sz w:val="26"/>
                <w:szCs w:val="26"/>
              </w:rPr>
              <w:t xml:space="preserve"> </w:t>
            </w:r>
            <w:r w:rsidRPr="00694BE0">
              <w:rPr>
                <w:sz w:val="26"/>
                <w:szCs w:val="26"/>
              </w:rPr>
              <w:t>proceedings</w:t>
            </w:r>
            <w:bookmarkEnd w:id="194"/>
            <w:r w:rsidRPr="00694BE0">
              <w:rPr>
                <w:sz w:val="26"/>
                <w:szCs w:val="26"/>
              </w:rPr>
              <w:t xml:space="preserve"> </w:t>
            </w:r>
          </w:p>
          <w:p w:rsidR="00511050" w:rsidRDefault="00D40E18" w:rsidP="00B95049">
            <w:pPr>
              <w:pStyle w:val="TableText"/>
              <w:rPr>
                <w:b/>
                <w:bCs/>
                <w:i/>
                <w:sz w:val="20"/>
                <w:szCs w:val="20"/>
                <w:lang w:val="en-US"/>
              </w:rPr>
            </w:pPr>
            <w:r w:rsidRPr="00D40E18">
              <w:rPr>
                <w:b/>
                <w:i/>
                <w:sz w:val="20"/>
                <w:szCs w:val="20"/>
              </w:rPr>
              <w:t>P</w:t>
            </w:r>
            <w:r w:rsidRPr="00D40E18">
              <w:rPr>
                <w:b/>
                <w:bCs/>
                <w:i/>
                <w:sz w:val="20"/>
                <w:szCs w:val="20"/>
                <w:lang w:val="en-US"/>
              </w:rPr>
              <w:t>roceedings linked to school admissions and exclusions</w:t>
            </w:r>
          </w:p>
          <w:p w:rsidR="00D40E18" w:rsidRDefault="00511050" w:rsidP="00B95049">
            <w:pPr>
              <w:pStyle w:val="TableText"/>
              <w:rPr>
                <w:sz w:val="20"/>
                <w:szCs w:val="20"/>
              </w:rPr>
            </w:pPr>
            <w:r w:rsidRPr="00511050">
              <w:rPr>
                <w:sz w:val="20"/>
                <w:szCs w:val="20"/>
              </w:rPr>
              <w:t>Appeals against administrative decisions on admission to, and exclusion from, school are heard by review panels. Such panels perform a judicial function which is separate from tribunals and administrative courts.</w:t>
            </w:r>
          </w:p>
          <w:p w:rsidR="00511050" w:rsidRPr="00511050" w:rsidRDefault="00511050" w:rsidP="00B95049">
            <w:pPr>
              <w:pStyle w:val="TableText"/>
              <w:rPr>
                <w:bCs/>
                <w:sz w:val="20"/>
                <w:szCs w:val="20"/>
                <w:lang w:val="en-US"/>
              </w:rPr>
            </w:pPr>
            <w:r>
              <w:rPr>
                <w:sz w:val="20"/>
                <w:szCs w:val="20"/>
              </w:rPr>
              <w:t>The Schools Admissions Appeals Code establishes that, i</w:t>
            </w:r>
            <w:r w:rsidRPr="00511050">
              <w:rPr>
                <w:sz w:val="20"/>
                <w:szCs w:val="20"/>
              </w:rPr>
              <w:t>n admissions and exclusion appeals, where the child is the appellant</w:t>
            </w:r>
            <w:r>
              <w:rPr>
                <w:sz w:val="20"/>
                <w:szCs w:val="20"/>
              </w:rPr>
              <w:t xml:space="preserve"> (plaintiff)</w:t>
            </w:r>
            <w:r w:rsidRPr="00511050">
              <w:rPr>
                <w:sz w:val="20"/>
                <w:szCs w:val="20"/>
              </w:rPr>
              <w:t xml:space="preserve">, he/she may be represented or accompanied by a friend. </w:t>
            </w:r>
            <w:r>
              <w:rPr>
                <w:sz w:val="20"/>
                <w:szCs w:val="20"/>
              </w:rPr>
              <w:t>It also states that a</w:t>
            </w:r>
            <w:r w:rsidRPr="00511050">
              <w:rPr>
                <w:sz w:val="20"/>
                <w:szCs w:val="20"/>
              </w:rPr>
              <w:t xml:space="preserve">ppeal panels must allow appellants </w:t>
            </w:r>
            <w:r>
              <w:rPr>
                <w:sz w:val="20"/>
                <w:szCs w:val="20"/>
              </w:rPr>
              <w:t xml:space="preserve">(plaintiffs) </w:t>
            </w:r>
            <w:r w:rsidRPr="00511050">
              <w:rPr>
                <w:sz w:val="20"/>
                <w:szCs w:val="20"/>
              </w:rPr>
              <w:t>the opportunity to appear in person and make oral representations. In England, when a parent’s and a child’s appeals are heard jointly, the panel must give both the parents and the child the opportunity to present their cases. In Wales, if the child wishes to appear at the hearing to give evidence, provision should be made for him/her to do so and the conduct of the panel should reflect that a child is present.</w:t>
            </w:r>
          </w:p>
          <w:p w:rsidR="00511050" w:rsidRDefault="00511050" w:rsidP="00B95049">
            <w:pPr>
              <w:pStyle w:val="TableText"/>
              <w:rPr>
                <w:b/>
                <w:bCs/>
                <w:i/>
                <w:sz w:val="20"/>
                <w:szCs w:val="20"/>
                <w:lang w:val="en-US"/>
              </w:rPr>
            </w:pPr>
            <w:r>
              <w:rPr>
                <w:b/>
                <w:bCs/>
                <w:i/>
                <w:sz w:val="20"/>
                <w:szCs w:val="20"/>
                <w:lang w:val="en-US"/>
              </w:rPr>
              <w:t>Proceedings linked to placement in care</w:t>
            </w:r>
          </w:p>
          <w:p w:rsidR="00C3437B" w:rsidRDefault="006615CB" w:rsidP="00C3437B">
            <w:pPr>
              <w:pStyle w:val="TableText"/>
              <w:rPr>
                <w:sz w:val="20"/>
                <w:szCs w:val="20"/>
              </w:rPr>
            </w:pPr>
            <w:r>
              <w:rPr>
                <w:sz w:val="20"/>
                <w:szCs w:val="20"/>
              </w:rPr>
              <w:t xml:space="preserve">In proceedings related to placement in care, the Family Court may appoint a </w:t>
            </w:r>
            <w:r w:rsidR="00511050" w:rsidRPr="00511050">
              <w:rPr>
                <w:sz w:val="20"/>
                <w:szCs w:val="20"/>
              </w:rPr>
              <w:t xml:space="preserve">Children's Guardian </w:t>
            </w:r>
            <w:r w:rsidR="00C3437B">
              <w:rPr>
                <w:sz w:val="20"/>
                <w:szCs w:val="20"/>
              </w:rPr>
              <w:t xml:space="preserve">from the Children and Family Court Advisory Service </w:t>
            </w:r>
            <w:r w:rsidR="00511050" w:rsidRPr="00511050">
              <w:rPr>
                <w:sz w:val="20"/>
                <w:szCs w:val="20"/>
              </w:rPr>
              <w:t>(C</w:t>
            </w:r>
            <w:r w:rsidR="0035404B">
              <w:rPr>
                <w:sz w:val="20"/>
                <w:szCs w:val="20"/>
              </w:rPr>
              <w:t>afcass</w:t>
            </w:r>
            <w:r w:rsidR="00511050" w:rsidRPr="00511050">
              <w:rPr>
                <w:sz w:val="20"/>
                <w:szCs w:val="20"/>
              </w:rPr>
              <w:t>)</w:t>
            </w:r>
            <w:r w:rsidR="00C3437B">
              <w:rPr>
                <w:sz w:val="20"/>
                <w:szCs w:val="20"/>
              </w:rPr>
              <w:t xml:space="preserve"> to represent the child subject. The Children’s Guardian must</w:t>
            </w:r>
            <w:r w:rsidR="00511050" w:rsidRPr="00511050">
              <w:rPr>
                <w:sz w:val="20"/>
                <w:szCs w:val="20"/>
              </w:rPr>
              <w:t xml:space="preserve"> advise the court inter alia</w:t>
            </w:r>
            <w:r w:rsidR="00C3437B">
              <w:rPr>
                <w:sz w:val="20"/>
                <w:szCs w:val="20"/>
              </w:rPr>
              <w:t xml:space="preserve"> on the child’s </w:t>
            </w:r>
            <w:r w:rsidR="00511050" w:rsidRPr="00511050">
              <w:rPr>
                <w:sz w:val="20"/>
                <w:szCs w:val="20"/>
              </w:rPr>
              <w:t xml:space="preserve">wishes. </w:t>
            </w:r>
          </w:p>
          <w:p w:rsidR="00D40E18" w:rsidRPr="00511050" w:rsidRDefault="00C3437B" w:rsidP="00C3437B">
            <w:pPr>
              <w:pStyle w:val="TableText"/>
              <w:rPr>
                <w:sz w:val="20"/>
                <w:szCs w:val="20"/>
              </w:rPr>
            </w:pPr>
            <w:r>
              <w:rPr>
                <w:sz w:val="20"/>
                <w:szCs w:val="20"/>
              </w:rPr>
              <w:t>C</w:t>
            </w:r>
            <w:r w:rsidR="0035404B">
              <w:rPr>
                <w:sz w:val="20"/>
                <w:szCs w:val="20"/>
              </w:rPr>
              <w:t>afcass</w:t>
            </w:r>
            <w:r>
              <w:rPr>
                <w:sz w:val="20"/>
                <w:szCs w:val="20"/>
              </w:rPr>
              <w:t xml:space="preserve"> has issued specific guidance for Children</w:t>
            </w:r>
            <w:r w:rsidR="0035404B">
              <w:rPr>
                <w:sz w:val="20"/>
                <w:szCs w:val="20"/>
              </w:rPr>
              <w:t>'s</w:t>
            </w:r>
            <w:r>
              <w:rPr>
                <w:sz w:val="20"/>
                <w:szCs w:val="20"/>
              </w:rPr>
              <w:t xml:space="preserve"> Guardians on how to ensure that the wishes of the child are understood and represented. The guidance also extends to the</w:t>
            </w:r>
            <w:r w:rsidR="00511050" w:rsidRPr="00511050">
              <w:rPr>
                <w:sz w:val="20"/>
                <w:szCs w:val="20"/>
              </w:rPr>
              <w:t xml:space="preserve"> court</w:t>
            </w:r>
            <w:r>
              <w:rPr>
                <w:sz w:val="20"/>
                <w:szCs w:val="20"/>
              </w:rPr>
              <w:t>’s</w:t>
            </w:r>
            <w:r w:rsidR="00511050" w:rsidRPr="00511050">
              <w:rPr>
                <w:sz w:val="20"/>
                <w:szCs w:val="20"/>
              </w:rPr>
              <w:t xml:space="preserve"> general duty, when considering whether to make, vary or discharge </w:t>
            </w:r>
            <w:r w:rsidR="00511050">
              <w:rPr>
                <w:sz w:val="20"/>
                <w:szCs w:val="20"/>
              </w:rPr>
              <w:t xml:space="preserve">a </w:t>
            </w:r>
            <w:r w:rsidR="00511050" w:rsidRPr="00511050">
              <w:rPr>
                <w:sz w:val="20"/>
                <w:szCs w:val="20"/>
              </w:rPr>
              <w:t>specific order relating to children, to have regard to the ascertainable wishes of the child concerned (considered in the light of their age and understanding).</w:t>
            </w:r>
          </w:p>
        </w:tc>
      </w:tr>
    </w:tbl>
    <w:p w:rsidR="00F41CBC" w:rsidRPr="00D4155F" w:rsidRDefault="000B6273" w:rsidP="00571F56">
      <w:pPr>
        <w:pStyle w:val="Heading4NoNumb"/>
        <w:ind w:firstLine="851"/>
      </w:pPr>
      <w:r w:rsidRPr="00D4155F">
        <w:t>The s</w:t>
      </w:r>
      <w:r w:rsidR="0009242A" w:rsidRPr="00D4155F">
        <w:t>tatutory r</w:t>
      </w:r>
      <w:r w:rsidR="0046573D" w:rsidRPr="00D4155F">
        <w:t>ight to interpretation or translation</w:t>
      </w:r>
      <w:r w:rsidR="0083206A" w:rsidRPr="00D4155F">
        <w:t xml:space="preserve"> (CivAdm133)</w:t>
      </w:r>
    </w:p>
    <w:p w:rsidR="00244CF0" w:rsidRDefault="00495E99" w:rsidP="00571F56">
      <w:pPr>
        <w:pStyle w:val="BodyText"/>
      </w:pPr>
      <w:r>
        <w:t xml:space="preserve">An important pre-condition to give effect to the right to be heard for children involved in judicial proceedings who do not speak the local language is the right to interpretation or translation. </w:t>
      </w:r>
    </w:p>
    <w:p w:rsidR="0046573D" w:rsidRDefault="0009242A" w:rsidP="00571F56">
      <w:pPr>
        <w:pStyle w:val="BodyText"/>
      </w:pPr>
      <w:r>
        <w:t xml:space="preserve">Children have a </w:t>
      </w:r>
      <w:r w:rsidRPr="00244CF0">
        <w:rPr>
          <w:b/>
        </w:rPr>
        <w:t>statutory right to interpretation and translation services</w:t>
      </w:r>
      <w:r w:rsidRPr="0009242A">
        <w:t xml:space="preserve"> in order to support the</w:t>
      </w:r>
      <w:r>
        <w:t>ir</w:t>
      </w:r>
      <w:r w:rsidRPr="0009242A">
        <w:t xml:space="preserve"> right to be heard</w:t>
      </w:r>
      <w:r>
        <w:t xml:space="preserve"> in </w:t>
      </w:r>
      <w:r w:rsidR="00244CF0">
        <w:t xml:space="preserve">all jurisdictions except FR, IE, PT, UK-E&amp;W, UK-NI and </w:t>
      </w:r>
      <w:r w:rsidR="00CD7610">
        <w:t>UK-S</w:t>
      </w:r>
      <w:r w:rsidR="00244CF0">
        <w:t xml:space="preserve">. In UK-E&amp;W and UK-NI, whilst no right to interpretation and translation exists in legislation, the Courts and Tribunals service provides language interpreters in civil </w:t>
      </w:r>
      <w:r w:rsidR="00244CF0" w:rsidRPr="00244CF0">
        <w:t>and family proceedings in cases including domestic violence and those involving children</w:t>
      </w:r>
      <w:r w:rsidR="00244CF0">
        <w:t>.</w:t>
      </w:r>
      <w:r w:rsidR="00D93CA6">
        <w:t xml:space="preserve"> This is also the case in IE and PT in respect of certain types of proceedings</w:t>
      </w:r>
      <w:r w:rsidR="00D4155F">
        <w:t>.</w:t>
      </w:r>
    </w:p>
    <w:p w:rsidR="00244CF0" w:rsidRDefault="00D73571" w:rsidP="00571F56">
      <w:pPr>
        <w:pStyle w:val="BodyText"/>
      </w:pPr>
      <w:r>
        <w:t>Where a statutory right to interpretation and translation services exist</w:t>
      </w:r>
      <w:r w:rsidR="00AB7380">
        <w:t>s</w:t>
      </w:r>
      <w:r>
        <w:t xml:space="preserve"> for children,</w:t>
      </w:r>
      <w:r w:rsidR="00AB7380">
        <w:t xml:space="preserve"> it</w:t>
      </w:r>
      <w:r>
        <w:t xml:space="preserve"> applies to </w:t>
      </w:r>
      <w:r w:rsidRPr="00AB7380">
        <w:rPr>
          <w:b/>
        </w:rPr>
        <w:t>all areas of law</w:t>
      </w:r>
      <w:r>
        <w:t xml:space="preserve"> in 14 </w:t>
      </w:r>
      <w:r w:rsidR="00AB7380">
        <w:t xml:space="preserve">MS </w:t>
      </w:r>
      <w:r>
        <w:t>(AT, BE, BG, HR, CZ, DK, F</w:t>
      </w:r>
      <w:r w:rsidR="00AB7380">
        <w:t xml:space="preserve">I, DE, HU, LT, MT, RO, SK, SI) and to almost all areas of law in nine other MS (CY, EE, EL, ES, IT, LU, LV, NL, SE). The statutory right to interpretation and translation tends to apply </w:t>
      </w:r>
      <w:r w:rsidR="00AB7380" w:rsidRPr="00AB7380">
        <w:rPr>
          <w:b/>
        </w:rPr>
        <w:t xml:space="preserve">least frequently to the areas of administrative sanctions </w:t>
      </w:r>
      <w:r w:rsidR="00AB7380" w:rsidRPr="00AB7380">
        <w:t xml:space="preserve">and </w:t>
      </w:r>
      <w:r w:rsidR="00AB7380" w:rsidRPr="00AB7380">
        <w:rPr>
          <w:b/>
        </w:rPr>
        <w:t xml:space="preserve">offences below </w:t>
      </w:r>
      <w:r w:rsidR="004A62DC">
        <w:rPr>
          <w:b/>
        </w:rPr>
        <w:t>MACR</w:t>
      </w:r>
      <w:r w:rsidR="00AB7380">
        <w:t>.</w:t>
      </w:r>
    </w:p>
    <w:p w:rsidR="001854FF" w:rsidRDefault="00AB7380" w:rsidP="00571F56">
      <w:pPr>
        <w:pStyle w:val="BodyText"/>
      </w:pPr>
      <w:r>
        <w:t xml:space="preserve">The statutory right to interpretation and translation applies most frequently to plaintiffs (25 MS), defendants (22), witnesses (20) and least frequently to subjects (14). </w:t>
      </w:r>
      <w:r w:rsidR="00442B51">
        <w:t xml:space="preserve">The right tends to apply to witnesses in more areas of law than to defendants. </w:t>
      </w:r>
    </w:p>
    <w:p w:rsidR="00AB7380" w:rsidRDefault="001854FF" w:rsidP="00571F56">
      <w:pPr>
        <w:pStyle w:val="BodyText"/>
      </w:pPr>
      <w:r w:rsidRPr="001854FF">
        <w:rPr>
          <w:b/>
          <w:color w:val="0067AC" w:themeColor="text2"/>
        </w:rPr>
        <w:fldChar w:fldCharType="begin"/>
      </w:r>
      <w:r w:rsidRPr="001854FF">
        <w:rPr>
          <w:b/>
          <w:color w:val="0067AC" w:themeColor="text2"/>
        </w:rPr>
        <w:instrText xml:space="preserve"> REF _Ref395829987 \r \h  \* MERGEFORMAT </w:instrText>
      </w:r>
      <w:r w:rsidRPr="001854FF">
        <w:rPr>
          <w:b/>
          <w:color w:val="0067AC" w:themeColor="text2"/>
        </w:rPr>
      </w:r>
      <w:r w:rsidRPr="001854FF">
        <w:rPr>
          <w:b/>
          <w:color w:val="0067AC" w:themeColor="text2"/>
        </w:rPr>
        <w:fldChar w:fldCharType="separate"/>
      </w:r>
      <w:r w:rsidR="000223E8">
        <w:rPr>
          <w:b/>
          <w:color w:val="0067AC" w:themeColor="text2"/>
        </w:rPr>
        <w:t>Table A4.5</w:t>
      </w:r>
      <w:r w:rsidRPr="001854FF">
        <w:rPr>
          <w:b/>
          <w:color w:val="0067AC" w:themeColor="text2"/>
        </w:rPr>
        <w:fldChar w:fldCharType="end"/>
      </w:r>
      <w:r>
        <w:t xml:space="preserve"> </w:t>
      </w:r>
      <w:r w:rsidR="00442B51">
        <w:t>maps the coverage of this statutory right by area of law and role of the child across all jurisdictions.</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71F56" w:rsidTr="004017DA">
        <w:tc>
          <w:tcPr>
            <w:tcW w:w="8222" w:type="dxa"/>
            <w:shd w:val="clear" w:color="auto" w:fill="CDEBFF"/>
          </w:tcPr>
          <w:p w:rsidR="00571F56" w:rsidRPr="00571F56" w:rsidRDefault="00571F56" w:rsidP="00571F56">
            <w:pPr>
              <w:pStyle w:val="Conclusion"/>
              <w:numPr>
                <w:ilvl w:val="0"/>
                <w:numId w:val="0"/>
              </w:numPr>
              <w:rPr>
                <w:sz w:val="26"/>
                <w:szCs w:val="26"/>
              </w:rPr>
            </w:pPr>
            <w:r w:rsidRPr="00571F56">
              <w:rPr>
                <w:sz w:val="26"/>
                <w:szCs w:val="26"/>
              </w:rPr>
              <w:t>The child's right to be heard and to participate</w:t>
            </w:r>
          </w:p>
          <w:p w:rsidR="00571F56" w:rsidRDefault="00571F56" w:rsidP="00571F56">
            <w:pPr>
              <w:pStyle w:val="BTBullet1"/>
              <w:tabs>
                <w:tab w:val="clear" w:pos="1191"/>
                <w:tab w:val="num" w:pos="414"/>
              </w:tabs>
              <w:ind w:left="414" w:hanging="360"/>
            </w:pPr>
            <w:r w:rsidRPr="00571F56">
              <w:t xml:space="preserve">Through written legislative provisions, all countries except FR, IE, IT and MT provide children involved in civil or administrative judicial proceedings with an express right to be heard in one form or another during the course of the proceedings. </w:t>
            </w:r>
          </w:p>
          <w:p w:rsidR="00571F56" w:rsidRDefault="00571F56" w:rsidP="00571F56">
            <w:pPr>
              <w:pStyle w:val="BTBullet1"/>
              <w:tabs>
                <w:tab w:val="clear" w:pos="1191"/>
                <w:tab w:val="num" w:pos="414"/>
              </w:tabs>
              <w:ind w:left="414" w:hanging="360"/>
            </w:pPr>
            <w:r w:rsidRPr="00571F56">
              <w:t>However, where such an express right to be heard exists, it tends to apply to children above a certain age only, and to children in certain roles (most frequently plaintiffs and defendants) and certain areas of law only (most frequently in areas of family and placement in care).</w:t>
            </w:r>
          </w:p>
          <w:p w:rsidR="00571F56" w:rsidRDefault="00571F56" w:rsidP="00571F56">
            <w:pPr>
              <w:pStyle w:val="BTBullet1"/>
              <w:tabs>
                <w:tab w:val="clear" w:pos="1191"/>
                <w:tab w:val="num" w:pos="414"/>
              </w:tabs>
              <w:ind w:left="414" w:hanging="360"/>
            </w:pPr>
            <w:r w:rsidRPr="00571F56">
              <w:t xml:space="preserve">Guidance for judicial authorities on how to implement the right to be heard of children only exists in four jurisdictions. </w:t>
            </w:r>
          </w:p>
          <w:p w:rsidR="00571F56" w:rsidRPr="00571F56" w:rsidRDefault="00571F56" w:rsidP="00571F56">
            <w:pPr>
              <w:pStyle w:val="BTBullet1"/>
              <w:tabs>
                <w:tab w:val="clear" w:pos="1191"/>
                <w:tab w:val="num" w:pos="414"/>
              </w:tabs>
              <w:ind w:left="414" w:hanging="360"/>
            </w:pPr>
            <w:r w:rsidRPr="00571F56">
              <w:t>Children have a statutory right to interpretation and translation in all but six jurisdictions. The right often does not apply to children as subjects, and it applies least frequently in the areas of administrative sanctions and offences committed below the MACR</w:t>
            </w:r>
          </w:p>
        </w:tc>
      </w:tr>
    </w:tbl>
    <w:p w:rsidR="00AD2F6B" w:rsidRDefault="00FE04C4" w:rsidP="00A7584E">
      <w:pPr>
        <w:pStyle w:val="Heading2"/>
      </w:pPr>
      <w:bookmarkStart w:id="195" w:name="_Ref397836196"/>
      <w:bookmarkStart w:id="196" w:name="_Toc406590158"/>
      <w:bookmarkStart w:id="197" w:name="_Toc408908722"/>
      <w:r>
        <w:t xml:space="preserve">Safeguards to protect </w:t>
      </w:r>
      <w:r w:rsidR="00A7584E">
        <w:t xml:space="preserve">children </w:t>
      </w:r>
      <w:r w:rsidR="00A7584E" w:rsidRPr="00D734A5">
        <w:t>from</w:t>
      </w:r>
      <w:r w:rsidR="00AD2F6B" w:rsidRPr="00D734A5">
        <w:t xml:space="preserve"> harm in </w:t>
      </w:r>
      <w:r>
        <w:t xml:space="preserve">judicial </w:t>
      </w:r>
      <w:r w:rsidR="00AD2F6B" w:rsidRPr="00D734A5">
        <w:t>proceedings and during interviews</w:t>
      </w:r>
      <w:bookmarkEnd w:id="195"/>
      <w:bookmarkEnd w:id="196"/>
      <w:bookmarkEnd w:id="197"/>
    </w:p>
    <w:p w:rsidR="00EF6E98" w:rsidRDefault="00AD2F6B" w:rsidP="00571F56">
      <w:pPr>
        <w:pStyle w:val="BodyText"/>
      </w:pPr>
      <w:r w:rsidRPr="00AD2F6B">
        <w:t>Even in MS where children have a right to make their views and opinions heard (see</w:t>
      </w:r>
      <w:r w:rsidR="00527CF4">
        <w:t xml:space="preserve"> </w:t>
      </w:r>
      <w:r w:rsidR="00527CF4" w:rsidRPr="00527CF4">
        <w:rPr>
          <w:b/>
          <w:color w:val="0070C0"/>
        </w:rPr>
        <w:t xml:space="preserve">Section </w:t>
      </w:r>
      <w:r w:rsidR="00527CF4" w:rsidRPr="00527CF4">
        <w:rPr>
          <w:b/>
          <w:color w:val="0070C0"/>
        </w:rPr>
        <w:fldChar w:fldCharType="begin"/>
      </w:r>
      <w:r w:rsidR="00527CF4" w:rsidRPr="00527CF4">
        <w:rPr>
          <w:b/>
          <w:color w:val="0070C0"/>
        </w:rPr>
        <w:instrText xml:space="preserve"> REF _Ref398030263 \r \h  \* MERGEFORMAT </w:instrText>
      </w:r>
      <w:r w:rsidR="00527CF4" w:rsidRPr="00527CF4">
        <w:rPr>
          <w:b/>
          <w:color w:val="0070C0"/>
        </w:rPr>
      </w:r>
      <w:r w:rsidR="00527CF4" w:rsidRPr="00527CF4">
        <w:rPr>
          <w:b/>
          <w:color w:val="0070C0"/>
        </w:rPr>
        <w:fldChar w:fldCharType="separate"/>
      </w:r>
      <w:r w:rsidR="000223E8">
        <w:rPr>
          <w:b/>
          <w:color w:val="0070C0"/>
        </w:rPr>
        <w:t>0</w:t>
      </w:r>
      <w:r w:rsidR="00527CF4" w:rsidRPr="00527CF4">
        <w:rPr>
          <w:b/>
          <w:color w:val="0070C0"/>
        </w:rPr>
        <w:fldChar w:fldCharType="end"/>
      </w:r>
      <w:r w:rsidRPr="00AD2F6B">
        <w:t xml:space="preserve">), this right may be compromised if parallel </w:t>
      </w:r>
      <w:r w:rsidR="00FE04C4">
        <w:t>safeguards</w:t>
      </w:r>
      <w:r w:rsidRPr="00AD2F6B">
        <w:t xml:space="preserve"> are not made to ensure that </w:t>
      </w:r>
      <w:r w:rsidR="00EF6E98">
        <w:t xml:space="preserve">the </w:t>
      </w:r>
      <w:r>
        <w:t xml:space="preserve">burden and hardship of being involved in civil or administrative judicial proceedings </w:t>
      </w:r>
      <w:r w:rsidR="008D1D37">
        <w:t>are</w:t>
      </w:r>
      <w:r>
        <w:t xml:space="preserve"> minimised and that the child is supported throughout the process</w:t>
      </w:r>
      <w:r w:rsidRPr="00AD2F6B">
        <w:t xml:space="preserve">. These </w:t>
      </w:r>
      <w:r w:rsidR="00FE04C4">
        <w:t xml:space="preserve">safeguards </w:t>
      </w:r>
      <w:r w:rsidRPr="00AD2F6B">
        <w:t xml:space="preserve">include: </w:t>
      </w:r>
    </w:p>
    <w:p w:rsidR="00EF6E98" w:rsidRPr="00A7584E" w:rsidRDefault="00EF6E98" w:rsidP="00571F56">
      <w:pPr>
        <w:pStyle w:val="BTBullet1"/>
      </w:pPr>
      <w:r w:rsidRPr="00A7584E">
        <w:t>P</w:t>
      </w:r>
      <w:r w:rsidR="00AD2F6B" w:rsidRPr="00A7584E">
        <w:t xml:space="preserve">rovisions in place to avoid undue delay; </w:t>
      </w:r>
    </w:p>
    <w:p w:rsidR="00EF6E98" w:rsidRPr="00A7584E" w:rsidRDefault="00EF6E98" w:rsidP="00571F56">
      <w:pPr>
        <w:pStyle w:val="BTBullet1"/>
      </w:pPr>
      <w:r w:rsidRPr="00A7584E">
        <w:t>A</w:t>
      </w:r>
      <w:r w:rsidR="00AD2F6B" w:rsidRPr="00A7584E">
        <w:t xml:space="preserve">daptations to the </w:t>
      </w:r>
      <w:r w:rsidR="00A26743" w:rsidRPr="00A7584E">
        <w:t xml:space="preserve">court’s </w:t>
      </w:r>
      <w:r w:rsidR="00AD2F6B" w:rsidRPr="00A7584E">
        <w:t xml:space="preserve">physical setting, including the possibility </w:t>
      </w:r>
      <w:r w:rsidR="00A26743" w:rsidRPr="00A7584E">
        <w:t>for the child to give</w:t>
      </w:r>
      <w:r w:rsidR="00AD2F6B" w:rsidRPr="00A7584E">
        <w:t xml:space="preserve"> testimony through video-link; </w:t>
      </w:r>
    </w:p>
    <w:p w:rsidR="00EF6E98" w:rsidRPr="00A7584E" w:rsidRDefault="00A26743" w:rsidP="00571F56">
      <w:pPr>
        <w:pStyle w:val="BTBullet1"/>
      </w:pPr>
      <w:r w:rsidRPr="00A7584E">
        <w:t>Ensuring</w:t>
      </w:r>
      <w:r w:rsidR="00B905DF" w:rsidRPr="00A7584E">
        <w:t xml:space="preserve"> that interviews are </w:t>
      </w:r>
      <w:r w:rsidR="005F006A" w:rsidRPr="00A7584E">
        <w:t xml:space="preserve">conducted in a </w:t>
      </w:r>
      <w:r w:rsidR="00B905DF" w:rsidRPr="00A7584E">
        <w:t>child-friendly</w:t>
      </w:r>
      <w:r w:rsidR="005F006A" w:rsidRPr="00A7584E">
        <w:t xml:space="preserve"> manner</w:t>
      </w:r>
      <w:r w:rsidRPr="00A7584E">
        <w:t>;</w:t>
      </w:r>
      <w:r w:rsidR="00AD2F6B" w:rsidRPr="00A7584E">
        <w:t xml:space="preserve"> </w:t>
      </w:r>
    </w:p>
    <w:p w:rsidR="00EF6E98" w:rsidRPr="00A7584E" w:rsidRDefault="00C33CA2" w:rsidP="00571F56">
      <w:pPr>
        <w:pStyle w:val="BTBullet1"/>
      </w:pPr>
      <w:r w:rsidRPr="00A7584E">
        <w:t xml:space="preserve">Making </w:t>
      </w:r>
      <w:r w:rsidR="00A26743" w:rsidRPr="00A7584E">
        <w:t xml:space="preserve">support </w:t>
      </w:r>
      <w:r w:rsidRPr="00A7584E">
        <w:t>persons/support services available</w:t>
      </w:r>
      <w:r w:rsidR="00A26743" w:rsidRPr="00A7584E">
        <w:t xml:space="preserve"> to the child;</w:t>
      </w:r>
      <w:r w:rsidR="00AD2F6B" w:rsidRPr="00A7584E">
        <w:t xml:space="preserve"> </w:t>
      </w:r>
    </w:p>
    <w:p w:rsidR="00AD2F6B" w:rsidRPr="00A7584E" w:rsidRDefault="00E962F9" w:rsidP="00571F56">
      <w:pPr>
        <w:pStyle w:val="BTBullet1"/>
      </w:pPr>
      <w:r>
        <w:t xml:space="preserve">Ensuring that </w:t>
      </w:r>
      <w:r w:rsidR="00EF6E98" w:rsidRPr="00A7584E">
        <w:t xml:space="preserve">proceedings </w:t>
      </w:r>
      <w:r>
        <w:t xml:space="preserve">do not cause </w:t>
      </w:r>
      <w:r w:rsidR="00EF6E98" w:rsidRPr="00A7584E">
        <w:t>psychological harm</w:t>
      </w:r>
      <w:r w:rsidR="00A26743" w:rsidRPr="00A7584E">
        <w:t xml:space="preserve"> to the child, including by protecting the child </w:t>
      </w:r>
      <w:r w:rsidR="00EF6E98" w:rsidRPr="00A7584E">
        <w:t>from harmful images or information; and,</w:t>
      </w:r>
    </w:p>
    <w:p w:rsidR="006A50EF" w:rsidRPr="00A7584E" w:rsidRDefault="00C33CA2" w:rsidP="00571F56">
      <w:pPr>
        <w:pStyle w:val="BTBullet1"/>
      </w:pPr>
      <w:r w:rsidRPr="00A7584E">
        <w:t xml:space="preserve">Possibility of imposing </w:t>
      </w:r>
      <w:r w:rsidR="00A26743" w:rsidRPr="00A7584E">
        <w:t xml:space="preserve">protection measures during the proceedings </w:t>
      </w:r>
      <w:r w:rsidR="006A50EF" w:rsidRPr="00A7584E">
        <w:t>(e.g. temporary child custody</w:t>
      </w:r>
      <w:r w:rsidR="00A26743" w:rsidRPr="00A7584E">
        <w:t>)</w:t>
      </w:r>
      <w:r w:rsidR="006A50EF" w:rsidRPr="00A7584E">
        <w:t xml:space="preserve"> including from individuals involved in the proceedings or related to the case (e.g. restraining orders</w:t>
      </w:r>
      <w:r w:rsidR="00A26743" w:rsidRPr="00A7584E">
        <w:t>)</w:t>
      </w:r>
      <w:r w:rsidR="006A50EF" w:rsidRPr="00A7584E">
        <w:t>.</w:t>
      </w:r>
    </w:p>
    <w:p w:rsidR="006A50EF" w:rsidRPr="009B2A5B" w:rsidRDefault="006A50EF" w:rsidP="00A5732C">
      <w:pPr>
        <w:pStyle w:val="Heading3"/>
      </w:pPr>
      <w:bookmarkStart w:id="198" w:name="_Toc408908723"/>
      <w:r w:rsidRPr="00492255">
        <w:t>Avoiding undue delay</w:t>
      </w:r>
      <w:bookmarkEnd w:id="198"/>
    </w:p>
    <w:p w:rsidR="00492255" w:rsidRPr="00492255" w:rsidRDefault="00492255" w:rsidP="00571F56">
      <w:pPr>
        <w:pStyle w:val="Heading4NoNumb"/>
        <w:ind w:left="851"/>
      </w:pPr>
      <w:r w:rsidRPr="00492255">
        <w:t>Legal obligation to avoid undue delay in the handling of cases involving children (CivAdm105)</w:t>
      </w:r>
    </w:p>
    <w:p w:rsidR="00FF5FEF" w:rsidRDefault="00FE04C4" w:rsidP="00571F56">
      <w:pPr>
        <w:pStyle w:val="BodyText"/>
      </w:pPr>
      <w:r>
        <w:t>In 25 jurisdictions there is a</w:t>
      </w:r>
      <w:r w:rsidR="006A50EF">
        <w:t xml:space="preserve"> </w:t>
      </w:r>
      <w:r w:rsidR="006A50EF" w:rsidRPr="006A50EF">
        <w:t xml:space="preserve">legal obligation for judicial authorities to </w:t>
      </w:r>
      <w:r w:rsidR="006A50EF" w:rsidRPr="00893890">
        <w:rPr>
          <w:b/>
        </w:rPr>
        <w:t>avoid undue delay in their handling of cases involving children</w:t>
      </w:r>
      <w:r w:rsidR="00492255">
        <w:rPr>
          <w:b/>
        </w:rPr>
        <w:t xml:space="preserve">. </w:t>
      </w:r>
      <w:r w:rsidR="00AC2890">
        <w:t xml:space="preserve">The exceptions are </w:t>
      </w:r>
      <w:r w:rsidR="00312498">
        <w:t xml:space="preserve">DK, IE, IT, MT and </w:t>
      </w:r>
      <w:r w:rsidR="00CD7610">
        <w:t>UK-S</w:t>
      </w:r>
      <w:r w:rsidR="00312498">
        <w:t xml:space="preserve">. </w:t>
      </w:r>
    </w:p>
    <w:p w:rsidR="002C1B4F" w:rsidRDefault="00FE04C4" w:rsidP="00571F56">
      <w:pPr>
        <w:pStyle w:val="BodyText"/>
      </w:pPr>
      <w:r>
        <w:t>T</w:t>
      </w:r>
      <w:r w:rsidR="00FF5FEF">
        <w:t xml:space="preserve">he legal obligation applies </w:t>
      </w:r>
      <w:r w:rsidR="00FF5FEF" w:rsidRPr="002B7679">
        <w:t xml:space="preserve">most </w:t>
      </w:r>
      <w:r w:rsidRPr="002B7679">
        <w:t xml:space="preserve">frequently </w:t>
      </w:r>
      <w:r w:rsidR="00FF5FEF" w:rsidRPr="002B7679">
        <w:t>in the area</w:t>
      </w:r>
      <w:r w:rsidRPr="002B7679">
        <w:t>s</w:t>
      </w:r>
      <w:r w:rsidR="00FF5FEF" w:rsidRPr="002B7679">
        <w:t xml:space="preserve"> of</w:t>
      </w:r>
      <w:r w:rsidRPr="002B7679">
        <w:t>:</w:t>
      </w:r>
      <w:r w:rsidR="00FF5FEF" w:rsidRPr="00FF5FEF">
        <w:rPr>
          <w:b/>
        </w:rPr>
        <w:t xml:space="preserve"> placement into care</w:t>
      </w:r>
      <w:r w:rsidR="00FF5FEF">
        <w:t xml:space="preserve"> (23 jurisdictions)</w:t>
      </w:r>
      <w:r>
        <w:t>;</w:t>
      </w:r>
      <w:r w:rsidR="00FF5FEF">
        <w:t xml:space="preserve"> </w:t>
      </w:r>
      <w:r w:rsidR="00FF5FEF" w:rsidRPr="009B2A5B">
        <w:rPr>
          <w:b/>
        </w:rPr>
        <w:t>family</w:t>
      </w:r>
      <w:r w:rsidR="00FF5FEF">
        <w:t xml:space="preserve"> (22 jurisdictions)</w:t>
      </w:r>
      <w:r>
        <w:t>;</w:t>
      </w:r>
      <w:r w:rsidR="00FF5FEF">
        <w:t xml:space="preserve"> </w:t>
      </w:r>
      <w:r w:rsidR="00FF5FEF" w:rsidRPr="009B2A5B">
        <w:rPr>
          <w:b/>
        </w:rPr>
        <w:t>asylum</w:t>
      </w:r>
      <w:r w:rsidR="00FF5FEF">
        <w:t xml:space="preserve"> (21 jurisdictions)</w:t>
      </w:r>
      <w:r>
        <w:t>;</w:t>
      </w:r>
      <w:r w:rsidR="00FF5FEF">
        <w:t xml:space="preserve"> and </w:t>
      </w:r>
      <w:r w:rsidR="00FF5FEF" w:rsidRPr="009B2A5B">
        <w:rPr>
          <w:b/>
        </w:rPr>
        <w:t>migration</w:t>
      </w:r>
      <w:r w:rsidR="00FF5FEF">
        <w:t xml:space="preserve"> (20 jurisdictions). It applies </w:t>
      </w:r>
      <w:r w:rsidR="002B7679" w:rsidRPr="002B7679">
        <w:t>least frequently</w:t>
      </w:r>
      <w:r w:rsidR="00FF5FEF" w:rsidRPr="002B7679">
        <w:t xml:space="preserve"> </w:t>
      </w:r>
      <w:r w:rsidRPr="002B7679">
        <w:t>in</w:t>
      </w:r>
      <w:r w:rsidR="00FF5FEF" w:rsidRPr="002B7679">
        <w:t xml:space="preserve"> the areas of</w:t>
      </w:r>
      <w:r w:rsidR="00FF5FEF" w:rsidRPr="00FF5FEF">
        <w:rPr>
          <w:b/>
        </w:rPr>
        <w:t xml:space="preserve"> employment</w:t>
      </w:r>
      <w:r w:rsidR="00FF5FEF">
        <w:t xml:space="preserve"> (14 </w:t>
      </w:r>
      <w:r w:rsidR="009B2A5B">
        <w:t>j</w:t>
      </w:r>
      <w:r w:rsidR="00FF5FEF">
        <w:t>urisdictions) and administrative sanctions (16 jurisdictions).</w:t>
      </w:r>
    </w:p>
    <w:p w:rsidR="00FF5FEF" w:rsidRDefault="002C1B4F" w:rsidP="00571F56">
      <w:pPr>
        <w:pStyle w:val="BodyText"/>
      </w:pPr>
      <w:r>
        <w:t xml:space="preserve">In </w:t>
      </w:r>
      <w:r w:rsidR="00FE04C4">
        <w:t>13</w:t>
      </w:r>
      <w:r>
        <w:t xml:space="preserve"> jurisdictions, the legal obligation applies in </w:t>
      </w:r>
      <w:r w:rsidRPr="00FF5FEF">
        <w:rPr>
          <w:b/>
        </w:rPr>
        <w:t>all areas of law</w:t>
      </w:r>
      <w:r>
        <w:t xml:space="preserve"> (AT, BE, BG, CZ, DK, EE, DE, LV, LT, PL, SK, UK-E&amp;W, UK-NI). In </w:t>
      </w:r>
      <w:r w:rsidR="00E962F9">
        <w:t>five</w:t>
      </w:r>
      <w:r>
        <w:t xml:space="preserve"> MS (CY, EL, HR, LU, NL), the provision applies in all areas of law except one or two; and in four MS (FR, PT, RO and SI) the provision applies in three or fewer areas of law.</w:t>
      </w:r>
      <w:r w:rsidR="00FF5FEF">
        <w:t xml:space="preserve"> </w:t>
      </w:r>
    </w:p>
    <w:p w:rsidR="003F432E" w:rsidRDefault="00E51018" w:rsidP="00571F56">
      <w:pPr>
        <w:pStyle w:val="BodyText"/>
      </w:pPr>
      <w:r>
        <w:t>T</w:t>
      </w:r>
      <w:r w:rsidRPr="00E51018">
        <w:t>he legal obligation applies</w:t>
      </w:r>
      <w:r>
        <w:t xml:space="preserve"> most </w:t>
      </w:r>
      <w:r w:rsidR="004A4164">
        <w:t>frequently</w:t>
      </w:r>
      <w:r>
        <w:t xml:space="preserve"> to </w:t>
      </w:r>
      <w:r w:rsidRPr="00E51018">
        <w:rPr>
          <w:b/>
        </w:rPr>
        <w:t>child plaintiffs</w:t>
      </w:r>
      <w:r>
        <w:t xml:space="preserve"> (in all 25 jurisdictions) and </w:t>
      </w:r>
      <w:r w:rsidRPr="00E51018">
        <w:rPr>
          <w:b/>
        </w:rPr>
        <w:t>defendants</w:t>
      </w:r>
      <w:r>
        <w:t xml:space="preserve"> (in 23 jurisdictions), and in a fewer number of jurisdictions to </w:t>
      </w:r>
      <w:r w:rsidRPr="00E51018">
        <w:rPr>
          <w:b/>
        </w:rPr>
        <w:t>witnesses</w:t>
      </w:r>
      <w:r>
        <w:t xml:space="preserve"> (16 jurisdictions) and </w:t>
      </w:r>
      <w:r w:rsidRPr="00E51018">
        <w:rPr>
          <w:b/>
        </w:rPr>
        <w:t>subjects</w:t>
      </w:r>
      <w:r>
        <w:t xml:space="preserve"> (15 jurisdictions). The provision applies to all </w:t>
      </w:r>
      <w:r w:rsidR="00270DE7">
        <w:t xml:space="preserve">four </w:t>
      </w:r>
      <w:r>
        <w:t xml:space="preserve">roles of the child </w:t>
      </w:r>
      <w:r w:rsidR="00270DE7">
        <w:t xml:space="preserve">(plaintiffs, defendants, witnesses and subjects) </w:t>
      </w:r>
      <w:r>
        <w:t xml:space="preserve">in </w:t>
      </w:r>
      <w:r w:rsidR="00E962F9">
        <w:t>seven</w:t>
      </w:r>
      <w:r w:rsidR="00270DE7">
        <w:t xml:space="preserve"> MS, </w:t>
      </w:r>
      <w:r w:rsidR="003F432E">
        <w:t>but usually</w:t>
      </w:r>
      <w:r w:rsidR="00270DE7">
        <w:t xml:space="preserve"> only </w:t>
      </w:r>
      <w:r w:rsidR="00DD4FBE">
        <w:t>in respect of some areas of law</w:t>
      </w:r>
      <w:r w:rsidR="00D4155F">
        <w:t>.</w:t>
      </w:r>
      <w:r w:rsidR="00270DE7">
        <w:t xml:space="preserve"> </w:t>
      </w:r>
    </w:p>
    <w:p w:rsidR="00DD4FBE" w:rsidRDefault="00DD4FBE" w:rsidP="00571F56">
      <w:pPr>
        <w:pStyle w:val="BodyText"/>
      </w:pPr>
      <w:r>
        <w:t xml:space="preserve">The </w:t>
      </w:r>
      <w:r w:rsidR="004A4164">
        <w:t xml:space="preserve">legal </w:t>
      </w:r>
      <w:r>
        <w:t xml:space="preserve">obligation applies </w:t>
      </w:r>
      <w:r w:rsidR="004A4164">
        <w:t>most frequently</w:t>
      </w:r>
      <w:r w:rsidR="009B2A5B">
        <w:t xml:space="preserve"> </w:t>
      </w:r>
      <w:r w:rsidR="009B2A5B" w:rsidRPr="009B2A5B">
        <w:rPr>
          <w:b/>
        </w:rPr>
        <w:t>before</w:t>
      </w:r>
      <w:r w:rsidR="009B2A5B">
        <w:rPr>
          <w:b/>
        </w:rPr>
        <w:t xml:space="preserve"> the proceedings</w:t>
      </w:r>
      <w:r w:rsidR="009B2A5B">
        <w:t xml:space="preserve"> (in all 25 jurisdictions i.e. judicial authorities are under an obligation to accelerate as much as possible the start of proceedings in cases that involve children) and</w:t>
      </w:r>
      <w:r w:rsidR="004A4164">
        <w:t xml:space="preserve"> </w:t>
      </w:r>
      <w:r w:rsidRPr="00DD4FBE">
        <w:rPr>
          <w:b/>
        </w:rPr>
        <w:t>during the proceedings</w:t>
      </w:r>
      <w:r>
        <w:t xml:space="preserve"> (</w:t>
      </w:r>
      <w:r w:rsidR="009B2A5B">
        <w:t xml:space="preserve">in 24 jurisdictions </w:t>
      </w:r>
      <w:r>
        <w:t xml:space="preserve">i.e. these </w:t>
      </w:r>
      <w:r w:rsidR="009B2A5B">
        <w:t xml:space="preserve">should be as short as possible). </w:t>
      </w:r>
      <w:r>
        <w:t xml:space="preserve">However, in </w:t>
      </w:r>
      <w:r w:rsidR="009B2A5B">
        <w:t xml:space="preserve">15 </w:t>
      </w:r>
      <w:r>
        <w:t xml:space="preserve">jurisdictions there is also an obligation for </w:t>
      </w:r>
      <w:r w:rsidR="001D3E6F">
        <w:t xml:space="preserve">judicial authorities </w:t>
      </w:r>
      <w:r>
        <w:t xml:space="preserve">to avoid undue delay in the conduct of enforcement proceedings. </w:t>
      </w:r>
    </w:p>
    <w:p w:rsidR="00FF5FEF" w:rsidRDefault="001854FF" w:rsidP="00571F56">
      <w:pPr>
        <w:pStyle w:val="BodyText"/>
      </w:pPr>
      <w:r w:rsidRPr="001854FF">
        <w:rPr>
          <w:b/>
          <w:color w:val="0067AC" w:themeColor="text2"/>
        </w:rPr>
        <w:fldChar w:fldCharType="begin"/>
      </w:r>
      <w:r w:rsidRPr="001854FF">
        <w:rPr>
          <w:b/>
          <w:color w:val="0067AC" w:themeColor="text2"/>
        </w:rPr>
        <w:instrText xml:space="preserve"> REF _Ref395830023 \r \h  \* MERGEFORMAT </w:instrText>
      </w:r>
      <w:r w:rsidRPr="001854FF">
        <w:rPr>
          <w:b/>
          <w:color w:val="0067AC" w:themeColor="text2"/>
        </w:rPr>
      </w:r>
      <w:r w:rsidRPr="001854FF">
        <w:rPr>
          <w:b/>
          <w:color w:val="0067AC" w:themeColor="text2"/>
        </w:rPr>
        <w:fldChar w:fldCharType="separate"/>
      </w:r>
      <w:r w:rsidR="000223E8">
        <w:rPr>
          <w:b/>
          <w:color w:val="0067AC" w:themeColor="text2"/>
        </w:rPr>
        <w:t>Table A4.6</w:t>
      </w:r>
      <w:r w:rsidRPr="001854FF">
        <w:rPr>
          <w:b/>
          <w:color w:val="0067AC" w:themeColor="text2"/>
        </w:rPr>
        <w:fldChar w:fldCharType="end"/>
      </w:r>
      <w:r>
        <w:t xml:space="preserve"> </w:t>
      </w:r>
      <w:r w:rsidR="00FF5FEF">
        <w:t xml:space="preserve">maps the coverage of this </w:t>
      </w:r>
      <w:r w:rsidR="00E23B68">
        <w:t>safeguard</w:t>
      </w:r>
      <w:r w:rsidR="00FF5FEF">
        <w:t xml:space="preserve"> by area of law and role of the child and stage of the proceedings </w:t>
      </w:r>
      <w:r w:rsidR="00DD4FBE">
        <w:t xml:space="preserve">(before the proceedings; during the proceedings; and during enforcement proceedings) </w:t>
      </w:r>
      <w:r w:rsidR="00FF5FEF">
        <w:t>across all jurisdictions.</w:t>
      </w:r>
    </w:p>
    <w:p w:rsidR="00E23B68" w:rsidRPr="001D3E6F" w:rsidRDefault="00552EFB" w:rsidP="00571F56">
      <w:pPr>
        <w:pStyle w:val="Heading4NoNumb"/>
        <w:ind w:firstLine="851"/>
      </w:pPr>
      <w:r w:rsidRPr="001D3E6F">
        <w:t xml:space="preserve">Guidance for judicial authorities on avoiding undue delay </w:t>
      </w:r>
      <w:r w:rsidR="00FA25CB" w:rsidRPr="001D3E6F">
        <w:t>(CivAdm106)</w:t>
      </w:r>
    </w:p>
    <w:p w:rsidR="00552EFB" w:rsidRDefault="00DE400E" w:rsidP="00571F56">
      <w:pPr>
        <w:pStyle w:val="BodyText"/>
      </w:pPr>
      <w:r>
        <w:t>I</w:t>
      </w:r>
      <w:r w:rsidR="00552EFB">
        <w:t xml:space="preserve">n </w:t>
      </w:r>
      <w:r w:rsidR="00864BEF">
        <w:t>s</w:t>
      </w:r>
      <w:r w:rsidR="00B20822">
        <w:t>ix</w:t>
      </w:r>
      <w:r w:rsidR="00552EFB">
        <w:t xml:space="preserve"> of the 25 jurisdictions </w:t>
      </w:r>
      <w:r w:rsidR="00E23B68">
        <w:t xml:space="preserve">where there is a legal obligation </w:t>
      </w:r>
      <w:r>
        <w:t xml:space="preserve">to avoid delay </w:t>
      </w:r>
      <w:r w:rsidRPr="00893890">
        <w:rPr>
          <w:b/>
        </w:rPr>
        <w:t>guidance is provided to judicial authorities</w:t>
      </w:r>
      <w:r w:rsidR="00144342">
        <w:t xml:space="preserve"> </w:t>
      </w:r>
      <w:r w:rsidR="00893890">
        <w:t xml:space="preserve">on how to achieve this </w:t>
      </w:r>
      <w:r w:rsidR="00144342">
        <w:t>(CZ, EE, FI, SI, UK-E&amp;W</w:t>
      </w:r>
      <w:r w:rsidR="00864BEF">
        <w:t xml:space="preserve"> and</w:t>
      </w:r>
      <w:r w:rsidR="00144342">
        <w:t xml:space="preserve"> UK-NI)</w:t>
      </w:r>
      <w:r w:rsidR="00552EFB">
        <w:t xml:space="preserve">. This guidance applies in all areas of law in </w:t>
      </w:r>
      <w:r>
        <w:t xml:space="preserve">only </w:t>
      </w:r>
      <w:r w:rsidR="00552EFB">
        <w:t>CZ, EE, UK-E&amp;W and UK-NI</w:t>
      </w:r>
      <w:r>
        <w:t>. It is limited to</w:t>
      </w:r>
      <w:r w:rsidR="00552EFB">
        <w:t xml:space="preserve"> family and placement into care proceedings in FI and IE</w:t>
      </w:r>
      <w:r w:rsidR="00194ED0">
        <w:t xml:space="preserve"> and </w:t>
      </w:r>
      <w:r w:rsidR="00552EFB">
        <w:t>in education proceedings in SI</w:t>
      </w:r>
      <w:r w:rsidR="00194ED0">
        <w:t>.</w:t>
      </w:r>
    </w:p>
    <w:p w:rsidR="00872C88" w:rsidRDefault="00552EFB" w:rsidP="00571F56">
      <w:pPr>
        <w:pStyle w:val="BodyText"/>
      </w:pPr>
      <w:r>
        <w:t>The guidance for judicial authorities applies to children in all roles in CZ, EE, FI (as regards family law</w:t>
      </w:r>
      <w:r w:rsidR="00864BEF">
        <w:t xml:space="preserve">), and </w:t>
      </w:r>
      <w:r>
        <w:t>IE</w:t>
      </w:r>
      <w:r w:rsidR="00864BEF">
        <w:t>.</w:t>
      </w:r>
      <w:r>
        <w:t xml:space="preserve"> In </w:t>
      </w:r>
      <w:r w:rsidR="00872C88">
        <w:t xml:space="preserve">SI, the guidance applies to children in the role of subjects only; and in UK-E&amp;W and UK-NI the guidance applies to plaintiffs, defendants and subjects. </w:t>
      </w:r>
    </w:p>
    <w:p w:rsidR="00212F93" w:rsidRDefault="00552EFB" w:rsidP="00571F56">
      <w:pPr>
        <w:pStyle w:val="BodyText"/>
      </w:pPr>
      <w:r>
        <w:t xml:space="preserve">In IE and SI, the guidance focuses on the particular needs of children (and other vulnerable groups). In the other </w:t>
      </w:r>
      <w:r w:rsidR="00194ED0">
        <w:t>five</w:t>
      </w:r>
      <w:r>
        <w:t xml:space="preserve"> jurisdictions</w:t>
      </w:r>
      <w:r w:rsidR="00872C88">
        <w:t xml:space="preserve"> (CZ, EE, FI, UK-E&amp;W</w:t>
      </w:r>
      <w:r w:rsidR="00194ED0">
        <w:t xml:space="preserve"> and</w:t>
      </w:r>
      <w:r w:rsidR="00872C88">
        <w:t xml:space="preserve"> UK-NI)</w:t>
      </w:r>
      <w:r>
        <w:t xml:space="preserve">, the guidance </w:t>
      </w:r>
      <w:r w:rsidR="00893890">
        <w:t>refers to avoiding undue delay in proceedings involving adults and children alike</w:t>
      </w:r>
      <w:r w:rsidR="00212F93">
        <w:t>, although in the case of CZ there are additional child-specific provisions in certain areas of law</w:t>
      </w:r>
      <w:r w:rsidR="00626179">
        <w:t xml:space="preserve"> (see </w:t>
      </w:r>
      <w:r w:rsidR="00626179" w:rsidRPr="00626179">
        <w:rPr>
          <w:b/>
          <w:color w:val="0070C0"/>
        </w:rPr>
        <w:fldChar w:fldCharType="begin"/>
      </w:r>
      <w:r w:rsidR="00626179" w:rsidRPr="00626179">
        <w:rPr>
          <w:b/>
          <w:color w:val="0070C0"/>
        </w:rPr>
        <w:instrText xml:space="preserve"> REF _Ref398031453 \r \h  \* MERGEFORMAT </w:instrText>
      </w:r>
      <w:r w:rsidR="00626179" w:rsidRPr="00626179">
        <w:rPr>
          <w:b/>
          <w:color w:val="0070C0"/>
        </w:rPr>
      </w:r>
      <w:r w:rsidR="00626179" w:rsidRPr="00626179">
        <w:rPr>
          <w:b/>
          <w:color w:val="0070C0"/>
        </w:rPr>
        <w:fldChar w:fldCharType="separate"/>
      </w:r>
      <w:r w:rsidR="000223E8">
        <w:rPr>
          <w:b/>
          <w:color w:val="0070C0"/>
        </w:rPr>
        <w:t>Bo</w:t>
      </w:r>
      <w:r w:rsidR="000223E8">
        <w:rPr>
          <w:b/>
          <w:color w:val="0070C0"/>
        </w:rPr>
        <w:t>x</w:t>
      </w:r>
      <w:r w:rsidR="000223E8">
        <w:rPr>
          <w:b/>
          <w:color w:val="0070C0"/>
        </w:rPr>
        <w:t xml:space="preserve"> 10</w:t>
      </w:r>
      <w:r w:rsidR="00626179" w:rsidRPr="00626179">
        <w:rPr>
          <w:b/>
          <w:color w:val="0070C0"/>
        </w:rPr>
        <w:fldChar w:fldCharType="end"/>
      </w:r>
      <w:r w:rsidR="00626179">
        <w:t>)</w:t>
      </w:r>
      <w:r>
        <w:t xml:space="preserve">. </w:t>
      </w:r>
    </w:p>
    <w:p w:rsidR="00FA25CB" w:rsidRDefault="00144342" w:rsidP="00571F56">
      <w:pPr>
        <w:pStyle w:val="BodyText"/>
      </w:pPr>
      <w:r>
        <w:t>In six</w:t>
      </w:r>
      <w:r w:rsidR="00872C88">
        <w:t xml:space="preserve"> </w:t>
      </w:r>
      <w:r w:rsidR="007D348F">
        <w:t xml:space="preserve">of the 25 </w:t>
      </w:r>
      <w:r w:rsidR="00872C88">
        <w:t>jurisdictions</w:t>
      </w:r>
      <w:r w:rsidR="007D348F">
        <w:t xml:space="preserve"> </w:t>
      </w:r>
      <w:r w:rsidR="00DE400E">
        <w:t>where there is a legal obligation to avoid delay</w:t>
      </w:r>
      <w:r>
        <w:t xml:space="preserve"> (BG, CZ, EE, PL, PT and SI)</w:t>
      </w:r>
      <w:r w:rsidR="00872C88">
        <w:t xml:space="preserve">, there </w:t>
      </w:r>
      <w:r w:rsidR="007D348F">
        <w:t xml:space="preserve">is </w:t>
      </w:r>
      <w:r w:rsidR="00872C88" w:rsidRPr="00872C88">
        <w:t xml:space="preserve">a </w:t>
      </w:r>
      <w:r w:rsidR="00872C88" w:rsidRPr="00872C88">
        <w:rPr>
          <w:b/>
        </w:rPr>
        <w:t>mechanism or body to monitor the implementation of the urgency principle</w:t>
      </w:r>
      <w:r w:rsidR="00872C88" w:rsidRPr="00872C88">
        <w:t xml:space="preserve"> in respect of judicial proceedings involving children</w:t>
      </w:r>
      <w:r w:rsidR="00FA25CB">
        <w:t xml:space="preserve"> (CivAdm108)</w:t>
      </w:r>
      <w:r w:rsidR="00872C88">
        <w:t>.</w:t>
      </w:r>
      <w:r w:rsidR="00DC0532">
        <w:t xml:space="preserve"> </w:t>
      </w:r>
    </w:p>
    <w:p w:rsidR="00A508FE" w:rsidRDefault="00A508FE" w:rsidP="00571F56">
      <w:pPr>
        <w:pStyle w:val="BodyText"/>
      </w:pPr>
      <w:r>
        <w:t xml:space="preserve">Where such a monitoring mechanism exists, it applies in all areas of law but not always in relation to all roles of the child. In CZ, EE and PT, the monitoring mechanism does apply to children in all four roles (plaintiffs, defendants, witnesses and subjects). However, in PL and SI, it only applies to child plaintiffs, defendants and subjects, and in BG only to plaintiffs and defendants. </w:t>
      </w:r>
    </w:p>
    <w:p w:rsidR="009E4E25" w:rsidRDefault="00A508FE" w:rsidP="00571F56">
      <w:pPr>
        <w:pStyle w:val="BodyText"/>
      </w:pPr>
      <w:r>
        <w:t xml:space="preserve">The monitoring mechanisms vary and include the possibility of issuing a complaint (e.g. to the superior judicial council in SI or to the court’s chairperson in CZ). In BG, </w:t>
      </w:r>
      <w:r w:rsidR="008D4ABB">
        <w:t>a</w:t>
      </w:r>
      <w:r>
        <w:t xml:space="preserve"> child can appeal the decision of a court to a higher court on grounds of undue delay.</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717482" w:rsidRPr="000F388C" w:rsidTr="00AF5AFD">
        <w:tc>
          <w:tcPr>
            <w:tcW w:w="8222" w:type="dxa"/>
            <w:shd w:val="clear" w:color="auto" w:fill="CDEBFF"/>
          </w:tcPr>
          <w:p w:rsidR="00717482" w:rsidRPr="00694BE0" w:rsidRDefault="00717482" w:rsidP="00173CAC">
            <w:pPr>
              <w:pStyle w:val="BoxNumb"/>
              <w:numPr>
                <w:ilvl w:val="4"/>
                <w:numId w:val="27"/>
              </w:numPr>
              <w:rPr>
                <w:sz w:val="26"/>
                <w:szCs w:val="26"/>
              </w:rPr>
            </w:pPr>
            <w:bookmarkStart w:id="199" w:name="_Ref398031453"/>
            <w:r w:rsidRPr="00694BE0">
              <w:rPr>
                <w:sz w:val="26"/>
                <w:szCs w:val="26"/>
              </w:rPr>
              <w:t xml:space="preserve">Avoiding undue delay </w:t>
            </w:r>
            <w:r w:rsidR="008D4ABB" w:rsidRPr="00694BE0">
              <w:rPr>
                <w:sz w:val="26"/>
                <w:szCs w:val="26"/>
              </w:rPr>
              <w:t>in judicial proceedings involving children</w:t>
            </w:r>
            <w:r w:rsidR="00095074">
              <w:rPr>
                <w:sz w:val="26"/>
                <w:szCs w:val="26"/>
              </w:rPr>
              <w:t xml:space="preserve"> </w:t>
            </w:r>
            <w:r w:rsidRPr="00694BE0">
              <w:rPr>
                <w:sz w:val="26"/>
                <w:szCs w:val="26"/>
              </w:rPr>
              <w:t>– Czech Republic</w:t>
            </w:r>
            <w:bookmarkEnd w:id="199"/>
            <w:r w:rsidRPr="00694BE0">
              <w:rPr>
                <w:sz w:val="26"/>
                <w:szCs w:val="26"/>
              </w:rPr>
              <w:t xml:space="preserve"> </w:t>
            </w:r>
          </w:p>
          <w:p w:rsidR="0049568D" w:rsidRDefault="0049568D" w:rsidP="0049568D">
            <w:pPr>
              <w:pStyle w:val="TableText"/>
              <w:rPr>
                <w:bCs/>
                <w:sz w:val="20"/>
                <w:szCs w:val="20"/>
              </w:rPr>
            </w:pPr>
            <w:r>
              <w:rPr>
                <w:sz w:val="20"/>
                <w:szCs w:val="20"/>
              </w:rPr>
              <w:t xml:space="preserve">Judicial authorities in the Czech Republic are under a </w:t>
            </w:r>
            <w:r w:rsidR="008D4ABB">
              <w:rPr>
                <w:sz w:val="20"/>
                <w:szCs w:val="20"/>
              </w:rPr>
              <w:t xml:space="preserve">general </w:t>
            </w:r>
            <w:r>
              <w:rPr>
                <w:sz w:val="20"/>
                <w:szCs w:val="20"/>
              </w:rPr>
              <w:t>legal obligation to avoid undue delay in the conduct of civil and administrative judicial proceedings</w:t>
            </w:r>
            <w:r w:rsidR="008D4ABB">
              <w:rPr>
                <w:sz w:val="20"/>
                <w:szCs w:val="20"/>
              </w:rPr>
              <w:t xml:space="preserve">. </w:t>
            </w:r>
            <w:r w:rsidR="00794B09">
              <w:rPr>
                <w:sz w:val="20"/>
                <w:szCs w:val="20"/>
              </w:rPr>
              <w:t>According to t</w:t>
            </w:r>
            <w:r w:rsidR="00F42ECF">
              <w:rPr>
                <w:sz w:val="20"/>
                <w:szCs w:val="20"/>
              </w:rPr>
              <w:t>he Civil Proce</w:t>
            </w:r>
            <w:r w:rsidR="00794B09">
              <w:rPr>
                <w:sz w:val="20"/>
                <w:szCs w:val="20"/>
              </w:rPr>
              <w:t>dure Code of the Czech Republic, once civil proceedings are started, the court must proceed so that</w:t>
            </w:r>
            <w:r w:rsidR="00794B09" w:rsidRPr="00794B09">
              <w:rPr>
                <w:bCs/>
                <w:sz w:val="20"/>
                <w:szCs w:val="20"/>
              </w:rPr>
              <w:t xml:space="preserve"> matters </w:t>
            </w:r>
            <w:r w:rsidR="00794B09">
              <w:rPr>
                <w:bCs/>
                <w:sz w:val="20"/>
                <w:szCs w:val="20"/>
              </w:rPr>
              <w:t>are</w:t>
            </w:r>
            <w:r w:rsidR="00794B09" w:rsidRPr="00794B09">
              <w:rPr>
                <w:bCs/>
                <w:sz w:val="20"/>
                <w:szCs w:val="20"/>
              </w:rPr>
              <w:t xml:space="preserve"> discussed and decided as soon as possible. The presiding judge </w:t>
            </w:r>
            <w:r w:rsidR="00794B09">
              <w:rPr>
                <w:bCs/>
                <w:sz w:val="20"/>
                <w:szCs w:val="20"/>
              </w:rPr>
              <w:t xml:space="preserve">is under the obligation to </w:t>
            </w:r>
            <w:r w:rsidR="00794B09" w:rsidRPr="00794B09">
              <w:rPr>
                <w:bCs/>
                <w:sz w:val="20"/>
                <w:szCs w:val="20"/>
              </w:rPr>
              <w:t>prepare the hearing in a way that it would be possible to make a final decision in a single hearing</w:t>
            </w:r>
            <w:r w:rsidR="00794B09">
              <w:rPr>
                <w:bCs/>
                <w:sz w:val="20"/>
                <w:szCs w:val="20"/>
              </w:rPr>
              <w:t>.</w:t>
            </w:r>
          </w:p>
          <w:p w:rsidR="00C33CA2" w:rsidRDefault="00C33CA2" w:rsidP="0049568D">
            <w:pPr>
              <w:pStyle w:val="TableText"/>
              <w:rPr>
                <w:bCs/>
                <w:sz w:val="20"/>
                <w:szCs w:val="20"/>
              </w:rPr>
            </w:pPr>
            <w:r>
              <w:rPr>
                <w:sz w:val="20"/>
                <w:szCs w:val="20"/>
              </w:rPr>
              <w:t>Whilst this general legislation does not distinguish between cases involving children from those involving adults, additional provisions exist aimed at accelerating cases involving children in relation to specific areas of law.</w:t>
            </w:r>
          </w:p>
          <w:p w:rsidR="00794B09" w:rsidRPr="00862506" w:rsidRDefault="000E314F" w:rsidP="000E314F">
            <w:pPr>
              <w:pStyle w:val="TableText"/>
              <w:rPr>
                <w:sz w:val="20"/>
                <w:szCs w:val="20"/>
              </w:rPr>
            </w:pPr>
            <w:r w:rsidRPr="000E314F">
              <w:rPr>
                <w:bCs/>
                <w:sz w:val="20"/>
                <w:szCs w:val="20"/>
              </w:rPr>
              <w:t xml:space="preserve">In </w:t>
            </w:r>
            <w:r>
              <w:rPr>
                <w:bCs/>
                <w:sz w:val="20"/>
                <w:szCs w:val="20"/>
              </w:rPr>
              <w:t xml:space="preserve">proceedings regarding international child abduction, there are </w:t>
            </w:r>
            <w:r w:rsidRPr="000E314F">
              <w:rPr>
                <w:b/>
                <w:bCs/>
                <w:sz w:val="20"/>
                <w:szCs w:val="20"/>
              </w:rPr>
              <w:t>special time limits</w:t>
            </w:r>
            <w:r>
              <w:rPr>
                <w:bCs/>
                <w:sz w:val="20"/>
                <w:szCs w:val="20"/>
              </w:rPr>
              <w:t xml:space="preserve"> </w:t>
            </w:r>
            <w:r w:rsidRPr="000E314F">
              <w:rPr>
                <w:bCs/>
                <w:sz w:val="20"/>
                <w:szCs w:val="20"/>
              </w:rPr>
              <w:t xml:space="preserve">in which the court or a participant must act. The court must within three days after the initiation of the proceeding impose the obligation on the defendant to make a written statement within seven days. If the defendant does not respond to the court within the </w:t>
            </w:r>
            <w:r w:rsidR="008D4ABB">
              <w:rPr>
                <w:bCs/>
                <w:sz w:val="20"/>
                <w:szCs w:val="20"/>
              </w:rPr>
              <w:t>seven</w:t>
            </w:r>
            <w:r w:rsidRPr="000E314F">
              <w:rPr>
                <w:bCs/>
                <w:sz w:val="20"/>
                <w:szCs w:val="20"/>
              </w:rPr>
              <w:t xml:space="preserve"> days or does not say within the time limit what serious reasons prevent it from doing so, it is concluded that he/she waives his/her right to participate in the hearing and that he/she does not have any objections against the proposal to return the child. The court shall render its final judgment within six weeks from the initiation of the proceedings. The court might prolong this term, if there are serious grounds for </w:t>
            </w:r>
            <w:r>
              <w:rPr>
                <w:bCs/>
                <w:sz w:val="20"/>
                <w:szCs w:val="20"/>
              </w:rPr>
              <w:t>doing so</w:t>
            </w:r>
            <w:r w:rsidRPr="000E314F">
              <w:rPr>
                <w:bCs/>
                <w:sz w:val="20"/>
                <w:szCs w:val="20"/>
              </w:rPr>
              <w:t>.</w:t>
            </w:r>
          </w:p>
          <w:p w:rsidR="0049568D" w:rsidRPr="006768F3" w:rsidRDefault="006768F3" w:rsidP="000E2D99">
            <w:pPr>
              <w:pStyle w:val="TableText"/>
              <w:rPr>
                <w:i/>
                <w:sz w:val="20"/>
                <w:szCs w:val="20"/>
              </w:rPr>
            </w:pPr>
            <w:r w:rsidRPr="006768F3">
              <w:rPr>
                <w:i/>
                <w:sz w:val="20"/>
                <w:szCs w:val="20"/>
              </w:rPr>
              <w:t>Legal remedies</w:t>
            </w:r>
          </w:p>
          <w:p w:rsidR="000E2D99" w:rsidRPr="000E2D99" w:rsidRDefault="00C33CA2" w:rsidP="002D68E5">
            <w:pPr>
              <w:pStyle w:val="TableText"/>
              <w:rPr>
                <w:sz w:val="20"/>
                <w:szCs w:val="20"/>
              </w:rPr>
            </w:pPr>
            <w:r>
              <w:rPr>
                <w:sz w:val="20"/>
                <w:szCs w:val="20"/>
              </w:rPr>
              <w:t>In</w:t>
            </w:r>
            <w:r w:rsidR="006F1349">
              <w:rPr>
                <w:sz w:val="20"/>
                <w:szCs w:val="20"/>
              </w:rPr>
              <w:t xml:space="preserve"> mental healthcare proceedings, if the </w:t>
            </w:r>
            <w:r w:rsidR="006F1349" w:rsidRPr="006F1349">
              <w:rPr>
                <w:bCs/>
                <w:sz w:val="20"/>
                <w:szCs w:val="20"/>
                <w:lang w:val="cs-CZ"/>
              </w:rPr>
              <w:t xml:space="preserve">court violates the </w:t>
            </w:r>
            <w:r w:rsidR="006F1349" w:rsidRPr="006F1349">
              <w:rPr>
                <w:bCs/>
                <w:sz w:val="20"/>
                <w:szCs w:val="20"/>
              </w:rPr>
              <w:t>child’</w:t>
            </w:r>
            <w:r w:rsidR="006F1349" w:rsidRPr="006F1349">
              <w:rPr>
                <w:bCs/>
                <w:sz w:val="20"/>
                <w:szCs w:val="20"/>
                <w:lang w:val="en-US"/>
              </w:rPr>
              <w:t>s</w:t>
            </w:r>
            <w:r w:rsidR="006F1349" w:rsidRPr="006F1349">
              <w:rPr>
                <w:bCs/>
                <w:sz w:val="20"/>
                <w:szCs w:val="20"/>
                <w:lang w:val="cs-CZ"/>
              </w:rPr>
              <w:t xml:space="preserve"> right</w:t>
            </w:r>
            <w:r w:rsidR="006F1349">
              <w:rPr>
                <w:bCs/>
                <w:sz w:val="20"/>
                <w:szCs w:val="20"/>
                <w:lang w:val="cs-CZ"/>
              </w:rPr>
              <w:t xml:space="preserve">s </w:t>
            </w:r>
            <w:r w:rsidR="006F1349" w:rsidRPr="006F1349">
              <w:rPr>
                <w:bCs/>
                <w:sz w:val="20"/>
                <w:szCs w:val="20"/>
                <w:lang w:val="cs-CZ"/>
              </w:rPr>
              <w:t xml:space="preserve">by issuing </w:t>
            </w:r>
            <w:r w:rsidR="006F1349">
              <w:rPr>
                <w:bCs/>
                <w:sz w:val="20"/>
                <w:szCs w:val="20"/>
                <w:lang w:val="cs-CZ"/>
              </w:rPr>
              <w:t xml:space="preserve">a </w:t>
            </w:r>
            <w:r w:rsidR="006F1349" w:rsidRPr="006F1349">
              <w:rPr>
                <w:bCs/>
                <w:sz w:val="20"/>
                <w:szCs w:val="20"/>
                <w:lang w:val="cs-CZ"/>
              </w:rPr>
              <w:t>delayed decision</w:t>
            </w:r>
            <w:r w:rsidR="006F1349">
              <w:rPr>
                <w:bCs/>
                <w:sz w:val="20"/>
                <w:szCs w:val="20"/>
                <w:lang w:val="cs-CZ"/>
              </w:rPr>
              <w:t>, the</w:t>
            </w:r>
            <w:r w:rsidR="006F1349" w:rsidRPr="006F1349">
              <w:rPr>
                <w:bCs/>
                <w:sz w:val="20"/>
                <w:szCs w:val="20"/>
              </w:rPr>
              <w:t xml:space="preserve"> child is entitled to file a civil complaint against the State, through his/her le</w:t>
            </w:r>
            <w:r w:rsidR="006768F3">
              <w:rPr>
                <w:bCs/>
                <w:sz w:val="20"/>
                <w:szCs w:val="20"/>
              </w:rPr>
              <w:t>gal representatives, and request</w:t>
            </w:r>
            <w:r w:rsidR="006F1349" w:rsidRPr="006F1349">
              <w:rPr>
                <w:bCs/>
                <w:sz w:val="20"/>
                <w:szCs w:val="20"/>
              </w:rPr>
              <w:t xml:space="preserve"> com</w:t>
            </w:r>
            <w:r w:rsidR="006F1349">
              <w:rPr>
                <w:bCs/>
                <w:sz w:val="20"/>
                <w:szCs w:val="20"/>
              </w:rPr>
              <w:t>pensation for the damage caused.</w:t>
            </w:r>
          </w:p>
        </w:tc>
      </w:tr>
    </w:tbl>
    <w:p w:rsidR="006A50EF" w:rsidRPr="00492255" w:rsidRDefault="006A50EF" w:rsidP="00A5732C">
      <w:pPr>
        <w:pStyle w:val="Heading3"/>
      </w:pPr>
      <w:bookmarkStart w:id="200" w:name="_Toc408908724"/>
      <w:r w:rsidRPr="00492255">
        <w:t>Adaptations to the court’s physical setting</w:t>
      </w:r>
      <w:bookmarkEnd w:id="200"/>
      <w:r w:rsidR="00BC67E5" w:rsidRPr="00492255">
        <w:t xml:space="preserve"> </w:t>
      </w:r>
    </w:p>
    <w:p w:rsidR="00492255" w:rsidRPr="00492255" w:rsidRDefault="00492255" w:rsidP="00571F56">
      <w:pPr>
        <w:pStyle w:val="Heading4NoNumb"/>
        <w:ind w:left="851"/>
      </w:pPr>
      <w:r w:rsidRPr="00492255">
        <w:t>Legal obligation to conduct court hearings with children in a non-intimidating and child-friendly environment (CivAdm109)</w:t>
      </w:r>
    </w:p>
    <w:p w:rsidR="00116BFA" w:rsidRDefault="00E35074" w:rsidP="00571F56">
      <w:pPr>
        <w:pStyle w:val="BodyText"/>
      </w:pPr>
      <w:r>
        <w:t xml:space="preserve">In 13 jurisdictions (CY, FR, EL, HU, IE, IT, LU, MT, NL, PL, SI, UK-E&amp;W and UK-NI) there is a legal </w:t>
      </w:r>
      <w:r w:rsidRPr="00492255">
        <w:rPr>
          <w:b/>
        </w:rPr>
        <w:t xml:space="preserve">obligation to conduct court </w:t>
      </w:r>
      <w:r w:rsidR="00A4689A" w:rsidRPr="00492255">
        <w:rPr>
          <w:b/>
        </w:rPr>
        <w:t>hearings with children in a non-intimidating and child-friendly environment</w:t>
      </w:r>
      <w:r w:rsidR="00492255">
        <w:t xml:space="preserve">. </w:t>
      </w:r>
      <w:r w:rsidR="00116BFA">
        <w:t>In some of these jurisdictions, the provision only applies to children who are under a certain age (e.g. in NL, the obligation to hear a child in a child-friendly studio only applies to children below the age of 12.)</w:t>
      </w:r>
    </w:p>
    <w:p w:rsidR="006A50EF" w:rsidRDefault="00A4689A" w:rsidP="00571F56">
      <w:pPr>
        <w:pStyle w:val="BodyText"/>
      </w:pPr>
      <w:r>
        <w:t>This requirement is achieved in different ways in the different jurisdictions concerned:</w:t>
      </w:r>
    </w:p>
    <w:p w:rsidR="00A4689A" w:rsidRPr="00A7584E" w:rsidRDefault="00A4689A" w:rsidP="00571F56">
      <w:pPr>
        <w:pStyle w:val="BTBullet1"/>
      </w:pPr>
      <w:r w:rsidRPr="00A7584E">
        <w:t>By conducting the hearings in camera (CY</w:t>
      </w:r>
      <w:r w:rsidR="00116BFA" w:rsidRPr="00A7584E">
        <w:t>, MT</w:t>
      </w:r>
      <w:r w:rsidRPr="00A7584E">
        <w:t>)</w:t>
      </w:r>
      <w:r w:rsidR="00361755" w:rsidRPr="00A7584E">
        <w:t>;</w:t>
      </w:r>
    </w:p>
    <w:p w:rsidR="00116BFA" w:rsidRPr="00A7584E" w:rsidRDefault="00361755" w:rsidP="00571F56">
      <w:pPr>
        <w:pStyle w:val="BTBullet1"/>
      </w:pPr>
      <w:r w:rsidRPr="00A7584E">
        <w:t xml:space="preserve">By conducting the child’s examination separately e.g. </w:t>
      </w:r>
      <w:r w:rsidR="00116BFA" w:rsidRPr="00A7584E">
        <w:t>EL, IE, LU);</w:t>
      </w:r>
    </w:p>
    <w:p w:rsidR="00361755" w:rsidRPr="00A7584E" w:rsidRDefault="00116BFA" w:rsidP="00571F56">
      <w:pPr>
        <w:pStyle w:val="BTBullet1"/>
      </w:pPr>
      <w:r w:rsidRPr="00A7584E">
        <w:t xml:space="preserve">By conducting the child’s examination outside of the court-room e.g. </w:t>
      </w:r>
      <w:r w:rsidR="00361755" w:rsidRPr="00A7584E">
        <w:t>in the judge’s office</w:t>
      </w:r>
      <w:r w:rsidRPr="00A7584E">
        <w:t>, or in a child-friendly studio</w:t>
      </w:r>
      <w:r w:rsidR="00361755" w:rsidRPr="00A7584E">
        <w:t xml:space="preserve"> (FR, </w:t>
      </w:r>
      <w:r w:rsidRPr="00A7584E">
        <w:t>NL, PL</w:t>
      </w:r>
      <w:r w:rsidR="00361755" w:rsidRPr="00A7584E">
        <w:t>);</w:t>
      </w:r>
    </w:p>
    <w:p w:rsidR="00020815" w:rsidRPr="00A7584E" w:rsidRDefault="00020815" w:rsidP="00571F56">
      <w:pPr>
        <w:pStyle w:val="BTBullet1"/>
      </w:pPr>
      <w:r w:rsidRPr="00A7584E">
        <w:t>By seating the child in such a way so that his or her gaze does not meet that of the other party (FR);</w:t>
      </w:r>
    </w:p>
    <w:p w:rsidR="00361755" w:rsidRPr="00A7584E" w:rsidRDefault="00020815" w:rsidP="00571F56">
      <w:pPr>
        <w:pStyle w:val="BTBullet1"/>
      </w:pPr>
      <w:r w:rsidRPr="00A7584E">
        <w:t>By conducting the hearing in a manner that is as informal as possible while still consistent with the administration of justice (IE);</w:t>
      </w:r>
    </w:p>
    <w:p w:rsidR="00C91EB3" w:rsidRDefault="00533F3C" w:rsidP="00571F56">
      <w:pPr>
        <w:pStyle w:val="BodyText"/>
      </w:pPr>
      <w:r>
        <w:t xml:space="preserve">The legal obligation </w:t>
      </w:r>
      <w:r w:rsidR="00BB2A08">
        <w:t xml:space="preserve">applies </w:t>
      </w:r>
      <w:r w:rsidR="00BC67E5">
        <w:t>most frequently in</w:t>
      </w:r>
      <w:r w:rsidR="00BC67E5">
        <w:rPr>
          <w:b/>
        </w:rPr>
        <w:t xml:space="preserve"> </w:t>
      </w:r>
      <w:r w:rsidR="00BB2A08">
        <w:rPr>
          <w:b/>
        </w:rPr>
        <w:t>fam</w:t>
      </w:r>
      <w:r w:rsidRPr="00533F3C">
        <w:rPr>
          <w:b/>
        </w:rPr>
        <w:t>ily and placement in care</w:t>
      </w:r>
      <w:r>
        <w:t xml:space="preserve"> (all 13 jurisdictions, except EL and MT where the provision only applies to placement in care). The areas of law where the provision applies least </w:t>
      </w:r>
      <w:r w:rsidR="00BC67E5">
        <w:t>frequently</w:t>
      </w:r>
      <w:r>
        <w:t xml:space="preserve"> are </w:t>
      </w:r>
      <w:r w:rsidRPr="00533F3C">
        <w:rPr>
          <w:b/>
        </w:rPr>
        <w:t>administrative sanctions</w:t>
      </w:r>
      <w:r>
        <w:t xml:space="preserve"> (in CY, PL and SI) and </w:t>
      </w:r>
      <w:r w:rsidRPr="00533F3C">
        <w:rPr>
          <w:b/>
        </w:rPr>
        <w:t xml:space="preserve">offences below </w:t>
      </w:r>
      <w:r w:rsidR="002B7679">
        <w:rPr>
          <w:b/>
        </w:rPr>
        <w:t>MACR</w:t>
      </w:r>
      <w:r>
        <w:t xml:space="preserve"> (HU, IT and PL).</w:t>
      </w:r>
    </w:p>
    <w:p w:rsidR="00406E79" w:rsidRDefault="00BC67E5" w:rsidP="00571F56">
      <w:pPr>
        <w:pStyle w:val="BodyText"/>
      </w:pPr>
      <w:r>
        <w:t>T</w:t>
      </w:r>
      <w:r w:rsidR="00C91EB3">
        <w:t xml:space="preserve">he legal obligation applies to </w:t>
      </w:r>
      <w:r w:rsidR="00844B64">
        <w:t xml:space="preserve">children involved in the proceedings </w:t>
      </w:r>
      <w:r w:rsidR="00844B64" w:rsidRPr="00844B64">
        <w:rPr>
          <w:b/>
        </w:rPr>
        <w:t>in all roles</w:t>
      </w:r>
      <w:r w:rsidR="00844B64">
        <w:t xml:space="preserve"> (plaintiffs, defendants, witnesses or subjects)</w:t>
      </w:r>
      <w:r w:rsidRPr="00BC67E5">
        <w:t xml:space="preserve"> </w:t>
      </w:r>
      <w:r>
        <w:t>in seven out of the 13 jurisdictions concerned</w:t>
      </w:r>
      <w:r w:rsidR="00844B64">
        <w:t xml:space="preserve">. </w:t>
      </w:r>
    </w:p>
    <w:p w:rsidR="00533F3C" w:rsidRDefault="00BC67E5" w:rsidP="00571F56">
      <w:pPr>
        <w:pStyle w:val="BodyText"/>
      </w:pPr>
      <w:r>
        <w:t>T</w:t>
      </w:r>
      <w:r w:rsidR="00844B64">
        <w:t xml:space="preserve">he provision applies most </w:t>
      </w:r>
      <w:r w:rsidR="00692D69">
        <w:t xml:space="preserve">frequently </w:t>
      </w:r>
      <w:r w:rsidR="00844B64">
        <w:t xml:space="preserve">to </w:t>
      </w:r>
      <w:r w:rsidR="00C91EB3">
        <w:t xml:space="preserve">child </w:t>
      </w:r>
      <w:r w:rsidR="00844B64" w:rsidRPr="00406E79">
        <w:rPr>
          <w:b/>
        </w:rPr>
        <w:t>subjects</w:t>
      </w:r>
      <w:r w:rsidR="00844B64">
        <w:t xml:space="preserve"> (12 jurisdictions), child </w:t>
      </w:r>
      <w:r w:rsidR="00844B64" w:rsidRPr="00406E79">
        <w:rPr>
          <w:b/>
        </w:rPr>
        <w:t>witnesses</w:t>
      </w:r>
      <w:r w:rsidR="00844B64">
        <w:t xml:space="preserve"> (11 jurisdictions); and child </w:t>
      </w:r>
      <w:r w:rsidR="00C91EB3" w:rsidRPr="00406E79">
        <w:rPr>
          <w:b/>
        </w:rPr>
        <w:t>plaintiffs</w:t>
      </w:r>
      <w:r w:rsidR="00844B64" w:rsidRPr="00406E79">
        <w:rPr>
          <w:b/>
        </w:rPr>
        <w:t xml:space="preserve"> and defendants</w:t>
      </w:r>
      <w:r w:rsidR="00844B64">
        <w:t xml:space="preserve"> (9 jurisdictions). </w:t>
      </w:r>
      <w:r w:rsidR="00692D69">
        <w:t>W</w:t>
      </w:r>
      <w:r w:rsidR="00406E79">
        <w:t>here the provision applies to child plaintiffs and defendants, it tends to do so in a greater number of areas of law than in the case of child subjects and witnesses.</w:t>
      </w:r>
      <w:r w:rsidR="00050135">
        <w:t xml:space="preserve"> </w:t>
      </w:r>
    </w:p>
    <w:p w:rsidR="00492255" w:rsidRPr="00492255" w:rsidRDefault="00492255" w:rsidP="00571F56">
      <w:pPr>
        <w:pStyle w:val="Heading4NoNumb"/>
        <w:ind w:left="851"/>
      </w:pPr>
      <w:r w:rsidRPr="00492255">
        <w:t>Statutory provision to ensure that evidence provided through audio-visual recordings is admissible (CivAdm112)</w:t>
      </w:r>
    </w:p>
    <w:p w:rsidR="00E35074" w:rsidRDefault="00E35074" w:rsidP="00571F56">
      <w:pPr>
        <w:pStyle w:val="BodyText"/>
      </w:pPr>
      <w:r>
        <w:t>Another adapt</w:t>
      </w:r>
      <w:r w:rsidR="002B7679">
        <w:t>at</w:t>
      </w:r>
      <w:r>
        <w:t>ion to the court’s physical setting that exists in certain jurisdictions</w:t>
      </w:r>
      <w:r w:rsidR="00533F3C">
        <w:t xml:space="preserve"> is</w:t>
      </w:r>
      <w:r>
        <w:t xml:space="preserve"> the possibility for children to participate in the proceedings without being physically present. This is guaranteed in 19 jurisdictions through a </w:t>
      </w:r>
      <w:r w:rsidRPr="00E35074">
        <w:rPr>
          <w:b/>
        </w:rPr>
        <w:t>statutory provision to ensure that evidence provided through audio-visual recordings</w:t>
      </w:r>
      <w:r w:rsidRPr="00E35074">
        <w:t xml:space="preserve"> </w:t>
      </w:r>
      <w:r w:rsidR="00443A66">
        <w:t xml:space="preserve">is </w:t>
      </w:r>
      <w:r w:rsidRPr="00E35074">
        <w:t>admissible</w:t>
      </w:r>
      <w:r w:rsidR="00E92EB0">
        <w:t xml:space="preserve"> (CZ, EE, FI, DE, EL, IT, HR, LV, LT, NL, PL, PT, RO, SE, SI, SK, UK-E&amp;W, UK-NI and UK-S)</w:t>
      </w:r>
      <w:r w:rsidR="00406E79">
        <w:t xml:space="preserve">. </w:t>
      </w:r>
    </w:p>
    <w:p w:rsidR="00281D61" w:rsidRDefault="00281D61" w:rsidP="00571F56">
      <w:pPr>
        <w:pStyle w:val="BodyText"/>
      </w:pPr>
      <w:r>
        <w:t xml:space="preserve">This provision applies to children in all areas of law in six jurisdictions (CZ, EE, LT, PT, SK and UK-NI). </w:t>
      </w:r>
      <w:r w:rsidR="00443A66">
        <w:t>T</w:t>
      </w:r>
      <w:r>
        <w:t xml:space="preserve">he </w:t>
      </w:r>
      <w:r w:rsidR="006A6031">
        <w:t xml:space="preserve">provision applies most </w:t>
      </w:r>
      <w:r w:rsidR="00443A66">
        <w:t>frequently in</w:t>
      </w:r>
      <w:r w:rsidR="006A6031">
        <w:t xml:space="preserve"> the areas of </w:t>
      </w:r>
      <w:r w:rsidR="006A6031" w:rsidRPr="006A6031">
        <w:rPr>
          <w:b/>
        </w:rPr>
        <w:t>placement into care and family</w:t>
      </w:r>
      <w:r w:rsidR="006A6031">
        <w:t xml:space="preserve"> (16 and 15 jurisdictions, respectively). It applies least </w:t>
      </w:r>
      <w:r w:rsidR="00443A66">
        <w:t xml:space="preserve">frequently </w:t>
      </w:r>
      <w:r w:rsidR="006A6031">
        <w:t xml:space="preserve">in the areas of </w:t>
      </w:r>
      <w:r w:rsidR="006A6031" w:rsidRPr="006A6031">
        <w:rPr>
          <w:b/>
        </w:rPr>
        <w:t>administrative sanctions</w:t>
      </w:r>
      <w:r w:rsidR="006A6031">
        <w:t xml:space="preserve"> (9 jurisdictions) and </w:t>
      </w:r>
      <w:r w:rsidR="006A6031" w:rsidRPr="006A6031">
        <w:rPr>
          <w:b/>
        </w:rPr>
        <w:t>migration, asylum, education and health</w:t>
      </w:r>
      <w:r w:rsidR="006A6031">
        <w:t xml:space="preserve"> (10 jurisdictions each).</w:t>
      </w:r>
    </w:p>
    <w:p w:rsidR="00281D61" w:rsidRDefault="00443A66" w:rsidP="00571F56">
      <w:pPr>
        <w:pStyle w:val="BodyText"/>
      </w:pPr>
      <w:r>
        <w:t>T</w:t>
      </w:r>
      <w:r w:rsidR="002621C7">
        <w:t xml:space="preserve">he provision applies most often to </w:t>
      </w:r>
      <w:r w:rsidR="002621C7" w:rsidRPr="00CD6ACA">
        <w:t xml:space="preserve">child </w:t>
      </w:r>
      <w:r w:rsidR="002621C7" w:rsidRPr="00CD6ACA">
        <w:rPr>
          <w:b/>
        </w:rPr>
        <w:t>witnesses</w:t>
      </w:r>
      <w:r w:rsidR="002621C7">
        <w:t xml:space="preserve"> (in all 19 jurisdictions concerned); to child </w:t>
      </w:r>
      <w:r w:rsidR="002621C7" w:rsidRPr="00CD6ACA">
        <w:rPr>
          <w:b/>
        </w:rPr>
        <w:t>plaintiffs</w:t>
      </w:r>
      <w:r w:rsidR="002621C7">
        <w:t xml:space="preserve"> (in</w:t>
      </w:r>
      <w:r w:rsidR="00CD6ACA">
        <w:t xml:space="preserve"> 17 jurisdictions); and to child defendants (in 15 jurisdictions); and least </w:t>
      </w:r>
      <w:r>
        <w:t>frequently</w:t>
      </w:r>
      <w:r w:rsidR="00CD6ACA">
        <w:t xml:space="preserve"> to children who are </w:t>
      </w:r>
      <w:r w:rsidR="00CD6ACA" w:rsidRPr="00CD6ACA">
        <w:rPr>
          <w:b/>
        </w:rPr>
        <w:t>subjects</w:t>
      </w:r>
      <w:r w:rsidR="00CD6ACA">
        <w:t xml:space="preserve"> of the proceedings (in 11 jurisdictions). </w:t>
      </w:r>
    </w:p>
    <w:p w:rsidR="006A6031" w:rsidRPr="00C05DFE" w:rsidRDefault="001854FF" w:rsidP="00571F56">
      <w:pPr>
        <w:pStyle w:val="BodyText"/>
      </w:pPr>
      <w:r w:rsidRPr="001854FF">
        <w:rPr>
          <w:b/>
          <w:color w:val="0067AC" w:themeColor="text2"/>
        </w:rPr>
        <w:fldChar w:fldCharType="begin"/>
      </w:r>
      <w:r w:rsidRPr="001854FF">
        <w:rPr>
          <w:b/>
          <w:color w:val="0067AC" w:themeColor="text2"/>
        </w:rPr>
        <w:instrText xml:space="preserve"> REF _Ref395830068 \r \h  \* MERGEFORMAT </w:instrText>
      </w:r>
      <w:r w:rsidRPr="001854FF">
        <w:rPr>
          <w:b/>
          <w:color w:val="0067AC" w:themeColor="text2"/>
        </w:rPr>
      </w:r>
      <w:r w:rsidRPr="001854FF">
        <w:rPr>
          <w:b/>
          <w:color w:val="0067AC" w:themeColor="text2"/>
        </w:rPr>
        <w:fldChar w:fldCharType="separate"/>
      </w:r>
      <w:r w:rsidR="000223E8">
        <w:rPr>
          <w:b/>
          <w:color w:val="0067AC" w:themeColor="text2"/>
        </w:rPr>
        <w:t>Table A4.7</w:t>
      </w:r>
      <w:r w:rsidRPr="001854FF">
        <w:rPr>
          <w:b/>
          <w:color w:val="0067AC" w:themeColor="text2"/>
        </w:rPr>
        <w:fldChar w:fldCharType="end"/>
      </w:r>
      <w:r>
        <w:t xml:space="preserve"> </w:t>
      </w:r>
      <w:r w:rsidR="00281D61">
        <w:t xml:space="preserve">maps the coverage of this statutory provision by role of the child and area of law across all jurisdictions. </w:t>
      </w:r>
    </w:p>
    <w:p w:rsidR="006A50EF" w:rsidRDefault="008D797F" w:rsidP="00A5732C">
      <w:pPr>
        <w:pStyle w:val="Heading3"/>
      </w:pPr>
      <w:bookmarkStart w:id="201" w:name="_Toc408908725"/>
      <w:r>
        <w:t xml:space="preserve">Conducting interviews in a </w:t>
      </w:r>
      <w:r w:rsidR="00C33CA2">
        <w:t>child-friendly</w:t>
      </w:r>
      <w:r>
        <w:t xml:space="preserve"> manner</w:t>
      </w:r>
      <w:bookmarkEnd w:id="201"/>
    </w:p>
    <w:p w:rsidR="006A50EF" w:rsidRDefault="00B71BBE" w:rsidP="00571F56">
      <w:pPr>
        <w:pStyle w:val="BodyText"/>
      </w:pPr>
      <w:r>
        <w:t>In eight</w:t>
      </w:r>
      <w:r w:rsidR="00061525">
        <w:t xml:space="preserve"> jurisdictions</w:t>
      </w:r>
      <w:r>
        <w:t xml:space="preserve"> (EE, HU, IT, LU, PL, PT, UK-E&amp;W, UK-NI)</w:t>
      </w:r>
      <w:r w:rsidR="00061525">
        <w:t xml:space="preserve">, </w:t>
      </w:r>
      <w:r w:rsidR="00061525" w:rsidRPr="00C33CA2">
        <w:t>statutory provisions exist to ensure</w:t>
      </w:r>
      <w:r w:rsidR="00061525" w:rsidRPr="00C33CA2">
        <w:rPr>
          <w:b/>
        </w:rPr>
        <w:t xml:space="preserve"> interviews with children are</w:t>
      </w:r>
      <w:r w:rsidR="00061525">
        <w:rPr>
          <w:b/>
        </w:rPr>
        <w:t xml:space="preserve"> adapted to the child’s pace, attention span and any communication difficulties </w:t>
      </w:r>
      <w:r w:rsidR="00061525" w:rsidRPr="00061525">
        <w:t>that the child may have</w:t>
      </w:r>
      <w:r w:rsidR="00FA25CB">
        <w:t xml:space="preserve"> (CivAdm117)</w:t>
      </w:r>
      <w:r w:rsidR="00061525" w:rsidRPr="00061525">
        <w:t>.</w:t>
      </w:r>
      <w:r>
        <w:t xml:space="preserve"> </w:t>
      </w:r>
    </w:p>
    <w:p w:rsidR="00A74A5A" w:rsidRDefault="00443A66" w:rsidP="00571F56">
      <w:pPr>
        <w:pStyle w:val="BodyText"/>
      </w:pPr>
      <w:r>
        <w:t>T</w:t>
      </w:r>
      <w:r w:rsidR="00A74A5A">
        <w:t xml:space="preserve">he provision applies most frequently in the areas of </w:t>
      </w:r>
      <w:r w:rsidR="00A74A5A" w:rsidRPr="00A74A5A">
        <w:rPr>
          <w:b/>
        </w:rPr>
        <w:t>family</w:t>
      </w:r>
      <w:r w:rsidR="00A74A5A">
        <w:t xml:space="preserve"> and </w:t>
      </w:r>
      <w:r w:rsidR="00A74A5A" w:rsidRPr="00A74A5A">
        <w:rPr>
          <w:b/>
        </w:rPr>
        <w:t xml:space="preserve">offences committed below </w:t>
      </w:r>
      <w:r w:rsidR="00492255">
        <w:rPr>
          <w:b/>
        </w:rPr>
        <w:t>MACR</w:t>
      </w:r>
      <w:r w:rsidR="00A74A5A">
        <w:t xml:space="preserve"> (in five jurisdictions each). The provision applies least frequently in the areas of </w:t>
      </w:r>
      <w:r w:rsidR="00A74A5A" w:rsidRPr="00A74A5A">
        <w:rPr>
          <w:b/>
        </w:rPr>
        <w:t xml:space="preserve">employment, asylum, migration, education </w:t>
      </w:r>
      <w:r w:rsidR="00A74A5A" w:rsidRPr="00A74A5A">
        <w:t>and</w:t>
      </w:r>
      <w:r w:rsidR="00A74A5A" w:rsidRPr="00A74A5A">
        <w:rPr>
          <w:b/>
        </w:rPr>
        <w:t xml:space="preserve"> health</w:t>
      </w:r>
      <w:r w:rsidR="00A74A5A">
        <w:t xml:space="preserve"> (in </w:t>
      </w:r>
      <w:r w:rsidR="008D2873">
        <w:t>one</w:t>
      </w:r>
      <w:r w:rsidR="00A74A5A">
        <w:t xml:space="preserve"> jurisdiction each). </w:t>
      </w:r>
    </w:p>
    <w:p w:rsidR="00A74A5A" w:rsidRDefault="00A74A5A" w:rsidP="00571F56">
      <w:pPr>
        <w:pStyle w:val="BodyText"/>
      </w:pPr>
      <w:r>
        <w:t xml:space="preserve">The provision applies in </w:t>
      </w:r>
      <w:r w:rsidRPr="00A74A5A">
        <w:t>all areas of law</w:t>
      </w:r>
      <w:r>
        <w:t xml:space="preserve"> only in EE. In the other seven jurisdictions, the provision applies </w:t>
      </w:r>
      <w:r w:rsidRPr="00A74A5A">
        <w:rPr>
          <w:b/>
        </w:rPr>
        <w:t>in one or two areas of law only</w:t>
      </w:r>
      <w:r>
        <w:t>: it applies to placement into care and offences committed below the</w:t>
      </w:r>
      <w:r w:rsidR="008D2873">
        <w:t xml:space="preserve"> minimum</w:t>
      </w:r>
      <w:r>
        <w:t xml:space="preserve"> age of criminal responsibility in LU and PT; to administrative sanctions and offences committed below the age of criminal responsibility in PL; to family and placement into care in UK-E&amp;W; to family and administrative sanction in UK-NI; only to family in HU; and only to offences committed below the age of criminal responsibility in IT.</w:t>
      </w:r>
    </w:p>
    <w:p w:rsidR="00A74A5A" w:rsidRDefault="00860DE6" w:rsidP="00571F56">
      <w:pPr>
        <w:pStyle w:val="BodyText"/>
      </w:pPr>
      <w:r>
        <w:t xml:space="preserve">As regards the roles of the child, the provision applies to children </w:t>
      </w:r>
      <w:r w:rsidRPr="00860DE6">
        <w:rPr>
          <w:b/>
        </w:rPr>
        <w:t>in all roles</w:t>
      </w:r>
      <w:r>
        <w:t xml:space="preserve"> in three MS (EE, LU and IT). Across the eight jurisdictions concerned, the provision applies to child </w:t>
      </w:r>
      <w:r w:rsidR="00FA25CB">
        <w:rPr>
          <w:b/>
        </w:rPr>
        <w:t>plaintiffs or</w:t>
      </w:r>
      <w:r w:rsidRPr="00860DE6">
        <w:rPr>
          <w:b/>
        </w:rPr>
        <w:t xml:space="preserve"> defendants</w:t>
      </w:r>
      <w:r>
        <w:t xml:space="preserve"> most often (in </w:t>
      </w:r>
      <w:r w:rsidR="0070224F">
        <w:t>seven</w:t>
      </w:r>
      <w:r>
        <w:t xml:space="preserve"> jurisdictions); then to child </w:t>
      </w:r>
      <w:r w:rsidRPr="00860DE6">
        <w:rPr>
          <w:b/>
        </w:rPr>
        <w:t>subjects</w:t>
      </w:r>
      <w:r>
        <w:t xml:space="preserve"> (in </w:t>
      </w:r>
      <w:r w:rsidR="0070224F">
        <w:t>six</w:t>
      </w:r>
      <w:r>
        <w:t xml:space="preserve"> jurisdictions); and to child </w:t>
      </w:r>
      <w:r w:rsidRPr="00860DE6">
        <w:rPr>
          <w:b/>
        </w:rPr>
        <w:t>witnesses</w:t>
      </w:r>
      <w:r>
        <w:t xml:space="preserve"> in </w:t>
      </w:r>
      <w:r w:rsidR="0070224F">
        <w:t>five</w:t>
      </w:r>
      <w:r>
        <w:t xml:space="preserve"> jurisdictions. </w:t>
      </w:r>
    </w:p>
    <w:p w:rsidR="00A74A5A" w:rsidRDefault="00860DE6" w:rsidP="00571F56">
      <w:pPr>
        <w:pStyle w:val="BodyText"/>
      </w:pPr>
      <w:r>
        <w:t xml:space="preserve">In five of the eight jurisdictions concerned (IT, PL, PT, UK-E&amp;W and </w:t>
      </w:r>
      <w:r w:rsidR="00CD7610">
        <w:t>UK-S</w:t>
      </w:r>
      <w:r>
        <w:t xml:space="preserve">), </w:t>
      </w:r>
      <w:r w:rsidRPr="00860DE6">
        <w:rPr>
          <w:b/>
        </w:rPr>
        <w:t>guidance for court staff regarding the adaptations required to interviews</w:t>
      </w:r>
      <w:r>
        <w:t xml:space="preserve"> in the case of children additionally exist</w:t>
      </w:r>
      <w:r w:rsidR="00691699">
        <w:t xml:space="preserve"> (CivAdm118)</w:t>
      </w:r>
      <w:r>
        <w:t xml:space="preserve">. Such guidance also exists in </w:t>
      </w:r>
      <w:r w:rsidR="00CD7610">
        <w:t>UK-S</w:t>
      </w:r>
      <w:r>
        <w:t xml:space="preserve"> even though it has not adopted a statutory provision to ensure interviews with children are adapted to the child’s pace, attention span and communication skills. </w:t>
      </w:r>
    </w:p>
    <w:p w:rsidR="006C2F7F" w:rsidRDefault="006C2F7F" w:rsidP="00571F56">
      <w:pPr>
        <w:pStyle w:val="BodyText"/>
      </w:pPr>
      <w:r>
        <w:t xml:space="preserve">The guidance most frequently applies in the areas of </w:t>
      </w:r>
      <w:r w:rsidRPr="006C2F7F">
        <w:rPr>
          <w:b/>
        </w:rPr>
        <w:t xml:space="preserve">asylum, migration and offences committed below </w:t>
      </w:r>
      <w:r w:rsidR="00492255">
        <w:rPr>
          <w:b/>
        </w:rPr>
        <w:t>MACR</w:t>
      </w:r>
      <w:r w:rsidRPr="006C2F7F">
        <w:rPr>
          <w:b/>
        </w:rPr>
        <w:t xml:space="preserve"> </w:t>
      </w:r>
      <w:r>
        <w:t xml:space="preserve">(each in </w:t>
      </w:r>
      <w:r w:rsidR="0070224F">
        <w:t>five</w:t>
      </w:r>
      <w:r>
        <w:t xml:space="preserve"> jurisdictions). The guidance applies least frequently in the areas of </w:t>
      </w:r>
      <w:r w:rsidRPr="006C2F7F">
        <w:rPr>
          <w:b/>
        </w:rPr>
        <w:t>employment and education</w:t>
      </w:r>
      <w:r>
        <w:t xml:space="preserve"> (each in </w:t>
      </w:r>
      <w:r w:rsidR="0070224F">
        <w:t>two</w:t>
      </w:r>
      <w:r>
        <w:t xml:space="preserve"> jurisdictions).</w:t>
      </w:r>
    </w:p>
    <w:p w:rsidR="00860DE6" w:rsidRDefault="00860DE6" w:rsidP="00571F56">
      <w:pPr>
        <w:pStyle w:val="BodyText"/>
      </w:pPr>
      <w:r>
        <w:t xml:space="preserve">In </w:t>
      </w:r>
      <w:r w:rsidR="00CD7610">
        <w:t>UK-S</w:t>
      </w:r>
      <w:r>
        <w:t xml:space="preserve">, the guidance for court staff regarding adaptations required to interviews only applies in the areas of asylum and migration. In the other jurisdictions, the guidance </w:t>
      </w:r>
      <w:r w:rsidRPr="006C2F7F">
        <w:rPr>
          <w:b/>
        </w:rPr>
        <w:t>applies in more areas of law than the areas that are covered by the corresponding statutory provisions</w:t>
      </w:r>
      <w:r>
        <w:t xml:space="preserve">: </w:t>
      </w:r>
    </w:p>
    <w:p w:rsidR="00860DE6" w:rsidRPr="00A7584E" w:rsidRDefault="00860DE6" w:rsidP="00571F56">
      <w:pPr>
        <w:pStyle w:val="BTBullet1"/>
      </w:pPr>
      <w:r w:rsidRPr="00A7584E">
        <w:t xml:space="preserve">In PT, the guidance applies in all areas of law; </w:t>
      </w:r>
    </w:p>
    <w:p w:rsidR="00860DE6" w:rsidRPr="00A7584E" w:rsidRDefault="00860DE6" w:rsidP="00571F56">
      <w:pPr>
        <w:pStyle w:val="BTBullet1"/>
      </w:pPr>
      <w:r w:rsidRPr="00A7584E">
        <w:t xml:space="preserve">In UK-E&amp;W and UK-NI, the guidance applies in all areas of law except employment and education; </w:t>
      </w:r>
    </w:p>
    <w:p w:rsidR="00860DE6" w:rsidRPr="00A7584E" w:rsidRDefault="00860DE6" w:rsidP="00571F56">
      <w:pPr>
        <w:pStyle w:val="BTBullet1"/>
      </w:pPr>
      <w:r w:rsidRPr="00A7584E">
        <w:t xml:space="preserve">In IT, the guidance applies in all areas except family, employment and administrative sanctions; and, </w:t>
      </w:r>
    </w:p>
    <w:p w:rsidR="00860DE6" w:rsidRPr="00A7584E" w:rsidRDefault="00860DE6" w:rsidP="00571F56">
      <w:pPr>
        <w:pStyle w:val="BTBullet1"/>
      </w:pPr>
      <w:r w:rsidRPr="00A7584E">
        <w:t>In PL, the guidance applies in the areas of family, employment, administrative sanctions and offences committed below the age of criminal responsibility.</w:t>
      </w:r>
      <w:r w:rsidR="00050135">
        <w:t xml:space="preserve"> </w:t>
      </w:r>
    </w:p>
    <w:p w:rsidR="00CA79FE" w:rsidRDefault="00C33CA2" w:rsidP="00571F56">
      <w:pPr>
        <w:pStyle w:val="BodyText"/>
      </w:pPr>
      <w:r>
        <w:t>T</w:t>
      </w:r>
      <w:r w:rsidR="00144C58">
        <w:t xml:space="preserve">he guidance for court staff regarding adaptations required to interviews applies to children </w:t>
      </w:r>
      <w:r w:rsidR="00144C58" w:rsidRPr="00144C58">
        <w:rPr>
          <w:b/>
        </w:rPr>
        <w:t>in all roles</w:t>
      </w:r>
      <w:r w:rsidR="00144C58">
        <w:t xml:space="preserve"> in four jurisdictions (IT, UK-E&amp;W, UK-NI and UK-S). </w:t>
      </w:r>
    </w:p>
    <w:p w:rsidR="00A74A5A" w:rsidRDefault="00144C58" w:rsidP="00571F56">
      <w:pPr>
        <w:pStyle w:val="BodyText"/>
      </w:pPr>
      <w:r>
        <w:t xml:space="preserve">In PL and PT, it also applies to children </w:t>
      </w:r>
      <w:r w:rsidRPr="00CA79FE">
        <w:rPr>
          <w:b/>
        </w:rPr>
        <w:t>in</w:t>
      </w:r>
      <w:r>
        <w:t xml:space="preserve"> </w:t>
      </w:r>
      <w:r w:rsidRPr="00CA79FE">
        <w:rPr>
          <w:b/>
        </w:rPr>
        <w:t>all roles</w:t>
      </w:r>
      <w:r>
        <w:t xml:space="preserve"> in proceedings relating to </w:t>
      </w:r>
      <w:r w:rsidRPr="00CA79FE">
        <w:rPr>
          <w:b/>
        </w:rPr>
        <w:t>family law</w:t>
      </w:r>
      <w:r>
        <w:t>; in other areas of law, the guidance does not apply to subjects and / or defendants (in PL, it does not apply to subjects in employment, administrative sanctions and offences committed below the age of criminal responsibility; in PT, it does not apply to subjects nor defendants in employment, asylum, migration and health).</w:t>
      </w:r>
    </w:p>
    <w:p w:rsidR="006A50EF" w:rsidRDefault="005757F2" w:rsidP="00A5732C">
      <w:pPr>
        <w:pStyle w:val="Heading3"/>
      </w:pPr>
      <w:bookmarkStart w:id="202" w:name="_Toc408908726"/>
      <w:r>
        <w:t>Presence of s</w:t>
      </w:r>
      <w:r w:rsidR="006A50EF">
        <w:t xml:space="preserve">upport persons and/or </w:t>
      </w:r>
      <w:r>
        <w:t xml:space="preserve">support </w:t>
      </w:r>
      <w:r w:rsidR="006A50EF">
        <w:t>services</w:t>
      </w:r>
      <w:bookmarkEnd w:id="202"/>
      <w:r w:rsidR="006A50EF">
        <w:t xml:space="preserve"> </w:t>
      </w:r>
    </w:p>
    <w:p w:rsidR="000A1158" w:rsidRDefault="000A1158" w:rsidP="00571F56">
      <w:pPr>
        <w:pStyle w:val="BodyText"/>
      </w:pPr>
      <w:r>
        <w:t xml:space="preserve">Another way of protecting children involved in civil or administrative proceedings from harm is to ensure that the child is accompanied by </w:t>
      </w:r>
      <w:r w:rsidR="00F262CF">
        <w:t xml:space="preserve">an appropriate support person. In 22 jurisdictions, this is achieved by making it a </w:t>
      </w:r>
      <w:r w:rsidR="00F262CF" w:rsidRPr="003C6272">
        <w:rPr>
          <w:b/>
        </w:rPr>
        <w:t xml:space="preserve">mandatory requirement for </w:t>
      </w:r>
      <w:r w:rsidR="003C6272" w:rsidRPr="003C6272">
        <w:rPr>
          <w:b/>
        </w:rPr>
        <w:t xml:space="preserve">a legal representative, guardian, guardian ad litem, adult relative, or a lawyer to be present </w:t>
      </w:r>
      <w:r w:rsidR="003C6272" w:rsidRPr="00F262CF">
        <w:t>when a child is interviewed</w:t>
      </w:r>
      <w:r w:rsidR="00691699">
        <w:t xml:space="preserve"> (CivAdm144)</w:t>
      </w:r>
      <w:r w:rsidR="003C6272">
        <w:t xml:space="preserve">. The exceptions are BE, CY, FI, IE, LU, MT, SK and </w:t>
      </w:r>
      <w:r w:rsidR="00CD7610">
        <w:t>UK-S</w:t>
      </w:r>
      <w:r w:rsidR="003C6272">
        <w:t>, where no such requirement exists.</w:t>
      </w:r>
    </w:p>
    <w:p w:rsidR="003C6272" w:rsidRDefault="00B6135F" w:rsidP="00571F56">
      <w:pPr>
        <w:pStyle w:val="BodyText"/>
      </w:pPr>
      <w:r>
        <w:t xml:space="preserve">Across all of the jurisdictions concerned, the requirement </w:t>
      </w:r>
      <w:r w:rsidR="000A1158">
        <w:t xml:space="preserve">applies most frequently in the areas of </w:t>
      </w:r>
      <w:r w:rsidR="000A1158" w:rsidRPr="000A1158">
        <w:rPr>
          <w:b/>
        </w:rPr>
        <w:t>family and placement into care</w:t>
      </w:r>
      <w:r w:rsidR="000A1158">
        <w:rPr>
          <w:b/>
        </w:rPr>
        <w:t xml:space="preserve"> </w:t>
      </w:r>
      <w:r w:rsidR="000A1158">
        <w:t>(19 jurisdictions each). It applies least frequently in the areas of employment and administrative sanctions (14 jurisdictions each)</w:t>
      </w:r>
      <w:r>
        <w:t>.</w:t>
      </w:r>
    </w:p>
    <w:p w:rsidR="00EB04FF" w:rsidRDefault="00EB04FF" w:rsidP="00571F56">
      <w:pPr>
        <w:pStyle w:val="BodyText"/>
      </w:pPr>
      <w:r>
        <w:t xml:space="preserve">In more than half of the jurisdictions concerned (12), </w:t>
      </w:r>
      <w:r w:rsidR="00AF5AFD">
        <w:t xml:space="preserve">the mandatory requirement for </w:t>
      </w:r>
      <w:r w:rsidR="00AF5AFD" w:rsidRPr="00AF5AFD">
        <w:t xml:space="preserve">a legal representative, guardian, guardian ad litem, adult relative, or a lawyer </w:t>
      </w:r>
      <w:r w:rsidR="00AF5AFD">
        <w:t xml:space="preserve">to </w:t>
      </w:r>
      <w:r>
        <w:t xml:space="preserve">accompany the child during interviews applies </w:t>
      </w:r>
      <w:r w:rsidRPr="00B6135F">
        <w:rPr>
          <w:b/>
        </w:rPr>
        <w:t>in all areas</w:t>
      </w:r>
      <w:r>
        <w:t xml:space="preserve"> of law. </w:t>
      </w:r>
    </w:p>
    <w:p w:rsidR="00B6135F" w:rsidRDefault="00B6135F" w:rsidP="00571F56">
      <w:pPr>
        <w:pStyle w:val="BodyText"/>
      </w:pPr>
      <w:r w:rsidRPr="00AF5AFD">
        <w:t xml:space="preserve">As regards the role of the child, the provision applies most frequently to child </w:t>
      </w:r>
      <w:r w:rsidR="00196714">
        <w:rPr>
          <w:b/>
        </w:rPr>
        <w:t>plaintiffs or</w:t>
      </w:r>
      <w:r w:rsidRPr="00AF5AFD">
        <w:rPr>
          <w:b/>
        </w:rPr>
        <w:t xml:space="preserve"> defendants</w:t>
      </w:r>
      <w:r w:rsidRPr="00AF5AFD">
        <w:t xml:space="preserve"> (in </w:t>
      </w:r>
      <w:r w:rsidR="00196714">
        <w:t>20 jurisdictions each</w:t>
      </w:r>
      <w:r w:rsidRPr="00AF5AFD">
        <w:t xml:space="preserve">) and in a smaller number of jurisdictions to child </w:t>
      </w:r>
      <w:r w:rsidRPr="00AF5AFD">
        <w:rPr>
          <w:b/>
        </w:rPr>
        <w:t>subjects</w:t>
      </w:r>
      <w:r w:rsidRPr="00AF5AFD">
        <w:t xml:space="preserve"> </w:t>
      </w:r>
      <w:r w:rsidR="00196714">
        <w:t>(14 jurisdictions) and witnesses (</w:t>
      </w:r>
      <w:r w:rsidR="004A40BF">
        <w:t>nine</w:t>
      </w:r>
      <w:r w:rsidR="00196714">
        <w:t xml:space="preserve"> jurisdictions)</w:t>
      </w:r>
      <w:r w:rsidRPr="00AF5AFD">
        <w:t>.</w:t>
      </w:r>
    </w:p>
    <w:p w:rsidR="00AF5AFD" w:rsidRDefault="00AF5AFD" w:rsidP="00571F56">
      <w:pPr>
        <w:pStyle w:val="BodyText"/>
      </w:pPr>
      <w:r>
        <w:t xml:space="preserve">In six jurisdictions (BG, CZ, FR, IT, RO and SI), the mandatory requirement for </w:t>
      </w:r>
      <w:r w:rsidRPr="00AF5AFD">
        <w:t>a legal representative, guardian, guardian ad litem, adult relative, or a lawyer to be present</w:t>
      </w:r>
      <w:r w:rsidRPr="00AF5AFD">
        <w:rPr>
          <w:b/>
        </w:rPr>
        <w:t xml:space="preserve"> </w:t>
      </w:r>
      <w:r w:rsidRPr="00AF5AFD">
        <w:t>when a child is interviewed</w:t>
      </w:r>
      <w:r>
        <w:t xml:space="preserve"> applies to all roles of the child (plaintiffs, defendants, witnesses and subjects) but not always in all of the possible areas of law: </w:t>
      </w:r>
    </w:p>
    <w:p w:rsidR="00AF5AFD" w:rsidRPr="00A7584E" w:rsidRDefault="00AF5AFD" w:rsidP="00571F56">
      <w:pPr>
        <w:pStyle w:val="BTBullet1"/>
      </w:pPr>
      <w:r w:rsidRPr="00A7584E">
        <w:t xml:space="preserve">In BG, the provision applies to all four roles but not in the employment area, where it only applies to witnesses; </w:t>
      </w:r>
    </w:p>
    <w:p w:rsidR="00AF5AFD" w:rsidRPr="00A7584E" w:rsidRDefault="00AF5AFD" w:rsidP="00571F56">
      <w:pPr>
        <w:pStyle w:val="BTBullet1"/>
      </w:pPr>
      <w:r w:rsidRPr="00A7584E">
        <w:t xml:space="preserve">In CZ and FR, the provision applies to all four roles but only in the areas of family and placement into care; </w:t>
      </w:r>
    </w:p>
    <w:p w:rsidR="00AF5AFD" w:rsidRPr="00A7584E" w:rsidRDefault="00AF5AFD" w:rsidP="00571F56">
      <w:pPr>
        <w:pStyle w:val="BTBullet1"/>
      </w:pPr>
      <w:r w:rsidRPr="00A7584E">
        <w:t xml:space="preserve">In IT, the provision applies to all four roles in all of the areas of law; </w:t>
      </w:r>
    </w:p>
    <w:p w:rsidR="00AF5AFD" w:rsidRPr="00A7584E" w:rsidRDefault="00AF5AFD" w:rsidP="00571F56">
      <w:pPr>
        <w:pStyle w:val="BTBullet1"/>
      </w:pPr>
      <w:r w:rsidRPr="00A7584E">
        <w:t xml:space="preserve">In RO, it applies to all four roles but only in the area of family law; and, </w:t>
      </w:r>
    </w:p>
    <w:p w:rsidR="00AF5AFD" w:rsidRPr="00A7584E" w:rsidRDefault="00AF5AFD" w:rsidP="00571F56">
      <w:pPr>
        <w:pStyle w:val="BTBullet1"/>
      </w:pPr>
      <w:r w:rsidRPr="00A7584E">
        <w:t>In SI, it applies to all four roles but only in family, migration, education and placement into care.</w:t>
      </w:r>
    </w:p>
    <w:p w:rsidR="00B50B15" w:rsidRDefault="00F262CF" w:rsidP="00571F56">
      <w:pPr>
        <w:pStyle w:val="BodyText"/>
      </w:pPr>
      <w:r>
        <w:t>In 24</w:t>
      </w:r>
      <w:r w:rsidR="00B50B15">
        <w:t xml:space="preserve"> jurisdictions, </w:t>
      </w:r>
      <w:r w:rsidR="00677156">
        <w:t xml:space="preserve">in addition to (or in a few cases instead of) the mandatory requirement for a </w:t>
      </w:r>
      <w:r w:rsidR="00677156" w:rsidRPr="00677156">
        <w:t xml:space="preserve">legal representative, guardian, guardian ad litem, adult relative, or a lawyer to be </w:t>
      </w:r>
      <w:r w:rsidR="00677156">
        <w:t xml:space="preserve">present when the child is interviewed, </w:t>
      </w:r>
      <w:r w:rsidR="00B50B15">
        <w:t xml:space="preserve">there are </w:t>
      </w:r>
      <w:r w:rsidR="00B50B15" w:rsidRPr="00B50B15">
        <w:t>statutory provision</w:t>
      </w:r>
      <w:r w:rsidR="00B50B15">
        <w:t>s</w:t>
      </w:r>
      <w:r w:rsidR="00B50B15" w:rsidRPr="00B50B15">
        <w:t xml:space="preserve"> </w:t>
      </w:r>
      <w:r w:rsidR="00B50B15" w:rsidRPr="00B6135F">
        <w:rPr>
          <w:b/>
        </w:rPr>
        <w:t xml:space="preserve">on the right of a child to receive assistance when attending proceedings, including from </w:t>
      </w:r>
      <w:r w:rsidR="007B061F">
        <w:rPr>
          <w:b/>
        </w:rPr>
        <w:t>a</w:t>
      </w:r>
      <w:r w:rsidR="00B50B15" w:rsidRPr="00B6135F">
        <w:rPr>
          <w:b/>
        </w:rPr>
        <w:t xml:space="preserve"> social worker, lawyer or friend</w:t>
      </w:r>
      <w:r w:rsidR="00B50B15">
        <w:t xml:space="preserve"> </w:t>
      </w:r>
      <w:r w:rsidR="00196714">
        <w:t xml:space="preserve">(CivAdm141). </w:t>
      </w:r>
      <w:r>
        <w:t xml:space="preserve">The exceptions are CZ, IE, LV, LT, MT and SK, where no such provisions exist. </w:t>
      </w:r>
    </w:p>
    <w:p w:rsidR="00677156" w:rsidRDefault="00677156" w:rsidP="00571F56">
      <w:pPr>
        <w:pStyle w:val="BodyText"/>
      </w:pPr>
      <w:r>
        <w:t>(</w:t>
      </w:r>
      <w:r w:rsidRPr="00677156">
        <w:t xml:space="preserve">In IE, MT and SK, there is neither a </w:t>
      </w:r>
      <w:r>
        <w:t>mandatory requirement for an appropriate person to accompany the child during interviews, nor is there a statutory right for the child to receive assistance when attending the proceedings.)</w:t>
      </w:r>
    </w:p>
    <w:p w:rsidR="00B45BCD" w:rsidRDefault="00B45BCD" w:rsidP="00571F56">
      <w:pPr>
        <w:pStyle w:val="BodyText"/>
      </w:pPr>
      <w:r>
        <w:t xml:space="preserve">Where </w:t>
      </w:r>
      <w:r w:rsidR="00CE2831">
        <w:t xml:space="preserve">a statutory right for the child to receive assistance when attending the proceedings </w:t>
      </w:r>
      <w:r>
        <w:t>exist</w:t>
      </w:r>
      <w:r w:rsidR="00CE2831">
        <w:t>s</w:t>
      </w:r>
      <w:r>
        <w:t xml:space="preserve">, the type of </w:t>
      </w:r>
      <w:r w:rsidR="00CE2831">
        <w:t xml:space="preserve">support </w:t>
      </w:r>
      <w:r>
        <w:t>person foreseen varies across</w:t>
      </w:r>
      <w:r w:rsidR="00C03147">
        <w:t xml:space="preserve"> jurisdictions and areas of law. Besides the legal representative (i.e. parent/guardian), who is foreseen as the child’s key support person in all jurisdictions, other types of support </w:t>
      </w:r>
      <w:r w:rsidR="00E06AB5">
        <w:t xml:space="preserve">providers </w:t>
      </w:r>
      <w:r w:rsidR="007B061F">
        <w:t xml:space="preserve">which children have a right to </w:t>
      </w:r>
      <w:r w:rsidR="00C03147">
        <w:t>include</w:t>
      </w:r>
      <w:r w:rsidR="007B061F">
        <w:t>:</w:t>
      </w:r>
      <w:r w:rsidR="00C03147">
        <w:t xml:space="preserve"> </w:t>
      </w:r>
    </w:p>
    <w:p w:rsidR="00C03147" w:rsidRPr="00A7584E" w:rsidRDefault="00C03147" w:rsidP="00571F56">
      <w:pPr>
        <w:pStyle w:val="BTBullet1"/>
      </w:pPr>
      <w:r w:rsidRPr="00A7584E">
        <w:t>Social workers / social services (BG, CY, EE, ES, HR, IT, LU, PT);</w:t>
      </w:r>
    </w:p>
    <w:p w:rsidR="00C03147" w:rsidRPr="00A7584E" w:rsidRDefault="00C03147" w:rsidP="00571F56">
      <w:pPr>
        <w:pStyle w:val="BTBullet1"/>
      </w:pPr>
      <w:r w:rsidRPr="00A7584E">
        <w:t>Specialised institutions (AT, DE, UK-E&amp;W, UK-NI)</w:t>
      </w:r>
      <w:r w:rsidR="007B061F" w:rsidRPr="00A7584E">
        <w:t xml:space="preserve">. This includes </w:t>
      </w:r>
      <w:r w:rsidRPr="00A7584E">
        <w:t>the Children’s Legal Advisor in AT</w:t>
      </w:r>
      <w:r w:rsidR="007B061F" w:rsidRPr="00A7584E">
        <w:t xml:space="preserve"> and</w:t>
      </w:r>
      <w:r w:rsidRPr="00A7584E">
        <w:t xml:space="preserve"> the Children’s Guardian in UK-E&amp;W. These specialised institutions primarily assist children in the area of family and placement into care; in AT and DE, there are also separate specialised institutions working with children in other areas of law.</w:t>
      </w:r>
    </w:p>
    <w:p w:rsidR="00C03147" w:rsidRPr="00A7584E" w:rsidRDefault="00C03147" w:rsidP="00571F56">
      <w:pPr>
        <w:pStyle w:val="BTBullet1"/>
      </w:pPr>
      <w:r w:rsidRPr="00A7584E">
        <w:t>Representative (not necessarily legal representative) chosen by the child (IT, SI, UK-E&amp;W in areas other than family law, and UK-NI in areas other than family law).</w:t>
      </w:r>
    </w:p>
    <w:p w:rsidR="00C03147" w:rsidRPr="00A7584E" w:rsidRDefault="00C03147" w:rsidP="00571F56">
      <w:pPr>
        <w:pStyle w:val="BTBullet1"/>
      </w:pPr>
      <w:r w:rsidRPr="00A7584E">
        <w:t>Representative (not necessarily legal representative) chosen by the court (DK</w:t>
      </w:r>
      <w:r w:rsidR="0020377B" w:rsidRPr="00A7584E">
        <w:t xml:space="preserve">, </w:t>
      </w:r>
      <w:r w:rsidR="00CD7610">
        <w:t>UK-S</w:t>
      </w:r>
      <w:r w:rsidR="0020377B" w:rsidRPr="00A7584E">
        <w:t xml:space="preserve"> – see</w:t>
      </w:r>
      <w:r w:rsidR="00A973C8">
        <w:t xml:space="preserve"> </w:t>
      </w:r>
      <w:r w:rsidR="00A973C8" w:rsidRPr="00A973C8">
        <w:rPr>
          <w:b/>
          <w:color w:val="0070C0"/>
        </w:rPr>
        <w:fldChar w:fldCharType="begin"/>
      </w:r>
      <w:r w:rsidR="00A973C8" w:rsidRPr="00A973C8">
        <w:rPr>
          <w:b/>
          <w:color w:val="0070C0"/>
        </w:rPr>
        <w:instrText xml:space="preserve"> REF _Ref398037929 \r \h  \* MERGEFORMAT </w:instrText>
      </w:r>
      <w:r w:rsidR="00A973C8" w:rsidRPr="00A973C8">
        <w:rPr>
          <w:b/>
          <w:color w:val="0070C0"/>
        </w:rPr>
      </w:r>
      <w:r w:rsidR="00A973C8" w:rsidRPr="00A973C8">
        <w:rPr>
          <w:b/>
          <w:color w:val="0070C0"/>
        </w:rPr>
        <w:fldChar w:fldCharType="separate"/>
      </w:r>
      <w:r w:rsidR="000223E8">
        <w:rPr>
          <w:b/>
          <w:color w:val="0070C0"/>
        </w:rPr>
        <w:t>Bo</w:t>
      </w:r>
      <w:r w:rsidR="000223E8">
        <w:rPr>
          <w:b/>
          <w:color w:val="0070C0"/>
        </w:rPr>
        <w:t>x</w:t>
      </w:r>
      <w:r w:rsidR="000223E8">
        <w:rPr>
          <w:b/>
          <w:color w:val="0070C0"/>
        </w:rPr>
        <w:t xml:space="preserve"> 11</w:t>
      </w:r>
      <w:r w:rsidR="00A973C8" w:rsidRPr="00A973C8">
        <w:rPr>
          <w:b/>
          <w:color w:val="0070C0"/>
        </w:rPr>
        <w:fldChar w:fldCharType="end"/>
      </w:r>
      <w:r w:rsidRPr="00A7584E">
        <w:t>)</w:t>
      </w:r>
    </w:p>
    <w:p w:rsidR="00C03147" w:rsidRPr="00A7584E" w:rsidRDefault="00C03147" w:rsidP="00571F56">
      <w:pPr>
        <w:pStyle w:val="BTBullet1"/>
      </w:pPr>
      <w:r w:rsidRPr="00A7584E">
        <w:t>Only legal counsel is foreseen in legislation (</w:t>
      </w:r>
      <w:r w:rsidR="007B061F" w:rsidRPr="00A7584E">
        <w:t>BE, ES in areas other than family law, EL, HU, NL, RO and SE). S</w:t>
      </w:r>
      <w:r w:rsidRPr="00A7584E">
        <w:t>ee</w:t>
      </w:r>
      <w:r w:rsidR="00A973C8">
        <w:t xml:space="preserve"> </w:t>
      </w:r>
      <w:r w:rsidR="00A973C8" w:rsidRPr="00A973C8">
        <w:rPr>
          <w:b/>
          <w:color w:val="0070C0"/>
        </w:rPr>
        <w:t>Section</w:t>
      </w:r>
      <w:r w:rsidRPr="00A973C8">
        <w:rPr>
          <w:b/>
          <w:color w:val="0070C0"/>
        </w:rPr>
        <w:t xml:space="preserve"> </w:t>
      </w:r>
      <w:r w:rsidR="00A973C8" w:rsidRPr="00A973C8">
        <w:rPr>
          <w:b/>
          <w:color w:val="0070C0"/>
        </w:rPr>
        <w:fldChar w:fldCharType="begin"/>
      </w:r>
      <w:r w:rsidR="00A973C8" w:rsidRPr="00A973C8">
        <w:rPr>
          <w:b/>
          <w:color w:val="0070C0"/>
        </w:rPr>
        <w:instrText xml:space="preserve"> REF _Ref398037981 \r \h  \* MERGEFORMAT </w:instrText>
      </w:r>
      <w:r w:rsidR="00A973C8" w:rsidRPr="00A973C8">
        <w:rPr>
          <w:b/>
          <w:color w:val="0070C0"/>
        </w:rPr>
      </w:r>
      <w:r w:rsidR="00A973C8" w:rsidRPr="00A973C8">
        <w:rPr>
          <w:b/>
          <w:color w:val="0070C0"/>
        </w:rPr>
        <w:fldChar w:fldCharType="separate"/>
      </w:r>
      <w:r w:rsidR="000223E8">
        <w:rPr>
          <w:b/>
          <w:color w:val="0070C0"/>
        </w:rPr>
        <w:t>4.6</w:t>
      </w:r>
      <w:r w:rsidR="00A973C8" w:rsidRPr="00A973C8">
        <w:rPr>
          <w:b/>
          <w:color w:val="0070C0"/>
        </w:rPr>
        <w:fldChar w:fldCharType="end"/>
      </w:r>
      <w:r w:rsidR="007B061F" w:rsidRPr="00A7584E">
        <w:t xml:space="preserve"> for more information on the right of the child to legal counsel.</w:t>
      </w:r>
    </w:p>
    <w:p w:rsidR="008A4E97" w:rsidRDefault="007B061F" w:rsidP="00571F56">
      <w:pPr>
        <w:pStyle w:val="BodyText"/>
      </w:pPr>
      <w:r>
        <w:t xml:space="preserve">In </w:t>
      </w:r>
      <w:r w:rsidR="004A40BF">
        <w:t>10</w:t>
      </w:r>
      <w:r>
        <w:t xml:space="preserve"> jurisdictions (AT, BE, DK, EE, EL, FI, HR, </w:t>
      </w:r>
      <w:r w:rsidR="008A4E97">
        <w:t xml:space="preserve">HU, IT, LU) the statutory right of children to receive such assistance applies in </w:t>
      </w:r>
      <w:r w:rsidR="008A4E97" w:rsidRPr="008A4E97">
        <w:rPr>
          <w:b/>
        </w:rPr>
        <w:t>all areas of law</w:t>
      </w:r>
      <w:r w:rsidR="008A4E97">
        <w:t>. In only two of the jurisdictions concerned, the statutory right applies in three or fewer areas of law (in family, employment and placement into care in FR; and in placement into care and offences committed below the age of criminal responsibility in RO).</w:t>
      </w:r>
    </w:p>
    <w:p w:rsidR="007B061F" w:rsidRDefault="008A4E97" w:rsidP="00571F56">
      <w:pPr>
        <w:pStyle w:val="BodyText"/>
      </w:pPr>
      <w:r>
        <w:t xml:space="preserve">Across all of the jurisdictions concerned, the statutory right applies most often in the areas of </w:t>
      </w:r>
      <w:r w:rsidRPr="007B061F">
        <w:rPr>
          <w:b/>
        </w:rPr>
        <w:t>placement into care</w:t>
      </w:r>
      <w:r>
        <w:t xml:space="preserve"> (24 jurisdictions) and </w:t>
      </w:r>
      <w:r w:rsidRPr="007B061F">
        <w:rPr>
          <w:b/>
        </w:rPr>
        <w:t>family</w:t>
      </w:r>
      <w:r>
        <w:t xml:space="preserve"> (22 jurisdictions). It applies least often in the areas of </w:t>
      </w:r>
      <w:r w:rsidRPr="007B061F">
        <w:rPr>
          <w:b/>
        </w:rPr>
        <w:t>offences committed below the age of criminal responsibility</w:t>
      </w:r>
      <w:r>
        <w:t xml:space="preserve"> (15 jurisdictions), </w:t>
      </w:r>
      <w:r w:rsidRPr="007B061F">
        <w:rPr>
          <w:b/>
        </w:rPr>
        <w:t xml:space="preserve">employment and administrative sanctions </w:t>
      </w:r>
      <w:r>
        <w:t>(16 jurisdictions each).</w:t>
      </w:r>
    </w:p>
    <w:p w:rsidR="008A4E97" w:rsidRDefault="00F00FC8" w:rsidP="00571F56">
      <w:pPr>
        <w:pStyle w:val="BodyText"/>
      </w:pPr>
      <w:r>
        <w:t xml:space="preserve">In terms of the roles of the child, where </w:t>
      </w:r>
      <w:r w:rsidRPr="00F00FC8">
        <w:t xml:space="preserve">the statutory right of children to receive assistance </w:t>
      </w:r>
      <w:r>
        <w:t xml:space="preserve">exists, it applies most often to </w:t>
      </w:r>
      <w:r w:rsidRPr="00F00FC8">
        <w:rPr>
          <w:b/>
        </w:rPr>
        <w:t>child defendants</w:t>
      </w:r>
      <w:r w:rsidR="00196714">
        <w:rPr>
          <w:b/>
        </w:rPr>
        <w:t xml:space="preserve"> (</w:t>
      </w:r>
      <w:r w:rsidR="00196714">
        <w:t>23 jurisdictions)</w:t>
      </w:r>
      <w:r w:rsidR="00196714">
        <w:rPr>
          <w:b/>
        </w:rPr>
        <w:t>, plaintiffs</w:t>
      </w:r>
      <w:r w:rsidRPr="00F00FC8">
        <w:rPr>
          <w:b/>
        </w:rPr>
        <w:t xml:space="preserve"> </w:t>
      </w:r>
      <w:r w:rsidR="00196714" w:rsidRPr="00196714">
        <w:t>(22 jurisdictions)</w:t>
      </w:r>
      <w:r w:rsidR="00196714">
        <w:rPr>
          <w:b/>
        </w:rPr>
        <w:t xml:space="preserve"> </w:t>
      </w:r>
      <w:r w:rsidRPr="00F00FC8">
        <w:rPr>
          <w:b/>
        </w:rPr>
        <w:t>and witnesses</w:t>
      </w:r>
      <w:r w:rsidR="00196714">
        <w:rPr>
          <w:b/>
        </w:rPr>
        <w:t xml:space="preserve"> </w:t>
      </w:r>
      <w:r w:rsidR="00196714" w:rsidRPr="00196714">
        <w:t>(20 jurisdictions)</w:t>
      </w:r>
      <w:r w:rsidRPr="00196714">
        <w:t>,</w:t>
      </w:r>
      <w:r>
        <w:t xml:space="preserve"> and least often to children who are </w:t>
      </w:r>
      <w:r w:rsidRPr="00196714">
        <w:rPr>
          <w:b/>
        </w:rPr>
        <w:t>subjects</w:t>
      </w:r>
      <w:r>
        <w:t xml:space="preserve"> of the proceedings</w:t>
      </w:r>
      <w:r w:rsidR="00196714">
        <w:t xml:space="preserve"> (19 jurisdictions)</w:t>
      </w:r>
      <w:r>
        <w:t>.</w:t>
      </w:r>
      <w:r w:rsidR="0021129D">
        <w:t xml:space="preserve"> </w:t>
      </w:r>
    </w:p>
    <w:p w:rsidR="005930B2" w:rsidRDefault="005930B2" w:rsidP="00571F56">
      <w:pPr>
        <w:pStyle w:val="BodyText"/>
      </w:pPr>
      <w:r>
        <w:t>In the majority of the jurisdictions concerned (17), the statutory right of children to receive assistance during the proceedings applies to all roles of the child (plaintiffs, defendants, witnesses and subjects), although in nine of these the coverage of roles is less complete in some areas of law.</w:t>
      </w:r>
    </w:p>
    <w:p w:rsidR="005930B2" w:rsidRDefault="001854FF" w:rsidP="00571F56">
      <w:pPr>
        <w:pStyle w:val="BodyText"/>
      </w:pPr>
      <w:r w:rsidRPr="001854FF">
        <w:rPr>
          <w:b/>
          <w:color w:val="0067AC" w:themeColor="text2"/>
        </w:rPr>
        <w:fldChar w:fldCharType="begin"/>
      </w:r>
      <w:r w:rsidRPr="001854FF">
        <w:rPr>
          <w:b/>
          <w:color w:val="0067AC" w:themeColor="text2"/>
        </w:rPr>
        <w:instrText xml:space="preserve"> REF _Ref395830160 \r \h  \* MERGEFORMAT </w:instrText>
      </w:r>
      <w:r w:rsidRPr="001854FF">
        <w:rPr>
          <w:b/>
          <w:color w:val="0067AC" w:themeColor="text2"/>
        </w:rPr>
      </w:r>
      <w:r w:rsidRPr="001854FF">
        <w:rPr>
          <w:b/>
          <w:color w:val="0067AC" w:themeColor="text2"/>
        </w:rPr>
        <w:fldChar w:fldCharType="separate"/>
      </w:r>
      <w:r w:rsidR="000223E8">
        <w:rPr>
          <w:b/>
          <w:color w:val="0067AC" w:themeColor="text2"/>
        </w:rPr>
        <w:t>Table A4.8</w:t>
      </w:r>
      <w:r w:rsidRPr="001854FF">
        <w:rPr>
          <w:b/>
          <w:color w:val="0067AC" w:themeColor="text2"/>
        </w:rPr>
        <w:fldChar w:fldCharType="end"/>
      </w:r>
      <w:r>
        <w:t xml:space="preserve"> </w:t>
      </w:r>
      <w:r w:rsidR="005930B2">
        <w:t>maps the coverage of this statutory right by area of law and role of the child across all jurisdictions.</w:t>
      </w:r>
    </w:p>
    <w:p w:rsidR="004E1072" w:rsidRPr="00196714" w:rsidRDefault="004F3E6F" w:rsidP="00571F56">
      <w:pPr>
        <w:pStyle w:val="BodyText"/>
      </w:pPr>
      <w:r>
        <w:t xml:space="preserve">Ten jurisdictions (BE, </w:t>
      </w:r>
      <w:r w:rsidR="00F32B9E">
        <w:t xml:space="preserve">CZ, </w:t>
      </w:r>
      <w:r>
        <w:t xml:space="preserve">HR, FI, IT, NL, PL, SI, UK-NI and </w:t>
      </w:r>
      <w:r w:rsidR="00CD7610">
        <w:t>UK-S</w:t>
      </w:r>
      <w:r>
        <w:t xml:space="preserve">), have produced </w:t>
      </w:r>
      <w:r w:rsidRPr="004F3E6F">
        <w:rPr>
          <w:b/>
        </w:rPr>
        <w:t>materials to provide support/guid</w:t>
      </w:r>
      <w:r>
        <w:rPr>
          <w:b/>
        </w:rPr>
        <w:t>ance</w:t>
      </w:r>
      <w:r w:rsidRPr="004F3E6F">
        <w:rPr>
          <w:b/>
        </w:rPr>
        <w:t xml:space="preserve"> to children during the proceedings</w:t>
      </w:r>
      <w:r w:rsidR="00196714">
        <w:rPr>
          <w:b/>
        </w:rPr>
        <w:t xml:space="preserve"> </w:t>
      </w:r>
      <w:r w:rsidR="00196714" w:rsidRPr="00196714">
        <w:t>(CivAdm142)</w:t>
      </w:r>
      <w:r w:rsidR="00196714">
        <w:t>.</w:t>
      </w:r>
      <w:r w:rsidRPr="00196714">
        <w:t xml:space="preserve"> </w:t>
      </w:r>
    </w:p>
    <w:p w:rsidR="004E1072" w:rsidRDefault="004F3E6F" w:rsidP="00571F56">
      <w:pPr>
        <w:pStyle w:val="BodyText"/>
      </w:pPr>
      <w:r>
        <w:t xml:space="preserve">These materials are usually leaflets issued by the relevant ministries or departments on a one-off basis, and distributed by municipalities, although web-based materials are also in existence in CZ and </w:t>
      </w:r>
      <w:r w:rsidR="00CD7610">
        <w:t>UK-S</w:t>
      </w:r>
      <w:r>
        <w:t xml:space="preserve"> for example. In the case of </w:t>
      </w:r>
      <w:r w:rsidR="00CD7610">
        <w:t>UK-S</w:t>
      </w:r>
      <w:r>
        <w:t>, flashcards have also been developed to support children during interviews in Children Hearings in the areas of placement in care and offences committed below the age of criminal responsibility</w:t>
      </w:r>
      <w:r w:rsidR="00276A25">
        <w:t xml:space="preserve"> (see</w:t>
      </w:r>
      <w:r w:rsidR="00A973C8">
        <w:t xml:space="preserve"> </w:t>
      </w:r>
      <w:r w:rsidR="00A973C8" w:rsidRPr="00A973C8">
        <w:rPr>
          <w:b/>
          <w:color w:val="0070C0"/>
        </w:rPr>
        <w:fldChar w:fldCharType="begin"/>
      </w:r>
      <w:r w:rsidR="00A973C8" w:rsidRPr="00A973C8">
        <w:rPr>
          <w:b/>
          <w:color w:val="0070C0"/>
        </w:rPr>
        <w:instrText xml:space="preserve"> REF _Ref398037929 \r \h  \* MERGEFORMAT </w:instrText>
      </w:r>
      <w:r w:rsidR="00A973C8" w:rsidRPr="00A973C8">
        <w:rPr>
          <w:b/>
          <w:color w:val="0070C0"/>
        </w:rPr>
      </w:r>
      <w:r w:rsidR="00A973C8" w:rsidRPr="00A973C8">
        <w:rPr>
          <w:b/>
          <w:color w:val="0070C0"/>
        </w:rPr>
        <w:fldChar w:fldCharType="separate"/>
      </w:r>
      <w:r w:rsidR="000223E8">
        <w:rPr>
          <w:b/>
          <w:color w:val="0070C0"/>
        </w:rPr>
        <w:t>Box 11</w:t>
      </w:r>
      <w:r w:rsidR="00A973C8" w:rsidRPr="00A973C8">
        <w:rPr>
          <w:b/>
          <w:color w:val="0070C0"/>
        </w:rPr>
        <w:fldChar w:fldCharType="end"/>
      </w:r>
      <w:r w:rsidR="00276A25">
        <w:t>)</w:t>
      </w:r>
      <w:r>
        <w:t>.</w:t>
      </w:r>
    </w:p>
    <w:p w:rsidR="004E1072" w:rsidRDefault="004E1072" w:rsidP="00571F56">
      <w:pPr>
        <w:pStyle w:val="BodyText"/>
      </w:pPr>
      <w:r>
        <w:t>Where support materials exist, they most often</w:t>
      </w:r>
      <w:r w:rsidR="00A973C8">
        <w:t xml:space="preserve"> apply in the areas of family (nine</w:t>
      </w:r>
      <w:r>
        <w:t xml:space="preserve"> jurisdict</w:t>
      </w:r>
      <w:r w:rsidR="00A973C8">
        <w:t>ions) and placement into care (eight</w:t>
      </w:r>
      <w:r>
        <w:t xml:space="preserve"> jurisdictions). The</w:t>
      </w:r>
      <w:r w:rsidR="00F560EF">
        <w:t>y</w:t>
      </w:r>
      <w:r>
        <w:t xml:space="preserve"> least often apply in the areas of </w:t>
      </w:r>
      <w:r w:rsidRPr="004E1072">
        <w:rPr>
          <w:b/>
        </w:rPr>
        <w:t>employment</w:t>
      </w:r>
      <w:r>
        <w:t xml:space="preserve">, </w:t>
      </w:r>
      <w:r w:rsidRPr="004E1072">
        <w:rPr>
          <w:b/>
        </w:rPr>
        <w:t>education</w:t>
      </w:r>
      <w:r>
        <w:t xml:space="preserve"> and </w:t>
      </w:r>
      <w:r w:rsidRPr="004E1072">
        <w:rPr>
          <w:b/>
        </w:rPr>
        <w:t>administrative sanctions</w:t>
      </w:r>
      <w:r>
        <w:t>.</w:t>
      </w:r>
      <w:r w:rsidR="00F560EF">
        <w:t xml:space="preserve"> In three Member States (BE, CZ, HR), the materials apply in all areas of law. In the other jurisdictions, the materials apply in a few areas of law (e.g. in FI, only in relation to family and placement in care; in NL, in family, asylum and migration; and in PL, only in family, employment, administrative sanctions and offences committed below the age of criminal responsibility).</w:t>
      </w:r>
    </w:p>
    <w:p w:rsidR="00752A4C" w:rsidRDefault="00962B7F" w:rsidP="00571F56">
      <w:pPr>
        <w:pStyle w:val="BodyText"/>
      </w:pPr>
      <w:r>
        <w:t>In all ten</w:t>
      </w:r>
      <w:r w:rsidR="00F32B9E">
        <w:t xml:space="preserve"> jurisdictions concerned</w:t>
      </w:r>
      <w:r>
        <w:t xml:space="preserve">, the materials are relevant to all four roles of the child: </w:t>
      </w:r>
      <w:r w:rsidRPr="00F32B9E">
        <w:rPr>
          <w:b/>
        </w:rPr>
        <w:t>plaintiffs, defendants, witnesses and subjects</w:t>
      </w:r>
      <w:r>
        <w:rPr>
          <w:b/>
        </w:rPr>
        <w:t>.</w:t>
      </w:r>
      <w:r>
        <w:t xml:space="preserve"> However, in the case of plaintiffs, defendants and witnesses, the materials apply in many more areas of law than in the case of subjects. </w:t>
      </w:r>
      <w:r w:rsidR="00F32B9E">
        <w:t>In PL and SI, the</w:t>
      </w:r>
      <w:r w:rsidR="002F583E">
        <w:t xml:space="preserve"> materials</w:t>
      </w:r>
      <w:r w:rsidR="00F32B9E">
        <w:t xml:space="preserve"> are relevant to plaintiffs, defendants and witnesses; and in NL, just to plaintiffs.</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276A25" w:rsidRPr="000F388C" w:rsidTr="00F06EDF">
        <w:tc>
          <w:tcPr>
            <w:tcW w:w="8222" w:type="dxa"/>
            <w:shd w:val="clear" w:color="auto" w:fill="CDEBFF"/>
          </w:tcPr>
          <w:p w:rsidR="00276A25" w:rsidRPr="00694BE0" w:rsidRDefault="00CD7610" w:rsidP="00173CAC">
            <w:pPr>
              <w:pStyle w:val="BoxNumb"/>
              <w:numPr>
                <w:ilvl w:val="4"/>
                <w:numId w:val="27"/>
              </w:numPr>
              <w:rPr>
                <w:sz w:val="26"/>
                <w:szCs w:val="26"/>
              </w:rPr>
            </w:pPr>
            <w:bookmarkStart w:id="203" w:name="_Ref398037929"/>
            <w:bookmarkStart w:id="204" w:name="_GoBack"/>
            <w:bookmarkEnd w:id="204"/>
            <w:r>
              <w:rPr>
                <w:sz w:val="26"/>
                <w:szCs w:val="26"/>
              </w:rPr>
              <w:t>UK-S</w:t>
            </w:r>
            <w:r w:rsidR="00E06AB5">
              <w:rPr>
                <w:sz w:val="26"/>
                <w:szCs w:val="26"/>
              </w:rPr>
              <w:t>cot</w:t>
            </w:r>
            <w:r w:rsidR="00276A25" w:rsidRPr="00694BE0">
              <w:rPr>
                <w:sz w:val="26"/>
                <w:szCs w:val="26"/>
              </w:rPr>
              <w:t>land –</w:t>
            </w:r>
            <w:r w:rsidR="00075EE7" w:rsidRPr="00694BE0">
              <w:rPr>
                <w:sz w:val="26"/>
                <w:szCs w:val="26"/>
              </w:rPr>
              <w:t xml:space="preserve"> Support</w:t>
            </w:r>
            <w:r w:rsidR="005642F3" w:rsidRPr="00694BE0">
              <w:rPr>
                <w:sz w:val="26"/>
                <w:szCs w:val="26"/>
              </w:rPr>
              <w:t xml:space="preserve"> for </w:t>
            </w:r>
            <w:r w:rsidR="00075EE7" w:rsidRPr="00694BE0">
              <w:rPr>
                <w:sz w:val="26"/>
                <w:szCs w:val="26"/>
              </w:rPr>
              <w:t>children in the children’s hearing</w:t>
            </w:r>
            <w:r w:rsidR="00E06AB5">
              <w:rPr>
                <w:sz w:val="26"/>
                <w:szCs w:val="26"/>
              </w:rPr>
              <w:t>s</w:t>
            </w:r>
            <w:r w:rsidR="00075EE7" w:rsidRPr="00694BE0">
              <w:rPr>
                <w:sz w:val="26"/>
                <w:szCs w:val="26"/>
              </w:rPr>
              <w:t xml:space="preserve"> system</w:t>
            </w:r>
            <w:bookmarkEnd w:id="203"/>
            <w:r w:rsidR="00276A25" w:rsidRPr="00694BE0">
              <w:rPr>
                <w:sz w:val="26"/>
                <w:szCs w:val="26"/>
              </w:rPr>
              <w:t xml:space="preserve"> </w:t>
            </w:r>
          </w:p>
          <w:p w:rsidR="00BA2A53" w:rsidRDefault="00BA2A53" w:rsidP="00BA2A53">
            <w:pPr>
              <w:pStyle w:val="TableText"/>
              <w:rPr>
                <w:sz w:val="20"/>
                <w:szCs w:val="20"/>
              </w:rPr>
            </w:pPr>
            <w:r>
              <w:rPr>
                <w:sz w:val="20"/>
                <w:szCs w:val="20"/>
              </w:rPr>
              <w:t xml:space="preserve">The children’s </w:t>
            </w:r>
            <w:r w:rsidR="00E06AB5">
              <w:rPr>
                <w:sz w:val="20"/>
                <w:szCs w:val="20"/>
              </w:rPr>
              <w:t xml:space="preserve">hearings </w:t>
            </w:r>
            <w:r>
              <w:rPr>
                <w:sz w:val="20"/>
                <w:szCs w:val="20"/>
              </w:rPr>
              <w:t>system</w:t>
            </w:r>
            <w:r w:rsidR="00F06EDF">
              <w:rPr>
                <w:sz w:val="20"/>
                <w:szCs w:val="20"/>
              </w:rPr>
              <w:t xml:space="preserve"> </w:t>
            </w:r>
            <w:r w:rsidR="008B196A">
              <w:rPr>
                <w:sz w:val="20"/>
                <w:szCs w:val="20"/>
              </w:rPr>
              <w:t xml:space="preserve">deals with children </w:t>
            </w:r>
            <w:r w:rsidR="009B02C8">
              <w:rPr>
                <w:sz w:val="20"/>
                <w:szCs w:val="20"/>
              </w:rPr>
              <w:t>who need care and protection</w:t>
            </w:r>
            <w:r w:rsidR="008B196A">
              <w:rPr>
                <w:sz w:val="20"/>
                <w:szCs w:val="20"/>
              </w:rPr>
              <w:t xml:space="preserve"> and children </w:t>
            </w:r>
            <w:r w:rsidR="008B196A" w:rsidRPr="008B196A">
              <w:rPr>
                <w:sz w:val="20"/>
                <w:szCs w:val="20"/>
              </w:rPr>
              <w:t>who commit offences</w:t>
            </w:r>
            <w:r w:rsidR="008B196A">
              <w:rPr>
                <w:sz w:val="20"/>
                <w:szCs w:val="20"/>
              </w:rPr>
              <w:t xml:space="preserve">. </w:t>
            </w:r>
            <w:r w:rsidR="009B02C8">
              <w:rPr>
                <w:sz w:val="20"/>
                <w:szCs w:val="20"/>
              </w:rPr>
              <w:t>The hearing</w:t>
            </w:r>
            <w:r w:rsidR="00E06AB5">
              <w:rPr>
                <w:sz w:val="20"/>
                <w:szCs w:val="20"/>
              </w:rPr>
              <w:t>s</w:t>
            </w:r>
            <w:r w:rsidR="009B02C8">
              <w:rPr>
                <w:sz w:val="20"/>
                <w:szCs w:val="20"/>
              </w:rPr>
              <w:t xml:space="preserve"> system decides whether compulsory measures of intervention may be needed, including placement</w:t>
            </w:r>
            <w:r w:rsidR="009B02C8" w:rsidRPr="009B02C8">
              <w:rPr>
                <w:sz w:val="20"/>
                <w:szCs w:val="20"/>
              </w:rPr>
              <w:t xml:space="preserve"> </w:t>
            </w:r>
            <w:r w:rsidR="009B02C8">
              <w:rPr>
                <w:sz w:val="20"/>
                <w:szCs w:val="20"/>
              </w:rPr>
              <w:t xml:space="preserve">of the child </w:t>
            </w:r>
            <w:r w:rsidR="009B02C8" w:rsidRPr="009B02C8">
              <w:rPr>
                <w:sz w:val="20"/>
                <w:szCs w:val="20"/>
              </w:rPr>
              <w:t xml:space="preserve">with foster carers, </w:t>
            </w:r>
            <w:r w:rsidR="009B02C8">
              <w:rPr>
                <w:sz w:val="20"/>
                <w:szCs w:val="20"/>
              </w:rPr>
              <w:t xml:space="preserve">in </w:t>
            </w:r>
            <w:r w:rsidR="009B02C8" w:rsidRPr="009B02C8">
              <w:rPr>
                <w:sz w:val="20"/>
                <w:szCs w:val="20"/>
              </w:rPr>
              <w:t>a residential unit or in secure accommodation.</w:t>
            </w:r>
          </w:p>
          <w:p w:rsidR="009B02C8" w:rsidRPr="009B02C8" w:rsidRDefault="009B02C8" w:rsidP="00075EE7">
            <w:pPr>
              <w:pStyle w:val="TableText"/>
              <w:rPr>
                <w:b/>
                <w:i/>
                <w:sz w:val="20"/>
                <w:szCs w:val="20"/>
              </w:rPr>
            </w:pPr>
            <w:r w:rsidRPr="009B02C8">
              <w:rPr>
                <w:b/>
                <w:i/>
                <w:sz w:val="20"/>
                <w:szCs w:val="20"/>
              </w:rPr>
              <w:t>Appointment of a safeguarder</w:t>
            </w:r>
          </w:p>
          <w:p w:rsidR="00075EE7" w:rsidRPr="00075EE7" w:rsidRDefault="009B02C8" w:rsidP="00075EE7">
            <w:pPr>
              <w:pStyle w:val="TableText"/>
              <w:rPr>
                <w:sz w:val="20"/>
                <w:szCs w:val="20"/>
              </w:rPr>
            </w:pPr>
            <w:r>
              <w:rPr>
                <w:sz w:val="20"/>
                <w:szCs w:val="20"/>
              </w:rPr>
              <w:t>T</w:t>
            </w:r>
            <w:r w:rsidR="00075EE7" w:rsidRPr="00075EE7">
              <w:rPr>
                <w:sz w:val="20"/>
                <w:szCs w:val="20"/>
              </w:rPr>
              <w:t xml:space="preserve">he children’s hearing may appoint a safeguarder, to safeguard the interests of the child during the proceedings. This may arise for example where there is a conflict of interest between the parents and the child. The reasons for appointing a safeguarder must be provided in writing and safeguarders are required to report to the court or hearing as well as to any relevant person. While the child’s view should be considered in the report, the safeguarder is not required to advocate the child’s view as they are not appointed by and cannot be dismissed by the child. Their role is to provide support and advice for the proceedings and may become party to the proceedings. Any safeguarder appointed by a children’s hearing shall be entitled to be present throughout the duration of any hearing of the case until the disposal of that case. </w:t>
            </w:r>
          </w:p>
          <w:p w:rsidR="009B02C8" w:rsidRPr="00E92043" w:rsidRDefault="009B02C8" w:rsidP="00075EE7">
            <w:pPr>
              <w:pStyle w:val="TableText"/>
              <w:rPr>
                <w:b/>
                <w:i/>
                <w:sz w:val="20"/>
                <w:szCs w:val="20"/>
              </w:rPr>
            </w:pPr>
            <w:r w:rsidRPr="00E92043">
              <w:rPr>
                <w:b/>
                <w:i/>
                <w:sz w:val="20"/>
                <w:szCs w:val="20"/>
              </w:rPr>
              <w:t>Support materials</w:t>
            </w:r>
          </w:p>
          <w:p w:rsidR="00276A25" w:rsidRPr="00E92043" w:rsidRDefault="00E92043" w:rsidP="00E92043">
            <w:pPr>
              <w:pStyle w:val="TableText"/>
              <w:rPr>
                <w:sz w:val="20"/>
                <w:szCs w:val="20"/>
              </w:rPr>
            </w:pPr>
            <w:r w:rsidRPr="00E92043">
              <w:rPr>
                <w:sz w:val="20"/>
                <w:szCs w:val="20"/>
              </w:rPr>
              <w:t xml:space="preserve">A variety of materials have been produced </w:t>
            </w:r>
            <w:r w:rsidR="00075EE7" w:rsidRPr="00E92043">
              <w:rPr>
                <w:sz w:val="20"/>
                <w:szCs w:val="20"/>
              </w:rPr>
              <w:t>by Scotland’s Commissioner for Children and Young People (SCCYP) and the Scottish Children’s Reporter Administration (SCRA)</w:t>
            </w:r>
            <w:r w:rsidRPr="00E92043">
              <w:rPr>
                <w:sz w:val="20"/>
                <w:szCs w:val="20"/>
              </w:rPr>
              <w:t xml:space="preserve"> </w:t>
            </w:r>
            <w:r w:rsidR="00075EE7" w:rsidRPr="00E92043">
              <w:rPr>
                <w:sz w:val="20"/>
                <w:szCs w:val="20"/>
              </w:rPr>
              <w:t xml:space="preserve">to </w:t>
            </w:r>
            <w:r>
              <w:rPr>
                <w:sz w:val="20"/>
                <w:szCs w:val="20"/>
              </w:rPr>
              <w:t xml:space="preserve">support children involved in Scotland’s children’s </w:t>
            </w:r>
            <w:r w:rsidRPr="00E92043">
              <w:rPr>
                <w:sz w:val="20"/>
                <w:szCs w:val="20"/>
              </w:rPr>
              <w:t>hearing</w:t>
            </w:r>
            <w:r w:rsidR="00752A4C">
              <w:rPr>
                <w:sz w:val="20"/>
                <w:szCs w:val="20"/>
              </w:rPr>
              <w:t>s</w:t>
            </w:r>
            <w:r w:rsidR="009B02C8" w:rsidRPr="00E92043">
              <w:rPr>
                <w:sz w:val="20"/>
                <w:szCs w:val="20"/>
              </w:rPr>
              <w:t xml:space="preserve"> system</w:t>
            </w:r>
            <w:r>
              <w:rPr>
                <w:sz w:val="20"/>
                <w:szCs w:val="20"/>
              </w:rPr>
              <w:t>.</w:t>
            </w:r>
            <w:r w:rsidR="009B02C8" w:rsidRPr="00E92043">
              <w:rPr>
                <w:sz w:val="20"/>
                <w:szCs w:val="20"/>
              </w:rPr>
              <w:t xml:space="preserve"> </w:t>
            </w:r>
            <w:r w:rsidRPr="00E92043">
              <w:rPr>
                <w:sz w:val="20"/>
                <w:szCs w:val="20"/>
              </w:rPr>
              <w:t xml:space="preserve">The materials include a </w:t>
            </w:r>
            <w:r w:rsidR="00276A25" w:rsidRPr="00276A25">
              <w:rPr>
                <w:sz w:val="20"/>
                <w:szCs w:val="20"/>
              </w:rPr>
              <w:t>number of web-based tools to get information to children, including information on children’s rights and an illustrated guide of children’s rights in pictures</w:t>
            </w:r>
            <w:r>
              <w:rPr>
                <w:sz w:val="20"/>
                <w:szCs w:val="20"/>
              </w:rPr>
              <w:t xml:space="preserve">; a </w:t>
            </w:r>
            <w:r w:rsidR="00276A25" w:rsidRPr="00276A25">
              <w:rPr>
                <w:sz w:val="20"/>
                <w:szCs w:val="20"/>
              </w:rPr>
              <w:t>‘Your Rights’ card and letter, which are deliberately worded for children and designed for different ages</w:t>
            </w:r>
            <w:r>
              <w:rPr>
                <w:sz w:val="20"/>
                <w:szCs w:val="20"/>
              </w:rPr>
              <w:t xml:space="preserve">; a </w:t>
            </w:r>
            <w:r w:rsidR="00276A25" w:rsidRPr="00276A25">
              <w:rPr>
                <w:sz w:val="20"/>
                <w:szCs w:val="20"/>
              </w:rPr>
              <w:t>DVD</w:t>
            </w:r>
            <w:r>
              <w:rPr>
                <w:sz w:val="20"/>
                <w:szCs w:val="20"/>
              </w:rPr>
              <w:t>;</w:t>
            </w:r>
            <w:r w:rsidR="00276A25" w:rsidRPr="00276A25">
              <w:rPr>
                <w:sz w:val="20"/>
                <w:szCs w:val="20"/>
              </w:rPr>
              <w:t xml:space="preserve"> and </w:t>
            </w:r>
            <w:r>
              <w:rPr>
                <w:sz w:val="20"/>
                <w:szCs w:val="20"/>
              </w:rPr>
              <w:t xml:space="preserve">communication tools such as </w:t>
            </w:r>
            <w:r w:rsidR="00276A25" w:rsidRPr="00276A25">
              <w:rPr>
                <w:sz w:val="20"/>
                <w:szCs w:val="20"/>
              </w:rPr>
              <w:t xml:space="preserve">flashcards. </w:t>
            </w:r>
            <w:r>
              <w:rPr>
                <w:sz w:val="20"/>
                <w:szCs w:val="20"/>
              </w:rPr>
              <w:t xml:space="preserve">The flashcards are laminated cards </w:t>
            </w:r>
            <w:r w:rsidRPr="00E92043">
              <w:rPr>
                <w:sz w:val="20"/>
                <w:szCs w:val="20"/>
                <w:lang w:val="en-US"/>
              </w:rPr>
              <w:t xml:space="preserve">that children and young people can hold up to aid them in conveying to members </w:t>
            </w:r>
            <w:r>
              <w:rPr>
                <w:sz w:val="20"/>
                <w:szCs w:val="20"/>
                <w:lang w:val="en-US"/>
              </w:rPr>
              <w:t xml:space="preserve">of the children’s hearing panel </w:t>
            </w:r>
            <w:r w:rsidRPr="00E92043">
              <w:rPr>
                <w:sz w:val="20"/>
                <w:szCs w:val="20"/>
                <w:lang w:val="en-US"/>
              </w:rPr>
              <w:t>how they are feeling or</w:t>
            </w:r>
            <w:r>
              <w:rPr>
                <w:sz w:val="20"/>
                <w:szCs w:val="20"/>
                <w:lang w:val="en-US"/>
              </w:rPr>
              <w:t xml:space="preserve"> if they want</w:t>
            </w:r>
            <w:r w:rsidRPr="00E92043">
              <w:rPr>
                <w:sz w:val="20"/>
                <w:szCs w:val="20"/>
                <w:lang w:val="en-US"/>
              </w:rPr>
              <w:t xml:space="preserve"> to speak.</w:t>
            </w:r>
          </w:p>
        </w:tc>
      </w:tr>
    </w:tbl>
    <w:p w:rsidR="006A50EF" w:rsidRDefault="00260370" w:rsidP="00A5732C">
      <w:pPr>
        <w:pStyle w:val="Heading3"/>
      </w:pPr>
      <w:bookmarkStart w:id="205" w:name="_Toc408908727"/>
      <w:r>
        <w:t xml:space="preserve">Avoiding </w:t>
      </w:r>
      <w:r w:rsidR="006A50EF">
        <w:t>psychological harm</w:t>
      </w:r>
      <w:r w:rsidR="005757F2">
        <w:t xml:space="preserve"> to the child</w:t>
      </w:r>
      <w:bookmarkEnd w:id="205"/>
    </w:p>
    <w:p w:rsidR="006A50EF" w:rsidRDefault="00396252" w:rsidP="00571F56">
      <w:pPr>
        <w:pStyle w:val="BodyText"/>
      </w:pPr>
      <w:r>
        <w:t>Six jurisdictions (EL, FI, NL, SI, UK-E&amp;W and UK-NI) have attempted</w:t>
      </w:r>
      <w:r w:rsidR="00F32B9E">
        <w:t xml:space="preserve"> to minimise the potential harmful psychological effects that participation in civil and administrative judicial proceedings can have on children by developing </w:t>
      </w:r>
      <w:r w:rsidR="00F32B9E" w:rsidRPr="002F583E">
        <w:rPr>
          <w:b/>
        </w:rPr>
        <w:t>guidelines to protect children from harmful images during judicial proceedings</w:t>
      </w:r>
      <w:r w:rsidR="002F583E">
        <w:t xml:space="preserve"> (CivAdm123)</w:t>
      </w:r>
      <w:r w:rsidR="00F32B9E">
        <w:t xml:space="preserve">. </w:t>
      </w:r>
    </w:p>
    <w:p w:rsidR="00396252" w:rsidRDefault="00396252" w:rsidP="00571F56">
      <w:pPr>
        <w:pStyle w:val="BodyText"/>
      </w:pPr>
      <w:r>
        <w:t xml:space="preserve">Where guidelines exist, they mostly only apply to the areas of </w:t>
      </w:r>
      <w:r w:rsidRPr="00396252">
        <w:rPr>
          <w:b/>
        </w:rPr>
        <w:t>family and placement into care</w:t>
      </w:r>
      <w:r>
        <w:t xml:space="preserve"> (this is the case in FI, NL, UK-E&amp;W and </w:t>
      </w:r>
      <w:r w:rsidR="00CD7610">
        <w:t>UK-S</w:t>
      </w:r>
      <w:r>
        <w:t>). In EL and SI, they apply to all areas of law with the exception of offences committed below the age of criminal responsibility.</w:t>
      </w:r>
    </w:p>
    <w:p w:rsidR="00EF7EF6" w:rsidRDefault="00EF7EF6" w:rsidP="00571F56">
      <w:pPr>
        <w:pStyle w:val="BodyText"/>
      </w:pPr>
      <w:r>
        <w:t xml:space="preserve">The guidelines are tailored to the needs of child </w:t>
      </w:r>
      <w:r w:rsidRPr="009B6263">
        <w:rPr>
          <w:b/>
        </w:rPr>
        <w:t>plaintiffs</w:t>
      </w:r>
      <w:r>
        <w:t xml:space="preserve"> (in all six jurisdictions), </w:t>
      </w:r>
      <w:r w:rsidRPr="009B6263">
        <w:rPr>
          <w:b/>
        </w:rPr>
        <w:t xml:space="preserve">defendants </w:t>
      </w:r>
      <w:r>
        <w:t xml:space="preserve">(in all six jurisdictions, but in fewer areas of law), </w:t>
      </w:r>
      <w:r w:rsidR="009B6263" w:rsidRPr="009B6263">
        <w:rPr>
          <w:b/>
        </w:rPr>
        <w:t>subjects</w:t>
      </w:r>
      <w:r w:rsidR="009B6263">
        <w:t xml:space="preserve"> (five jurisdictions but in only certain areas of law), and</w:t>
      </w:r>
      <w:r w:rsidR="009B6263" w:rsidRPr="009B6263">
        <w:t xml:space="preserve"> </w:t>
      </w:r>
      <w:r w:rsidR="009B6263" w:rsidRPr="009B6263">
        <w:rPr>
          <w:b/>
        </w:rPr>
        <w:t>witnesses</w:t>
      </w:r>
      <w:r w:rsidR="009B6263">
        <w:t xml:space="preserve"> (in four jurisdictions). All roles of the child tend to be covered in family law (e.g. FI, EL, NL and SI); fewer roles in the other areas of law. </w:t>
      </w:r>
    </w:p>
    <w:p w:rsidR="00260370" w:rsidRDefault="00260370" w:rsidP="00571F56">
      <w:pPr>
        <w:pStyle w:val="BodyText"/>
      </w:pPr>
      <w:r>
        <w:t xml:space="preserve">However, no jurisdiction currently provides </w:t>
      </w:r>
      <w:r w:rsidRPr="00260370">
        <w:t>training to staff in order to ensure that children are protected from harmful images</w:t>
      </w:r>
      <w:r>
        <w:t>.</w:t>
      </w:r>
    </w:p>
    <w:p w:rsidR="006A50EF" w:rsidRDefault="006A50EF" w:rsidP="00A5732C">
      <w:pPr>
        <w:pStyle w:val="Heading3"/>
      </w:pPr>
      <w:bookmarkStart w:id="206" w:name="_Toc408908728"/>
      <w:r>
        <w:t>Protection measures during the proceedings</w:t>
      </w:r>
      <w:bookmarkEnd w:id="206"/>
    </w:p>
    <w:p w:rsidR="00FB3375" w:rsidRDefault="00FB3375" w:rsidP="00571F56">
      <w:pPr>
        <w:pStyle w:val="BodyText"/>
      </w:pPr>
      <w:r>
        <w:t xml:space="preserve">All jurisdictions except for LV have statutory provisions permitting the court to impose </w:t>
      </w:r>
      <w:r w:rsidR="00B0489E" w:rsidRPr="00B0489E">
        <w:rPr>
          <w:b/>
        </w:rPr>
        <w:t>protection</w:t>
      </w:r>
      <w:r w:rsidR="00B0489E">
        <w:t xml:space="preserve"> </w:t>
      </w:r>
      <w:r w:rsidRPr="00FB3375">
        <w:rPr>
          <w:b/>
        </w:rPr>
        <w:t xml:space="preserve">measures </w:t>
      </w:r>
      <w:r w:rsidR="00B0489E">
        <w:rPr>
          <w:b/>
        </w:rPr>
        <w:t xml:space="preserve">for </w:t>
      </w:r>
      <w:r w:rsidRPr="00FB3375">
        <w:rPr>
          <w:b/>
        </w:rPr>
        <w:t xml:space="preserve">children </w:t>
      </w:r>
      <w:r w:rsidR="003A6A60">
        <w:rPr>
          <w:b/>
        </w:rPr>
        <w:t xml:space="preserve">that are suffering, or likely to suffer, significant </w:t>
      </w:r>
      <w:r w:rsidRPr="00FB3375">
        <w:rPr>
          <w:b/>
        </w:rPr>
        <w:t>harm</w:t>
      </w:r>
      <w:r>
        <w:t xml:space="preserve"> during the proceedings,</w:t>
      </w:r>
      <w:r w:rsidR="001B3D7F" w:rsidRPr="001B3D7F">
        <w:t xml:space="preserve"> including from individuals involved in the pro</w:t>
      </w:r>
      <w:r>
        <w:t>ceedings or related to the case</w:t>
      </w:r>
      <w:r w:rsidR="002F583E">
        <w:t xml:space="preserve"> (CivAdm125)</w:t>
      </w:r>
      <w:r>
        <w:t>.</w:t>
      </w:r>
    </w:p>
    <w:p w:rsidR="00FB3375" w:rsidRDefault="00FB3375" w:rsidP="00571F56">
      <w:pPr>
        <w:pStyle w:val="BodyText"/>
      </w:pPr>
      <w:r>
        <w:t xml:space="preserve">In most jurisdictions, these measures include a range of interventions, </w:t>
      </w:r>
      <w:r w:rsidR="003A6A60">
        <w:t xml:space="preserve">depending on the nature of the case, </w:t>
      </w:r>
      <w:r>
        <w:t xml:space="preserve">including: temporary child custody, temporary award of alimony, </w:t>
      </w:r>
      <w:r w:rsidR="00B0489E">
        <w:t xml:space="preserve">injunctions for child support, </w:t>
      </w:r>
      <w:r>
        <w:t xml:space="preserve">restraining orders, non-contact orders, etc. </w:t>
      </w:r>
    </w:p>
    <w:p w:rsidR="00FB3375" w:rsidRDefault="00FB3375" w:rsidP="00571F56">
      <w:pPr>
        <w:pStyle w:val="BodyText"/>
      </w:pPr>
      <w:r>
        <w:t>However in certain MS, the measures available are more limited in scope. In BG, for example, t</w:t>
      </w:r>
      <w:r w:rsidRPr="00FB3375">
        <w:t xml:space="preserve">he </w:t>
      </w:r>
      <w:r>
        <w:t xml:space="preserve">only provision identified is for the </w:t>
      </w:r>
      <w:r w:rsidRPr="00FB3375">
        <w:t xml:space="preserve">court </w:t>
      </w:r>
      <w:r>
        <w:t xml:space="preserve">to </w:t>
      </w:r>
      <w:r w:rsidRPr="00FB3375">
        <w:t>appoint a special representative in the case of conflict of interests between a child and his/her legal representative.</w:t>
      </w:r>
      <w:r w:rsidR="00B0489E">
        <w:t xml:space="preserve"> In HU, the measures include </w:t>
      </w:r>
      <w:r w:rsidR="00B0489E" w:rsidRPr="00B0489E">
        <w:t>the holding of trials in camera, appointing guardians ad litem for the representation of the child.</w:t>
      </w:r>
    </w:p>
    <w:p w:rsidR="003A6A60" w:rsidRDefault="003A6A60" w:rsidP="00571F56">
      <w:pPr>
        <w:pStyle w:val="BodyText"/>
      </w:pPr>
      <w:r>
        <w:t xml:space="preserve">Across all the jurisdictions concerned, statutory provisions permitting the court to impose protection measures most often apply in </w:t>
      </w:r>
      <w:r w:rsidRPr="003A6A60">
        <w:rPr>
          <w:b/>
        </w:rPr>
        <w:t>placement into care</w:t>
      </w:r>
      <w:r>
        <w:t xml:space="preserve"> (27 jurisdictions) and </w:t>
      </w:r>
      <w:r w:rsidRPr="003A6A60">
        <w:rPr>
          <w:b/>
        </w:rPr>
        <w:t>family</w:t>
      </w:r>
      <w:r>
        <w:t xml:space="preserve"> proceedings (26 jurisdictions). They are least likely to apply in the area of </w:t>
      </w:r>
      <w:r w:rsidRPr="003A6A60">
        <w:rPr>
          <w:b/>
        </w:rPr>
        <w:t>administrative sanctions</w:t>
      </w:r>
      <w:r>
        <w:t xml:space="preserve"> (12 jurisdictions).</w:t>
      </w:r>
    </w:p>
    <w:p w:rsidR="00361344" w:rsidRDefault="00361344" w:rsidP="00571F56">
      <w:pPr>
        <w:pStyle w:val="BodyText"/>
      </w:pPr>
      <w:r>
        <w:t xml:space="preserve">In seven jurisdictions (BE, HR, EE, FI, LU, MT, SK), the statutory provisions apply in all areas of law. In the majority of jurisdictions, the protection measures can be applied in fewer areas, with the provision only applying in less than three areas of law – usually just family and placement in care – in eight jurisdictions (AT, DK, IE, LT, SE, UK-NI, UK-E&amp;W and </w:t>
      </w:r>
      <w:r w:rsidR="00CD7610">
        <w:t>UK-S</w:t>
      </w:r>
      <w:r>
        <w:t>).</w:t>
      </w:r>
    </w:p>
    <w:p w:rsidR="00931A29" w:rsidRDefault="00931A29" w:rsidP="00571F56">
      <w:pPr>
        <w:pStyle w:val="BodyText"/>
      </w:pPr>
      <w:r>
        <w:t xml:space="preserve">In 12 jurisdictions (BE, HR, CY, EE, FI, FR, HU, IT, LU, MT, NL, </w:t>
      </w:r>
      <w:r w:rsidR="00CD7610">
        <w:t>UK-S</w:t>
      </w:r>
      <w:r>
        <w:t>), t</w:t>
      </w:r>
      <w:r w:rsidR="00B86C65">
        <w:t xml:space="preserve">he statutory provisions permitting the court to impose protection measures apply </w:t>
      </w:r>
      <w:r>
        <w:t xml:space="preserve">to children involved in the proceedings in </w:t>
      </w:r>
      <w:r w:rsidRPr="00931A29">
        <w:rPr>
          <w:b/>
        </w:rPr>
        <w:t>all four roles</w:t>
      </w:r>
      <w:r>
        <w:t xml:space="preserve"> (plaintiffs, defendants, witnesses and subjects) in at least some areas of law. </w:t>
      </w:r>
    </w:p>
    <w:p w:rsidR="00B86C65" w:rsidRDefault="00931A29" w:rsidP="00571F56">
      <w:pPr>
        <w:pStyle w:val="BodyText"/>
      </w:pPr>
      <w:r>
        <w:t xml:space="preserve">Across all of the jurisdictions concerned, the provisions apply </w:t>
      </w:r>
      <w:r w:rsidR="00B86C65">
        <w:t xml:space="preserve">most often to child </w:t>
      </w:r>
      <w:r w:rsidR="00B86C65" w:rsidRPr="00931A29">
        <w:rPr>
          <w:b/>
        </w:rPr>
        <w:t>plaintiffs</w:t>
      </w:r>
      <w:r w:rsidRPr="00931A29">
        <w:rPr>
          <w:b/>
        </w:rPr>
        <w:t xml:space="preserve"> </w:t>
      </w:r>
      <w:r>
        <w:t>(29 jurisdictions)</w:t>
      </w:r>
      <w:r w:rsidR="00B86C65">
        <w:t xml:space="preserve">, then </w:t>
      </w:r>
      <w:r w:rsidR="00B86C65" w:rsidRPr="00931A29">
        <w:rPr>
          <w:b/>
        </w:rPr>
        <w:t>defendants</w:t>
      </w:r>
      <w:r w:rsidR="00B86C65">
        <w:t xml:space="preserve"> </w:t>
      </w:r>
      <w:r>
        <w:t xml:space="preserve">(28 jurisdictions: not in ES) </w:t>
      </w:r>
      <w:r w:rsidR="00B86C65">
        <w:t xml:space="preserve">and </w:t>
      </w:r>
      <w:r w:rsidR="00B86C65" w:rsidRPr="00931A29">
        <w:rPr>
          <w:b/>
        </w:rPr>
        <w:t>subjects</w:t>
      </w:r>
      <w:r w:rsidRPr="00931A29">
        <w:rPr>
          <w:b/>
        </w:rPr>
        <w:t xml:space="preserve"> </w:t>
      </w:r>
      <w:r>
        <w:t>(25 jurisdictions: not in AT, LT, SE, SK)</w:t>
      </w:r>
      <w:r w:rsidR="00B86C65">
        <w:t xml:space="preserve">, and least often to </w:t>
      </w:r>
      <w:r w:rsidR="00B86C65" w:rsidRPr="00931A29">
        <w:rPr>
          <w:b/>
        </w:rPr>
        <w:t>witnesses</w:t>
      </w:r>
      <w:r>
        <w:t xml:space="preserve"> (19 jurisdictions: not in BG, CZ, DK, ES, PL, PT, RO, SE, SI, UK-E&amp;W)</w:t>
      </w:r>
      <w:r w:rsidR="00B86C65">
        <w:t xml:space="preserve">. </w:t>
      </w:r>
    </w:p>
    <w:p w:rsidR="003A6A60" w:rsidRDefault="001854FF" w:rsidP="00571F56">
      <w:pPr>
        <w:pStyle w:val="BodyText"/>
      </w:pPr>
      <w:r w:rsidRPr="001854FF">
        <w:rPr>
          <w:b/>
          <w:color w:val="0067AC" w:themeColor="text2"/>
        </w:rPr>
        <w:fldChar w:fldCharType="begin"/>
      </w:r>
      <w:r w:rsidRPr="001854FF">
        <w:rPr>
          <w:b/>
          <w:color w:val="0067AC" w:themeColor="text2"/>
        </w:rPr>
        <w:instrText xml:space="preserve"> REF _Ref395830207 \r \h  \* MERGEFORMAT </w:instrText>
      </w:r>
      <w:r w:rsidRPr="001854FF">
        <w:rPr>
          <w:b/>
          <w:color w:val="0067AC" w:themeColor="text2"/>
        </w:rPr>
      </w:r>
      <w:r w:rsidRPr="001854FF">
        <w:rPr>
          <w:b/>
          <w:color w:val="0067AC" w:themeColor="text2"/>
        </w:rPr>
        <w:fldChar w:fldCharType="separate"/>
      </w:r>
      <w:r w:rsidR="000223E8">
        <w:rPr>
          <w:b/>
          <w:color w:val="0067AC" w:themeColor="text2"/>
        </w:rPr>
        <w:t>Table A4.9</w:t>
      </w:r>
      <w:r w:rsidRPr="001854FF">
        <w:rPr>
          <w:b/>
          <w:color w:val="0067AC" w:themeColor="text2"/>
        </w:rPr>
        <w:fldChar w:fldCharType="end"/>
      </w:r>
      <w:r>
        <w:t xml:space="preserve"> </w:t>
      </w:r>
      <w:r w:rsidR="00931A29">
        <w:t>maps the coverage of this provision by area of law and role of the child across all Member States, and permits a comparison with the coverage of equivalent provisions available to the courts during enforcement proceedings.</w:t>
      </w:r>
      <w:r w:rsidR="00050135">
        <w:t xml:space="preserve">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71F56" w:rsidTr="004017DA">
        <w:tc>
          <w:tcPr>
            <w:tcW w:w="8222" w:type="dxa"/>
            <w:shd w:val="clear" w:color="auto" w:fill="CDEBFF"/>
          </w:tcPr>
          <w:p w:rsidR="00571F56" w:rsidRPr="00571F56" w:rsidRDefault="00571F56" w:rsidP="00571F56">
            <w:pPr>
              <w:pStyle w:val="TableText"/>
              <w:rPr>
                <w:rFonts w:ascii="Calibri" w:hAnsi="Calibri"/>
                <w:b/>
                <w:color w:val="0067AC"/>
                <w:sz w:val="26"/>
                <w:szCs w:val="26"/>
              </w:rPr>
            </w:pPr>
            <w:r w:rsidRPr="00571F56">
              <w:rPr>
                <w:rFonts w:ascii="Calibri" w:hAnsi="Calibri"/>
                <w:b/>
                <w:color w:val="0067AC"/>
                <w:sz w:val="26"/>
                <w:szCs w:val="26"/>
              </w:rPr>
              <w:t>General observations: protection from harm</w:t>
            </w:r>
          </w:p>
          <w:p w:rsidR="00571F56" w:rsidRDefault="00571F56" w:rsidP="00571F56">
            <w:pPr>
              <w:pStyle w:val="BTBullet1"/>
              <w:tabs>
                <w:tab w:val="clear" w:pos="1191"/>
                <w:tab w:val="num" w:pos="414"/>
              </w:tabs>
              <w:ind w:left="414" w:hanging="360"/>
            </w:pPr>
            <w:r w:rsidRPr="00571F56">
              <w:t xml:space="preserve">Member States have adopted a variety of safeguards to prevent children in judicial proceedings from experiencing harm. </w:t>
            </w:r>
          </w:p>
          <w:p w:rsidR="00571F56" w:rsidRDefault="00571F56" w:rsidP="00571F56">
            <w:pPr>
              <w:pStyle w:val="BTBullet1"/>
              <w:tabs>
                <w:tab w:val="clear" w:pos="1191"/>
                <w:tab w:val="num" w:pos="414"/>
              </w:tabs>
              <w:ind w:left="414" w:hanging="360"/>
            </w:pPr>
            <w:r w:rsidRPr="00571F56">
              <w:t>The most widespread safeguard (existing in all 30 jurisdictions) is a statutory provision allowing the court to impose protection measures (e.g. temporary child custody) for children that are suffering or likely to suffer harm. Another widespread measure (existing in 25 jurisdictions) is the legal obligation to avoid undue delay. Both safeguards apply most frequently in the areas of family and placement in care in relation to plaintiffs, defendants and subjects (less frequently also in relation to witnesses).</w:t>
            </w:r>
          </w:p>
          <w:p w:rsidR="00571F56" w:rsidRPr="00571F56" w:rsidRDefault="00571F56" w:rsidP="00571F56">
            <w:pPr>
              <w:pStyle w:val="BTBullet1"/>
              <w:tabs>
                <w:tab w:val="clear" w:pos="1191"/>
                <w:tab w:val="num" w:pos="414"/>
              </w:tabs>
              <w:ind w:left="414" w:hanging="360"/>
            </w:pPr>
            <w:r w:rsidRPr="00571F56">
              <w:t xml:space="preserve">Other safeguards aimed at preventing children involved in judicial proceedings from experiencing harm are in place in much fewer jurisdictions. These include the legal obligation to conduct court hearings in a non-intimidating and child-friendly environment (13 jurisdictions), statutory provisions to adapt interviews to the child’s pace, attention span and any communication difficulties (eight jurisdictions) and guidelines to protect children from harmful images (six jurisdictions). </w:t>
            </w:r>
          </w:p>
        </w:tc>
      </w:tr>
    </w:tbl>
    <w:p w:rsidR="00D734A5" w:rsidRPr="00F84651" w:rsidRDefault="0088498D" w:rsidP="00A7584E">
      <w:pPr>
        <w:pStyle w:val="Heading2"/>
      </w:pPr>
      <w:bookmarkStart w:id="207" w:name="_Ref398037981"/>
      <w:bookmarkStart w:id="208" w:name="_Ref398096828"/>
      <w:bookmarkStart w:id="209" w:name="_Toc406590159"/>
      <w:bookmarkStart w:id="210" w:name="_Toc408908729"/>
      <w:r>
        <w:t>Children</w:t>
      </w:r>
      <w:r w:rsidR="00D4155F">
        <w:t>’s</w:t>
      </w:r>
      <w:r>
        <w:t xml:space="preserve"> r</w:t>
      </w:r>
      <w:r w:rsidR="00D734A5" w:rsidRPr="00D734A5">
        <w:t>ight</w:t>
      </w:r>
      <w:r>
        <w:t>s</w:t>
      </w:r>
      <w:r w:rsidR="00D734A5" w:rsidRPr="00D734A5">
        <w:t xml:space="preserve"> to legal counsel, legal assistance and representation</w:t>
      </w:r>
      <w:bookmarkEnd w:id="207"/>
      <w:bookmarkEnd w:id="208"/>
      <w:bookmarkEnd w:id="209"/>
      <w:bookmarkEnd w:id="210"/>
    </w:p>
    <w:p w:rsidR="004A40BF" w:rsidRDefault="00401699" w:rsidP="00571F56">
      <w:pPr>
        <w:pStyle w:val="BodyText"/>
      </w:pPr>
      <w:r w:rsidRPr="00CC0FAB">
        <w:t xml:space="preserve">This </w:t>
      </w:r>
      <w:r w:rsidR="0088498D">
        <w:t xml:space="preserve">sub </w:t>
      </w:r>
      <w:r w:rsidRPr="00CC0FAB">
        <w:t xml:space="preserve">section </w:t>
      </w:r>
      <w:r w:rsidR="0088498D">
        <w:t>considers</w:t>
      </w:r>
      <w:r w:rsidR="00CC0FAB" w:rsidRPr="00CC0FAB">
        <w:t xml:space="preserve">: </w:t>
      </w:r>
    </w:p>
    <w:p w:rsidR="004A40BF" w:rsidRPr="00007D34" w:rsidRDefault="00F8239C" w:rsidP="00571F56">
      <w:pPr>
        <w:pStyle w:val="BTBullet1"/>
      </w:pPr>
      <w:r>
        <w:t>T</w:t>
      </w:r>
      <w:r w:rsidR="00CC0FAB" w:rsidRPr="00272897">
        <w:t xml:space="preserve">he right of children to legal representation in their own name where there are potential conflicts of interest between the child and parents; </w:t>
      </w:r>
    </w:p>
    <w:p w:rsidR="004A40BF" w:rsidRPr="00007D34" w:rsidRDefault="00F8239C" w:rsidP="00571F56">
      <w:pPr>
        <w:pStyle w:val="BTBullet1"/>
      </w:pPr>
      <w:r>
        <w:t>T</w:t>
      </w:r>
      <w:r w:rsidR="00CC0FAB" w:rsidRPr="00272897">
        <w:t xml:space="preserve">he right of children to choose their own lawyer; </w:t>
      </w:r>
    </w:p>
    <w:p w:rsidR="004A40BF" w:rsidRPr="00007D34" w:rsidRDefault="00F8239C" w:rsidP="00571F56">
      <w:pPr>
        <w:pStyle w:val="BTBullet1"/>
      </w:pPr>
      <w:r>
        <w:t>T</w:t>
      </w:r>
      <w:r w:rsidR="00CC0FAB" w:rsidRPr="00272897">
        <w:t>he right</w:t>
      </w:r>
      <w:r w:rsidR="0088498D" w:rsidRPr="00272897">
        <w:t>s</w:t>
      </w:r>
      <w:r w:rsidR="00CC0FAB" w:rsidRPr="00CB3C84">
        <w:t xml:space="preserve"> of children to waive their right to legal counsel; </w:t>
      </w:r>
    </w:p>
    <w:p w:rsidR="004A40BF" w:rsidRPr="00007D34" w:rsidRDefault="00F8239C" w:rsidP="00571F56">
      <w:pPr>
        <w:pStyle w:val="BTBullet1"/>
      </w:pPr>
      <w:r>
        <w:t>T</w:t>
      </w:r>
      <w:r w:rsidR="00CC0FAB" w:rsidRPr="00272897">
        <w:t>he right of child</w:t>
      </w:r>
      <w:r w:rsidR="0088498D" w:rsidRPr="00272897">
        <w:t>ren</w:t>
      </w:r>
      <w:r w:rsidR="00CC0FAB" w:rsidRPr="00CB3C84">
        <w:t xml:space="preserve"> to access free legal aid; </w:t>
      </w:r>
    </w:p>
    <w:p w:rsidR="004A40BF" w:rsidRPr="00007D34" w:rsidRDefault="00F8239C" w:rsidP="00571F56">
      <w:pPr>
        <w:pStyle w:val="BTBullet1"/>
      </w:pPr>
      <w:r>
        <w:t>T</w:t>
      </w:r>
      <w:r w:rsidR="0088498D" w:rsidRPr="00272897">
        <w:t xml:space="preserve">he provision </w:t>
      </w:r>
      <w:r w:rsidR="00607E40" w:rsidRPr="00272897">
        <w:t>of guidance to</w:t>
      </w:r>
      <w:r w:rsidR="00CC0FAB" w:rsidRPr="00CB3C84">
        <w:t xml:space="preserve"> lawyers who represent children to ensure they treat the child as a fully-fledged client, whose opinions are brought forward; </w:t>
      </w:r>
    </w:p>
    <w:p w:rsidR="004A40BF" w:rsidRPr="00007D34" w:rsidRDefault="00F8239C" w:rsidP="00571F56">
      <w:pPr>
        <w:pStyle w:val="BTBullet1"/>
      </w:pPr>
      <w:r>
        <w:t>T</w:t>
      </w:r>
      <w:r w:rsidR="00CC0FAB" w:rsidRPr="00272897">
        <w:t>he appointment by the court of a guardian ad litem or special legal representative to represent the child where there are potential conflicts of interest between child and parents</w:t>
      </w:r>
      <w:r w:rsidR="00CC0FAB" w:rsidRPr="00CB3C84">
        <w:t>; and</w:t>
      </w:r>
    </w:p>
    <w:p w:rsidR="00401699" w:rsidRPr="00CB3C84" w:rsidRDefault="00F8239C" w:rsidP="00571F56">
      <w:pPr>
        <w:pStyle w:val="BodyText"/>
      </w:pPr>
      <w:r>
        <w:t>T</w:t>
      </w:r>
      <w:r w:rsidR="00CC0FAB" w:rsidRPr="00272897">
        <w:t>he provisions in place to ensure that unaccompanied or separated children are properly represented in asylum and migratio</w:t>
      </w:r>
      <w:r w:rsidR="00CC0FAB" w:rsidRPr="00CB3C84">
        <w:t>n cases.</w:t>
      </w:r>
    </w:p>
    <w:p w:rsidR="00F84651" w:rsidRPr="0055686C" w:rsidRDefault="00F84651" w:rsidP="00A5732C">
      <w:pPr>
        <w:pStyle w:val="Heading3"/>
      </w:pPr>
      <w:bookmarkStart w:id="211" w:name="_Toc408908730"/>
      <w:r w:rsidRPr="00731969">
        <w:t>Right to legal representation in the child’s own name</w:t>
      </w:r>
      <w:bookmarkEnd w:id="211"/>
      <w:r>
        <w:t xml:space="preserve"> </w:t>
      </w:r>
    </w:p>
    <w:p w:rsidR="00F84651" w:rsidRPr="00950AE9" w:rsidRDefault="00192989" w:rsidP="00571F56">
      <w:pPr>
        <w:pStyle w:val="BodyText"/>
        <w:rPr>
          <w:i/>
        </w:rPr>
      </w:pPr>
      <w:r w:rsidRPr="00950AE9">
        <w:t xml:space="preserve">In 24 jurisdictions, </w:t>
      </w:r>
      <w:r w:rsidR="00F84651" w:rsidRPr="00950AE9">
        <w:rPr>
          <w:b/>
        </w:rPr>
        <w:t>children have the statutory right to counsel and representation in their own name</w:t>
      </w:r>
      <w:r w:rsidR="00950AE9" w:rsidRPr="00950AE9">
        <w:rPr>
          <w:b/>
        </w:rPr>
        <w:t xml:space="preserve"> </w:t>
      </w:r>
      <w:r w:rsidR="00950AE9" w:rsidRPr="00950AE9">
        <w:t>where there are potential conflicts of interest between the child and parents (CivAdm148a).</w:t>
      </w:r>
      <w:r w:rsidR="00950AE9" w:rsidRPr="00950AE9">
        <w:rPr>
          <w:i/>
        </w:rPr>
        <w:t xml:space="preserve"> </w:t>
      </w:r>
      <w:r w:rsidRPr="00950AE9">
        <w:t>In the other</w:t>
      </w:r>
      <w:r w:rsidRPr="00950AE9">
        <w:rPr>
          <w:b/>
        </w:rPr>
        <w:t xml:space="preserve"> </w:t>
      </w:r>
      <w:r w:rsidR="00F84651" w:rsidRPr="00950AE9">
        <w:t xml:space="preserve">six </w:t>
      </w:r>
      <w:r w:rsidR="00E06AB5">
        <w:t>jurisdictions</w:t>
      </w:r>
      <w:r w:rsidR="00F84651" w:rsidRPr="00950AE9">
        <w:t xml:space="preserve"> (AT, CZ, ES, LT, LV and PL)</w:t>
      </w:r>
      <w:r w:rsidR="00401699" w:rsidRPr="00950AE9">
        <w:t xml:space="preserve"> the child only has access to legal counsel and legal assistance through their parents or guardian. </w:t>
      </w:r>
    </w:p>
    <w:p w:rsidR="00F84651" w:rsidRDefault="00192989" w:rsidP="00571F56">
      <w:pPr>
        <w:pStyle w:val="BodyText"/>
      </w:pPr>
      <w:r w:rsidRPr="00950AE9">
        <w:t xml:space="preserve">The </w:t>
      </w:r>
      <w:r w:rsidR="00F84651" w:rsidRPr="00950AE9">
        <w:t>right most frequently</w:t>
      </w:r>
      <w:r w:rsidR="00F84651">
        <w:t xml:space="preserve"> </w:t>
      </w:r>
      <w:r w:rsidR="00BE2E47">
        <w:t xml:space="preserve">applies </w:t>
      </w:r>
      <w:r w:rsidR="00F84651">
        <w:t xml:space="preserve">in the area of </w:t>
      </w:r>
      <w:r w:rsidR="00F84651" w:rsidRPr="00B93E03">
        <w:rPr>
          <w:b/>
        </w:rPr>
        <w:t>family</w:t>
      </w:r>
      <w:r w:rsidR="00F84651">
        <w:t xml:space="preserve"> (23 jurisdictions) and </w:t>
      </w:r>
      <w:r w:rsidR="00F84651" w:rsidRPr="00B93E03">
        <w:rPr>
          <w:b/>
        </w:rPr>
        <w:t>placement in care</w:t>
      </w:r>
      <w:r w:rsidR="00F84651">
        <w:t xml:space="preserve"> (22 jurisdictions). The right </w:t>
      </w:r>
      <w:r w:rsidR="00401699">
        <w:t>applies least frequently</w:t>
      </w:r>
      <w:r w:rsidR="00F84651">
        <w:t xml:space="preserve"> in </w:t>
      </w:r>
      <w:r w:rsidR="00F84651" w:rsidRPr="003B6EFE">
        <w:t>administrative sanctions</w:t>
      </w:r>
      <w:r w:rsidR="00F84651">
        <w:t xml:space="preserve"> (13 jurisdictions). The right to legal representation in the child’s own </w:t>
      </w:r>
      <w:r w:rsidR="00401699">
        <w:t>name</w:t>
      </w:r>
      <w:r w:rsidR="00F84651">
        <w:t xml:space="preserve"> applies in all areas of law in nine jurisdictions (BE, DK, FI, LU, MT, RO, SK, UK-E&amp;W and UK-NI), and in all </w:t>
      </w:r>
      <w:r w:rsidR="00950AE9">
        <w:t xml:space="preserve">areas of law </w:t>
      </w:r>
      <w:r w:rsidR="00F84651">
        <w:t xml:space="preserve">except one in six jurisdictions </w:t>
      </w:r>
      <w:r w:rsidR="00401699">
        <w:t xml:space="preserve">(in proceedings relating to </w:t>
      </w:r>
      <w:r w:rsidR="00F84651">
        <w:t xml:space="preserve">offences committed below </w:t>
      </w:r>
      <w:r w:rsidR="00F126FE">
        <w:t>MACR</w:t>
      </w:r>
      <w:r w:rsidR="00F84651">
        <w:t xml:space="preserve"> in CY, FR and SI; </w:t>
      </w:r>
      <w:r w:rsidR="00401699">
        <w:t xml:space="preserve">in proceedings relating to </w:t>
      </w:r>
      <w:r w:rsidR="00F84651">
        <w:t xml:space="preserve">administrative sanctions in HU and IT; </w:t>
      </w:r>
      <w:r w:rsidR="00401699">
        <w:t xml:space="preserve">and in </w:t>
      </w:r>
      <w:r w:rsidR="00F84651">
        <w:t xml:space="preserve">employment </w:t>
      </w:r>
      <w:r w:rsidR="00401699">
        <w:t xml:space="preserve">proceedings </w:t>
      </w:r>
      <w:r w:rsidR="00F84651">
        <w:t xml:space="preserve">in BG). </w:t>
      </w:r>
    </w:p>
    <w:p w:rsidR="00F84651" w:rsidRPr="00A7584E" w:rsidRDefault="00BE2E47" w:rsidP="00571F56">
      <w:pPr>
        <w:pStyle w:val="BodyText"/>
      </w:pPr>
      <w:r>
        <w:t>T</w:t>
      </w:r>
      <w:r w:rsidR="00F84651">
        <w:t xml:space="preserve">he right applies most frequently to child </w:t>
      </w:r>
      <w:r w:rsidR="00F84651" w:rsidRPr="00415B98">
        <w:rPr>
          <w:b/>
        </w:rPr>
        <w:t>plaintiffs</w:t>
      </w:r>
      <w:r w:rsidR="00DA413F">
        <w:t xml:space="preserve"> and </w:t>
      </w:r>
      <w:r w:rsidR="00F84651" w:rsidRPr="00415B98">
        <w:rPr>
          <w:b/>
        </w:rPr>
        <w:t>defendants</w:t>
      </w:r>
      <w:r w:rsidR="00DA413F">
        <w:t xml:space="preserve"> (22 jurisdictions each, although in the case of plaintiffs it applies in more areas of law).</w:t>
      </w:r>
      <w:r w:rsidR="00F84651">
        <w:t xml:space="preserve"> It applies less often to </w:t>
      </w:r>
      <w:r w:rsidR="00F84651" w:rsidRPr="00415B98">
        <w:rPr>
          <w:b/>
        </w:rPr>
        <w:t>subjects</w:t>
      </w:r>
      <w:r w:rsidR="00DA413F">
        <w:t xml:space="preserve"> (17 jurisdictions) </w:t>
      </w:r>
      <w:r w:rsidR="00F84651">
        <w:t xml:space="preserve">and least to </w:t>
      </w:r>
      <w:r w:rsidR="00F84651" w:rsidRPr="00415B98">
        <w:rPr>
          <w:b/>
        </w:rPr>
        <w:t>witnesses</w:t>
      </w:r>
      <w:r w:rsidR="00DA413F">
        <w:t xml:space="preserve"> (10 jurisdictions).</w:t>
      </w:r>
      <w:r w:rsidR="00F84651">
        <w:t xml:space="preserve"> </w:t>
      </w:r>
      <w:r w:rsidR="007F2D15">
        <w:t xml:space="preserve">In eight </w:t>
      </w:r>
      <w:r w:rsidR="00F84651">
        <w:t>MS</w:t>
      </w:r>
      <w:r w:rsidR="007F2D15">
        <w:t xml:space="preserve"> (BE, CY, EE, FR, HU, LU, SI, </w:t>
      </w:r>
      <w:r w:rsidR="00CD7610">
        <w:t>UK-S</w:t>
      </w:r>
      <w:r w:rsidR="007F2D15">
        <w:t xml:space="preserve">) the provision applies to children in the four roles, but in </w:t>
      </w:r>
      <w:r w:rsidR="00D22C24">
        <w:t>different</w:t>
      </w:r>
      <w:r w:rsidR="00950AE9">
        <w:t xml:space="preserve"> areas of law: i</w:t>
      </w:r>
      <w:r w:rsidR="007F2D15">
        <w:t>n BE, in family, asylum and migration;</w:t>
      </w:r>
      <w:r w:rsidR="00950AE9">
        <w:t xml:space="preserve"> i</w:t>
      </w:r>
      <w:r w:rsidR="007F2D15" w:rsidRPr="00A7584E">
        <w:t>n CY, in all areas of law except offences committed below</w:t>
      </w:r>
      <w:r w:rsidR="00950AE9">
        <w:t xml:space="preserve"> MACR</w:t>
      </w:r>
      <w:r w:rsidR="007F2D15" w:rsidRPr="00A7584E">
        <w:t xml:space="preserve">; </w:t>
      </w:r>
      <w:r w:rsidR="00950AE9">
        <w:t>i</w:t>
      </w:r>
      <w:r w:rsidR="007F2D15" w:rsidRPr="00A7584E">
        <w:t>n EE, in family and employment;</w:t>
      </w:r>
      <w:r w:rsidR="00950AE9">
        <w:t xml:space="preserve"> i</w:t>
      </w:r>
      <w:r w:rsidR="007F2D15" w:rsidRPr="00A7584E">
        <w:t>n FR, in family and placement into care;</w:t>
      </w:r>
      <w:r w:rsidR="00950AE9">
        <w:t xml:space="preserve"> i</w:t>
      </w:r>
      <w:r w:rsidR="007F2D15" w:rsidRPr="00A7584E">
        <w:t>n HU, only in family;</w:t>
      </w:r>
      <w:r w:rsidR="00950AE9">
        <w:t xml:space="preserve"> i</w:t>
      </w:r>
      <w:r w:rsidR="007F2D15" w:rsidRPr="00A7584E">
        <w:t>n LU, in all areas of law;</w:t>
      </w:r>
      <w:r w:rsidR="00950AE9">
        <w:t xml:space="preserve"> i</w:t>
      </w:r>
      <w:r w:rsidR="007F2D15" w:rsidRPr="00A7584E">
        <w:t>n SI, in family, migration, education and placement into care; and,</w:t>
      </w:r>
      <w:r w:rsidR="00950AE9">
        <w:t xml:space="preserve"> i</w:t>
      </w:r>
      <w:r w:rsidR="007F2D15" w:rsidRPr="00A7584E">
        <w:t xml:space="preserve">n </w:t>
      </w:r>
      <w:r w:rsidR="00CD7610">
        <w:t>UK-S</w:t>
      </w:r>
      <w:r w:rsidR="007F2D15" w:rsidRPr="00A7584E">
        <w:t>, in family, placement and MACR.</w:t>
      </w:r>
      <w:r w:rsidR="00050135">
        <w:t xml:space="preserve"> </w:t>
      </w:r>
    </w:p>
    <w:p w:rsidR="007F2D15" w:rsidRDefault="007F2D15" w:rsidP="00571F56">
      <w:pPr>
        <w:pStyle w:val="BodyText"/>
      </w:pPr>
      <w:r>
        <w:t xml:space="preserve">In seven </w:t>
      </w:r>
      <w:r w:rsidR="00731969">
        <w:t xml:space="preserve">jurisdictions </w:t>
      </w:r>
      <w:r>
        <w:t xml:space="preserve">(FI, HR, IT, MT, SE, UK-E&amp;W and UK-NI), the provision applies to </w:t>
      </w:r>
      <w:r w:rsidRPr="00731969">
        <w:rPr>
          <w:b/>
        </w:rPr>
        <w:t>plaintiffs, defendants and subjects</w:t>
      </w:r>
      <w:r>
        <w:t xml:space="preserve"> but not witnesses</w:t>
      </w:r>
      <w:r w:rsidR="00731969">
        <w:t>; in five other MS (BG, DE, EL, RO, SK) it applies only to plaintiffs and defendants; and in the other MS, the right applies to different roles depending on the area of law.</w:t>
      </w:r>
    </w:p>
    <w:p w:rsidR="00F84651" w:rsidRDefault="00F84651" w:rsidP="00571F56">
      <w:pPr>
        <w:pStyle w:val="BodyText"/>
      </w:pPr>
      <w:r>
        <w:t xml:space="preserve">The right applies at </w:t>
      </w:r>
      <w:r w:rsidRPr="00731969">
        <w:rPr>
          <w:b/>
        </w:rPr>
        <w:t>all stages of the proceeding</w:t>
      </w:r>
      <w:r>
        <w:t xml:space="preserve"> in all jurisdictions, except</w:t>
      </w:r>
      <w:r w:rsidR="00192989">
        <w:t>:</w:t>
      </w:r>
      <w:r>
        <w:t xml:space="preserve"> </w:t>
      </w:r>
      <w:r w:rsidR="00192989">
        <w:t>i</w:t>
      </w:r>
      <w:r>
        <w:t>n BG, the right does not apply before the proceeding</w:t>
      </w:r>
      <w:r w:rsidR="00192989">
        <w:t>;</w:t>
      </w:r>
      <w:r>
        <w:t xml:space="preserve"> </w:t>
      </w:r>
      <w:r w:rsidR="00192989">
        <w:t xml:space="preserve">and, </w:t>
      </w:r>
      <w:r>
        <w:t>in IE (in the area of family) and in RO it does not apply before or after the proceeding.</w:t>
      </w:r>
    </w:p>
    <w:p w:rsidR="00731969" w:rsidRDefault="00956C89" w:rsidP="00571F56">
      <w:pPr>
        <w:pStyle w:val="BodyText"/>
      </w:pPr>
      <w:r w:rsidRPr="00956C89">
        <w:rPr>
          <w:b/>
          <w:color w:val="0067AC" w:themeColor="text2"/>
        </w:rPr>
        <w:fldChar w:fldCharType="begin"/>
      </w:r>
      <w:r w:rsidRPr="00956C89">
        <w:rPr>
          <w:b/>
          <w:color w:val="0067AC" w:themeColor="text2"/>
        </w:rPr>
        <w:instrText xml:space="preserve"> REF _Ref395830247 \r \h  \* MERGEFORMAT </w:instrText>
      </w:r>
      <w:r w:rsidRPr="00956C89">
        <w:rPr>
          <w:b/>
          <w:color w:val="0067AC" w:themeColor="text2"/>
        </w:rPr>
      </w:r>
      <w:r w:rsidRPr="00956C89">
        <w:rPr>
          <w:b/>
          <w:color w:val="0067AC" w:themeColor="text2"/>
        </w:rPr>
        <w:fldChar w:fldCharType="separate"/>
      </w:r>
      <w:r w:rsidR="000223E8">
        <w:rPr>
          <w:b/>
          <w:color w:val="0067AC" w:themeColor="text2"/>
        </w:rPr>
        <w:t>Table A4.10</w:t>
      </w:r>
      <w:r w:rsidRPr="00956C89">
        <w:rPr>
          <w:b/>
          <w:color w:val="0067AC" w:themeColor="text2"/>
        </w:rPr>
        <w:fldChar w:fldCharType="end"/>
      </w:r>
      <w:r>
        <w:t xml:space="preserve"> </w:t>
      </w:r>
      <w:r w:rsidR="00731969">
        <w:t>maps the coverage of this provision by area of law and role of the child across all MS.</w:t>
      </w:r>
    </w:p>
    <w:p w:rsidR="00F84651" w:rsidRPr="00187038" w:rsidRDefault="00581FD7" w:rsidP="00A5732C">
      <w:pPr>
        <w:pStyle w:val="Heading3"/>
      </w:pPr>
      <w:bookmarkStart w:id="212" w:name="_Toc408908731"/>
      <w:r>
        <w:t xml:space="preserve">Right to waive </w:t>
      </w:r>
      <w:r w:rsidR="00F84651" w:rsidRPr="00AB4E64">
        <w:t>the right to legal assistance</w:t>
      </w:r>
      <w:bookmarkEnd w:id="212"/>
      <w:r w:rsidR="00F84651" w:rsidRPr="00187038">
        <w:t xml:space="preserve"> </w:t>
      </w:r>
    </w:p>
    <w:p w:rsidR="00DA413F" w:rsidRDefault="00F84651" w:rsidP="00571F56">
      <w:pPr>
        <w:pStyle w:val="BodyText"/>
      </w:pPr>
      <w:r>
        <w:t xml:space="preserve">A statutory provision </w:t>
      </w:r>
      <w:r w:rsidRPr="00CC0FAB">
        <w:t xml:space="preserve">allowing children </w:t>
      </w:r>
      <w:r w:rsidR="00CC0FAB" w:rsidRPr="00CC0FAB">
        <w:t>(or their legal representatives)</w:t>
      </w:r>
      <w:r w:rsidR="00CC0FAB">
        <w:rPr>
          <w:b/>
        </w:rPr>
        <w:t xml:space="preserve"> </w:t>
      </w:r>
      <w:r w:rsidRPr="00CC0FAB">
        <w:t>to</w:t>
      </w:r>
      <w:r w:rsidRPr="00E729BF">
        <w:rPr>
          <w:b/>
        </w:rPr>
        <w:t xml:space="preserve"> waive their right to legal assistance</w:t>
      </w:r>
      <w:r>
        <w:t xml:space="preserve"> </w:t>
      </w:r>
      <w:r w:rsidR="006571CF">
        <w:t xml:space="preserve">(CivAdm148b) </w:t>
      </w:r>
      <w:r>
        <w:t xml:space="preserve">exists in </w:t>
      </w:r>
      <w:r w:rsidR="003A4E6C">
        <w:t>eight</w:t>
      </w:r>
      <w:r w:rsidR="00581FD7">
        <w:t xml:space="preserve"> </w:t>
      </w:r>
      <w:r>
        <w:t xml:space="preserve">MS (DK, </w:t>
      </w:r>
      <w:r w:rsidR="00581FD7">
        <w:t>EL, ES, FR, IT, NL, PT, SE</w:t>
      </w:r>
      <w:r>
        <w:t>)</w:t>
      </w:r>
      <w:r w:rsidR="00DA413F">
        <w:t xml:space="preserve">. In these jurisdictions it </w:t>
      </w:r>
      <w:r w:rsidR="00581FD7">
        <w:t xml:space="preserve">applies to child </w:t>
      </w:r>
      <w:r w:rsidR="00581FD7" w:rsidRPr="00DA413F">
        <w:rPr>
          <w:b/>
        </w:rPr>
        <w:t>plaintiffs and defendants</w:t>
      </w:r>
      <w:r w:rsidR="00581FD7">
        <w:t xml:space="preserve"> </w:t>
      </w:r>
      <w:r w:rsidR="00DA413F">
        <w:t xml:space="preserve">only, </w:t>
      </w:r>
      <w:r w:rsidR="00581FD7">
        <w:t xml:space="preserve">except in NL, where it also applies to </w:t>
      </w:r>
      <w:r w:rsidR="00581FD7" w:rsidRPr="009E69B0">
        <w:rPr>
          <w:b/>
        </w:rPr>
        <w:t>witnesses</w:t>
      </w:r>
      <w:r w:rsidR="00DA413F">
        <w:t>.</w:t>
      </w:r>
      <w:r w:rsidR="00581FD7">
        <w:t xml:space="preserve"> </w:t>
      </w:r>
    </w:p>
    <w:p w:rsidR="00581FD7" w:rsidRPr="006571CF" w:rsidRDefault="00DA413F" w:rsidP="00571F56">
      <w:pPr>
        <w:pStyle w:val="BodyText"/>
      </w:pPr>
      <w:r w:rsidRPr="006571CF">
        <w:t xml:space="preserve">In each of the jurisdictions concerned, the provision applies </w:t>
      </w:r>
      <w:r w:rsidR="00581FD7" w:rsidRPr="006571CF">
        <w:t>in certain areas of law only</w:t>
      </w:r>
      <w:r w:rsidRPr="006571CF">
        <w:t>:</w:t>
      </w:r>
      <w:r w:rsidR="006571CF" w:rsidRPr="006571CF">
        <w:t xml:space="preserve"> in DK, in family and placement in</w:t>
      </w:r>
      <w:r w:rsidR="00581FD7" w:rsidRPr="006571CF">
        <w:t xml:space="preserve"> care proceedings;</w:t>
      </w:r>
      <w:r w:rsidR="006571CF" w:rsidRPr="006571CF">
        <w:t xml:space="preserve"> in </w:t>
      </w:r>
      <w:r w:rsidR="00581FD7" w:rsidRPr="006571CF">
        <w:t>EL, in all ar</w:t>
      </w:r>
      <w:r w:rsidR="006571CF" w:rsidRPr="006571CF">
        <w:t>eas of law except placement in</w:t>
      </w:r>
      <w:r w:rsidR="00581FD7" w:rsidRPr="006571CF">
        <w:t xml:space="preserve"> care;</w:t>
      </w:r>
      <w:r w:rsidR="006571CF" w:rsidRPr="006571CF">
        <w:t xml:space="preserve"> in </w:t>
      </w:r>
      <w:r w:rsidR="003A4E6C" w:rsidRPr="006571CF">
        <w:t xml:space="preserve">ES, </w:t>
      </w:r>
      <w:r w:rsidR="00581FD7" w:rsidRPr="006571CF">
        <w:t>in employment</w:t>
      </w:r>
      <w:r w:rsidR="003A4E6C" w:rsidRPr="006571CF">
        <w:t>;</w:t>
      </w:r>
      <w:r w:rsidR="006571CF" w:rsidRPr="006571CF">
        <w:t xml:space="preserve"> in </w:t>
      </w:r>
      <w:r w:rsidR="003A4E6C" w:rsidRPr="006571CF">
        <w:t xml:space="preserve">FR, in all areas </w:t>
      </w:r>
      <w:r w:rsidR="006571CF" w:rsidRPr="006571CF">
        <w:t>except family and placement in</w:t>
      </w:r>
      <w:r w:rsidR="003A4E6C" w:rsidRPr="006571CF">
        <w:t xml:space="preserve"> care</w:t>
      </w:r>
      <w:r w:rsidR="006571CF" w:rsidRPr="006571CF">
        <w:t xml:space="preserve">; in </w:t>
      </w:r>
      <w:r w:rsidR="003A4E6C" w:rsidRPr="006571CF">
        <w:t>IT, in family, employment and administrative sanctions;</w:t>
      </w:r>
      <w:r w:rsidR="006571CF" w:rsidRPr="006571CF">
        <w:t xml:space="preserve"> i</w:t>
      </w:r>
      <w:r w:rsidR="00581FD7" w:rsidRPr="006571CF">
        <w:t xml:space="preserve">n NL, in </w:t>
      </w:r>
      <w:r w:rsidR="003A4E6C" w:rsidRPr="006571CF">
        <w:t xml:space="preserve">family (except plaintiffs), </w:t>
      </w:r>
      <w:r w:rsidR="00581FD7" w:rsidRPr="006571CF">
        <w:t>employment and migration;</w:t>
      </w:r>
      <w:r w:rsidR="006571CF" w:rsidRPr="006571CF">
        <w:t xml:space="preserve"> in </w:t>
      </w:r>
      <w:r w:rsidR="00A03320" w:rsidRPr="006571CF">
        <w:t>PT, asylum, migration and placement;</w:t>
      </w:r>
      <w:r w:rsidR="006571CF" w:rsidRPr="006571CF">
        <w:t xml:space="preserve"> i</w:t>
      </w:r>
      <w:r w:rsidR="00581FD7" w:rsidRPr="006571CF">
        <w:t>n SE, in educati</w:t>
      </w:r>
      <w:r w:rsidR="003A4E6C" w:rsidRPr="006571CF">
        <w:t>o</w:t>
      </w:r>
      <w:r w:rsidR="006571CF" w:rsidRPr="006571CF">
        <w:t xml:space="preserve">n and administrative sanctions </w:t>
      </w:r>
      <w:r w:rsidR="003A4E6C" w:rsidRPr="006571CF">
        <w:t>and in asylum, migration, health and placement into care, if the proceedings deal with certain matters only.</w:t>
      </w:r>
    </w:p>
    <w:p w:rsidR="00581FD7" w:rsidRDefault="003A4E6C" w:rsidP="00571F56">
      <w:pPr>
        <w:pStyle w:val="BodyText"/>
      </w:pPr>
      <w:r>
        <w:t>In the other 22</w:t>
      </w:r>
      <w:r w:rsidR="00581FD7">
        <w:t xml:space="preserve"> jurisdictions, the assistance of a lawyer is mandatory for children in civil and administrative judicial proceedings</w:t>
      </w:r>
      <w:r>
        <w:t xml:space="preserve"> in all areas of law</w:t>
      </w:r>
      <w:r w:rsidR="00581FD7">
        <w:t>.</w:t>
      </w:r>
      <w:r w:rsidR="00DA413F">
        <w:t xml:space="preserve"> The assistance of a lawyer is also mandatory in the eight jurisdictions listed above for those areas of law that are not covered by the right to waive.</w:t>
      </w:r>
    </w:p>
    <w:p w:rsidR="00F84651" w:rsidRDefault="00F84651" w:rsidP="00571F56">
      <w:pPr>
        <w:pStyle w:val="BodyText"/>
      </w:pPr>
      <w:r>
        <w:t xml:space="preserve">Where the </w:t>
      </w:r>
      <w:r w:rsidR="00DA413F">
        <w:t xml:space="preserve">provisions exist, they apply </w:t>
      </w:r>
      <w:r>
        <w:t>at all stages of the proceedings in all jurisdictions.</w:t>
      </w:r>
    </w:p>
    <w:p w:rsidR="00F84651" w:rsidRPr="00251CC5" w:rsidRDefault="00F84651" w:rsidP="00A5732C">
      <w:pPr>
        <w:pStyle w:val="Heading3"/>
      </w:pPr>
      <w:bookmarkStart w:id="213" w:name="_Toc408908732"/>
      <w:r w:rsidRPr="00A03320">
        <w:t>Free legal aid</w:t>
      </w:r>
      <w:bookmarkEnd w:id="213"/>
      <w:r w:rsidRPr="00251CC5">
        <w:t xml:space="preserve"> </w:t>
      </w:r>
    </w:p>
    <w:p w:rsidR="00F84651" w:rsidRPr="00AB6BF8" w:rsidRDefault="00F84651" w:rsidP="00571F56">
      <w:pPr>
        <w:pStyle w:val="BodyText"/>
      </w:pPr>
      <w:r w:rsidRPr="00AB6BF8">
        <w:t xml:space="preserve">The </w:t>
      </w:r>
      <w:r w:rsidR="00AB6BF8" w:rsidRPr="00AB6BF8">
        <w:t xml:space="preserve">right of children to access </w:t>
      </w:r>
      <w:r w:rsidRPr="00AB6BF8">
        <w:rPr>
          <w:b/>
        </w:rPr>
        <w:t>free legal aid</w:t>
      </w:r>
      <w:r w:rsidRPr="00AB6BF8">
        <w:t xml:space="preserve"> </w:t>
      </w:r>
      <w:r w:rsidR="00AB6BF8">
        <w:t xml:space="preserve">(CivAdm151) </w:t>
      </w:r>
      <w:r w:rsidRPr="00AB6BF8">
        <w:t xml:space="preserve">is enshrined in all jurisdictions except CZ. </w:t>
      </w:r>
    </w:p>
    <w:p w:rsidR="00F84651" w:rsidRDefault="00F84651" w:rsidP="00571F56">
      <w:pPr>
        <w:pStyle w:val="BodyText"/>
      </w:pPr>
      <w:r>
        <w:t xml:space="preserve">The right </w:t>
      </w:r>
      <w:r w:rsidR="00AB3A30">
        <w:t>to free legal aid applies most commonly in the area of</w:t>
      </w:r>
      <w:r>
        <w:t xml:space="preserve"> </w:t>
      </w:r>
      <w:r w:rsidRPr="00AB3A30">
        <w:rPr>
          <w:b/>
        </w:rPr>
        <w:t>asylum</w:t>
      </w:r>
      <w:r>
        <w:t xml:space="preserve"> (27 jurisdictions), followed by </w:t>
      </w:r>
      <w:r w:rsidRPr="00AB3A30">
        <w:rPr>
          <w:b/>
        </w:rPr>
        <w:t>migration, family and placement in care</w:t>
      </w:r>
      <w:r>
        <w:t xml:space="preserve"> (26 jurisdictions respectively). The </w:t>
      </w:r>
      <w:r w:rsidR="00AB3A30">
        <w:t xml:space="preserve">right applies least commonly in the </w:t>
      </w:r>
      <w:r>
        <w:t xml:space="preserve">areas of offences committed below </w:t>
      </w:r>
      <w:r w:rsidR="00AB6BF8">
        <w:t>MACR</w:t>
      </w:r>
      <w:r>
        <w:t xml:space="preserve"> and administrative sanctions (19 and 20 jurisdictions respectively). The right applies in all areas of law in 14 jurisdictions (</w:t>
      </w:r>
      <w:r w:rsidR="00AB3A30">
        <w:t>AT, BE, BG, DE, FI, HR, LT, LU, MT, PL, PT, SK</w:t>
      </w:r>
      <w:r>
        <w:t xml:space="preserve">), and in all except one </w:t>
      </w:r>
      <w:r w:rsidR="00AB3A30">
        <w:t xml:space="preserve">area of law (usually offences committed below </w:t>
      </w:r>
      <w:r w:rsidR="00AB6BF8">
        <w:t>MACR</w:t>
      </w:r>
      <w:r w:rsidR="00AB3A30">
        <w:t xml:space="preserve"> or administrative sanctions) </w:t>
      </w:r>
      <w:r>
        <w:t>in seven jurisdictions (</w:t>
      </w:r>
      <w:r w:rsidR="00AB3A30">
        <w:t>EE, ES, EL, FR, HU, IT, SI</w:t>
      </w:r>
      <w:r>
        <w:t xml:space="preserve">). </w:t>
      </w:r>
    </w:p>
    <w:p w:rsidR="00F84651" w:rsidRDefault="00F84651" w:rsidP="00571F56">
      <w:pPr>
        <w:pStyle w:val="BodyText"/>
      </w:pPr>
      <w:r>
        <w:t xml:space="preserve">The right to free legal aid </w:t>
      </w:r>
      <w:r w:rsidR="00AB3A30">
        <w:t xml:space="preserve">most commonly </w:t>
      </w:r>
      <w:r>
        <w:t xml:space="preserve">applies to child </w:t>
      </w:r>
      <w:r w:rsidRPr="00BB4F8B">
        <w:rPr>
          <w:b/>
        </w:rPr>
        <w:t>plaintiffs</w:t>
      </w:r>
      <w:r>
        <w:t xml:space="preserve"> </w:t>
      </w:r>
      <w:r w:rsidR="0009301C">
        <w:t xml:space="preserve">and </w:t>
      </w:r>
      <w:r w:rsidRPr="00BB4F8B">
        <w:rPr>
          <w:b/>
        </w:rPr>
        <w:t>defendants</w:t>
      </w:r>
      <w:r w:rsidR="008F256D">
        <w:t xml:space="preserve"> </w:t>
      </w:r>
      <w:r w:rsidR="0009301C">
        <w:t xml:space="preserve">(both in 29 jurisdictions, although in the case of plaintiffs it applies in more areas of law) </w:t>
      </w:r>
      <w:r w:rsidR="008F256D">
        <w:t xml:space="preserve">and in fewer </w:t>
      </w:r>
      <w:r>
        <w:t xml:space="preserve">cases to </w:t>
      </w:r>
      <w:r w:rsidR="008F256D">
        <w:rPr>
          <w:b/>
        </w:rPr>
        <w:t>subjects</w:t>
      </w:r>
      <w:r w:rsidR="0009301C">
        <w:t xml:space="preserve"> (14 jurisdictions).</w:t>
      </w:r>
      <w:r>
        <w:t xml:space="preserve"> The right applies least to </w:t>
      </w:r>
      <w:r w:rsidRPr="00BB4F8B">
        <w:rPr>
          <w:b/>
        </w:rPr>
        <w:t>witnesses</w:t>
      </w:r>
      <w:r w:rsidR="0009301C">
        <w:rPr>
          <w:b/>
        </w:rPr>
        <w:t xml:space="preserve"> </w:t>
      </w:r>
      <w:r w:rsidR="0009301C">
        <w:t>(</w:t>
      </w:r>
      <w:r w:rsidR="00E06AB5">
        <w:t>seven</w:t>
      </w:r>
      <w:r w:rsidR="0009301C">
        <w:t xml:space="preserve"> jurisdictions)</w:t>
      </w:r>
      <w:r>
        <w:t>.</w:t>
      </w:r>
      <w:r w:rsidR="008F256D">
        <w:t xml:space="preserve"> </w:t>
      </w:r>
      <w:r w:rsidR="0009301C">
        <w:t>In</w:t>
      </w:r>
      <w:r w:rsidR="008F256D">
        <w:t xml:space="preserve"> six jurisdictions (BE, EE, FR, LU, NL, </w:t>
      </w:r>
      <w:r w:rsidR="00CD7610">
        <w:t>UK-S</w:t>
      </w:r>
      <w:r w:rsidR="008F256D">
        <w:t xml:space="preserve">), the right applies to children in </w:t>
      </w:r>
      <w:r w:rsidR="008F256D" w:rsidRPr="0009301C">
        <w:rPr>
          <w:b/>
        </w:rPr>
        <w:t>all four roles</w:t>
      </w:r>
      <w:r w:rsidR="008F256D">
        <w:t xml:space="preserve"> (in BE: in family and migration proceedings; in EE, in family and employment proceedings; in FR, in family and placement into care; in LU: in all areas of law; in NL, in family proceedings; and in </w:t>
      </w:r>
      <w:r w:rsidR="00CD7610">
        <w:t>UK-S</w:t>
      </w:r>
      <w:r w:rsidR="008F256D">
        <w:t>, in asylum, migration and offences committed below the age of criminal responsibility).</w:t>
      </w:r>
    </w:p>
    <w:p w:rsidR="00F84651" w:rsidRDefault="00F84651" w:rsidP="00571F56">
      <w:pPr>
        <w:pStyle w:val="BodyText"/>
      </w:pPr>
      <w:r>
        <w:t xml:space="preserve">Where the right to free legal aid exists, it applies at all </w:t>
      </w:r>
      <w:r w:rsidRPr="0033506F">
        <w:rPr>
          <w:b/>
        </w:rPr>
        <w:t>stages of the proceeding</w:t>
      </w:r>
      <w:r w:rsidR="008F256D">
        <w:rPr>
          <w:b/>
        </w:rPr>
        <w:t>s</w:t>
      </w:r>
      <w:r w:rsidRPr="0033506F">
        <w:rPr>
          <w:b/>
        </w:rPr>
        <w:t xml:space="preserve"> </w:t>
      </w:r>
      <w:r>
        <w:t xml:space="preserve">in all jurisdictions, except in the following: In HR it applies only before and during proceedings, in IE it does not apply before proceedings, and in addition not after in the area of family. In PL the right does not apply before proceedings, except in the areas of administrative sanctions and offences committed below the age of criminal responsibility. </w:t>
      </w:r>
    </w:p>
    <w:p w:rsidR="00A03320" w:rsidRDefault="00690378" w:rsidP="00571F56">
      <w:pPr>
        <w:pStyle w:val="BodyText"/>
      </w:pPr>
      <w:r w:rsidRPr="00690378">
        <w:rPr>
          <w:b/>
          <w:color w:val="0070C0"/>
        </w:rPr>
        <w:fldChar w:fldCharType="begin"/>
      </w:r>
      <w:r w:rsidRPr="00690378">
        <w:rPr>
          <w:b/>
          <w:color w:val="0070C0"/>
        </w:rPr>
        <w:instrText xml:space="preserve"> REF _Ref395879374 \r \h  \* MERGEFORMAT </w:instrText>
      </w:r>
      <w:r w:rsidRPr="00690378">
        <w:rPr>
          <w:b/>
          <w:color w:val="0070C0"/>
        </w:rPr>
      </w:r>
      <w:r w:rsidRPr="00690378">
        <w:rPr>
          <w:b/>
          <w:color w:val="0070C0"/>
        </w:rPr>
        <w:fldChar w:fldCharType="separate"/>
      </w:r>
      <w:r w:rsidR="000223E8">
        <w:rPr>
          <w:b/>
          <w:color w:val="0070C0"/>
        </w:rPr>
        <w:t>Table A4.11</w:t>
      </w:r>
      <w:r w:rsidRPr="00690378">
        <w:rPr>
          <w:b/>
          <w:color w:val="0070C0"/>
        </w:rPr>
        <w:fldChar w:fldCharType="end"/>
      </w:r>
      <w:r>
        <w:t xml:space="preserve"> </w:t>
      </w:r>
      <w:r w:rsidR="008F256D">
        <w:t>maps the coverage of this provision by area of law and role of the child in all jurisdictions.</w:t>
      </w:r>
    </w:p>
    <w:p w:rsidR="00F84651" w:rsidRPr="00526B90" w:rsidRDefault="00F84651" w:rsidP="00A5732C">
      <w:pPr>
        <w:pStyle w:val="Heading3"/>
      </w:pPr>
      <w:bookmarkStart w:id="214" w:name="_Toc408908733"/>
      <w:r w:rsidRPr="008E41DC">
        <w:t xml:space="preserve">Right to choose legal counsel </w:t>
      </w:r>
      <w:r w:rsidRPr="00526B90">
        <w:t>(CivAdm152)</w:t>
      </w:r>
      <w:bookmarkEnd w:id="214"/>
    </w:p>
    <w:p w:rsidR="00F84651" w:rsidRDefault="00F84651" w:rsidP="00571F56">
      <w:pPr>
        <w:pStyle w:val="BodyText"/>
      </w:pPr>
      <w:r>
        <w:t xml:space="preserve">Seventeen jurisdictions grant children involved in civil and administrative judicial proceedings the right to choose </w:t>
      </w:r>
      <w:r w:rsidR="00583C67">
        <w:t>their</w:t>
      </w:r>
      <w:r>
        <w:t xml:space="preserve"> own legal counsel</w:t>
      </w:r>
      <w:r w:rsidR="002622E8">
        <w:t>. However, in these jurisdictions, the right only applies to those children who have procedural capacity to act in certain areas of law (</w:t>
      </w:r>
      <w:r w:rsidR="00F0054C">
        <w:t xml:space="preserve">see </w:t>
      </w:r>
      <w:r w:rsidR="00F0054C" w:rsidRPr="00F0054C">
        <w:rPr>
          <w:b/>
          <w:color w:val="0070C0"/>
        </w:rPr>
        <w:t>S</w:t>
      </w:r>
      <w:r w:rsidR="002622E8" w:rsidRPr="00F0054C">
        <w:rPr>
          <w:b/>
          <w:color w:val="0070C0"/>
        </w:rPr>
        <w:t xml:space="preserve">ection </w:t>
      </w:r>
      <w:r w:rsidR="00F0054C" w:rsidRPr="00F0054C">
        <w:rPr>
          <w:b/>
          <w:color w:val="0070C0"/>
        </w:rPr>
        <w:fldChar w:fldCharType="begin"/>
      </w:r>
      <w:r w:rsidR="00F0054C" w:rsidRPr="00F0054C">
        <w:rPr>
          <w:b/>
          <w:color w:val="0070C0"/>
        </w:rPr>
        <w:instrText xml:space="preserve"> REF _Ref395829672 \r \h  \* MERGEFORMAT </w:instrText>
      </w:r>
      <w:r w:rsidR="00F0054C" w:rsidRPr="00F0054C">
        <w:rPr>
          <w:b/>
          <w:color w:val="0070C0"/>
        </w:rPr>
      </w:r>
      <w:r w:rsidR="00F0054C" w:rsidRPr="00F0054C">
        <w:rPr>
          <w:b/>
          <w:color w:val="0070C0"/>
        </w:rPr>
        <w:fldChar w:fldCharType="separate"/>
      </w:r>
      <w:r w:rsidR="000223E8">
        <w:rPr>
          <w:b/>
          <w:color w:val="0070C0"/>
        </w:rPr>
        <w:t>3.3</w:t>
      </w:r>
      <w:r w:rsidR="00F0054C" w:rsidRPr="00F0054C">
        <w:rPr>
          <w:b/>
          <w:color w:val="0070C0"/>
        </w:rPr>
        <w:fldChar w:fldCharType="end"/>
      </w:r>
      <w:r w:rsidR="00F0054C">
        <w:t xml:space="preserve"> </w:t>
      </w:r>
      <w:r w:rsidR="002622E8">
        <w:t>of this report)</w:t>
      </w:r>
      <w:r>
        <w:t>.</w:t>
      </w:r>
      <w:r w:rsidR="002622E8">
        <w:t xml:space="preserve"> In all other cases, it is the legal representative (usually parent or guardian) who has the right to choose the legal counsel.</w:t>
      </w:r>
    </w:p>
    <w:p w:rsidR="00F84651" w:rsidRPr="0098665E" w:rsidRDefault="00F84651" w:rsidP="00A5732C">
      <w:pPr>
        <w:pStyle w:val="Heading3"/>
      </w:pPr>
      <w:bookmarkStart w:id="215" w:name="_Toc408908734"/>
      <w:r w:rsidRPr="008E41DC">
        <w:t>Guidance for lawyers representing children</w:t>
      </w:r>
      <w:bookmarkEnd w:id="215"/>
      <w:r w:rsidRPr="0098665E">
        <w:t xml:space="preserve"> </w:t>
      </w:r>
    </w:p>
    <w:p w:rsidR="00F84651" w:rsidRDefault="00F84651" w:rsidP="00571F56">
      <w:pPr>
        <w:pStyle w:val="BodyText"/>
      </w:pPr>
      <w:r>
        <w:t>Seve</w:t>
      </w:r>
      <w:r w:rsidR="009D545C">
        <w:t xml:space="preserve">n jurisdictions </w:t>
      </w:r>
      <w:r w:rsidR="00F0054C">
        <w:t xml:space="preserve">(BE, EL, FI, LU, SE, UK-E&amp;W and </w:t>
      </w:r>
      <w:r w:rsidR="00CD7610">
        <w:t>UK-S</w:t>
      </w:r>
      <w:r w:rsidR="00F0054C">
        <w:t xml:space="preserve">) </w:t>
      </w:r>
      <w:r w:rsidR="009D545C">
        <w:t>have developed</w:t>
      </w:r>
      <w:r>
        <w:t xml:space="preserve"> </w:t>
      </w:r>
      <w:r w:rsidRPr="001A183E">
        <w:t>guidance for lawyers who represent children to ensure they treat the child as a fully-fledged client, whose opinions are brought forward</w:t>
      </w:r>
      <w:r>
        <w:t xml:space="preserve"> </w:t>
      </w:r>
      <w:r w:rsidR="00F0054C" w:rsidRPr="0098665E">
        <w:rPr>
          <w:i/>
        </w:rPr>
        <w:t>(CivAdm153)</w:t>
      </w:r>
      <w:r>
        <w:t xml:space="preserve">. </w:t>
      </w:r>
    </w:p>
    <w:p w:rsidR="00F84651" w:rsidRDefault="009D545C" w:rsidP="00571F56">
      <w:pPr>
        <w:pStyle w:val="BodyText"/>
      </w:pPr>
      <w:r>
        <w:t xml:space="preserve">Where such a provision exists, it applies most commonly in the areas of </w:t>
      </w:r>
      <w:r w:rsidRPr="009D545C">
        <w:t>migration, asylum and health</w:t>
      </w:r>
      <w:r>
        <w:t xml:space="preserve">. However, in some MS, it also applies in several other areas. </w:t>
      </w:r>
      <w:r w:rsidR="00F84651">
        <w:t>In BE, LU and</w:t>
      </w:r>
      <w:r>
        <w:t xml:space="preserve"> UK-E&amp;W, the guidance applies in</w:t>
      </w:r>
      <w:r w:rsidR="00F84651">
        <w:t xml:space="preserve"> all areas of law</w:t>
      </w:r>
      <w:r>
        <w:t>;</w:t>
      </w:r>
      <w:r w:rsidR="00F84651">
        <w:t xml:space="preserve"> in EL, SE and </w:t>
      </w:r>
      <w:r w:rsidR="00CD7610">
        <w:t>UK-S</w:t>
      </w:r>
      <w:r w:rsidR="00F84651">
        <w:t xml:space="preserve"> </w:t>
      </w:r>
      <w:r>
        <w:t xml:space="preserve">in </w:t>
      </w:r>
      <w:r w:rsidR="00F84651">
        <w:t>all except three areas (</w:t>
      </w:r>
      <w:r>
        <w:t xml:space="preserve">in EL: </w:t>
      </w:r>
      <w:r w:rsidR="00F84651">
        <w:t>family, placement in care and offences</w:t>
      </w:r>
      <w:r>
        <w:t xml:space="preserve"> committed under the age of criminal responsibility</w:t>
      </w:r>
      <w:r w:rsidR="00F84651">
        <w:t xml:space="preserve">; </w:t>
      </w:r>
      <w:r>
        <w:t xml:space="preserve">in </w:t>
      </w:r>
      <w:r w:rsidR="00F84651">
        <w:t>SE</w:t>
      </w:r>
      <w:r>
        <w:t xml:space="preserve">: </w:t>
      </w:r>
      <w:r w:rsidR="00F84651">
        <w:t>family, employment and offences</w:t>
      </w:r>
      <w:r>
        <w:t xml:space="preserve"> committed below the age of criminal responsibility</w:t>
      </w:r>
      <w:r w:rsidR="00F84651">
        <w:t xml:space="preserve">; </w:t>
      </w:r>
      <w:r>
        <w:t xml:space="preserve">and in </w:t>
      </w:r>
      <w:r w:rsidR="00CD7610">
        <w:t>UK-S</w:t>
      </w:r>
      <w:r>
        <w:t xml:space="preserve">: </w:t>
      </w:r>
      <w:r w:rsidR="00F84651">
        <w:t>employment, education and administrative sanctions</w:t>
      </w:r>
      <w:r>
        <w:t>)</w:t>
      </w:r>
      <w:r w:rsidR="00F84651">
        <w:t>. In FI, the guidance applies only in the area of family</w:t>
      </w:r>
      <w:r>
        <w:t xml:space="preserve"> law</w:t>
      </w:r>
      <w:r w:rsidR="00F84651">
        <w:t>.</w:t>
      </w:r>
    </w:p>
    <w:p w:rsidR="00F84651" w:rsidRDefault="009D545C" w:rsidP="00571F56">
      <w:pPr>
        <w:pStyle w:val="BodyText"/>
      </w:pPr>
      <w:r>
        <w:t xml:space="preserve">Where </w:t>
      </w:r>
      <w:r w:rsidR="00F84651">
        <w:t>guidance is in place, it applies most</w:t>
      </w:r>
      <w:r w:rsidR="002622E8">
        <w:t xml:space="preserve"> commonly</w:t>
      </w:r>
      <w:r w:rsidR="00F84651">
        <w:t xml:space="preserve"> to</w:t>
      </w:r>
      <w:r>
        <w:t xml:space="preserve"> lawyers representing</w:t>
      </w:r>
      <w:r w:rsidR="00F84651">
        <w:t xml:space="preserve"> </w:t>
      </w:r>
      <w:r w:rsidR="00F84651" w:rsidRPr="001A183E">
        <w:t>plaintiffs and defendants</w:t>
      </w:r>
      <w:r w:rsidR="00F84651">
        <w:t xml:space="preserve">, followed by </w:t>
      </w:r>
      <w:r w:rsidR="00F84651" w:rsidRPr="001A183E">
        <w:t>witnesses</w:t>
      </w:r>
      <w:r w:rsidR="00F84651">
        <w:t xml:space="preserve">, and least to </w:t>
      </w:r>
      <w:r w:rsidR="00F84651" w:rsidRPr="001A183E">
        <w:t>subjects</w:t>
      </w:r>
      <w:r w:rsidR="00F84651">
        <w:t xml:space="preserve">. </w:t>
      </w:r>
      <w:r>
        <w:t>In BE (as regards</w:t>
      </w:r>
      <w:r w:rsidR="00F0054C">
        <w:t xml:space="preserve"> family), LU and </w:t>
      </w:r>
      <w:r w:rsidR="00CD7610">
        <w:t>UK-S</w:t>
      </w:r>
      <w:r w:rsidR="00F0054C">
        <w:t>,</w:t>
      </w:r>
      <w:r>
        <w:t xml:space="preserve"> the provision applies to children in all four roles; in SE and BE (in all areas except family), the provision applies to plaintiffs, defendants and witnesses; </w:t>
      </w:r>
      <w:r w:rsidR="008E41DC">
        <w:t>in FI, it applies to plaintiffs, defendants and subjects; and in UK-E&amp;W and EL, it applies to plaint</w:t>
      </w:r>
      <w:r w:rsidR="005B0B75">
        <w:t>i</w:t>
      </w:r>
      <w:r w:rsidR="008E41DC">
        <w:t>ffs and defendants.</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BD3384" w:rsidRPr="000F388C" w:rsidTr="00804E5C">
        <w:tc>
          <w:tcPr>
            <w:tcW w:w="8222" w:type="dxa"/>
            <w:shd w:val="clear" w:color="auto" w:fill="CDEBFF"/>
          </w:tcPr>
          <w:p w:rsidR="00BD3384" w:rsidRPr="00694BE0" w:rsidRDefault="00BD3384" w:rsidP="00173CAC">
            <w:pPr>
              <w:pStyle w:val="BoxNumb"/>
              <w:numPr>
                <w:ilvl w:val="4"/>
                <w:numId w:val="27"/>
              </w:numPr>
              <w:rPr>
                <w:sz w:val="26"/>
                <w:szCs w:val="26"/>
              </w:rPr>
            </w:pPr>
            <w:r w:rsidRPr="00694BE0">
              <w:rPr>
                <w:sz w:val="26"/>
                <w:szCs w:val="26"/>
              </w:rPr>
              <w:t xml:space="preserve">Luxembourg – Securing the right of children to legal counsel and legal assistance </w:t>
            </w:r>
          </w:p>
          <w:p w:rsidR="00C467DB" w:rsidRPr="00C467DB" w:rsidRDefault="00C467DB" w:rsidP="00804E5C">
            <w:pPr>
              <w:pStyle w:val="TableText"/>
              <w:rPr>
                <w:b/>
                <w:bCs/>
                <w:i/>
                <w:sz w:val="20"/>
                <w:szCs w:val="20"/>
              </w:rPr>
            </w:pPr>
            <w:r w:rsidRPr="00C467DB">
              <w:rPr>
                <w:b/>
                <w:bCs/>
                <w:i/>
                <w:sz w:val="20"/>
                <w:szCs w:val="20"/>
              </w:rPr>
              <w:t xml:space="preserve">Mandatory </w:t>
            </w:r>
            <w:r>
              <w:rPr>
                <w:b/>
                <w:bCs/>
                <w:i/>
                <w:sz w:val="20"/>
                <w:szCs w:val="20"/>
              </w:rPr>
              <w:t>legal counsel</w:t>
            </w:r>
            <w:r w:rsidRPr="00C467DB">
              <w:rPr>
                <w:b/>
                <w:bCs/>
                <w:i/>
                <w:sz w:val="20"/>
                <w:szCs w:val="20"/>
              </w:rPr>
              <w:t xml:space="preserve"> </w:t>
            </w:r>
          </w:p>
          <w:p w:rsidR="002230F2" w:rsidRDefault="00C467DB" w:rsidP="00804E5C">
            <w:pPr>
              <w:pStyle w:val="TableText"/>
              <w:rPr>
                <w:bCs/>
                <w:sz w:val="20"/>
                <w:szCs w:val="20"/>
              </w:rPr>
            </w:pPr>
            <w:r w:rsidRPr="00C467DB">
              <w:rPr>
                <w:bCs/>
                <w:sz w:val="20"/>
                <w:szCs w:val="20"/>
              </w:rPr>
              <w:t xml:space="preserve">In </w:t>
            </w:r>
            <w:r>
              <w:rPr>
                <w:bCs/>
                <w:sz w:val="20"/>
                <w:szCs w:val="20"/>
              </w:rPr>
              <w:t xml:space="preserve">civil </w:t>
            </w:r>
            <w:r w:rsidRPr="00C467DB">
              <w:rPr>
                <w:bCs/>
                <w:sz w:val="20"/>
                <w:szCs w:val="20"/>
              </w:rPr>
              <w:t xml:space="preserve">administrative judicial proceedings it is compulsory </w:t>
            </w:r>
            <w:r>
              <w:rPr>
                <w:bCs/>
                <w:sz w:val="20"/>
                <w:szCs w:val="20"/>
              </w:rPr>
              <w:t xml:space="preserve">for children (like adults) </w:t>
            </w:r>
            <w:r w:rsidRPr="00C467DB">
              <w:rPr>
                <w:bCs/>
                <w:sz w:val="20"/>
                <w:szCs w:val="20"/>
              </w:rPr>
              <w:t>to have a legal counsel</w:t>
            </w:r>
            <w:r>
              <w:rPr>
                <w:bCs/>
                <w:sz w:val="20"/>
                <w:szCs w:val="20"/>
              </w:rPr>
              <w:t xml:space="preserve">. </w:t>
            </w:r>
            <w:r w:rsidRPr="00C467DB">
              <w:rPr>
                <w:bCs/>
                <w:sz w:val="20"/>
                <w:szCs w:val="20"/>
              </w:rPr>
              <w:t xml:space="preserve">Legal representation by lawyers is </w:t>
            </w:r>
            <w:r>
              <w:rPr>
                <w:bCs/>
                <w:sz w:val="20"/>
                <w:szCs w:val="20"/>
              </w:rPr>
              <w:t xml:space="preserve">also mandatory for children (like adults) </w:t>
            </w:r>
            <w:r w:rsidRPr="00C467DB">
              <w:rPr>
                <w:bCs/>
                <w:sz w:val="20"/>
                <w:szCs w:val="20"/>
              </w:rPr>
              <w:t>in civil judicial proceedings before District Courts</w:t>
            </w:r>
            <w:r w:rsidR="002230F2">
              <w:rPr>
                <w:bCs/>
                <w:sz w:val="20"/>
                <w:szCs w:val="20"/>
              </w:rPr>
              <w:t xml:space="preserve">. Legal counsel is not mandatory however </w:t>
            </w:r>
            <w:r>
              <w:rPr>
                <w:bCs/>
                <w:sz w:val="20"/>
                <w:szCs w:val="20"/>
              </w:rPr>
              <w:t>before Magistrate’s Courts.</w:t>
            </w:r>
            <w:r w:rsidRPr="00C467DB">
              <w:rPr>
                <w:bCs/>
                <w:sz w:val="20"/>
                <w:szCs w:val="20"/>
              </w:rPr>
              <w:t xml:space="preserve"> Children can go before a Magistrate’s Court in person (e.g. if they are emancipated) or be represented by a lawyer, the spouse, parents or persons related in direct line, or persons related in collateral line up to and including the third degree of kinship.</w:t>
            </w:r>
            <w:r>
              <w:rPr>
                <w:bCs/>
                <w:sz w:val="20"/>
                <w:szCs w:val="20"/>
              </w:rPr>
              <w:t xml:space="preserve"> </w:t>
            </w:r>
          </w:p>
          <w:p w:rsidR="002230F2" w:rsidRPr="002230F2" w:rsidRDefault="002230F2" w:rsidP="00804E5C">
            <w:pPr>
              <w:pStyle w:val="TableText"/>
              <w:rPr>
                <w:b/>
                <w:bCs/>
                <w:i/>
                <w:sz w:val="20"/>
                <w:szCs w:val="20"/>
              </w:rPr>
            </w:pPr>
            <w:r w:rsidRPr="002230F2">
              <w:rPr>
                <w:b/>
                <w:bCs/>
                <w:i/>
                <w:sz w:val="20"/>
                <w:szCs w:val="20"/>
              </w:rPr>
              <w:t>Right to a lawyer in</w:t>
            </w:r>
            <w:r w:rsidR="00E06AB5">
              <w:rPr>
                <w:b/>
                <w:bCs/>
                <w:i/>
                <w:sz w:val="20"/>
                <w:szCs w:val="20"/>
              </w:rPr>
              <w:t xml:space="preserve"> the</w:t>
            </w:r>
            <w:r w:rsidRPr="002230F2">
              <w:rPr>
                <w:b/>
                <w:bCs/>
                <w:i/>
                <w:sz w:val="20"/>
                <w:szCs w:val="20"/>
              </w:rPr>
              <w:t xml:space="preserve"> child’s own name</w:t>
            </w:r>
          </w:p>
          <w:p w:rsidR="00BD3384" w:rsidRDefault="00C467DB" w:rsidP="00804E5C">
            <w:pPr>
              <w:pStyle w:val="TableText"/>
              <w:rPr>
                <w:bCs/>
                <w:sz w:val="20"/>
                <w:szCs w:val="20"/>
              </w:rPr>
            </w:pPr>
            <w:r w:rsidRPr="00C467DB">
              <w:rPr>
                <w:bCs/>
                <w:sz w:val="20"/>
                <w:szCs w:val="20"/>
              </w:rPr>
              <w:t>The child’s legal representative – parents or guardian</w:t>
            </w:r>
            <w:r w:rsidR="00583C67">
              <w:rPr>
                <w:bCs/>
                <w:sz w:val="20"/>
                <w:szCs w:val="20"/>
              </w:rPr>
              <w:t xml:space="preserve"> -</w:t>
            </w:r>
            <w:r w:rsidRPr="00C467DB">
              <w:rPr>
                <w:bCs/>
                <w:sz w:val="20"/>
                <w:szCs w:val="20"/>
              </w:rPr>
              <w:t xml:space="preserve"> will </w:t>
            </w:r>
            <w:r w:rsidR="002230F2">
              <w:rPr>
                <w:bCs/>
                <w:sz w:val="20"/>
                <w:szCs w:val="20"/>
              </w:rPr>
              <w:t xml:space="preserve">normally </w:t>
            </w:r>
            <w:r w:rsidRPr="00C467DB">
              <w:rPr>
                <w:bCs/>
                <w:sz w:val="20"/>
                <w:szCs w:val="20"/>
              </w:rPr>
              <w:t>be in charge of appointing a lawyer.</w:t>
            </w:r>
            <w:r w:rsidR="002230F2">
              <w:rPr>
                <w:bCs/>
                <w:sz w:val="20"/>
                <w:szCs w:val="20"/>
              </w:rPr>
              <w:t xml:space="preserve"> However, </w:t>
            </w:r>
            <w:r w:rsidR="002230F2" w:rsidRPr="002230F2">
              <w:rPr>
                <w:bCs/>
                <w:sz w:val="20"/>
                <w:szCs w:val="20"/>
              </w:rPr>
              <w:t>in cases where there is a conflict of interest between the child and his/her legal representative, the judge designates an ad-hoc representative (a lawyer) for the representation of the child</w:t>
            </w:r>
            <w:r w:rsidR="002230F2">
              <w:rPr>
                <w:bCs/>
                <w:sz w:val="20"/>
                <w:szCs w:val="20"/>
              </w:rPr>
              <w:t xml:space="preserve">. </w:t>
            </w:r>
          </w:p>
          <w:p w:rsidR="00C467DB" w:rsidRPr="00C467DB" w:rsidRDefault="00C467DB" w:rsidP="00804E5C">
            <w:pPr>
              <w:pStyle w:val="TableText"/>
              <w:rPr>
                <w:b/>
                <w:bCs/>
                <w:i/>
                <w:sz w:val="20"/>
                <w:szCs w:val="20"/>
              </w:rPr>
            </w:pPr>
            <w:r w:rsidRPr="00C467DB">
              <w:rPr>
                <w:b/>
                <w:bCs/>
                <w:i/>
                <w:sz w:val="20"/>
                <w:szCs w:val="20"/>
              </w:rPr>
              <w:t>Guidance for lawyers</w:t>
            </w:r>
            <w:r w:rsidR="002230F2">
              <w:rPr>
                <w:b/>
                <w:bCs/>
                <w:i/>
                <w:sz w:val="20"/>
                <w:szCs w:val="20"/>
              </w:rPr>
              <w:t xml:space="preserve"> who represent children</w:t>
            </w:r>
          </w:p>
          <w:p w:rsidR="00C467DB" w:rsidRDefault="00C467DB" w:rsidP="00C467DB">
            <w:pPr>
              <w:pStyle w:val="TableText"/>
              <w:rPr>
                <w:bCs/>
                <w:sz w:val="20"/>
                <w:szCs w:val="20"/>
              </w:rPr>
            </w:pPr>
            <w:r>
              <w:rPr>
                <w:bCs/>
                <w:sz w:val="20"/>
                <w:szCs w:val="20"/>
              </w:rPr>
              <w:t>A</w:t>
            </w:r>
            <w:r w:rsidRPr="00C467DB">
              <w:rPr>
                <w:bCs/>
                <w:sz w:val="20"/>
                <w:szCs w:val="20"/>
              </w:rPr>
              <w:t xml:space="preserve">ccording to the </w:t>
            </w:r>
            <w:hyperlink r:id="rId18" w:history="1">
              <w:r w:rsidRPr="00C467DB">
                <w:rPr>
                  <w:rStyle w:val="Hyperlink"/>
                  <w:bCs/>
                  <w:color w:val="auto"/>
                  <w:sz w:val="20"/>
                  <w:szCs w:val="20"/>
                  <w:u w:val="none"/>
                  <w:lang w:val="en-US"/>
                </w:rPr>
                <w:t>Regulation of Luxembourg Bar Association</w:t>
              </w:r>
            </w:hyperlink>
            <w:r w:rsidRPr="00C467DB">
              <w:rPr>
                <w:bCs/>
                <w:sz w:val="20"/>
                <w:szCs w:val="20"/>
                <w:lang w:val="en-US"/>
              </w:rPr>
              <w:t xml:space="preserve"> </w:t>
            </w:r>
            <w:r w:rsidRPr="00C467DB">
              <w:rPr>
                <w:bCs/>
                <w:sz w:val="20"/>
                <w:szCs w:val="20"/>
              </w:rPr>
              <w:t>12 September 2007, an advocate who represents a child, or a child’s legal representative, must protect the best interests of the child</w:t>
            </w:r>
            <w:r>
              <w:rPr>
                <w:bCs/>
                <w:sz w:val="20"/>
                <w:szCs w:val="20"/>
              </w:rPr>
              <w:t>.</w:t>
            </w:r>
            <w:r w:rsidR="002230F2">
              <w:rPr>
                <w:bCs/>
                <w:sz w:val="20"/>
                <w:szCs w:val="20"/>
              </w:rPr>
              <w:t xml:space="preserve"> This guidance also applies to lawyers who are appointed by parents or guardians to represent the child.</w:t>
            </w:r>
          </w:p>
          <w:p w:rsidR="00C467DB" w:rsidRDefault="002230F2" w:rsidP="00C467DB">
            <w:pPr>
              <w:pStyle w:val="TableText"/>
              <w:rPr>
                <w:b/>
                <w:bCs/>
                <w:i/>
                <w:sz w:val="20"/>
                <w:szCs w:val="20"/>
              </w:rPr>
            </w:pPr>
            <w:r>
              <w:rPr>
                <w:b/>
                <w:bCs/>
                <w:i/>
                <w:sz w:val="20"/>
                <w:szCs w:val="20"/>
              </w:rPr>
              <w:t>Access to l</w:t>
            </w:r>
            <w:r w:rsidR="00C467DB">
              <w:rPr>
                <w:b/>
                <w:bCs/>
                <w:i/>
                <w:sz w:val="20"/>
                <w:szCs w:val="20"/>
              </w:rPr>
              <w:t>egal aid</w:t>
            </w:r>
          </w:p>
          <w:p w:rsidR="00C467DB" w:rsidRPr="00C467DB" w:rsidRDefault="00C467DB" w:rsidP="00C467DB">
            <w:pPr>
              <w:pStyle w:val="TableText"/>
              <w:rPr>
                <w:sz w:val="20"/>
                <w:szCs w:val="20"/>
              </w:rPr>
            </w:pPr>
            <w:r w:rsidRPr="00C467DB">
              <w:rPr>
                <w:bCs/>
                <w:sz w:val="20"/>
                <w:szCs w:val="20"/>
              </w:rPr>
              <w:t xml:space="preserve">Free legal aid, including free legal advice and legal representation, is accessible to </w:t>
            </w:r>
            <w:r>
              <w:rPr>
                <w:bCs/>
                <w:sz w:val="20"/>
                <w:szCs w:val="20"/>
              </w:rPr>
              <w:t xml:space="preserve">children in all areas of law. </w:t>
            </w:r>
            <w:r w:rsidRPr="00C467DB">
              <w:rPr>
                <w:bCs/>
                <w:sz w:val="20"/>
                <w:szCs w:val="20"/>
              </w:rPr>
              <w:t>This free legal aid is provided to persons whose income is not considered as sufficient according to the law. This includes persons whose income is not more than the minimum wage (</w:t>
            </w:r>
            <w:r w:rsidRPr="00C467DB">
              <w:rPr>
                <w:bCs/>
                <w:i/>
                <w:sz w:val="20"/>
                <w:szCs w:val="20"/>
              </w:rPr>
              <w:t>revenu minimum garanti)</w:t>
            </w:r>
            <w:r>
              <w:rPr>
                <w:bCs/>
                <w:i/>
                <w:sz w:val="20"/>
                <w:szCs w:val="20"/>
              </w:rPr>
              <w:t>.</w:t>
            </w:r>
          </w:p>
        </w:tc>
      </w:tr>
    </w:tbl>
    <w:p w:rsidR="00F84651" w:rsidRDefault="00F84651" w:rsidP="00A5732C">
      <w:pPr>
        <w:pStyle w:val="Heading3"/>
      </w:pPr>
      <w:bookmarkStart w:id="216" w:name="_Toc408908735"/>
      <w:r w:rsidRPr="008E41DC">
        <w:t>Guardian ad litem or special legal representative in case of potential conflict of interest between parents and children</w:t>
      </w:r>
      <w:r>
        <w:t xml:space="preserve"> (CivAdm</w:t>
      </w:r>
      <w:r w:rsidRPr="001A183E">
        <w:t>154)</w:t>
      </w:r>
      <w:bookmarkEnd w:id="216"/>
    </w:p>
    <w:p w:rsidR="00F84651" w:rsidRDefault="00F84651" w:rsidP="00A5732C">
      <w:pPr>
        <w:pStyle w:val="BodyText"/>
      </w:pPr>
      <w:r>
        <w:t xml:space="preserve">A </w:t>
      </w:r>
      <w:r w:rsidRPr="001A183E">
        <w:t xml:space="preserve">statutory provision on the appointment by the court of a </w:t>
      </w:r>
      <w:r w:rsidRPr="00C31370">
        <w:rPr>
          <w:b/>
        </w:rPr>
        <w:t>guardian ad litem or special legal representative</w:t>
      </w:r>
      <w:r w:rsidRPr="001A183E">
        <w:t xml:space="preserve"> to represent </w:t>
      </w:r>
      <w:r w:rsidR="000179AC">
        <w:t xml:space="preserve">the </w:t>
      </w:r>
      <w:r w:rsidRPr="001A183E">
        <w:t>child where there are potential conflicts of interest between child and parents</w:t>
      </w:r>
      <w:r>
        <w:t xml:space="preserve"> exists in all jurisdictions except IE and LT. </w:t>
      </w:r>
    </w:p>
    <w:p w:rsidR="00F84651" w:rsidRDefault="00F84651" w:rsidP="00571F56">
      <w:pPr>
        <w:pStyle w:val="BodyText"/>
      </w:pPr>
      <w:r>
        <w:t xml:space="preserve">The provision applies most frequently in the areas of </w:t>
      </w:r>
      <w:r w:rsidRPr="00C1357A">
        <w:rPr>
          <w:b/>
        </w:rPr>
        <w:t>family</w:t>
      </w:r>
      <w:r>
        <w:t xml:space="preserve"> (28 jurisdictions) and </w:t>
      </w:r>
      <w:r w:rsidRPr="00C1357A">
        <w:rPr>
          <w:b/>
        </w:rPr>
        <w:t>placement in care</w:t>
      </w:r>
      <w:r>
        <w:t xml:space="preserve"> (26 jurisdictions), and least in administrative sanctions (17 jurisdictions) and offences&lt;MACR (16 jurisdictions). </w:t>
      </w:r>
    </w:p>
    <w:p w:rsidR="00C31370" w:rsidRDefault="00C31370" w:rsidP="00571F56">
      <w:pPr>
        <w:pStyle w:val="BodyText"/>
      </w:pPr>
      <w:r>
        <w:t>In 11 MS (BE, HR, CZ, DK, FI, LV, LU, MT, PT, RO and SK) the provision applies in all areas of law; in another six MS (BG, CY, FR, HU, IT and SI) the provision applies in all areas of law but one (usually offences committed below the age of criminal responsibility or administrative sanctions). In six jurisdictions (AT, DE, EE, EL, UK-E&amp;W and UK-NI) the provision only applies in two areas of law (usually in family and placement into care, except in the case of EE and EL, where it applies in the areas of family and employment).</w:t>
      </w:r>
    </w:p>
    <w:p w:rsidR="000179AC" w:rsidRDefault="009541AA" w:rsidP="00571F56">
      <w:pPr>
        <w:pStyle w:val="BodyText"/>
      </w:pPr>
      <w:r>
        <w:t xml:space="preserve">In terms of the roles of the child, the statutory provision on the appointment of a guardian ad litem or special representative applies to children as </w:t>
      </w:r>
      <w:r w:rsidRPr="009541AA">
        <w:rPr>
          <w:b/>
        </w:rPr>
        <w:t>plaintiffs and defendants</w:t>
      </w:r>
      <w:r>
        <w:t xml:space="preserve"> in all </w:t>
      </w:r>
      <w:r w:rsidR="000179AC">
        <w:t xml:space="preserve">28 </w:t>
      </w:r>
      <w:r>
        <w:t>jurisdictions concerned.</w:t>
      </w:r>
      <w:r w:rsidR="000179AC">
        <w:t xml:space="preserve"> The provision applies to subjects as well in 17 jurisdictions (BE, CY, CZ, EE, ES, FI, FR, HR, HU, IT, LU, MT, NL, PL, PT, RO, UK-S); and to witnesses in 11 jurisdictions (BE, DK, EE, FR, HU, LU, NL, PL, RO, UK-S).</w:t>
      </w:r>
    </w:p>
    <w:p w:rsidR="00C31370" w:rsidRDefault="000179AC" w:rsidP="00571F56">
      <w:pPr>
        <w:pStyle w:val="BodyText"/>
      </w:pPr>
      <w:r>
        <w:t xml:space="preserve">In six MS, the provision applies to </w:t>
      </w:r>
      <w:r w:rsidRPr="000179AC">
        <w:rPr>
          <w:b/>
        </w:rPr>
        <w:t>all roles of the child</w:t>
      </w:r>
      <w:r>
        <w:t xml:space="preserve"> in at least some areas of law (BE: asylum and migration; in EE: family and employment; in ES: in family, education and health; in FR: family, employment and placement into care; in HU: in family; in LU: all areas; and in UK-S in family, asylum, migration, placement into care and offences committed below the age of criminal responsibility). </w:t>
      </w:r>
    </w:p>
    <w:p w:rsidR="00576259" w:rsidRDefault="00690378" w:rsidP="00571F56">
      <w:pPr>
        <w:pStyle w:val="BodyText"/>
      </w:pPr>
      <w:r>
        <w:fldChar w:fldCharType="begin"/>
      </w:r>
      <w:r>
        <w:instrText xml:space="preserve"> REF _Ref395879411 \r \h  \* MERGEFORMAT </w:instrText>
      </w:r>
      <w:r>
        <w:fldChar w:fldCharType="separate"/>
      </w:r>
      <w:r w:rsidR="000223E8" w:rsidRPr="000223E8">
        <w:rPr>
          <w:b/>
          <w:color w:val="0070C0"/>
        </w:rPr>
        <w:t>Table A4.12</w:t>
      </w:r>
      <w:r>
        <w:fldChar w:fldCharType="end"/>
      </w:r>
      <w:r>
        <w:t xml:space="preserve"> </w:t>
      </w:r>
      <w:r w:rsidR="00576259">
        <w:t>maps the coverage of this provision by area of law and role of the child in all jurisdictions.</w:t>
      </w:r>
    </w:p>
    <w:p w:rsidR="00F84651" w:rsidRPr="00C1357A" w:rsidRDefault="00F84651" w:rsidP="00571F56">
      <w:pPr>
        <w:pStyle w:val="Heading4NoNumb"/>
        <w:ind w:firstLine="851"/>
      </w:pPr>
      <w:r w:rsidRPr="00576259">
        <w:t>Monitoring mechanism on guardians ad litem</w:t>
      </w:r>
      <w:r w:rsidRPr="00C1357A">
        <w:t xml:space="preserve"> (CivAdm155)</w:t>
      </w:r>
    </w:p>
    <w:p w:rsidR="00F84651" w:rsidRDefault="00F84651" w:rsidP="00571F56">
      <w:pPr>
        <w:pStyle w:val="BodyText"/>
      </w:pPr>
      <w:r>
        <w:t xml:space="preserve">Thirteen jurisdictions </w:t>
      </w:r>
      <w:r w:rsidR="00F261EB">
        <w:t xml:space="preserve">(BE, HR, CZ, FI, EL, LV, LT, PL, SK, ES, SE, UK-E&amp;W and UK-NI) </w:t>
      </w:r>
      <w:r>
        <w:t xml:space="preserve">have a </w:t>
      </w:r>
      <w:r w:rsidRPr="00C1357A">
        <w:rPr>
          <w:b/>
        </w:rPr>
        <w:t>mechanism in place to monitor the appointment and quality of service provided by guardians ad litem to children</w:t>
      </w:r>
      <w:r>
        <w:t xml:space="preserve"> involved in judicial proceedings. </w:t>
      </w:r>
    </w:p>
    <w:p w:rsidR="00F84651" w:rsidRDefault="00F84651" w:rsidP="00571F56">
      <w:pPr>
        <w:pStyle w:val="BodyText"/>
      </w:pPr>
      <w:r>
        <w:t>Where a monitoring mechanism exists, it covers all areas of law in all juri</w:t>
      </w:r>
      <w:r w:rsidR="00F261EB">
        <w:t xml:space="preserve">sdictions, except in four (EL: </w:t>
      </w:r>
      <w:r>
        <w:t xml:space="preserve">not in family, employment, placement in care, offences committed by children below the age </w:t>
      </w:r>
      <w:r w:rsidR="00F261EB">
        <w:t xml:space="preserve">of criminal responsibility; PL: </w:t>
      </w:r>
      <w:r>
        <w:t>not in asylum, migration, education, health; ES</w:t>
      </w:r>
      <w:r w:rsidR="00F261EB">
        <w:t>:</w:t>
      </w:r>
      <w:r>
        <w:t xml:space="preserve"> not in </w:t>
      </w:r>
      <w:r w:rsidR="00F261EB">
        <w:t>family, employment and offences below the minimum age of criminal responsibility</w:t>
      </w:r>
      <w:r>
        <w:t xml:space="preserve">; UK-E&amp;W- only family). </w:t>
      </w:r>
    </w:p>
    <w:p w:rsidR="00F261EB" w:rsidRDefault="005B0B75" w:rsidP="00571F56">
      <w:pPr>
        <w:pStyle w:val="BodyText"/>
      </w:pPr>
      <w:r>
        <w:t xml:space="preserve">The type of monitoring mechanisms vary across jurisdictions. In some </w:t>
      </w:r>
      <w:r w:rsidR="004A6D3E">
        <w:t>jurisdictions</w:t>
      </w:r>
      <w:r>
        <w:t xml:space="preserve"> (e.g. CZ, ES and HR) the judge monitors the appointment and quality of service provided by guardians ad litem; in PT, the public prosecutor has this function; in EL, it is the Ombudsperson; and in the UK-E&amp;W and UK-NI, separate inspectorates have this function: the Office for Standards in Education, Children’s Services and Skills in the case of England and Wales (OFSTED); and the Regulation</w:t>
      </w:r>
      <w:r w:rsidR="00050135">
        <w:t xml:space="preserve"> </w:t>
      </w:r>
      <w:r>
        <w:t xml:space="preserve">and Quality Improvement Authority in Northern Ireland (RQIA). </w:t>
      </w:r>
    </w:p>
    <w:p w:rsidR="00F84651" w:rsidRPr="00F0054C" w:rsidRDefault="00F84651" w:rsidP="00A5732C">
      <w:pPr>
        <w:pStyle w:val="Heading3"/>
      </w:pPr>
      <w:bookmarkStart w:id="217" w:name="_Toc408908736"/>
      <w:r w:rsidRPr="00F0054C">
        <w:t xml:space="preserve">Representation of unaccompanied and separated children </w:t>
      </w:r>
      <w:r w:rsidR="00DC002D" w:rsidRPr="00F0054C">
        <w:t xml:space="preserve">in asylum and migration cases </w:t>
      </w:r>
      <w:r w:rsidRPr="00F0054C">
        <w:t>(CivAdm156)</w:t>
      </w:r>
      <w:bookmarkEnd w:id="217"/>
    </w:p>
    <w:p w:rsidR="00F84651" w:rsidRDefault="00F84651" w:rsidP="00A5732C">
      <w:pPr>
        <w:pStyle w:val="BodyText"/>
      </w:pPr>
      <w:r>
        <w:t xml:space="preserve">In all jurisdictions </w:t>
      </w:r>
      <w:r w:rsidRPr="00C1067D">
        <w:rPr>
          <w:b/>
        </w:rPr>
        <w:t>a guardian or advisor must be appointed to represent unaccompanied and separated children</w:t>
      </w:r>
      <w:r w:rsidR="00576259">
        <w:rPr>
          <w:b/>
        </w:rPr>
        <w:t xml:space="preserve"> </w:t>
      </w:r>
      <w:r w:rsidR="00576259">
        <w:t>in asylum and migration cases</w:t>
      </w:r>
      <w:r>
        <w:t xml:space="preserve">. The appointment and representation is free of charge. </w:t>
      </w:r>
    </w:p>
    <w:p w:rsidR="00200317" w:rsidRDefault="00F84651" w:rsidP="00571F56">
      <w:pPr>
        <w:pStyle w:val="BodyText"/>
      </w:pPr>
      <w:r>
        <w:t xml:space="preserve">The provision applies in all jurisdictions in the area of </w:t>
      </w:r>
      <w:r w:rsidRPr="001E378A">
        <w:rPr>
          <w:b/>
        </w:rPr>
        <w:t>asylum</w:t>
      </w:r>
      <w:r>
        <w:t xml:space="preserve">, and in all </w:t>
      </w:r>
      <w:r w:rsidR="00200317">
        <w:t xml:space="preserve">jurisdictions </w:t>
      </w:r>
      <w:r>
        <w:t xml:space="preserve">except two </w:t>
      </w:r>
      <w:r w:rsidR="00200317">
        <w:t>(IE and MT) in</w:t>
      </w:r>
      <w:r>
        <w:t xml:space="preserve"> </w:t>
      </w:r>
      <w:r w:rsidR="00200317">
        <w:t xml:space="preserve">the area of </w:t>
      </w:r>
      <w:r w:rsidRPr="001E378A">
        <w:rPr>
          <w:b/>
        </w:rPr>
        <w:t>migration</w:t>
      </w:r>
      <w:r>
        <w:t>.</w:t>
      </w:r>
    </w:p>
    <w:p w:rsidR="004F7B82" w:rsidRDefault="00DC002D" w:rsidP="00571F56">
      <w:pPr>
        <w:pStyle w:val="BodyText"/>
      </w:pPr>
      <w:r>
        <w:t>T</w:t>
      </w:r>
      <w:r w:rsidR="004F7B82">
        <w:t xml:space="preserve">he provision applies most frequently to child </w:t>
      </w:r>
      <w:r w:rsidR="004F7B82" w:rsidRPr="004F7B82">
        <w:rPr>
          <w:b/>
        </w:rPr>
        <w:t>plaintiffs and defendants</w:t>
      </w:r>
      <w:r w:rsidR="004F7B82">
        <w:t xml:space="preserve"> (30 jurisdictions and 29 jurisdictions, respectively), and less frequently to children as </w:t>
      </w:r>
      <w:r w:rsidR="004F7B82" w:rsidRPr="004F7B82">
        <w:rPr>
          <w:b/>
        </w:rPr>
        <w:t>subjects</w:t>
      </w:r>
      <w:r w:rsidR="004F7B82">
        <w:t xml:space="preserve"> (19 jurisdictions) and </w:t>
      </w:r>
      <w:r w:rsidR="004F7B82" w:rsidRPr="004F7B82">
        <w:rPr>
          <w:b/>
        </w:rPr>
        <w:t>witnesses</w:t>
      </w:r>
      <w:r w:rsidR="004F7B82">
        <w:t xml:space="preserve"> (16 jur</w:t>
      </w:r>
      <w:r w:rsidR="00FE1C7F">
        <w:t>i</w:t>
      </w:r>
      <w:r w:rsidR="004F7B82">
        <w:t xml:space="preserve">sdictions). </w:t>
      </w:r>
    </w:p>
    <w:p w:rsidR="00F84651" w:rsidRDefault="00200317" w:rsidP="00571F56">
      <w:pPr>
        <w:pStyle w:val="BodyText"/>
      </w:pPr>
      <w:r>
        <w:t xml:space="preserve">In </w:t>
      </w:r>
      <w:r w:rsidR="0040326B">
        <w:t xml:space="preserve">seven </w:t>
      </w:r>
      <w:r w:rsidR="004A6D3E">
        <w:t>jurisdictions</w:t>
      </w:r>
      <w:r>
        <w:t xml:space="preserve"> (</w:t>
      </w:r>
      <w:r w:rsidR="0040326B">
        <w:t xml:space="preserve">BE, </w:t>
      </w:r>
      <w:r>
        <w:t xml:space="preserve">CY, EE, IE, IT, LU, </w:t>
      </w:r>
      <w:r w:rsidR="00CD7610">
        <w:t>UK-S</w:t>
      </w:r>
      <w:r>
        <w:t xml:space="preserve">) the provision applies to unaccompanied or separated children in </w:t>
      </w:r>
      <w:r w:rsidR="004F7B82">
        <w:t>all four roles</w:t>
      </w:r>
      <w:r>
        <w:t xml:space="preserve">. </w:t>
      </w:r>
      <w:r w:rsidR="0040326B">
        <w:t xml:space="preserve">In seven </w:t>
      </w:r>
      <w:r w:rsidR="004F7B82">
        <w:t xml:space="preserve">other </w:t>
      </w:r>
      <w:r>
        <w:t>MS (</w:t>
      </w:r>
      <w:r w:rsidR="0040326B">
        <w:t xml:space="preserve">AT, </w:t>
      </w:r>
      <w:r>
        <w:t>DK, ES, RO, SE, SK, SI), the provision applies to unaccompanied or separated children in the role of defendants, plaintiffs a</w:t>
      </w:r>
      <w:r w:rsidR="0040326B">
        <w:t>nd witnesses; and in another seven</w:t>
      </w:r>
      <w:r>
        <w:t xml:space="preserve"> jurisdictions, the provision applies to child plaintiffs and defendants only (</w:t>
      </w:r>
      <w:r w:rsidR="0040326B">
        <w:t>CZ, DE, EL, LT, LV, UK-E&amp;W, UK-NI); in five MS (BG, FR, HR, MT, PL) the provision applies to plaintiffs, defendants and subjects; and in NL, the provision applies to plaintiffs and subjects only.</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E83712" w:rsidTr="004017DA">
        <w:tc>
          <w:tcPr>
            <w:tcW w:w="8222" w:type="dxa"/>
            <w:shd w:val="clear" w:color="auto" w:fill="CDEBFF"/>
          </w:tcPr>
          <w:p w:rsidR="00E83712" w:rsidRPr="00E83712" w:rsidRDefault="00E83712" w:rsidP="00E83712">
            <w:pPr>
              <w:pStyle w:val="TableText"/>
              <w:rPr>
                <w:rFonts w:ascii="Calibri" w:hAnsi="Calibri"/>
                <w:b/>
                <w:color w:val="0067AC"/>
                <w:sz w:val="26"/>
                <w:szCs w:val="26"/>
              </w:rPr>
            </w:pPr>
            <w:r w:rsidRPr="00E83712">
              <w:rPr>
                <w:rFonts w:ascii="Calibri" w:hAnsi="Calibri"/>
                <w:b/>
                <w:color w:val="0067AC"/>
                <w:sz w:val="26"/>
                <w:szCs w:val="26"/>
              </w:rPr>
              <w:t>Right to legal counsel, legal assistance and representation</w:t>
            </w:r>
          </w:p>
          <w:p w:rsidR="00E83712" w:rsidRDefault="00E83712" w:rsidP="00E83712">
            <w:pPr>
              <w:pStyle w:val="Bullet1"/>
            </w:pPr>
            <w:r>
              <w:t xml:space="preserve">Member States have adopted a variety of statutory/policy provisions to ensure that a child has access to legal counsel, to legal assistance and in general to be represented, whether by a qualified lawyer or by another appropriate adult, in civil and administrative judicial proceedings. </w:t>
            </w:r>
          </w:p>
          <w:p w:rsidR="00E83712" w:rsidRDefault="00E83712" w:rsidP="00E83712">
            <w:pPr>
              <w:pStyle w:val="Bullet1"/>
            </w:pPr>
            <w:r>
              <w:t>In 24 jurisdictions, where there are potential conflicts of interest between the child and parents, children have the statutory right to counsel and representation in their own name. The right most frequently applies in the area of family and placement in care. The right applies most frequently to child plaintiffs and defendants.</w:t>
            </w:r>
          </w:p>
          <w:p w:rsidR="00E83712" w:rsidRDefault="00E83712" w:rsidP="00E83712">
            <w:pPr>
              <w:pStyle w:val="Bullet1"/>
            </w:pPr>
            <w:r>
              <w:t>The child’s right to free legal aid is enshrined in all jurisdictions except CZ. The right applies most frequently in the area of asylum, migration, family and placement in care.</w:t>
            </w:r>
          </w:p>
          <w:p w:rsidR="00E83712" w:rsidRPr="00E83712" w:rsidRDefault="00E83712" w:rsidP="00E83712">
            <w:pPr>
              <w:pStyle w:val="Bullet1"/>
            </w:pPr>
            <w:r>
              <w:t>In all jurisdictions a guardian or advisor must be appointed to represent unaccompanied and separated children in asylum and migration cases. The appointment and representation is free of charge. The provision applies most frequently to child plaintiffs and defendants (30 jurisdictions and 29 jurisdictions, respectively), and in the majority of jurisdictions to children as subjects and witnesses.</w:t>
            </w:r>
          </w:p>
        </w:tc>
      </w:tr>
    </w:tbl>
    <w:p w:rsidR="00D734A5" w:rsidRDefault="0091781B" w:rsidP="00064542">
      <w:pPr>
        <w:pStyle w:val="Heading2"/>
      </w:pPr>
      <w:bookmarkStart w:id="218" w:name="_Toc406590160"/>
      <w:bookmarkStart w:id="219" w:name="_Toc408908737"/>
      <w:r>
        <w:t>Access to and facilitating a</w:t>
      </w:r>
      <w:r w:rsidR="00D734A5" w:rsidRPr="00D734A5">
        <w:t>lternatives to judicial proceedings</w:t>
      </w:r>
      <w:r>
        <w:t xml:space="preserve"> for children</w:t>
      </w:r>
      <w:bookmarkEnd w:id="218"/>
      <w:bookmarkEnd w:id="219"/>
    </w:p>
    <w:p w:rsidR="00F91B4A" w:rsidRDefault="001C773E" w:rsidP="00E83712">
      <w:pPr>
        <w:pStyle w:val="BodyText"/>
      </w:pPr>
      <w:r>
        <w:t>Alternatives to formal judicial proceedings, hereinafter referred to as alternative dispute resolution (ADR)</w:t>
      </w:r>
      <w:r w:rsidR="0080077F">
        <w:t xml:space="preserve"> comprise </w:t>
      </w:r>
      <w:r w:rsidR="0080077F" w:rsidRPr="0080077F">
        <w:rPr>
          <w:lang w:val="en"/>
        </w:rPr>
        <w:t xml:space="preserve">any means of settling disputes outside of the courtroom. </w:t>
      </w:r>
      <w:r w:rsidR="0080077F">
        <w:rPr>
          <w:lang w:val="en"/>
        </w:rPr>
        <w:t>In civil and admini</w:t>
      </w:r>
      <w:r w:rsidR="0051500A">
        <w:rPr>
          <w:lang w:val="en"/>
        </w:rPr>
        <w:t>s</w:t>
      </w:r>
      <w:r w:rsidR="0080077F">
        <w:rPr>
          <w:lang w:val="en"/>
        </w:rPr>
        <w:t xml:space="preserve">trative justice, </w:t>
      </w:r>
      <w:r w:rsidR="0080077F" w:rsidRPr="0080077F">
        <w:rPr>
          <w:lang w:val="en"/>
        </w:rPr>
        <w:t>ADR typically includes early negotiation, conciliation</w:t>
      </w:r>
      <w:r w:rsidR="009228CE">
        <w:rPr>
          <w:lang w:val="en"/>
        </w:rPr>
        <w:t xml:space="preserve">, </w:t>
      </w:r>
      <w:r w:rsidR="0080077F" w:rsidRPr="0080077F">
        <w:rPr>
          <w:lang w:val="en"/>
        </w:rPr>
        <w:t>mediation</w:t>
      </w:r>
      <w:r w:rsidR="009228CE">
        <w:rPr>
          <w:lang w:val="en"/>
        </w:rPr>
        <w:t xml:space="preserve"> and arbitration</w:t>
      </w:r>
      <w:r w:rsidR="0080077F">
        <w:rPr>
          <w:lang w:val="en"/>
        </w:rPr>
        <w:t xml:space="preserve">. </w:t>
      </w:r>
    </w:p>
    <w:p w:rsidR="0080077F" w:rsidRDefault="00F91B4A" w:rsidP="00E83712">
      <w:pPr>
        <w:pStyle w:val="BodyText"/>
      </w:pPr>
      <w:r>
        <w:t xml:space="preserve">The purpose of ADR is to </w:t>
      </w:r>
      <w:r w:rsidR="00CC0B00">
        <w:t>facilitate</w:t>
      </w:r>
      <w:r>
        <w:t xml:space="preserve"> the resolution of conflicts between parties </w:t>
      </w:r>
      <w:r w:rsidR="0051500A">
        <w:t>without resorting to litigation</w:t>
      </w:r>
      <w:r w:rsidR="0080077F">
        <w:t xml:space="preserve">. ADR aims to work out an agreement or settlement that both parties accept or reject. As a result, it </w:t>
      </w:r>
      <w:r w:rsidR="0051500A">
        <w:t xml:space="preserve">may </w:t>
      </w:r>
      <w:r w:rsidR="0080077F">
        <w:t xml:space="preserve">result in </w:t>
      </w:r>
      <w:r w:rsidR="0051500A">
        <w:t xml:space="preserve">a </w:t>
      </w:r>
      <w:r w:rsidR="0080077F">
        <w:t xml:space="preserve">more consensual process of resolving disputes than </w:t>
      </w:r>
      <w:r w:rsidR="0051500A">
        <w:t>formal judicial proceedings</w:t>
      </w:r>
      <w:r w:rsidR="0080077F">
        <w:t>.</w:t>
      </w:r>
      <w:r>
        <w:t xml:space="preserve"> However, </w:t>
      </w:r>
      <w:r w:rsidR="0080077F">
        <w:t xml:space="preserve">as a result of the less formal procedures involved, </w:t>
      </w:r>
      <w:r>
        <w:t>c</w:t>
      </w:r>
      <w:r w:rsidR="00CF3C76">
        <w:t xml:space="preserve">hildren involved in </w:t>
      </w:r>
      <w:r w:rsidR="0051500A">
        <w:t>ADR</w:t>
      </w:r>
      <w:r w:rsidR="0080077F">
        <w:t xml:space="preserve"> </w:t>
      </w:r>
      <w:r w:rsidR="0080077F" w:rsidRPr="0027783C">
        <w:rPr>
          <w:b/>
        </w:rPr>
        <w:t>may not</w:t>
      </w:r>
      <w:r w:rsidR="00CF3C76" w:rsidRPr="0027783C">
        <w:rPr>
          <w:b/>
        </w:rPr>
        <w:t xml:space="preserve"> always </w:t>
      </w:r>
      <w:r w:rsidR="0051500A" w:rsidRPr="0027783C">
        <w:rPr>
          <w:b/>
        </w:rPr>
        <w:t>enjoy the same rights</w:t>
      </w:r>
      <w:r w:rsidR="0051500A">
        <w:t xml:space="preserve"> </w:t>
      </w:r>
      <w:r>
        <w:t xml:space="preserve">that they would if they were involved in judicial proceedings. </w:t>
      </w:r>
    </w:p>
    <w:p w:rsidR="0092125F" w:rsidRDefault="0092125F" w:rsidP="00D734A5">
      <w:pPr>
        <w:pStyle w:val="BodyText"/>
        <w:rPr>
          <w:sz w:val="22"/>
          <w:szCs w:val="22"/>
        </w:rPr>
      </w:pPr>
      <w:r>
        <w:rPr>
          <w:sz w:val="22"/>
          <w:szCs w:val="22"/>
        </w:rPr>
        <w:t xml:space="preserve">The following </w:t>
      </w:r>
      <w:r w:rsidR="00B9588B">
        <w:rPr>
          <w:sz w:val="22"/>
          <w:szCs w:val="22"/>
        </w:rPr>
        <w:t xml:space="preserve">rights are </w:t>
      </w:r>
      <w:r>
        <w:rPr>
          <w:sz w:val="22"/>
          <w:szCs w:val="22"/>
        </w:rPr>
        <w:t>considered</w:t>
      </w:r>
      <w:r w:rsidR="00B9588B">
        <w:rPr>
          <w:sz w:val="22"/>
          <w:szCs w:val="22"/>
        </w:rPr>
        <w:t xml:space="preserve"> in this sub-section:</w:t>
      </w:r>
    </w:p>
    <w:p w:rsidR="0092125F" w:rsidRPr="00B9588B" w:rsidRDefault="00B9588B" w:rsidP="00E83712">
      <w:pPr>
        <w:pStyle w:val="BTBullet1"/>
      </w:pPr>
      <w:r w:rsidRPr="00B9588B">
        <w:t>S</w:t>
      </w:r>
      <w:r w:rsidR="0092125F" w:rsidRPr="00B9588B">
        <w:t>tatutory provision on the right of children to have recourse to ADR</w:t>
      </w:r>
      <w:r>
        <w:t>;</w:t>
      </w:r>
    </w:p>
    <w:p w:rsidR="0092125F" w:rsidRPr="00B9588B" w:rsidRDefault="0092125F" w:rsidP="00E83712">
      <w:pPr>
        <w:pStyle w:val="BTBullet1"/>
      </w:pPr>
      <w:r w:rsidRPr="00B9588B">
        <w:t>Mechanisms to inform children about the possibility of having recourse to ADR</w:t>
      </w:r>
      <w:r w:rsidR="0012075B">
        <w:t>;</w:t>
      </w:r>
    </w:p>
    <w:p w:rsidR="0092125F" w:rsidRPr="00B9588B" w:rsidRDefault="0092125F" w:rsidP="00E83712">
      <w:pPr>
        <w:pStyle w:val="BTBullet1"/>
      </w:pPr>
      <w:r w:rsidRPr="00B9588B">
        <w:t>Possibility for children to initiate ADR in their own right</w:t>
      </w:r>
      <w:r w:rsidR="0012075B">
        <w:t>;</w:t>
      </w:r>
    </w:p>
    <w:p w:rsidR="0092125F" w:rsidRPr="00B9588B" w:rsidRDefault="0092125F" w:rsidP="00E83712">
      <w:pPr>
        <w:pStyle w:val="BTBullet1"/>
      </w:pPr>
      <w:r w:rsidRPr="00B9588B">
        <w:t>Right of children to be heard while accessing and during ADR</w:t>
      </w:r>
      <w:r w:rsidR="0012075B">
        <w:t>;</w:t>
      </w:r>
    </w:p>
    <w:p w:rsidR="0092125F" w:rsidRPr="00B9588B" w:rsidRDefault="005553B5" w:rsidP="00E83712">
      <w:pPr>
        <w:pStyle w:val="BTBullet1"/>
      </w:pPr>
      <w:r w:rsidRPr="00B9588B">
        <w:t>Right of children to legal redress in the context of ADR</w:t>
      </w:r>
      <w:r w:rsidR="0012075B">
        <w:t>; and,</w:t>
      </w:r>
    </w:p>
    <w:p w:rsidR="0092125F" w:rsidRPr="00B9588B" w:rsidRDefault="0092125F" w:rsidP="00E83712">
      <w:pPr>
        <w:pStyle w:val="BTBullet1"/>
      </w:pPr>
      <w:r w:rsidRPr="00B9588B">
        <w:t>Right of children to obtain legal advice and other assistance about the use of ADR</w:t>
      </w:r>
      <w:r w:rsidR="0012075B">
        <w:t>;</w:t>
      </w:r>
    </w:p>
    <w:p w:rsidR="00CB3C84" w:rsidRPr="004E39FE" w:rsidRDefault="00CB3C84" w:rsidP="00E83712">
      <w:pPr>
        <w:pStyle w:val="BTBullet1"/>
      </w:pPr>
      <w:r w:rsidRPr="004E39FE">
        <w:t xml:space="preserve">A </w:t>
      </w:r>
      <w:r w:rsidRPr="004E39FE">
        <w:rPr>
          <w:b/>
        </w:rPr>
        <w:t>statutory provision on the right of children to have recourse to ADR</w:t>
      </w:r>
      <w:r w:rsidRPr="004E39FE">
        <w:rPr>
          <w:i/>
        </w:rPr>
        <w:t xml:space="preserve"> </w:t>
      </w:r>
      <w:r w:rsidRPr="004E39FE">
        <w:t>directly or through the child’s legal representative exists in 29 jurisdictions.</w:t>
      </w:r>
      <w:r w:rsidRPr="004E39FE">
        <w:rPr>
          <w:rStyle w:val="FootnoteReference"/>
          <w:sz w:val="22"/>
          <w:szCs w:val="22"/>
        </w:rPr>
        <w:footnoteReference w:id="26"/>
      </w:r>
      <w:r w:rsidRPr="004E39FE">
        <w:t xml:space="preserve"> The exception is PT where such a right does not exist. In most jurisdictions where the right to have recourse to ADR exists, it only applies in </w:t>
      </w:r>
      <w:r w:rsidRPr="004E39FE">
        <w:rPr>
          <w:b/>
        </w:rPr>
        <w:t>family and/or employment proceedings</w:t>
      </w:r>
      <w:r w:rsidRPr="004E39FE">
        <w:t xml:space="preserve">. The exception is PL, where recourse to ADR applies to children in the areas of family law, employment, placement in care, administrative sanctions and offences committed by children below MACR. In SE, recourse to ADR only applies in employment law, and in </w:t>
      </w:r>
      <w:r w:rsidR="00CD7610">
        <w:t>UK-S</w:t>
      </w:r>
      <w:r w:rsidRPr="004E39FE">
        <w:t>, it only applies in family law.</w:t>
      </w:r>
    </w:p>
    <w:p w:rsidR="00CB3C84" w:rsidRPr="004E39FE" w:rsidRDefault="00CB3C84" w:rsidP="00E83712">
      <w:pPr>
        <w:pStyle w:val="BTBullet1"/>
      </w:pPr>
      <w:r w:rsidRPr="004E39FE">
        <w:t xml:space="preserve">In all 29 jurisdictions where recourse by children to ADR exists, it applies to children as </w:t>
      </w:r>
      <w:r w:rsidRPr="004E39FE">
        <w:rPr>
          <w:b/>
        </w:rPr>
        <w:t>plaintiffs and defendants</w:t>
      </w:r>
      <w:r w:rsidRPr="004E39FE">
        <w:t xml:space="preserve">. Recourse to ADR applies to children as </w:t>
      </w:r>
      <w:r w:rsidRPr="004E39FE">
        <w:rPr>
          <w:b/>
        </w:rPr>
        <w:t>subjects</w:t>
      </w:r>
      <w:r w:rsidRPr="004E39FE">
        <w:t xml:space="preserve"> in seven MS (EE, FR, EL, IT, LU), and to children as </w:t>
      </w:r>
      <w:r w:rsidRPr="004E39FE">
        <w:rPr>
          <w:b/>
        </w:rPr>
        <w:t>witnesses</w:t>
      </w:r>
      <w:r w:rsidRPr="004E39FE">
        <w:t xml:space="preserve"> in five MS (LU, NL, PL and </w:t>
      </w:r>
      <w:r w:rsidR="00CD7610">
        <w:t>UK-S</w:t>
      </w:r>
      <w:r w:rsidRPr="004E39FE">
        <w:t>).</w:t>
      </w:r>
    </w:p>
    <w:p w:rsidR="00CB3C84" w:rsidRPr="004E39FE" w:rsidRDefault="00CB3C84" w:rsidP="00E83712">
      <w:pPr>
        <w:pStyle w:val="BodyText"/>
      </w:pPr>
      <w:r w:rsidRPr="004E39FE">
        <w:rPr>
          <w:b/>
          <w:color w:val="0070C0"/>
        </w:rPr>
        <w:fldChar w:fldCharType="begin"/>
      </w:r>
      <w:r w:rsidRPr="004E39FE">
        <w:rPr>
          <w:b/>
          <w:color w:val="0070C0"/>
        </w:rPr>
        <w:instrText xml:space="preserve"> REF _Ref395879541 \r \h  \* MERGEFORMAT </w:instrText>
      </w:r>
      <w:r w:rsidRPr="004E39FE">
        <w:rPr>
          <w:b/>
          <w:color w:val="0070C0"/>
        </w:rPr>
      </w:r>
      <w:r w:rsidRPr="004E39FE">
        <w:rPr>
          <w:b/>
          <w:color w:val="0070C0"/>
        </w:rPr>
        <w:fldChar w:fldCharType="separate"/>
      </w:r>
      <w:r w:rsidR="000223E8">
        <w:rPr>
          <w:b/>
          <w:color w:val="0070C0"/>
        </w:rPr>
        <w:t>Table A4.13</w:t>
      </w:r>
      <w:r w:rsidRPr="004E39FE">
        <w:rPr>
          <w:b/>
          <w:color w:val="0070C0"/>
        </w:rPr>
        <w:fldChar w:fldCharType="end"/>
      </w:r>
      <w:r w:rsidRPr="004E39FE">
        <w:rPr>
          <w:color w:val="0070C0"/>
        </w:rPr>
        <w:t xml:space="preserve"> </w:t>
      </w:r>
      <w:r w:rsidRPr="004E39FE">
        <w:t>maps the coverage of this provision by area of law and by role of the child for all jurisdictions.</w:t>
      </w:r>
      <w:r w:rsidRPr="004E39FE">
        <w:rPr>
          <w:rStyle w:val="FootnoteReference"/>
          <w:sz w:val="22"/>
          <w:szCs w:val="22"/>
        </w:rPr>
        <w:footnoteReference w:id="27"/>
      </w:r>
    </w:p>
    <w:p w:rsidR="0039108B" w:rsidRPr="00864785" w:rsidRDefault="005216EB" w:rsidP="00E83712">
      <w:pPr>
        <w:pStyle w:val="Heading4NoNumb"/>
        <w:ind w:left="851"/>
      </w:pPr>
      <w:r>
        <w:t>Mechanisms to inform children</w:t>
      </w:r>
      <w:r w:rsidR="0039108B" w:rsidRPr="0039108B">
        <w:t xml:space="preserve"> about the possibility of having recourse to ADR</w:t>
      </w:r>
      <w:r w:rsidR="00864785">
        <w:t xml:space="preserve"> </w:t>
      </w:r>
      <w:r w:rsidR="00864785" w:rsidRPr="00153B7C">
        <w:t>(CivAdm161)</w:t>
      </w:r>
    </w:p>
    <w:p w:rsidR="00A42AF7" w:rsidRDefault="00B20822" w:rsidP="00E83712">
      <w:pPr>
        <w:pStyle w:val="BodyText"/>
      </w:pPr>
      <w:r>
        <w:t xml:space="preserve">Overall, mediation does not seem easily accessible to children in most jurisdictions.  </w:t>
      </w:r>
      <w:r w:rsidR="00E06E70">
        <w:t>In 13</w:t>
      </w:r>
      <w:r w:rsidR="00E047C1">
        <w:t xml:space="preserve"> </w:t>
      </w:r>
      <w:r w:rsidR="00A42AF7">
        <w:t xml:space="preserve">of the </w:t>
      </w:r>
      <w:r w:rsidR="00650FE8">
        <w:t>29</w:t>
      </w:r>
      <w:r w:rsidR="00E047C1">
        <w:t xml:space="preserve"> jurisdictions where </w:t>
      </w:r>
      <w:r w:rsidR="00A42AF7">
        <w:t xml:space="preserve">children have a right </w:t>
      </w:r>
      <w:r w:rsidR="00650FE8">
        <w:t xml:space="preserve">(directly or through their legal representative) </w:t>
      </w:r>
      <w:r w:rsidR="00A42AF7">
        <w:t xml:space="preserve">to have recourse to </w:t>
      </w:r>
      <w:r w:rsidR="00E047C1">
        <w:t xml:space="preserve">ADR </w:t>
      </w:r>
      <w:r w:rsidR="00F00B3C">
        <w:t>(BE, HR, CZ, EE, FI, FR, EL, HU, LU, PL, RO, SI, SE)</w:t>
      </w:r>
      <w:r w:rsidR="00E047C1">
        <w:t xml:space="preserve">, </w:t>
      </w:r>
      <w:r w:rsidR="0083512D">
        <w:t xml:space="preserve">mechanisms exist for the competent authorities to </w:t>
      </w:r>
      <w:r w:rsidR="0083512D" w:rsidRPr="0083512D">
        <w:rPr>
          <w:b/>
        </w:rPr>
        <w:t xml:space="preserve">inform </w:t>
      </w:r>
      <w:r w:rsidR="00E047C1" w:rsidRPr="0083512D">
        <w:rPr>
          <w:b/>
        </w:rPr>
        <w:t>children</w:t>
      </w:r>
      <w:r w:rsidR="00E047C1">
        <w:t xml:space="preserve"> </w:t>
      </w:r>
      <w:r w:rsidR="0083512D">
        <w:t>(either directly or through their legal representative) about the possibility of having recourse to this procedure</w:t>
      </w:r>
      <w:r w:rsidR="00E047C1">
        <w:t xml:space="preserve">. </w:t>
      </w:r>
    </w:p>
    <w:p w:rsidR="0083512D" w:rsidRDefault="002149B2" w:rsidP="00E83712">
      <w:pPr>
        <w:pStyle w:val="BodyText"/>
      </w:pPr>
      <w:r>
        <w:t xml:space="preserve">However, in the majority of cases, these mechanisms do not create an obligation on the part of the competent authorities to inform children of this possibility. As a result, even where such mechanisms exist, </w:t>
      </w:r>
      <w:r w:rsidRPr="002149B2">
        <w:rPr>
          <w:b/>
        </w:rPr>
        <w:t>children</w:t>
      </w:r>
      <w:r w:rsidR="00235F93">
        <w:rPr>
          <w:b/>
        </w:rPr>
        <w:t xml:space="preserve"> may not be aware of their right to</w:t>
      </w:r>
      <w:r w:rsidRPr="002149B2">
        <w:rPr>
          <w:b/>
        </w:rPr>
        <w:t xml:space="preserve"> have recourse to ADR</w:t>
      </w:r>
      <w:r>
        <w:t>. Moreover, i</w:t>
      </w:r>
      <w:r w:rsidR="00A42AF7">
        <w:t>n 11</w:t>
      </w:r>
      <w:r w:rsidR="002A74D7">
        <w:t xml:space="preserve"> </w:t>
      </w:r>
      <w:r w:rsidR="004A6D3E">
        <w:t>jurisdictions</w:t>
      </w:r>
      <w:r w:rsidR="002A74D7">
        <w:t xml:space="preserve"> where children </w:t>
      </w:r>
      <w:r>
        <w:t xml:space="preserve">can </w:t>
      </w:r>
      <w:r w:rsidR="002A74D7">
        <w:t>have recourse to ADR (</w:t>
      </w:r>
      <w:r w:rsidR="00A42AF7">
        <w:t xml:space="preserve">AT, </w:t>
      </w:r>
      <w:r w:rsidR="002A74D7">
        <w:t xml:space="preserve">BG, </w:t>
      </w:r>
      <w:r w:rsidR="00A42AF7">
        <w:t xml:space="preserve">DE, </w:t>
      </w:r>
      <w:r w:rsidR="002A74D7">
        <w:t>ES, IT, LV, LT, NL, UK-E&amp;W, UK-NI</w:t>
      </w:r>
      <w:r w:rsidR="002A74D7">
        <w:rPr>
          <w:rStyle w:val="FootnoteReference"/>
          <w:sz w:val="22"/>
          <w:szCs w:val="22"/>
        </w:rPr>
        <w:footnoteReference w:id="28"/>
      </w:r>
      <w:r w:rsidR="002A74D7">
        <w:t xml:space="preserve"> and </w:t>
      </w:r>
      <w:r w:rsidR="00CD7610">
        <w:t>UK-S</w:t>
      </w:r>
      <w:r w:rsidR="002A74D7">
        <w:t xml:space="preserve">), no mechanisms </w:t>
      </w:r>
      <w:r>
        <w:t>to inform chi</w:t>
      </w:r>
      <w:r w:rsidR="00A42AF7">
        <w:t>ldren of this possibility exist</w:t>
      </w:r>
      <w:r w:rsidR="002A74D7">
        <w:t>.</w:t>
      </w:r>
      <w:r>
        <w:t xml:space="preserve"> </w:t>
      </w:r>
    </w:p>
    <w:p w:rsidR="0039108B" w:rsidRDefault="0026058D" w:rsidP="00E83712">
      <w:pPr>
        <w:pStyle w:val="BodyText"/>
      </w:pPr>
      <w:r>
        <w:t>In some MS (</w:t>
      </w:r>
      <w:r w:rsidR="0083512D">
        <w:t xml:space="preserve">e.g. </w:t>
      </w:r>
      <w:r>
        <w:t>BE</w:t>
      </w:r>
      <w:r>
        <w:rPr>
          <w:rStyle w:val="FootnoteReference"/>
          <w:sz w:val="22"/>
          <w:szCs w:val="22"/>
        </w:rPr>
        <w:footnoteReference w:id="29"/>
      </w:r>
      <w:r w:rsidR="005A04A1">
        <w:t xml:space="preserve">, </w:t>
      </w:r>
      <w:r>
        <w:t xml:space="preserve">HR, </w:t>
      </w:r>
      <w:r w:rsidR="005A04A1">
        <w:t>LU</w:t>
      </w:r>
      <w:r>
        <w:t xml:space="preserve">), the </w:t>
      </w:r>
      <w:r w:rsidRPr="0026058D">
        <w:t>judge has the obligation to inform the parties about the possibility of mediation</w:t>
      </w:r>
      <w:r>
        <w:t xml:space="preserve"> at the first hearing. In other MS</w:t>
      </w:r>
      <w:r w:rsidR="005A04A1">
        <w:t xml:space="preserve"> (</w:t>
      </w:r>
      <w:r w:rsidR="0083512D">
        <w:t xml:space="preserve">e.g. </w:t>
      </w:r>
      <w:r w:rsidR="005A04A1">
        <w:t>CZ, EL, FI, FR, SE)</w:t>
      </w:r>
      <w:r w:rsidR="00316477">
        <w:t xml:space="preserve">, </w:t>
      </w:r>
      <w:r w:rsidR="004E47A6">
        <w:t>judges have</w:t>
      </w:r>
      <w:r w:rsidR="00316477">
        <w:t xml:space="preserve"> the possibility of informing the parties about this alternative, but they are not obliged to do so</w:t>
      </w:r>
      <w:r w:rsidR="005A04A1">
        <w:t xml:space="preserve">. In </w:t>
      </w:r>
      <w:r>
        <w:t>EE, the obligation to inform the child lies with the guardian who is appointed to support the child during the proceedings</w:t>
      </w:r>
      <w:r w:rsidRPr="0026058D">
        <w:t>.</w:t>
      </w:r>
      <w:r w:rsidR="005A04A1">
        <w:t xml:space="preserve"> In PL, </w:t>
      </w:r>
      <w:r w:rsidR="005216EB">
        <w:t xml:space="preserve">there is no specific obligation to inform children of this possibility, but </w:t>
      </w:r>
      <w:r w:rsidR="005A04A1">
        <w:t xml:space="preserve">the Polish Mediation Centre organises awareness raising actions </w:t>
      </w:r>
      <w:r w:rsidR="005216EB">
        <w:t xml:space="preserve">in schools for children and teachers </w:t>
      </w:r>
      <w:r w:rsidR="005A04A1">
        <w:t xml:space="preserve">about mediation </w:t>
      </w:r>
      <w:r w:rsidR="005216EB">
        <w:t>in family and civil cases</w:t>
      </w:r>
      <w:r w:rsidR="005A04A1">
        <w:t>.</w:t>
      </w:r>
    </w:p>
    <w:p w:rsidR="00E206DB" w:rsidRDefault="002149B2" w:rsidP="00E83712">
      <w:pPr>
        <w:pStyle w:val="BodyText"/>
      </w:pPr>
      <w:r>
        <w:t>Where</w:t>
      </w:r>
      <w:r w:rsidR="007A449F">
        <w:t xml:space="preserve"> </w:t>
      </w:r>
      <w:r w:rsidR="007C229D">
        <w:t xml:space="preserve">mechanisms </w:t>
      </w:r>
      <w:r w:rsidR="007A449F">
        <w:t xml:space="preserve">exist </w:t>
      </w:r>
      <w:r w:rsidR="007C229D">
        <w:t xml:space="preserve">to </w:t>
      </w:r>
      <w:r w:rsidR="0083512D">
        <w:t xml:space="preserve">inform children about the possibility of having recourse </w:t>
      </w:r>
      <w:r w:rsidR="007C229D">
        <w:t xml:space="preserve">to ADR, </w:t>
      </w:r>
      <w:r>
        <w:t xml:space="preserve">these </w:t>
      </w:r>
      <w:r w:rsidR="00E06E70">
        <w:t xml:space="preserve">apply to child plaintiffs and defendants, but not </w:t>
      </w:r>
      <w:r>
        <w:t xml:space="preserve">always </w:t>
      </w:r>
      <w:r w:rsidR="007A449F">
        <w:t>in all of the relevant areas of law.</w:t>
      </w:r>
      <w:r w:rsidR="007C229D">
        <w:t xml:space="preserve"> </w:t>
      </w:r>
      <w:r w:rsidR="002A74D7">
        <w:t>In BE and LU, t</w:t>
      </w:r>
      <w:r w:rsidR="00E06E70">
        <w:t>he mechanisms to inform child plaintiffs and defendants</w:t>
      </w:r>
      <w:r w:rsidR="002A74D7">
        <w:t xml:space="preserve"> </w:t>
      </w:r>
      <w:r w:rsidR="007A449F">
        <w:t>only apply</w:t>
      </w:r>
      <w:r w:rsidR="002A74D7">
        <w:t xml:space="preserve"> in family cases, not in employment cases</w:t>
      </w:r>
      <w:r w:rsidR="00E06E70">
        <w:t>, even though child plaintiffs and defendants have recourse to ADR in the area of employment</w:t>
      </w:r>
      <w:r w:rsidR="002A74D7">
        <w:t xml:space="preserve">. In PL, the mechanisms </w:t>
      </w:r>
      <w:r w:rsidR="007A449F">
        <w:t xml:space="preserve">only apply </w:t>
      </w:r>
      <w:r w:rsidR="00864785">
        <w:t xml:space="preserve">to child plaintiffs and defendants </w:t>
      </w:r>
      <w:r w:rsidR="002A74D7">
        <w:t>in employment cases</w:t>
      </w:r>
      <w:r w:rsidR="00864785">
        <w:t>, even though children in these roles also have recourse to ADR in family cases</w:t>
      </w:r>
      <w:r w:rsidR="002A74D7">
        <w:t xml:space="preserve">. </w:t>
      </w:r>
    </w:p>
    <w:p w:rsidR="0083512D" w:rsidRDefault="007C229D" w:rsidP="00E83712">
      <w:pPr>
        <w:pStyle w:val="BodyText"/>
      </w:pPr>
      <w:r>
        <w:t xml:space="preserve">In EL, the mechanisms </w:t>
      </w:r>
      <w:r w:rsidR="002A74D7">
        <w:t xml:space="preserve">to inform children </w:t>
      </w:r>
      <w:r w:rsidR="007A449F">
        <w:t xml:space="preserve">do not apply to </w:t>
      </w:r>
      <w:r>
        <w:t>children involved as subjects of the proceedings</w:t>
      </w:r>
      <w:r w:rsidR="0083512D">
        <w:t xml:space="preserve"> </w:t>
      </w:r>
      <w:r>
        <w:t>(although these can have recourse to ADR</w:t>
      </w:r>
      <w:r w:rsidR="002A74D7">
        <w:t xml:space="preserve"> in family and employment proceedings</w:t>
      </w:r>
      <w:r>
        <w:t xml:space="preserve">). </w:t>
      </w:r>
      <w:r w:rsidR="002A74D7">
        <w:t xml:space="preserve">Likewise in PL, the mechanisms </w:t>
      </w:r>
      <w:r w:rsidR="002149B2">
        <w:t xml:space="preserve">do not apply </w:t>
      </w:r>
      <w:r w:rsidR="002A74D7">
        <w:t xml:space="preserve">in the case of child witnesses, even though these have recourse to ADR in a number of areas of law. </w:t>
      </w:r>
    </w:p>
    <w:p w:rsidR="005A04A1" w:rsidRPr="00016FAB" w:rsidRDefault="005A04A1" w:rsidP="00E83712">
      <w:pPr>
        <w:pStyle w:val="Heading4NoNumb"/>
        <w:ind w:firstLine="851"/>
      </w:pPr>
      <w:r w:rsidRPr="005A04A1">
        <w:t>Possibility for children to initiate ADR in their own right</w:t>
      </w:r>
      <w:r w:rsidR="00016FAB">
        <w:t xml:space="preserve"> (CivAdm163)</w:t>
      </w:r>
    </w:p>
    <w:p w:rsidR="005A04A1" w:rsidRDefault="004C7E16" w:rsidP="00E83712">
      <w:pPr>
        <w:pStyle w:val="BodyText"/>
      </w:pPr>
      <w:r>
        <w:t xml:space="preserve">In the majority of jurisdictions where </w:t>
      </w:r>
      <w:r w:rsidR="001C4FBF">
        <w:t xml:space="preserve">children have recourse to </w:t>
      </w:r>
      <w:r>
        <w:t xml:space="preserve">ADR, </w:t>
      </w:r>
      <w:r w:rsidR="001C4FBF">
        <w:t xml:space="preserve">the child concerned does </w:t>
      </w:r>
      <w:r>
        <w:t xml:space="preserve">not have the possibility of initiating ADR in </w:t>
      </w:r>
      <w:r w:rsidR="001C4FBF">
        <w:t>his or her</w:t>
      </w:r>
      <w:r>
        <w:t xml:space="preserve"> own right but rather </w:t>
      </w:r>
      <w:r w:rsidRPr="0027783C">
        <w:rPr>
          <w:b/>
        </w:rPr>
        <w:t>must act through their legal representative</w:t>
      </w:r>
      <w:r>
        <w:t>. In these jurisdictions, the minimum age for initiating ADR is 18.</w:t>
      </w:r>
      <w:r w:rsidR="00050135">
        <w:t xml:space="preserve"> </w:t>
      </w:r>
    </w:p>
    <w:p w:rsidR="004C7E16" w:rsidRDefault="004C7E16" w:rsidP="00E83712">
      <w:pPr>
        <w:pStyle w:val="BodyText"/>
      </w:pPr>
      <w:r>
        <w:t>There are three exceptions to this</w:t>
      </w:r>
      <w:r w:rsidR="008F200C">
        <w:t>:</w:t>
      </w:r>
      <w:r>
        <w:t xml:space="preserve"> in ES, children involved in employment cases (but not in family cases) can initiate ADR when they turn 14; in FI, children involved in employment cases (but not in family cases) can initiate ADR when they turn 15; and in RO, children involved in family or employment cases can initiate ADR when they turn 14, as long as they have the approval or assistance of a parent or guardian. </w:t>
      </w:r>
    </w:p>
    <w:p w:rsidR="0045019D" w:rsidRPr="00016FAB" w:rsidRDefault="0045019D" w:rsidP="00E83712">
      <w:pPr>
        <w:pStyle w:val="Heading4NoNumb"/>
        <w:ind w:firstLine="851"/>
      </w:pPr>
      <w:r w:rsidRPr="0045019D">
        <w:t>Right of children to be heard while accessing and during ADR</w:t>
      </w:r>
      <w:r w:rsidR="00016FAB">
        <w:t xml:space="preserve"> (CivAdm160)</w:t>
      </w:r>
    </w:p>
    <w:p w:rsidR="0045019D" w:rsidRDefault="0088125C" w:rsidP="00E83712">
      <w:pPr>
        <w:pStyle w:val="BodyText"/>
      </w:pPr>
      <w:r>
        <w:t>I</w:t>
      </w:r>
      <w:r w:rsidR="00650FE8">
        <w:t>n 12 out of the 29</w:t>
      </w:r>
      <w:r w:rsidR="00FF11DA">
        <w:t xml:space="preserve"> jurisdictions where children have recourse to ADR (AT, BE, CZ, EE, ES, FI, FR, EL, HU, PL, RO</w:t>
      </w:r>
      <w:r>
        <w:t>, SK</w:t>
      </w:r>
      <w:r w:rsidR="00FF11DA">
        <w:t xml:space="preserve">), there is a statutory provision on the </w:t>
      </w:r>
      <w:r w:rsidR="00FF11DA" w:rsidRPr="0027783C">
        <w:rPr>
          <w:b/>
        </w:rPr>
        <w:t>right of children to be heard</w:t>
      </w:r>
      <w:r w:rsidR="00FF11DA">
        <w:t xml:space="preserve"> while accessing and during ADR. </w:t>
      </w:r>
    </w:p>
    <w:p w:rsidR="00D20C46" w:rsidRDefault="0088125C" w:rsidP="00E83712">
      <w:pPr>
        <w:pStyle w:val="BodyText"/>
      </w:pPr>
      <w:r>
        <w:t>In these 12</w:t>
      </w:r>
      <w:r w:rsidR="001C4FBF">
        <w:t xml:space="preserve"> jurisdictions</w:t>
      </w:r>
      <w:r w:rsidR="00FF11DA">
        <w:t xml:space="preserve">, the right to be heard </w:t>
      </w:r>
      <w:r w:rsidR="001C4FBF">
        <w:t>while accessing and during</w:t>
      </w:r>
      <w:r w:rsidR="00FF11DA">
        <w:t xml:space="preserve"> ADR </w:t>
      </w:r>
      <w:r w:rsidR="001C4FBF">
        <w:t xml:space="preserve">applies </w:t>
      </w:r>
      <w:r w:rsidR="001C4FBF" w:rsidRPr="0027783C">
        <w:rPr>
          <w:b/>
        </w:rPr>
        <w:t xml:space="preserve">in all </w:t>
      </w:r>
      <w:r w:rsidR="00D20C46">
        <w:rPr>
          <w:b/>
        </w:rPr>
        <w:t xml:space="preserve">of the relevant </w:t>
      </w:r>
      <w:r w:rsidR="001C4FBF" w:rsidRPr="0027783C">
        <w:rPr>
          <w:b/>
        </w:rPr>
        <w:t>areas of law</w:t>
      </w:r>
      <w:r w:rsidR="00D20C46">
        <w:t xml:space="preserve"> i.e. in </w:t>
      </w:r>
      <w:r w:rsidR="00D20C46" w:rsidRPr="0026121D">
        <w:rPr>
          <w:b/>
        </w:rPr>
        <w:t>family and/or employment proceedings</w:t>
      </w:r>
      <w:r w:rsidR="00D20C46">
        <w:t xml:space="preserve">, with the exception of PL, where recourse to ADR applies to children in the areas of family law, employment, administrative sanctions and offences committed by children below the age of criminal responsibility. </w:t>
      </w:r>
    </w:p>
    <w:p w:rsidR="00FF11DA" w:rsidRDefault="00D20C46" w:rsidP="00E83712">
      <w:pPr>
        <w:pStyle w:val="BodyText"/>
      </w:pPr>
      <w:r>
        <w:t xml:space="preserve">The right </w:t>
      </w:r>
      <w:r w:rsidR="00E95AF0">
        <w:t>of children to be heard while accessing and during ADR applies most frequently to chi</w:t>
      </w:r>
      <w:r w:rsidR="0088125C">
        <w:t>ld plaintiffs and defendants (12</w:t>
      </w:r>
      <w:r w:rsidR="00E95AF0">
        <w:t xml:space="preserve"> jurisdictions each), subjects (6 jurisdictions) and then witnesses (</w:t>
      </w:r>
      <w:r w:rsidR="00CC7A1B">
        <w:t xml:space="preserve">five </w:t>
      </w:r>
      <w:r w:rsidR="00E95AF0">
        <w:t>jurisdictions).</w:t>
      </w:r>
    </w:p>
    <w:p w:rsidR="002502F9" w:rsidRPr="00153723" w:rsidRDefault="002502F9" w:rsidP="00E83712">
      <w:pPr>
        <w:pStyle w:val="BodyText"/>
      </w:pPr>
      <w:r w:rsidRPr="00955E90">
        <w:rPr>
          <w:b/>
          <w:i/>
        </w:rPr>
        <w:t>Right of children to legal redress in the context of ADR</w:t>
      </w:r>
      <w:r w:rsidR="00153723">
        <w:rPr>
          <w:b/>
          <w:i/>
        </w:rPr>
        <w:t xml:space="preserve"> </w:t>
      </w:r>
      <w:r w:rsidR="00153723">
        <w:t>(</w:t>
      </w:r>
      <w:r w:rsidR="005553B5">
        <w:t>CivAdm</w:t>
      </w:r>
      <w:r w:rsidR="00153723">
        <w:t>164)</w:t>
      </w:r>
    </w:p>
    <w:p w:rsidR="00D52A2A" w:rsidRDefault="00D52A2A" w:rsidP="00E83712">
      <w:pPr>
        <w:pStyle w:val="BodyText"/>
      </w:pPr>
      <w:r>
        <w:t xml:space="preserve">In </w:t>
      </w:r>
      <w:r w:rsidR="00650FE8">
        <w:t>nine out of the 29</w:t>
      </w:r>
      <w:r w:rsidR="002502F9">
        <w:t xml:space="preserve"> jurisdictions where children have recourse to ADR</w:t>
      </w:r>
      <w:r>
        <w:t xml:space="preserve"> (BE, FR, LV, PL, RO, SI, </w:t>
      </w:r>
      <w:r w:rsidR="0088125C">
        <w:t xml:space="preserve">SK, </w:t>
      </w:r>
      <w:r>
        <w:t>UK-E&amp;W, UK-NI)</w:t>
      </w:r>
      <w:r w:rsidR="002502F9">
        <w:t xml:space="preserve">, there is a statutory provision on the </w:t>
      </w:r>
      <w:r w:rsidR="002502F9" w:rsidRPr="0027783C">
        <w:rPr>
          <w:b/>
        </w:rPr>
        <w:t>right to legal redress</w:t>
      </w:r>
      <w:r w:rsidR="002502F9">
        <w:t xml:space="preserve"> when </w:t>
      </w:r>
      <w:r w:rsidR="00A5469D">
        <w:t>children</w:t>
      </w:r>
      <w:r w:rsidR="002502F9">
        <w:t xml:space="preserve"> feel that that </w:t>
      </w:r>
      <w:r w:rsidR="002502F9" w:rsidRPr="002502F9">
        <w:t>their rights have been violated in the ADR</w:t>
      </w:r>
      <w:r w:rsidR="002502F9">
        <w:t xml:space="preserve"> procedure.</w:t>
      </w:r>
      <w:r>
        <w:t xml:space="preserve"> In all</w:t>
      </w:r>
      <w:r w:rsidR="003D05C6">
        <w:t xml:space="preserve"> cases, the right to legal re</w:t>
      </w:r>
      <w:r>
        <w:t>dress applies equally to children and adults, and in the case of children without procedural capacity to act,</w:t>
      </w:r>
      <w:r w:rsidR="003D05C6">
        <w:t xml:space="preserve"> the legal remedy</w:t>
      </w:r>
      <w:r>
        <w:t xml:space="preserve"> must be pursued through the legal representative. </w:t>
      </w:r>
    </w:p>
    <w:p w:rsidR="002502F9" w:rsidRDefault="00D52A2A" w:rsidP="00E83712">
      <w:pPr>
        <w:pStyle w:val="BodyText"/>
        <w:rPr>
          <w:b/>
        </w:rPr>
      </w:pPr>
      <w:r>
        <w:t xml:space="preserve">Where the right of children to legal address in the context of ADR exists, it applies </w:t>
      </w:r>
      <w:r w:rsidR="003D05C6" w:rsidRPr="0027783C">
        <w:rPr>
          <w:b/>
        </w:rPr>
        <w:t>in all areas of law</w:t>
      </w:r>
      <w:r w:rsidR="00542DB1">
        <w:t xml:space="preserve"> i.e. in </w:t>
      </w:r>
      <w:r w:rsidR="00542DB1" w:rsidRPr="0026121D">
        <w:rPr>
          <w:b/>
        </w:rPr>
        <w:t>family and/or employment proceedings</w:t>
      </w:r>
      <w:r w:rsidR="00542DB1">
        <w:t>, with the exception of PL, where recourse to ADR applies to children in the areas of family law, employment, administrative sanctions and offences committed by children below the age of criminal responsibility</w:t>
      </w:r>
      <w:r w:rsidR="003D05C6">
        <w:rPr>
          <w:b/>
        </w:rPr>
        <w:t>.</w:t>
      </w:r>
    </w:p>
    <w:p w:rsidR="00542DB1" w:rsidRPr="00542DB1" w:rsidRDefault="00542DB1" w:rsidP="00E83712">
      <w:pPr>
        <w:pStyle w:val="BodyText"/>
      </w:pPr>
      <w:r>
        <w:t>The right of children to legal redress in the context of ADR applies most frequently to plaintiffs and defendants (</w:t>
      </w:r>
      <w:r w:rsidR="0088125C">
        <w:t xml:space="preserve">nine </w:t>
      </w:r>
      <w:r>
        <w:t>jurisdictions each), and less frequently to witnesses and subjects (</w:t>
      </w:r>
      <w:r w:rsidR="00CC7A1B">
        <w:t xml:space="preserve">two </w:t>
      </w:r>
      <w:r>
        <w:t>jurisdictions each).</w:t>
      </w:r>
    </w:p>
    <w:p w:rsidR="00D52A2A" w:rsidRPr="00153723" w:rsidRDefault="00D52A2A" w:rsidP="00E83712">
      <w:pPr>
        <w:pStyle w:val="Heading4NoNumb"/>
        <w:ind w:left="851"/>
      </w:pPr>
      <w:r w:rsidRPr="00D52A2A">
        <w:t>Right of children to obtain legal advice and other assistance about the use of ADR</w:t>
      </w:r>
      <w:r w:rsidR="00153723">
        <w:t xml:space="preserve"> (</w:t>
      </w:r>
      <w:r w:rsidR="00542DB1">
        <w:t>CivAdm166</w:t>
      </w:r>
      <w:r w:rsidR="00153723">
        <w:t>)</w:t>
      </w:r>
    </w:p>
    <w:p w:rsidR="00CA363C" w:rsidRDefault="007E0693" w:rsidP="00E83712">
      <w:pPr>
        <w:pStyle w:val="BodyText"/>
      </w:pPr>
      <w:r>
        <w:t>In eight</w:t>
      </w:r>
      <w:r w:rsidR="00CA363C">
        <w:t xml:space="preserve"> </w:t>
      </w:r>
      <w:r w:rsidR="00650FE8">
        <w:t>out of the 29</w:t>
      </w:r>
      <w:r w:rsidR="00CA363C">
        <w:t xml:space="preserve"> jurisdictions where children </w:t>
      </w:r>
      <w:r w:rsidR="00650FE8">
        <w:t xml:space="preserve">(directly or through their legal representative) </w:t>
      </w:r>
      <w:r w:rsidR="00CA363C">
        <w:t xml:space="preserve">have recourse to ADR (AT, BE, </w:t>
      </w:r>
      <w:r>
        <w:t xml:space="preserve">DE, </w:t>
      </w:r>
      <w:r w:rsidR="00CA363C">
        <w:t xml:space="preserve">FR, IT, LT, UK-E&amp;W, UK-NI), children have the right to obtain legal advice and assistance in determining the appropriateness and desirability of using ADR. </w:t>
      </w:r>
    </w:p>
    <w:p w:rsidR="00CB12A1" w:rsidRDefault="00BB5EA9" w:rsidP="00E83712">
      <w:pPr>
        <w:pStyle w:val="BodyText"/>
      </w:pPr>
      <w:r>
        <w:t>In IT and LT</w:t>
      </w:r>
      <w:r w:rsidR="00CB12A1">
        <w:t>, the legal advice and other assistance is provided by the lawyers representing the chil</w:t>
      </w:r>
      <w:r>
        <w:t>d</w:t>
      </w:r>
      <w:r w:rsidR="00CB12A1">
        <w:t>.</w:t>
      </w:r>
    </w:p>
    <w:p w:rsidR="00CB12A1" w:rsidRDefault="00CB12A1" w:rsidP="00E83712">
      <w:pPr>
        <w:pStyle w:val="BodyText"/>
      </w:pPr>
      <w:r>
        <w:t xml:space="preserve">Where the right to obtain legal advice and other assistance exists, it applies </w:t>
      </w:r>
      <w:r w:rsidR="003D05C6" w:rsidRPr="0027783C">
        <w:rPr>
          <w:b/>
        </w:rPr>
        <w:t>in all</w:t>
      </w:r>
      <w:r w:rsidR="00542DB1">
        <w:rPr>
          <w:b/>
        </w:rPr>
        <w:t xml:space="preserve"> of the relevant</w:t>
      </w:r>
      <w:r w:rsidR="003D05C6" w:rsidRPr="0027783C">
        <w:rPr>
          <w:b/>
        </w:rPr>
        <w:t xml:space="preserve"> areas of law</w:t>
      </w:r>
      <w:r w:rsidR="003D05C6">
        <w:t xml:space="preserve"> </w:t>
      </w:r>
      <w:r w:rsidR="00542DB1">
        <w:t xml:space="preserve">(i.e. family and/or employment proceedings). It applies most frequently to child </w:t>
      </w:r>
      <w:r w:rsidR="00542DB1" w:rsidRPr="00542DB1">
        <w:rPr>
          <w:b/>
        </w:rPr>
        <w:t>plaintiffs and defendants</w:t>
      </w:r>
      <w:r w:rsidR="00542DB1">
        <w:t xml:space="preserve"> (</w:t>
      </w:r>
      <w:r w:rsidR="00CC7A1B">
        <w:t xml:space="preserve">seven </w:t>
      </w:r>
      <w:r w:rsidR="00542DB1">
        <w:t>jurisdictions each), then to subjects (</w:t>
      </w:r>
      <w:r w:rsidR="00CC7A1B">
        <w:t xml:space="preserve">three </w:t>
      </w:r>
      <w:r w:rsidR="00542DB1">
        <w:t>jurisdictions) and least frequently to witnesses (</w:t>
      </w:r>
      <w:r w:rsidR="00CC7A1B">
        <w:t>two</w:t>
      </w:r>
      <w:r w:rsidR="00542DB1">
        <w:t xml:space="preserve"> jurisdictions).</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CB12A1" w:rsidRPr="000F388C" w:rsidTr="00300339">
        <w:tc>
          <w:tcPr>
            <w:tcW w:w="8222" w:type="dxa"/>
            <w:shd w:val="clear" w:color="auto" w:fill="CDEBFF"/>
          </w:tcPr>
          <w:p w:rsidR="00CB12A1" w:rsidRPr="00694BE0" w:rsidRDefault="00E363B6" w:rsidP="00173CAC">
            <w:pPr>
              <w:pStyle w:val="BoxNumb"/>
              <w:numPr>
                <w:ilvl w:val="4"/>
                <w:numId w:val="27"/>
              </w:numPr>
              <w:rPr>
                <w:sz w:val="26"/>
                <w:szCs w:val="26"/>
              </w:rPr>
            </w:pPr>
            <w:r w:rsidRPr="00694BE0">
              <w:rPr>
                <w:sz w:val="26"/>
                <w:szCs w:val="26"/>
              </w:rPr>
              <w:t>England and Wales</w:t>
            </w:r>
            <w:r w:rsidR="00CB12A1" w:rsidRPr="00694BE0">
              <w:rPr>
                <w:sz w:val="26"/>
                <w:szCs w:val="26"/>
              </w:rPr>
              <w:t xml:space="preserve"> – </w:t>
            </w:r>
            <w:r w:rsidR="00300339" w:rsidRPr="00694BE0">
              <w:rPr>
                <w:sz w:val="26"/>
                <w:szCs w:val="26"/>
              </w:rPr>
              <w:t>Active promotion of ADR</w:t>
            </w:r>
          </w:p>
          <w:p w:rsidR="009228CE" w:rsidRDefault="00300339" w:rsidP="009228CE">
            <w:pPr>
              <w:pStyle w:val="TableText"/>
              <w:rPr>
                <w:sz w:val="20"/>
                <w:szCs w:val="20"/>
              </w:rPr>
            </w:pPr>
            <w:r>
              <w:rPr>
                <w:sz w:val="20"/>
                <w:szCs w:val="20"/>
              </w:rPr>
              <w:t>In UK-E&amp;W, the court has a duty to actively encourage the parties to cooperate each other and use ADR</w:t>
            </w:r>
            <w:r w:rsidR="009228CE">
              <w:rPr>
                <w:sz w:val="20"/>
                <w:szCs w:val="20"/>
              </w:rPr>
              <w:t xml:space="preserve"> in both family and employment proceedings</w:t>
            </w:r>
            <w:r w:rsidR="00CB12A1" w:rsidRPr="0085036F">
              <w:rPr>
                <w:sz w:val="20"/>
                <w:szCs w:val="20"/>
              </w:rPr>
              <w:t xml:space="preserve">. </w:t>
            </w:r>
            <w:r w:rsidR="009228CE">
              <w:rPr>
                <w:sz w:val="20"/>
                <w:szCs w:val="20"/>
              </w:rPr>
              <w:t xml:space="preserve">While the use of ADR is not compulsory, the </w:t>
            </w:r>
            <w:r w:rsidR="009228CE" w:rsidRPr="009228CE">
              <w:rPr>
                <w:sz w:val="20"/>
                <w:szCs w:val="20"/>
              </w:rPr>
              <w:t xml:space="preserve">parties </w:t>
            </w:r>
            <w:r w:rsidR="009228CE">
              <w:rPr>
                <w:sz w:val="20"/>
                <w:szCs w:val="20"/>
              </w:rPr>
              <w:t>also have a duty to</w:t>
            </w:r>
            <w:r w:rsidR="009228CE" w:rsidRPr="009228CE">
              <w:rPr>
                <w:sz w:val="20"/>
                <w:szCs w:val="20"/>
              </w:rPr>
              <w:t xml:space="preserve"> consider whether some form of ADR procedure may enable them to settle the matter without starting proceedings</w:t>
            </w:r>
            <w:r w:rsidR="009228CE">
              <w:rPr>
                <w:sz w:val="20"/>
                <w:szCs w:val="20"/>
              </w:rPr>
              <w:t xml:space="preserve">. </w:t>
            </w:r>
            <w:r w:rsidR="009228CE" w:rsidRPr="009228CE">
              <w:rPr>
                <w:sz w:val="20"/>
                <w:szCs w:val="20"/>
              </w:rPr>
              <w:t>Furthermore, solicitors are required to advise clients of the availability of mediation. A child must have a Children’s Guardian/Guardian ad litem/Next Friend to bring ADR proceedings on his/her behalf, unless the court directs otherwise</w:t>
            </w:r>
            <w:r w:rsidR="009228CE">
              <w:rPr>
                <w:sz w:val="20"/>
                <w:szCs w:val="20"/>
              </w:rPr>
              <w:t xml:space="preserve">. </w:t>
            </w:r>
          </w:p>
          <w:p w:rsidR="009228CE" w:rsidRDefault="009228CE" w:rsidP="009228CE">
            <w:pPr>
              <w:pStyle w:val="TableText"/>
              <w:rPr>
                <w:sz w:val="20"/>
                <w:szCs w:val="20"/>
              </w:rPr>
            </w:pPr>
            <w:r>
              <w:rPr>
                <w:sz w:val="20"/>
                <w:szCs w:val="20"/>
              </w:rPr>
              <w:t xml:space="preserve">The most common type of ADR used in family proceedings is mediation. In employment cases, </w:t>
            </w:r>
            <w:r w:rsidRPr="009228CE">
              <w:rPr>
                <w:sz w:val="20"/>
                <w:szCs w:val="20"/>
              </w:rPr>
              <w:t>Employment Tribunals are required to encourage the use by parties of the services of the Advisory, Conciliation and Arbitration Service (ACAS), judicial/other mediation, or other means of resolving their disputes by agreement</w:t>
            </w:r>
            <w:r>
              <w:rPr>
                <w:sz w:val="20"/>
                <w:szCs w:val="20"/>
              </w:rPr>
              <w:t xml:space="preserve">. </w:t>
            </w:r>
            <w:r w:rsidRPr="009228CE">
              <w:rPr>
                <w:sz w:val="20"/>
                <w:szCs w:val="20"/>
              </w:rPr>
              <w:t>Preliminary hearings may also be used by the Tribunal to explore the possibility of settlement or alternative dispute resolution (including judicial mediation</w:t>
            </w:r>
            <w:r>
              <w:rPr>
                <w:sz w:val="20"/>
                <w:szCs w:val="20"/>
              </w:rPr>
              <w:t>).</w:t>
            </w:r>
          </w:p>
          <w:p w:rsidR="009228CE" w:rsidRDefault="009228CE" w:rsidP="009228CE">
            <w:pPr>
              <w:pStyle w:val="TableText"/>
              <w:rPr>
                <w:sz w:val="20"/>
                <w:szCs w:val="20"/>
              </w:rPr>
            </w:pPr>
            <w:r>
              <w:rPr>
                <w:sz w:val="20"/>
                <w:szCs w:val="20"/>
              </w:rPr>
              <w:t>While t</w:t>
            </w:r>
            <w:r w:rsidRPr="009228CE">
              <w:rPr>
                <w:sz w:val="20"/>
                <w:szCs w:val="20"/>
              </w:rPr>
              <w:t>he UK legal system has not introduced any specific legal safeguards to protect the child when accessing and during the alternative proceedings</w:t>
            </w:r>
            <w:r>
              <w:rPr>
                <w:sz w:val="20"/>
                <w:szCs w:val="20"/>
              </w:rPr>
              <w:t xml:space="preserve">, children have the possibility </w:t>
            </w:r>
            <w:r w:rsidRPr="009228CE">
              <w:rPr>
                <w:sz w:val="20"/>
                <w:szCs w:val="20"/>
              </w:rPr>
              <w:t>to participate in mediation sessions. However, there are no rules in place as to the child’s exact involvement in them; participation is determined by reference to a range of factors, including the child’s age and level of understanding</w:t>
            </w:r>
            <w:r>
              <w:rPr>
                <w:sz w:val="20"/>
                <w:szCs w:val="20"/>
              </w:rPr>
              <w:t>.</w:t>
            </w:r>
          </w:p>
          <w:p w:rsidR="009228CE" w:rsidRPr="009228CE" w:rsidRDefault="009228CE" w:rsidP="009228CE">
            <w:pPr>
              <w:pStyle w:val="TableText"/>
              <w:rPr>
                <w:sz w:val="20"/>
                <w:szCs w:val="20"/>
              </w:rPr>
            </w:pPr>
            <w:r w:rsidRPr="009228CE">
              <w:rPr>
                <w:sz w:val="20"/>
                <w:szCs w:val="20"/>
              </w:rPr>
              <w:t>UK legislation does not specify the means in which children in other roles receive information about their rights and obligations during family mediation. In practice, the child’s family will explain the process in a way that the child understands. The child’s legal counsel may also inform the child about his/her rights and obligations. Court Children’s Officers also operate within a number of courts and can also highlight the option of mediation and explain to the children their rights and obligations</w:t>
            </w:r>
            <w:r>
              <w:rPr>
                <w:sz w:val="20"/>
                <w:szCs w:val="20"/>
              </w:rPr>
              <w:t>.</w:t>
            </w:r>
            <w:r w:rsidRPr="009228CE">
              <w:rPr>
                <w:sz w:val="20"/>
                <w:szCs w:val="20"/>
              </w:rPr>
              <w:t xml:space="preserve"> </w:t>
            </w:r>
          </w:p>
          <w:p w:rsidR="009228CE" w:rsidRPr="009228CE" w:rsidRDefault="009228CE" w:rsidP="008A43EA">
            <w:pPr>
              <w:pStyle w:val="TableText"/>
              <w:rPr>
                <w:sz w:val="20"/>
                <w:szCs w:val="20"/>
              </w:rPr>
            </w:pPr>
            <w:r>
              <w:rPr>
                <w:sz w:val="20"/>
                <w:szCs w:val="20"/>
              </w:rPr>
              <w:t>C</w:t>
            </w:r>
            <w:r w:rsidRPr="009228CE">
              <w:rPr>
                <w:sz w:val="20"/>
                <w:szCs w:val="20"/>
              </w:rPr>
              <w:t>ertain disputes cannot be referred to family mediation. For example, family mediation is not possible in the context of family disputes where there may be allegations, or established incidents, of violence, harassment or intimidation</w:t>
            </w:r>
            <w:r>
              <w:rPr>
                <w:sz w:val="20"/>
                <w:szCs w:val="20"/>
              </w:rPr>
              <w:t>.</w:t>
            </w:r>
          </w:p>
        </w:tc>
      </w:tr>
    </w:tbl>
    <w:p w:rsidR="00752A4C" w:rsidRDefault="00752A4C" w:rsidP="00D734A5">
      <w:pPr>
        <w:spacing w:before="0" w:after="0" w:line="240" w:lineRule="auto"/>
        <w:rPr>
          <w:sz w:val="22"/>
          <w:szCs w:val="22"/>
        </w:rPr>
      </w:pP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E83712" w:rsidTr="004017DA">
        <w:tc>
          <w:tcPr>
            <w:tcW w:w="8222" w:type="dxa"/>
            <w:shd w:val="clear" w:color="auto" w:fill="CDEBFF"/>
          </w:tcPr>
          <w:p w:rsidR="00E83712" w:rsidRPr="00E83712" w:rsidRDefault="00E83712" w:rsidP="00E83712">
            <w:pPr>
              <w:pStyle w:val="Conclusion"/>
              <w:numPr>
                <w:ilvl w:val="0"/>
                <w:numId w:val="0"/>
              </w:numPr>
              <w:rPr>
                <w:sz w:val="26"/>
                <w:szCs w:val="26"/>
              </w:rPr>
            </w:pPr>
            <w:r w:rsidRPr="00E83712">
              <w:rPr>
                <w:sz w:val="26"/>
                <w:szCs w:val="26"/>
              </w:rPr>
              <w:t>Access to alternatives to judicial proceedings</w:t>
            </w:r>
          </w:p>
          <w:p w:rsidR="00E83712" w:rsidRDefault="00E83712" w:rsidP="00E83712">
            <w:pPr>
              <w:pStyle w:val="Bullet1"/>
            </w:pPr>
            <w:r>
              <w:t>By providing a consensual process of resolving disputes, ADR should in principle provide a less intimidating environment for children than formal judicial proceedings. However, children involved in ADR have a more limited set of rights than children involved in judicial proceedings.</w:t>
            </w:r>
          </w:p>
          <w:p w:rsidR="00E83712" w:rsidRDefault="00E83712" w:rsidP="00E83712">
            <w:pPr>
              <w:pStyle w:val="Bullet1"/>
            </w:pPr>
            <w:r>
              <w:t>A statutory provision on the right of children to have recourse to ADR directly or through the child’s legal representative exists in 29 jurisdictions. In most jurisdictions where the right exists, it only applies in the areas of family and employment.</w:t>
            </w:r>
          </w:p>
          <w:p w:rsidR="00E83712" w:rsidRDefault="00E83712" w:rsidP="00E83712">
            <w:pPr>
              <w:pStyle w:val="Bullet1"/>
            </w:pPr>
            <w:r>
              <w:t>In all but three jurisdictions, the child concerned does not have the possibility of initiating ADR in his or her own right but rather must act through their legal representative.</w:t>
            </w:r>
          </w:p>
          <w:p w:rsidR="00E83712" w:rsidRDefault="00E83712" w:rsidP="00E83712">
            <w:pPr>
              <w:pStyle w:val="Bullet1"/>
            </w:pPr>
            <w:r>
              <w:t xml:space="preserve">Measures to make ADR accessible to children and to make it child-friendly or child-sensitive are rather limited. </w:t>
            </w:r>
          </w:p>
          <w:p w:rsidR="00E83712" w:rsidRDefault="00E83712" w:rsidP="00E83712">
            <w:pPr>
              <w:pStyle w:val="Bullet1"/>
            </w:pPr>
            <w:r>
              <w:t>In 13 of the 29 jurisdictions where children have a right to have recourse to ADR, mechanisms exist for the competent authorities to inform children of this right. However, in most cases it is not mandatory for these mechanisms to be used, suggesting that many children may not be sufficiently informed of their right to have recourse to ADR.</w:t>
            </w:r>
          </w:p>
          <w:p w:rsidR="00E83712" w:rsidRPr="00E83712" w:rsidRDefault="00E83712" w:rsidP="00E83712">
            <w:pPr>
              <w:pStyle w:val="Bullet1"/>
            </w:pPr>
            <w:r>
              <w:t>Other important rights of the child are often not afforded to children in the context of ADR. These include the right of children to be heard in ADR (only applies in 12 of the 29 jurisdictions concerned) and the right of children to legal redress if they feel their rights have been violated in the context of ADR (only applies in nine of the 29 jurisdictions concerned).</w:t>
            </w:r>
          </w:p>
        </w:tc>
      </w:tr>
    </w:tbl>
    <w:p w:rsidR="00D734A5" w:rsidRDefault="0091781B" w:rsidP="00A7584E">
      <w:pPr>
        <w:pStyle w:val="Heading2"/>
      </w:pPr>
      <w:bookmarkStart w:id="220" w:name="_Toc406590161"/>
      <w:bookmarkStart w:id="221" w:name="_Toc408908738"/>
      <w:r>
        <w:t>Limitations to r</w:t>
      </w:r>
      <w:r w:rsidR="00D734A5" w:rsidRPr="00D734A5">
        <w:t>estrictions on liberty</w:t>
      </w:r>
      <w:r>
        <w:t xml:space="preserve"> for children</w:t>
      </w:r>
      <w:bookmarkEnd w:id="220"/>
      <w:bookmarkEnd w:id="221"/>
    </w:p>
    <w:p w:rsidR="00957698" w:rsidRDefault="008703AC" w:rsidP="00E83712">
      <w:pPr>
        <w:pStyle w:val="BodyText"/>
      </w:pPr>
      <w:r>
        <w:t xml:space="preserve">This </w:t>
      </w:r>
      <w:r w:rsidR="005553B5">
        <w:t xml:space="preserve">sub </w:t>
      </w:r>
      <w:r>
        <w:t>section begins by reviewing the provisions in place in different MS allowing for the detention of children involved in civil and/or administrative judicial proceedings. It then considers the existence of the following procedural safeguards for child</w:t>
      </w:r>
      <w:r w:rsidR="00957698">
        <w:t xml:space="preserve">ren subject to such detention: </w:t>
      </w:r>
    </w:p>
    <w:p w:rsidR="00957698" w:rsidRPr="00957698" w:rsidRDefault="00957698" w:rsidP="00E83712">
      <w:pPr>
        <w:pStyle w:val="BTBullet1"/>
      </w:pPr>
      <w:r w:rsidRPr="00957698">
        <w:t>R</w:t>
      </w:r>
      <w:r w:rsidR="008703AC" w:rsidRPr="00957698">
        <w:t xml:space="preserve">ight of a child to appeal administrative decisions </w:t>
      </w:r>
      <w:r w:rsidRPr="00957698">
        <w:t>to restrict a child’s liberty;</w:t>
      </w:r>
    </w:p>
    <w:p w:rsidR="00957698" w:rsidRPr="00957698" w:rsidRDefault="00957698" w:rsidP="00E83712">
      <w:pPr>
        <w:pStyle w:val="BTBullet1"/>
      </w:pPr>
      <w:r w:rsidRPr="00957698">
        <w:t>S</w:t>
      </w:r>
      <w:r w:rsidR="008703AC" w:rsidRPr="00957698">
        <w:t>tatutory provisions on the use of detention as a measure of last resort and for the shortest possible time; and</w:t>
      </w:r>
      <w:r w:rsidRPr="00957698">
        <w:t>,</w:t>
      </w:r>
      <w:r w:rsidR="008703AC" w:rsidRPr="00957698">
        <w:t xml:space="preserve"> </w:t>
      </w:r>
    </w:p>
    <w:p w:rsidR="008703AC" w:rsidRPr="00957698" w:rsidRDefault="00957698" w:rsidP="00E83712">
      <w:pPr>
        <w:pStyle w:val="BTBullet1"/>
      </w:pPr>
      <w:r w:rsidRPr="00957698">
        <w:t xml:space="preserve">Existence of an </w:t>
      </w:r>
      <w:r w:rsidR="008703AC" w:rsidRPr="00957698">
        <w:t>independent system of monitoring the appropriate use of detention.</w:t>
      </w:r>
    </w:p>
    <w:p w:rsidR="008703AC" w:rsidRDefault="008703AC" w:rsidP="00E83712">
      <w:pPr>
        <w:pStyle w:val="Heading4NoNumb"/>
        <w:ind w:firstLine="851"/>
      </w:pPr>
      <w:r>
        <w:t>Administrative restrictions of liberty</w:t>
      </w:r>
    </w:p>
    <w:p w:rsidR="008703AC" w:rsidRPr="00754FB4" w:rsidRDefault="008703AC" w:rsidP="00E83712">
      <w:pPr>
        <w:pStyle w:val="BodyText"/>
        <w:rPr>
          <w:rFonts w:cs="Arial"/>
        </w:rPr>
      </w:pPr>
      <w:r>
        <w:t xml:space="preserve">In most MS, administrative restrictions of liberty are only possible in limited areas of law. These typically include migration, asylum and mental health and may also include </w:t>
      </w:r>
      <w:r w:rsidRPr="00754FB4">
        <w:rPr>
          <w:rFonts w:cs="Arial"/>
        </w:rPr>
        <w:t>administrative sanctions, offences committed below</w:t>
      </w:r>
      <w:r w:rsidR="00957698">
        <w:rPr>
          <w:rFonts w:cs="Arial"/>
        </w:rPr>
        <w:t xml:space="preserve"> the age of MACR, placement in</w:t>
      </w:r>
      <w:r w:rsidRPr="00754FB4">
        <w:rPr>
          <w:rFonts w:cs="Arial"/>
        </w:rPr>
        <w:t xml:space="preserve"> care, </w:t>
      </w:r>
      <w:r w:rsidR="00957698">
        <w:rPr>
          <w:rFonts w:cs="Arial"/>
        </w:rPr>
        <w:t xml:space="preserve">and </w:t>
      </w:r>
      <w:r w:rsidRPr="00754FB4">
        <w:rPr>
          <w:rFonts w:cs="Arial"/>
        </w:rPr>
        <w:t>education:</w:t>
      </w:r>
      <w:r w:rsidR="00050135">
        <w:rPr>
          <w:rFonts w:cs="Arial"/>
        </w:rPr>
        <w:t xml:space="preserve"> </w:t>
      </w:r>
    </w:p>
    <w:p w:rsidR="008703AC" w:rsidRPr="00A7584E" w:rsidRDefault="008703AC" w:rsidP="00E83712">
      <w:pPr>
        <w:pStyle w:val="BTBullet1"/>
      </w:pPr>
      <w:r w:rsidRPr="00A7584E">
        <w:t>In 2</w:t>
      </w:r>
      <w:r w:rsidR="00477DB1">
        <w:t>7</w:t>
      </w:r>
      <w:r w:rsidRPr="00A7584E">
        <w:t xml:space="preserve"> jurisdictions (all but FR, IE, and IT) there is a power to restrict the liberty of children in </w:t>
      </w:r>
      <w:r w:rsidRPr="00A7584E">
        <w:rPr>
          <w:b/>
        </w:rPr>
        <w:t>asylum</w:t>
      </w:r>
      <w:r w:rsidRPr="00A7584E">
        <w:t xml:space="preserve"> matters. </w:t>
      </w:r>
    </w:p>
    <w:p w:rsidR="008703AC" w:rsidRPr="00A7584E" w:rsidRDefault="008703AC" w:rsidP="00E83712">
      <w:pPr>
        <w:pStyle w:val="BTBullet1"/>
      </w:pPr>
      <w:r w:rsidRPr="00A7584E">
        <w:t xml:space="preserve">In 27 jurisdictions (all but IE, IT, and PT) there is a power to restrict the liberty of children in </w:t>
      </w:r>
      <w:r w:rsidRPr="00A7584E">
        <w:rPr>
          <w:b/>
        </w:rPr>
        <w:t>migration</w:t>
      </w:r>
      <w:r w:rsidRPr="00A7584E">
        <w:t xml:space="preserve"> matters.</w:t>
      </w:r>
      <w:r w:rsidR="00050135">
        <w:t xml:space="preserve"> </w:t>
      </w:r>
    </w:p>
    <w:p w:rsidR="008703AC" w:rsidRPr="00A7584E" w:rsidRDefault="008703AC" w:rsidP="00E83712">
      <w:pPr>
        <w:pStyle w:val="BTBullet1"/>
      </w:pPr>
      <w:r w:rsidRPr="00A7584E">
        <w:t>In 2</w:t>
      </w:r>
      <w:r w:rsidR="00803ECD">
        <w:t>4</w:t>
      </w:r>
      <w:r w:rsidRPr="00A7584E">
        <w:t xml:space="preserve"> jurisdictions (all but AT, BG, CY, PL, PT, and SI) there is a power to restrict the liberty of children in matters of </w:t>
      </w:r>
      <w:r w:rsidRPr="00A7584E">
        <w:rPr>
          <w:b/>
        </w:rPr>
        <w:t>mental health</w:t>
      </w:r>
      <w:r w:rsidRPr="00A7584E">
        <w:t>, and in some of these jurisdictions (IT, DE, SK, and EL), on other health grounds as well.</w:t>
      </w:r>
      <w:r w:rsidR="00050135">
        <w:t xml:space="preserve"> </w:t>
      </w:r>
    </w:p>
    <w:p w:rsidR="008703AC" w:rsidRPr="00A7584E" w:rsidRDefault="008703AC" w:rsidP="00E83712">
      <w:pPr>
        <w:pStyle w:val="BTBullet1"/>
      </w:pPr>
      <w:r w:rsidRPr="00A7584E">
        <w:t xml:space="preserve">In </w:t>
      </w:r>
      <w:r w:rsidR="008A43EA">
        <w:t>eight</w:t>
      </w:r>
      <w:r w:rsidRPr="00A7584E">
        <w:t xml:space="preserve"> MS (HR, HU, SK, DE, LU, AT, CZ, and LT) there is a power to restrict the liberty of children in the area of </w:t>
      </w:r>
      <w:r w:rsidRPr="00A7584E">
        <w:rPr>
          <w:b/>
        </w:rPr>
        <w:t>administrative sanctions</w:t>
      </w:r>
      <w:r w:rsidRPr="00A7584E">
        <w:t>.</w:t>
      </w:r>
    </w:p>
    <w:p w:rsidR="008703AC" w:rsidRPr="00A7584E" w:rsidRDefault="008703AC" w:rsidP="00E83712">
      <w:pPr>
        <w:pStyle w:val="BTBullet1"/>
      </w:pPr>
      <w:r w:rsidRPr="00A7584E">
        <w:t xml:space="preserve">In 13 MS (FR, LV, PT, SK, BE, IT, SE, LU, SK, FI, BG, CZ, and PL) there is a power to restrict the liberty of children for </w:t>
      </w:r>
      <w:r w:rsidRPr="00A7584E">
        <w:rPr>
          <w:b/>
        </w:rPr>
        <w:t xml:space="preserve">offences committed below </w:t>
      </w:r>
      <w:r w:rsidR="00FA2D2C">
        <w:rPr>
          <w:b/>
        </w:rPr>
        <w:t>MACR</w:t>
      </w:r>
      <w:r w:rsidRPr="00A7584E">
        <w:t>.</w:t>
      </w:r>
      <w:r w:rsidR="00FA2D2C">
        <w:t xml:space="preserve"> </w:t>
      </w:r>
      <w:r w:rsidRPr="00A7584E">
        <w:t>This is not a deprivation of liberty imposed as a criminal sanction but is usually for the protection of the child.</w:t>
      </w:r>
      <w:r w:rsidR="00050135">
        <w:t xml:space="preserve"> </w:t>
      </w:r>
    </w:p>
    <w:p w:rsidR="008703AC" w:rsidRPr="00A7584E" w:rsidRDefault="008703AC" w:rsidP="00E83712">
      <w:pPr>
        <w:pStyle w:val="BTBullet1"/>
      </w:pPr>
      <w:r w:rsidRPr="00A7584E">
        <w:t xml:space="preserve">In 10 MS (NL, PT, BE, DK, EE, ES, IE, LU, RO, and CZ) there is a power to restrict the liberty of children by </w:t>
      </w:r>
      <w:r w:rsidRPr="00A7584E">
        <w:rPr>
          <w:b/>
        </w:rPr>
        <w:t>placing them into care</w:t>
      </w:r>
      <w:r w:rsidRPr="00A7584E">
        <w:t xml:space="preserve"> when they do not consent.</w:t>
      </w:r>
      <w:r w:rsidR="00050135">
        <w:t xml:space="preserve"> </w:t>
      </w:r>
    </w:p>
    <w:p w:rsidR="008703AC" w:rsidRPr="00A7584E" w:rsidRDefault="008703AC" w:rsidP="00E83712">
      <w:pPr>
        <w:pStyle w:val="BTBullet1"/>
      </w:pPr>
      <w:r w:rsidRPr="00A7584E">
        <w:t xml:space="preserve">In SK and EE there is a power to restrict the liberty of children in </w:t>
      </w:r>
      <w:r w:rsidRPr="00A7584E">
        <w:rPr>
          <w:b/>
        </w:rPr>
        <w:t>education</w:t>
      </w:r>
      <w:r w:rsidRPr="00A7584E">
        <w:t xml:space="preserve"> matters. </w:t>
      </w:r>
    </w:p>
    <w:p w:rsidR="00E83712" w:rsidRDefault="00E83712" w:rsidP="004E39FE">
      <w:pPr>
        <w:pStyle w:val="BTBullet1"/>
        <w:numPr>
          <w:ilvl w:val="0"/>
          <w:numId w:val="0"/>
        </w:numPr>
        <w:ind w:left="851"/>
        <w:rPr>
          <w:rFonts w:cs="Arial"/>
          <w:sz w:val="22"/>
          <w:szCs w:val="22"/>
        </w:rPr>
      </w:pPr>
    </w:p>
    <w:p w:rsidR="008703AC" w:rsidRDefault="008703AC" w:rsidP="00E83712">
      <w:pPr>
        <w:pStyle w:val="BodyText"/>
      </w:pPr>
      <w:r>
        <w:t>Employment is the only area of law where no power to r</w:t>
      </w:r>
      <w:r w:rsidR="004E39FE">
        <w:t xml:space="preserve">estrict the liberty of children </w:t>
      </w:r>
      <w:r>
        <w:t>exists.</w:t>
      </w:r>
    </w:p>
    <w:p w:rsidR="008703AC" w:rsidRPr="00E83712" w:rsidRDefault="008703AC" w:rsidP="00E83712">
      <w:pPr>
        <w:pStyle w:val="BodyText"/>
      </w:pPr>
      <w:r w:rsidRPr="00754FB4">
        <w:t>The following safeguards are available to children who have</w:t>
      </w:r>
      <w:r w:rsidRPr="003A3B66">
        <w:t xml:space="preserve"> been subject to administrative detention in the context of judicial proceedings</w:t>
      </w:r>
      <w:r>
        <w:t>.</w:t>
      </w:r>
    </w:p>
    <w:p w:rsidR="008703AC" w:rsidRPr="00E83712" w:rsidRDefault="008703AC" w:rsidP="00E83712">
      <w:pPr>
        <w:pStyle w:val="Heading4NoNumb"/>
        <w:ind w:left="851"/>
      </w:pPr>
      <w:r w:rsidRPr="00BD3429">
        <w:t xml:space="preserve">Right of the child to appeal an administrative decision to restrict a child’s liberty </w:t>
      </w:r>
      <w:r w:rsidRPr="00E56DC4">
        <w:t>(CivAdm168)</w:t>
      </w:r>
    </w:p>
    <w:p w:rsidR="00FA2D2C" w:rsidRDefault="00FA2D2C" w:rsidP="00E83712">
      <w:pPr>
        <w:pStyle w:val="BodyText"/>
      </w:pPr>
      <w:r>
        <w:t xml:space="preserve">Children have a right to appeal an administrative decision to restrict their liberty in almost all jurisdictions </w:t>
      </w:r>
      <w:r w:rsidR="009D5815">
        <w:t xml:space="preserve">(and areas of law) </w:t>
      </w:r>
      <w:r>
        <w:t xml:space="preserve">where the power to restrict a child’s liberty </w:t>
      </w:r>
      <w:r w:rsidR="009D5815">
        <w:t>exists</w:t>
      </w:r>
      <w:r>
        <w:t xml:space="preserve">. </w:t>
      </w:r>
      <w:r w:rsidR="009E1FA8">
        <w:t xml:space="preserve">However, there are exceptions in certain jurisdictions, as indicated below: </w:t>
      </w:r>
    </w:p>
    <w:p w:rsidR="00FA2D2C" w:rsidRDefault="00FA2D2C" w:rsidP="008703AC">
      <w:pPr>
        <w:pStyle w:val="BodyTextNoSpace"/>
        <w:rPr>
          <w:sz w:val="22"/>
          <w:szCs w:val="22"/>
        </w:rPr>
      </w:pPr>
    </w:p>
    <w:p w:rsidR="009D5815" w:rsidRPr="009D5815" w:rsidRDefault="008703AC" w:rsidP="00E83712">
      <w:pPr>
        <w:pStyle w:val="BTBullet1"/>
      </w:pPr>
      <w:r w:rsidRPr="009D5815">
        <w:t>In 2</w:t>
      </w:r>
      <w:r w:rsidR="00477DB1" w:rsidRPr="009D5815">
        <w:t>5 of the 27</w:t>
      </w:r>
      <w:r w:rsidRPr="009D5815">
        <w:t xml:space="preserve"> jurisdictions where there is a power to restrict the liberty of children in </w:t>
      </w:r>
      <w:r w:rsidRPr="009D5815">
        <w:rPr>
          <w:b/>
        </w:rPr>
        <w:t>asylum</w:t>
      </w:r>
      <w:r w:rsidR="009D5815">
        <w:t xml:space="preserve"> matter</w:t>
      </w:r>
      <w:r w:rsidRPr="009D5815">
        <w:t xml:space="preserve">s, children have a right to appeal the administrative decision. There is no such right in FI </w:t>
      </w:r>
      <w:r w:rsidR="00A55496">
        <w:t>or</w:t>
      </w:r>
      <w:r w:rsidRPr="009D5815">
        <w:t xml:space="preserve"> RO.</w:t>
      </w:r>
      <w:r w:rsidR="00050135">
        <w:t xml:space="preserve"> </w:t>
      </w:r>
    </w:p>
    <w:p w:rsidR="009D5815" w:rsidRPr="009D5815" w:rsidRDefault="008703AC" w:rsidP="00E83712">
      <w:pPr>
        <w:pStyle w:val="BTBullet1"/>
      </w:pPr>
      <w:r w:rsidRPr="009D5815">
        <w:t xml:space="preserve">In 25 of the 27 jurisdictions where there is a power to restrict the liberty of children in </w:t>
      </w:r>
      <w:r w:rsidRPr="009D5815">
        <w:rPr>
          <w:b/>
        </w:rPr>
        <w:t>migration</w:t>
      </w:r>
      <w:r w:rsidRPr="009D5815">
        <w:t xml:space="preserve"> matters, children have a right to appeal the administrative decision. The</w:t>
      </w:r>
      <w:r w:rsidR="00477DB1" w:rsidRPr="009D5815">
        <w:t xml:space="preserve">re is no right of appeal in </w:t>
      </w:r>
      <w:r w:rsidRPr="009D5815">
        <w:t xml:space="preserve">FI </w:t>
      </w:r>
      <w:r w:rsidR="00A55496">
        <w:t>or</w:t>
      </w:r>
      <w:r w:rsidRPr="009D5815">
        <w:t xml:space="preserve"> RO. </w:t>
      </w:r>
    </w:p>
    <w:p w:rsidR="009D5815" w:rsidRPr="009D5815" w:rsidRDefault="008703AC" w:rsidP="00E83712">
      <w:pPr>
        <w:pStyle w:val="BTBullet1"/>
      </w:pPr>
      <w:r w:rsidRPr="009D5815">
        <w:t xml:space="preserve">In 18 </w:t>
      </w:r>
      <w:r w:rsidR="007E777E" w:rsidRPr="009D5815">
        <w:t>of the 24</w:t>
      </w:r>
      <w:r w:rsidRPr="009D5815">
        <w:t xml:space="preserve"> jurisdictions where there is a power to restrict the liberty of children in matters of </w:t>
      </w:r>
      <w:r w:rsidRPr="009D5815">
        <w:rPr>
          <w:b/>
        </w:rPr>
        <w:t>health</w:t>
      </w:r>
      <w:r w:rsidRPr="009D5815">
        <w:t>, children have a right to appea</w:t>
      </w:r>
      <w:r w:rsidR="009D5815" w:rsidRPr="009D5815">
        <w:t xml:space="preserve">l the administrative decision. </w:t>
      </w:r>
      <w:r w:rsidRPr="009D5815">
        <w:t>There is no right to appeal in CZ, DE, EL, IE, and NL.</w:t>
      </w:r>
      <w:r w:rsidR="00050135">
        <w:t xml:space="preserve"> </w:t>
      </w:r>
    </w:p>
    <w:p w:rsidR="009D5815" w:rsidRPr="009D5815" w:rsidRDefault="008703AC" w:rsidP="00E83712">
      <w:pPr>
        <w:pStyle w:val="BTBullet1"/>
      </w:pPr>
      <w:r w:rsidRPr="009D5815">
        <w:t xml:space="preserve">In </w:t>
      </w:r>
      <w:r w:rsidR="00CC7A1B">
        <w:t>seven</w:t>
      </w:r>
      <w:r w:rsidRPr="009D5815">
        <w:t xml:space="preserve"> of the </w:t>
      </w:r>
      <w:r w:rsidR="00CC7A1B">
        <w:t>eight</w:t>
      </w:r>
      <w:r w:rsidRPr="009D5815">
        <w:t xml:space="preserve"> MS where there is a power to restrict the liberty of children in </w:t>
      </w:r>
      <w:r w:rsidRPr="009D5815">
        <w:rPr>
          <w:b/>
        </w:rPr>
        <w:t>administrative sanctions</w:t>
      </w:r>
      <w:r w:rsidRPr="009D5815">
        <w:t xml:space="preserve">, there is a right for the child to appeal the administrative decision. There is no such right in CZ. </w:t>
      </w:r>
    </w:p>
    <w:p w:rsidR="009D5815" w:rsidRPr="009D5815" w:rsidRDefault="009C72AD" w:rsidP="00E83712">
      <w:pPr>
        <w:pStyle w:val="BTBullet1"/>
      </w:pPr>
      <w:r>
        <w:t>In 10</w:t>
      </w:r>
      <w:r w:rsidR="008703AC" w:rsidRPr="009D5815">
        <w:t xml:space="preserve"> of the 12 MS where there is a power to restrict the liberty of children for </w:t>
      </w:r>
      <w:r w:rsidR="008703AC" w:rsidRPr="009D5815">
        <w:rPr>
          <w:b/>
        </w:rPr>
        <w:t>offences committed below MACR</w:t>
      </w:r>
      <w:r w:rsidR="008703AC" w:rsidRPr="009D5815">
        <w:t>, there is a right for the child to appeal the administrative decision. There is no such right in FR or SE.</w:t>
      </w:r>
      <w:r w:rsidR="00050135">
        <w:t xml:space="preserve"> </w:t>
      </w:r>
    </w:p>
    <w:p w:rsidR="009D5815" w:rsidRPr="009D5815" w:rsidRDefault="008703AC" w:rsidP="00E83712">
      <w:pPr>
        <w:pStyle w:val="BTBullet1"/>
      </w:pPr>
      <w:r w:rsidRPr="009D5815">
        <w:t xml:space="preserve">In </w:t>
      </w:r>
      <w:r w:rsidR="00CC7A1B">
        <w:t>six</w:t>
      </w:r>
      <w:r w:rsidRPr="009D5815">
        <w:t xml:space="preserve"> of the 10 MS where there is a power to restrict the liberty of children by </w:t>
      </w:r>
      <w:r w:rsidRPr="009D5815">
        <w:rPr>
          <w:b/>
        </w:rPr>
        <w:t>placing them into care</w:t>
      </w:r>
      <w:r w:rsidRPr="009D5815">
        <w:t xml:space="preserve"> when they do not consent, children have the right to appeal the administrative decision. There is no such right in CZ, IE, NL and PT.</w:t>
      </w:r>
    </w:p>
    <w:p w:rsidR="008703AC" w:rsidRPr="009D5815" w:rsidRDefault="008703AC" w:rsidP="00E83712">
      <w:pPr>
        <w:pStyle w:val="BTBullet1"/>
      </w:pPr>
      <w:r w:rsidRPr="009D5815">
        <w:t xml:space="preserve">In SK and EE there is a power to restrict the liberty of children in </w:t>
      </w:r>
      <w:r w:rsidRPr="00007D34">
        <w:rPr>
          <w:b/>
        </w:rPr>
        <w:t>education</w:t>
      </w:r>
      <w:r w:rsidRPr="009D5815">
        <w:t xml:space="preserve"> matters, and in both of these MS there is a right for the child to appeal the administrative </w:t>
      </w:r>
      <w:r w:rsidRPr="009D5815">
        <w:rPr>
          <w:rFonts w:cs="Arial"/>
        </w:rPr>
        <w:t>decision.</w:t>
      </w:r>
      <w:r w:rsidR="00050135">
        <w:rPr>
          <w:rFonts w:cs="Arial"/>
        </w:rPr>
        <w:t xml:space="preserve"> </w:t>
      </w:r>
    </w:p>
    <w:p w:rsidR="00E83712" w:rsidRDefault="00E83712" w:rsidP="008703AC">
      <w:pPr>
        <w:pStyle w:val="BTBullet1"/>
        <w:numPr>
          <w:ilvl w:val="0"/>
          <w:numId w:val="0"/>
        </w:numPr>
        <w:ind w:left="851"/>
        <w:rPr>
          <w:sz w:val="22"/>
          <w:szCs w:val="22"/>
        </w:rPr>
      </w:pPr>
    </w:p>
    <w:p w:rsidR="008703AC" w:rsidRPr="00E83712" w:rsidRDefault="008703AC" w:rsidP="00E83712">
      <w:pPr>
        <w:pStyle w:val="BodyText"/>
      </w:pPr>
      <w:r>
        <w:t xml:space="preserve">In those jurisdictions where the right to appeal is guaranteed, it applies most frequently to child </w:t>
      </w:r>
      <w:r w:rsidRPr="00436D96">
        <w:rPr>
          <w:b/>
        </w:rPr>
        <w:t>plaintiffs</w:t>
      </w:r>
      <w:r>
        <w:t xml:space="preserve">. It applies less frequently to </w:t>
      </w:r>
      <w:r w:rsidRPr="00436D96">
        <w:rPr>
          <w:b/>
        </w:rPr>
        <w:t>subjects</w:t>
      </w:r>
      <w:r>
        <w:t xml:space="preserve">, and only rarely to </w:t>
      </w:r>
      <w:r w:rsidRPr="00A0532E">
        <w:rPr>
          <w:b/>
        </w:rPr>
        <w:t>defendants</w:t>
      </w:r>
      <w:r>
        <w:rPr>
          <w:b/>
        </w:rPr>
        <w:t xml:space="preserve">. </w:t>
      </w:r>
      <w:r>
        <w:t xml:space="preserve">In 12 jurisdictions the right to appeal applies to plaintiffs and defendants (BE, BG, CY, EE, EL, ES, HR, LU, PL, UK-E&amp;W, UK-NI and </w:t>
      </w:r>
      <w:r w:rsidR="00CD7610">
        <w:t>UK-S</w:t>
      </w:r>
      <w:r>
        <w:t xml:space="preserve">), in IT it applies to plaintiffs, defendants and subjects, in NL only to subjects, and in the remaining MS the right to appeal applies only to plaintiffs. </w:t>
      </w:r>
    </w:p>
    <w:p w:rsidR="00974ED4" w:rsidRDefault="008703AC" w:rsidP="00E83712">
      <w:pPr>
        <w:pStyle w:val="BodyText"/>
      </w:pPr>
      <w:r>
        <w:t>Where the right to appeal exists, it usually applies at all stages of the proceeding.</w:t>
      </w:r>
    </w:p>
    <w:p w:rsidR="008703AC" w:rsidRDefault="00974ED4" w:rsidP="00E83712">
      <w:pPr>
        <w:pStyle w:val="BodyText"/>
      </w:pPr>
      <w:r w:rsidRPr="00974ED4">
        <w:rPr>
          <w:b/>
          <w:color w:val="0070C0"/>
        </w:rPr>
        <w:fldChar w:fldCharType="begin"/>
      </w:r>
      <w:r w:rsidRPr="00974ED4">
        <w:rPr>
          <w:b/>
          <w:color w:val="0070C0"/>
        </w:rPr>
        <w:instrText xml:space="preserve"> REF _Ref395879978 \r \h  \* MERGEFORMAT </w:instrText>
      </w:r>
      <w:r w:rsidRPr="00974ED4">
        <w:rPr>
          <w:b/>
          <w:color w:val="0070C0"/>
        </w:rPr>
      </w:r>
      <w:r w:rsidRPr="00974ED4">
        <w:rPr>
          <w:b/>
          <w:color w:val="0070C0"/>
        </w:rPr>
        <w:fldChar w:fldCharType="separate"/>
      </w:r>
      <w:r w:rsidR="000223E8">
        <w:rPr>
          <w:b/>
          <w:color w:val="0070C0"/>
        </w:rPr>
        <w:t>Table A4.14</w:t>
      </w:r>
      <w:r w:rsidRPr="00974ED4">
        <w:rPr>
          <w:b/>
          <w:color w:val="0070C0"/>
        </w:rPr>
        <w:fldChar w:fldCharType="end"/>
      </w:r>
      <w:r>
        <w:t xml:space="preserve"> maps the coverage of this provision by area of law and by role of the child across all jurisdictions.</w:t>
      </w:r>
      <w:r w:rsidR="008703AC">
        <w:t xml:space="preserve"> </w:t>
      </w:r>
    </w:p>
    <w:p w:rsidR="008703AC" w:rsidRPr="009E1FA8" w:rsidRDefault="008703AC" w:rsidP="00E83712">
      <w:pPr>
        <w:pStyle w:val="Heading4NoNumb"/>
        <w:ind w:left="851"/>
      </w:pPr>
      <w:r w:rsidRPr="009E1FA8">
        <w:t>Use of restriction of liberty as a measure of last resort and for the shortest possible amount of time</w:t>
      </w:r>
      <w:r w:rsidR="00C138DB" w:rsidRPr="009E1FA8">
        <w:t xml:space="preserve"> (CivAdm171</w:t>
      </w:r>
      <w:r w:rsidRPr="009E1FA8">
        <w:t>a and b)</w:t>
      </w:r>
    </w:p>
    <w:p w:rsidR="00037B41" w:rsidRPr="009E1FA8" w:rsidRDefault="008703AC" w:rsidP="00E83712">
      <w:pPr>
        <w:pStyle w:val="BodyText"/>
      </w:pPr>
      <w:r w:rsidRPr="009E1FA8">
        <w:t xml:space="preserve">Statutory provisions on the use of restrictions of liberty or detention </w:t>
      </w:r>
      <w:r w:rsidRPr="009E1FA8">
        <w:rPr>
          <w:b/>
        </w:rPr>
        <w:t>as a measure of last resort</w:t>
      </w:r>
      <w:r w:rsidRPr="009E1FA8">
        <w:t xml:space="preserve"> exist in all jurisdictions except six (DK, IE, LV, MT, SI, and SK), and </w:t>
      </w:r>
      <w:r w:rsidRPr="009E1FA8">
        <w:rPr>
          <w:b/>
        </w:rPr>
        <w:t xml:space="preserve">for the shortest possible amount of time </w:t>
      </w:r>
      <w:r w:rsidRPr="009E1FA8">
        <w:t xml:space="preserve">in all jurisdictions except four (IE, LV, MT and SI). </w:t>
      </w:r>
    </w:p>
    <w:p w:rsidR="004149BA" w:rsidRPr="00CC1B18" w:rsidRDefault="008703AC" w:rsidP="00CC1B18">
      <w:pPr>
        <w:pStyle w:val="BodyText"/>
      </w:pPr>
      <w:r w:rsidRPr="009E1FA8">
        <w:t xml:space="preserve">In those jurisdictions where the respective provisions exist, they apply most frequently in the areas of </w:t>
      </w:r>
      <w:r w:rsidRPr="009E1FA8">
        <w:rPr>
          <w:b/>
        </w:rPr>
        <w:t>asylum</w:t>
      </w:r>
      <w:r w:rsidRPr="009E1FA8">
        <w:t xml:space="preserve"> and </w:t>
      </w:r>
      <w:r w:rsidRPr="009E1FA8">
        <w:rPr>
          <w:b/>
        </w:rPr>
        <w:t>migration</w:t>
      </w:r>
      <w:r w:rsidRPr="009E1FA8">
        <w:t xml:space="preserve">, followed by </w:t>
      </w:r>
      <w:r w:rsidRPr="009E1FA8">
        <w:rPr>
          <w:b/>
        </w:rPr>
        <w:t>health</w:t>
      </w:r>
      <w:r w:rsidRPr="009E1FA8">
        <w:t xml:space="preserve">. In contrast, the provisions apply respectively only in two jurisdictions in the area of </w:t>
      </w:r>
      <w:r w:rsidRPr="009E1FA8">
        <w:rPr>
          <w:b/>
        </w:rPr>
        <w:t>education</w:t>
      </w:r>
      <w:r w:rsidR="00C138DB" w:rsidRPr="009E1FA8">
        <w:rPr>
          <w:b/>
        </w:rPr>
        <w:t>:</w:t>
      </w:r>
      <w:r w:rsidRPr="009E1FA8">
        <w:t xml:space="preserve"> </w:t>
      </w:r>
    </w:p>
    <w:p w:rsidR="00C138DB" w:rsidRPr="00E83712" w:rsidRDefault="004149BA" w:rsidP="00E83712">
      <w:pPr>
        <w:pStyle w:val="BTBullet1"/>
        <w:rPr>
          <w:rStyle w:val="apple-converted-space"/>
          <w:rFonts w:cs="Arial"/>
          <w:color w:val="000000"/>
          <w:spacing w:val="6"/>
          <w:szCs w:val="20"/>
          <w:shd w:val="clear" w:color="auto" w:fill="FFFFFF"/>
        </w:rPr>
      </w:pPr>
      <w:r w:rsidRPr="00E83712">
        <w:rPr>
          <w:rStyle w:val="apple-converted-space"/>
          <w:rFonts w:cs="Arial"/>
          <w:color w:val="000000"/>
          <w:spacing w:val="6"/>
          <w:szCs w:val="20"/>
          <w:shd w:val="clear" w:color="auto" w:fill="FFFFFF"/>
        </w:rPr>
        <w:t xml:space="preserve">In </w:t>
      </w:r>
      <w:r w:rsidR="004B666C" w:rsidRPr="00E83712">
        <w:rPr>
          <w:rStyle w:val="apple-converted-space"/>
          <w:rFonts w:cs="Arial"/>
          <w:color w:val="000000"/>
          <w:spacing w:val="6"/>
          <w:szCs w:val="20"/>
          <w:shd w:val="clear" w:color="auto" w:fill="FFFFFF"/>
        </w:rPr>
        <w:t>17</w:t>
      </w:r>
      <w:r w:rsidRPr="00E83712">
        <w:rPr>
          <w:rStyle w:val="apple-converted-space"/>
          <w:rFonts w:cs="Arial"/>
          <w:color w:val="000000"/>
          <w:spacing w:val="6"/>
          <w:szCs w:val="20"/>
          <w:shd w:val="clear" w:color="auto" w:fill="FFFFFF"/>
        </w:rPr>
        <w:t xml:space="preserve"> of the 2</w:t>
      </w:r>
      <w:r w:rsidR="004B666C" w:rsidRPr="00E83712">
        <w:rPr>
          <w:rStyle w:val="apple-converted-space"/>
          <w:rFonts w:cs="Arial"/>
          <w:color w:val="000000"/>
          <w:spacing w:val="6"/>
          <w:szCs w:val="20"/>
          <w:shd w:val="clear" w:color="auto" w:fill="FFFFFF"/>
        </w:rPr>
        <w:t>7</w:t>
      </w:r>
      <w:r w:rsidRPr="00E83712">
        <w:rPr>
          <w:rStyle w:val="apple-converted-space"/>
          <w:rFonts w:cs="Arial"/>
          <w:color w:val="000000"/>
          <w:spacing w:val="6"/>
          <w:szCs w:val="20"/>
          <w:shd w:val="clear" w:color="auto" w:fill="FFFFFF"/>
        </w:rPr>
        <w:t xml:space="preserve"> Jurisdictions where there is a power to restrict the liberty of children in </w:t>
      </w:r>
      <w:r w:rsidRPr="00E83712">
        <w:rPr>
          <w:rStyle w:val="apple-converted-space"/>
          <w:rFonts w:cs="Arial"/>
          <w:b/>
          <w:color w:val="000000"/>
          <w:spacing w:val="6"/>
          <w:szCs w:val="20"/>
          <w:shd w:val="clear" w:color="auto" w:fill="FFFFFF"/>
        </w:rPr>
        <w:t>asylum</w:t>
      </w:r>
      <w:r w:rsidRPr="00E83712">
        <w:rPr>
          <w:rStyle w:val="apple-converted-space"/>
          <w:rFonts w:cs="Arial"/>
          <w:color w:val="000000"/>
          <w:spacing w:val="6"/>
          <w:szCs w:val="20"/>
          <w:shd w:val="clear" w:color="auto" w:fill="FFFFFF"/>
        </w:rPr>
        <w:t xml:space="preserve"> matters, there is statutory provision </w:t>
      </w:r>
      <w:r w:rsidRPr="00E83712">
        <w:rPr>
          <w:szCs w:val="20"/>
          <w:shd w:val="clear" w:color="auto" w:fill="FFFFFF"/>
        </w:rPr>
        <w:t>on the use by judicial authorities of restriction of liberty or detention as a measure of last resort</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10 MS (CZ, DK, FI, LV, LT, MT, </w:t>
      </w:r>
      <w:r w:rsidR="00EA0853" w:rsidRPr="00E83712">
        <w:rPr>
          <w:rStyle w:val="apple-converted-space"/>
          <w:rFonts w:cs="Arial"/>
          <w:color w:val="000000"/>
          <w:spacing w:val="6"/>
          <w:szCs w:val="20"/>
          <w:shd w:val="clear" w:color="auto" w:fill="FFFFFF"/>
        </w:rPr>
        <w:t xml:space="preserve">RO, SI, SK, and </w:t>
      </w:r>
      <w:r w:rsidR="00CD7610" w:rsidRPr="00E83712">
        <w:rPr>
          <w:rStyle w:val="apple-converted-space"/>
          <w:rFonts w:cs="Arial"/>
          <w:color w:val="000000"/>
          <w:spacing w:val="6"/>
          <w:szCs w:val="20"/>
          <w:shd w:val="clear" w:color="auto" w:fill="FFFFFF"/>
        </w:rPr>
        <w:t>UK-S</w:t>
      </w:r>
      <w:r w:rsidR="00EA0853" w:rsidRPr="00E83712">
        <w:rPr>
          <w:rStyle w:val="apple-converted-space"/>
          <w:rFonts w:cs="Arial"/>
          <w:color w:val="000000"/>
          <w:spacing w:val="6"/>
          <w:szCs w:val="20"/>
          <w:shd w:val="clear" w:color="auto" w:fill="FFFFFF"/>
        </w:rPr>
        <w:t>). In 16</w:t>
      </w:r>
      <w:r w:rsidRPr="00E83712">
        <w:rPr>
          <w:rStyle w:val="apple-converted-space"/>
          <w:rFonts w:cs="Arial"/>
          <w:color w:val="000000"/>
          <w:spacing w:val="6"/>
          <w:szCs w:val="20"/>
          <w:shd w:val="clear" w:color="auto" w:fill="FFFFFF"/>
        </w:rPr>
        <w:t xml:space="preserve"> of these jurisdictions there is </w:t>
      </w:r>
      <w:r w:rsidRPr="00E83712">
        <w:rPr>
          <w:szCs w:val="20"/>
          <w:shd w:val="clear" w:color="auto" w:fill="FFFFFF"/>
        </w:rPr>
        <w:t>statutory provision on the use by judicial authorities of restriction of liberty or detention for the shortest possible amount of time.</w:t>
      </w:r>
      <w:r w:rsidR="00050135" w:rsidRPr="00E83712">
        <w:rPr>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11 </w:t>
      </w:r>
      <w:r w:rsidR="00EA0853" w:rsidRPr="00E83712">
        <w:rPr>
          <w:rStyle w:val="apple-converted-space"/>
          <w:rFonts w:cs="Arial"/>
          <w:color w:val="000000"/>
          <w:spacing w:val="6"/>
          <w:szCs w:val="20"/>
          <w:shd w:val="clear" w:color="auto" w:fill="FFFFFF"/>
        </w:rPr>
        <w:t>MS (BG, CZ, DK, EE,</w:t>
      </w:r>
      <w:r w:rsidRPr="00E83712">
        <w:rPr>
          <w:rStyle w:val="apple-converted-space"/>
          <w:rFonts w:cs="Arial"/>
          <w:color w:val="000000"/>
          <w:spacing w:val="6"/>
          <w:szCs w:val="20"/>
          <w:shd w:val="clear" w:color="auto" w:fill="FFFFFF"/>
        </w:rPr>
        <w:t xml:space="preserve"> FI, LV, LT, MT, RO, SI, and </w:t>
      </w:r>
      <w:r w:rsidR="00CD7610" w:rsidRPr="00E83712">
        <w:rPr>
          <w:rStyle w:val="apple-converted-space"/>
          <w:rFonts w:cs="Arial"/>
          <w:color w:val="000000"/>
          <w:spacing w:val="6"/>
          <w:szCs w:val="20"/>
          <w:shd w:val="clear" w:color="auto" w:fill="FFFFFF"/>
        </w:rPr>
        <w:t>UK-S</w:t>
      </w:r>
      <w:r w:rsidRPr="00E83712">
        <w:rPr>
          <w:rStyle w:val="apple-converted-space"/>
          <w:rFonts w:cs="Arial"/>
          <w:color w:val="000000"/>
          <w:spacing w:val="6"/>
          <w:szCs w:val="20"/>
          <w:shd w:val="clear" w:color="auto" w:fill="FFFFFF"/>
        </w:rPr>
        <w:t>).</w:t>
      </w:r>
    </w:p>
    <w:p w:rsidR="00C138DB" w:rsidRPr="00E83712" w:rsidRDefault="004149BA" w:rsidP="00E83712">
      <w:pPr>
        <w:pStyle w:val="BTBullet1"/>
        <w:rPr>
          <w:rStyle w:val="apple-converted-space"/>
          <w:rFonts w:cs="Arial"/>
          <w:color w:val="000000"/>
          <w:spacing w:val="6"/>
          <w:szCs w:val="20"/>
          <w:shd w:val="clear" w:color="auto" w:fill="FFFFFF"/>
        </w:rPr>
      </w:pPr>
      <w:r w:rsidRPr="00E83712">
        <w:rPr>
          <w:rStyle w:val="apple-converted-space"/>
          <w:rFonts w:cs="Arial"/>
          <w:color w:val="000000"/>
          <w:spacing w:val="6"/>
          <w:szCs w:val="20"/>
          <w:shd w:val="clear" w:color="auto" w:fill="FFFFFF"/>
        </w:rPr>
        <w:t>In 1</w:t>
      </w:r>
      <w:r w:rsidR="00B204BC" w:rsidRPr="00E83712">
        <w:rPr>
          <w:rStyle w:val="apple-converted-space"/>
          <w:rFonts w:cs="Arial"/>
          <w:color w:val="000000"/>
          <w:spacing w:val="6"/>
          <w:szCs w:val="20"/>
          <w:shd w:val="clear" w:color="auto" w:fill="FFFFFF"/>
        </w:rPr>
        <w:t xml:space="preserve">6 </w:t>
      </w:r>
      <w:r w:rsidRPr="00E83712">
        <w:rPr>
          <w:rStyle w:val="apple-converted-space"/>
          <w:rFonts w:cs="Arial"/>
          <w:color w:val="000000"/>
          <w:spacing w:val="6"/>
          <w:szCs w:val="20"/>
          <w:shd w:val="clear" w:color="auto" w:fill="FFFFFF"/>
        </w:rPr>
        <w:t xml:space="preserve">of the 27 Jurisdictions where there is a power to restrict the liberty of children in </w:t>
      </w:r>
      <w:r w:rsidRPr="00E83712">
        <w:rPr>
          <w:rStyle w:val="apple-converted-space"/>
          <w:rFonts w:cs="Arial"/>
          <w:b/>
          <w:color w:val="000000"/>
          <w:spacing w:val="6"/>
          <w:szCs w:val="20"/>
          <w:shd w:val="clear" w:color="auto" w:fill="FFFFFF"/>
        </w:rPr>
        <w:t>migration</w:t>
      </w:r>
      <w:r w:rsidRPr="00E83712">
        <w:rPr>
          <w:rStyle w:val="apple-converted-space"/>
          <w:rFonts w:cs="Arial"/>
          <w:color w:val="000000"/>
          <w:spacing w:val="6"/>
          <w:szCs w:val="20"/>
          <w:shd w:val="clear" w:color="auto" w:fill="FFFFFF"/>
        </w:rPr>
        <w:t xml:space="preserve"> matters, there is statutory provision </w:t>
      </w:r>
      <w:r w:rsidRPr="00E83712">
        <w:rPr>
          <w:szCs w:val="20"/>
          <w:shd w:val="clear" w:color="auto" w:fill="FFFFFF"/>
        </w:rPr>
        <w:t>on the use by judicial authorities of restriction of liberty or detention as a measure of last resort</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10 MS (CZ, EE, FI, HR, HU, LV, LT, MT, RO, SI, SK, and </w:t>
      </w:r>
      <w:r w:rsidR="00CD7610" w:rsidRPr="00E83712">
        <w:rPr>
          <w:rStyle w:val="apple-converted-space"/>
          <w:rFonts w:cs="Arial"/>
          <w:color w:val="000000"/>
          <w:spacing w:val="6"/>
          <w:szCs w:val="20"/>
          <w:shd w:val="clear" w:color="auto" w:fill="FFFFFF"/>
        </w:rPr>
        <w:t>UK-S</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In 16 of these jurisdictions there is </w:t>
      </w:r>
      <w:r w:rsidRPr="00E83712">
        <w:rPr>
          <w:szCs w:val="20"/>
          <w:shd w:val="clear" w:color="auto" w:fill="FFFFFF"/>
        </w:rPr>
        <w:t>statutory provision on the use by judicial authorities of restriction of liberty or detention for the shortest possible amount of time.</w:t>
      </w:r>
      <w:r w:rsidR="00050135" w:rsidRPr="00E83712">
        <w:rPr>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11 MS (BG, CZ, DK, EE&lt; FI, HR, LV, LT, MT, SI, and </w:t>
      </w:r>
      <w:r w:rsidR="00CD7610" w:rsidRPr="00E83712">
        <w:rPr>
          <w:rStyle w:val="apple-converted-space"/>
          <w:rFonts w:cs="Arial"/>
          <w:color w:val="000000"/>
          <w:spacing w:val="6"/>
          <w:szCs w:val="20"/>
          <w:shd w:val="clear" w:color="auto" w:fill="FFFFFF"/>
        </w:rPr>
        <w:t>UK-S</w:t>
      </w:r>
      <w:r w:rsidRPr="00E83712">
        <w:rPr>
          <w:rStyle w:val="apple-converted-space"/>
          <w:rFonts w:cs="Arial"/>
          <w:color w:val="000000"/>
          <w:spacing w:val="6"/>
          <w:szCs w:val="20"/>
          <w:shd w:val="clear" w:color="auto" w:fill="FFFFFF"/>
        </w:rPr>
        <w:t>).</w:t>
      </w:r>
    </w:p>
    <w:p w:rsidR="00C138DB" w:rsidRPr="00E83712" w:rsidRDefault="004149BA" w:rsidP="00E83712">
      <w:pPr>
        <w:pStyle w:val="BTBullet1"/>
        <w:rPr>
          <w:rStyle w:val="apple-converted-space"/>
          <w:rFonts w:cs="Arial"/>
          <w:color w:val="000000"/>
          <w:spacing w:val="6"/>
          <w:szCs w:val="20"/>
          <w:shd w:val="clear" w:color="auto" w:fill="FFFFFF"/>
        </w:rPr>
      </w:pPr>
      <w:r w:rsidRPr="00E83712">
        <w:rPr>
          <w:rStyle w:val="apple-converted-space"/>
          <w:rFonts w:cs="Arial"/>
          <w:color w:val="000000"/>
          <w:spacing w:val="6"/>
          <w:szCs w:val="20"/>
          <w:shd w:val="clear" w:color="auto" w:fill="FFFFFF"/>
        </w:rPr>
        <w:t xml:space="preserve">In 13 of the 23 Jurisdictions where there is a power to restrict the liberty of children in </w:t>
      </w:r>
      <w:r w:rsidRPr="00E83712">
        <w:rPr>
          <w:b/>
          <w:szCs w:val="20"/>
        </w:rPr>
        <w:t>mental health</w:t>
      </w:r>
      <w:r w:rsidRPr="00E83712">
        <w:rPr>
          <w:rStyle w:val="apple-converted-space"/>
          <w:rFonts w:cs="Arial"/>
          <w:color w:val="000000"/>
          <w:spacing w:val="6"/>
          <w:szCs w:val="20"/>
          <w:shd w:val="clear" w:color="auto" w:fill="FFFFFF"/>
        </w:rPr>
        <w:t xml:space="preserve"> matters, there is statutory provision </w:t>
      </w:r>
      <w:r w:rsidRPr="00E83712">
        <w:rPr>
          <w:szCs w:val="20"/>
          <w:shd w:val="clear" w:color="auto" w:fill="FFFFFF"/>
        </w:rPr>
        <w:t>on the use by judicial authorities of restriction of liberty or detention as a measure of last resort</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10 MS (EE, FR, DE, EL, HU, IE, LV, MT, NL, and SK). In 13 of these jurisdictions there is </w:t>
      </w:r>
      <w:r w:rsidRPr="00E83712">
        <w:rPr>
          <w:szCs w:val="20"/>
          <w:shd w:val="clear" w:color="auto" w:fill="FFFFFF"/>
        </w:rPr>
        <w:t>statutory provision on the use by judicial authorities of restriction of liberty or detention for the shortest possible amount of time.</w:t>
      </w:r>
      <w:r w:rsidR="00050135" w:rsidRPr="00E83712">
        <w:rPr>
          <w:szCs w:val="20"/>
          <w:shd w:val="clear" w:color="auto" w:fill="FFFFFF"/>
        </w:rPr>
        <w:t xml:space="preserve"> </w:t>
      </w:r>
      <w:r w:rsidRPr="00E83712">
        <w:rPr>
          <w:rStyle w:val="apple-converted-space"/>
          <w:rFonts w:cs="Arial"/>
          <w:color w:val="000000"/>
          <w:spacing w:val="6"/>
          <w:szCs w:val="20"/>
          <w:shd w:val="clear" w:color="auto" w:fill="FFFFFF"/>
        </w:rPr>
        <w:t>There is no such statutory provision in 10 MS (CZ, EE, FR, DE, EL, HU, IE, LV, MT, and NL).</w:t>
      </w:r>
    </w:p>
    <w:p w:rsidR="00C138DB" w:rsidRPr="00E83712" w:rsidRDefault="004149BA" w:rsidP="00E83712">
      <w:pPr>
        <w:pStyle w:val="BTBullet1"/>
        <w:rPr>
          <w:rStyle w:val="apple-converted-space"/>
          <w:rFonts w:cs="Arial"/>
          <w:color w:val="000000"/>
          <w:spacing w:val="6"/>
          <w:szCs w:val="20"/>
          <w:shd w:val="clear" w:color="auto" w:fill="FFFFFF"/>
        </w:rPr>
      </w:pPr>
      <w:r w:rsidRPr="00E83712">
        <w:rPr>
          <w:rStyle w:val="apple-converted-space"/>
          <w:rFonts w:cs="Arial"/>
          <w:color w:val="000000"/>
          <w:spacing w:val="6"/>
          <w:szCs w:val="20"/>
          <w:shd w:val="clear" w:color="auto" w:fill="FFFFFF"/>
        </w:rPr>
        <w:t xml:space="preserve">In </w:t>
      </w:r>
      <w:r w:rsidR="00CC7A1B" w:rsidRPr="00E83712">
        <w:rPr>
          <w:rStyle w:val="apple-converted-space"/>
          <w:rFonts w:cs="Arial"/>
          <w:color w:val="000000"/>
          <w:spacing w:val="6"/>
          <w:szCs w:val="20"/>
          <w:shd w:val="clear" w:color="auto" w:fill="FFFFFF"/>
        </w:rPr>
        <w:t>three</w:t>
      </w:r>
      <w:r w:rsidRPr="00E83712">
        <w:rPr>
          <w:rStyle w:val="apple-converted-space"/>
          <w:rFonts w:cs="Arial"/>
          <w:color w:val="000000"/>
          <w:spacing w:val="6"/>
          <w:szCs w:val="20"/>
          <w:shd w:val="clear" w:color="auto" w:fill="FFFFFF"/>
        </w:rPr>
        <w:t xml:space="preserve"> of the </w:t>
      </w:r>
      <w:r w:rsidR="00CC7A1B" w:rsidRPr="00E83712">
        <w:rPr>
          <w:rStyle w:val="apple-converted-space"/>
          <w:rFonts w:cs="Arial"/>
          <w:color w:val="000000"/>
          <w:spacing w:val="6"/>
          <w:szCs w:val="20"/>
          <w:shd w:val="clear" w:color="auto" w:fill="FFFFFF"/>
        </w:rPr>
        <w:t>eight</w:t>
      </w:r>
      <w:r w:rsidRPr="00E83712">
        <w:rPr>
          <w:rStyle w:val="apple-converted-space"/>
          <w:rFonts w:cs="Arial"/>
          <w:color w:val="000000"/>
          <w:spacing w:val="6"/>
          <w:szCs w:val="20"/>
          <w:shd w:val="clear" w:color="auto" w:fill="FFFFFF"/>
        </w:rPr>
        <w:t xml:space="preserve"> Jurisdictions where there is a power to restrict the liberty of children in </w:t>
      </w:r>
      <w:r w:rsidRPr="00E83712">
        <w:rPr>
          <w:b/>
          <w:szCs w:val="20"/>
        </w:rPr>
        <w:t>administrative sanctions</w:t>
      </w:r>
      <w:r w:rsidRPr="00E83712">
        <w:rPr>
          <w:rStyle w:val="apple-converted-space"/>
          <w:rFonts w:cs="Arial"/>
          <w:color w:val="000000"/>
          <w:spacing w:val="6"/>
          <w:szCs w:val="20"/>
          <w:shd w:val="clear" w:color="auto" w:fill="FFFFFF"/>
        </w:rPr>
        <w:t xml:space="preserve"> matters, there is statutory provision </w:t>
      </w:r>
      <w:r w:rsidRPr="00E83712">
        <w:rPr>
          <w:szCs w:val="20"/>
          <w:shd w:val="clear" w:color="auto" w:fill="FFFFFF"/>
        </w:rPr>
        <w:t>on the use by judicial authorities of restriction of liberty or detention as a measure of last resort</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w:t>
      </w:r>
      <w:r w:rsidR="00CC7A1B" w:rsidRPr="00E83712">
        <w:rPr>
          <w:rStyle w:val="apple-converted-space"/>
          <w:rFonts w:cs="Arial"/>
          <w:color w:val="000000"/>
          <w:spacing w:val="6"/>
          <w:szCs w:val="20"/>
          <w:shd w:val="clear" w:color="auto" w:fill="FFFFFF"/>
        </w:rPr>
        <w:t>five</w:t>
      </w:r>
      <w:r w:rsidRPr="00E83712">
        <w:rPr>
          <w:rStyle w:val="apple-converted-space"/>
          <w:rFonts w:cs="Arial"/>
          <w:color w:val="000000"/>
          <w:spacing w:val="6"/>
          <w:szCs w:val="20"/>
          <w:shd w:val="clear" w:color="auto" w:fill="FFFFFF"/>
        </w:rPr>
        <w:t xml:space="preserve"> MS (CZ, DE, HU, LT, and SK).</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In </w:t>
      </w:r>
      <w:r w:rsidR="00CC7A1B" w:rsidRPr="00E83712">
        <w:rPr>
          <w:rStyle w:val="apple-converted-space"/>
          <w:rFonts w:cs="Arial"/>
          <w:color w:val="000000"/>
          <w:spacing w:val="6"/>
          <w:szCs w:val="20"/>
          <w:shd w:val="clear" w:color="auto" w:fill="FFFFFF"/>
        </w:rPr>
        <w:t>four</w:t>
      </w:r>
      <w:r w:rsidRPr="00E83712">
        <w:rPr>
          <w:rStyle w:val="apple-converted-space"/>
          <w:rFonts w:cs="Arial"/>
          <w:color w:val="000000"/>
          <w:spacing w:val="6"/>
          <w:szCs w:val="20"/>
          <w:shd w:val="clear" w:color="auto" w:fill="FFFFFF"/>
        </w:rPr>
        <w:t xml:space="preserve"> of these jurisdictions there is </w:t>
      </w:r>
      <w:r w:rsidRPr="00E83712">
        <w:rPr>
          <w:szCs w:val="20"/>
          <w:shd w:val="clear" w:color="auto" w:fill="FFFFFF"/>
        </w:rPr>
        <w:t>statutory provision on the use by judicial authorities of restriction of liberty or detention for the shortest possible amount of time.</w:t>
      </w:r>
      <w:r w:rsidR="00050135" w:rsidRPr="00E83712">
        <w:rPr>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w:t>
      </w:r>
      <w:r w:rsidR="00CC7A1B" w:rsidRPr="00E83712">
        <w:rPr>
          <w:rStyle w:val="apple-converted-space"/>
          <w:rFonts w:cs="Arial"/>
          <w:color w:val="000000"/>
          <w:spacing w:val="6"/>
          <w:szCs w:val="20"/>
          <w:shd w:val="clear" w:color="auto" w:fill="FFFFFF"/>
        </w:rPr>
        <w:t>four</w:t>
      </w:r>
      <w:r w:rsidRPr="00E83712">
        <w:rPr>
          <w:rStyle w:val="apple-converted-space"/>
          <w:rFonts w:cs="Arial"/>
          <w:color w:val="000000"/>
          <w:spacing w:val="6"/>
          <w:szCs w:val="20"/>
          <w:shd w:val="clear" w:color="auto" w:fill="FFFFFF"/>
        </w:rPr>
        <w:t xml:space="preserve"> MS (CZ, DE, LT, and HU).</w:t>
      </w:r>
    </w:p>
    <w:p w:rsidR="00C138DB" w:rsidRPr="00E83712" w:rsidRDefault="004149BA" w:rsidP="00E83712">
      <w:pPr>
        <w:pStyle w:val="BTBullet1"/>
        <w:rPr>
          <w:rStyle w:val="apple-converted-space"/>
          <w:rFonts w:cs="Arial"/>
          <w:color w:val="000000"/>
          <w:spacing w:val="6"/>
          <w:szCs w:val="20"/>
          <w:shd w:val="clear" w:color="auto" w:fill="FFFFFF"/>
        </w:rPr>
      </w:pPr>
      <w:r w:rsidRPr="00E83712">
        <w:rPr>
          <w:rStyle w:val="apple-converted-space"/>
          <w:rFonts w:cs="Arial"/>
          <w:color w:val="000000"/>
          <w:spacing w:val="6"/>
          <w:szCs w:val="20"/>
          <w:shd w:val="clear" w:color="auto" w:fill="FFFFFF"/>
        </w:rPr>
        <w:t xml:space="preserve">In </w:t>
      </w:r>
      <w:r w:rsidR="00CC7A1B" w:rsidRPr="00E83712">
        <w:rPr>
          <w:rStyle w:val="apple-converted-space"/>
          <w:rFonts w:cs="Arial"/>
          <w:color w:val="000000"/>
          <w:spacing w:val="6"/>
          <w:szCs w:val="20"/>
          <w:shd w:val="clear" w:color="auto" w:fill="FFFFFF"/>
        </w:rPr>
        <w:t>seven</w:t>
      </w:r>
      <w:r w:rsidRPr="00E83712">
        <w:rPr>
          <w:rStyle w:val="apple-converted-space"/>
          <w:rFonts w:cs="Arial"/>
          <w:color w:val="000000"/>
          <w:spacing w:val="6"/>
          <w:szCs w:val="20"/>
          <w:shd w:val="clear" w:color="auto" w:fill="FFFFFF"/>
        </w:rPr>
        <w:t xml:space="preserve"> of the 12 Jurisdictions where there is a power to restrict the liberty of children </w:t>
      </w:r>
      <w:r w:rsidRPr="00E83712">
        <w:rPr>
          <w:szCs w:val="20"/>
        </w:rPr>
        <w:t xml:space="preserve">for </w:t>
      </w:r>
      <w:r w:rsidRPr="00E83712">
        <w:rPr>
          <w:b/>
          <w:szCs w:val="20"/>
        </w:rPr>
        <w:t xml:space="preserve">offences committed below </w:t>
      </w:r>
      <w:r w:rsidR="00C138DB" w:rsidRPr="00E83712">
        <w:rPr>
          <w:b/>
          <w:szCs w:val="20"/>
        </w:rPr>
        <w:t>MACR</w:t>
      </w:r>
      <w:r w:rsidRPr="00E83712">
        <w:rPr>
          <w:rStyle w:val="apple-converted-space"/>
          <w:rFonts w:cs="Arial"/>
          <w:color w:val="000000"/>
          <w:spacing w:val="6"/>
          <w:szCs w:val="20"/>
          <w:shd w:val="clear" w:color="auto" w:fill="FFFFFF"/>
        </w:rPr>
        <w:t xml:space="preserve">, there is statutory provision </w:t>
      </w:r>
      <w:r w:rsidRPr="00E83712">
        <w:rPr>
          <w:szCs w:val="20"/>
          <w:shd w:val="clear" w:color="auto" w:fill="FFFFFF"/>
        </w:rPr>
        <w:t>on the use by judicial authorities of restriction of liberty or detention as a measure of last resort</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w:t>
      </w:r>
      <w:r w:rsidR="00CC7A1B" w:rsidRPr="00E83712">
        <w:rPr>
          <w:rStyle w:val="apple-converted-space"/>
          <w:rFonts w:cs="Arial"/>
          <w:color w:val="000000"/>
          <w:spacing w:val="6"/>
          <w:szCs w:val="20"/>
          <w:shd w:val="clear" w:color="auto" w:fill="FFFFFF"/>
        </w:rPr>
        <w:t>five</w:t>
      </w:r>
      <w:r w:rsidRPr="00E83712">
        <w:rPr>
          <w:rStyle w:val="apple-converted-space"/>
          <w:rFonts w:cs="Arial"/>
          <w:color w:val="000000"/>
          <w:spacing w:val="6"/>
          <w:szCs w:val="20"/>
          <w:shd w:val="clear" w:color="auto" w:fill="FFFFFF"/>
        </w:rPr>
        <w:t xml:space="preserve"> MS (CZ, FR, LV, SE, and SK).</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In </w:t>
      </w:r>
      <w:r w:rsidR="00CC7A1B" w:rsidRPr="00E83712">
        <w:rPr>
          <w:rStyle w:val="apple-converted-space"/>
          <w:rFonts w:cs="Arial"/>
          <w:color w:val="000000"/>
          <w:spacing w:val="6"/>
          <w:szCs w:val="20"/>
          <w:shd w:val="clear" w:color="auto" w:fill="FFFFFF"/>
        </w:rPr>
        <w:t>eight</w:t>
      </w:r>
      <w:r w:rsidRPr="00E83712">
        <w:rPr>
          <w:rStyle w:val="apple-converted-space"/>
          <w:rFonts w:cs="Arial"/>
          <w:color w:val="000000"/>
          <w:spacing w:val="6"/>
          <w:szCs w:val="20"/>
          <w:shd w:val="clear" w:color="auto" w:fill="FFFFFF"/>
        </w:rPr>
        <w:t xml:space="preserve"> of these jurisdictions there is </w:t>
      </w:r>
      <w:r w:rsidRPr="00E83712">
        <w:rPr>
          <w:szCs w:val="20"/>
          <w:shd w:val="clear" w:color="auto" w:fill="FFFFFF"/>
        </w:rPr>
        <w:t>statutory provision on the use by judicial authorities of restriction of liberty or detention for the shortest possible amount of time.</w:t>
      </w:r>
      <w:r w:rsidR="00050135" w:rsidRPr="00E83712">
        <w:rPr>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w:t>
      </w:r>
      <w:r w:rsidR="00BB308F" w:rsidRPr="00E83712">
        <w:rPr>
          <w:rStyle w:val="apple-converted-space"/>
          <w:rFonts w:cs="Arial"/>
          <w:color w:val="000000"/>
          <w:spacing w:val="6"/>
          <w:szCs w:val="20"/>
          <w:shd w:val="clear" w:color="auto" w:fill="FFFFFF"/>
        </w:rPr>
        <w:t>four</w:t>
      </w:r>
      <w:r w:rsidRPr="00E83712">
        <w:rPr>
          <w:rStyle w:val="apple-converted-space"/>
          <w:rFonts w:cs="Arial"/>
          <w:color w:val="000000"/>
          <w:spacing w:val="6"/>
          <w:szCs w:val="20"/>
          <w:shd w:val="clear" w:color="auto" w:fill="FFFFFF"/>
        </w:rPr>
        <w:t xml:space="preserve"> MS (CZ, FR, LV, and SE).</w:t>
      </w:r>
    </w:p>
    <w:p w:rsidR="00C138DB" w:rsidRPr="00E83712" w:rsidRDefault="004149BA" w:rsidP="00E83712">
      <w:pPr>
        <w:pStyle w:val="BTBullet1"/>
        <w:rPr>
          <w:rStyle w:val="apple-converted-space"/>
          <w:rFonts w:cs="Arial"/>
          <w:color w:val="000000"/>
          <w:spacing w:val="6"/>
          <w:szCs w:val="20"/>
          <w:shd w:val="clear" w:color="auto" w:fill="FFFFFF"/>
        </w:rPr>
      </w:pPr>
      <w:r w:rsidRPr="00E83712">
        <w:rPr>
          <w:rStyle w:val="apple-converted-space"/>
          <w:rFonts w:cs="Arial"/>
          <w:color w:val="000000"/>
          <w:spacing w:val="6"/>
          <w:szCs w:val="20"/>
          <w:shd w:val="clear" w:color="auto" w:fill="FFFFFF"/>
        </w:rPr>
        <w:t xml:space="preserve">In </w:t>
      </w:r>
      <w:r w:rsidR="009C72AD" w:rsidRPr="00E83712">
        <w:rPr>
          <w:rStyle w:val="apple-converted-space"/>
          <w:rFonts w:cs="Arial"/>
          <w:color w:val="000000"/>
          <w:spacing w:val="6"/>
          <w:szCs w:val="20"/>
          <w:shd w:val="clear" w:color="auto" w:fill="FFFFFF"/>
        </w:rPr>
        <w:t>five</w:t>
      </w:r>
      <w:r w:rsidRPr="00E83712">
        <w:rPr>
          <w:rStyle w:val="apple-converted-space"/>
          <w:rFonts w:cs="Arial"/>
          <w:color w:val="000000"/>
          <w:spacing w:val="6"/>
          <w:szCs w:val="20"/>
          <w:shd w:val="clear" w:color="auto" w:fill="FFFFFF"/>
        </w:rPr>
        <w:t xml:space="preserve"> of the 10 Jurisdictions where there is a power to restrict the liberty of children </w:t>
      </w:r>
      <w:r w:rsidRPr="00E83712">
        <w:rPr>
          <w:szCs w:val="20"/>
        </w:rPr>
        <w:t xml:space="preserve">by </w:t>
      </w:r>
      <w:r w:rsidRPr="00E83712">
        <w:rPr>
          <w:b/>
          <w:szCs w:val="20"/>
        </w:rPr>
        <w:t>placing them into care</w:t>
      </w:r>
      <w:r w:rsidRPr="00E83712">
        <w:rPr>
          <w:szCs w:val="20"/>
        </w:rPr>
        <w:t xml:space="preserve"> when they do not consent</w:t>
      </w:r>
      <w:r w:rsidRPr="00E83712">
        <w:rPr>
          <w:rStyle w:val="apple-converted-space"/>
          <w:rFonts w:cs="Arial"/>
          <w:color w:val="000000"/>
          <w:spacing w:val="6"/>
          <w:szCs w:val="20"/>
          <w:shd w:val="clear" w:color="auto" w:fill="FFFFFF"/>
        </w:rPr>
        <w:t xml:space="preserve">, there is statutory provision </w:t>
      </w:r>
      <w:r w:rsidRPr="00E83712">
        <w:rPr>
          <w:szCs w:val="20"/>
          <w:shd w:val="clear" w:color="auto" w:fill="FFFFFF"/>
        </w:rPr>
        <w:t>on the use by judicial authorities of restriction of liberty or detention as a measure of last resort</w:t>
      </w:r>
      <w:r w:rsidRPr="00E83712">
        <w:rPr>
          <w:rStyle w:val="apple-converted-space"/>
          <w:rFonts w:cs="Arial"/>
          <w:color w:val="000000"/>
          <w:spacing w:val="6"/>
          <w:szCs w:val="20"/>
          <w:shd w:val="clear" w:color="auto" w:fill="FFFFFF"/>
        </w:rPr>
        <w:t>.</w:t>
      </w:r>
      <w:r w:rsidR="00050135" w:rsidRPr="00E83712">
        <w:rPr>
          <w:rStyle w:val="apple-converted-space"/>
          <w:rFonts w:cs="Arial"/>
          <w:color w:val="000000"/>
          <w:spacing w:val="6"/>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10 MS (DK, IE, NL, PT, and RO). In </w:t>
      </w:r>
      <w:r w:rsidR="00BB308F" w:rsidRPr="00E83712">
        <w:rPr>
          <w:rStyle w:val="apple-converted-space"/>
          <w:rFonts w:cs="Arial"/>
          <w:color w:val="000000"/>
          <w:spacing w:val="6"/>
          <w:szCs w:val="20"/>
          <w:shd w:val="clear" w:color="auto" w:fill="FFFFFF"/>
        </w:rPr>
        <w:t>five</w:t>
      </w:r>
      <w:r w:rsidRPr="00E83712">
        <w:rPr>
          <w:rStyle w:val="apple-converted-space"/>
          <w:rFonts w:cs="Arial"/>
          <w:color w:val="000000"/>
          <w:spacing w:val="6"/>
          <w:szCs w:val="20"/>
          <w:shd w:val="clear" w:color="auto" w:fill="FFFFFF"/>
        </w:rPr>
        <w:t xml:space="preserve"> of these jurisdictions there is </w:t>
      </w:r>
      <w:r w:rsidRPr="00E83712">
        <w:rPr>
          <w:szCs w:val="20"/>
          <w:shd w:val="clear" w:color="auto" w:fill="FFFFFF"/>
        </w:rPr>
        <w:t>statutory provision on the use by judicial authorities of restriction of liberty or detention for the shortest possible amount of time.</w:t>
      </w:r>
      <w:r w:rsidR="00050135" w:rsidRPr="00E83712">
        <w:rPr>
          <w:szCs w:val="20"/>
          <w:shd w:val="clear" w:color="auto" w:fill="FFFFFF"/>
        </w:rPr>
        <w:t xml:space="preserve"> </w:t>
      </w:r>
      <w:r w:rsidRPr="00E83712">
        <w:rPr>
          <w:rStyle w:val="apple-converted-space"/>
          <w:rFonts w:cs="Arial"/>
          <w:color w:val="000000"/>
          <w:spacing w:val="6"/>
          <w:szCs w:val="20"/>
          <w:shd w:val="clear" w:color="auto" w:fill="FFFFFF"/>
        </w:rPr>
        <w:t xml:space="preserve">There is no such statutory provision in </w:t>
      </w:r>
      <w:r w:rsidR="00BB308F" w:rsidRPr="00E83712">
        <w:rPr>
          <w:rStyle w:val="apple-converted-space"/>
          <w:rFonts w:cs="Arial"/>
          <w:color w:val="000000"/>
          <w:spacing w:val="6"/>
          <w:szCs w:val="20"/>
          <w:shd w:val="clear" w:color="auto" w:fill="FFFFFF"/>
        </w:rPr>
        <w:t>five</w:t>
      </w:r>
      <w:r w:rsidRPr="00E83712">
        <w:rPr>
          <w:rStyle w:val="apple-converted-space"/>
          <w:rFonts w:cs="Arial"/>
          <w:color w:val="000000"/>
          <w:spacing w:val="6"/>
          <w:szCs w:val="20"/>
          <w:shd w:val="clear" w:color="auto" w:fill="FFFFFF"/>
        </w:rPr>
        <w:t xml:space="preserve"> MS (CZ, IE, NL, PT, and RO).</w:t>
      </w:r>
    </w:p>
    <w:p w:rsidR="004149BA" w:rsidRPr="00C138DB" w:rsidRDefault="004149BA" w:rsidP="00E83712">
      <w:pPr>
        <w:pStyle w:val="BTBullet1"/>
        <w:rPr>
          <w:shd w:val="clear" w:color="auto" w:fill="FFFFFF"/>
        </w:rPr>
      </w:pPr>
      <w:r w:rsidRPr="00E83712">
        <w:rPr>
          <w:rStyle w:val="apple-converted-space"/>
          <w:rFonts w:cs="Arial"/>
          <w:color w:val="000000"/>
          <w:spacing w:val="6"/>
          <w:szCs w:val="20"/>
          <w:shd w:val="clear" w:color="auto" w:fill="FFFFFF"/>
        </w:rPr>
        <w:t xml:space="preserve">In EE and SK where there is a power to restrict the liberty of children in </w:t>
      </w:r>
      <w:r w:rsidRPr="00E83712">
        <w:rPr>
          <w:b/>
          <w:szCs w:val="20"/>
        </w:rPr>
        <w:t>education</w:t>
      </w:r>
      <w:r w:rsidRPr="00E83712">
        <w:rPr>
          <w:rStyle w:val="apple-converted-space"/>
          <w:rFonts w:cs="Arial"/>
          <w:color w:val="000000"/>
          <w:spacing w:val="6"/>
          <w:szCs w:val="20"/>
          <w:shd w:val="clear" w:color="auto" w:fill="FFFFFF"/>
        </w:rPr>
        <w:t xml:space="preserve"> matters, there is no statutory provision </w:t>
      </w:r>
      <w:r w:rsidRPr="00E83712">
        <w:rPr>
          <w:szCs w:val="20"/>
          <w:shd w:val="clear" w:color="auto" w:fill="FFFFFF"/>
        </w:rPr>
        <w:t>on the use by judicial authorities of restriction of liberty or detention as a measure of last resort.</w:t>
      </w:r>
      <w:r w:rsidR="00050135" w:rsidRPr="00E83712">
        <w:rPr>
          <w:szCs w:val="20"/>
          <w:shd w:val="clear" w:color="auto" w:fill="FFFFFF"/>
        </w:rPr>
        <w:t xml:space="preserve"> </w:t>
      </w:r>
      <w:r w:rsidRPr="00E83712">
        <w:rPr>
          <w:szCs w:val="20"/>
          <w:shd w:val="clear" w:color="auto" w:fill="FFFFFF"/>
        </w:rPr>
        <w:t xml:space="preserve">In SK </w:t>
      </w:r>
      <w:r w:rsidRPr="00E83712">
        <w:rPr>
          <w:rStyle w:val="apple-converted-space"/>
          <w:rFonts w:cs="Arial"/>
          <w:color w:val="000000"/>
          <w:spacing w:val="6"/>
          <w:szCs w:val="20"/>
          <w:shd w:val="clear" w:color="auto" w:fill="FFFFFF"/>
        </w:rPr>
        <w:t>there is</w:t>
      </w:r>
      <w:r w:rsidRPr="00C138DB">
        <w:rPr>
          <w:rStyle w:val="apple-converted-space"/>
          <w:rFonts w:cs="Arial"/>
          <w:color w:val="000000"/>
          <w:spacing w:val="6"/>
          <w:sz w:val="22"/>
          <w:szCs w:val="22"/>
          <w:shd w:val="clear" w:color="auto" w:fill="FFFFFF"/>
        </w:rPr>
        <w:t xml:space="preserve"> </w:t>
      </w:r>
      <w:r w:rsidRPr="00C138DB">
        <w:rPr>
          <w:shd w:val="clear" w:color="auto" w:fill="FFFFFF"/>
        </w:rPr>
        <w:t xml:space="preserve">statutory provision on the use by judicial authorities of restriction of liberty or detention for the shortest possible amount of time, but not in EE. </w:t>
      </w:r>
    </w:p>
    <w:p w:rsidR="007F1FC0" w:rsidRDefault="008703AC" w:rsidP="00E83712">
      <w:pPr>
        <w:pStyle w:val="BodyText"/>
      </w:pPr>
      <w:r w:rsidRPr="00C138DB">
        <w:t xml:space="preserve">One manifestation of the principle of using restriction of liberty as a measure of last resort for the shortest possible amount of time is the existence of </w:t>
      </w:r>
      <w:r w:rsidRPr="0074608E">
        <w:rPr>
          <w:b/>
        </w:rPr>
        <w:t>maximum time-limits</w:t>
      </w:r>
      <w:r w:rsidRPr="00C138DB">
        <w:t xml:space="preserve"> that a child can be held in detention. These </w:t>
      </w:r>
      <w:r w:rsidR="00C138DB">
        <w:t xml:space="preserve">maximum time-limits </w:t>
      </w:r>
      <w:r w:rsidRPr="00C138DB">
        <w:t xml:space="preserve">primarily exist in the areas of </w:t>
      </w:r>
      <w:r w:rsidRPr="0074608E">
        <w:rPr>
          <w:b/>
        </w:rPr>
        <w:t>asylum and migration</w:t>
      </w:r>
      <w:r w:rsidRPr="00C138DB">
        <w:t>; only rarely do they exist in the area of health (including mental health).</w:t>
      </w:r>
      <w:r w:rsidR="007F1FC0">
        <w:t xml:space="preserve"> </w:t>
      </w:r>
    </w:p>
    <w:p w:rsidR="007F1FC0" w:rsidRPr="007F1FC0" w:rsidRDefault="007F1FC0" w:rsidP="00E83712">
      <w:pPr>
        <w:pStyle w:val="BodyText"/>
      </w:pPr>
      <w:r w:rsidRPr="007F1FC0">
        <w:t xml:space="preserve">The maximum time-limits for restricting the liberty of children in the areas of asylum and migration vary significantly across MS. For example, in the area of asylum, the following time-limits apply: 90 days in HR; 60 days in PT; 30 days in HU; 30 days in SK; 14 days in NL; 7 days in LV. </w:t>
      </w:r>
    </w:p>
    <w:p w:rsidR="008703AC" w:rsidRPr="0090409B" w:rsidRDefault="008703AC" w:rsidP="00E83712">
      <w:pPr>
        <w:pStyle w:val="Heading4NoNumb"/>
        <w:ind w:left="851"/>
      </w:pPr>
      <w:r w:rsidRPr="004B117E">
        <w:t>Existence of independent systems to monitor the appropriate use of detention</w:t>
      </w:r>
      <w:r w:rsidRPr="0090409B">
        <w:t xml:space="preserve"> (CivAdm169)</w:t>
      </w:r>
    </w:p>
    <w:p w:rsidR="008703AC" w:rsidRDefault="008703AC" w:rsidP="00E83712">
      <w:pPr>
        <w:pStyle w:val="BodyText"/>
      </w:pPr>
      <w:r>
        <w:t>Twenty-three jurisdictions</w:t>
      </w:r>
      <w:r w:rsidRPr="00777B48">
        <w:t xml:space="preserve"> </w:t>
      </w:r>
      <w:r>
        <w:t xml:space="preserve">provide for an independent system for monitoring the appropriate use of detention (BE, BG, CY, CZ, DK, EE, EL, ES, FI, FR, HR, HU, IE, IT, LT, LV, NL, PL, SE, SI, UK-E&amp;W, UK-NI and </w:t>
      </w:r>
      <w:r w:rsidR="00CD7610">
        <w:t>UK-S</w:t>
      </w:r>
      <w:r>
        <w:t xml:space="preserve">). </w:t>
      </w:r>
    </w:p>
    <w:p w:rsidR="00950D9F" w:rsidRPr="00CC1B18" w:rsidRDefault="008703AC" w:rsidP="00CC1B18">
      <w:pPr>
        <w:pStyle w:val="BodyText"/>
      </w:pPr>
      <w:r>
        <w:t xml:space="preserve">Where such monitoring system exists, </w:t>
      </w:r>
      <w:r w:rsidR="00950D9F">
        <w:t>they</w:t>
      </w:r>
      <w:r>
        <w:t xml:space="preserve"> appl</w:t>
      </w:r>
      <w:r w:rsidR="00950D9F">
        <w:t>y</w:t>
      </w:r>
      <w:r>
        <w:t xml:space="preserve"> most </w:t>
      </w:r>
      <w:r w:rsidR="00950D9F">
        <w:t xml:space="preserve">frequently </w:t>
      </w:r>
      <w:r>
        <w:t xml:space="preserve">in the areas of </w:t>
      </w:r>
      <w:r w:rsidRPr="00112A13">
        <w:rPr>
          <w:b/>
        </w:rPr>
        <w:t>migration</w:t>
      </w:r>
      <w:r>
        <w:rPr>
          <w:b/>
        </w:rPr>
        <w:t xml:space="preserve"> and asylum </w:t>
      </w:r>
      <w:r>
        <w:t xml:space="preserve">(21 and 20 jurisdictions respectively), followed by </w:t>
      </w:r>
      <w:r w:rsidRPr="00112A13">
        <w:rPr>
          <w:b/>
        </w:rPr>
        <w:t>health</w:t>
      </w:r>
      <w:r>
        <w:rPr>
          <w:b/>
        </w:rPr>
        <w:t xml:space="preserve"> </w:t>
      </w:r>
      <w:r>
        <w:t xml:space="preserve">(15 jurisdictions). In contrast, the system applies in the area of </w:t>
      </w:r>
      <w:r w:rsidRPr="00112A13">
        <w:rPr>
          <w:b/>
        </w:rPr>
        <w:t>education</w:t>
      </w:r>
      <w:r w:rsidR="00D341B4">
        <w:t xml:space="preserve"> in only two jurisdictions.</w:t>
      </w:r>
      <w:r>
        <w:t xml:space="preserve"> In BG, the system applies in all areas of law except administrative sanctions. In contrast, the monitoring system applies in only one area of law in IE (health), and in two areas of law (asylum and education) </w:t>
      </w:r>
      <w:r w:rsidR="00D341B4">
        <w:t>in seven jurisdictions (in FR it</w:t>
      </w:r>
      <w:r>
        <w:t xml:space="preserve"> applies in migration and health).</w:t>
      </w:r>
    </w:p>
    <w:p w:rsidR="00F860E6" w:rsidRPr="00950D9F" w:rsidRDefault="00F860E6" w:rsidP="00E83712">
      <w:pPr>
        <w:pStyle w:val="BTBullet1"/>
      </w:pPr>
      <w:r w:rsidRPr="00950D9F">
        <w:t>In 1</w:t>
      </w:r>
      <w:r w:rsidR="00685D6D">
        <w:t>9 of the 27</w:t>
      </w:r>
      <w:r w:rsidRPr="00950D9F">
        <w:t xml:space="preserve"> jurisdictions where there is a power to restrict the liberty of children in </w:t>
      </w:r>
      <w:r w:rsidRPr="00950D9F">
        <w:rPr>
          <w:b/>
        </w:rPr>
        <w:t>asylum matters</w:t>
      </w:r>
      <w:r w:rsidRPr="00950D9F">
        <w:t>, there are independent systems to monitor the appropriate use of detention.</w:t>
      </w:r>
      <w:r w:rsidR="00050135">
        <w:t xml:space="preserve"> </w:t>
      </w:r>
      <w:r w:rsidRPr="00950D9F">
        <w:t xml:space="preserve">There are no such systems in </w:t>
      </w:r>
      <w:r w:rsidR="00BB308F">
        <w:t>eight</w:t>
      </w:r>
      <w:r w:rsidR="00BB308F" w:rsidRPr="00950D9F">
        <w:t xml:space="preserve"> </w:t>
      </w:r>
      <w:r w:rsidRPr="00950D9F">
        <w:t xml:space="preserve">MS (AT, DE, HU, LU, MT, PT, RO, SK). </w:t>
      </w:r>
    </w:p>
    <w:p w:rsidR="00F860E6" w:rsidRPr="00950D9F" w:rsidRDefault="00F860E6" w:rsidP="00E83712">
      <w:pPr>
        <w:pStyle w:val="BTBullet1"/>
      </w:pPr>
      <w:r w:rsidRPr="00950D9F">
        <w:t xml:space="preserve">In 10 of the 27 jurisdictions where there is a power to restrict the liberty of children in </w:t>
      </w:r>
      <w:r w:rsidRPr="00950D9F">
        <w:rPr>
          <w:rFonts w:cs="Arial"/>
          <w:b/>
        </w:rPr>
        <w:t>migration</w:t>
      </w:r>
      <w:r w:rsidRPr="00950D9F">
        <w:t>, there are independent systems to monitor the appropriate use of detention.</w:t>
      </w:r>
      <w:r w:rsidR="00050135">
        <w:t xml:space="preserve"> </w:t>
      </w:r>
      <w:r w:rsidRPr="00950D9F">
        <w:t xml:space="preserve">There are no such systems in </w:t>
      </w:r>
      <w:r w:rsidR="00BB308F">
        <w:t>seven</w:t>
      </w:r>
      <w:r w:rsidRPr="00950D9F">
        <w:t xml:space="preserve"> MS (AT, HR, DE, LU, MT, RO, and SK). </w:t>
      </w:r>
    </w:p>
    <w:p w:rsidR="00F860E6" w:rsidRPr="00950D9F" w:rsidRDefault="00F860E6" w:rsidP="00E83712">
      <w:pPr>
        <w:pStyle w:val="BTBullet1"/>
      </w:pPr>
      <w:r w:rsidRPr="00950D9F">
        <w:t xml:space="preserve">In 13 of the 23 jurisdictions where there is a power to restrict the liberty of children in </w:t>
      </w:r>
      <w:r w:rsidRPr="00950D9F">
        <w:rPr>
          <w:rFonts w:cs="Arial"/>
          <w:b/>
        </w:rPr>
        <w:t xml:space="preserve">mental health </w:t>
      </w:r>
      <w:r w:rsidRPr="00950D9F">
        <w:rPr>
          <w:rFonts w:cs="Arial"/>
        </w:rPr>
        <w:t>matters</w:t>
      </w:r>
      <w:r w:rsidRPr="00950D9F">
        <w:t>, there are independent systems to monitor the appropriate use of detention.</w:t>
      </w:r>
      <w:r w:rsidR="00050135">
        <w:t xml:space="preserve"> </w:t>
      </w:r>
      <w:r w:rsidRPr="00950D9F">
        <w:t xml:space="preserve">There are no such systems in 10 MS (FI, DE, EL, LU, MT, NL, RO, SK, UK-E&amp;W, and UK-NI). </w:t>
      </w:r>
    </w:p>
    <w:p w:rsidR="00950D9F" w:rsidRPr="00950D9F" w:rsidRDefault="00F860E6" w:rsidP="00E83712">
      <w:pPr>
        <w:pStyle w:val="BTBullet1"/>
      </w:pPr>
      <w:r w:rsidRPr="00950D9F">
        <w:t xml:space="preserve">In </w:t>
      </w:r>
      <w:r w:rsidR="00BB308F">
        <w:t>two</w:t>
      </w:r>
      <w:r w:rsidRPr="00950D9F">
        <w:t xml:space="preserve"> of the </w:t>
      </w:r>
      <w:r w:rsidR="00BB308F">
        <w:t>eight</w:t>
      </w:r>
      <w:r w:rsidRPr="00950D9F">
        <w:t xml:space="preserve"> jurisdictions where there is a power to restrict the liberty of children in </w:t>
      </w:r>
      <w:r w:rsidRPr="00950D9F">
        <w:rPr>
          <w:rFonts w:cs="Arial"/>
          <w:b/>
        </w:rPr>
        <w:t>administrative sanctions</w:t>
      </w:r>
      <w:r w:rsidRPr="00950D9F">
        <w:t>, there are independent systems to monitor the appropriate use of detention.</w:t>
      </w:r>
      <w:r w:rsidR="00050135">
        <w:t xml:space="preserve"> </w:t>
      </w:r>
      <w:r w:rsidRPr="00950D9F">
        <w:t xml:space="preserve">These are HR and HU.  </w:t>
      </w:r>
    </w:p>
    <w:p w:rsidR="00950D9F" w:rsidRPr="00950D9F" w:rsidRDefault="00F860E6" w:rsidP="00E83712">
      <w:pPr>
        <w:pStyle w:val="BTBullet1"/>
      </w:pPr>
      <w:r w:rsidRPr="00950D9F">
        <w:t xml:space="preserve">In </w:t>
      </w:r>
      <w:r w:rsidR="00BB308F">
        <w:t>six</w:t>
      </w:r>
      <w:r w:rsidRPr="00950D9F">
        <w:t xml:space="preserve"> of the 12 jurisdictions where there is a power to restrict the liberty of children </w:t>
      </w:r>
      <w:r w:rsidRPr="00950D9F">
        <w:rPr>
          <w:rFonts w:cs="Arial"/>
        </w:rPr>
        <w:t xml:space="preserve">for </w:t>
      </w:r>
      <w:r w:rsidRPr="00950D9F">
        <w:rPr>
          <w:rFonts w:cs="Arial"/>
          <w:b/>
        </w:rPr>
        <w:t>offences committed below the age of criminal responsibility</w:t>
      </w:r>
      <w:r w:rsidRPr="00950D9F">
        <w:t>, there are independent systems to monitor the appropriate use of detention.</w:t>
      </w:r>
      <w:r w:rsidR="00050135">
        <w:t xml:space="preserve"> </w:t>
      </w:r>
      <w:r w:rsidRPr="00950D9F">
        <w:t xml:space="preserve">There are no such systems in </w:t>
      </w:r>
      <w:r w:rsidR="00BB308F">
        <w:t>six</w:t>
      </w:r>
      <w:r w:rsidRPr="00950D9F">
        <w:t xml:space="preserve"> MS (FI, FR, LU, PT, SE, and SK). </w:t>
      </w:r>
    </w:p>
    <w:p w:rsidR="00950D9F" w:rsidRPr="00950D9F" w:rsidRDefault="00F860E6" w:rsidP="00E83712">
      <w:pPr>
        <w:pStyle w:val="BTBullet1"/>
        <w:rPr>
          <w:rFonts w:cs="Arial"/>
        </w:rPr>
      </w:pPr>
      <w:r w:rsidRPr="00950D9F">
        <w:t xml:space="preserve">In </w:t>
      </w:r>
      <w:r w:rsidR="00BB308F">
        <w:t>five</w:t>
      </w:r>
      <w:r w:rsidRPr="00950D9F">
        <w:t xml:space="preserve"> of the 10 jurisdictions where there is a power to restrict the liberty of children </w:t>
      </w:r>
      <w:r w:rsidRPr="00950D9F">
        <w:rPr>
          <w:rFonts w:cs="Arial"/>
        </w:rPr>
        <w:t xml:space="preserve">by </w:t>
      </w:r>
      <w:r w:rsidRPr="00950D9F">
        <w:rPr>
          <w:rFonts w:cs="Arial"/>
          <w:b/>
        </w:rPr>
        <w:t>placing them into care</w:t>
      </w:r>
      <w:r w:rsidRPr="00950D9F">
        <w:rPr>
          <w:rFonts w:cs="Arial"/>
        </w:rPr>
        <w:t xml:space="preserve"> when they do not consent</w:t>
      </w:r>
      <w:r w:rsidRPr="00950D9F">
        <w:t>, there are independent systems to monitor the appropriate use of detention.</w:t>
      </w:r>
      <w:r w:rsidR="00050135">
        <w:t xml:space="preserve"> </w:t>
      </w:r>
      <w:r w:rsidRPr="00950D9F">
        <w:t xml:space="preserve">There are no such </w:t>
      </w:r>
      <w:r w:rsidRPr="00950D9F">
        <w:rPr>
          <w:rFonts w:cs="Arial"/>
        </w:rPr>
        <w:t xml:space="preserve">systems in </w:t>
      </w:r>
      <w:r w:rsidR="003B44F9">
        <w:rPr>
          <w:rFonts w:cs="Arial"/>
        </w:rPr>
        <w:t>five</w:t>
      </w:r>
      <w:r w:rsidRPr="00950D9F">
        <w:rPr>
          <w:rFonts w:cs="Arial"/>
        </w:rPr>
        <w:t xml:space="preserve"> MS (BE, CZ, DK, EE, and ES). </w:t>
      </w:r>
    </w:p>
    <w:p w:rsidR="006E7C61" w:rsidRDefault="00950D9F" w:rsidP="00E83712">
      <w:pPr>
        <w:pStyle w:val="BTBullet1"/>
        <w:rPr>
          <w:rFonts w:cs="Arial"/>
        </w:rPr>
      </w:pPr>
      <w:r w:rsidRPr="0002098B">
        <w:rPr>
          <w:rFonts w:cs="Arial"/>
        </w:rPr>
        <w:t>In</w:t>
      </w:r>
      <w:r w:rsidR="00F860E6" w:rsidRPr="0002098B">
        <w:rPr>
          <w:rFonts w:cs="Arial"/>
        </w:rPr>
        <w:t xml:space="preserve"> EE and SK, where there is a power to restrict the liberty of children in </w:t>
      </w:r>
      <w:r w:rsidR="00F860E6" w:rsidRPr="0002098B">
        <w:rPr>
          <w:rFonts w:cs="Arial"/>
          <w:b/>
        </w:rPr>
        <w:t>education</w:t>
      </w:r>
      <w:r w:rsidR="00F860E6" w:rsidRPr="003E7128">
        <w:rPr>
          <w:rFonts w:cs="Arial"/>
        </w:rPr>
        <w:t xml:space="preserve"> matters, there are independent systems to monitor the appropriate use of detention in EE but not in SK.</w:t>
      </w:r>
    </w:p>
    <w:p w:rsidR="00E83712" w:rsidRPr="0002098B" w:rsidRDefault="00E83712" w:rsidP="00E83712">
      <w:pPr>
        <w:pStyle w:val="BTBullet1"/>
        <w:numPr>
          <w:ilvl w:val="0"/>
          <w:numId w:val="0"/>
        </w:numPr>
        <w:ind w:left="1191"/>
        <w:rPr>
          <w:rFonts w:cs="Arial"/>
        </w:rPr>
      </w:pP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6E7C61" w:rsidRPr="000F388C" w:rsidTr="009C72AD">
        <w:trPr>
          <w:trHeight w:val="214"/>
        </w:trPr>
        <w:tc>
          <w:tcPr>
            <w:tcW w:w="8222" w:type="dxa"/>
            <w:shd w:val="clear" w:color="auto" w:fill="CDEBFF"/>
          </w:tcPr>
          <w:p w:rsidR="006E7C61" w:rsidRPr="00694BE0" w:rsidRDefault="006E7C61" w:rsidP="00173CAC">
            <w:pPr>
              <w:pStyle w:val="BoxNumb"/>
              <w:numPr>
                <w:ilvl w:val="4"/>
                <w:numId w:val="27"/>
              </w:numPr>
              <w:rPr>
                <w:sz w:val="26"/>
                <w:szCs w:val="26"/>
              </w:rPr>
            </w:pPr>
            <w:r w:rsidRPr="00694BE0">
              <w:rPr>
                <w:sz w:val="26"/>
                <w:szCs w:val="26"/>
              </w:rPr>
              <w:t>Sweden – safeguards for children in detention in the context of asylum and migration</w:t>
            </w:r>
          </w:p>
          <w:p w:rsidR="00241E4F" w:rsidRDefault="006E7C61" w:rsidP="006E7C61">
            <w:pPr>
              <w:pStyle w:val="TableText"/>
              <w:rPr>
                <w:bCs/>
                <w:sz w:val="20"/>
                <w:szCs w:val="20"/>
              </w:rPr>
            </w:pPr>
            <w:r>
              <w:rPr>
                <w:bCs/>
                <w:sz w:val="20"/>
                <w:szCs w:val="20"/>
              </w:rPr>
              <w:t>Children</w:t>
            </w:r>
            <w:r w:rsidRPr="006E7C61">
              <w:rPr>
                <w:bCs/>
                <w:sz w:val="20"/>
                <w:szCs w:val="20"/>
              </w:rPr>
              <w:t xml:space="preserve"> who are not Swedish nationals </w:t>
            </w:r>
            <w:r>
              <w:rPr>
                <w:bCs/>
                <w:sz w:val="20"/>
                <w:szCs w:val="20"/>
              </w:rPr>
              <w:t xml:space="preserve">can be subject to </w:t>
            </w:r>
            <w:r w:rsidRPr="006E7C61">
              <w:rPr>
                <w:bCs/>
                <w:sz w:val="20"/>
                <w:szCs w:val="20"/>
              </w:rPr>
              <w:t>administrative detention for reasons connected to migration, including where asylum has been claimed.</w:t>
            </w:r>
            <w:r>
              <w:rPr>
                <w:bCs/>
                <w:sz w:val="20"/>
                <w:szCs w:val="20"/>
              </w:rPr>
              <w:t xml:space="preserve"> A variety of safeguards have been established </w:t>
            </w:r>
            <w:r w:rsidR="00241E4F">
              <w:rPr>
                <w:bCs/>
                <w:sz w:val="20"/>
                <w:szCs w:val="20"/>
              </w:rPr>
              <w:t>in order to make the detention as least burdensome as possible in the case of children.</w:t>
            </w:r>
          </w:p>
          <w:p w:rsidR="00F860E6" w:rsidRDefault="00F860E6" w:rsidP="00F860E6">
            <w:pPr>
              <w:pStyle w:val="TableText"/>
              <w:rPr>
                <w:b/>
                <w:bCs/>
                <w:i/>
                <w:sz w:val="20"/>
                <w:szCs w:val="20"/>
              </w:rPr>
            </w:pPr>
            <w:r>
              <w:rPr>
                <w:b/>
                <w:bCs/>
                <w:i/>
                <w:sz w:val="20"/>
                <w:szCs w:val="20"/>
              </w:rPr>
              <w:t>Right to appeal</w:t>
            </w:r>
          </w:p>
          <w:p w:rsidR="00F860E6" w:rsidRDefault="00F860E6" w:rsidP="00F860E6">
            <w:pPr>
              <w:pStyle w:val="TableText"/>
              <w:rPr>
                <w:bCs/>
                <w:sz w:val="20"/>
                <w:szCs w:val="20"/>
              </w:rPr>
            </w:pPr>
            <w:r w:rsidRPr="00241E4F">
              <w:rPr>
                <w:bCs/>
                <w:sz w:val="20"/>
                <w:szCs w:val="20"/>
              </w:rPr>
              <w:t>All individuals (adults and children alike) have a right to appeal to court, without any time limits, again</w:t>
            </w:r>
            <w:r>
              <w:rPr>
                <w:bCs/>
                <w:sz w:val="20"/>
                <w:szCs w:val="20"/>
              </w:rPr>
              <w:t>st an administrative decision or</w:t>
            </w:r>
            <w:r w:rsidRPr="00241E4F">
              <w:rPr>
                <w:bCs/>
                <w:sz w:val="20"/>
                <w:szCs w:val="20"/>
              </w:rPr>
              <w:t xml:space="preserve"> restriction of liberty in the context of migration and asylum proceedings</w:t>
            </w:r>
          </w:p>
          <w:p w:rsidR="00F860E6" w:rsidRDefault="00F860E6" w:rsidP="00F860E6">
            <w:pPr>
              <w:pStyle w:val="TableText"/>
              <w:rPr>
                <w:b/>
                <w:bCs/>
                <w:i/>
                <w:sz w:val="20"/>
                <w:szCs w:val="20"/>
              </w:rPr>
            </w:pPr>
            <w:r>
              <w:rPr>
                <w:b/>
                <w:bCs/>
                <w:i/>
                <w:sz w:val="20"/>
                <w:szCs w:val="20"/>
              </w:rPr>
              <w:t>Detention as a measure of last resort</w:t>
            </w:r>
          </w:p>
          <w:p w:rsidR="00F860E6" w:rsidRDefault="00F860E6" w:rsidP="00F860E6">
            <w:pPr>
              <w:keepNext/>
              <w:keepLines/>
              <w:widowControl w:val="0"/>
              <w:spacing w:before="0" w:after="0" w:line="240" w:lineRule="auto"/>
              <w:jc w:val="both"/>
              <w:rPr>
                <w:bCs/>
              </w:rPr>
            </w:pPr>
            <w:r>
              <w:rPr>
                <w:bCs/>
              </w:rPr>
              <w:t>A child may be detained in only two circumstances.</w:t>
            </w:r>
            <w:r w:rsidR="00050135">
              <w:rPr>
                <w:bCs/>
              </w:rPr>
              <w:t xml:space="preserve"> </w:t>
            </w:r>
            <w:r>
              <w:rPr>
                <w:bCs/>
              </w:rPr>
              <w:t>The first is when the child is about to be removed from Sweden with immediate effect and subjecting the child to reporting restrictions would be insufficient to prevent the child from frustrating removal by absconding.</w:t>
            </w:r>
            <w:r w:rsidR="00050135">
              <w:rPr>
                <w:bCs/>
              </w:rPr>
              <w:t xml:space="preserve"> </w:t>
            </w:r>
            <w:r>
              <w:rPr>
                <w:bCs/>
              </w:rPr>
              <w:t xml:space="preserve">The second is where there is a need to make or execute a decision to remove or deport a child and, </w:t>
            </w:r>
            <w:r w:rsidRPr="00343709">
              <w:rPr>
                <w:bCs/>
              </w:rPr>
              <w:t>during a previous attempt to execute the removal or deportation decision it has proven to be insufficient to place the child under reporting requirements</w:t>
            </w:r>
            <w:r>
              <w:rPr>
                <w:bCs/>
              </w:rPr>
              <w:t xml:space="preserve">. </w:t>
            </w:r>
          </w:p>
          <w:p w:rsidR="00F860E6" w:rsidRDefault="00F860E6" w:rsidP="00F860E6">
            <w:pPr>
              <w:keepNext/>
              <w:keepLines/>
              <w:widowControl w:val="0"/>
              <w:spacing w:before="0" w:after="0" w:line="240" w:lineRule="auto"/>
              <w:jc w:val="both"/>
              <w:rPr>
                <w:bCs/>
              </w:rPr>
            </w:pPr>
          </w:p>
          <w:p w:rsidR="00F860E6" w:rsidRDefault="00F860E6" w:rsidP="00F860E6">
            <w:pPr>
              <w:pStyle w:val="TableText"/>
              <w:rPr>
                <w:b/>
                <w:bCs/>
                <w:i/>
                <w:sz w:val="20"/>
                <w:szCs w:val="20"/>
              </w:rPr>
            </w:pPr>
            <w:r>
              <w:rPr>
                <w:b/>
                <w:bCs/>
                <w:i/>
                <w:sz w:val="20"/>
                <w:szCs w:val="20"/>
              </w:rPr>
              <w:t>Detention for the shortest possible amount of time</w:t>
            </w:r>
          </w:p>
          <w:p w:rsidR="00241E4F" w:rsidRPr="00F860E6" w:rsidRDefault="00F860E6" w:rsidP="00F860E6">
            <w:pPr>
              <w:widowControl w:val="0"/>
              <w:spacing w:before="0" w:after="0" w:line="240" w:lineRule="auto"/>
              <w:jc w:val="both"/>
              <w:rPr>
                <w:bCs/>
              </w:rPr>
            </w:pPr>
            <w:r>
              <w:rPr>
                <w:bCs/>
              </w:rPr>
              <w:t xml:space="preserve">A child can </w:t>
            </w:r>
            <w:r w:rsidRPr="00343709">
              <w:rPr>
                <w:bCs/>
              </w:rPr>
              <w:t>be held in detention, in the first instance, for a maximum of 72 hours</w:t>
            </w:r>
            <w:r>
              <w:rPr>
                <w:bCs/>
              </w:rPr>
              <w:t xml:space="preserve">. </w:t>
            </w:r>
            <w:r w:rsidRPr="00343709">
              <w:rPr>
                <w:bCs/>
              </w:rPr>
              <w:t>A child can be held in detention for a further maximum period of 72 hours only if there are exceptional reasons for doing so</w:t>
            </w:r>
            <w:r>
              <w:rPr>
                <w:bCs/>
              </w:rPr>
              <w:t xml:space="preserve">. A decision to detain either an adult or a child must be rescinded immediately if the reason for detention ceases to apply. </w:t>
            </w:r>
          </w:p>
        </w:tc>
      </w:tr>
    </w:tbl>
    <w:p w:rsidR="00E83712" w:rsidRDefault="00E83712" w:rsidP="00D734A5">
      <w:pPr>
        <w:spacing w:before="0" w:after="0" w:line="240" w:lineRule="auto"/>
        <w:rPr>
          <w:sz w:val="22"/>
          <w:szCs w:val="22"/>
        </w:rPr>
      </w:pP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E83712" w:rsidTr="004017DA">
        <w:tc>
          <w:tcPr>
            <w:tcW w:w="8222" w:type="dxa"/>
            <w:shd w:val="clear" w:color="auto" w:fill="CDEBFF"/>
          </w:tcPr>
          <w:p w:rsidR="00E83712" w:rsidRPr="00E83712" w:rsidRDefault="00E83712" w:rsidP="00E83712">
            <w:pPr>
              <w:pStyle w:val="TableText"/>
              <w:rPr>
                <w:rFonts w:ascii="Calibri" w:hAnsi="Calibri"/>
                <w:b/>
                <w:color w:val="0067AC"/>
                <w:sz w:val="26"/>
                <w:szCs w:val="26"/>
              </w:rPr>
            </w:pPr>
            <w:r w:rsidRPr="00E83712">
              <w:rPr>
                <w:rFonts w:ascii="Calibri" w:hAnsi="Calibri"/>
                <w:b/>
                <w:color w:val="0067AC"/>
                <w:sz w:val="26"/>
                <w:szCs w:val="26"/>
              </w:rPr>
              <w:t>General observations: restrictions on liberty</w:t>
            </w:r>
          </w:p>
          <w:p w:rsidR="00E83712" w:rsidRDefault="00E83712" w:rsidP="00E83712">
            <w:pPr>
              <w:pStyle w:val="Bullet1"/>
            </w:pPr>
            <w:r>
              <w:t xml:space="preserve">Children’s freedom of movement can be restricted in a variety of circumstances connected to their involvement in civil and/or administrative judicial proceedings, most commonly in the areas of asylum (27 jurisdictions), migration (27 jurisdictions) and mental health (27 jurisdictions). </w:t>
            </w:r>
          </w:p>
          <w:p w:rsidR="00E83712" w:rsidRDefault="00E83712" w:rsidP="00E83712">
            <w:pPr>
              <w:pStyle w:val="Bullet1"/>
            </w:pPr>
            <w:r>
              <w:t xml:space="preserve">In nine jurisdictions statutory provisions exist to restrict children’s liberty for offences/ offending behaviour below the MACR as a measure of last resort. </w:t>
            </w:r>
          </w:p>
          <w:p w:rsidR="00E83712" w:rsidRDefault="00E83712" w:rsidP="00E83712">
            <w:pPr>
              <w:pStyle w:val="Bullet1"/>
            </w:pPr>
            <w:r>
              <w:t>Children have a right to appeal an administrative decision to restrict their liberty in almost all jurisdictions (and areas of law) where the power to restrict a child’s liberty exists. However, there are exceptions. These exceptions occur most frequently in the area of health, where children in six jurisdictions do not have such a right.</w:t>
            </w:r>
          </w:p>
          <w:p w:rsidR="00E83712" w:rsidRDefault="00E83712" w:rsidP="00E83712">
            <w:pPr>
              <w:pStyle w:val="Bullet1"/>
            </w:pPr>
            <w:r>
              <w:t>Statutory provisions on the use of restrictions of liberty or detention as a measure of last resort exist in 24 jurisdictions and for the shortest possible amount of time in 26 jurisdictions.</w:t>
            </w:r>
          </w:p>
          <w:p w:rsidR="00E83712" w:rsidRPr="00E83712" w:rsidRDefault="00E83712" w:rsidP="00E83712">
            <w:pPr>
              <w:pStyle w:val="Bullet1"/>
            </w:pPr>
            <w:r>
              <w:t>Twenty-three jurisdictions provide for an independent system for monitoring the appropriate use of detention. Where such monitoring systems exist, they apply most frequently in the areas of migration and asylum (21 and 20 jurisdictions respectively), followed by health (15 jurisdictions).</w:t>
            </w:r>
          </w:p>
        </w:tc>
      </w:tr>
    </w:tbl>
    <w:p w:rsidR="00095207" w:rsidRDefault="0091781B" w:rsidP="00A7584E">
      <w:pPr>
        <w:pStyle w:val="Heading2"/>
      </w:pPr>
      <w:bookmarkStart w:id="222" w:name="_Toc406590162"/>
      <w:bookmarkStart w:id="223" w:name="_Toc408908739"/>
      <w:r>
        <w:t>Providing children with l</w:t>
      </w:r>
      <w:r w:rsidR="00095207">
        <w:t>egal remedies and compensation for violation of rights or failure to act</w:t>
      </w:r>
      <w:bookmarkEnd w:id="222"/>
      <w:bookmarkEnd w:id="223"/>
    </w:p>
    <w:p w:rsidR="0074608E" w:rsidRDefault="00827505" w:rsidP="00E83712">
      <w:pPr>
        <w:pStyle w:val="BodyText"/>
      </w:pPr>
      <w:r>
        <w:t xml:space="preserve">This </w:t>
      </w:r>
      <w:r w:rsidR="00A02448">
        <w:t xml:space="preserve">sub </w:t>
      </w:r>
      <w:r>
        <w:t xml:space="preserve">section considers the existence of </w:t>
      </w:r>
      <w:r w:rsidR="0074608E">
        <w:t>the following</w:t>
      </w:r>
      <w:r w:rsidR="002C74C1">
        <w:t xml:space="preserve"> legal remedies</w:t>
      </w:r>
      <w:r w:rsidR="006E338C">
        <w:t>/safeguards</w:t>
      </w:r>
      <w:r w:rsidR="006E1C41">
        <w:t xml:space="preserve"> for </w:t>
      </w:r>
      <w:r w:rsidR="006E1C41" w:rsidRPr="006E1C41">
        <w:t>children whose rights have been violated in civil or administrative judicial proceedings</w:t>
      </w:r>
      <w:r w:rsidR="0074608E">
        <w:t>:</w:t>
      </w:r>
      <w:r w:rsidR="008A1E36">
        <w:t xml:space="preserve"> </w:t>
      </w:r>
    </w:p>
    <w:p w:rsidR="0074608E" w:rsidRPr="006E338C" w:rsidRDefault="0074608E" w:rsidP="00E83712">
      <w:pPr>
        <w:pStyle w:val="BTBullet1"/>
      </w:pPr>
      <w:r w:rsidRPr="006E338C">
        <w:t>Right</w:t>
      </w:r>
      <w:r w:rsidR="00127DB0" w:rsidRPr="006E338C">
        <w:t xml:space="preserve"> </w:t>
      </w:r>
      <w:r w:rsidR="002C74C1" w:rsidRPr="006E338C">
        <w:t>of the child, the child’s legal representative or other entities (e.g. social services) to appeal court decisions</w:t>
      </w:r>
      <w:r w:rsidR="008A1E36" w:rsidRPr="006E338C">
        <w:t xml:space="preserve"> involving children</w:t>
      </w:r>
      <w:r w:rsidR="00127DB0" w:rsidRPr="006E338C">
        <w:t>;</w:t>
      </w:r>
      <w:r w:rsidR="00050135">
        <w:t xml:space="preserve"> </w:t>
      </w:r>
    </w:p>
    <w:p w:rsidR="006E338C" w:rsidRPr="006E338C" w:rsidRDefault="0074608E" w:rsidP="00E83712">
      <w:pPr>
        <w:pStyle w:val="BTBullet1"/>
      </w:pPr>
      <w:r w:rsidRPr="006E338C">
        <w:t xml:space="preserve">Legal </w:t>
      </w:r>
      <w:r w:rsidR="00696F3F" w:rsidRPr="006E338C">
        <w:t xml:space="preserve">obligation to secure </w:t>
      </w:r>
      <w:r w:rsidR="00127DB0" w:rsidRPr="006E338C">
        <w:t xml:space="preserve">the right </w:t>
      </w:r>
      <w:r w:rsidR="008A1E36" w:rsidRPr="006E338C">
        <w:t xml:space="preserve">of </w:t>
      </w:r>
      <w:r w:rsidR="00696F3F" w:rsidRPr="006E338C">
        <w:t>a</w:t>
      </w:r>
      <w:r w:rsidR="008A1E36" w:rsidRPr="006E338C">
        <w:t xml:space="preserve"> child, or the child’s legal representative</w:t>
      </w:r>
      <w:r w:rsidR="00696F3F" w:rsidRPr="006E338C">
        <w:t xml:space="preserve"> on his/her behalf</w:t>
      </w:r>
      <w:r w:rsidR="008A1E36" w:rsidRPr="006E338C">
        <w:t xml:space="preserve">, </w:t>
      </w:r>
      <w:r w:rsidR="00127DB0" w:rsidRPr="006E338C">
        <w:t>to claim compensation for damages caused by violation of rights</w:t>
      </w:r>
      <w:r w:rsidR="008A1E36" w:rsidRPr="006E338C">
        <w:t xml:space="preserve">; </w:t>
      </w:r>
    </w:p>
    <w:p w:rsidR="006E338C" w:rsidRPr="006E338C" w:rsidRDefault="006E338C" w:rsidP="00E83712">
      <w:pPr>
        <w:pStyle w:val="BTBullet1"/>
      </w:pPr>
      <w:r w:rsidRPr="006E338C">
        <w:t>R</w:t>
      </w:r>
      <w:r w:rsidR="008A1E36" w:rsidRPr="006E338C">
        <w:t xml:space="preserve">ight of the court or the child involved in judicial proceedings to </w:t>
      </w:r>
      <w:r w:rsidR="00F766FB" w:rsidRPr="006E338C">
        <w:t>take action when a conflict of interest arises between the child and his/her parents</w:t>
      </w:r>
      <w:r w:rsidRPr="006E338C">
        <w:t>; and,</w:t>
      </w:r>
    </w:p>
    <w:p w:rsidR="00127DB0" w:rsidRPr="006E338C" w:rsidRDefault="006E338C" w:rsidP="00E83712">
      <w:pPr>
        <w:pStyle w:val="BTBullet1"/>
      </w:pPr>
      <w:r w:rsidRPr="006E338C">
        <w:t xml:space="preserve">Provision of support to </w:t>
      </w:r>
      <w:r w:rsidR="008A1E36" w:rsidRPr="006E338C">
        <w:t>children and/or their legal representative with support to</w:t>
      </w:r>
      <w:r w:rsidR="00127DB0" w:rsidRPr="006E338C">
        <w:t xml:space="preserve"> access remedies and compensation.</w:t>
      </w:r>
    </w:p>
    <w:p w:rsidR="00127DB0" w:rsidRPr="009E7E7A" w:rsidRDefault="00827505" w:rsidP="00E83712">
      <w:pPr>
        <w:pStyle w:val="Heading4NoNumb"/>
        <w:ind w:left="851"/>
      </w:pPr>
      <w:r w:rsidRPr="009E7E7A">
        <w:t>The right to a</w:t>
      </w:r>
      <w:r w:rsidR="00127DB0" w:rsidRPr="009E7E7A">
        <w:t>ppeal</w:t>
      </w:r>
      <w:r w:rsidRPr="009E7E7A">
        <w:t xml:space="preserve"> </w:t>
      </w:r>
      <w:r w:rsidR="00127DB0" w:rsidRPr="009E7E7A">
        <w:t xml:space="preserve">court decisions </w:t>
      </w:r>
    </w:p>
    <w:p w:rsidR="00E760AA" w:rsidRPr="009E7E7A" w:rsidRDefault="00E760AA" w:rsidP="00E83712">
      <w:pPr>
        <w:pStyle w:val="Heading4NoNumb"/>
        <w:ind w:left="851"/>
      </w:pPr>
      <w:r w:rsidRPr="009E7E7A">
        <w:t>Right of the child</w:t>
      </w:r>
      <w:r w:rsidR="001B09EA" w:rsidRPr="009E7E7A">
        <w:t xml:space="preserve"> to appeal</w:t>
      </w:r>
      <w:r w:rsidR="00B37868">
        <w:t xml:space="preserve"> (CivAdm173)</w:t>
      </w:r>
    </w:p>
    <w:p w:rsidR="00127DB0" w:rsidRDefault="009E7E7A" w:rsidP="00E83712">
      <w:pPr>
        <w:pStyle w:val="BodyText"/>
      </w:pPr>
      <w:r>
        <w:t>In a</w:t>
      </w:r>
      <w:r w:rsidR="00127DB0">
        <w:t>ll MS except CY, CZ, DE, HU, IE, MT and RO</w:t>
      </w:r>
      <w:r>
        <w:t>,</w:t>
      </w:r>
      <w:r w:rsidR="00127DB0">
        <w:t xml:space="preserve"> children involved in civil or administrative judicial proceedings </w:t>
      </w:r>
      <w:r>
        <w:t xml:space="preserve">have </w:t>
      </w:r>
      <w:r w:rsidR="00127DB0">
        <w:t xml:space="preserve">a </w:t>
      </w:r>
      <w:r w:rsidR="00127DB0" w:rsidRPr="00834B1A">
        <w:rPr>
          <w:b/>
        </w:rPr>
        <w:t xml:space="preserve">statutory right to appeal a court decision </w:t>
      </w:r>
      <w:r w:rsidR="00127DB0" w:rsidRPr="00834B1A">
        <w:t xml:space="preserve">in </w:t>
      </w:r>
      <w:r>
        <w:t xml:space="preserve">their </w:t>
      </w:r>
      <w:r w:rsidR="00127DB0" w:rsidRPr="00834B1A">
        <w:t xml:space="preserve">own </w:t>
      </w:r>
      <w:r w:rsidR="006E338C">
        <w:t>name</w:t>
      </w:r>
      <w:r w:rsidR="00127DB0">
        <w:t xml:space="preserve"> rather than through a legal representative – subject to the minimum age conditions reviewed in </w:t>
      </w:r>
      <w:r w:rsidR="00127DB0" w:rsidRPr="006E338C">
        <w:rPr>
          <w:b/>
          <w:color w:val="0070C0"/>
        </w:rPr>
        <w:t xml:space="preserve">Section </w:t>
      </w:r>
      <w:r w:rsidR="006E338C" w:rsidRPr="006E338C">
        <w:rPr>
          <w:b/>
          <w:color w:val="0070C0"/>
        </w:rPr>
        <w:fldChar w:fldCharType="begin"/>
      </w:r>
      <w:r w:rsidR="006E338C" w:rsidRPr="006E338C">
        <w:rPr>
          <w:b/>
          <w:color w:val="0070C0"/>
        </w:rPr>
        <w:instrText xml:space="preserve"> REF _Ref395829672 \r \h  \* MERGEFORMAT </w:instrText>
      </w:r>
      <w:r w:rsidR="006E338C" w:rsidRPr="006E338C">
        <w:rPr>
          <w:b/>
          <w:color w:val="0070C0"/>
        </w:rPr>
      </w:r>
      <w:r w:rsidR="006E338C" w:rsidRPr="006E338C">
        <w:rPr>
          <w:b/>
          <w:color w:val="0070C0"/>
        </w:rPr>
        <w:fldChar w:fldCharType="separate"/>
      </w:r>
      <w:r w:rsidR="000223E8">
        <w:rPr>
          <w:b/>
          <w:color w:val="0070C0"/>
        </w:rPr>
        <w:t>3.3</w:t>
      </w:r>
      <w:r w:rsidR="006E338C" w:rsidRPr="006E338C">
        <w:rPr>
          <w:b/>
          <w:color w:val="0070C0"/>
        </w:rPr>
        <w:fldChar w:fldCharType="end"/>
      </w:r>
      <w:r w:rsidR="006E338C">
        <w:t xml:space="preserve"> </w:t>
      </w:r>
      <w:r w:rsidR="00127DB0">
        <w:t xml:space="preserve">above. </w:t>
      </w:r>
    </w:p>
    <w:p w:rsidR="00712990" w:rsidRDefault="00127DB0" w:rsidP="00E83712">
      <w:pPr>
        <w:pStyle w:val="BodyText"/>
      </w:pPr>
      <w:r>
        <w:t xml:space="preserve">In </w:t>
      </w:r>
      <w:r w:rsidR="00211906">
        <w:t xml:space="preserve">about half of </w:t>
      </w:r>
      <w:r>
        <w:t xml:space="preserve">the jurisdictions where </w:t>
      </w:r>
      <w:r w:rsidR="002C74C1">
        <w:t>such a</w:t>
      </w:r>
      <w:r>
        <w:t xml:space="preserve"> statutory provision exists, the provision </w:t>
      </w:r>
      <w:r w:rsidR="00211906">
        <w:t>applies</w:t>
      </w:r>
      <w:r>
        <w:t xml:space="preserve"> </w:t>
      </w:r>
      <w:r w:rsidR="009E7E7A">
        <w:t>in</w:t>
      </w:r>
      <w:r>
        <w:t xml:space="preserve"> </w:t>
      </w:r>
      <w:r w:rsidRPr="00834B1A">
        <w:rPr>
          <w:b/>
        </w:rPr>
        <w:t>all or most of the areas of law</w:t>
      </w:r>
      <w:r>
        <w:t xml:space="preserve">. For example, in 12 jurisdictions (BE, BG, HR, EE, FI, EL, NL, PT, SK, ES, SE and </w:t>
      </w:r>
      <w:r w:rsidR="00CD7610">
        <w:t>UK-S</w:t>
      </w:r>
      <w:r w:rsidR="00712990">
        <w:t xml:space="preserve">) the provision applies in six or more </w:t>
      </w:r>
      <w:r>
        <w:t>areas of law</w:t>
      </w:r>
      <w:r w:rsidR="00712990">
        <w:t xml:space="preserve">. </w:t>
      </w:r>
      <w:r w:rsidR="00211906">
        <w:t xml:space="preserve">In contrast, the provision applies in only </w:t>
      </w:r>
      <w:r w:rsidR="00211906" w:rsidRPr="006E338C">
        <w:t xml:space="preserve">one or two areas of law in </w:t>
      </w:r>
      <w:r w:rsidR="00572F09">
        <w:t>six</w:t>
      </w:r>
      <w:r w:rsidR="00211906" w:rsidRPr="006E338C">
        <w:t xml:space="preserve"> MS </w:t>
      </w:r>
      <w:r w:rsidR="00211906">
        <w:t xml:space="preserve">(DK: placement into care; FR: family and placement into care; IT: employment; PL: administrative sanctions and offences committed below </w:t>
      </w:r>
      <w:r w:rsidR="006E338C">
        <w:t>MACR</w:t>
      </w:r>
      <w:r w:rsidR="00211906">
        <w:t>; UK-E&amp;W and UK-NI: education).</w:t>
      </w:r>
    </w:p>
    <w:p w:rsidR="00211906" w:rsidRDefault="00712990" w:rsidP="00E83712">
      <w:pPr>
        <w:pStyle w:val="BodyText"/>
      </w:pPr>
      <w:r>
        <w:t xml:space="preserve">The provision applies most commonly in the area of </w:t>
      </w:r>
      <w:r w:rsidRPr="006E338C">
        <w:rPr>
          <w:b/>
        </w:rPr>
        <w:t>family law</w:t>
      </w:r>
      <w:r>
        <w:t xml:space="preserve"> (17 jurisdictions). The provision applies least commonly in the areas of </w:t>
      </w:r>
      <w:r w:rsidR="00127DB0" w:rsidRPr="00834B1A">
        <w:rPr>
          <w:b/>
        </w:rPr>
        <w:t xml:space="preserve">administrative sanctions </w:t>
      </w:r>
      <w:r w:rsidR="00127DB0" w:rsidRPr="00834B1A">
        <w:t>and</w:t>
      </w:r>
      <w:r w:rsidR="00127DB0" w:rsidRPr="00834B1A">
        <w:rPr>
          <w:b/>
        </w:rPr>
        <w:t xml:space="preserve"> offences committed below </w:t>
      </w:r>
      <w:r w:rsidR="006E338C">
        <w:rPr>
          <w:b/>
        </w:rPr>
        <w:t>MACR</w:t>
      </w:r>
      <w:r>
        <w:rPr>
          <w:b/>
        </w:rPr>
        <w:t xml:space="preserve"> </w:t>
      </w:r>
      <w:r w:rsidRPr="00712990">
        <w:t xml:space="preserve">(nine and </w:t>
      </w:r>
      <w:r w:rsidR="00572F09">
        <w:t>10</w:t>
      </w:r>
      <w:r w:rsidRPr="00712990">
        <w:t xml:space="preserve"> jurisdictions, respectively)</w:t>
      </w:r>
      <w:r w:rsidR="00127DB0" w:rsidRPr="00712990">
        <w:t>.</w:t>
      </w:r>
      <w:r w:rsidR="00127DB0">
        <w:t xml:space="preserve"> </w:t>
      </w:r>
    </w:p>
    <w:p w:rsidR="00127DB0" w:rsidRDefault="00127DB0" w:rsidP="00E83712">
      <w:pPr>
        <w:pStyle w:val="BodyText"/>
      </w:pPr>
      <w:r>
        <w:t xml:space="preserve">In most jurisdictions that provide children with a right to appeal a court decision in their own right, the provision </w:t>
      </w:r>
      <w:r w:rsidR="006454B4">
        <w:t>normally</w:t>
      </w:r>
      <w:r>
        <w:t xml:space="preserve"> only </w:t>
      </w:r>
      <w:r w:rsidR="00B37868">
        <w:t xml:space="preserve">applies to </w:t>
      </w:r>
      <w:r>
        <w:t xml:space="preserve">children involved in the proceedings as </w:t>
      </w:r>
      <w:r w:rsidRPr="00834B1A">
        <w:rPr>
          <w:b/>
        </w:rPr>
        <w:t>plaintiffs</w:t>
      </w:r>
      <w:r w:rsidR="00D713C5">
        <w:t xml:space="preserve"> and</w:t>
      </w:r>
      <w:r>
        <w:t xml:space="preserve"> </w:t>
      </w:r>
      <w:r w:rsidRPr="00834B1A">
        <w:rPr>
          <w:b/>
        </w:rPr>
        <w:t>defendants</w:t>
      </w:r>
      <w:r w:rsidR="00D713C5">
        <w:t>. This is the case in 1</w:t>
      </w:r>
      <w:r w:rsidR="00572F09">
        <w:t>7</w:t>
      </w:r>
      <w:r>
        <w:t xml:space="preserve"> jurisdictions (AT, BE, BG, DK, EL, ES, FI, FR, </w:t>
      </w:r>
      <w:r w:rsidR="00D713C5">
        <w:t xml:space="preserve">IT, </w:t>
      </w:r>
      <w:r>
        <w:t xml:space="preserve">LT, LV, PL, PT, SE, SI, SK, UK-E&amp;W). </w:t>
      </w:r>
      <w:r w:rsidR="00B1472A">
        <w:t xml:space="preserve">The right to appeal a court decision in one’s own right applies to child </w:t>
      </w:r>
      <w:r w:rsidR="00B1472A" w:rsidRPr="00B1472A">
        <w:rPr>
          <w:b/>
        </w:rPr>
        <w:t>subjects</w:t>
      </w:r>
      <w:r w:rsidR="00B1472A">
        <w:t xml:space="preserve"> and </w:t>
      </w:r>
      <w:r w:rsidR="00B1472A" w:rsidRPr="00B1472A">
        <w:rPr>
          <w:b/>
        </w:rPr>
        <w:t>witnesses</w:t>
      </w:r>
      <w:r w:rsidR="00B1472A">
        <w:t xml:space="preserve"> in much fewer jurisdictions (six and four, respectively)</w:t>
      </w:r>
      <w:r>
        <w:t>.</w:t>
      </w:r>
    </w:p>
    <w:p w:rsidR="00C66F1F" w:rsidRDefault="00127DB0" w:rsidP="00E83712">
      <w:pPr>
        <w:pStyle w:val="BodyText"/>
      </w:pPr>
      <w:r>
        <w:t>In the case of children below the minimum age of procedural capacity, the</w:t>
      </w:r>
      <w:r w:rsidRPr="00834B1A">
        <w:t xml:space="preserve"> </w:t>
      </w:r>
      <w:r>
        <w:t xml:space="preserve">child’s </w:t>
      </w:r>
      <w:r w:rsidRPr="00834B1A">
        <w:t xml:space="preserve">legal representative </w:t>
      </w:r>
      <w:r>
        <w:t xml:space="preserve">holds the right to appeal a court decision on behalf of the child in all MS (see </w:t>
      </w:r>
      <w:r w:rsidR="00BE471F" w:rsidRPr="006E338C">
        <w:rPr>
          <w:b/>
          <w:color w:val="0070C0"/>
        </w:rPr>
        <w:t xml:space="preserve">Section </w:t>
      </w:r>
      <w:r w:rsidR="00BE471F" w:rsidRPr="006E338C">
        <w:rPr>
          <w:b/>
          <w:color w:val="0070C0"/>
        </w:rPr>
        <w:fldChar w:fldCharType="begin"/>
      </w:r>
      <w:r w:rsidR="00BE471F" w:rsidRPr="006E338C">
        <w:rPr>
          <w:b/>
          <w:color w:val="0070C0"/>
        </w:rPr>
        <w:instrText xml:space="preserve"> REF _Ref395829672 \r \h  \* MERGEFORMAT </w:instrText>
      </w:r>
      <w:r w:rsidR="00BE471F" w:rsidRPr="006E338C">
        <w:rPr>
          <w:b/>
          <w:color w:val="0070C0"/>
        </w:rPr>
      </w:r>
      <w:r w:rsidR="00BE471F" w:rsidRPr="006E338C">
        <w:rPr>
          <w:b/>
          <w:color w:val="0070C0"/>
        </w:rPr>
        <w:fldChar w:fldCharType="separate"/>
      </w:r>
      <w:r w:rsidR="000223E8">
        <w:rPr>
          <w:b/>
          <w:color w:val="0070C0"/>
        </w:rPr>
        <w:t>3.3</w:t>
      </w:r>
      <w:r w:rsidR="00BE471F" w:rsidRPr="006E338C">
        <w:rPr>
          <w:b/>
          <w:color w:val="0070C0"/>
        </w:rPr>
        <w:fldChar w:fldCharType="end"/>
      </w:r>
      <w:r w:rsidR="00BE471F">
        <w:rPr>
          <w:b/>
          <w:color w:val="0070C0"/>
        </w:rPr>
        <w:t xml:space="preserve"> </w:t>
      </w:r>
      <w:r>
        <w:t xml:space="preserve">for the minimum ages that apply in each MS). </w:t>
      </w:r>
    </w:p>
    <w:p w:rsidR="00127DB0" w:rsidRDefault="00D713C5" w:rsidP="00E83712">
      <w:pPr>
        <w:pStyle w:val="BodyText"/>
      </w:pPr>
      <w:r>
        <w:t>In eight</w:t>
      </w:r>
      <w:r w:rsidR="00127DB0">
        <w:t xml:space="preserve"> </w:t>
      </w:r>
      <w:r w:rsidR="00363223">
        <w:t>jurisdictions</w:t>
      </w:r>
      <w:r w:rsidR="00127DB0">
        <w:t xml:space="preserve"> (DK, EL, </w:t>
      </w:r>
      <w:r>
        <w:t xml:space="preserve">IT, </w:t>
      </w:r>
      <w:r w:rsidR="00127DB0">
        <w:t xml:space="preserve">LT, NL, PT, UK-E&amp;W, UK-NI), the </w:t>
      </w:r>
      <w:r w:rsidR="00127DB0" w:rsidRPr="0074581C">
        <w:rPr>
          <w:b/>
        </w:rPr>
        <w:t xml:space="preserve">child </w:t>
      </w:r>
      <w:r w:rsidR="00127DB0">
        <w:rPr>
          <w:b/>
        </w:rPr>
        <w:t xml:space="preserve">is required </w:t>
      </w:r>
      <w:r w:rsidR="00127DB0" w:rsidRPr="0074581C">
        <w:rPr>
          <w:b/>
        </w:rPr>
        <w:t>to give his/her consent</w:t>
      </w:r>
      <w:r w:rsidR="00127DB0">
        <w:t xml:space="preserve"> before a legal representative can make submissions and/or appeal against a court decision on behalf of the child. This provision applies to </w:t>
      </w:r>
      <w:r w:rsidR="00127DB0" w:rsidRPr="0074581C">
        <w:rPr>
          <w:b/>
        </w:rPr>
        <w:t xml:space="preserve">plaintiffs, defendants </w:t>
      </w:r>
      <w:r w:rsidR="00127DB0" w:rsidRPr="0074581C">
        <w:t>and</w:t>
      </w:r>
      <w:r w:rsidR="00127DB0" w:rsidRPr="0074581C">
        <w:rPr>
          <w:b/>
        </w:rPr>
        <w:t xml:space="preserve"> subjects</w:t>
      </w:r>
      <w:r w:rsidR="00127DB0">
        <w:t xml:space="preserve"> in PT; to </w:t>
      </w:r>
      <w:r w:rsidR="00127DB0" w:rsidRPr="0074581C">
        <w:rPr>
          <w:b/>
        </w:rPr>
        <w:t>plaintiffs</w:t>
      </w:r>
      <w:r w:rsidR="00127DB0">
        <w:t xml:space="preserve"> and </w:t>
      </w:r>
      <w:r w:rsidR="00127DB0" w:rsidRPr="0074581C">
        <w:rPr>
          <w:b/>
        </w:rPr>
        <w:t>defendants</w:t>
      </w:r>
      <w:r w:rsidR="00127DB0">
        <w:t xml:space="preserve"> in DK, LT, UK-E&amp;W and UK-NI; only to </w:t>
      </w:r>
      <w:r w:rsidR="00127DB0" w:rsidRPr="00961E13">
        <w:rPr>
          <w:b/>
        </w:rPr>
        <w:t>plaintiffs</w:t>
      </w:r>
      <w:r w:rsidR="00127DB0">
        <w:t xml:space="preserve"> in NL; and only to </w:t>
      </w:r>
      <w:r w:rsidR="00127DB0" w:rsidRPr="00961E13">
        <w:rPr>
          <w:b/>
        </w:rPr>
        <w:t>defendants</w:t>
      </w:r>
      <w:r w:rsidR="00127DB0">
        <w:t xml:space="preserve"> in EL.</w:t>
      </w:r>
    </w:p>
    <w:p w:rsidR="00127DB0" w:rsidRDefault="00127DB0" w:rsidP="00E83712">
      <w:pPr>
        <w:pStyle w:val="BodyText"/>
      </w:pPr>
      <w:r>
        <w:t xml:space="preserve">In most of the jurisdictions concerned, the </w:t>
      </w:r>
      <w:r w:rsidR="006E1C41">
        <w:t>requirement for the child to give his or her consent</w:t>
      </w:r>
      <w:r>
        <w:t xml:space="preserve"> only covers </w:t>
      </w:r>
      <w:r w:rsidRPr="00F00630">
        <w:rPr>
          <w:b/>
        </w:rPr>
        <w:t>one or two areas of law</w:t>
      </w:r>
      <w:r>
        <w:t xml:space="preserve">: </w:t>
      </w:r>
      <w:r w:rsidRPr="00157D78">
        <w:t>placement in care, in PT and UK-NI; offences committed by children below the minimum age of criminal responsibility in EL; administrative sanctions in LT; and family proceedings in UK-E&amp;W. In contrast, the provision covers all areas of law in DK, and all areas of law except administrative sanctions in</w:t>
      </w:r>
      <w:r>
        <w:t xml:space="preserve"> NL.</w:t>
      </w:r>
      <w:r w:rsidR="00D713C5">
        <w:t xml:space="preserve"> In IT, the provision covers five areas of law: asylum, migration, education, health and placement into care</w:t>
      </w:r>
    </w:p>
    <w:p w:rsidR="001B09EA" w:rsidRPr="00F00630" w:rsidRDefault="001B09EA" w:rsidP="00E83712">
      <w:pPr>
        <w:pStyle w:val="Heading4NoNumb"/>
        <w:ind w:firstLine="851"/>
      </w:pPr>
      <w:r w:rsidRPr="006E1C41">
        <w:t>Right of the child care authority to appeal</w:t>
      </w:r>
      <w:r w:rsidR="00F47BBF" w:rsidRPr="006E1C41">
        <w:t xml:space="preserve"> </w:t>
      </w:r>
      <w:r w:rsidR="00F47BBF">
        <w:t>(CivAdm177)</w:t>
      </w:r>
    </w:p>
    <w:p w:rsidR="0087097C" w:rsidRDefault="00127DB0" w:rsidP="00E83712">
      <w:pPr>
        <w:pStyle w:val="BodyText"/>
      </w:pPr>
      <w:r>
        <w:t xml:space="preserve">All jurisdictions except BE, BG, LU and </w:t>
      </w:r>
      <w:r w:rsidR="00CD7610">
        <w:t>UK-S</w:t>
      </w:r>
      <w:r>
        <w:t xml:space="preserve"> have a statutory provision allowing </w:t>
      </w:r>
      <w:r w:rsidRPr="009E75CF">
        <w:rPr>
          <w:b/>
        </w:rPr>
        <w:t>child care authorities to appeal</w:t>
      </w:r>
      <w:r>
        <w:t xml:space="preserve"> against certain court decisions involving children.</w:t>
      </w:r>
      <w:r w:rsidR="0087097C">
        <w:t xml:space="preserve"> For example, they may appeal against a court decision which refuses to allow the child access to a parent.</w:t>
      </w:r>
      <w:r>
        <w:t xml:space="preserve"> </w:t>
      </w:r>
    </w:p>
    <w:p w:rsidR="00127DB0" w:rsidRDefault="0087097C" w:rsidP="00E83712">
      <w:pPr>
        <w:pStyle w:val="BodyText"/>
      </w:pPr>
      <w:r>
        <w:t xml:space="preserve">The provision applies most </w:t>
      </w:r>
      <w:r w:rsidR="0080494B">
        <w:t>frequently</w:t>
      </w:r>
      <w:r>
        <w:t xml:space="preserve"> in the areas of </w:t>
      </w:r>
      <w:r w:rsidRPr="0087097C">
        <w:rPr>
          <w:b/>
        </w:rPr>
        <w:t>placement into care and family law</w:t>
      </w:r>
      <w:r>
        <w:t xml:space="preserve">, followed by migration (in 25, 20 and 18 jurisdictions, respectively). The provision applies least frequently in the areas of employment and administrative sanctions (in </w:t>
      </w:r>
      <w:r w:rsidR="00572F09">
        <w:t>eight</w:t>
      </w:r>
      <w:r>
        <w:t xml:space="preserve"> and 12 jurisdictions, respectively). I</w:t>
      </w:r>
      <w:r w:rsidR="00F00630">
        <w:t xml:space="preserve">n six </w:t>
      </w:r>
      <w:r w:rsidR="00127DB0">
        <w:t>jurisdictions</w:t>
      </w:r>
      <w:r w:rsidR="00F00630">
        <w:t xml:space="preserve"> (CZ, MT, PL, SK, UK-E&amp;W and UK-NI)</w:t>
      </w:r>
      <w:r w:rsidR="00127DB0">
        <w:t xml:space="preserve">, the provision </w:t>
      </w:r>
      <w:r w:rsidR="00F00630">
        <w:t xml:space="preserve">applies in </w:t>
      </w:r>
      <w:r w:rsidR="00F00630" w:rsidRPr="00F00630">
        <w:rPr>
          <w:b/>
        </w:rPr>
        <w:t>all areas of law</w:t>
      </w:r>
      <w:r w:rsidR="00F00630">
        <w:t>. In another four jurisdictions (CY, EE, FR, HR) the provision applies in eight areas of law</w:t>
      </w:r>
      <w:r w:rsidR="00127DB0">
        <w:t xml:space="preserve">. </w:t>
      </w:r>
    </w:p>
    <w:p w:rsidR="00FC5C56" w:rsidRDefault="0087097C" w:rsidP="00E83712">
      <w:pPr>
        <w:pStyle w:val="BodyText"/>
      </w:pPr>
      <w:r>
        <w:t>In terms of the roles of the child, t</w:t>
      </w:r>
      <w:r w:rsidR="00127DB0">
        <w:t xml:space="preserve">he </w:t>
      </w:r>
      <w:r w:rsidR="00A9670D">
        <w:t xml:space="preserve">provision most commonly applies to </w:t>
      </w:r>
      <w:r w:rsidR="00127DB0">
        <w:t xml:space="preserve">children </w:t>
      </w:r>
      <w:r w:rsidR="00A9670D">
        <w:t xml:space="preserve">involved in the proceedings as </w:t>
      </w:r>
      <w:r w:rsidR="00127DB0" w:rsidRPr="0006753D">
        <w:rPr>
          <w:b/>
        </w:rPr>
        <w:t>plaintiffs</w:t>
      </w:r>
      <w:r w:rsidR="00A9670D">
        <w:t xml:space="preserve"> or</w:t>
      </w:r>
      <w:r w:rsidR="00127DB0">
        <w:t xml:space="preserve"> </w:t>
      </w:r>
      <w:r w:rsidR="00127DB0" w:rsidRPr="0006753D">
        <w:rPr>
          <w:b/>
        </w:rPr>
        <w:t>defendants</w:t>
      </w:r>
      <w:r w:rsidR="00B1472A">
        <w:t xml:space="preserve"> (24 jurisdictions)</w:t>
      </w:r>
      <w:r w:rsidR="00127DB0">
        <w:t xml:space="preserve">. </w:t>
      </w:r>
      <w:r w:rsidR="00A9670D">
        <w:t>I</w:t>
      </w:r>
      <w:r w:rsidR="00127DB0">
        <w:t>n some MS (</w:t>
      </w:r>
      <w:r w:rsidR="00B1472A">
        <w:t>12</w:t>
      </w:r>
      <w:r w:rsidR="00A9670D">
        <w:t>) it also applies to</w:t>
      </w:r>
      <w:r w:rsidR="00127DB0">
        <w:t xml:space="preserve"> </w:t>
      </w:r>
      <w:r w:rsidR="00127DB0" w:rsidRPr="0006753D">
        <w:rPr>
          <w:b/>
        </w:rPr>
        <w:t>subjects</w:t>
      </w:r>
      <w:r w:rsidR="00127DB0">
        <w:t xml:space="preserve">. </w:t>
      </w:r>
      <w:r w:rsidR="00A9670D">
        <w:t xml:space="preserve">The provision applies to </w:t>
      </w:r>
      <w:r w:rsidR="00127DB0" w:rsidRPr="0006753D">
        <w:rPr>
          <w:b/>
        </w:rPr>
        <w:t>witnesses</w:t>
      </w:r>
      <w:r w:rsidR="00127DB0">
        <w:t xml:space="preserve"> </w:t>
      </w:r>
      <w:r w:rsidR="00A9670D">
        <w:t xml:space="preserve">only in three MS: </w:t>
      </w:r>
      <w:r w:rsidR="00127DB0">
        <w:t>IE (in health and placement in care proceedings); and in EE and HR (in all areas of law except employment).</w:t>
      </w:r>
    </w:p>
    <w:p w:rsidR="00127DB0" w:rsidRDefault="002C7B25" w:rsidP="00E83712">
      <w:pPr>
        <w:pStyle w:val="BodyText"/>
      </w:pPr>
      <w:r w:rsidRPr="002C7B25">
        <w:rPr>
          <w:b/>
          <w:color w:val="0070C0"/>
        </w:rPr>
        <w:fldChar w:fldCharType="begin"/>
      </w:r>
      <w:r w:rsidRPr="002C7B25">
        <w:rPr>
          <w:b/>
          <w:color w:val="0070C0"/>
        </w:rPr>
        <w:instrText xml:space="preserve"> REF _Ref397955884 \r \h </w:instrText>
      </w:r>
      <w:r>
        <w:rPr>
          <w:b/>
          <w:color w:val="0070C0"/>
        </w:rPr>
        <w:instrText xml:space="preserve"> \* MERGEFORMAT </w:instrText>
      </w:r>
      <w:r w:rsidRPr="002C7B25">
        <w:rPr>
          <w:b/>
          <w:color w:val="0070C0"/>
        </w:rPr>
      </w:r>
      <w:r w:rsidRPr="002C7B25">
        <w:rPr>
          <w:b/>
          <w:color w:val="0070C0"/>
        </w:rPr>
        <w:fldChar w:fldCharType="separate"/>
      </w:r>
      <w:r w:rsidR="000223E8">
        <w:rPr>
          <w:b/>
          <w:color w:val="0070C0"/>
        </w:rPr>
        <w:t>Table A4.15</w:t>
      </w:r>
      <w:r w:rsidRPr="002C7B25">
        <w:rPr>
          <w:b/>
          <w:color w:val="0070C0"/>
        </w:rPr>
        <w:fldChar w:fldCharType="end"/>
      </w:r>
      <w:r>
        <w:t xml:space="preserve"> </w:t>
      </w:r>
      <w:r w:rsidR="00FC5C56">
        <w:t>maps the coverage of this provision by area of law and by role of the child in all jurisdictions.</w:t>
      </w:r>
      <w:r w:rsidR="00050135">
        <w:t xml:space="preserve"> </w:t>
      </w:r>
    </w:p>
    <w:p w:rsidR="00127DB0" w:rsidRPr="00F47BBF" w:rsidRDefault="005D0E0E" w:rsidP="00A5732C">
      <w:pPr>
        <w:pStyle w:val="Heading4NoNumb"/>
        <w:ind w:left="851"/>
      </w:pPr>
      <w:r>
        <w:t>Legal obligation to secure the r</w:t>
      </w:r>
      <w:r w:rsidR="00127DB0" w:rsidRPr="0006753D">
        <w:t xml:space="preserve">ight </w:t>
      </w:r>
      <w:r>
        <w:t xml:space="preserve">of children to claim </w:t>
      </w:r>
      <w:r w:rsidR="00127DB0" w:rsidRPr="0006753D">
        <w:t>compensation for damages caused by violation of rights</w:t>
      </w:r>
      <w:r w:rsidR="00F47BBF">
        <w:t xml:space="preserve"> </w:t>
      </w:r>
      <w:r w:rsidR="00F47BBF" w:rsidRPr="00F47BBF">
        <w:t>(CivAdm179)</w:t>
      </w:r>
      <w:r w:rsidR="00045E63" w:rsidRPr="00F47BBF">
        <w:t xml:space="preserve"> </w:t>
      </w:r>
    </w:p>
    <w:p w:rsidR="002B4D8D" w:rsidRDefault="002B4D8D" w:rsidP="00E83712">
      <w:pPr>
        <w:pStyle w:val="BodyText"/>
      </w:pPr>
      <w:r>
        <w:t xml:space="preserve">In 13 </w:t>
      </w:r>
      <w:r w:rsidR="00127DB0">
        <w:t xml:space="preserve">MS (BG, </w:t>
      </w:r>
      <w:r>
        <w:t>CY, EE, EL,</w:t>
      </w:r>
      <w:r w:rsidRPr="002B4D8D">
        <w:t xml:space="preserve"> </w:t>
      </w:r>
      <w:r>
        <w:t xml:space="preserve">ES, </w:t>
      </w:r>
      <w:r w:rsidR="00127DB0">
        <w:t xml:space="preserve">FI, FR, </w:t>
      </w:r>
      <w:r>
        <w:t>HR, HU, NL, PL, PT, SK</w:t>
      </w:r>
      <w:r w:rsidR="00127DB0">
        <w:t xml:space="preserve">) </w:t>
      </w:r>
      <w:r>
        <w:t xml:space="preserve">there </w:t>
      </w:r>
      <w:r w:rsidR="00F47BBF">
        <w:t xml:space="preserve">is a legal obligation to ensure that the procedures available for children to </w:t>
      </w:r>
      <w:r w:rsidR="00127DB0" w:rsidRPr="00502998">
        <w:rPr>
          <w:b/>
        </w:rPr>
        <w:t>claim compensation</w:t>
      </w:r>
      <w:r w:rsidR="00127DB0">
        <w:t xml:space="preserve"> for damages caused by violation of rights</w:t>
      </w:r>
      <w:r w:rsidR="00F47BBF">
        <w:t xml:space="preserve"> are effective</w:t>
      </w:r>
      <w:r w:rsidR="00127DB0">
        <w:t xml:space="preserve">. </w:t>
      </w:r>
      <w:r w:rsidR="00F47BBF">
        <w:t>This may involve, for example, an obligation to provide facilitated procedures for claiming compensation in the case of children, or an obligation to set up support structures to help children submit their claims (see below).</w:t>
      </w:r>
    </w:p>
    <w:p w:rsidR="00127DB0" w:rsidRDefault="00127DB0" w:rsidP="00E83712">
      <w:pPr>
        <w:pStyle w:val="BodyText"/>
      </w:pPr>
      <w:r>
        <w:t xml:space="preserve">Where the legal obligation exists, it </w:t>
      </w:r>
      <w:r w:rsidR="00F82C6D">
        <w:t xml:space="preserve">normally applies in </w:t>
      </w:r>
      <w:r>
        <w:t xml:space="preserve">all or almost </w:t>
      </w:r>
      <w:r w:rsidRPr="00502998">
        <w:rPr>
          <w:b/>
        </w:rPr>
        <w:t>all areas of law</w:t>
      </w:r>
      <w:r w:rsidR="00F82C6D">
        <w:t xml:space="preserve">. </w:t>
      </w:r>
      <w:r>
        <w:t>The exceptions are CY and NL, where the obligation</w:t>
      </w:r>
      <w:r w:rsidR="00F82C6D">
        <w:t xml:space="preserve"> only applies in three</w:t>
      </w:r>
      <w:r>
        <w:t xml:space="preserve"> areas of law (family, emp</w:t>
      </w:r>
      <w:r w:rsidR="00F82C6D">
        <w:t xml:space="preserve">loyment and placement in care) </w:t>
      </w:r>
      <w:r>
        <w:t xml:space="preserve">and </w:t>
      </w:r>
      <w:r w:rsidR="00F82C6D">
        <w:t xml:space="preserve">two </w:t>
      </w:r>
      <w:r>
        <w:t xml:space="preserve">areas of law (asylum and migration), respectively. The </w:t>
      </w:r>
      <w:r w:rsidR="00F82C6D">
        <w:t xml:space="preserve">legal obligation least commonly applies in the area of </w:t>
      </w:r>
      <w:r w:rsidRPr="00F82C6D">
        <w:rPr>
          <w:b/>
        </w:rPr>
        <w:t>offences committed by children below the age of criminal responsibility</w:t>
      </w:r>
      <w:r>
        <w:t xml:space="preserve"> (</w:t>
      </w:r>
      <w:r w:rsidR="00F82C6D">
        <w:t xml:space="preserve">it applies in this </w:t>
      </w:r>
      <w:r w:rsidR="00720D17">
        <w:t xml:space="preserve">area of law in </w:t>
      </w:r>
      <w:r w:rsidR="00F82C6D">
        <w:t>nine</w:t>
      </w:r>
      <w:r>
        <w:t xml:space="preserve"> out of the </w:t>
      </w:r>
      <w:r w:rsidR="00F82C6D">
        <w:t>13 MS concerned</w:t>
      </w:r>
      <w:r>
        <w:t>).</w:t>
      </w:r>
    </w:p>
    <w:p w:rsidR="00B1472A" w:rsidRDefault="00F82C6D" w:rsidP="00E83712">
      <w:pPr>
        <w:pStyle w:val="BodyText"/>
      </w:pPr>
      <w:r>
        <w:t xml:space="preserve">In terms of the roles of the child, the provision applies </w:t>
      </w:r>
      <w:r w:rsidR="00B1472A">
        <w:t xml:space="preserve">most frequently to child </w:t>
      </w:r>
      <w:r w:rsidR="00B1472A" w:rsidRPr="00B1472A">
        <w:rPr>
          <w:b/>
        </w:rPr>
        <w:t>plaintiffs</w:t>
      </w:r>
      <w:r w:rsidR="00B1472A">
        <w:t xml:space="preserve"> (13 jurisdictions), next to child </w:t>
      </w:r>
      <w:r w:rsidR="00B1472A" w:rsidRPr="00B1472A">
        <w:rPr>
          <w:b/>
        </w:rPr>
        <w:t>defendants</w:t>
      </w:r>
      <w:r w:rsidR="00B1472A">
        <w:t xml:space="preserve"> (12 jurisdictions) and </w:t>
      </w:r>
      <w:r w:rsidR="00B1472A" w:rsidRPr="00162B4A">
        <w:rPr>
          <w:b/>
        </w:rPr>
        <w:t>subjects</w:t>
      </w:r>
      <w:r w:rsidR="00B1472A">
        <w:t xml:space="preserve"> (11 jurisdictions) and least frequently to child</w:t>
      </w:r>
      <w:r w:rsidR="00162B4A" w:rsidRPr="00162B4A">
        <w:rPr>
          <w:b/>
        </w:rPr>
        <w:t xml:space="preserve"> witnesses </w:t>
      </w:r>
      <w:r w:rsidR="00B1472A" w:rsidRPr="00B1472A">
        <w:t>(</w:t>
      </w:r>
      <w:r w:rsidR="00572F09">
        <w:t>eight</w:t>
      </w:r>
      <w:r w:rsidR="00B1472A" w:rsidRPr="00B1472A">
        <w:t xml:space="preserve"> jurisdictions)</w:t>
      </w:r>
      <w:r w:rsidR="00B1472A">
        <w:t>.</w:t>
      </w:r>
    </w:p>
    <w:p w:rsidR="00FC5C56" w:rsidRDefault="00B1472A" w:rsidP="00E83712">
      <w:pPr>
        <w:pStyle w:val="BodyText"/>
      </w:pPr>
      <w:r>
        <w:t>In</w:t>
      </w:r>
      <w:r w:rsidR="00162B4A">
        <w:t xml:space="preserve"> </w:t>
      </w:r>
      <w:r w:rsidR="00572F09">
        <w:t>eight</w:t>
      </w:r>
      <w:r w:rsidR="00162B4A">
        <w:t xml:space="preserve"> out of the thirteen MS where such a legal obligation exists (BG, HR, EE, FR, EL, PL, PT and ES). However, where </w:t>
      </w:r>
      <w:r w:rsidR="00F82C6D">
        <w:t xml:space="preserve">the provision applies to children </w:t>
      </w:r>
      <w:r w:rsidR="00162B4A">
        <w:t xml:space="preserve">as </w:t>
      </w:r>
      <w:r w:rsidR="00162B4A">
        <w:rPr>
          <w:b/>
        </w:rPr>
        <w:t>subjects</w:t>
      </w:r>
      <w:r w:rsidR="00162B4A">
        <w:t>,</w:t>
      </w:r>
      <w:r w:rsidR="00162B4A">
        <w:rPr>
          <w:b/>
        </w:rPr>
        <w:t xml:space="preserve"> </w:t>
      </w:r>
      <w:r w:rsidR="00F82C6D">
        <w:t xml:space="preserve">it applies in much fewer areas of </w:t>
      </w:r>
      <w:r w:rsidR="00162B4A" w:rsidRPr="00162B4A">
        <w:t>law</w:t>
      </w:r>
      <w:r w:rsidR="00162B4A">
        <w:t xml:space="preserve">. </w:t>
      </w:r>
      <w:r w:rsidR="00F82C6D">
        <w:t>For example,</w:t>
      </w:r>
      <w:r w:rsidR="00162B4A">
        <w:t xml:space="preserve"> in HR, </w:t>
      </w:r>
      <w:r w:rsidR="00F82C6D">
        <w:t>the legal obligation applies to subjects only in the area of health; in</w:t>
      </w:r>
      <w:r w:rsidR="00162B4A">
        <w:t xml:space="preserve"> CY</w:t>
      </w:r>
      <w:r w:rsidR="00F82C6D">
        <w:t xml:space="preserve">, it applies to subjects only in the areas of </w:t>
      </w:r>
      <w:r w:rsidR="00162B4A">
        <w:t>fa</w:t>
      </w:r>
      <w:r w:rsidR="00804E5C">
        <w:t xml:space="preserve">mily and placement into care; and in EL, it applies to subjects only in the area of placement into care. </w:t>
      </w:r>
    </w:p>
    <w:p w:rsidR="00FC5C56" w:rsidRDefault="00B62807" w:rsidP="00E83712">
      <w:pPr>
        <w:pStyle w:val="Heading4NoNumb"/>
        <w:ind w:left="851"/>
      </w:pPr>
      <w:r>
        <w:t>The existence of s</w:t>
      </w:r>
      <w:r w:rsidR="00127DB0">
        <w:t xml:space="preserve">upport </w:t>
      </w:r>
      <w:r w:rsidR="00804E5C">
        <w:t xml:space="preserve">to enable children to </w:t>
      </w:r>
      <w:r w:rsidR="00127DB0">
        <w:t>access remedies and compensation</w:t>
      </w:r>
      <w:r w:rsidR="00804E5C">
        <w:t xml:space="preserve"> for violation of rights</w:t>
      </w:r>
      <w:r w:rsidR="00FC5C56">
        <w:t xml:space="preserve"> </w:t>
      </w:r>
      <w:r w:rsidR="00FC5C56" w:rsidRPr="00FC5C56">
        <w:t>(CivAdm180)</w:t>
      </w:r>
    </w:p>
    <w:p w:rsidR="00281425" w:rsidRDefault="00804E5C" w:rsidP="00E83712">
      <w:pPr>
        <w:pStyle w:val="BodyText"/>
      </w:pPr>
      <w:r>
        <w:t>In 15</w:t>
      </w:r>
      <w:r w:rsidR="009D7810">
        <w:t xml:space="preserve"> jurisdictions (AT, BE, HR, CY, FI, FR, DE, EL, MT, PL, SK, SI, ES, UK-E&amp;W, UK-NI) support </w:t>
      </w:r>
      <w:r>
        <w:t>exists to enable children</w:t>
      </w:r>
      <w:r w:rsidR="009D7810">
        <w:t xml:space="preserve"> and/or </w:t>
      </w:r>
      <w:r w:rsidR="00D51E9F">
        <w:t xml:space="preserve">their legal representatives </w:t>
      </w:r>
      <w:r w:rsidR="009D7810" w:rsidRPr="00D51E9F">
        <w:t xml:space="preserve">involved in </w:t>
      </w:r>
      <w:r w:rsidR="009D7810">
        <w:t xml:space="preserve">civil or administrative </w:t>
      </w:r>
      <w:r w:rsidR="009D7810" w:rsidRPr="00D51E9F">
        <w:t xml:space="preserve">judicial proceedings </w:t>
      </w:r>
      <w:r w:rsidR="009D7810">
        <w:t xml:space="preserve">to access </w:t>
      </w:r>
      <w:r w:rsidR="00D51E9F" w:rsidRPr="00D51E9F">
        <w:t>remedies or compensation for violation of rights/failure to act</w:t>
      </w:r>
      <w:r w:rsidR="00127DB0">
        <w:t>.</w:t>
      </w:r>
      <w:r w:rsidR="009D7810">
        <w:t xml:space="preserve"> </w:t>
      </w:r>
    </w:p>
    <w:p w:rsidR="00C56326" w:rsidRDefault="00804E5C" w:rsidP="00E83712">
      <w:pPr>
        <w:pStyle w:val="BodyText"/>
      </w:pPr>
      <w:r>
        <w:t>The type</w:t>
      </w:r>
      <w:r w:rsidR="00C56326">
        <w:t xml:space="preserve"> of support var</w:t>
      </w:r>
      <w:r w:rsidR="006564B8">
        <w:t>ies</w:t>
      </w:r>
      <w:r w:rsidR="00C56326">
        <w:t xml:space="preserve"> across jurisdictions, and include</w:t>
      </w:r>
      <w:r w:rsidR="006564B8">
        <w:t>s</w:t>
      </w:r>
      <w:r w:rsidR="00C56326">
        <w:t>:</w:t>
      </w:r>
    </w:p>
    <w:p w:rsidR="00C56326" w:rsidRPr="00A7584E" w:rsidRDefault="00C56326" w:rsidP="00E83712">
      <w:pPr>
        <w:pStyle w:val="BTBullet1"/>
      </w:pPr>
      <w:r w:rsidRPr="00A7584E">
        <w:t xml:space="preserve">Obligation for the court to provide </w:t>
      </w:r>
      <w:r w:rsidRPr="00A7584E">
        <w:rPr>
          <w:b/>
        </w:rPr>
        <w:t>information</w:t>
      </w:r>
      <w:r w:rsidRPr="00A7584E">
        <w:t xml:space="preserve"> on access to remedies and options for compensation when it hands down a judgment (e.g. AT, HR);</w:t>
      </w:r>
    </w:p>
    <w:p w:rsidR="00C56326" w:rsidRPr="00A7584E" w:rsidRDefault="00C56326" w:rsidP="00E83712">
      <w:pPr>
        <w:pStyle w:val="BTBullet1"/>
      </w:pPr>
      <w:r w:rsidRPr="00A7584E">
        <w:t xml:space="preserve">Provision of </w:t>
      </w:r>
      <w:r w:rsidRPr="00A7584E">
        <w:rPr>
          <w:b/>
        </w:rPr>
        <w:t>legal aid</w:t>
      </w:r>
      <w:r w:rsidRPr="00A7584E">
        <w:t xml:space="preserve"> to children and/or their legal representative in order to cover the costs of an appeal (e.g. FI, PT);</w:t>
      </w:r>
    </w:p>
    <w:p w:rsidR="00C56326" w:rsidRPr="00A7584E" w:rsidRDefault="00C56326" w:rsidP="00E83712">
      <w:pPr>
        <w:pStyle w:val="BTBullet1"/>
      </w:pPr>
      <w:r w:rsidRPr="00A7584E">
        <w:t xml:space="preserve">Possibility of </w:t>
      </w:r>
      <w:r w:rsidRPr="00A7584E">
        <w:rPr>
          <w:b/>
        </w:rPr>
        <w:t xml:space="preserve">extending </w:t>
      </w:r>
      <w:r w:rsidR="00804E5C" w:rsidRPr="00A7584E">
        <w:rPr>
          <w:b/>
        </w:rPr>
        <w:t xml:space="preserve">the </w:t>
      </w:r>
      <w:r w:rsidRPr="00A7584E">
        <w:rPr>
          <w:b/>
        </w:rPr>
        <w:t>time limits</w:t>
      </w:r>
      <w:r w:rsidRPr="00A7584E">
        <w:t xml:space="preserve"> to appeal in cases where a legal representative was not secured in time for the </w:t>
      </w:r>
      <w:r w:rsidR="00804E5C" w:rsidRPr="00A7584E">
        <w:t>child to appeal (e.g. BE);</w:t>
      </w:r>
    </w:p>
    <w:p w:rsidR="00C56326" w:rsidRPr="00A7584E" w:rsidRDefault="00C56326" w:rsidP="00E83712">
      <w:pPr>
        <w:pStyle w:val="BTBullet1"/>
      </w:pPr>
      <w:r w:rsidRPr="00A7584E">
        <w:t xml:space="preserve">Specific </w:t>
      </w:r>
      <w:r w:rsidRPr="00A7584E">
        <w:rPr>
          <w:b/>
        </w:rPr>
        <w:t>institutional support</w:t>
      </w:r>
      <w:r w:rsidRPr="00A7584E">
        <w:t xml:space="preserve"> set up to provide children and/or their legal representatives with guidance, advice or protection (e.g. Child Commissioners in CY, social services in BE and SI, the Child’s Legal Advisor in AT, the Children and Young People’s Ombudsmen in AT and FI, and the Youth Welfare Offices in AT).</w:t>
      </w:r>
    </w:p>
    <w:p w:rsidR="00C56326" w:rsidRDefault="00804E5C" w:rsidP="00E83712">
      <w:pPr>
        <w:pStyle w:val="BodyText"/>
      </w:pPr>
      <w:r>
        <w:t>The obligation to provide information on access to remedies and options for compensation (</w:t>
      </w:r>
      <w:r w:rsidR="00E816EA">
        <w:t xml:space="preserve">e.g. </w:t>
      </w:r>
      <w:r>
        <w:t>in AT and HR), and the provision of legal aid in order to cover the costs of an appeal (</w:t>
      </w:r>
      <w:r w:rsidR="00E816EA">
        <w:t xml:space="preserve">e.g. </w:t>
      </w:r>
      <w:r>
        <w:t>in FI and PT) are</w:t>
      </w:r>
      <w:r w:rsidR="00C56326">
        <w:t xml:space="preserve"> not specifically tailored for children</w:t>
      </w:r>
      <w:r>
        <w:t xml:space="preserve">; they are </w:t>
      </w:r>
      <w:r w:rsidR="00C56326">
        <w:t xml:space="preserve">provided to any party (i.e. adults and children alike) wishing to access remedies or compensation. </w:t>
      </w:r>
      <w:r>
        <w:t xml:space="preserve">The possibility of extending the time limits to appeal (e.g. in BE) and the specific institutional support available in AT, BE, CY, </w:t>
      </w:r>
      <w:r w:rsidR="00E816EA">
        <w:t xml:space="preserve">FI and SI, for example, are </w:t>
      </w:r>
      <w:r w:rsidR="00C56326">
        <w:t xml:space="preserve">specifically </w:t>
      </w:r>
      <w:r w:rsidR="00C56326" w:rsidRPr="00E816EA">
        <w:rPr>
          <w:b/>
        </w:rPr>
        <w:t>adapted to the needs of children</w:t>
      </w:r>
      <w:r w:rsidR="00C56326">
        <w:t>.</w:t>
      </w:r>
    </w:p>
    <w:p w:rsidR="00281425" w:rsidRDefault="00373C06" w:rsidP="00E83712">
      <w:pPr>
        <w:pStyle w:val="BodyText"/>
      </w:pPr>
      <w:r>
        <w:t xml:space="preserve">In </w:t>
      </w:r>
      <w:r w:rsidR="00D467DA">
        <w:t>almost all of the 15</w:t>
      </w:r>
      <w:r>
        <w:t xml:space="preserve"> jurisdictions</w:t>
      </w:r>
      <w:r w:rsidR="00D467DA">
        <w:t xml:space="preserve"> concerned</w:t>
      </w:r>
      <w:r>
        <w:t xml:space="preserve">, the support </w:t>
      </w:r>
      <w:r w:rsidR="00E816EA">
        <w:t xml:space="preserve">applies </w:t>
      </w:r>
      <w:r>
        <w:t xml:space="preserve">to children (and/or their legal representative) in </w:t>
      </w:r>
      <w:r w:rsidR="00D467DA">
        <w:t>all or almost all areas</w:t>
      </w:r>
      <w:r>
        <w:t xml:space="preserve"> of law</w:t>
      </w:r>
      <w:r w:rsidR="00D467DA">
        <w:t xml:space="preserve">. In eight MS (AT, BE, DE, HR, FI, MT, PT, SK) the support </w:t>
      </w:r>
      <w:r w:rsidR="00E816EA">
        <w:t xml:space="preserve">applies </w:t>
      </w:r>
      <w:r w:rsidR="00D467DA">
        <w:t xml:space="preserve">in </w:t>
      </w:r>
      <w:r w:rsidR="00E816EA" w:rsidRPr="00E816EA">
        <w:rPr>
          <w:b/>
        </w:rPr>
        <w:t>all of the areas of law</w:t>
      </w:r>
      <w:r w:rsidR="00D467DA">
        <w:t xml:space="preserve">; in five jurisdictions (ES, FR, SI, UK-E&amp;W, UK-NI) the support </w:t>
      </w:r>
      <w:r w:rsidR="00E816EA">
        <w:t>applies</w:t>
      </w:r>
      <w:r w:rsidR="00D467DA">
        <w:t xml:space="preserve"> in eight areas of law; while in two MS (CY and EL), the support </w:t>
      </w:r>
      <w:r w:rsidR="00E816EA">
        <w:t xml:space="preserve">applies </w:t>
      </w:r>
      <w:r w:rsidR="00D467DA">
        <w:t xml:space="preserve">in </w:t>
      </w:r>
      <w:r w:rsidR="00E816EA">
        <w:t xml:space="preserve">fewer than five areas of law </w:t>
      </w:r>
      <w:r w:rsidR="00D467DA">
        <w:t xml:space="preserve"> (</w:t>
      </w:r>
      <w:r w:rsidR="00E816EA">
        <w:t xml:space="preserve">e.g. </w:t>
      </w:r>
      <w:r w:rsidR="00D467DA">
        <w:t>in CY, only in family, employment, education, health and placement in care proceedings; in EL, only in family proceedings).</w:t>
      </w:r>
    </w:p>
    <w:p w:rsidR="00D467DA" w:rsidRDefault="00D467DA" w:rsidP="00E83712">
      <w:pPr>
        <w:pStyle w:val="BodyText"/>
      </w:pPr>
      <w:r>
        <w:t xml:space="preserve">The support </w:t>
      </w:r>
      <w:r w:rsidR="00E816EA">
        <w:t xml:space="preserve">applies to </w:t>
      </w:r>
      <w:r>
        <w:t xml:space="preserve">children (or their legal representatives) involved </w:t>
      </w:r>
      <w:r w:rsidR="00E816EA">
        <w:t xml:space="preserve">in the proceedings </w:t>
      </w:r>
      <w:r>
        <w:t xml:space="preserve">as </w:t>
      </w:r>
      <w:r w:rsidRPr="00E816EA">
        <w:rPr>
          <w:b/>
        </w:rPr>
        <w:t>plaintiffs or defendants</w:t>
      </w:r>
      <w:r>
        <w:t xml:space="preserve"> in all </w:t>
      </w:r>
      <w:r w:rsidR="003F2145">
        <w:t xml:space="preserve">of the </w:t>
      </w:r>
      <w:r>
        <w:t xml:space="preserve">jurisdictions </w:t>
      </w:r>
      <w:r w:rsidR="003F2145">
        <w:t xml:space="preserve">concerned </w:t>
      </w:r>
      <w:r>
        <w:t>except for EL (where</w:t>
      </w:r>
      <w:r w:rsidR="00E816EA">
        <w:t xml:space="preserve"> it only applies to </w:t>
      </w:r>
      <w:r>
        <w:t xml:space="preserve">plaintiffs). </w:t>
      </w:r>
      <w:r w:rsidR="00E816EA">
        <w:t xml:space="preserve">In five MS (ES, FI, MT, PT and SI), the support also applies to children involved as </w:t>
      </w:r>
      <w:r w:rsidRPr="00A60993">
        <w:rPr>
          <w:b/>
        </w:rPr>
        <w:t>witnesses</w:t>
      </w:r>
      <w:r>
        <w:t xml:space="preserve"> </w:t>
      </w:r>
      <w:r w:rsidR="00C56326">
        <w:t xml:space="preserve">and in </w:t>
      </w:r>
      <w:r w:rsidR="00746E9F">
        <w:t>eight</w:t>
      </w:r>
      <w:r w:rsidR="00C56326">
        <w:t xml:space="preserve"> MS</w:t>
      </w:r>
      <w:r w:rsidR="00A60993">
        <w:t xml:space="preserve"> (CY, ES, FI, FR, HR, MT, PT, SI</w:t>
      </w:r>
      <w:r w:rsidR="00C56326">
        <w:t>)</w:t>
      </w:r>
      <w:r w:rsidR="00A60993">
        <w:t xml:space="preserve"> to children involved as </w:t>
      </w:r>
      <w:r w:rsidR="00A60993" w:rsidRPr="00A60993">
        <w:rPr>
          <w:b/>
        </w:rPr>
        <w:t>subjects</w:t>
      </w:r>
      <w:r w:rsidR="00C56326">
        <w:t xml:space="preserve">. However, in the case of subjects, the support </w:t>
      </w:r>
      <w:r w:rsidR="0064599D">
        <w:t>applies in much fewer areas of law.</w:t>
      </w:r>
      <w:r w:rsidR="00C56326">
        <w:t xml:space="preserve"> In FI, for example, whereas </w:t>
      </w:r>
      <w:r w:rsidR="0064599D">
        <w:t xml:space="preserve">the support applies to child </w:t>
      </w:r>
      <w:r w:rsidR="00C56326">
        <w:t xml:space="preserve">plaintiffs, defendants and witnesses </w:t>
      </w:r>
      <w:r w:rsidR="0064599D">
        <w:t xml:space="preserve">in </w:t>
      </w:r>
      <w:r w:rsidR="00C56326">
        <w:t>all areas of law</w:t>
      </w:r>
      <w:r w:rsidR="0064599D">
        <w:t xml:space="preserve">, it only applies to subjects in </w:t>
      </w:r>
      <w:r w:rsidR="00C56326">
        <w:t xml:space="preserve">family proceedings. In ES, whereas </w:t>
      </w:r>
      <w:r w:rsidR="0064599D">
        <w:t xml:space="preserve">the support applies to child </w:t>
      </w:r>
      <w:r w:rsidR="00C56326">
        <w:t xml:space="preserve">plaintiffs, defendants and witnesses in all areas of law except offences below the age of criminal responsibility, </w:t>
      </w:r>
      <w:r w:rsidR="009620FE">
        <w:t xml:space="preserve">it only applies to </w:t>
      </w:r>
      <w:r w:rsidR="00C56326">
        <w:t xml:space="preserve">subjects </w:t>
      </w:r>
      <w:r w:rsidR="009620FE">
        <w:t xml:space="preserve">in the areas of </w:t>
      </w:r>
      <w:r w:rsidR="00C56326">
        <w:t>education, health and placement in</w:t>
      </w:r>
      <w:r w:rsidR="009620FE">
        <w:t>to</w:t>
      </w:r>
      <w:r w:rsidR="00C56326">
        <w:t xml:space="preserve"> care.</w:t>
      </w:r>
    </w:p>
    <w:p w:rsidR="005D0E0E" w:rsidRPr="008D476C" w:rsidRDefault="00FC5C56" w:rsidP="00E83712">
      <w:pPr>
        <w:pStyle w:val="Heading4NoNumb"/>
        <w:ind w:left="851"/>
      </w:pPr>
      <w:r>
        <w:t>Mechanisms in place to permit the court or child to take actions where there</w:t>
      </w:r>
      <w:r w:rsidR="005D0E0E" w:rsidRPr="00F57A8A">
        <w:t xml:space="preserve"> is a conflict of interest</w:t>
      </w:r>
      <w:r>
        <w:t xml:space="preserve">s </w:t>
      </w:r>
      <w:r w:rsidR="008D476C">
        <w:t xml:space="preserve">between the child and </w:t>
      </w:r>
      <w:r>
        <w:t xml:space="preserve">his/her </w:t>
      </w:r>
      <w:r w:rsidR="005D0E0E" w:rsidRPr="00F57A8A">
        <w:t>parents</w:t>
      </w:r>
      <w:r w:rsidR="008D476C">
        <w:t xml:space="preserve"> in the context of accessing remedies or compensation </w:t>
      </w:r>
      <w:r w:rsidR="008D476C" w:rsidRPr="008D476C">
        <w:t>(</w:t>
      </w:r>
      <w:r w:rsidR="008D476C">
        <w:t>CivAdm182)</w:t>
      </w:r>
    </w:p>
    <w:p w:rsidR="008D476C" w:rsidRDefault="005D0E0E" w:rsidP="00E83712">
      <w:pPr>
        <w:pStyle w:val="BodyText"/>
      </w:pPr>
      <w:r>
        <w:t xml:space="preserve">In all jurisdictions except IE and RO mechanisms exist to permit </w:t>
      </w:r>
      <w:r w:rsidRPr="00F57A8A">
        <w:t>the court or the child involved in judicial proceedings to take action if there is a conflict of interests with his/her parents</w:t>
      </w:r>
      <w:r w:rsidR="008D476C">
        <w:t xml:space="preserve"> in the context of accessing remedies or compensation</w:t>
      </w:r>
      <w:r>
        <w:t xml:space="preserve">. </w:t>
      </w:r>
    </w:p>
    <w:p w:rsidR="008D476C" w:rsidRDefault="005D0E0E" w:rsidP="00E83712">
      <w:pPr>
        <w:pStyle w:val="BodyText"/>
      </w:pPr>
      <w:r>
        <w:t xml:space="preserve">The mechanisms usually involve the appointment by the court of a </w:t>
      </w:r>
      <w:r w:rsidRPr="00DA753A">
        <w:rPr>
          <w:b/>
        </w:rPr>
        <w:t xml:space="preserve">legal guardian or guardian </w:t>
      </w:r>
      <w:r w:rsidRPr="00DA753A">
        <w:rPr>
          <w:b/>
          <w:i/>
        </w:rPr>
        <w:t>ad</w:t>
      </w:r>
      <w:r w:rsidRPr="005D0E0E">
        <w:rPr>
          <w:b/>
          <w:i/>
        </w:rPr>
        <w:t xml:space="preserve"> litem</w:t>
      </w:r>
      <w:r>
        <w:t xml:space="preserve"> </w:t>
      </w:r>
      <w:r w:rsidRPr="00F57A8A">
        <w:t>to</w:t>
      </w:r>
      <w:r w:rsidRPr="00DA753A">
        <w:t xml:space="preserve"> </w:t>
      </w:r>
      <w:r>
        <w:t>support children who wish to access remedies or compensation claims against their parents (</w:t>
      </w:r>
      <w:r w:rsidR="0080494B">
        <w:t xml:space="preserve">see </w:t>
      </w:r>
      <w:r w:rsidR="0080494B" w:rsidRPr="0080494B">
        <w:rPr>
          <w:b/>
          <w:color w:val="0070C0"/>
        </w:rPr>
        <w:t xml:space="preserve">Section </w:t>
      </w:r>
      <w:r w:rsidR="0080494B" w:rsidRPr="0080494B">
        <w:rPr>
          <w:b/>
          <w:color w:val="0070C0"/>
        </w:rPr>
        <w:fldChar w:fldCharType="begin"/>
      </w:r>
      <w:r w:rsidR="0080494B" w:rsidRPr="0080494B">
        <w:rPr>
          <w:b/>
          <w:color w:val="0070C0"/>
        </w:rPr>
        <w:instrText xml:space="preserve"> REF _Ref398096828 \r \h  \* MERGEFORMAT </w:instrText>
      </w:r>
      <w:r w:rsidR="0080494B" w:rsidRPr="0080494B">
        <w:rPr>
          <w:b/>
          <w:color w:val="0070C0"/>
        </w:rPr>
      </w:r>
      <w:r w:rsidR="0080494B" w:rsidRPr="0080494B">
        <w:rPr>
          <w:b/>
          <w:color w:val="0070C0"/>
        </w:rPr>
        <w:fldChar w:fldCharType="separate"/>
      </w:r>
      <w:r w:rsidR="000223E8">
        <w:rPr>
          <w:b/>
          <w:color w:val="0070C0"/>
        </w:rPr>
        <w:t>4.6</w:t>
      </w:r>
      <w:r w:rsidR="0080494B" w:rsidRPr="0080494B">
        <w:rPr>
          <w:b/>
          <w:color w:val="0070C0"/>
        </w:rPr>
        <w:fldChar w:fldCharType="end"/>
      </w:r>
      <w:r w:rsidR="0080494B">
        <w:t xml:space="preserve"> on the right of children to legal counsel, legal assistance and legal representation</w:t>
      </w:r>
      <w:r>
        <w:t>).</w:t>
      </w:r>
      <w:r w:rsidR="008D476C">
        <w:t xml:space="preserve"> </w:t>
      </w:r>
      <w:r w:rsidR="0080494B">
        <w:t>In CY, the mechanism</w:t>
      </w:r>
      <w:r w:rsidR="008D476C">
        <w:t xml:space="preserve"> involve</w:t>
      </w:r>
      <w:r w:rsidR="0080494B">
        <w:t>s</w:t>
      </w:r>
      <w:r w:rsidR="008D476C">
        <w:t xml:space="preserve"> requesting the Child</w:t>
      </w:r>
      <w:r w:rsidR="0080494B">
        <w:t xml:space="preserve"> Commissioner to intervene.</w:t>
      </w:r>
      <w:r w:rsidR="008D476C">
        <w:t xml:space="preserve"> </w:t>
      </w:r>
    </w:p>
    <w:p w:rsidR="005D0E0E" w:rsidRDefault="005D0E0E" w:rsidP="00E83712">
      <w:pPr>
        <w:pStyle w:val="BodyText"/>
      </w:pPr>
      <w:r>
        <w:t xml:space="preserve">In 14 MS (AT, BE, BG, CZ, DE, EE, FI, HR, HU, LT, LV, MT, PT, SK) the </w:t>
      </w:r>
      <w:r w:rsidR="008D476C">
        <w:t xml:space="preserve">mechanisms apply </w:t>
      </w:r>
      <w:r>
        <w:t xml:space="preserve">in </w:t>
      </w:r>
      <w:r w:rsidR="008D476C" w:rsidRPr="00CC50AB">
        <w:rPr>
          <w:b/>
        </w:rPr>
        <w:t>all areas of law</w:t>
      </w:r>
      <w:r w:rsidR="008D476C">
        <w:t xml:space="preserve">; elsewhere they apply in </w:t>
      </w:r>
      <w:r>
        <w:t xml:space="preserve">certain areas of law only: </w:t>
      </w:r>
    </w:p>
    <w:p w:rsidR="005D0E0E" w:rsidRPr="00A7584E" w:rsidRDefault="005D0E0E" w:rsidP="00E83712">
      <w:pPr>
        <w:pStyle w:val="BTBullet1"/>
      </w:pPr>
      <w:r w:rsidRPr="00A7584E">
        <w:t>In six MS (ES, IT, LU, NL, SE, SI), the</w:t>
      </w:r>
      <w:r w:rsidR="001F565A" w:rsidRPr="00A7584E">
        <w:t xml:space="preserve">y apply </w:t>
      </w:r>
      <w:r w:rsidRPr="00A7584E">
        <w:t>in all areas of law except administrative sanctions or offences below MACR;</w:t>
      </w:r>
      <w:r w:rsidR="00050135">
        <w:t xml:space="preserve"> </w:t>
      </w:r>
    </w:p>
    <w:p w:rsidR="005D0E0E" w:rsidRPr="00A7584E" w:rsidRDefault="005D0E0E" w:rsidP="00E83712">
      <w:pPr>
        <w:pStyle w:val="BTBullet1"/>
      </w:pPr>
      <w:r w:rsidRPr="00A7584E">
        <w:t xml:space="preserve">In one MS (PL), </w:t>
      </w:r>
      <w:r w:rsidR="001F565A" w:rsidRPr="00A7584E">
        <w:t xml:space="preserve">the mechanism applies </w:t>
      </w:r>
      <w:r w:rsidRPr="00A7584E">
        <w:t>in all areas of law except migratio</w:t>
      </w:r>
      <w:r w:rsidR="001F565A" w:rsidRPr="00A7584E">
        <w:t>n, asylum, education and health;</w:t>
      </w:r>
    </w:p>
    <w:p w:rsidR="005D0E0E" w:rsidRPr="00A7584E" w:rsidRDefault="005D0E0E" w:rsidP="00E83712">
      <w:pPr>
        <w:pStyle w:val="BTBullet1"/>
      </w:pPr>
      <w:r w:rsidRPr="00A7584E">
        <w:t xml:space="preserve">In three </w:t>
      </w:r>
      <w:r w:rsidR="00363223">
        <w:t>jurisdictions</w:t>
      </w:r>
      <w:r w:rsidRPr="00A7584E">
        <w:t xml:space="preserve"> (EL, FR, </w:t>
      </w:r>
      <w:r w:rsidR="00CD7610">
        <w:t>UK-S</w:t>
      </w:r>
      <w:r w:rsidRPr="00A7584E">
        <w:t xml:space="preserve">), </w:t>
      </w:r>
      <w:r w:rsidR="001F565A" w:rsidRPr="00A7584E">
        <w:t xml:space="preserve">they apply </w:t>
      </w:r>
      <w:r w:rsidRPr="00A7584E">
        <w:t>in three areas of law (family, placement in care, and employment and/or offences below the age of criminal responsibility);</w:t>
      </w:r>
    </w:p>
    <w:p w:rsidR="005D0E0E" w:rsidRPr="00A7584E" w:rsidRDefault="005D0E0E" w:rsidP="00E83712">
      <w:pPr>
        <w:pStyle w:val="BTBullet1"/>
      </w:pPr>
      <w:r w:rsidRPr="00A7584E">
        <w:t xml:space="preserve">In four </w:t>
      </w:r>
      <w:r w:rsidR="00363223">
        <w:t>jurisdictions</w:t>
      </w:r>
      <w:r w:rsidRPr="00A7584E">
        <w:t xml:space="preserve"> (CY, DK, UK-E&amp;W, UK-NI), the</w:t>
      </w:r>
      <w:r w:rsidR="001F565A" w:rsidRPr="00A7584E">
        <w:t xml:space="preserve"> mechanisms apply </w:t>
      </w:r>
      <w:r w:rsidRPr="00A7584E">
        <w:t>in one or two areas of law (family and placement in care).</w:t>
      </w:r>
    </w:p>
    <w:p w:rsidR="005D0E0E" w:rsidRDefault="001F565A" w:rsidP="00E83712">
      <w:pPr>
        <w:pStyle w:val="BodyText"/>
      </w:pPr>
      <w:r>
        <w:t xml:space="preserve">In terms of the roles of the child, the mechanisms that exist apply to </w:t>
      </w:r>
      <w:r w:rsidR="00FD17B0">
        <w:rPr>
          <w:b/>
        </w:rPr>
        <w:t>child plaintiffs and</w:t>
      </w:r>
      <w:r w:rsidR="005D0E0E" w:rsidRPr="00CC50AB">
        <w:rPr>
          <w:b/>
        </w:rPr>
        <w:t xml:space="preserve"> defendants</w:t>
      </w:r>
      <w:r w:rsidR="005D0E0E">
        <w:t xml:space="preserve"> in all of the jurisdictions concerned (although in some jurisdictions,</w:t>
      </w:r>
      <w:r>
        <w:t xml:space="preserve"> they apply to</w:t>
      </w:r>
      <w:r w:rsidR="005D0E0E">
        <w:t xml:space="preserve"> defendants </w:t>
      </w:r>
      <w:r>
        <w:t xml:space="preserve">in a smaller number </w:t>
      </w:r>
      <w:r w:rsidR="005D0E0E">
        <w:t>of areas of</w:t>
      </w:r>
      <w:r>
        <w:t xml:space="preserve"> law</w:t>
      </w:r>
      <w:r w:rsidR="005D0E0E">
        <w:t xml:space="preserve">). </w:t>
      </w:r>
    </w:p>
    <w:p w:rsidR="005D0E0E" w:rsidRDefault="00CC50AB" w:rsidP="00E83712">
      <w:pPr>
        <w:pStyle w:val="BodyText"/>
      </w:pPr>
      <w:r>
        <w:t>The mechanisms also apply</w:t>
      </w:r>
      <w:r w:rsidR="005D0E0E">
        <w:t xml:space="preserve"> to </w:t>
      </w:r>
      <w:r w:rsidR="005D0E0E" w:rsidRPr="00CC50AB">
        <w:rPr>
          <w:b/>
        </w:rPr>
        <w:t>child subjects</w:t>
      </w:r>
      <w:r w:rsidR="005D0E0E">
        <w:t xml:space="preserve"> in 18 out of the 28 jurisdictions concerned (the exceptions are AT, BG, FI, DE, LV, NL, SK, SE, UK-E&amp;W, UK-NI where</w:t>
      </w:r>
      <w:r>
        <w:t xml:space="preserve"> the provisions do not apply to</w:t>
      </w:r>
      <w:r w:rsidR="005D0E0E">
        <w:t xml:space="preserve"> child subjects). However, in several jurisdictions, </w:t>
      </w:r>
      <w:r>
        <w:t xml:space="preserve">the provision applies to subjects in a small number of areas law </w:t>
      </w:r>
      <w:r w:rsidR="005D0E0E">
        <w:t xml:space="preserve">(e.g. in PL and PT, </w:t>
      </w:r>
      <w:r>
        <w:t xml:space="preserve">it only applies in the areas of </w:t>
      </w:r>
      <w:r w:rsidR="005D0E0E">
        <w:t>family and placement in</w:t>
      </w:r>
      <w:r>
        <w:t>to</w:t>
      </w:r>
      <w:r w:rsidR="005D0E0E">
        <w:t xml:space="preserve"> care; in FI and HU, </w:t>
      </w:r>
      <w:r>
        <w:t xml:space="preserve">in the area of </w:t>
      </w:r>
      <w:r w:rsidR="005D0E0E">
        <w:t xml:space="preserve">family proceedings; in CY, </w:t>
      </w:r>
      <w:r>
        <w:t xml:space="preserve">in the area of </w:t>
      </w:r>
      <w:r w:rsidR="005D0E0E">
        <w:t>placement in</w:t>
      </w:r>
      <w:r>
        <w:t>to</w:t>
      </w:r>
      <w:r w:rsidR="005D0E0E">
        <w:t xml:space="preserve"> care; in HR, in health proceedings; and in BE, in family, asylum and migration proceedings). </w:t>
      </w:r>
    </w:p>
    <w:p w:rsidR="005D0E0E" w:rsidRDefault="005D0E0E" w:rsidP="00E83712">
      <w:pPr>
        <w:pStyle w:val="BodyText"/>
      </w:pPr>
      <w:r>
        <w:t xml:space="preserve">In 12 jurisdictions (AT, CZ, CY, DE, EE, ES, FI, HU, MT, PT, SE, UK-S), </w:t>
      </w:r>
      <w:r w:rsidR="00CC50AB">
        <w:t xml:space="preserve">the mechanisms also apply to </w:t>
      </w:r>
      <w:r w:rsidRPr="000073FB">
        <w:rPr>
          <w:b/>
        </w:rPr>
        <w:t>child witnesses</w:t>
      </w:r>
      <w:r>
        <w:t xml:space="preserve">. However, in the case of CY and UK-S, </w:t>
      </w:r>
      <w:r w:rsidR="00CC50AB">
        <w:t>they only apply to</w:t>
      </w:r>
      <w:r>
        <w:t xml:space="preserve"> witnesses involved in family proceedings.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075A76" w:rsidTr="004017DA">
        <w:tc>
          <w:tcPr>
            <w:tcW w:w="8222" w:type="dxa"/>
            <w:shd w:val="clear" w:color="auto" w:fill="CDEBFF"/>
          </w:tcPr>
          <w:p w:rsidR="00075A76" w:rsidRDefault="00075A76" w:rsidP="00075A76">
            <w:pPr>
              <w:pStyle w:val="TableText"/>
              <w:rPr>
                <w:rFonts w:ascii="Calibri" w:hAnsi="Calibri"/>
                <w:b/>
                <w:color w:val="0067AC"/>
                <w:sz w:val="26"/>
                <w:szCs w:val="26"/>
              </w:rPr>
            </w:pPr>
            <w:r w:rsidRPr="00075A76">
              <w:rPr>
                <w:rFonts w:ascii="Calibri" w:hAnsi="Calibri"/>
                <w:b/>
                <w:color w:val="0067AC"/>
                <w:sz w:val="26"/>
                <w:szCs w:val="26"/>
              </w:rPr>
              <w:t xml:space="preserve">General observations: </w:t>
            </w:r>
            <w:r>
              <w:rPr>
                <w:rFonts w:ascii="Calibri" w:hAnsi="Calibri"/>
                <w:b/>
                <w:color w:val="0067AC"/>
                <w:sz w:val="26"/>
                <w:szCs w:val="26"/>
              </w:rPr>
              <w:t>legal remedies and compensation</w:t>
            </w:r>
          </w:p>
          <w:p w:rsidR="00075A76" w:rsidRPr="00075A76" w:rsidRDefault="00075A76" w:rsidP="00075A76">
            <w:pPr>
              <w:pStyle w:val="Bullet1"/>
              <w:rPr>
                <w:rFonts w:ascii="Calibri" w:hAnsi="Calibri"/>
                <w:b/>
                <w:color w:val="0067AC"/>
                <w:sz w:val="26"/>
                <w:szCs w:val="26"/>
              </w:rPr>
            </w:pPr>
            <w:r>
              <w:t>All MS make legal remedies available to children whose rights have been violated in civil or administrative judicial proceedings. In many cases these are not available to children in their own right, but rather through their legal representative.</w:t>
            </w:r>
          </w:p>
          <w:p w:rsidR="00075A76" w:rsidRPr="00075A76" w:rsidRDefault="00075A76" w:rsidP="00075A76">
            <w:pPr>
              <w:pStyle w:val="Bullet1"/>
              <w:rPr>
                <w:rFonts w:ascii="Calibri" w:hAnsi="Calibri"/>
                <w:b/>
                <w:color w:val="0067AC"/>
                <w:sz w:val="26"/>
                <w:szCs w:val="26"/>
              </w:rPr>
            </w:pPr>
            <w:r>
              <w:t>In 23 jurisdictions, children have a statutory right to appeal a court decision in their own name rather than through a legal representative, subject to minimum age conditions. The provision applies most frequently in the area of family law (17 jurisdictions).</w:t>
            </w:r>
          </w:p>
          <w:p w:rsidR="00075A76" w:rsidRPr="00075A76" w:rsidRDefault="00075A76" w:rsidP="00075A76">
            <w:pPr>
              <w:pStyle w:val="Bullet1"/>
              <w:rPr>
                <w:rFonts w:ascii="Calibri" w:hAnsi="Calibri"/>
                <w:b/>
                <w:color w:val="0067AC"/>
                <w:sz w:val="26"/>
                <w:szCs w:val="26"/>
              </w:rPr>
            </w:pPr>
            <w:r>
              <w:t>In 26 jurisdictions there is a statutory provision allowing child care authorities to appeal against certain court decisions involving children. The provision applies most frequently in the areas of placement into care (25 jurisdictions) and family law (20 jurisdictions).</w:t>
            </w:r>
          </w:p>
          <w:p w:rsidR="00075A76" w:rsidRPr="00075A76" w:rsidRDefault="00075A76" w:rsidP="00075A76">
            <w:pPr>
              <w:pStyle w:val="Bullet1"/>
              <w:rPr>
                <w:rFonts w:ascii="Calibri" w:hAnsi="Calibri"/>
                <w:b/>
                <w:color w:val="0067AC"/>
                <w:sz w:val="26"/>
                <w:szCs w:val="26"/>
              </w:rPr>
            </w:pPr>
            <w:r>
              <w:t>In 13 MS there is a legal obligation to ensure that the procedures available for children to claim compensation for damages caused by violation of rights are effective. Where this provision exists, it normally applies to all areas of law.</w:t>
            </w:r>
          </w:p>
        </w:tc>
      </w:tr>
    </w:tbl>
    <w:p w:rsidR="00D734A5" w:rsidRDefault="0091781B" w:rsidP="00A7584E">
      <w:pPr>
        <w:pStyle w:val="Heading2"/>
      </w:pPr>
      <w:bookmarkStart w:id="224" w:name="_Toc406590163"/>
      <w:bookmarkStart w:id="225" w:name="_Toc408908740"/>
      <w:r>
        <w:t xml:space="preserve">Offsetting the </w:t>
      </w:r>
      <w:r w:rsidR="00D374E8">
        <w:t>l</w:t>
      </w:r>
      <w:r w:rsidR="00D734A5" w:rsidRPr="00D734A5">
        <w:t>egal costs</w:t>
      </w:r>
      <w:r>
        <w:t xml:space="preserve"> to child defendants and plaintiffs</w:t>
      </w:r>
      <w:bookmarkEnd w:id="224"/>
      <w:bookmarkEnd w:id="225"/>
    </w:p>
    <w:p w:rsidR="005853C4" w:rsidRDefault="005853C4" w:rsidP="00075A76">
      <w:pPr>
        <w:pStyle w:val="BodyText"/>
      </w:pPr>
      <w:r>
        <w:t>The cost of court fees may represent a barrier to the effective participation of child plaintiffs or defendants in civil and administrative judicial proceedings. In a number of jurisdictions, there are statutory provisions allowing the court fees to be waived in the case of a child defendant or plaintiff. In other jurisdictions, the court or judge has discretionary powers to waive the court fees in the case of child plaintiffs or defendants.</w:t>
      </w:r>
    </w:p>
    <w:p w:rsidR="005853C4" w:rsidRPr="00E957FE" w:rsidRDefault="005853C4" w:rsidP="00075A76">
      <w:pPr>
        <w:pStyle w:val="Heading4NoNumb"/>
        <w:ind w:firstLine="851"/>
      </w:pPr>
      <w:r w:rsidRPr="009C2186">
        <w:t>Statutory provision allowing court fees to be waived</w:t>
      </w:r>
      <w:r w:rsidR="00E957FE">
        <w:t xml:space="preserve"> (CivAdm185)</w:t>
      </w:r>
    </w:p>
    <w:p w:rsidR="005853C4" w:rsidRDefault="00742F25" w:rsidP="00075A76">
      <w:pPr>
        <w:pStyle w:val="BodyText"/>
      </w:pPr>
      <w:r>
        <w:t xml:space="preserve">Fifteen </w:t>
      </w:r>
      <w:r w:rsidR="005853C4">
        <w:t xml:space="preserve">jurisdictions (BE, BG, CZ, DK, EE, FI, EL, </w:t>
      </w:r>
      <w:r>
        <w:t xml:space="preserve">HR, </w:t>
      </w:r>
      <w:r w:rsidR="005853C4">
        <w:t xml:space="preserve">IT, PL, PT, RO, SK, UK-E&amp;W, UK-NI) have statutory provisions allowing the court fees to be waived in the case of a child defendant or plaintiff. </w:t>
      </w:r>
    </w:p>
    <w:p w:rsidR="005853C4" w:rsidRDefault="005853C4" w:rsidP="00075A76">
      <w:pPr>
        <w:pStyle w:val="BodyText"/>
      </w:pPr>
      <w:r>
        <w:t xml:space="preserve">In </w:t>
      </w:r>
      <w:r w:rsidR="00742F25">
        <w:t>nine of the 15</w:t>
      </w:r>
      <w:r>
        <w:t xml:space="preserve"> jurisdictions where such statutory provisions exist (BE, BG, CZ, EE, FI, </w:t>
      </w:r>
      <w:r w:rsidR="00742F25">
        <w:t xml:space="preserve">HR, </w:t>
      </w:r>
      <w:r>
        <w:t xml:space="preserve">SK, UK-E&amp;W and UK-NI) court fees can be waived in proceedings relating to </w:t>
      </w:r>
      <w:r w:rsidRPr="00D5762F">
        <w:rPr>
          <w:b/>
        </w:rPr>
        <w:t>all areas of law</w:t>
      </w:r>
      <w:r>
        <w:t>. In the other six jurisdictions, a variety of areas of law are covered; the area</w:t>
      </w:r>
      <w:r w:rsidR="00742F25">
        <w:t>s</w:t>
      </w:r>
      <w:r>
        <w:t xml:space="preserve"> of law that </w:t>
      </w:r>
      <w:r w:rsidR="00742F25">
        <w:t xml:space="preserve">are most </w:t>
      </w:r>
      <w:r>
        <w:t>of</w:t>
      </w:r>
      <w:r w:rsidR="00742F25">
        <w:t>ten covered by this provision are</w:t>
      </w:r>
      <w:r>
        <w:t xml:space="preserve"> </w:t>
      </w:r>
      <w:r w:rsidRPr="00D5762F">
        <w:rPr>
          <w:b/>
        </w:rPr>
        <w:t xml:space="preserve">offences committed </w:t>
      </w:r>
      <w:r w:rsidR="00646562">
        <w:rPr>
          <w:b/>
        </w:rPr>
        <w:t>below MACR</w:t>
      </w:r>
      <w:r w:rsidR="00742F25">
        <w:t xml:space="preserve"> (15 jurisdictions), </w:t>
      </w:r>
      <w:r w:rsidR="00742F25" w:rsidRPr="00742F25">
        <w:rPr>
          <w:b/>
        </w:rPr>
        <w:t>migration, asylum, health and placement in care</w:t>
      </w:r>
      <w:r w:rsidR="00742F25">
        <w:t xml:space="preserve"> (14 jurisdictions each)</w:t>
      </w:r>
      <w:r w:rsidR="00E957FE">
        <w:t>.</w:t>
      </w:r>
    </w:p>
    <w:p w:rsidR="005853C4" w:rsidRDefault="005853C4" w:rsidP="00075A76">
      <w:pPr>
        <w:pStyle w:val="BodyText"/>
      </w:pPr>
      <w:r>
        <w:t xml:space="preserve">Whilst the possibility of waiving court fees applies exclusively to children involved as </w:t>
      </w:r>
      <w:r w:rsidRPr="0036796F">
        <w:rPr>
          <w:b/>
        </w:rPr>
        <w:t>plaintiffs and defendants</w:t>
      </w:r>
      <w:r>
        <w:t xml:space="preserve">, in some jurisdictions, the provision only applies to plaintiffs (in several areas of law) or to defendants (in a smaller number of areas of law). For example: </w:t>
      </w:r>
    </w:p>
    <w:p w:rsidR="005853C4" w:rsidRPr="00A7584E" w:rsidRDefault="005853C4" w:rsidP="00075A76">
      <w:pPr>
        <w:pStyle w:val="BTBullet1"/>
      </w:pPr>
      <w:r w:rsidRPr="00A7584E">
        <w:t xml:space="preserve">In FI, only plaintiffs are covered in all areas of law; </w:t>
      </w:r>
    </w:p>
    <w:p w:rsidR="005853C4" w:rsidRPr="00A7584E" w:rsidRDefault="005853C4" w:rsidP="00075A76">
      <w:pPr>
        <w:pStyle w:val="BTBullet1"/>
      </w:pPr>
      <w:r w:rsidRPr="00A7584E">
        <w:t xml:space="preserve">In EL, only defendants are covered in cases relating to offences committed under the age of criminal responsibility; </w:t>
      </w:r>
    </w:p>
    <w:p w:rsidR="005853C4" w:rsidRPr="00A7584E" w:rsidRDefault="005853C4" w:rsidP="00075A76">
      <w:pPr>
        <w:pStyle w:val="BTBullet1"/>
      </w:pPr>
      <w:r w:rsidRPr="00A7584E">
        <w:t xml:space="preserve">In IT, only plaintiffs are covered except in cases relating to offences committed </w:t>
      </w:r>
      <w:r w:rsidR="00646562">
        <w:t>below MACR</w:t>
      </w:r>
      <w:r w:rsidRPr="00A7584E">
        <w:t xml:space="preserve"> where both plaintiffs and defendants are covered; and, </w:t>
      </w:r>
    </w:p>
    <w:p w:rsidR="005853C4" w:rsidRPr="00A7584E" w:rsidRDefault="005853C4" w:rsidP="00075A76">
      <w:pPr>
        <w:pStyle w:val="BTBullet1"/>
      </w:pPr>
      <w:r w:rsidRPr="00A7584E">
        <w:t xml:space="preserve">In PT, while plaintiffs are covered in all areas of law except placement in care, defendants are only covered in proceedings relating to administrative sanctions and offences committed </w:t>
      </w:r>
      <w:r w:rsidR="00646562">
        <w:t>below MACR</w:t>
      </w:r>
      <w:r w:rsidRPr="00A7584E">
        <w:t xml:space="preserve">. </w:t>
      </w:r>
    </w:p>
    <w:p w:rsidR="005853C4" w:rsidRPr="00D67AE8" w:rsidRDefault="005853C4" w:rsidP="00075A76">
      <w:pPr>
        <w:pStyle w:val="Heading4NoNumb"/>
        <w:ind w:firstLine="851"/>
      </w:pPr>
      <w:r w:rsidRPr="00D67AE8">
        <w:t>Discretionary power on the part of the court or judge to waive court fees</w:t>
      </w:r>
      <w:r w:rsidR="00D67AE8">
        <w:t xml:space="preserve"> (CivAdm186)</w:t>
      </w:r>
    </w:p>
    <w:p w:rsidR="00D67AE8" w:rsidRPr="00D67AE8" w:rsidRDefault="005853C4" w:rsidP="00075A76">
      <w:pPr>
        <w:pStyle w:val="BodyText"/>
      </w:pPr>
      <w:r w:rsidRPr="00D67AE8">
        <w:t xml:space="preserve">In </w:t>
      </w:r>
      <w:r w:rsidR="00D67AE8">
        <w:t>s</w:t>
      </w:r>
      <w:r w:rsidR="00B20822">
        <w:t>ix</w:t>
      </w:r>
      <w:r w:rsidR="00D67AE8">
        <w:t xml:space="preserve"> of the 15</w:t>
      </w:r>
      <w:r w:rsidRPr="00D67AE8">
        <w:t xml:space="preserve"> jurisdictions that have statutory provisions allowing the court fees to be waived in the case of a child plaintiff or defendant (BG, CZ, EE, EL, PL, SK), the court or judge has discretionary power to decide whether to waive the court fees. The discretionary power applies to child plaintiffs and defendants in the same areas of law that are covered by the statutory provisions allowing the court fees to be waived, except in BG and EL where some exceptions apply. In BG, the discretionary power of the court or judge does not extend to employment proceedings; and in EL, it does not extend to fa</w:t>
      </w:r>
      <w:r w:rsidR="00D67AE8">
        <w:t>mily or employment proceedings</w:t>
      </w:r>
      <w:r w:rsidRPr="00D67AE8">
        <w:t xml:space="preserve">. </w:t>
      </w:r>
    </w:p>
    <w:p w:rsidR="005853C4" w:rsidRDefault="005853C4" w:rsidP="00075A76">
      <w:pPr>
        <w:pStyle w:val="BodyText"/>
      </w:pPr>
      <w:r w:rsidRPr="00D67AE8">
        <w:t>The judge or court also has discretionary power</w:t>
      </w:r>
      <w:r w:rsidR="00D67AE8">
        <w:t xml:space="preserve"> to waive the court fees in three</w:t>
      </w:r>
      <w:r w:rsidRPr="00D67AE8">
        <w:t xml:space="preserve"> MS where no statutory provisions allowing the court fees to be waived in the case of a child defendant or plaintiff exist. This concerns FR, </w:t>
      </w:r>
      <w:r w:rsidR="00CE73EB">
        <w:t>LT and NL. In these three</w:t>
      </w:r>
      <w:r w:rsidRPr="00D67AE8">
        <w:t xml:space="preserve"> MS, the discretionary power of the judge applies to </w:t>
      </w:r>
      <w:r w:rsidR="00CE73EB">
        <w:t>family, employment and placement in care (FR)</w:t>
      </w:r>
      <w:r w:rsidRPr="00D67AE8">
        <w:t xml:space="preserve"> or</w:t>
      </w:r>
      <w:r w:rsidRPr="00D67AE8">
        <w:rPr>
          <w:b/>
        </w:rPr>
        <w:t xml:space="preserve"> all areas of law except administrative sanctions and offences committed </w:t>
      </w:r>
      <w:r w:rsidR="00CE73EB">
        <w:rPr>
          <w:b/>
        </w:rPr>
        <w:t>below MACR</w:t>
      </w:r>
      <w:r w:rsidRPr="00D67AE8">
        <w:t xml:space="preserve"> (LT and, in the case of plaintiffs, NL). In NL, the discretionary power of the court or judge only applies to defendants in the case of migration proceedings.</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4017DA" w:rsidTr="004017DA">
        <w:tc>
          <w:tcPr>
            <w:tcW w:w="8222" w:type="dxa"/>
            <w:shd w:val="clear" w:color="auto" w:fill="CDEBFF"/>
          </w:tcPr>
          <w:p w:rsidR="004017DA" w:rsidRPr="004017DA" w:rsidRDefault="004017DA" w:rsidP="004017DA">
            <w:pPr>
              <w:pStyle w:val="TableText"/>
              <w:rPr>
                <w:rFonts w:ascii="Calibri" w:hAnsi="Calibri"/>
                <w:b/>
                <w:color w:val="0067AC"/>
                <w:sz w:val="26"/>
                <w:szCs w:val="26"/>
              </w:rPr>
            </w:pPr>
            <w:r w:rsidRPr="004017DA">
              <w:rPr>
                <w:rFonts w:ascii="Calibri" w:hAnsi="Calibri"/>
                <w:b/>
                <w:color w:val="0067AC"/>
                <w:sz w:val="26"/>
                <w:szCs w:val="26"/>
              </w:rPr>
              <w:t>General observations: legal costs</w:t>
            </w:r>
          </w:p>
          <w:p w:rsidR="004017DA" w:rsidRDefault="004017DA" w:rsidP="004017DA">
            <w:pPr>
              <w:pStyle w:val="Bullet1"/>
            </w:pPr>
            <w:r>
              <w:t>Fifteen jurisdictions have statutory provisions allowing the court fees to be waived in the case of a child defendant or plaintiff (in seven cases this is subject to a discretionary decision on the part of the judge). The statutory provisions apply most frequently in the area of offences committed below MACR (15 jurisdictions), migration, asylum, health and placement in care (14 jurisdictions each).</w:t>
            </w:r>
          </w:p>
          <w:p w:rsidR="004017DA" w:rsidRPr="004017DA" w:rsidRDefault="004017DA" w:rsidP="004017DA">
            <w:pPr>
              <w:pStyle w:val="Bullet1"/>
            </w:pPr>
            <w:r>
              <w:t xml:space="preserve">The judge or court also has discretionary power to waive the court fees of child defendants or plaintiffs in three MS (FR, LT and NL) where no statutory provisions allowing the court fees to be waived in the case of a child defendant or plaintiff exist. </w:t>
            </w:r>
          </w:p>
        </w:tc>
      </w:tr>
    </w:tbl>
    <w:p w:rsidR="00C148FB" w:rsidRPr="00C148FB" w:rsidRDefault="00C148FB" w:rsidP="00A7584E">
      <w:pPr>
        <w:pStyle w:val="Heading2"/>
      </w:pPr>
      <w:bookmarkStart w:id="226" w:name="_Toc406590164"/>
      <w:bookmarkStart w:id="227" w:name="_Toc408908741"/>
      <w:r w:rsidRPr="00C148FB">
        <w:t>Enforcement of court judgments</w:t>
      </w:r>
      <w:r w:rsidR="0091781B">
        <w:t xml:space="preserve"> in a child friendly manner</w:t>
      </w:r>
      <w:bookmarkEnd w:id="226"/>
      <w:bookmarkEnd w:id="227"/>
    </w:p>
    <w:p w:rsidR="00C54E3E" w:rsidRDefault="00963BBE" w:rsidP="004017DA">
      <w:pPr>
        <w:pStyle w:val="BodyText"/>
      </w:pPr>
      <w:r>
        <w:t>W</w:t>
      </w:r>
      <w:r w:rsidRPr="00963BBE">
        <w:t>hen the parties do not cooperate in the implementation of a court judgment, or when the court has not made the judgment immediately enforceable in the main proceeding</w:t>
      </w:r>
      <w:r w:rsidR="00585C19">
        <w:t>s</w:t>
      </w:r>
      <w:r>
        <w:t>, enforcement proceedings may follow.</w:t>
      </w:r>
      <w:r w:rsidR="00C54E3E">
        <w:t xml:space="preserve"> This section considers whether </w:t>
      </w:r>
      <w:r w:rsidR="00585C19">
        <w:t xml:space="preserve">MS have adopted </w:t>
      </w:r>
      <w:r w:rsidR="00C54E3E">
        <w:t xml:space="preserve">the following measures intended to </w:t>
      </w:r>
      <w:r w:rsidR="002018E7">
        <w:t xml:space="preserve">ensure the well-being of the child </w:t>
      </w:r>
      <w:r w:rsidR="00EC7A83">
        <w:t xml:space="preserve">immediately </w:t>
      </w:r>
      <w:r w:rsidR="00C54E3E">
        <w:t>prior to</w:t>
      </w:r>
      <w:r w:rsidR="00EC7A83">
        <w:t>,</w:t>
      </w:r>
      <w:r w:rsidR="00C54E3E">
        <w:t xml:space="preserve"> or </w:t>
      </w:r>
      <w:r w:rsidR="002018E7">
        <w:t>during</w:t>
      </w:r>
      <w:r w:rsidR="00EC7A83">
        <w:t>,</w:t>
      </w:r>
      <w:r w:rsidR="002018E7">
        <w:t xml:space="preserve"> enforcement proceedings</w:t>
      </w:r>
      <w:r w:rsidR="00C54E3E">
        <w:t>:</w:t>
      </w:r>
    </w:p>
    <w:p w:rsidR="00C54E3E" w:rsidRPr="00C54E3E" w:rsidRDefault="00C54E3E" w:rsidP="004017DA">
      <w:pPr>
        <w:pStyle w:val="BTBullet1"/>
      </w:pPr>
      <w:r w:rsidRPr="00C54E3E">
        <w:t>The duty to communicate decisions or judgments to the child (in a language that the child can understand);</w:t>
      </w:r>
    </w:p>
    <w:p w:rsidR="00C54E3E" w:rsidRPr="00C54E3E" w:rsidRDefault="00C54E3E" w:rsidP="004017DA">
      <w:pPr>
        <w:pStyle w:val="BTBullet1"/>
      </w:pPr>
      <w:r w:rsidRPr="00C54E3E">
        <w:t>The existence of guidance or a code of conduct for lawyers, guardians ad litem or legal representatives on how to communicate a decision or judgement to a child;</w:t>
      </w:r>
    </w:p>
    <w:p w:rsidR="00C54E3E" w:rsidRPr="00C54E3E" w:rsidRDefault="00C54E3E" w:rsidP="004017DA">
      <w:pPr>
        <w:pStyle w:val="BTBullet1"/>
      </w:pPr>
      <w:r w:rsidRPr="00C54E3E">
        <w:t xml:space="preserve">The possibility for </w:t>
      </w:r>
      <w:r w:rsidR="002018E7" w:rsidRPr="00C54E3E">
        <w:t xml:space="preserve">the court </w:t>
      </w:r>
      <w:r w:rsidRPr="00C54E3E">
        <w:t>to</w:t>
      </w:r>
      <w:r w:rsidR="002018E7" w:rsidRPr="00C54E3E">
        <w:t xml:space="preserve"> impose protective temporary measures</w:t>
      </w:r>
      <w:r w:rsidRPr="00C54E3E">
        <w:t xml:space="preserve"> where the child is at risk of danger or harm;</w:t>
      </w:r>
    </w:p>
    <w:p w:rsidR="00C54E3E" w:rsidRPr="00C54E3E" w:rsidRDefault="00C54E3E" w:rsidP="004017DA">
      <w:pPr>
        <w:pStyle w:val="BTBullet1"/>
      </w:pPr>
      <w:r w:rsidRPr="00C54E3E">
        <w:t xml:space="preserve">The possibility for the court to make </w:t>
      </w:r>
      <w:r w:rsidR="002018E7" w:rsidRPr="00C54E3E">
        <w:t>decisions directly or immediately enforceable</w:t>
      </w:r>
      <w:r w:rsidRPr="00C54E3E">
        <w:t>;</w:t>
      </w:r>
    </w:p>
    <w:p w:rsidR="004017DA" w:rsidRPr="00CC1B18" w:rsidRDefault="00C54E3E" w:rsidP="00CC1B18">
      <w:pPr>
        <w:pStyle w:val="BTBullet1"/>
      </w:pPr>
      <w:r w:rsidRPr="00C54E3E">
        <w:t xml:space="preserve">The use of force as a </w:t>
      </w:r>
      <w:r w:rsidR="002E15B1">
        <w:t xml:space="preserve">measure of </w:t>
      </w:r>
      <w:r w:rsidRPr="00C54E3E">
        <w:t>last</w:t>
      </w:r>
      <w:r w:rsidR="00936100">
        <w:t xml:space="preserve"> resort to implement a judgment, e.g. </w:t>
      </w:r>
      <w:r w:rsidRPr="00C54E3E">
        <w:t>where</w:t>
      </w:r>
      <w:r w:rsidR="00F82F31" w:rsidRPr="00C54E3E">
        <w:t xml:space="preserve"> the immediate enforcement of the decision </w:t>
      </w:r>
      <w:r w:rsidRPr="00C54E3E">
        <w:t xml:space="preserve">is not </w:t>
      </w:r>
      <w:r w:rsidR="002018E7" w:rsidRPr="00C54E3E">
        <w:t>successful</w:t>
      </w:r>
      <w:r w:rsidRPr="00C54E3E">
        <w:t>.</w:t>
      </w:r>
    </w:p>
    <w:p w:rsidR="004017DA" w:rsidRPr="004017DA" w:rsidRDefault="002018E7" w:rsidP="004017DA">
      <w:pPr>
        <w:pStyle w:val="Heading4NoNumb"/>
        <w:ind w:firstLine="851"/>
      </w:pPr>
      <w:r w:rsidRPr="00963BBE">
        <w:t>Duty to communicate a decision or judgement to the child</w:t>
      </w:r>
      <w:r>
        <w:t xml:space="preserve"> (</w:t>
      </w:r>
      <w:r w:rsidR="00455958">
        <w:t>CivA</w:t>
      </w:r>
      <w:r w:rsidR="00D374E8">
        <w:t xml:space="preserve">dm </w:t>
      </w:r>
      <w:r>
        <w:t>188a and 188b)</w:t>
      </w:r>
    </w:p>
    <w:p w:rsidR="002018E7" w:rsidRDefault="002018E7" w:rsidP="004017DA">
      <w:pPr>
        <w:pStyle w:val="BodyText"/>
      </w:pPr>
      <w:r>
        <w:t xml:space="preserve">In 23 jurisdictions, </w:t>
      </w:r>
      <w:r w:rsidRPr="006154E0">
        <w:rPr>
          <w:b/>
        </w:rPr>
        <w:t>court decisions must be communicated</w:t>
      </w:r>
      <w:r w:rsidRPr="005B3DD3">
        <w:rPr>
          <w:b/>
        </w:rPr>
        <w:t xml:space="preserve"> to a child</w:t>
      </w:r>
      <w:r w:rsidRPr="00F87F9C">
        <w:t xml:space="preserve"> involved in judicial proceedings </w:t>
      </w:r>
      <w:r>
        <w:t xml:space="preserve">(AT, BE, BG, CY, CZ, DE, DK, EE, EL, ES, FI, FR, HR, HU, IT, NL, PL, PT, RO, SE, UK-E&amp;W, UK-NI and </w:t>
      </w:r>
      <w:r w:rsidR="00CD7610">
        <w:t>UK-S</w:t>
      </w:r>
      <w:r>
        <w:t>). In 10 of these jurisdictions, the child has the right to have the decision or judgement explained</w:t>
      </w:r>
      <w:r w:rsidRPr="005B3DD3">
        <w:rPr>
          <w:b/>
        </w:rPr>
        <w:t xml:space="preserve"> </w:t>
      </w:r>
      <w:r>
        <w:t xml:space="preserve">to him or her </w:t>
      </w:r>
      <w:r w:rsidRPr="005B3DD3">
        <w:rPr>
          <w:b/>
        </w:rPr>
        <w:t>in a manner adapted to the child’s level of understanding</w:t>
      </w:r>
      <w:r>
        <w:t xml:space="preserve"> (CZ, EE, FI, FR, IT, NL, PT, SE, UK-E&amp;W and UK-NI).</w:t>
      </w:r>
    </w:p>
    <w:p w:rsidR="00585C19" w:rsidRDefault="002018E7" w:rsidP="004017DA">
      <w:pPr>
        <w:pStyle w:val="BodyText"/>
      </w:pPr>
      <w:r>
        <w:t xml:space="preserve">Where the obligation to communicate a decision to the child exists, including in a child-friendly manner, it applies most frequently in the </w:t>
      </w:r>
      <w:r w:rsidRPr="00673CA0">
        <w:rPr>
          <w:b/>
        </w:rPr>
        <w:t xml:space="preserve">areas of family and </w:t>
      </w:r>
      <w:r>
        <w:rPr>
          <w:b/>
        </w:rPr>
        <w:t>placement in care</w:t>
      </w:r>
      <w:r>
        <w:t xml:space="preserve">. </w:t>
      </w:r>
      <w:r w:rsidR="00585C19">
        <w:t xml:space="preserve">It applies least often in the areas of offences </w:t>
      </w:r>
      <w:r w:rsidR="00585C19" w:rsidRPr="00585C19">
        <w:rPr>
          <w:b/>
        </w:rPr>
        <w:t>committed below MACR and administrative sanctions</w:t>
      </w:r>
      <w:r w:rsidR="00585C19">
        <w:t>.</w:t>
      </w:r>
    </w:p>
    <w:p w:rsidR="002018E7" w:rsidRDefault="002018E7" w:rsidP="004017DA">
      <w:pPr>
        <w:pStyle w:val="BodyText"/>
      </w:pPr>
      <w:r>
        <w:t xml:space="preserve">In </w:t>
      </w:r>
      <w:r w:rsidR="00317A72">
        <w:t>at least</w:t>
      </w:r>
      <w:r>
        <w:t xml:space="preserve"> nine jurisdictions (BE, BG, EE, FI, HR, HU, PL, PT and RO) the general obligation to communicate the decision to the child covers all areas of law. In another three jurisdictions (AT, CY, EL), it applies in all areas except one. In contrast, the provision applies in only one area of law in four jurisdictions (DK, ES, UK-E&amp;W and UK-NI) and only in two areas in two MS (family and placement in care in CZ and DE). </w:t>
      </w:r>
    </w:p>
    <w:p w:rsidR="00963BBE" w:rsidRDefault="002018E7" w:rsidP="004017DA">
      <w:pPr>
        <w:pStyle w:val="BodyText"/>
      </w:pPr>
      <w:r>
        <w:t xml:space="preserve">The legal obligation to communicate a decision to a child, including in a manner comprehensible to the child, applies most frequently to child </w:t>
      </w:r>
      <w:r w:rsidRPr="00300669">
        <w:rPr>
          <w:b/>
        </w:rPr>
        <w:t>plaintiffs</w:t>
      </w:r>
      <w:r w:rsidR="00866815">
        <w:t xml:space="preserve"> and </w:t>
      </w:r>
      <w:r w:rsidRPr="00300669">
        <w:rPr>
          <w:b/>
        </w:rPr>
        <w:t>defendants</w:t>
      </w:r>
      <w:r w:rsidR="00866815">
        <w:rPr>
          <w:b/>
        </w:rPr>
        <w:t xml:space="preserve"> </w:t>
      </w:r>
      <w:r w:rsidR="00866815">
        <w:t>(nine jurisdictions each),</w:t>
      </w:r>
      <w:r>
        <w:rPr>
          <w:b/>
        </w:rPr>
        <w:t xml:space="preserve"> </w:t>
      </w:r>
      <w:r>
        <w:t xml:space="preserve">then </w:t>
      </w:r>
      <w:r w:rsidRPr="00300669">
        <w:rPr>
          <w:b/>
        </w:rPr>
        <w:t>subjects</w:t>
      </w:r>
      <w:r>
        <w:rPr>
          <w:b/>
        </w:rPr>
        <w:t xml:space="preserve"> </w:t>
      </w:r>
      <w:r w:rsidR="00866815" w:rsidRPr="00866815">
        <w:t>(7 jurisdictions).</w:t>
      </w:r>
      <w:r>
        <w:t xml:space="preserve">The obligation applies only in very few cases to </w:t>
      </w:r>
      <w:r w:rsidRPr="00300669">
        <w:rPr>
          <w:b/>
        </w:rPr>
        <w:t>witnesses</w:t>
      </w:r>
      <w:r w:rsidR="00866815">
        <w:t xml:space="preserve"> (two jurisdictions). </w:t>
      </w:r>
    </w:p>
    <w:p w:rsidR="002018E7" w:rsidRDefault="00757616" w:rsidP="004017DA">
      <w:pPr>
        <w:pStyle w:val="BodyText"/>
      </w:pPr>
      <w:r w:rsidRPr="00757616">
        <w:rPr>
          <w:b/>
          <w:color w:val="0070C0"/>
        </w:rPr>
        <w:fldChar w:fldCharType="begin"/>
      </w:r>
      <w:r w:rsidRPr="00757616">
        <w:rPr>
          <w:b/>
          <w:color w:val="0070C0"/>
        </w:rPr>
        <w:instrText xml:space="preserve"> REF _Ref398098665 \r \h  \* MERGEFORMAT </w:instrText>
      </w:r>
      <w:r w:rsidRPr="00757616">
        <w:rPr>
          <w:b/>
          <w:color w:val="0070C0"/>
        </w:rPr>
      </w:r>
      <w:r w:rsidRPr="00757616">
        <w:rPr>
          <w:b/>
          <w:color w:val="0070C0"/>
        </w:rPr>
        <w:fldChar w:fldCharType="separate"/>
      </w:r>
      <w:r w:rsidR="000223E8">
        <w:rPr>
          <w:b/>
          <w:color w:val="0070C0"/>
        </w:rPr>
        <w:t>Table A4.16</w:t>
      </w:r>
      <w:r w:rsidRPr="00757616">
        <w:rPr>
          <w:b/>
          <w:color w:val="0070C0"/>
        </w:rPr>
        <w:fldChar w:fldCharType="end"/>
      </w:r>
      <w:r>
        <w:t xml:space="preserve"> </w:t>
      </w:r>
      <w:r w:rsidR="002018E7" w:rsidRPr="0025443A">
        <w:t xml:space="preserve">provides an </w:t>
      </w:r>
      <w:r w:rsidR="002018E7">
        <w:t>overview of the coverage of these</w:t>
      </w:r>
      <w:r w:rsidR="002018E7" w:rsidRPr="0025443A">
        <w:t xml:space="preserve"> provision</w:t>
      </w:r>
      <w:r w:rsidR="002018E7">
        <w:t>s</w:t>
      </w:r>
      <w:r w:rsidR="002018E7" w:rsidRPr="0025443A">
        <w:t xml:space="preserve"> by area of law and role of the child.</w:t>
      </w:r>
    </w:p>
    <w:p w:rsidR="002018E7" w:rsidRDefault="002018E7" w:rsidP="004017DA">
      <w:pPr>
        <w:pStyle w:val="BodyText"/>
      </w:pPr>
      <w:r>
        <w:t xml:space="preserve">The general duty to communicate a decision to a child applies to all roles of the child only in FR and NL. In 11 MS (AT, BE, BG, CY, DE, EL, ES, HR, HU, RO and SE) it applies to plaintiffs and defendants, and in addition to subjects in six jurisdictions (FI, PL, PT, UK-E&amp;W, UK-NI and </w:t>
      </w:r>
      <w:r w:rsidR="00CD7610">
        <w:t>UK-S</w:t>
      </w:r>
      <w:r>
        <w:t>). In EE, the obligation applies to witnesses, plaintiffs and defendants, in IT to plaintiffs and subjects, in DK to defendants and subjects, and in CZ to subjects only. The duty to communicate the decision in a child-friendly manner applies in the same way, except in NL where the duty does not apply to witnesses, and in FI where it applies only to plaintiffs.</w:t>
      </w:r>
    </w:p>
    <w:p w:rsidR="002018E7" w:rsidRPr="00963BBE" w:rsidRDefault="002018E7" w:rsidP="004017DA">
      <w:pPr>
        <w:pStyle w:val="BodyText"/>
        <w:rPr>
          <w:rFonts w:cs="Arial"/>
        </w:rPr>
      </w:pPr>
      <w:r>
        <w:t xml:space="preserve">In a significant number of jurisdictions, it is </w:t>
      </w:r>
      <w:r w:rsidR="00B95049">
        <w:t>the responsibility</w:t>
      </w:r>
      <w:r>
        <w:t xml:space="preserve"> of the legal representative (and legal counsel) to communicate the decision or judgement to the child (e.g. AT, CY, CZ, DE, EL, FR, HR, NL, FI, RO, PT, UK-E&amp;W, UK-NI)</w:t>
      </w:r>
      <w:r w:rsidR="00963BBE">
        <w:t xml:space="preserve">. </w:t>
      </w:r>
      <w:r w:rsidRPr="00963BBE">
        <w:rPr>
          <w:rFonts w:cs="Arial"/>
        </w:rPr>
        <w:t xml:space="preserve">In a few MS, the child must be informed directly of the court decision (e.g. in DK </w:t>
      </w:r>
      <w:r w:rsidR="00D374E8">
        <w:rPr>
          <w:rFonts w:cs="Arial"/>
        </w:rPr>
        <w:t xml:space="preserve">for </w:t>
      </w:r>
      <w:r w:rsidRPr="00963BBE">
        <w:rPr>
          <w:rFonts w:cs="Arial"/>
        </w:rPr>
        <w:t>children over 12 years in placement in care; in SE and BE children with procedural capacity); or the child may be informed directly (in RO children aged 14 and above).</w:t>
      </w:r>
      <w:r w:rsidRPr="00963BBE">
        <w:rPr>
          <w:rFonts w:cs="Arial"/>
          <w:b/>
        </w:rPr>
        <w:t xml:space="preserve"> </w:t>
      </w:r>
    </w:p>
    <w:p w:rsidR="002018E7" w:rsidRPr="002F25C0" w:rsidRDefault="002018E7" w:rsidP="00A5732C">
      <w:pPr>
        <w:pStyle w:val="Heading4NoNumb"/>
        <w:ind w:firstLine="851"/>
      </w:pPr>
      <w:r w:rsidRPr="00866815">
        <w:t>Guidance on communicating a decision to a child</w:t>
      </w:r>
      <w:r w:rsidRPr="00FF1594">
        <w:t xml:space="preserve"> (CivAdm189)</w:t>
      </w:r>
    </w:p>
    <w:p w:rsidR="002018E7" w:rsidRDefault="002018E7" w:rsidP="00A5732C">
      <w:pPr>
        <w:pStyle w:val="BodyText"/>
      </w:pPr>
      <w:r>
        <w:t xml:space="preserve">Only </w:t>
      </w:r>
      <w:r w:rsidR="00963BBE">
        <w:t xml:space="preserve">four jurisdictions have issued </w:t>
      </w:r>
      <w:r w:rsidRPr="00946A57">
        <w:rPr>
          <w:b/>
        </w:rPr>
        <w:t xml:space="preserve">guidance or </w:t>
      </w:r>
      <w:r w:rsidR="00963BBE">
        <w:rPr>
          <w:b/>
        </w:rPr>
        <w:t xml:space="preserve">a </w:t>
      </w:r>
      <w:r w:rsidRPr="00946A57">
        <w:rPr>
          <w:b/>
        </w:rPr>
        <w:t>code of conduct</w:t>
      </w:r>
      <w:r>
        <w:t xml:space="preserve"> for lawyers, guardians ad litem or legal representatives on </w:t>
      </w:r>
      <w:r w:rsidRPr="00946A57">
        <w:rPr>
          <w:b/>
        </w:rPr>
        <w:t>how to communicate a decision or judgement to a child</w:t>
      </w:r>
      <w:r>
        <w:t xml:space="preserve"> in a manner that he or she can understand it (BE, FI, UK-E&amp;W and UK-NI).</w:t>
      </w:r>
    </w:p>
    <w:p w:rsidR="002018E7" w:rsidRDefault="002018E7" w:rsidP="004017DA">
      <w:pPr>
        <w:pStyle w:val="BodyText"/>
      </w:pPr>
      <w:r>
        <w:t xml:space="preserve">The guidance or code in place covers all areas </w:t>
      </w:r>
      <w:r w:rsidR="00B95049">
        <w:t>of</w:t>
      </w:r>
      <w:r>
        <w:t xml:space="preserve"> law in BE</w:t>
      </w:r>
      <w:r w:rsidR="00B95049">
        <w:t>;</w:t>
      </w:r>
      <w:r>
        <w:t xml:space="preserve"> health, asylum and migration in UK-E&amp;W</w:t>
      </w:r>
      <w:r w:rsidR="00B95049">
        <w:t>;</w:t>
      </w:r>
      <w:r>
        <w:t xml:space="preserve"> asylum and migration in UK-NI</w:t>
      </w:r>
      <w:r w:rsidR="00B95049">
        <w:t>;</w:t>
      </w:r>
      <w:r>
        <w:t xml:space="preserve"> and the area of family in FI. </w:t>
      </w:r>
    </w:p>
    <w:p w:rsidR="002018E7" w:rsidRDefault="002018E7" w:rsidP="004017DA">
      <w:pPr>
        <w:pStyle w:val="BodyText"/>
      </w:pPr>
      <w:r>
        <w:t xml:space="preserve">The respective guidance applies to child plaintiffs and defendants in BE, to all except witnesses in UK-E&amp;W and UK-NI, and to all roles of the child in FI. </w:t>
      </w:r>
    </w:p>
    <w:p w:rsidR="002018E7" w:rsidRPr="00FF1594" w:rsidRDefault="002018E7" w:rsidP="004017DA">
      <w:pPr>
        <w:pStyle w:val="Heading4NoNumb"/>
        <w:ind w:firstLine="851"/>
      </w:pPr>
      <w:r w:rsidRPr="00866815">
        <w:t>Court-imposed protective measures during enforcement proceedings</w:t>
      </w:r>
      <w:r w:rsidRPr="00FF1594">
        <w:t xml:space="preserve"> (CivAdm190a)</w:t>
      </w:r>
    </w:p>
    <w:p w:rsidR="002018E7" w:rsidRDefault="002018E7" w:rsidP="004017DA">
      <w:pPr>
        <w:pStyle w:val="BodyText"/>
        <w:rPr>
          <w:b/>
        </w:rPr>
      </w:pPr>
      <w:r>
        <w:t xml:space="preserve">In cases where the safety of the child is in danger, the law ensures that </w:t>
      </w:r>
      <w:r w:rsidRPr="00946A57">
        <w:rPr>
          <w:b/>
        </w:rPr>
        <w:t xml:space="preserve">courts </w:t>
      </w:r>
      <w:r>
        <w:rPr>
          <w:b/>
        </w:rPr>
        <w:t>may</w:t>
      </w:r>
      <w:r w:rsidRPr="00946A57">
        <w:rPr>
          <w:b/>
        </w:rPr>
        <w:t xml:space="preserve"> impose protective measures during enforcement proceedings</w:t>
      </w:r>
      <w:r>
        <w:t xml:space="preserve"> in all but seven jurisdictions (BG, CZ, DK, LT, LV, RO and SK). Such measures can </w:t>
      </w:r>
      <w:r w:rsidRPr="00C74D24">
        <w:t>include temporary child custody, temporary award of alimony, restrainin</w:t>
      </w:r>
      <w:r>
        <w:t xml:space="preserve">g orders or non-contact orders. </w:t>
      </w:r>
    </w:p>
    <w:p w:rsidR="002018E7" w:rsidRDefault="002018E7" w:rsidP="004017DA">
      <w:pPr>
        <w:pStyle w:val="BodyText"/>
      </w:pPr>
      <w:r>
        <w:t xml:space="preserve">Where a provision for protective measures exists, it applies most often in the area of </w:t>
      </w:r>
      <w:r w:rsidRPr="00A54F47">
        <w:rPr>
          <w:b/>
        </w:rPr>
        <w:t>family</w:t>
      </w:r>
      <w:r>
        <w:t xml:space="preserve"> (22 jurisdictions), followed by </w:t>
      </w:r>
      <w:r w:rsidRPr="00A54F47">
        <w:rPr>
          <w:b/>
        </w:rPr>
        <w:t>placement in care</w:t>
      </w:r>
      <w:r>
        <w:t xml:space="preserve">. It applies least in </w:t>
      </w:r>
      <w:r w:rsidRPr="00A54F47">
        <w:rPr>
          <w:b/>
        </w:rPr>
        <w:t xml:space="preserve">education and administrative sanctions </w:t>
      </w:r>
      <w:r>
        <w:t>(both seven jurisdictions).</w:t>
      </w:r>
      <w:r w:rsidR="00050135">
        <w:t xml:space="preserve"> </w:t>
      </w:r>
      <w:r>
        <w:t xml:space="preserve">Courts can impose protective measures in all areas of law in five MS (BE, EE, FI, MT and PL). At the other end of the spectrum, in UK-E&amp;W and UK-NI the provision applies only in the area of family. </w:t>
      </w:r>
    </w:p>
    <w:p w:rsidR="00963BBE" w:rsidRDefault="002018E7" w:rsidP="004017DA">
      <w:pPr>
        <w:pStyle w:val="BodyText"/>
      </w:pPr>
      <w:r>
        <w:t xml:space="preserve">Where protective measures can be ordered, they </w:t>
      </w:r>
      <w:r w:rsidR="00866815">
        <w:t xml:space="preserve">apply </w:t>
      </w:r>
      <w:r>
        <w:t xml:space="preserve">mainly </w:t>
      </w:r>
      <w:r w:rsidR="00866815">
        <w:t xml:space="preserve">to </w:t>
      </w:r>
      <w:r>
        <w:t xml:space="preserve">child </w:t>
      </w:r>
      <w:r w:rsidRPr="00D90A50">
        <w:rPr>
          <w:b/>
        </w:rPr>
        <w:t>plaintiffs</w:t>
      </w:r>
      <w:r>
        <w:t xml:space="preserve"> </w:t>
      </w:r>
      <w:r w:rsidR="00866815">
        <w:t xml:space="preserve">and </w:t>
      </w:r>
      <w:r w:rsidRPr="00D90A50">
        <w:rPr>
          <w:b/>
        </w:rPr>
        <w:t>defendants</w:t>
      </w:r>
      <w:r>
        <w:t xml:space="preserve"> </w:t>
      </w:r>
      <w:r w:rsidR="00866815">
        <w:t xml:space="preserve">(21 jurisdictions each), </w:t>
      </w:r>
      <w:r w:rsidRPr="00D90A50">
        <w:rPr>
          <w:b/>
        </w:rPr>
        <w:t>subjects</w:t>
      </w:r>
      <w:r w:rsidR="00866815">
        <w:rPr>
          <w:b/>
        </w:rPr>
        <w:t xml:space="preserve"> </w:t>
      </w:r>
      <w:r w:rsidR="00866815" w:rsidRPr="00866815">
        <w:t>(</w:t>
      </w:r>
      <w:r w:rsidR="00866815">
        <w:t>20 jurisdictions)</w:t>
      </w:r>
      <w:r>
        <w:t xml:space="preserve">, and least </w:t>
      </w:r>
      <w:r w:rsidR="00866815">
        <w:t xml:space="preserve">to </w:t>
      </w:r>
      <w:r w:rsidRPr="00D90A50">
        <w:rPr>
          <w:b/>
        </w:rPr>
        <w:t>witnesses</w:t>
      </w:r>
      <w:r>
        <w:t xml:space="preserve"> </w:t>
      </w:r>
      <w:r w:rsidR="00866815">
        <w:t>(</w:t>
      </w:r>
      <w:r w:rsidR="001B3979">
        <w:t>seven</w:t>
      </w:r>
      <w:r w:rsidR="00866815">
        <w:t xml:space="preserve"> jurisdictions). </w:t>
      </w:r>
      <w:r>
        <w:t xml:space="preserve">In five MS (FI, FR, IT, MT and SE) they apply to all roles of the child. In HU and </w:t>
      </w:r>
      <w:r w:rsidR="00CD7610">
        <w:t>UK-S</w:t>
      </w:r>
      <w:r>
        <w:t xml:space="preserve">, such measures apply only to subjects. </w:t>
      </w:r>
    </w:p>
    <w:p w:rsidR="002018E7" w:rsidRDefault="002018E7" w:rsidP="004017DA">
      <w:pPr>
        <w:pStyle w:val="BodyText"/>
        <w:rPr>
          <w:rFonts w:cs="Arial"/>
        </w:rPr>
      </w:pPr>
      <w:r>
        <w:rPr>
          <w:rFonts w:cs="Arial"/>
        </w:rPr>
        <w:t>D</w:t>
      </w:r>
      <w:r w:rsidRPr="00BE04B5">
        <w:rPr>
          <w:rFonts w:cs="Arial"/>
        </w:rPr>
        <w:t>uring the enforcement of a decision</w:t>
      </w:r>
      <w:r>
        <w:rPr>
          <w:rFonts w:cs="Arial"/>
        </w:rPr>
        <w:t>,</w:t>
      </w:r>
      <w:r w:rsidRPr="00BE04B5">
        <w:rPr>
          <w:rFonts w:cs="Arial"/>
        </w:rPr>
        <w:t xml:space="preserve"> </w:t>
      </w:r>
      <w:r>
        <w:rPr>
          <w:rFonts w:cs="Arial"/>
        </w:rPr>
        <w:t xml:space="preserve">for example </w:t>
      </w:r>
      <w:r w:rsidRPr="00BE04B5">
        <w:rPr>
          <w:rFonts w:cs="Arial"/>
        </w:rPr>
        <w:t>in family proceedings</w:t>
      </w:r>
      <w:r>
        <w:rPr>
          <w:rFonts w:cs="Arial"/>
        </w:rPr>
        <w:t xml:space="preserve">, if it appears that the child could be at risk, and in order to protect the child from harm the court may </w:t>
      </w:r>
    </w:p>
    <w:p w:rsidR="002018E7" w:rsidRPr="00A7584E" w:rsidRDefault="00B63725" w:rsidP="004017DA">
      <w:pPr>
        <w:pStyle w:val="BTBullet1"/>
      </w:pPr>
      <w:r>
        <w:t>I</w:t>
      </w:r>
      <w:r w:rsidR="002018E7" w:rsidRPr="00A7584E">
        <w:t>mpose a restraining order to withdraw or restrict custody (e.g. in AT, SI)</w:t>
      </w:r>
    </w:p>
    <w:p w:rsidR="002018E7" w:rsidRPr="00A7584E" w:rsidRDefault="00B63725" w:rsidP="004017DA">
      <w:pPr>
        <w:pStyle w:val="BTBullet1"/>
      </w:pPr>
      <w:r>
        <w:t>P</w:t>
      </w:r>
      <w:r w:rsidR="002018E7" w:rsidRPr="00A7584E">
        <w:t xml:space="preserve">lace the child in temporary custody (e.g. in a foster home or guardianship) (e.g. AT, DE, IE, EE, ES, NL, UK-E&amp;W, UK-NI) </w:t>
      </w:r>
    </w:p>
    <w:p w:rsidR="004017DA" w:rsidRPr="00CC1B18" w:rsidRDefault="00B63725" w:rsidP="00CC1B18">
      <w:pPr>
        <w:pStyle w:val="BTBullet1"/>
        <w:rPr>
          <w:bCs/>
        </w:rPr>
      </w:pPr>
      <w:r>
        <w:t>I</w:t>
      </w:r>
      <w:r w:rsidR="002018E7" w:rsidRPr="00A7584E">
        <w:t>mpose a restraining order or a non-contact, or limited contact order for family members: e.g. DE, EE, ES, FI, HR, IT; NL, SE, SI</w:t>
      </w:r>
      <w:r w:rsidR="002018E7" w:rsidRPr="00A7584E">
        <w:rPr>
          <w:bCs/>
        </w:rPr>
        <w:t>, UK-E&amp;W, UK-NI)</w:t>
      </w:r>
    </w:p>
    <w:p w:rsidR="002018E7" w:rsidRDefault="002018E7" w:rsidP="004017DA">
      <w:pPr>
        <w:pStyle w:val="BodyText"/>
      </w:pPr>
      <w:r>
        <w:t xml:space="preserve">The imposition of such protection measures can be requested by, among others: </w:t>
      </w:r>
    </w:p>
    <w:p w:rsidR="002018E7" w:rsidRPr="00A7584E" w:rsidRDefault="002018E7" w:rsidP="004017DA">
      <w:pPr>
        <w:pStyle w:val="BTBullet1"/>
      </w:pPr>
      <w:r w:rsidRPr="00A7584E">
        <w:t>The child him/herself (HR), assisted by a legal representative (FR)</w:t>
      </w:r>
    </w:p>
    <w:p w:rsidR="002018E7" w:rsidRPr="00A7584E" w:rsidRDefault="002018E7" w:rsidP="004017DA">
      <w:pPr>
        <w:pStyle w:val="BTBullet1"/>
      </w:pPr>
      <w:r w:rsidRPr="00A7584E">
        <w:t>The parent (legal representative) (HR, IT)</w:t>
      </w:r>
    </w:p>
    <w:p w:rsidR="002018E7" w:rsidRPr="00A7584E" w:rsidRDefault="002018E7" w:rsidP="004017DA">
      <w:pPr>
        <w:pStyle w:val="BTBullet1"/>
      </w:pPr>
      <w:r w:rsidRPr="00A7584E">
        <w:t>The child’s relatives (IT)</w:t>
      </w:r>
    </w:p>
    <w:p w:rsidR="002018E7" w:rsidRPr="00A7584E" w:rsidRDefault="002018E7" w:rsidP="004017DA">
      <w:pPr>
        <w:pStyle w:val="BTBullet1"/>
      </w:pPr>
      <w:r w:rsidRPr="00A7584E">
        <w:t xml:space="preserve">Social service workers (HR) </w:t>
      </w:r>
    </w:p>
    <w:p w:rsidR="002018E7" w:rsidRPr="00A7584E" w:rsidRDefault="002018E7" w:rsidP="004017DA">
      <w:pPr>
        <w:pStyle w:val="BTBullet1"/>
      </w:pPr>
      <w:r w:rsidRPr="00A7584E">
        <w:t>Any party to a proceeding (SI), litigants (CY)</w:t>
      </w:r>
    </w:p>
    <w:p w:rsidR="00752A4C" w:rsidRDefault="002018E7" w:rsidP="004017DA">
      <w:pPr>
        <w:pStyle w:val="BTBullet1"/>
        <w:rPr>
          <w:bCs/>
        </w:rPr>
      </w:pPr>
      <w:r w:rsidRPr="00A7584E">
        <w:rPr>
          <w:bCs/>
        </w:rPr>
        <w:t>The public prosecutor</w:t>
      </w:r>
      <w:r w:rsidR="00050135">
        <w:rPr>
          <w:bCs/>
        </w:rPr>
        <w:t xml:space="preserve"> </w:t>
      </w:r>
      <w:r w:rsidRPr="00A7584E">
        <w:rPr>
          <w:bCs/>
        </w:rPr>
        <w:t>(IT)</w:t>
      </w:r>
      <w:r w:rsidR="004017DA">
        <w:rPr>
          <w:bCs/>
        </w:rPr>
        <w:br/>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C65EC" w:rsidRPr="000F388C" w:rsidTr="005376A5">
        <w:trPr>
          <w:trHeight w:val="119"/>
        </w:trPr>
        <w:tc>
          <w:tcPr>
            <w:tcW w:w="8222" w:type="dxa"/>
            <w:shd w:val="clear" w:color="auto" w:fill="CDEBFF"/>
          </w:tcPr>
          <w:p w:rsidR="005C65EC" w:rsidRPr="00694BE0" w:rsidRDefault="005C65EC" w:rsidP="00173CAC">
            <w:pPr>
              <w:pStyle w:val="BoxNumb"/>
              <w:numPr>
                <w:ilvl w:val="4"/>
                <w:numId w:val="27"/>
              </w:numPr>
              <w:rPr>
                <w:sz w:val="26"/>
                <w:szCs w:val="26"/>
              </w:rPr>
            </w:pPr>
            <w:r w:rsidRPr="00694BE0">
              <w:rPr>
                <w:sz w:val="26"/>
                <w:szCs w:val="26"/>
              </w:rPr>
              <w:t>England, Wales and Northern Ireland – a variety of protective orders</w:t>
            </w:r>
          </w:p>
          <w:p w:rsidR="005C65EC" w:rsidRPr="005C65EC" w:rsidRDefault="005C65EC" w:rsidP="005C65EC">
            <w:pPr>
              <w:pStyle w:val="TableText"/>
              <w:rPr>
                <w:bCs/>
                <w:sz w:val="20"/>
                <w:szCs w:val="20"/>
              </w:rPr>
            </w:pPr>
            <w:r w:rsidRPr="005C65EC">
              <w:rPr>
                <w:bCs/>
                <w:sz w:val="20"/>
                <w:szCs w:val="20"/>
              </w:rPr>
              <w:t xml:space="preserve">A variety of orders are available to the court, including: residence orders (concerned with where a child is to live), contact orders (concerned with access to the child), prohibited steps orders (prohibiting steps that may be taken by parents without the consent of court) and specific issue orders (giving directions for determining a specific question in connection with parental responsibility of a child). </w:t>
            </w:r>
          </w:p>
          <w:p w:rsidR="005C65EC" w:rsidRPr="005C65EC" w:rsidRDefault="005C65EC" w:rsidP="005C65EC">
            <w:pPr>
              <w:pStyle w:val="TableText"/>
              <w:rPr>
                <w:bCs/>
                <w:sz w:val="20"/>
                <w:szCs w:val="20"/>
              </w:rPr>
            </w:pPr>
            <w:r w:rsidRPr="005C65EC">
              <w:rPr>
                <w:bCs/>
                <w:sz w:val="20"/>
                <w:szCs w:val="20"/>
              </w:rPr>
              <w:t xml:space="preserve">Where any proceedings for a care order or a supervision order are adjourned, or the court directs an appropriate authority to undertake an investigation of the child’s circumstances, it may make an interim (temporary) care or supervision order. A court will only make such an order if it is satisfied that that the child is suffering, or is likely to suffer significant harm. </w:t>
            </w:r>
          </w:p>
          <w:p w:rsidR="005C65EC" w:rsidRPr="005C65EC" w:rsidRDefault="005C65EC" w:rsidP="00CF669E">
            <w:pPr>
              <w:pStyle w:val="TableText"/>
              <w:rPr>
                <w:bCs/>
                <w:sz w:val="20"/>
                <w:szCs w:val="20"/>
              </w:rPr>
            </w:pPr>
            <w:r w:rsidRPr="005C65EC">
              <w:rPr>
                <w:bCs/>
                <w:sz w:val="20"/>
                <w:szCs w:val="20"/>
              </w:rPr>
              <w:t>The court may also make an emergency protection order on the application of any person, where there is reasonable cause to believe that the child is likely to suffer significant harm. A non-molestation order may be issued to forbid certain actions e.g. to prevent a person from causing or threatening violence to the applicant or child. An occupation order may also be issued to place conditions/restrictions on who may occupy and exclude persons from the family home.</w:t>
            </w:r>
          </w:p>
        </w:tc>
      </w:tr>
    </w:tbl>
    <w:p w:rsidR="005C65EC" w:rsidRDefault="005C65EC" w:rsidP="002018E7">
      <w:pPr>
        <w:pStyle w:val="BTBullet1Last"/>
        <w:numPr>
          <w:ilvl w:val="0"/>
          <w:numId w:val="0"/>
        </w:numPr>
        <w:rPr>
          <w:i/>
          <w:sz w:val="22"/>
          <w:szCs w:val="22"/>
        </w:rPr>
      </w:pPr>
    </w:p>
    <w:p w:rsidR="002018E7" w:rsidRPr="002845C2" w:rsidRDefault="002018E7" w:rsidP="004017DA">
      <w:pPr>
        <w:pStyle w:val="Heading4NoNumb"/>
        <w:ind w:firstLine="810"/>
      </w:pPr>
      <w:r w:rsidRPr="00963BBE">
        <w:t>Decisions made directly or immediately enforceable</w:t>
      </w:r>
      <w:r w:rsidRPr="00FF1594">
        <w:t xml:space="preserve"> (CivAdm192)</w:t>
      </w:r>
      <w:r w:rsidR="00CC1B18">
        <w:t>|</w:t>
      </w:r>
    </w:p>
    <w:p w:rsidR="002018E7" w:rsidRDefault="002018E7" w:rsidP="004017DA">
      <w:pPr>
        <w:pStyle w:val="BodyText"/>
      </w:pPr>
      <w:r>
        <w:t xml:space="preserve">The court can </w:t>
      </w:r>
      <w:r w:rsidRPr="00946A57">
        <w:rPr>
          <w:b/>
        </w:rPr>
        <w:t xml:space="preserve">make a </w:t>
      </w:r>
      <w:r>
        <w:rPr>
          <w:b/>
        </w:rPr>
        <w:t>decision of concern to</w:t>
      </w:r>
      <w:r w:rsidRPr="00946A57">
        <w:rPr>
          <w:b/>
        </w:rPr>
        <w:t xml:space="preserve"> children directly or immediately enforceable</w:t>
      </w:r>
      <w:r>
        <w:t xml:space="preserve"> in 16 jurisdictions (AT, BE, CZ, EE, EL, ES, FI, HR, HU, IT, NL, PL, PT, SK, UK-E&amp;W and UK-NI). Enforcing decisions immediately can secure the welfare of the child, for example with regard to child maintenance.</w:t>
      </w:r>
    </w:p>
    <w:p w:rsidR="002018E7" w:rsidRDefault="002018E7" w:rsidP="004017DA">
      <w:pPr>
        <w:pStyle w:val="BodyText"/>
      </w:pPr>
      <w:r>
        <w:t>The provision applies in all jurisdictions in the area</w:t>
      </w:r>
      <w:r w:rsidR="00AF76F5">
        <w:t>s</w:t>
      </w:r>
      <w:r>
        <w:t xml:space="preserve"> of </w:t>
      </w:r>
      <w:r w:rsidRPr="00A819EE">
        <w:rPr>
          <w:b/>
        </w:rPr>
        <w:t>family</w:t>
      </w:r>
      <w:r w:rsidR="00AF76F5">
        <w:t xml:space="preserve"> (16 jurisdictions) and </w:t>
      </w:r>
      <w:r w:rsidR="00AF76F5" w:rsidRPr="00AF76F5">
        <w:rPr>
          <w:b/>
        </w:rPr>
        <w:t>placement in care</w:t>
      </w:r>
      <w:r w:rsidR="00AF76F5">
        <w:t xml:space="preserve"> (nine jurisdictions)</w:t>
      </w:r>
      <w:r>
        <w:t xml:space="preserve"> and least in the field of </w:t>
      </w:r>
      <w:r w:rsidRPr="00A819EE">
        <w:rPr>
          <w:b/>
        </w:rPr>
        <w:t>administrative sanctions</w:t>
      </w:r>
      <w:r>
        <w:t xml:space="preserve"> (six jurisdictions). In four MS (AT, BE, EE and SK) it concerns all areas of law. In IT and PT it applies in all but one area (administrative sanctions and offences committed by children below the age of criminal responsibility respectively). In three jurisdictions (HU, UK-E&amp;W and UK-NI) the provision applies only in the area of family. </w:t>
      </w:r>
    </w:p>
    <w:p w:rsidR="00AF76F5" w:rsidRDefault="002018E7" w:rsidP="004017DA">
      <w:pPr>
        <w:pStyle w:val="BodyText"/>
      </w:pPr>
      <w:r>
        <w:t xml:space="preserve">Where decisions can be made directly or immediately enforceable, they apply most often to child </w:t>
      </w:r>
      <w:r w:rsidRPr="008E2F2E">
        <w:rPr>
          <w:b/>
        </w:rPr>
        <w:t>plaintiffs</w:t>
      </w:r>
      <w:r>
        <w:t xml:space="preserve">, followed by </w:t>
      </w:r>
      <w:r w:rsidRPr="008E2F2E">
        <w:rPr>
          <w:b/>
        </w:rPr>
        <w:t>defendants</w:t>
      </w:r>
      <w:r>
        <w:t>. They</w:t>
      </w:r>
      <w:r w:rsidR="00AF76F5">
        <w:t xml:space="preserve"> apply less often to </w:t>
      </w:r>
      <w:r w:rsidRPr="008E2F2E">
        <w:rPr>
          <w:b/>
        </w:rPr>
        <w:t>witnesses</w:t>
      </w:r>
      <w:r>
        <w:t xml:space="preserve"> and </w:t>
      </w:r>
      <w:r w:rsidRPr="008E2F2E">
        <w:rPr>
          <w:b/>
        </w:rPr>
        <w:t>subjects</w:t>
      </w:r>
      <w:r>
        <w:t xml:space="preserve">. In five MS the provision applies to children in all roles (EE, ES, HR, IT, and NL), and only to subjects in HU. </w:t>
      </w:r>
    </w:p>
    <w:p w:rsidR="002018E7" w:rsidRDefault="00AF76F5" w:rsidP="004017DA">
      <w:pPr>
        <w:pStyle w:val="BodyText"/>
      </w:pPr>
      <w:r w:rsidRPr="00AF76F5">
        <w:rPr>
          <w:b/>
          <w:color w:val="0070C0"/>
        </w:rPr>
        <w:fldChar w:fldCharType="begin"/>
      </w:r>
      <w:r w:rsidRPr="00AF76F5">
        <w:rPr>
          <w:b/>
          <w:color w:val="0070C0"/>
        </w:rPr>
        <w:instrText xml:space="preserve"> REF _Ref398126706 \r \h  \* MERGEFORMAT </w:instrText>
      </w:r>
      <w:r w:rsidRPr="00AF76F5">
        <w:rPr>
          <w:b/>
          <w:color w:val="0070C0"/>
        </w:rPr>
      </w:r>
      <w:r w:rsidRPr="00AF76F5">
        <w:rPr>
          <w:b/>
          <w:color w:val="0070C0"/>
        </w:rPr>
        <w:fldChar w:fldCharType="separate"/>
      </w:r>
      <w:r w:rsidR="000223E8">
        <w:rPr>
          <w:b/>
          <w:color w:val="0070C0"/>
        </w:rPr>
        <w:t>Table A4.17</w:t>
      </w:r>
      <w:r w:rsidRPr="00AF76F5">
        <w:rPr>
          <w:b/>
          <w:color w:val="0070C0"/>
        </w:rPr>
        <w:fldChar w:fldCharType="end"/>
      </w:r>
      <w:r>
        <w:t xml:space="preserve"> </w:t>
      </w:r>
      <w:r w:rsidRPr="0025443A">
        <w:t>provides an</w:t>
      </w:r>
      <w:r>
        <w:t xml:space="preserve"> overview of the coverage of the</w:t>
      </w:r>
      <w:r w:rsidRPr="0025443A">
        <w:t>s</w:t>
      </w:r>
      <w:r>
        <w:t>e</w:t>
      </w:r>
      <w:r w:rsidRPr="0025443A">
        <w:t xml:space="preserve"> provision</w:t>
      </w:r>
      <w:r>
        <w:t>s</w:t>
      </w:r>
      <w:r w:rsidRPr="0025443A">
        <w:t xml:space="preserve"> by area of law and role of the child.</w:t>
      </w:r>
    </w:p>
    <w:p w:rsidR="00963BBE" w:rsidRDefault="002018E7" w:rsidP="004017DA">
      <w:pPr>
        <w:pStyle w:val="BodyText"/>
      </w:pPr>
      <w:r w:rsidRPr="00384F83">
        <w:rPr>
          <w:b/>
        </w:rPr>
        <w:t>Guidelines</w:t>
      </w:r>
      <w:r>
        <w:t xml:space="preserve"> for courts directing them to the types of cases where decisions should be made directly or immediately enforceable are available </w:t>
      </w:r>
      <w:r w:rsidRPr="00AF76F5">
        <w:t>only in NL and FI</w:t>
      </w:r>
      <w:r w:rsidRPr="00297E1A">
        <w:rPr>
          <w:b/>
        </w:rPr>
        <w:t>.</w:t>
      </w:r>
      <w:r>
        <w:t xml:space="preserve"> These guidelines apply in the areas of </w:t>
      </w:r>
      <w:r w:rsidRPr="00297E1A">
        <w:rPr>
          <w:b/>
        </w:rPr>
        <w:t>family, asylum, migration and health</w:t>
      </w:r>
      <w:r>
        <w:rPr>
          <w:b/>
        </w:rPr>
        <w:t xml:space="preserve"> </w:t>
      </w:r>
      <w:r w:rsidRPr="00AF76F5">
        <w:t>in NL, and</w:t>
      </w:r>
      <w:r>
        <w:rPr>
          <w:b/>
        </w:rPr>
        <w:t xml:space="preserve"> family </w:t>
      </w:r>
      <w:r w:rsidRPr="00AF76F5">
        <w:t>in FI</w:t>
      </w:r>
      <w:r>
        <w:t xml:space="preserve">. In NL, they apply to </w:t>
      </w:r>
      <w:r w:rsidRPr="00471D3C">
        <w:rPr>
          <w:b/>
        </w:rPr>
        <w:t>plaintiffs</w:t>
      </w:r>
      <w:r>
        <w:t xml:space="preserve"> and </w:t>
      </w:r>
      <w:r w:rsidRPr="00471D3C">
        <w:rPr>
          <w:b/>
        </w:rPr>
        <w:t>subjects</w:t>
      </w:r>
      <w:r>
        <w:t xml:space="preserve"> in all those four areas, and to </w:t>
      </w:r>
      <w:r w:rsidRPr="00471D3C">
        <w:rPr>
          <w:b/>
        </w:rPr>
        <w:t>defendants</w:t>
      </w:r>
      <w:r>
        <w:t xml:space="preserve"> in family and health. They apply to all roles of the child in FI. </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C65EC" w:rsidRPr="000F388C" w:rsidTr="002E7BDA">
        <w:trPr>
          <w:trHeight w:val="3179"/>
        </w:trPr>
        <w:tc>
          <w:tcPr>
            <w:tcW w:w="8222" w:type="dxa"/>
            <w:shd w:val="clear" w:color="auto" w:fill="CDEBFF"/>
          </w:tcPr>
          <w:p w:rsidR="005C65EC" w:rsidRPr="00694BE0" w:rsidRDefault="005C65EC" w:rsidP="00173CAC">
            <w:pPr>
              <w:pStyle w:val="BoxNumb"/>
              <w:numPr>
                <w:ilvl w:val="4"/>
                <w:numId w:val="27"/>
              </w:numPr>
              <w:rPr>
                <w:sz w:val="26"/>
                <w:szCs w:val="26"/>
              </w:rPr>
            </w:pPr>
            <w:r w:rsidRPr="00694BE0">
              <w:rPr>
                <w:sz w:val="26"/>
                <w:szCs w:val="26"/>
              </w:rPr>
              <w:t>Poland – immediately enforceable orders</w:t>
            </w:r>
          </w:p>
          <w:p w:rsidR="005C65EC" w:rsidRPr="005C65EC" w:rsidRDefault="005C65EC" w:rsidP="005C65EC">
            <w:pPr>
              <w:pStyle w:val="TableText"/>
              <w:rPr>
                <w:bCs/>
                <w:sz w:val="20"/>
                <w:szCs w:val="20"/>
              </w:rPr>
            </w:pPr>
            <w:r w:rsidRPr="005C65EC">
              <w:rPr>
                <w:bCs/>
                <w:sz w:val="20"/>
                <w:szCs w:val="20"/>
              </w:rPr>
              <w:t xml:space="preserve">In general, all decisions of the guardianship court are effective and enforceable the moment they are announced, and if they have not been announced, the moment they are issued. There are several exemptions to this rule. Decisions in cases regarding award, limitation, suspension, termination of parental authority and contacts with the child are enforceable only after the judgment has obtained the force of res judicata. </w:t>
            </w:r>
          </w:p>
          <w:p w:rsidR="005C65EC" w:rsidRPr="005C65EC" w:rsidRDefault="005C65EC" w:rsidP="005C65EC">
            <w:pPr>
              <w:pStyle w:val="TableText"/>
              <w:rPr>
                <w:bCs/>
                <w:sz w:val="20"/>
                <w:szCs w:val="20"/>
              </w:rPr>
            </w:pPr>
            <w:r w:rsidRPr="005C65EC">
              <w:rPr>
                <w:bCs/>
                <w:sz w:val="20"/>
                <w:szCs w:val="20"/>
              </w:rPr>
              <w:t xml:space="preserve">Similarly, decisions of the guardianship court: (i) allowing girls of 16 years of age and above to conclude marriage, (ii) concerning the adoption of a new name for the child, and (iii) concerning adoption, are effective only after the judgment has obtained the force of res judicata. </w:t>
            </w:r>
          </w:p>
          <w:p w:rsidR="005C65EC" w:rsidRPr="005C65EC" w:rsidRDefault="005C65EC" w:rsidP="005C65EC">
            <w:pPr>
              <w:pStyle w:val="TableText"/>
              <w:rPr>
                <w:bCs/>
                <w:sz w:val="20"/>
                <w:szCs w:val="20"/>
              </w:rPr>
            </w:pPr>
            <w:r w:rsidRPr="005C65EC">
              <w:rPr>
                <w:bCs/>
                <w:sz w:val="20"/>
                <w:szCs w:val="20"/>
              </w:rPr>
              <w:t>All judgments awarding alimony are immediately enforceable</w:t>
            </w:r>
            <w:r w:rsidR="000D685C">
              <w:rPr>
                <w:bCs/>
                <w:sz w:val="20"/>
                <w:szCs w:val="20"/>
              </w:rPr>
              <w:t>.</w:t>
            </w:r>
          </w:p>
        </w:tc>
      </w:tr>
    </w:tbl>
    <w:p w:rsidR="002018E7" w:rsidRDefault="002018E7" w:rsidP="002018E7">
      <w:pPr>
        <w:pStyle w:val="BTBullet1Last"/>
        <w:numPr>
          <w:ilvl w:val="0"/>
          <w:numId w:val="0"/>
        </w:numPr>
        <w:rPr>
          <w:i/>
          <w:sz w:val="22"/>
          <w:szCs w:val="22"/>
        </w:rPr>
      </w:pP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5C65EC" w:rsidRPr="000F388C" w:rsidTr="005C65EC">
        <w:trPr>
          <w:trHeight w:val="3013"/>
        </w:trPr>
        <w:tc>
          <w:tcPr>
            <w:tcW w:w="8222" w:type="dxa"/>
            <w:shd w:val="clear" w:color="auto" w:fill="CDEBFF"/>
          </w:tcPr>
          <w:p w:rsidR="005C65EC" w:rsidRPr="00694BE0" w:rsidRDefault="005C65EC" w:rsidP="00173CAC">
            <w:pPr>
              <w:pStyle w:val="BoxNumb"/>
              <w:numPr>
                <w:ilvl w:val="4"/>
                <w:numId w:val="27"/>
              </w:numPr>
              <w:rPr>
                <w:sz w:val="26"/>
                <w:szCs w:val="26"/>
              </w:rPr>
            </w:pPr>
            <w:r w:rsidRPr="00694BE0">
              <w:rPr>
                <w:sz w:val="26"/>
                <w:szCs w:val="26"/>
              </w:rPr>
              <w:t>Belgium – ensuring speedy enforcement of judgments</w:t>
            </w:r>
          </w:p>
          <w:p w:rsidR="005C65EC" w:rsidRDefault="005C65EC" w:rsidP="00CF669E">
            <w:pPr>
              <w:pStyle w:val="TableText"/>
              <w:rPr>
                <w:bCs/>
                <w:sz w:val="20"/>
                <w:szCs w:val="20"/>
              </w:rPr>
            </w:pPr>
            <w:r w:rsidRPr="005C65EC">
              <w:rPr>
                <w:bCs/>
                <w:sz w:val="20"/>
                <w:szCs w:val="20"/>
              </w:rPr>
              <w:t xml:space="preserve">In BE, specific fast-track procedures have been established to enforce family law judgments related to the housing of the child, rights to personal relationships with the child (access rights) and the arrangements agreed in a divorce agreement. </w:t>
            </w:r>
          </w:p>
          <w:p w:rsidR="005C65EC" w:rsidRPr="005C65EC" w:rsidRDefault="005C65EC" w:rsidP="000D685C">
            <w:pPr>
              <w:pStyle w:val="TableText"/>
              <w:rPr>
                <w:bCs/>
                <w:sz w:val="20"/>
                <w:szCs w:val="20"/>
              </w:rPr>
            </w:pPr>
            <w:r w:rsidRPr="005C65EC">
              <w:rPr>
                <w:bCs/>
                <w:sz w:val="20"/>
                <w:szCs w:val="20"/>
              </w:rPr>
              <w:t xml:space="preserve">In case one of the parents refuses to enforce the judgment or agreement with respect to children, the other party can bring the case back before the competent court, in which case the case must be heard with priority. The court may order new investigating measures such as official inquiries. It may also attempt to </w:t>
            </w:r>
            <w:r w:rsidR="000D685C">
              <w:rPr>
                <w:bCs/>
                <w:sz w:val="20"/>
                <w:szCs w:val="20"/>
              </w:rPr>
              <w:t>reconcile</w:t>
            </w:r>
            <w:r w:rsidRPr="005C65EC">
              <w:rPr>
                <w:bCs/>
                <w:sz w:val="20"/>
                <w:szCs w:val="20"/>
              </w:rPr>
              <w:t xml:space="preserve"> the parties or suggest mediation. In addition, the court may review the decision and agreements. The other party may also petition the judge to order coercive measures. The court may order penalty payment for not complying with the judgment.</w:t>
            </w:r>
          </w:p>
        </w:tc>
      </w:tr>
    </w:tbl>
    <w:p w:rsidR="002018E7" w:rsidRDefault="002018E7" w:rsidP="002018E7">
      <w:pPr>
        <w:pStyle w:val="BTBullet1Last"/>
        <w:numPr>
          <w:ilvl w:val="0"/>
          <w:numId w:val="0"/>
        </w:numPr>
        <w:rPr>
          <w:i/>
          <w:sz w:val="22"/>
          <w:szCs w:val="22"/>
        </w:rPr>
      </w:pPr>
    </w:p>
    <w:p w:rsidR="002018E7" w:rsidRPr="00FF1594" w:rsidRDefault="002018E7" w:rsidP="004017DA">
      <w:pPr>
        <w:pStyle w:val="Heading4NoNumb"/>
        <w:ind w:firstLine="810"/>
      </w:pPr>
      <w:r w:rsidRPr="00963BBE">
        <w:t xml:space="preserve">Use of force to implement a judgement as a </w:t>
      </w:r>
      <w:r w:rsidR="00CD2ECE">
        <w:t xml:space="preserve">measure of </w:t>
      </w:r>
      <w:r w:rsidRPr="00963BBE">
        <w:t>last resort</w:t>
      </w:r>
      <w:r w:rsidRPr="00FF1594">
        <w:t xml:space="preserve"> (CivAdm195)</w:t>
      </w:r>
    </w:p>
    <w:p w:rsidR="002018E7" w:rsidRPr="00963BBE" w:rsidRDefault="002018E7" w:rsidP="004017DA">
      <w:pPr>
        <w:pStyle w:val="BodyText"/>
      </w:pPr>
      <w:r w:rsidRPr="00963BBE">
        <w:t xml:space="preserve">A statutory provision on the use of force to implement a judgement as a </w:t>
      </w:r>
      <w:r w:rsidRPr="00963BBE">
        <w:rPr>
          <w:b/>
        </w:rPr>
        <w:t>measure of last resort</w:t>
      </w:r>
      <w:r w:rsidRPr="00963BBE">
        <w:t xml:space="preserve"> when children are involved exists in 13 jurisdictions (AT, BE, CY, DE, FI, FR, HR, PL, PT, SE, SI, UK-E&amp;W and UK-NI). Force can be used as a last resort for example to withdraw a child from a noncustodial parent, or when the child refuses to be placed in care, if necessary with the executive assistance of the police.</w:t>
      </w:r>
    </w:p>
    <w:p w:rsidR="002018E7" w:rsidRPr="00963BBE" w:rsidRDefault="002018E7" w:rsidP="004017DA">
      <w:pPr>
        <w:pStyle w:val="BodyText"/>
      </w:pPr>
      <w:r w:rsidRPr="00963BBE">
        <w:t xml:space="preserve">The provision applies in all 13 jurisdictions in the area of </w:t>
      </w:r>
      <w:r w:rsidRPr="00963BBE">
        <w:rPr>
          <w:b/>
        </w:rPr>
        <w:t>family</w:t>
      </w:r>
      <w:r w:rsidRPr="00963BBE">
        <w:t xml:space="preserve">, followed by </w:t>
      </w:r>
      <w:r w:rsidRPr="00963BBE">
        <w:rPr>
          <w:b/>
        </w:rPr>
        <w:t>placement in care</w:t>
      </w:r>
      <w:r w:rsidRPr="00963BBE">
        <w:t xml:space="preserve"> (ten jurisdictions). In all other areas of law, the provision applies at the most in three jurisdictions respectively. The provision relates to all areas of law in BE, in FI to all except employment, education and administrative sanctions, and in HR only to family, health, placement in care and offences committed below the age of criminal responsibility. In the other nine jurisdictions, the provision applies only in the area of family (and placement in care). </w:t>
      </w:r>
    </w:p>
    <w:p w:rsidR="002018E7" w:rsidRPr="00963BBE" w:rsidRDefault="002018E7" w:rsidP="004017DA">
      <w:pPr>
        <w:pStyle w:val="BodyText"/>
      </w:pPr>
      <w:r w:rsidRPr="00963BBE">
        <w:t xml:space="preserve">Where the statutory provision exists, it applies most frequently to child </w:t>
      </w:r>
      <w:r w:rsidRPr="00963BBE">
        <w:rPr>
          <w:b/>
        </w:rPr>
        <w:t>plaintiffs, followed by defendants and subjects</w:t>
      </w:r>
      <w:r w:rsidRPr="00963BBE">
        <w:t xml:space="preserve">. It applies to witnesses only rarely. Whilst the provision applies to all roles of the child in HR and FR, it applies only to one role in CZ (plaintiff), PL and SE (subjects). </w:t>
      </w:r>
    </w:p>
    <w:tbl>
      <w:tblPr>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3E7466" w:rsidRPr="000F388C" w:rsidTr="003E7466">
        <w:trPr>
          <w:trHeight w:val="2995"/>
        </w:trPr>
        <w:tc>
          <w:tcPr>
            <w:tcW w:w="8222" w:type="dxa"/>
            <w:shd w:val="clear" w:color="auto" w:fill="CDEBFF"/>
          </w:tcPr>
          <w:p w:rsidR="003E7466" w:rsidRPr="00694BE0" w:rsidRDefault="003E7466" w:rsidP="00173CAC">
            <w:pPr>
              <w:pStyle w:val="BoxNumb"/>
              <w:numPr>
                <w:ilvl w:val="4"/>
                <w:numId w:val="27"/>
              </w:numPr>
              <w:rPr>
                <w:sz w:val="26"/>
                <w:szCs w:val="26"/>
              </w:rPr>
            </w:pPr>
            <w:r w:rsidRPr="00694BE0">
              <w:rPr>
                <w:sz w:val="26"/>
                <w:szCs w:val="26"/>
              </w:rPr>
              <w:t>Sweden – use of force without harm to the child</w:t>
            </w:r>
          </w:p>
          <w:p w:rsidR="003E7466" w:rsidRPr="005C65EC" w:rsidRDefault="003E7466" w:rsidP="00CF669E">
            <w:pPr>
              <w:pStyle w:val="TableText"/>
              <w:rPr>
                <w:bCs/>
                <w:sz w:val="20"/>
                <w:szCs w:val="20"/>
              </w:rPr>
            </w:pPr>
            <w:r w:rsidRPr="003E7466">
              <w:rPr>
                <w:bCs/>
                <w:sz w:val="20"/>
                <w:szCs w:val="20"/>
              </w:rPr>
              <w:t xml:space="preserve">The collection of, taking charge of, or any other measure affecting a child shall be carried out with greatest possible consideration for the child. If the child cannot be moved due to illness or any other special circumstances, the measure can be postponed. If there is any danger of the child being taken out of the country or if the matter is urgent for some other reason, the court may immediately order the child to be taken charge of by the social services or in any other appropriate manner. If it is not possible to wait for such </w:t>
            </w:r>
            <w:r w:rsidR="000D685C">
              <w:rPr>
                <w:bCs/>
                <w:sz w:val="20"/>
                <w:szCs w:val="20"/>
              </w:rPr>
              <w:t xml:space="preserve">a </w:t>
            </w:r>
            <w:r w:rsidRPr="003E7466">
              <w:rPr>
                <w:bCs/>
                <w:sz w:val="20"/>
                <w:szCs w:val="20"/>
              </w:rPr>
              <w:t>decision, the police authority may, irrespective of whether any legal proceedings have been commenced, take such immediate measures as can be taken without harm to the child. The measures that have been taken shall immediately be reported to the court, which shall consider without delay whether they shall stand.</w:t>
            </w:r>
          </w:p>
        </w:tc>
      </w:tr>
    </w:tbl>
    <w:p w:rsidR="00D734A5" w:rsidRDefault="00D734A5" w:rsidP="00D734A5">
      <w:pPr>
        <w:spacing w:before="0" w:after="0" w:line="240" w:lineRule="auto"/>
        <w:rPr>
          <w:sz w:val="22"/>
          <w:szCs w:val="22"/>
        </w:rPr>
      </w:pP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4017DA" w:rsidTr="004017DA">
        <w:tc>
          <w:tcPr>
            <w:tcW w:w="8222" w:type="dxa"/>
            <w:shd w:val="clear" w:color="auto" w:fill="CDEBFF"/>
          </w:tcPr>
          <w:p w:rsidR="004017DA" w:rsidRPr="004017DA" w:rsidRDefault="004017DA" w:rsidP="004017DA">
            <w:pPr>
              <w:pStyle w:val="TableText"/>
              <w:rPr>
                <w:rFonts w:ascii="Calibri" w:hAnsi="Calibri"/>
                <w:b/>
                <w:color w:val="0067AC"/>
                <w:sz w:val="26"/>
                <w:szCs w:val="26"/>
              </w:rPr>
            </w:pPr>
            <w:r w:rsidRPr="004017DA">
              <w:rPr>
                <w:rFonts w:ascii="Calibri" w:hAnsi="Calibri"/>
                <w:b/>
                <w:color w:val="0067AC"/>
                <w:sz w:val="26"/>
                <w:szCs w:val="26"/>
              </w:rPr>
              <w:t>General observations: enforcement of court judgments</w:t>
            </w:r>
          </w:p>
          <w:p w:rsidR="004017DA" w:rsidRDefault="004017DA" w:rsidP="004017DA">
            <w:pPr>
              <w:pStyle w:val="Bullet1"/>
            </w:pPr>
            <w:r w:rsidRPr="004017DA">
              <w:t xml:space="preserve">In 23 jurisdictions, court decisions must be communicated to a child involved in judicial proceedings and in 10 of these jurisdictions, the decision must be communicated in a manner adapted to the child’s level of understanding. </w:t>
            </w:r>
          </w:p>
          <w:p w:rsidR="004017DA" w:rsidRDefault="004017DA" w:rsidP="004017DA">
            <w:pPr>
              <w:pStyle w:val="Bullet1"/>
            </w:pPr>
            <w:r w:rsidRPr="004017DA">
              <w:t>Guidance for lawyers, guardians ad litem or legal representatives on how to communicate a decision to a child in a manner that he or she understands exists only in four jurisdictions.</w:t>
            </w:r>
          </w:p>
          <w:p w:rsidR="004017DA" w:rsidRDefault="004017DA" w:rsidP="004017DA">
            <w:pPr>
              <w:pStyle w:val="Bullet1"/>
            </w:pPr>
            <w:r w:rsidRPr="004017DA">
              <w:t>In cases where the safety of the child is in danger, the law ensures that courts may impose protective measures during enforcement proceedings in all but seven jurisdictions.</w:t>
            </w:r>
          </w:p>
          <w:p w:rsidR="004017DA" w:rsidRDefault="004017DA" w:rsidP="004017DA">
            <w:pPr>
              <w:pStyle w:val="Bullet1"/>
            </w:pPr>
            <w:r w:rsidRPr="004017DA">
              <w:t>The court can make a decision of concern to children directly or immediately enforceable in 16 jurisdictions. Guidance for courts directing them to the types of cases where decisions should be made directly or immediately enforceable are available only in two jurisdictions.</w:t>
            </w:r>
          </w:p>
          <w:p w:rsidR="004017DA" w:rsidRPr="004017DA" w:rsidRDefault="004017DA" w:rsidP="004017DA">
            <w:pPr>
              <w:pStyle w:val="Bullet1"/>
            </w:pPr>
            <w:r w:rsidRPr="004017DA">
              <w:t>A statutory provision on the use of force to implement a judgement as a measure of last resort when children are involved exists in 13 jurisdictions.</w:t>
            </w:r>
          </w:p>
        </w:tc>
      </w:tr>
    </w:tbl>
    <w:p w:rsidR="004017DA" w:rsidRDefault="004017DA" w:rsidP="00D734A5">
      <w:pPr>
        <w:spacing w:before="0" w:after="0" w:line="240" w:lineRule="auto"/>
        <w:rPr>
          <w:sz w:val="22"/>
          <w:szCs w:val="22"/>
        </w:rPr>
      </w:pPr>
    </w:p>
    <w:p w:rsidR="004017DA" w:rsidRDefault="004017DA" w:rsidP="00D734A5">
      <w:pPr>
        <w:spacing w:before="0" w:after="0" w:line="240" w:lineRule="auto"/>
        <w:rPr>
          <w:sz w:val="22"/>
          <w:szCs w:val="22"/>
        </w:rPr>
      </w:pPr>
    </w:p>
    <w:p w:rsidR="00377C7C" w:rsidRDefault="00377C7C" w:rsidP="004E39FE">
      <w:pPr>
        <w:pStyle w:val="Heading1noPg"/>
      </w:pPr>
      <w:bookmarkStart w:id="228" w:name="_Toc365616821"/>
      <w:bookmarkStart w:id="229" w:name="_Toc365881793"/>
      <w:bookmarkStart w:id="230" w:name="_Toc365881938"/>
      <w:bookmarkStart w:id="231" w:name="_Toc406590165"/>
      <w:bookmarkStart w:id="232" w:name="_Toc408908742"/>
      <w:bookmarkEnd w:id="80"/>
      <w:r>
        <w:t xml:space="preserve">Concluding observations: </w:t>
      </w:r>
      <w:r w:rsidR="006A22A0">
        <w:t>the frequency with which safeguards exist</w:t>
      </w:r>
      <w:bookmarkEnd w:id="228"/>
      <w:bookmarkEnd w:id="229"/>
      <w:bookmarkEnd w:id="230"/>
      <w:bookmarkEnd w:id="231"/>
      <w:bookmarkEnd w:id="232"/>
    </w:p>
    <w:p w:rsidR="006A22A0" w:rsidRPr="0043399C" w:rsidRDefault="006A22A0" w:rsidP="001D508A">
      <w:pPr>
        <w:pStyle w:val="Heading2"/>
      </w:pPr>
      <w:bookmarkStart w:id="233" w:name="_Toc406590166"/>
      <w:bookmarkStart w:id="234" w:name="_Toc408908743"/>
      <w:r w:rsidRPr="0043399C">
        <w:t>Introduction</w:t>
      </w:r>
      <w:bookmarkEnd w:id="233"/>
      <w:bookmarkEnd w:id="234"/>
    </w:p>
    <w:p w:rsidR="00377C7C" w:rsidRPr="0085036F" w:rsidRDefault="00377C7C" w:rsidP="004017DA">
      <w:pPr>
        <w:pStyle w:val="BodyText"/>
      </w:pPr>
      <w:r w:rsidRPr="0085036F">
        <w:t xml:space="preserve">This section </w:t>
      </w:r>
      <w:r w:rsidR="006A22A0">
        <w:t xml:space="preserve">considers </w:t>
      </w:r>
      <w:r w:rsidRPr="0085036F">
        <w:t xml:space="preserve">the areas of child-friendly justice that have been examined in this summary report, distinguishing: </w:t>
      </w:r>
    </w:p>
    <w:p w:rsidR="00377C7C" w:rsidRPr="001D508A" w:rsidRDefault="00377C7C" w:rsidP="004017DA">
      <w:pPr>
        <w:pStyle w:val="BTBullet1"/>
      </w:pPr>
      <w:r w:rsidRPr="001D508A">
        <w:t xml:space="preserve">Safeguards </w:t>
      </w:r>
      <w:r w:rsidR="00E24A97" w:rsidRPr="001D508A">
        <w:t xml:space="preserve">and rights </w:t>
      </w:r>
      <w:r w:rsidR="0043399C" w:rsidRPr="001D508A">
        <w:t>that are</w:t>
      </w:r>
      <w:r w:rsidRPr="001D508A">
        <w:t xml:space="preserve"> </w:t>
      </w:r>
      <w:r w:rsidR="006A22A0" w:rsidRPr="001D508A">
        <w:t>frequent</w:t>
      </w:r>
      <w:r w:rsidR="000F1F48" w:rsidRPr="001D508A">
        <w:t xml:space="preserve"> and infrequent </w:t>
      </w:r>
      <w:r w:rsidRPr="001D508A">
        <w:t xml:space="preserve">for child </w:t>
      </w:r>
      <w:r w:rsidR="00E24A97" w:rsidRPr="001D508A">
        <w:t>plaintiffs, defendants, witnesses</w:t>
      </w:r>
      <w:r w:rsidR="000B1518" w:rsidRPr="001D508A">
        <w:t xml:space="preserve"> and </w:t>
      </w:r>
      <w:r w:rsidR="00E24A97" w:rsidRPr="001D508A">
        <w:t xml:space="preserve">subjects </w:t>
      </w:r>
      <w:r w:rsidR="000F1F48" w:rsidRPr="001D508A">
        <w:t>(Section 5.2)</w:t>
      </w:r>
      <w:r w:rsidRPr="001D508A">
        <w:t xml:space="preserve">; </w:t>
      </w:r>
    </w:p>
    <w:p w:rsidR="00377C7C" w:rsidRPr="001D508A" w:rsidRDefault="0043399C" w:rsidP="004017DA">
      <w:pPr>
        <w:pStyle w:val="BTBullet1"/>
      </w:pPr>
      <w:r w:rsidRPr="001D508A">
        <w:t xml:space="preserve">Safeguards and rights that are frequent </w:t>
      </w:r>
      <w:r w:rsidR="001940AF" w:rsidRPr="001D508A">
        <w:t xml:space="preserve">and infrequent </w:t>
      </w:r>
      <w:r w:rsidRPr="001D508A">
        <w:t>across different areas of law: family, employment, asylum, migration, education, health, placement in care, administrative sanctions, and offences committed below MACR</w:t>
      </w:r>
      <w:r w:rsidR="000F1F48" w:rsidRPr="001D508A">
        <w:t xml:space="preserve"> </w:t>
      </w:r>
      <w:r w:rsidRPr="001D508A">
        <w:t xml:space="preserve">(Section </w:t>
      </w:r>
      <w:r w:rsidR="000F1F48" w:rsidRPr="001D508A">
        <w:t>5.3)</w:t>
      </w:r>
      <w:r w:rsidR="00377C7C" w:rsidRPr="001D508A">
        <w:t xml:space="preserve">; </w:t>
      </w:r>
    </w:p>
    <w:p w:rsidR="004236AB" w:rsidRPr="001D508A" w:rsidRDefault="004236AB" w:rsidP="004017DA">
      <w:pPr>
        <w:pStyle w:val="BTBullet1"/>
      </w:pPr>
      <w:r w:rsidRPr="001D508A">
        <w:t xml:space="preserve">Safeguards and rights that are </w:t>
      </w:r>
      <w:r w:rsidR="007D679B" w:rsidRPr="001D508A">
        <w:t>frequent</w:t>
      </w:r>
      <w:r w:rsidRPr="001D508A">
        <w:t xml:space="preserve"> </w:t>
      </w:r>
      <w:r w:rsidR="001940AF" w:rsidRPr="001D508A">
        <w:t xml:space="preserve">and infrequent </w:t>
      </w:r>
      <w:r w:rsidR="007D679B" w:rsidRPr="001D508A">
        <w:t>across</w:t>
      </w:r>
      <w:r w:rsidRPr="001D508A">
        <w:t xml:space="preserve"> different areas of </w:t>
      </w:r>
      <w:r w:rsidR="0043399C" w:rsidRPr="001D508A">
        <w:t xml:space="preserve">protection: access to justice, monitoring mechanisms, training requirements, multidisciplinary approach, etc. </w:t>
      </w:r>
      <w:r w:rsidR="00A316B2" w:rsidRPr="001D508A">
        <w:t>(</w:t>
      </w:r>
      <w:r w:rsidR="0043399C" w:rsidRPr="001D508A">
        <w:t xml:space="preserve">Section </w:t>
      </w:r>
      <w:r w:rsidR="00A316B2" w:rsidRPr="001D508A">
        <w:t>5.4)</w:t>
      </w:r>
    </w:p>
    <w:p w:rsidR="004236AB" w:rsidRPr="001D508A" w:rsidRDefault="001940AF" w:rsidP="004017DA">
      <w:pPr>
        <w:pStyle w:val="BTBullet1"/>
      </w:pPr>
      <w:r w:rsidRPr="001D508A">
        <w:t xml:space="preserve">The frequency of safeguards for children across different jurisdictions </w:t>
      </w:r>
      <w:r w:rsidR="00A316B2" w:rsidRPr="001D508A">
        <w:t>(5.5)</w:t>
      </w:r>
      <w:r w:rsidR="004236AB" w:rsidRPr="001D508A">
        <w:t>;</w:t>
      </w:r>
    </w:p>
    <w:p w:rsidR="00B600FA" w:rsidRDefault="00B600FA" w:rsidP="001D508A">
      <w:pPr>
        <w:pStyle w:val="Heading2"/>
      </w:pPr>
      <w:bookmarkStart w:id="235" w:name="_Toc365616822"/>
      <w:bookmarkStart w:id="236" w:name="_Toc365881794"/>
      <w:bookmarkStart w:id="237" w:name="_Toc365881939"/>
      <w:bookmarkStart w:id="238" w:name="_Toc406590167"/>
      <w:bookmarkStart w:id="239" w:name="_Toc408908744"/>
      <w:r>
        <w:t>Safeguards applying to</w:t>
      </w:r>
      <w:r w:rsidRPr="0085036F">
        <w:t xml:space="preserve"> children </w:t>
      </w:r>
      <w:r>
        <w:t>in different roles:</w:t>
      </w:r>
      <w:bookmarkEnd w:id="235"/>
      <w:bookmarkEnd w:id="236"/>
      <w:bookmarkEnd w:id="237"/>
      <w:r>
        <w:t xml:space="preserve"> plaintiffs, defendants, witnesses and subjects</w:t>
      </w:r>
      <w:bookmarkEnd w:id="238"/>
      <w:bookmarkEnd w:id="239"/>
    </w:p>
    <w:p w:rsidR="00B600FA" w:rsidRPr="00B600FA" w:rsidRDefault="00B600FA" w:rsidP="004017DA">
      <w:pPr>
        <w:pStyle w:val="BodyText"/>
      </w:pPr>
      <w:r w:rsidRPr="00B600FA">
        <w:t xml:space="preserve">A greater number of safeguards apply to children involved in civil and administrative judicial proceedings as </w:t>
      </w:r>
      <w:r w:rsidRPr="00F738ED">
        <w:rPr>
          <w:b/>
        </w:rPr>
        <w:t>plaintiffs</w:t>
      </w:r>
      <w:r w:rsidRPr="00B600FA">
        <w:t xml:space="preserve"> than to children involved as </w:t>
      </w:r>
      <w:r w:rsidRPr="00F738ED">
        <w:rPr>
          <w:b/>
        </w:rPr>
        <w:t>defendants, witnesses or subjects</w:t>
      </w:r>
      <w:r w:rsidRPr="00B600FA">
        <w:t xml:space="preserve">. </w:t>
      </w:r>
    </w:p>
    <w:p w:rsidR="00B600FA" w:rsidRPr="001D508A" w:rsidRDefault="00B600FA" w:rsidP="004017DA">
      <w:pPr>
        <w:pStyle w:val="BTBullet1"/>
      </w:pPr>
      <w:r w:rsidRPr="001D508A">
        <w:t xml:space="preserve">Thirty-eight of the 72 safeguards reviewed apply to child </w:t>
      </w:r>
      <w:r w:rsidRPr="001D508A">
        <w:rPr>
          <w:b/>
        </w:rPr>
        <w:t>plaintiffs</w:t>
      </w:r>
      <w:r w:rsidRPr="001D508A">
        <w:t xml:space="preserve"> in more than 15 jurisdictions, 15 safeguards apply to children in this role in 25 or more jurisdictions and six safeguards apply to child plaintiffs in fewer than six jurisdictions.</w:t>
      </w:r>
    </w:p>
    <w:p w:rsidR="00B600FA" w:rsidRPr="001D508A" w:rsidRDefault="00B600FA" w:rsidP="004017DA">
      <w:pPr>
        <w:pStyle w:val="BTBullet1"/>
      </w:pPr>
      <w:r w:rsidRPr="001D508A">
        <w:t xml:space="preserve">Thirty of the 72 safeguards apply to child </w:t>
      </w:r>
      <w:r w:rsidRPr="001D508A">
        <w:rPr>
          <w:b/>
        </w:rPr>
        <w:t>defendants</w:t>
      </w:r>
      <w:r w:rsidRPr="001D508A">
        <w:t xml:space="preserve"> in more than 15 jurisdictions, 12 apply to children in this role in 25 or more jurisdictions. Ten safeguards apply to child defendants in fewer than six jurisdictions.</w:t>
      </w:r>
    </w:p>
    <w:p w:rsidR="00B600FA" w:rsidRPr="001D508A" w:rsidRDefault="00B600FA" w:rsidP="004017DA">
      <w:pPr>
        <w:pStyle w:val="BTBullet1"/>
      </w:pPr>
      <w:r w:rsidRPr="001D508A">
        <w:t xml:space="preserve">Nineteen of the 72 safeguards apply to child </w:t>
      </w:r>
      <w:r w:rsidRPr="001D508A">
        <w:rPr>
          <w:b/>
        </w:rPr>
        <w:t>witnesses</w:t>
      </w:r>
      <w:r w:rsidRPr="001D508A">
        <w:t xml:space="preserve"> in more than 15 jurisdictions, five apply to children in this role in 25 or more jurisdictions and 25 safeguards apply to child witnesses in fewer than six jurisdictions.</w:t>
      </w:r>
    </w:p>
    <w:p w:rsidR="00B600FA" w:rsidRPr="001D508A" w:rsidRDefault="00B600FA" w:rsidP="004017DA">
      <w:pPr>
        <w:pStyle w:val="BTBullet1"/>
      </w:pPr>
      <w:r w:rsidRPr="001D508A">
        <w:t xml:space="preserve">Twenty-one out of the 72 safeguards apply to child </w:t>
      </w:r>
      <w:r w:rsidRPr="001D508A">
        <w:rPr>
          <w:b/>
        </w:rPr>
        <w:t>subjects</w:t>
      </w:r>
      <w:r w:rsidRPr="001D508A">
        <w:t xml:space="preserve"> in more than 15 jurisdictions. Only two safeguards apply to children in this role in 25 or more jurisdictions and 13 safeguards apply to child subjects in fewer than six jurisdictions. </w:t>
      </w:r>
    </w:p>
    <w:p w:rsidR="00B600FA" w:rsidRPr="00F738ED" w:rsidRDefault="00B600FA" w:rsidP="004017DA">
      <w:pPr>
        <w:pStyle w:val="BodyText"/>
      </w:pPr>
      <w:r w:rsidRPr="00F738ED">
        <w:t xml:space="preserve">The most prevalent safeguard that applies to child </w:t>
      </w:r>
      <w:r w:rsidRPr="00F738ED">
        <w:rPr>
          <w:b/>
        </w:rPr>
        <w:t>plaintiffs</w:t>
      </w:r>
      <w:r w:rsidRPr="00F738ED">
        <w:t xml:space="preserve"> is the legal obligation to appoint a guardian or advisor to represent unaccompanied and separated children in asylum and migration cases, free of charge (CivAdm156). This safeguard applies in all jurisdictions. </w:t>
      </w:r>
    </w:p>
    <w:p w:rsidR="00B600FA" w:rsidRPr="00F738ED" w:rsidRDefault="00B600FA" w:rsidP="004017DA">
      <w:pPr>
        <w:pStyle w:val="BodyText"/>
        <w:rPr>
          <w:rFonts w:cs="Arial"/>
        </w:rPr>
      </w:pPr>
      <w:r w:rsidRPr="00F738ED">
        <w:t xml:space="preserve">The least prevalent safeguard that applies to child </w:t>
      </w:r>
      <w:r w:rsidRPr="00F738ED">
        <w:rPr>
          <w:b/>
        </w:rPr>
        <w:t>plaintiffs</w:t>
      </w:r>
      <w:r w:rsidRPr="00F738ED">
        <w:t xml:space="preserve"> is the provision of </w:t>
      </w:r>
      <w:r w:rsidRPr="00F738ED">
        <w:rPr>
          <w:rFonts w:cs="Arial"/>
        </w:rPr>
        <w:t>guidelines for judicial authorities on the types of cases involving children where decisions should be made directly or immediately enforceable (CivAdm193) (2 jurisdictions).</w:t>
      </w:r>
    </w:p>
    <w:p w:rsidR="00B600FA" w:rsidRPr="00F738ED" w:rsidRDefault="00B600FA" w:rsidP="004017DA">
      <w:pPr>
        <w:pStyle w:val="BodyText"/>
      </w:pPr>
      <w:r w:rsidRPr="00F738ED">
        <w:rPr>
          <w:rFonts w:cs="Arial"/>
        </w:rPr>
        <w:t xml:space="preserve">The most prevalent safeguards that apply to child </w:t>
      </w:r>
      <w:r w:rsidRPr="00F738ED">
        <w:rPr>
          <w:rFonts w:cs="Arial"/>
          <w:b/>
        </w:rPr>
        <w:t>defendants</w:t>
      </w:r>
      <w:r w:rsidRPr="00F738ED">
        <w:rPr>
          <w:rFonts w:cs="Arial"/>
        </w:rPr>
        <w:t xml:space="preserve"> is the statutory right </w:t>
      </w:r>
      <w:r w:rsidRPr="00F738ED">
        <w:t xml:space="preserve">of children to the protection of their personal data, especially in the context of processing, storing and transmitting court records (CivAdm085); the statutory right to free legal aid (CivAdm151); and the legal obligation to appoint a guardian or advisor to represent unaccompanied and separated children, free of charge (CivAdm156). These safeguards apply in all except one jurisdiction. </w:t>
      </w:r>
    </w:p>
    <w:p w:rsidR="00B600FA" w:rsidRPr="00F738ED" w:rsidRDefault="00B600FA" w:rsidP="004017DA">
      <w:pPr>
        <w:pStyle w:val="BodyText"/>
      </w:pPr>
      <w:r w:rsidRPr="00F738ED">
        <w:t xml:space="preserve">The least prevalent safeguards that apply to child </w:t>
      </w:r>
      <w:r w:rsidRPr="00F738ED">
        <w:rPr>
          <w:b/>
        </w:rPr>
        <w:t>defendants</w:t>
      </w:r>
      <w:r w:rsidRPr="00F738ED">
        <w:t xml:space="preserve"> concern provisions regarding the restriction of the child’s liberty: the statutory provision on the use by judicial authorities of restriction of liberty or detention as a measure of last resort (CivAdm171a) or for the shortest possible amount of time (CivAdm171b); the s</w:t>
      </w:r>
      <w:r w:rsidRPr="00F738ED">
        <w:rPr>
          <w:rFonts w:cs="Arial"/>
        </w:rPr>
        <w:t>tatutory right of the child to appeal an administrative decision to restrict their liberty</w:t>
      </w:r>
      <w:r w:rsidRPr="00F738ED">
        <w:t xml:space="preserve"> (CivAdm168); and the existence of an i</w:t>
      </w:r>
      <w:r w:rsidRPr="00F738ED">
        <w:rPr>
          <w:rFonts w:cs="Arial"/>
        </w:rPr>
        <w:t xml:space="preserve">ndependent system for monitoring the appropriate use of detention </w:t>
      </w:r>
      <w:r w:rsidRPr="00F738ED">
        <w:t xml:space="preserve">(CivAdm169). These safeguards apply in one jurisdiction respectively. </w:t>
      </w:r>
    </w:p>
    <w:p w:rsidR="00B600FA" w:rsidRPr="00F738ED" w:rsidRDefault="00B600FA" w:rsidP="004017DA">
      <w:pPr>
        <w:pStyle w:val="BodyText"/>
      </w:pPr>
      <w:r w:rsidRPr="00F738ED">
        <w:t xml:space="preserve">The most prevalent safeguard that applies to child </w:t>
      </w:r>
      <w:r w:rsidRPr="00F738ED">
        <w:rPr>
          <w:b/>
        </w:rPr>
        <w:t>witnesses</w:t>
      </w:r>
      <w:r w:rsidRPr="00F738ED">
        <w:t xml:space="preserve"> is the statutory right of children to the protection of their personal data, especially in the context of processing, storing and transmitting court records (CivAdm085). This safeguard applies in all except one jurisdiction. </w:t>
      </w:r>
    </w:p>
    <w:p w:rsidR="00B600FA" w:rsidRPr="00F738ED" w:rsidRDefault="00B600FA" w:rsidP="004017DA">
      <w:pPr>
        <w:pStyle w:val="BodyText"/>
      </w:pPr>
      <w:r w:rsidRPr="00F738ED">
        <w:t xml:space="preserve">The least prevalent safeguards that apply to child </w:t>
      </w:r>
      <w:r w:rsidRPr="00F738ED">
        <w:rPr>
          <w:b/>
        </w:rPr>
        <w:t>witnesses</w:t>
      </w:r>
      <w:r w:rsidRPr="00F738ED">
        <w:t xml:space="preserve"> are statutory conditions attached to representation of the child by a legal representative or guardian (e.g. signed written consent by the child) (CivAdm049); the existence of guidance or a code of conduct for lawyers, guardians ad litem or legal representatives on how to communicate a decision or judgement to a child involved in judicial proceedings in a manner adapted to the child's level of understanding (CivAdm189); the provision of guidelines for judicial authorities on the types of cases involving children where decisions should be made directly or immediately enforceable (CivAdm193).These safeguards apply to child witnesses in only one jurisdiction respectively.</w:t>
      </w:r>
    </w:p>
    <w:p w:rsidR="00B600FA" w:rsidRPr="00F738ED" w:rsidRDefault="00B600FA" w:rsidP="004017DA">
      <w:pPr>
        <w:pStyle w:val="BodyText"/>
      </w:pPr>
      <w:r w:rsidRPr="00F738ED">
        <w:t xml:space="preserve">The most prevalent safeguard that applies to child </w:t>
      </w:r>
      <w:r w:rsidRPr="00F738ED">
        <w:rPr>
          <w:b/>
        </w:rPr>
        <w:t>subjects</w:t>
      </w:r>
      <w:r w:rsidRPr="00F738ED">
        <w:t xml:space="preserve"> is the statutory provision allowing entities to file applications/</w:t>
      </w:r>
      <w:r w:rsidR="00AC749F">
        <w:t xml:space="preserve"> </w:t>
      </w:r>
      <w:r w:rsidRPr="00F738ED">
        <w:t xml:space="preserve">initiate legal proceedings in child protection cases (CivAdm057). This safeguard applies in 27 jurisdictions. </w:t>
      </w:r>
    </w:p>
    <w:p w:rsidR="00B600FA" w:rsidRPr="00F738ED" w:rsidRDefault="00B600FA" w:rsidP="004017DA">
      <w:pPr>
        <w:pStyle w:val="BodyText"/>
      </w:pPr>
      <w:r w:rsidRPr="00F738ED">
        <w:t xml:space="preserve">The least prevalent safeguard that applies to child </w:t>
      </w:r>
      <w:r w:rsidRPr="00F738ED">
        <w:rPr>
          <w:b/>
        </w:rPr>
        <w:t>subjects</w:t>
      </w:r>
      <w:r w:rsidRPr="00F738ED">
        <w:t xml:space="preserve"> is the right of the child to initiate alternative dispute resolution (ADR) in their own right (CivAdm163). This safeguard applies in only one jurisdiction. </w:t>
      </w:r>
    </w:p>
    <w:p w:rsidR="00F738ED" w:rsidRDefault="00B600FA" w:rsidP="004017DA">
      <w:pPr>
        <w:pStyle w:val="BodyText"/>
      </w:pPr>
      <w:r w:rsidRPr="00F738ED">
        <w:t xml:space="preserve">The most prevalent safeguard that applies to </w:t>
      </w:r>
      <w:r w:rsidRPr="00F738ED">
        <w:rPr>
          <w:b/>
        </w:rPr>
        <w:t>all four roles</w:t>
      </w:r>
      <w:r w:rsidRPr="00F738ED">
        <w:t xml:space="preserve"> of the child in judicial proceedings is the statutory provision allowing entities to file applications or initiate legal proceedings in child protection cases (CivAdm057) which applies in an average of 27 jurisdictions. </w:t>
      </w:r>
    </w:p>
    <w:p w:rsidR="00373D0E" w:rsidRDefault="00B600FA" w:rsidP="004017DA">
      <w:pPr>
        <w:pStyle w:val="BodyText"/>
      </w:pPr>
      <w:r w:rsidRPr="00F738ED">
        <w:t xml:space="preserve">The least prevalent safeguard that applies to </w:t>
      </w:r>
      <w:r w:rsidRPr="00F738ED">
        <w:rPr>
          <w:b/>
        </w:rPr>
        <w:t>all four roles</w:t>
      </w:r>
      <w:r w:rsidRPr="00F738ED">
        <w:t xml:space="preserve"> of the child is the provision of guidelines for judicial authorities on the types of cases involving children where decisions should be made directly or immediately enforceable (CivAdm193) which applies in an average of 2 jurisdictions.</w:t>
      </w:r>
    </w:p>
    <w:p w:rsidR="00517C61" w:rsidRDefault="00517C61" w:rsidP="004017DA">
      <w:pPr>
        <w:pStyle w:val="BodyText"/>
      </w:pPr>
      <w:r>
        <w:t>The following sections identify the most frequent and least frequent safeguards that apply to children in each of the roles.</w:t>
      </w:r>
    </w:p>
    <w:p w:rsidR="001C29D2" w:rsidRDefault="001C29D2" w:rsidP="001D508A">
      <w:pPr>
        <w:pStyle w:val="Heading3"/>
      </w:pPr>
      <w:bookmarkStart w:id="240" w:name="_Toc365881940"/>
      <w:bookmarkStart w:id="241" w:name="_Toc408908745"/>
      <w:r>
        <w:t xml:space="preserve">Safeguards that are most prevalent for child </w:t>
      </w:r>
      <w:bookmarkEnd w:id="240"/>
      <w:r>
        <w:t>plaintiffs</w:t>
      </w:r>
      <w:bookmarkEnd w:id="241"/>
    </w:p>
    <w:p w:rsidR="001C29D2" w:rsidRPr="0085036F" w:rsidRDefault="001C29D2" w:rsidP="004017DA">
      <w:pPr>
        <w:pStyle w:val="BodyText"/>
      </w:pPr>
      <w:r>
        <w:t>Table 5.1</w:t>
      </w:r>
      <w:r w:rsidRPr="0085036F">
        <w:t xml:space="preserve"> identifies the</w:t>
      </w:r>
      <w:r>
        <w:t xml:space="preserve"> 15 </w:t>
      </w:r>
      <w:r w:rsidRPr="0085036F">
        <w:t>safeguards that</w:t>
      </w:r>
      <w:r>
        <w:t xml:space="preserve"> exist in more than 24</w:t>
      </w:r>
      <w:r w:rsidRPr="0085036F">
        <w:t xml:space="preserve"> </w:t>
      </w:r>
      <w:r>
        <w:t>jurisdictions</w:t>
      </w:r>
      <w:r w:rsidRPr="0085036F">
        <w:t xml:space="preserve"> for child </w:t>
      </w:r>
      <w:r>
        <w:t>plaintiffs</w:t>
      </w:r>
      <w:r w:rsidRPr="0085036F">
        <w:t>.</w:t>
      </w:r>
    </w:p>
    <w:p w:rsidR="00D225A7" w:rsidRDefault="00D225A7" w:rsidP="001D508A">
      <w:pPr>
        <w:pStyle w:val="Table"/>
      </w:pPr>
      <w:bookmarkStart w:id="242" w:name="_Toc372198367"/>
      <w:bookmarkStart w:id="243" w:name="_Toc408908617"/>
      <w:r>
        <w:t>Safeguards for child plaintiffs existing in more than 24 jurisdictions</w:t>
      </w:r>
      <w:bookmarkEnd w:id="242"/>
      <w:bookmarkEnd w:id="243"/>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D225A7" w:rsidTr="004017DA">
        <w:tc>
          <w:tcPr>
            <w:tcW w:w="8220" w:type="dxa"/>
            <w:shd w:val="clear" w:color="auto" w:fill="auto"/>
          </w:tcPr>
          <w:p w:rsidR="00D225A7" w:rsidRPr="009D6899" w:rsidRDefault="00D225A7" w:rsidP="004017DA">
            <w:pPr>
              <w:pStyle w:val="TableTextNoSpace"/>
            </w:pPr>
            <w:r w:rsidRPr="009D6899">
              <w:t>Legal obligation to appoint a guardian or advisor to represent unaccompanied and separated children, free of charge (CivAdm156) (30 jurisdictions)</w:t>
            </w:r>
          </w:p>
        </w:tc>
      </w:tr>
      <w:tr w:rsidR="00D225A7" w:rsidTr="004017DA">
        <w:tc>
          <w:tcPr>
            <w:tcW w:w="8220" w:type="dxa"/>
            <w:shd w:val="clear" w:color="auto" w:fill="auto"/>
          </w:tcPr>
          <w:p w:rsidR="00D225A7" w:rsidRPr="009D6899" w:rsidRDefault="00D225A7" w:rsidP="004017DA">
            <w:pPr>
              <w:pStyle w:val="TableTextNoSpace"/>
            </w:pPr>
            <w:r w:rsidRPr="009D6899">
              <w:rPr>
                <w:rFonts w:cs="Arial"/>
                <w:szCs w:val="18"/>
              </w:rPr>
              <w:t xml:space="preserve">Statutory provision on the right of the court to adopt precautionary and interim measures regarding children </w:t>
            </w:r>
            <w:r w:rsidRPr="009D6899">
              <w:t>(CivAdm058) (29 jurisdictions)</w:t>
            </w:r>
          </w:p>
        </w:tc>
      </w:tr>
      <w:tr w:rsidR="00D225A7" w:rsidTr="004017DA">
        <w:tc>
          <w:tcPr>
            <w:tcW w:w="8220" w:type="dxa"/>
            <w:shd w:val="clear" w:color="auto" w:fill="auto"/>
          </w:tcPr>
          <w:p w:rsidR="00D225A7" w:rsidRPr="009D6899" w:rsidRDefault="00D225A7" w:rsidP="004017DA">
            <w:pPr>
              <w:pStyle w:val="TableTextNoSpace"/>
            </w:pPr>
            <w:r w:rsidRPr="009D6899">
              <w:rPr>
                <w:rFonts w:cs="Arial"/>
                <w:szCs w:val="18"/>
              </w:rPr>
              <w:t xml:space="preserve">Statutory provision on the right of children involved in judicial proceedings to the protection of personal data, especially in the context of processing, storing and transmitting court records </w:t>
            </w:r>
            <w:r w:rsidRPr="009D6899">
              <w:t>(CivAdm085) (29 jurisdictions)</w:t>
            </w:r>
          </w:p>
        </w:tc>
      </w:tr>
      <w:tr w:rsidR="00D225A7" w:rsidTr="004017DA">
        <w:tc>
          <w:tcPr>
            <w:tcW w:w="8220" w:type="dxa"/>
            <w:shd w:val="clear" w:color="auto" w:fill="auto"/>
          </w:tcPr>
          <w:p w:rsidR="00D225A7" w:rsidRPr="009D6899" w:rsidRDefault="00D225A7" w:rsidP="004017DA">
            <w:pPr>
              <w:pStyle w:val="TableTextNoSpace"/>
            </w:pPr>
            <w:r w:rsidRPr="009D6899">
              <w:t>Statutory provision for court to impose protective measures during court proceedings (CivAdm125a) (29 jurisdictions)</w:t>
            </w:r>
          </w:p>
        </w:tc>
      </w:tr>
      <w:tr w:rsidR="00D225A7" w:rsidTr="004017DA">
        <w:tc>
          <w:tcPr>
            <w:tcW w:w="8220" w:type="dxa"/>
            <w:shd w:val="clear" w:color="auto" w:fill="auto"/>
          </w:tcPr>
          <w:p w:rsidR="00D225A7" w:rsidRPr="009D6899" w:rsidRDefault="00D225A7" w:rsidP="004017DA">
            <w:pPr>
              <w:pStyle w:val="TableTextNoSpace"/>
            </w:pPr>
            <w:r w:rsidRPr="009D6899">
              <w:t>Statutory provision on the right of the child to appeal an administrative decision to restrict their liberty (CivAdm168) (</w:t>
            </w:r>
            <w:r w:rsidR="00317A72" w:rsidRPr="009D6899">
              <w:t>2</w:t>
            </w:r>
            <w:r w:rsidR="009E43AA">
              <w:t>8</w:t>
            </w:r>
            <w:r w:rsidRPr="009D6899">
              <w:t xml:space="preserve"> jurisdictions)</w:t>
            </w:r>
          </w:p>
        </w:tc>
      </w:tr>
      <w:tr w:rsidR="00D225A7" w:rsidTr="004017DA">
        <w:tc>
          <w:tcPr>
            <w:tcW w:w="8220" w:type="dxa"/>
            <w:shd w:val="clear" w:color="auto" w:fill="auto"/>
          </w:tcPr>
          <w:p w:rsidR="00D225A7" w:rsidRPr="009D6899" w:rsidRDefault="00D225A7" w:rsidP="004017DA">
            <w:pPr>
              <w:pStyle w:val="TableTextNoSpace"/>
            </w:pPr>
            <w:r w:rsidRPr="009D6899">
              <w:t>Statutory provision on the right of children involved in judicial proceedings to free legal aid (CivAdm151) (28 jurisdictions)</w:t>
            </w:r>
          </w:p>
        </w:tc>
      </w:tr>
      <w:tr w:rsidR="00D225A7" w:rsidTr="004017DA">
        <w:tc>
          <w:tcPr>
            <w:tcW w:w="8220" w:type="dxa"/>
            <w:shd w:val="clear" w:color="auto" w:fill="auto"/>
          </w:tcPr>
          <w:p w:rsidR="00D225A7" w:rsidRPr="009D6899" w:rsidRDefault="00D225A7" w:rsidP="004017DA">
            <w:pPr>
              <w:pStyle w:val="TableTextNoSpace"/>
            </w:pPr>
            <w:r w:rsidRPr="009D6899">
              <w:t>Statutory provision on the appointment by the court of a guardian ad litem or special legal representative to represent child where there are potential conflicts of interest between child and parents (CivAdm154) (28 jurisdictions)</w:t>
            </w:r>
          </w:p>
        </w:tc>
      </w:tr>
      <w:tr w:rsidR="00D225A7" w:rsidTr="004017DA">
        <w:tc>
          <w:tcPr>
            <w:tcW w:w="8220" w:type="dxa"/>
            <w:shd w:val="clear" w:color="auto" w:fill="auto"/>
          </w:tcPr>
          <w:p w:rsidR="00D225A7" w:rsidRPr="009D6899" w:rsidRDefault="00D225A7" w:rsidP="004017DA">
            <w:pPr>
              <w:pStyle w:val="TableTextNoSpace"/>
            </w:pPr>
            <w:r w:rsidRPr="009D6899">
              <w:t>Mechanisms to permit the court or the child involved in judicial proceedings to take actions if there is a conflict of interests with his/her parents (CivAdm182) (28 jurisdictions)</w:t>
            </w:r>
          </w:p>
        </w:tc>
      </w:tr>
      <w:tr w:rsidR="00D225A7" w:rsidTr="004017DA">
        <w:tc>
          <w:tcPr>
            <w:tcW w:w="8220" w:type="dxa"/>
            <w:shd w:val="clear" w:color="auto" w:fill="auto"/>
          </w:tcPr>
          <w:p w:rsidR="00D225A7" w:rsidRPr="009D6899" w:rsidRDefault="00D225A7" w:rsidP="004017DA">
            <w:pPr>
              <w:pStyle w:val="TableTextNoSpace"/>
            </w:pPr>
            <w:r w:rsidRPr="009D6899">
              <w:t>Statutory provision allowing entities to file applications/initiate legal proceedings in child protection cases (CivAdm057) (27 jurisdictions)</w:t>
            </w:r>
          </w:p>
        </w:tc>
      </w:tr>
      <w:tr w:rsidR="00D225A7" w:rsidTr="004017DA">
        <w:tc>
          <w:tcPr>
            <w:tcW w:w="8220" w:type="dxa"/>
            <w:shd w:val="clear" w:color="auto" w:fill="auto"/>
          </w:tcPr>
          <w:p w:rsidR="00D225A7" w:rsidRPr="009D6899" w:rsidRDefault="00D225A7" w:rsidP="004017DA">
            <w:pPr>
              <w:pStyle w:val="TableTextNoSpace"/>
            </w:pPr>
            <w:r w:rsidRPr="009D6899">
              <w:t>Statutory provision on the right of children involved in judicial proceedings to privacy (CivAdm80a) (27 jurisdictions)</w:t>
            </w:r>
          </w:p>
        </w:tc>
      </w:tr>
      <w:tr w:rsidR="00D225A7" w:rsidTr="004017DA">
        <w:tc>
          <w:tcPr>
            <w:tcW w:w="8220" w:type="dxa"/>
            <w:shd w:val="clear" w:color="auto" w:fill="auto"/>
          </w:tcPr>
          <w:p w:rsidR="00D225A7" w:rsidRPr="009D6899" w:rsidRDefault="00D225A7" w:rsidP="004017DA">
            <w:pPr>
              <w:pStyle w:val="TableTextNoSpace"/>
            </w:pPr>
            <w:r w:rsidRPr="009D6899">
              <w:rPr>
                <w:rFonts w:cs="Arial"/>
                <w:szCs w:val="18"/>
              </w:rPr>
              <w:t xml:space="preserve">Statutory provision on the child's right to be heard, disaggregated by type of proceeding </w:t>
            </w:r>
            <w:r w:rsidRPr="009D6899">
              <w:t>(CivAdm127) (27 jurisdictions)</w:t>
            </w:r>
          </w:p>
        </w:tc>
      </w:tr>
      <w:tr w:rsidR="00D225A7" w:rsidTr="004017DA">
        <w:tc>
          <w:tcPr>
            <w:tcW w:w="8220" w:type="dxa"/>
            <w:shd w:val="clear" w:color="auto" w:fill="auto"/>
          </w:tcPr>
          <w:p w:rsidR="00D225A7" w:rsidRPr="002030DE" w:rsidRDefault="00D225A7" w:rsidP="004017DA">
            <w:pPr>
              <w:pStyle w:val="TableTextNoSpace"/>
            </w:pPr>
            <w:r w:rsidRPr="002030DE">
              <w:t>Monitoring mechanisms at national level to systematically review domestic legislation, policies and practice related to judicial proceedings to ensure their compatibility with international stan</w:t>
            </w:r>
            <w:r>
              <w:t>dards of child-friendly justice</w:t>
            </w:r>
            <w:r w:rsidRPr="002030DE">
              <w:t xml:space="preserve"> (CivAdm044) (25 jurisdictions)</w:t>
            </w:r>
          </w:p>
        </w:tc>
      </w:tr>
      <w:tr w:rsidR="00D225A7" w:rsidTr="004017DA">
        <w:tc>
          <w:tcPr>
            <w:tcW w:w="8220" w:type="dxa"/>
            <w:shd w:val="clear" w:color="auto" w:fill="auto"/>
          </w:tcPr>
          <w:p w:rsidR="00D225A7" w:rsidRPr="002030DE" w:rsidRDefault="00D225A7" w:rsidP="004017DA">
            <w:pPr>
              <w:pStyle w:val="TableTextNoSpace"/>
            </w:pPr>
            <w:r w:rsidRPr="002030DE">
              <w:t>Legal obligation for judicial authorities to avoid undue delay in their handling of cases involving children (urgency principle) (CivAdm105) (25 jurisdictions)</w:t>
            </w:r>
          </w:p>
        </w:tc>
      </w:tr>
      <w:tr w:rsidR="00D225A7" w:rsidTr="004017DA">
        <w:tc>
          <w:tcPr>
            <w:tcW w:w="8220" w:type="dxa"/>
            <w:shd w:val="clear" w:color="auto" w:fill="auto"/>
          </w:tcPr>
          <w:p w:rsidR="00D225A7" w:rsidRPr="002030DE" w:rsidRDefault="00D225A7" w:rsidP="004017DA">
            <w:pPr>
              <w:pStyle w:val="TableTextNoSpace"/>
            </w:pPr>
            <w:r w:rsidRPr="002030DE">
              <w:t>Statutory provision on the use by judicial authorities of restriction of liberty or detention for the shortest possible amount of time</w:t>
            </w:r>
            <w:r>
              <w:t xml:space="preserve"> </w:t>
            </w:r>
            <w:r w:rsidRPr="002030DE">
              <w:t>(CivAdm171b) (25 jurisdictions)</w:t>
            </w:r>
          </w:p>
        </w:tc>
      </w:tr>
      <w:tr w:rsidR="00D225A7" w:rsidTr="004017DA">
        <w:tc>
          <w:tcPr>
            <w:tcW w:w="8220" w:type="dxa"/>
            <w:shd w:val="clear" w:color="auto" w:fill="auto"/>
          </w:tcPr>
          <w:p w:rsidR="00D225A7" w:rsidRPr="002030DE" w:rsidRDefault="00D225A7" w:rsidP="004017DA">
            <w:pPr>
              <w:pStyle w:val="TableTextNoSpace"/>
            </w:pPr>
            <w:r w:rsidRPr="002030DE">
              <w:t>Statutory provision allowing a child care authority to appeal against certain court decisions involving children</w:t>
            </w:r>
            <w:r>
              <w:t xml:space="preserve"> </w:t>
            </w:r>
            <w:r w:rsidRPr="002030DE">
              <w:t>(CivAdm177</w:t>
            </w:r>
            <w:r>
              <w:t>)</w:t>
            </w:r>
            <w:r w:rsidRPr="002030DE">
              <w:t xml:space="preserve"> (25 jurisdictions)</w:t>
            </w:r>
          </w:p>
        </w:tc>
      </w:tr>
    </w:tbl>
    <w:p w:rsidR="00D225A7" w:rsidRDefault="00D225A7" w:rsidP="001D508A">
      <w:pPr>
        <w:pStyle w:val="Heading3"/>
      </w:pPr>
      <w:bookmarkStart w:id="244" w:name="_Toc365881941"/>
      <w:bookmarkStart w:id="245" w:name="_Toc408908746"/>
      <w:r>
        <w:t xml:space="preserve">Safeguards that are uncommon for child </w:t>
      </w:r>
      <w:bookmarkEnd w:id="244"/>
      <w:r>
        <w:t>plaintiffs</w:t>
      </w:r>
      <w:bookmarkEnd w:id="245"/>
    </w:p>
    <w:p w:rsidR="00D225A7" w:rsidRPr="0085036F" w:rsidRDefault="00D225A7" w:rsidP="004017DA">
      <w:pPr>
        <w:pStyle w:val="BodyText"/>
      </w:pPr>
      <w:r w:rsidRPr="0085036F">
        <w:t xml:space="preserve">Table </w:t>
      </w:r>
      <w:r>
        <w:t>5</w:t>
      </w:r>
      <w:r w:rsidRPr="0085036F">
        <w:t xml:space="preserve">.2 </w:t>
      </w:r>
      <w:r>
        <w:t>identifies</w:t>
      </w:r>
      <w:r w:rsidRPr="0085036F">
        <w:t xml:space="preserve"> the</w:t>
      </w:r>
      <w:r>
        <w:t xml:space="preserve"> six </w:t>
      </w:r>
      <w:r w:rsidRPr="0085036F">
        <w:t>safeguards that exist in less than</w:t>
      </w:r>
      <w:r>
        <w:t xml:space="preserve"> six jurisdictions </w:t>
      </w:r>
      <w:r w:rsidRPr="0085036F">
        <w:t>for child</w:t>
      </w:r>
      <w:r>
        <w:t xml:space="preserve"> plaintiffs</w:t>
      </w:r>
      <w:r w:rsidRPr="0085036F">
        <w:t>.</w:t>
      </w:r>
    </w:p>
    <w:p w:rsidR="00D225A7" w:rsidRDefault="00D225A7" w:rsidP="001D508A">
      <w:pPr>
        <w:pStyle w:val="Table"/>
      </w:pPr>
      <w:bookmarkStart w:id="246" w:name="_Toc372198368"/>
      <w:bookmarkStart w:id="247" w:name="_Toc408908618"/>
      <w:r>
        <w:t>Safeguards for child plaintiffs existing in less than six jurisdictions</w:t>
      </w:r>
      <w:bookmarkEnd w:id="246"/>
      <w:bookmarkEnd w:id="247"/>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D225A7" w:rsidTr="004017DA">
        <w:tc>
          <w:tcPr>
            <w:tcW w:w="8220" w:type="dxa"/>
            <w:shd w:val="clear" w:color="auto" w:fill="auto"/>
          </w:tcPr>
          <w:p w:rsidR="00D225A7" w:rsidRPr="002030DE" w:rsidRDefault="00D225A7" w:rsidP="004017DA">
            <w:pPr>
              <w:pStyle w:val="TableTextNoSpace"/>
            </w:pPr>
            <w:r w:rsidRPr="002030DE">
              <w:t>Statutory provision on the right of children to information in a manner that takes into account any special needs of the child about rights and procedures</w:t>
            </w:r>
            <w:r>
              <w:t xml:space="preserve"> </w:t>
            </w:r>
            <w:r w:rsidRPr="002030DE">
              <w:t>(CivAdm076b</w:t>
            </w:r>
            <w:r>
              <w:t>)</w:t>
            </w:r>
            <w:r w:rsidRPr="002030DE">
              <w:t xml:space="preserve"> (5 jurisdictions)</w:t>
            </w:r>
          </w:p>
        </w:tc>
      </w:tr>
      <w:tr w:rsidR="00D225A7" w:rsidTr="004017DA">
        <w:tc>
          <w:tcPr>
            <w:tcW w:w="8220" w:type="dxa"/>
            <w:shd w:val="clear" w:color="auto" w:fill="auto"/>
          </w:tcPr>
          <w:p w:rsidR="00D225A7" w:rsidRPr="002030DE" w:rsidRDefault="00D225A7" w:rsidP="004017DA">
            <w:pPr>
              <w:pStyle w:val="TableTextNoSpace"/>
            </w:pPr>
            <w:r w:rsidRPr="002030DE">
              <w:t xml:space="preserve">Guidance or code of conduct for judicial authorities to ensure that the right to be heard of the child is respected (CivAdm128) (5 jurisdictions) </w:t>
            </w:r>
          </w:p>
        </w:tc>
      </w:tr>
      <w:tr w:rsidR="00D225A7" w:rsidTr="004017DA">
        <w:tc>
          <w:tcPr>
            <w:tcW w:w="8220" w:type="dxa"/>
            <w:shd w:val="clear" w:color="auto" w:fill="auto"/>
          </w:tcPr>
          <w:p w:rsidR="00D225A7" w:rsidRPr="002030DE" w:rsidRDefault="00D225A7" w:rsidP="004017DA">
            <w:pPr>
              <w:pStyle w:val="TableTextNoSpace"/>
            </w:pPr>
            <w:r w:rsidRPr="002030DE">
              <w:t xml:space="preserve">Guidance or codes of conduct for judicial or </w:t>
            </w:r>
            <w:r w:rsidRPr="009D6899">
              <w:t>other competent authorities (e.g. police, immigration, educational, social or healthcare services) to ensure that children receive information (CivAdm069)  (4 jurisdictions)</w:t>
            </w:r>
          </w:p>
        </w:tc>
      </w:tr>
      <w:tr w:rsidR="00D225A7" w:rsidRPr="009D6899" w:rsidTr="004017DA">
        <w:tc>
          <w:tcPr>
            <w:tcW w:w="8220" w:type="dxa"/>
            <w:shd w:val="clear" w:color="auto" w:fill="auto"/>
          </w:tcPr>
          <w:p w:rsidR="00D225A7" w:rsidRPr="009D6899" w:rsidRDefault="00D225A7" w:rsidP="004017DA">
            <w:pPr>
              <w:pStyle w:val="TableTextNoSpace"/>
            </w:pPr>
            <w:r w:rsidRPr="009D6899">
              <w:rPr>
                <w:rFonts w:cs="Arial"/>
                <w:szCs w:val="18"/>
              </w:rPr>
              <w:t>Common assessment framework for all professionals working with or for children in civil and administrative proceedings (including lawyers, psychologists, physicians, immigration officials, social workers and mediators)</w:t>
            </w:r>
            <w:r w:rsidRPr="009D6899">
              <w:t xml:space="preserve"> (CivAdm101) (4 jurisdictions)</w:t>
            </w:r>
          </w:p>
        </w:tc>
      </w:tr>
      <w:tr w:rsidR="00D225A7" w:rsidRPr="009D6899" w:rsidTr="004017DA">
        <w:tc>
          <w:tcPr>
            <w:tcW w:w="8220" w:type="dxa"/>
            <w:shd w:val="clear" w:color="auto" w:fill="auto"/>
          </w:tcPr>
          <w:p w:rsidR="00D225A7" w:rsidRPr="009D6899" w:rsidRDefault="00D225A7" w:rsidP="004017DA">
            <w:pPr>
              <w:pStyle w:val="TableTextNoSpace"/>
            </w:pPr>
            <w:r w:rsidRPr="009D6899">
              <w:rPr>
                <w:rFonts w:cs="Arial"/>
                <w:szCs w:val="18"/>
              </w:rPr>
              <w:t xml:space="preserve">Guidance or code of conduct for lawyers, guardians ad litem or legal representatives on how to communicate a decision or judgement to a child involved in judicial proceedings in a manner adapted to the child's level of understanding </w:t>
            </w:r>
            <w:r w:rsidRPr="009D6899">
              <w:t>(CivAdm189) (4 jurisdictions)</w:t>
            </w:r>
          </w:p>
        </w:tc>
      </w:tr>
      <w:tr w:rsidR="00D225A7" w:rsidRPr="009D6899" w:rsidTr="004017DA">
        <w:tc>
          <w:tcPr>
            <w:tcW w:w="8220" w:type="dxa"/>
            <w:shd w:val="clear" w:color="auto" w:fill="auto"/>
          </w:tcPr>
          <w:p w:rsidR="00D225A7" w:rsidRPr="009D6899" w:rsidRDefault="00D225A7" w:rsidP="004017DA">
            <w:pPr>
              <w:pStyle w:val="TableTextNoSpace"/>
            </w:pPr>
            <w:r w:rsidRPr="009D6899">
              <w:rPr>
                <w:rFonts w:cs="Arial"/>
                <w:szCs w:val="18"/>
              </w:rPr>
              <w:t>Guidelines for judicial authorities on the types of cases involving children where decisions should be made directly or immediately enforceable</w:t>
            </w:r>
            <w:r w:rsidRPr="009D6899">
              <w:t xml:space="preserve"> (CivAdm193) (2 jurisdictions)</w:t>
            </w:r>
          </w:p>
        </w:tc>
      </w:tr>
    </w:tbl>
    <w:p w:rsidR="006844A7" w:rsidRPr="009D6899" w:rsidRDefault="006844A7" w:rsidP="001D508A">
      <w:pPr>
        <w:pStyle w:val="Heading3"/>
      </w:pPr>
      <w:bookmarkStart w:id="248" w:name="_Toc408908747"/>
      <w:r w:rsidRPr="009D6899">
        <w:t>Safeguards that are most prevalent for child defendants</w:t>
      </w:r>
      <w:bookmarkEnd w:id="248"/>
    </w:p>
    <w:p w:rsidR="006844A7" w:rsidRPr="009D6899" w:rsidRDefault="006844A7" w:rsidP="004017DA">
      <w:pPr>
        <w:pStyle w:val="BodyText"/>
      </w:pPr>
      <w:r w:rsidRPr="009D6899">
        <w:t>Table 5.3 identifies the 12 safeguards that exist in more than 24 jurisdictions for child defendants.</w:t>
      </w:r>
    </w:p>
    <w:p w:rsidR="006844A7" w:rsidRPr="009D6899" w:rsidRDefault="006844A7" w:rsidP="001D508A">
      <w:pPr>
        <w:pStyle w:val="Table"/>
      </w:pPr>
      <w:bookmarkStart w:id="249" w:name="_Toc408908619"/>
      <w:r w:rsidRPr="009D6899">
        <w:t>Safeguards for child defendants existing in more than 24 jurisdictions</w:t>
      </w:r>
      <w:bookmarkEnd w:id="249"/>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6844A7" w:rsidTr="004017DA">
        <w:tc>
          <w:tcPr>
            <w:tcW w:w="8220" w:type="dxa"/>
            <w:shd w:val="clear" w:color="auto" w:fill="auto"/>
          </w:tcPr>
          <w:p w:rsidR="006844A7" w:rsidRPr="002030DE" w:rsidRDefault="006844A7" w:rsidP="004017DA">
            <w:pPr>
              <w:pStyle w:val="TableTextNoSpace"/>
            </w:pPr>
            <w:r w:rsidRPr="009D6899">
              <w:t>Statutory provision on the right of children involved in judicial proceedings to the protection of personal data, especially in the context of processing, storing and transmitting court records (CivAdm085) (29 jurisdictions)</w:t>
            </w:r>
          </w:p>
        </w:tc>
      </w:tr>
      <w:tr w:rsidR="006844A7" w:rsidTr="004017DA">
        <w:tc>
          <w:tcPr>
            <w:tcW w:w="8220" w:type="dxa"/>
            <w:shd w:val="clear" w:color="auto" w:fill="auto"/>
          </w:tcPr>
          <w:p w:rsidR="006844A7" w:rsidRPr="002030DE" w:rsidRDefault="006844A7" w:rsidP="004017DA">
            <w:pPr>
              <w:pStyle w:val="TableTextNoSpace"/>
            </w:pPr>
            <w:r w:rsidRPr="002030DE">
              <w:t xml:space="preserve">Statutory provision on the right of children involved in judicial proceedings to free legal aid (CivAdm151) </w:t>
            </w:r>
            <w:r>
              <w:t>(29 jurisdictions)</w:t>
            </w:r>
          </w:p>
        </w:tc>
      </w:tr>
      <w:tr w:rsidR="006844A7" w:rsidTr="004017DA">
        <w:tc>
          <w:tcPr>
            <w:tcW w:w="8220" w:type="dxa"/>
            <w:shd w:val="clear" w:color="auto" w:fill="auto"/>
          </w:tcPr>
          <w:p w:rsidR="006844A7" w:rsidRPr="002030DE" w:rsidRDefault="006844A7" w:rsidP="004017DA">
            <w:pPr>
              <w:pStyle w:val="TableTextNoSpace"/>
            </w:pPr>
            <w:r w:rsidRPr="002030DE">
              <w:t>Legal obligation to appoint a guardian or advisor to represent unaccompanied and separated children, free of charge (CivAdm156) (29 jurisdictions)</w:t>
            </w:r>
          </w:p>
        </w:tc>
      </w:tr>
      <w:tr w:rsidR="006844A7" w:rsidTr="004017DA">
        <w:tc>
          <w:tcPr>
            <w:tcW w:w="8220" w:type="dxa"/>
            <w:shd w:val="clear" w:color="auto" w:fill="auto"/>
          </w:tcPr>
          <w:p w:rsidR="006844A7" w:rsidRPr="002030DE" w:rsidRDefault="006844A7" w:rsidP="004017DA">
            <w:pPr>
              <w:pStyle w:val="TableTextNoSpace"/>
            </w:pPr>
            <w:r w:rsidRPr="002030DE">
              <w:t>Existence of statutory provision on the right of the court to adopt precautionary and interim measures regarding children (CivAdm058) (28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Statutory provision for court to impose protective measures during court proceedings</w:t>
            </w:r>
            <w:r>
              <w:rPr>
                <w:rFonts w:cs="Arial"/>
                <w:szCs w:val="18"/>
              </w:rPr>
              <w:t xml:space="preserve"> </w:t>
            </w:r>
            <w:r w:rsidRPr="002030DE">
              <w:t>(CivAdm125a</w:t>
            </w:r>
            <w:r>
              <w:t>)</w:t>
            </w:r>
            <w:r w:rsidRPr="002030DE">
              <w:rPr>
                <w:rFonts w:cs="Arial"/>
                <w:szCs w:val="18"/>
              </w:rPr>
              <w:t xml:space="preserve"> </w:t>
            </w:r>
            <w:r w:rsidRPr="002030DE">
              <w:t>(28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Statutory provision on the appointment by the court of a guardian ad litem or special legal representative to represent child where there are potential conflicts of interest between child and parents</w:t>
            </w:r>
            <w:r w:rsidRPr="002030DE">
              <w:t xml:space="preserve"> (CivAdm154) (28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Mechanisms to permit the court or the child involved in judicial proceedings to take actions if there is a conflict of interests with his/her parents</w:t>
            </w:r>
            <w:r>
              <w:rPr>
                <w:rFonts w:cs="Arial"/>
                <w:szCs w:val="18"/>
              </w:rPr>
              <w:t xml:space="preserve"> </w:t>
            </w:r>
            <w:r w:rsidRPr="002030DE">
              <w:t>(CivAdm182</w:t>
            </w:r>
            <w:r>
              <w:t>)</w:t>
            </w:r>
            <w:r w:rsidRPr="002030DE">
              <w:t xml:space="preserve"> (28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 xml:space="preserve">Statutory provision allowing entities to file applications/initiate legal proceedings in child protection cases </w:t>
            </w:r>
            <w:r w:rsidRPr="002030DE">
              <w:t xml:space="preserve">(CivAdm057) </w:t>
            </w:r>
            <w:r w:rsidRPr="002030DE">
              <w:rPr>
                <w:rFonts w:cs="Arial"/>
                <w:szCs w:val="18"/>
              </w:rPr>
              <w:t>(27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Statutory provision on the right of children involved in judicial proceedings to privacy</w:t>
            </w:r>
            <w:r>
              <w:rPr>
                <w:rFonts w:cs="Arial"/>
                <w:szCs w:val="18"/>
              </w:rPr>
              <w:t xml:space="preserve"> </w:t>
            </w:r>
            <w:r w:rsidRPr="002030DE">
              <w:t>(CivAdm080a</w:t>
            </w:r>
            <w:r>
              <w:t>)</w:t>
            </w:r>
            <w:r w:rsidRPr="002030DE">
              <w:t xml:space="preserve"> (27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 xml:space="preserve">Procedures to </w:t>
            </w:r>
            <w:r w:rsidRPr="009D6899">
              <w:rPr>
                <w:rFonts w:cs="Arial"/>
                <w:szCs w:val="18"/>
              </w:rPr>
              <w:t>ensure that the records of children are kept strictly confidential and closed to third parties</w:t>
            </w:r>
            <w:r w:rsidRPr="009D6899">
              <w:t xml:space="preserve"> (CivAdm086a) (26 jurisdictions</w:t>
            </w:r>
            <w:r w:rsidRPr="002030DE">
              <w:t>)</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Statutory provision on the child's right to be heard, disaggregated by type of proceeding</w:t>
            </w:r>
            <w:r>
              <w:rPr>
                <w:rFonts w:cs="Arial"/>
                <w:szCs w:val="18"/>
              </w:rPr>
              <w:t xml:space="preserve"> </w:t>
            </w:r>
            <w:r w:rsidRPr="002030DE">
              <w:t>(CivAdm127</w:t>
            </w:r>
            <w:r>
              <w:t>)</w:t>
            </w:r>
            <w:r w:rsidRPr="002030DE">
              <w:rPr>
                <w:rFonts w:cs="Arial"/>
                <w:szCs w:val="18"/>
              </w:rPr>
              <w:t xml:space="preserve"> </w:t>
            </w:r>
            <w:r w:rsidRPr="002030DE">
              <w:t>(26 jurisdictions)</w:t>
            </w:r>
          </w:p>
        </w:tc>
      </w:tr>
      <w:tr w:rsidR="006844A7" w:rsidTr="004017DA">
        <w:tc>
          <w:tcPr>
            <w:tcW w:w="8220" w:type="dxa"/>
            <w:shd w:val="clear" w:color="auto" w:fill="auto"/>
          </w:tcPr>
          <w:p w:rsidR="006844A7" w:rsidRPr="002030DE" w:rsidRDefault="006844A7" w:rsidP="004017DA">
            <w:pPr>
              <w:pStyle w:val="TableTextNoSpace"/>
            </w:pPr>
            <w:r w:rsidRPr="002030DE">
              <w:rPr>
                <w:rFonts w:cs="Arial"/>
                <w:szCs w:val="18"/>
              </w:rPr>
              <w:t>Monitoring mechanisms at national level to systematically review domestic legislation, policies and practice related to judicial proceedings to ensure their compatibility with international standards of child-friendly justice</w:t>
            </w:r>
            <w:r>
              <w:rPr>
                <w:rFonts w:cs="Arial"/>
                <w:szCs w:val="18"/>
              </w:rPr>
              <w:t xml:space="preserve"> </w:t>
            </w:r>
            <w:r w:rsidRPr="002030DE">
              <w:t>(CivAdm044</w:t>
            </w:r>
            <w:r>
              <w:t>)</w:t>
            </w:r>
            <w:r w:rsidRPr="002030DE">
              <w:t xml:space="preserve"> (25 jurisdictions)</w:t>
            </w:r>
          </w:p>
        </w:tc>
      </w:tr>
    </w:tbl>
    <w:p w:rsidR="006844A7" w:rsidRDefault="006844A7" w:rsidP="00173CAC">
      <w:pPr>
        <w:pStyle w:val="Heading3"/>
        <w:numPr>
          <w:ilvl w:val="2"/>
          <w:numId w:val="31"/>
        </w:numPr>
      </w:pPr>
      <w:bookmarkStart w:id="250" w:name="_Toc408908748"/>
      <w:r>
        <w:t>Safeguards that are uncommon for child defendants</w:t>
      </w:r>
      <w:bookmarkEnd w:id="250"/>
    </w:p>
    <w:p w:rsidR="006844A7" w:rsidRPr="0085036F" w:rsidRDefault="006844A7" w:rsidP="004017DA">
      <w:pPr>
        <w:pStyle w:val="BodyText"/>
      </w:pPr>
      <w:r w:rsidRPr="0085036F">
        <w:t xml:space="preserve">Table </w:t>
      </w:r>
      <w:r>
        <w:t>5.4 identifies</w:t>
      </w:r>
      <w:r w:rsidRPr="0085036F">
        <w:t xml:space="preserve"> the</w:t>
      </w:r>
      <w:r>
        <w:t xml:space="preserve"> ten </w:t>
      </w:r>
      <w:r w:rsidRPr="0085036F">
        <w:t xml:space="preserve">safeguards that exist in less than </w:t>
      </w:r>
      <w:r>
        <w:t xml:space="preserve">six jurisdictions </w:t>
      </w:r>
      <w:r w:rsidRPr="0085036F">
        <w:t>for child</w:t>
      </w:r>
      <w:r>
        <w:t xml:space="preserve"> defendants</w:t>
      </w:r>
      <w:r w:rsidRPr="0085036F">
        <w:t>.</w:t>
      </w:r>
    </w:p>
    <w:p w:rsidR="006844A7" w:rsidRDefault="006844A7" w:rsidP="001D508A">
      <w:pPr>
        <w:pStyle w:val="Table"/>
      </w:pPr>
      <w:bookmarkStart w:id="251" w:name="_Toc408908620"/>
      <w:r>
        <w:t>Safeguards for child defendants existing in less than six jurisdictions</w:t>
      </w:r>
      <w:bookmarkEnd w:id="251"/>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6844A7" w:rsidTr="004017DA">
        <w:tc>
          <w:tcPr>
            <w:tcW w:w="8220" w:type="dxa"/>
            <w:shd w:val="clear" w:color="auto" w:fill="auto"/>
          </w:tcPr>
          <w:p w:rsidR="006844A7" w:rsidRPr="002030DE" w:rsidRDefault="006844A7" w:rsidP="004017DA">
            <w:pPr>
              <w:pStyle w:val="TableTextNoSpace"/>
            </w:pPr>
            <w:r w:rsidRPr="002030DE">
              <w:t>Statutory provision on the right of children to information in a manner that takes into account any special needs of the child about rights and procedures (CivAdm076b) (5 jurisdictions)</w:t>
            </w:r>
          </w:p>
        </w:tc>
      </w:tr>
      <w:tr w:rsidR="006844A7" w:rsidTr="004017DA">
        <w:tc>
          <w:tcPr>
            <w:tcW w:w="8220" w:type="dxa"/>
            <w:shd w:val="clear" w:color="auto" w:fill="auto"/>
          </w:tcPr>
          <w:p w:rsidR="006844A7" w:rsidRPr="009D6899" w:rsidRDefault="006844A7" w:rsidP="004017DA">
            <w:pPr>
              <w:pStyle w:val="TableTextNoSpace"/>
            </w:pPr>
            <w:r w:rsidRPr="009D6899">
              <w:t>Common assessment framework for all professionals working with or for children in civil and administrative proceedings (including lawyers, psychologists, physicians, immigration officials, social workers and mediators) (CivAdm101) (5 jurisdictions)</w:t>
            </w:r>
          </w:p>
        </w:tc>
      </w:tr>
      <w:tr w:rsidR="006844A7" w:rsidTr="004017DA">
        <w:tc>
          <w:tcPr>
            <w:tcW w:w="8220" w:type="dxa"/>
            <w:shd w:val="clear" w:color="auto" w:fill="auto"/>
          </w:tcPr>
          <w:p w:rsidR="006844A7" w:rsidRPr="009D6899" w:rsidRDefault="006844A7" w:rsidP="004017DA">
            <w:pPr>
              <w:pStyle w:val="TableTextNoSpace"/>
            </w:pPr>
            <w:r w:rsidRPr="009D6899">
              <w:t>Guidance or code of conduct for judicial authorities to ensure that the right to be heard of the child is respected (CivAdm128) (5 jurisdictions)</w:t>
            </w:r>
          </w:p>
        </w:tc>
      </w:tr>
      <w:tr w:rsidR="006844A7" w:rsidTr="004017DA">
        <w:tc>
          <w:tcPr>
            <w:tcW w:w="8220" w:type="dxa"/>
            <w:shd w:val="clear" w:color="auto" w:fill="auto"/>
          </w:tcPr>
          <w:p w:rsidR="006844A7" w:rsidRPr="009D6899" w:rsidRDefault="006844A7" w:rsidP="004017DA">
            <w:pPr>
              <w:pStyle w:val="TableTextNoSpace"/>
            </w:pPr>
            <w:r w:rsidRPr="009D6899">
              <w:t>Guidance or codes of conduct for judicial or other competent authorities (e.g. police, immigration, educational, social or healthcare services) to ensure that children receive information (CivAdm069) (4 jurisdictions)</w:t>
            </w:r>
          </w:p>
        </w:tc>
      </w:tr>
      <w:tr w:rsidR="006844A7" w:rsidTr="004017DA">
        <w:tc>
          <w:tcPr>
            <w:tcW w:w="8220" w:type="dxa"/>
            <w:shd w:val="clear" w:color="auto" w:fill="auto"/>
          </w:tcPr>
          <w:p w:rsidR="006844A7" w:rsidRPr="009D6899" w:rsidRDefault="006844A7" w:rsidP="004017DA">
            <w:pPr>
              <w:pStyle w:val="TableTextNoSpace"/>
            </w:pPr>
            <w:r w:rsidRPr="009D6899">
              <w:t>Guidance or code of conduct for lawyers, guardians ad litem or legal representatives on how to communicate a decision or judgement to a child involved in judicial proceedings in a manner adapted to the child's level of understanding (CivAdm189) (4 jurisdictions)</w:t>
            </w:r>
          </w:p>
        </w:tc>
      </w:tr>
      <w:tr w:rsidR="006844A7" w:rsidTr="004017DA">
        <w:tc>
          <w:tcPr>
            <w:tcW w:w="8220" w:type="dxa"/>
            <w:shd w:val="clear" w:color="auto" w:fill="auto"/>
          </w:tcPr>
          <w:p w:rsidR="006844A7" w:rsidRPr="009D6899" w:rsidRDefault="006844A7" w:rsidP="004017DA">
            <w:pPr>
              <w:pStyle w:val="TableTextNoSpace"/>
            </w:pPr>
            <w:r w:rsidRPr="009D6899">
              <w:t>Guidelines for judicial authorities on the types of cases involving children where decisions should be made directly or immediately enforceable (CivAdm193) (2 jurisdictions)</w:t>
            </w:r>
          </w:p>
        </w:tc>
      </w:tr>
      <w:tr w:rsidR="006844A7" w:rsidTr="004017DA">
        <w:tc>
          <w:tcPr>
            <w:tcW w:w="8220" w:type="dxa"/>
            <w:shd w:val="clear" w:color="auto" w:fill="auto"/>
          </w:tcPr>
          <w:p w:rsidR="006844A7" w:rsidRPr="009D6899" w:rsidRDefault="006844A7" w:rsidP="004017DA">
            <w:pPr>
              <w:pStyle w:val="TableTextNoSpace"/>
            </w:pPr>
            <w:r w:rsidRPr="009D6899">
              <w:t>Statutory provision on the right of the child to appeal an administrative decision to restrict their liberty (CivAdm168) (1 jurisdiction)</w:t>
            </w:r>
          </w:p>
        </w:tc>
      </w:tr>
      <w:tr w:rsidR="006844A7" w:rsidTr="004017DA">
        <w:tc>
          <w:tcPr>
            <w:tcW w:w="8220" w:type="dxa"/>
            <w:shd w:val="clear" w:color="auto" w:fill="auto"/>
          </w:tcPr>
          <w:p w:rsidR="006844A7" w:rsidRPr="009D6899" w:rsidRDefault="006844A7" w:rsidP="004017DA">
            <w:pPr>
              <w:pStyle w:val="TableTextNoSpace"/>
            </w:pPr>
            <w:r w:rsidRPr="009D6899">
              <w:t>Independent system for monitoring the appropriate use of detention (CivAdm169) (1 jurisdiction)</w:t>
            </w:r>
          </w:p>
        </w:tc>
      </w:tr>
      <w:tr w:rsidR="006844A7" w:rsidTr="004017DA">
        <w:tc>
          <w:tcPr>
            <w:tcW w:w="8220" w:type="dxa"/>
            <w:shd w:val="clear" w:color="auto" w:fill="auto"/>
          </w:tcPr>
          <w:p w:rsidR="006844A7" w:rsidRPr="009D6899" w:rsidRDefault="006844A7" w:rsidP="004017DA">
            <w:pPr>
              <w:pStyle w:val="TableTextNoSpace"/>
            </w:pPr>
            <w:r w:rsidRPr="009D6899">
              <w:t>Statutory provision on the use by judicial authorities of restriction of liberty or detention as a measure of last resort (CivAdm171a) (1 jurisdiction)</w:t>
            </w:r>
          </w:p>
        </w:tc>
      </w:tr>
      <w:tr w:rsidR="006844A7" w:rsidTr="004017DA">
        <w:tc>
          <w:tcPr>
            <w:tcW w:w="8220" w:type="dxa"/>
            <w:shd w:val="clear" w:color="auto" w:fill="auto"/>
          </w:tcPr>
          <w:p w:rsidR="006844A7" w:rsidRPr="009D6899" w:rsidRDefault="006844A7" w:rsidP="004017DA">
            <w:pPr>
              <w:pStyle w:val="TableTextNoSpace"/>
            </w:pPr>
            <w:r w:rsidRPr="009D6899">
              <w:t>Statutory provision on the use by judicial authorities of restriction of liberty or detention for the shortest possible amount of time (CivAdm171b) (1 jurisdiction)</w:t>
            </w:r>
          </w:p>
        </w:tc>
      </w:tr>
    </w:tbl>
    <w:p w:rsidR="00A856E4" w:rsidRDefault="00A856E4" w:rsidP="00173CAC">
      <w:pPr>
        <w:pStyle w:val="Heading3"/>
        <w:numPr>
          <w:ilvl w:val="2"/>
          <w:numId w:val="31"/>
        </w:numPr>
      </w:pPr>
      <w:bookmarkStart w:id="252" w:name="_Toc408908749"/>
      <w:r>
        <w:t>Safeguards that are most prevalent for child witnesses</w:t>
      </w:r>
      <w:bookmarkEnd w:id="252"/>
    </w:p>
    <w:p w:rsidR="004017DA" w:rsidRPr="0085036F" w:rsidRDefault="00A856E4" w:rsidP="00CC1B18">
      <w:pPr>
        <w:pStyle w:val="BodyText"/>
      </w:pPr>
      <w:r>
        <w:t>Table 5.5</w:t>
      </w:r>
      <w:r w:rsidRPr="0085036F">
        <w:t xml:space="preserve"> identifies the</w:t>
      </w:r>
      <w:r>
        <w:t xml:space="preserve"> five </w:t>
      </w:r>
      <w:r w:rsidRPr="0085036F">
        <w:t>safeguards that</w:t>
      </w:r>
      <w:r>
        <w:t xml:space="preserve"> exist in more than 24</w:t>
      </w:r>
      <w:r w:rsidRPr="0085036F">
        <w:t xml:space="preserve"> </w:t>
      </w:r>
      <w:r>
        <w:t>jurisdictions</w:t>
      </w:r>
      <w:r w:rsidRPr="0085036F">
        <w:t xml:space="preserve"> for child </w:t>
      </w:r>
      <w:r>
        <w:t>witnesses</w:t>
      </w:r>
      <w:r w:rsidRPr="0085036F">
        <w:t>.</w:t>
      </w:r>
    </w:p>
    <w:p w:rsidR="00A856E4" w:rsidRDefault="00A856E4" w:rsidP="001D508A">
      <w:pPr>
        <w:pStyle w:val="Table"/>
      </w:pPr>
      <w:bookmarkStart w:id="253" w:name="_Toc408908621"/>
      <w:r>
        <w:t>Safeguards for child witnesses existing in more than 24 jurisdictions</w:t>
      </w:r>
      <w:bookmarkEnd w:id="253"/>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A856E4" w:rsidTr="004017DA">
        <w:tc>
          <w:tcPr>
            <w:tcW w:w="8220" w:type="dxa"/>
            <w:shd w:val="clear" w:color="auto" w:fill="auto"/>
          </w:tcPr>
          <w:p w:rsidR="00A856E4" w:rsidRPr="009D6899" w:rsidRDefault="00A856E4" w:rsidP="004017DA">
            <w:pPr>
              <w:pStyle w:val="TableTextNoSpace"/>
            </w:pPr>
            <w:r w:rsidRPr="009D6899">
              <w:t>Statutory provision on the right of children involved in judicial proceedings to the protection of personal data, especially in the context of processing, storing and transmitting court records (CivAdm085) (29 jurisdictions)</w:t>
            </w:r>
          </w:p>
        </w:tc>
      </w:tr>
      <w:tr w:rsidR="00A856E4" w:rsidTr="004017DA">
        <w:tc>
          <w:tcPr>
            <w:tcW w:w="8220" w:type="dxa"/>
            <w:shd w:val="clear" w:color="auto" w:fill="auto"/>
          </w:tcPr>
          <w:p w:rsidR="00A856E4" w:rsidRPr="009D6899" w:rsidRDefault="00A856E4" w:rsidP="004017DA">
            <w:pPr>
              <w:pStyle w:val="TableTextNoSpace"/>
            </w:pPr>
            <w:r w:rsidRPr="009D6899">
              <w:t>Statutory provision allowing entities to file applications/initiate legal proceedings in child protection cases (CivAdm057) (27 jurisdictions)</w:t>
            </w:r>
          </w:p>
        </w:tc>
      </w:tr>
      <w:tr w:rsidR="00A856E4" w:rsidTr="004017DA">
        <w:tc>
          <w:tcPr>
            <w:tcW w:w="8220" w:type="dxa"/>
            <w:shd w:val="clear" w:color="auto" w:fill="auto"/>
          </w:tcPr>
          <w:p w:rsidR="00A856E4" w:rsidRPr="009D6899" w:rsidRDefault="00A856E4" w:rsidP="004017DA">
            <w:pPr>
              <w:pStyle w:val="TableTextNoSpace"/>
            </w:pPr>
            <w:r w:rsidRPr="009D6899">
              <w:t>Statutory provision on the right of children involved in judicial proceedings to privacy (CivAdm080a) (27 jurisdictions)</w:t>
            </w:r>
          </w:p>
        </w:tc>
      </w:tr>
      <w:tr w:rsidR="00A856E4" w:rsidTr="004017DA">
        <w:tc>
          <w:tcPr>
            <w:tcW w:w="8220" w:type="dxa"/>
            <w:shd w:val="clear" w:color="auto" w:fill="auto"/>
          </w:tcPr>
          <w:p w:rsidR="00A856E4" w:rsidRPr="009D6899" w:rsidRDefault="00A856E4" w:rsidP="004017DA">
            <w:pPr>
              <w:pStyle w:val="TableTextNoSpace"/>
            </w:pPr>
            <w:r w:rsidRPr="009D6899">
              <w:t>Procedures to ensure that the records of children are kept strictly confidential and closed to third parties (CivAdm086a) (26 jurisdictions)</w:t>
            </w:r>
          </w:p>
        </w:tc>
      </w:tr>
      <w:tr w:rsidR="00A856E4" w:rsidTr="004017DA">
        <w:tc>
          <w:tcPr>
            <w:tcW w:w="8220" w:type="dxa"/>
            <w:shd w:val="clear" w:color="auto" w:fill="auto"/>
          </w:tcPr>
          <w:p w:rsidR="00A856E4" w:rsidRPr="002030DE" w:rsidRDefault="00A856E4" w:rsidP="004017DA">
            <w:pPr>
              <w:pStyle w:val="TableTextNoSpace"/>
            </w:pPr>
            <w:r w:rsidRPr="002030DE">
              <w:t>Monitoring mechanisms at national level to systematically review domestic legislation, policies and practice related to judicial proceedings to ensure their compatibility with international stan</w:t>
            </w:r>
            <w:r>
              <w:t xml:space="preserve">dards of child-friendly justice </w:t>
            </w:r>
            <w:r w:rsidRPr="002030DE">
              <w:t>(CivAdm044) (25 jurisdictions)</w:t>
            </w:r>
          </w:p>
        </w:tc>
      </w:tr>
    </w:tbl>
    <w:p w:rsidR="00A856E4" w:rsidRDefault="00A856E4" w:rsidP="00173CAC">
      <w:pPr>
        <w:pStyle w:val="Heading3"/>
        <w:numPr>
          <w:ilvl w:val="2"/>
          <w:numId w:val="31"/>
        </w:numPr>
      </w:pPr>
      <w:bookmarkStart w:id="254" w:name="_Toc408908750"/>
      <w:r>
        <w:t>Safeguards that are uncommon for child witnesses</w:t>
      </w:r>
      <w:bookmarkEnd w:id="254"/>
    </w:p>
    <w:p w:rsidR="00A856E4" w:rsidRPr="0085036F" w:rsidRDefault="00A856E4" w:rsidP="004017DA">
      <w:pPr>
        <w:pStyle w:val="BodyText"/>
      </w:pPr>
      <w:r w:rsidRPr="0085036F">
        <w:t xml:space="preserve">Table </w:t>
      </w:r>
      <w:r>
        <w:t>5.6 identifies</w:t>
      </w:r>
      <w:r w:rsidRPr="0085036F">
        <w:t xml:space="preserve"> the</w:t>
      </w:r>
      <w:r>
        <w:t xml:space="preserve"> 25 </w:t>
      </w:r>
      <w:r w:rsidRPr="0085036F">
        <w:t xml:space="preserve">safeguards that exist in less than </w:t>
      </w:r>
      <w:r>
        <w:t>six</w:t>
      </w:r>
      <w:r w:rsidRPr="0085036F">
        <w:t xml:space="preserve"> </w:t>
      </w:r>
      <w:r>
        <w:t xml:space="preserve">jurisdictions </w:t>
      </w:r>
      <w:r w:rsidRPr="0085036F">
        <w:t>for child</w:t>
      </w:r>
      <w:r>
        <w:t xml:space="preserve"> witnesses</w:t>
      </w:r>
      <w:r w:rsidRPr="0085036F">
        <w:t>.</w:t>
      </w:r>
    </w:p>
    <w:p w:rsidR="00A856E4" w:rsidRDefault="00A856E4" w:rsidP="001D508A">
      <w:pPr>
        <w:pStyle w:val="Table"/>
      </w:pPr>
      <w:bookmarkStart w:id="255" w:name="_Toc408908622"/>
      <w:r>
        <w:t>Safeguards for child witnesses existing in less than six jurisdictions</w:t>
      </w:r>
      <w:bookmarkEnd w:id="255"/>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A856E4" w:rsidTr="004017DA">
        <w:tc>
          <w:tcPr>
            <w:tcW w:w="8220" w:type="dxa"/>
            <w:shd w:val="clear" w:color="auto" w:fill="auto"/>
          </w:tcPr>
          <w:p w:rsidR="00A856E4" w:rsidRPr="002030DE" w:rsidRDefault="00A856E4" w:rsidP="004017DA">
            <w:pPr>
              <w:pStyle w:val="TableTextNoSpace"/>
            </w:pPr>
            <w:r w:rsidRPr="002030DE">
              <w:t>Common assessment framework for all professionals working with or for children in civil and administrative proceedings (including lawyers, psychologists, physicians, immigration officials</w:t>
            </w:r>
            <w:r>
              <w:t>, social workers and mediators</w:t>
            </w:r>
            <w:r w:rsidRPr="00A856E4">
              <w:t>) (CivAdm101) (5 jurisdictions</w:t>
            </w:r>
            <w:r>
              <w:t>)</w:t>
            </w:r>
          </w:p>
        </w:tc>
      </w:tr>
      <w:tr w:rsidR="00A856E4" w:rsidTr="004017DA">
        <w:tc>
          <w:tcPr>
            <w:tcW w:w="8220" w:type="dxa"/>
            <w:shd w:val="clear" w:color="auto" w:fill="auto"/>
          </w:tcPr>
          <w:p w:rsidR="00A856E4" w:rsidRPr="002030DE" w:rsidRDefault="00A856E4" w:rsidP="004017DA">
            <w:pPr>
              <w:pStyle w:val="TableTextNoSpace"/>
            </w:pPr>
            <w:r w:rsidRPr="002030DE">
              <w:t>Guidance for judicial authorities on avoiding undue delay of judicial proceedings affecting children (CivAdm106) (5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on the right of children to be heard while accessing and during the ADR</w:t>
            </w:r>
            <w:r>
              <w:t xml:space="preserve"> </w:t>
            </w:r>
            <w:r w:rsidRPr="002030DE">
              <w:t>(CivAdm160</w:t>
            </w:r>
            <w:r>
              <w:t>)</w:t>
            </w:r>
            <w:r w:rsidRPr="002030DE">
              <w:t xml:space="preserve"> (5 jurisdictions)</w:t>
            </w:r>
          </w:p>
        </w:tc>
      </w:tr>
      <w:tr w:rsidR="00A856E4" w:rsidTr="004017DA">
        <w:tc>
          <w:tcPr>
            <w:tcW w:w="8220" w:type="dxa"/>
            <w:shd w:val="clear" w:color="auto" w:fill="auto"/>
          </w:tcPr>
          <w:p w:rsidR="00A856E4" w:rsidRPr="002030DE" w:rsidRDefault="00A856E4" w:rsidP="004017DA">
            <w:pPr>
              <w:pStyle w:val="TableTextNoSpace"/>
            </w:pPr>
            <w:r w:rsidRPr="002030DE">
              <w:t>Support to enable child involved in judicial proceedings to access remedies or compensation for violation of rights/failure to act (CivAdm180) (5 jurisdictions)</w:t>
            </w:r>
          </w:p>
        </w:tc>
      </w:tr>
      <w:tr w:rsidR="00A856E4" w:rsidTr="004017DA">
        <w:tc>
          <w:tcPr>
            <w:tcW w:w="8220" w:type="dxa"/>
            <w:shd w:val="clear" w:color="auto" w:fill="auto"/>
          </w:tcPr>
          <w:p w:rsidR="00A856E4" w:rsidRPr="002030DE" w:rsidRDefault="00A856E4" w:rsidP="004017DA">
            <w:pPr>
              <w:pStyle w:val="TableTextNoSpace"/>
            </w:pPr>
            <w:r w:rsidRPr="002030DE">
              <w:t>Guidelines to protect children from harmful images during judicial proceedings (CivAdm123) (4 jurisdictions)</w:t>
            </w:r>
          </w:p>
        </w:tc>
      </w:tr>
      <w:tr w:rsidR="00A856E4" w:rsidTr="004017DA">
        <w:tc>
          <w:tcPr>
            <w:tcW w:w="8220" w:type="dxa"/>
            <w:shd w:val="clear" w:color="auto" w:fill="auto"/>
          </w:tcPr>
          <w:p w:rsidR="00A856E4" w:rsidRPr="002030DE" w:rsidRDefault="00A856E4" w:rsidP="004017DA">
            <w:pPr>
              <w:pStyle w:val="TableTextNoSpace"/>
            </w:pPr>
            <w:r w:rsidRPr="002030DE">
              <w:t>Guidance for lawyers who represent children to ensure they treat the child as a fully-fledged client, whose opinions are brought forward</w:t>
            </w:r>
            <w:r>
              <w:t xml:space="preserve"> </w:t>
            </w:r>
            <w:r w:rsidRPr="002030DE">
              <w:t>(CivAdm153) (4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on the right of a child to have recourse to Alte</w:t>
            </w:r>
            <w:r>
              <w:t>rnative Dispute Resolution (ADR)</w:t>
            </w:r>
            <w:r w:rsidRPr="002030DE">
              <w:t xml:space="preserve"> (CivAdm157</w:t>
            </w:r>
            <w:r>
              <w:t>)</w:t>
            </w:r>
            <w:r w:rsidRPr="002030DE">
              <w:t xml:space="preserve"> (4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basis for a child involved in judicial proceedings to appeal against a court's decision in his/her own right (CivAdm173) (4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provision for judicial authorities to make decisions which concern children directly or immediately enforceable (CivAdm192) (4 jurisdictions)</w:t>
            </w:r>
          </w:p>
        </w:tc>
      </w:tr>
      <w:tr w:rsidR="00A856E4" w:rsidTr="004017DA">
        <w:tc>
          <w:tcPr>
            <w:tcW w:w="8220" w:type="dxa"/>
            <w:shd w:val="clear" w:color="auto" w:fill="auto"/>
          </w:tcPr>
          <w:p w:rsidR="00A856E4" w:rsidRPr="00A856E4" w:rsidRDefault="00A856E4" w:rsidP="004017DA">
            <w:pPr>
              <w:pStyle w:val="TableTextNoSpace"/>
            </w:pPr>
            <w:r w:rsidRPr="00A856E4">
              <w:t>Mechanism or body to monitor the implementation of the urgency principle in respect of judicial proceedings involving children (CivAdm108) (3 jurisdictions)</w:t>
            </w:r>
          </w:p>
        </w:tc>
      </w:tr>
      <w:tr w:rsidR="00A856E4" w:rsidTr="004017DA">
        <w:tc>
          <w:tcPr>
            <w:tcW w:w="8220" w:type="dxa"/>
            <w:shd w:val="clear" w:color="auto" w:fill="auto"/>
          </w:tcPr>
          <w:p w:rsidR="00A856E4" w:rsidRPr="002030DE" w:rsidRDefault="00A856E4" w:rsidP="004017DA">
            <w:pPr>
              <w:pStyle w:val="TableTextNoSpace"/>
            </w:pPr>
            <w:r w:rsidRPr="002030DE">
              <w:t>Guidance or code of conduct for judicial authorities to ensure that the right to be heard of the child is respected. (CivAdm128) (3 jurisdictions)</w:t>
            </w:r>
          </w:p>
        </w:tc>
      </w:tr>
      <w:tr w:rsidR="00A856E4" w:rsidTr="004017DA">
        <w:tc>
          <w:tcPr>
            <w:tcW w:w="8220" w:type="dxa"/>
            <w:shd w:val="clear" w:color="auto" w:fill="auto"/>
          </w:tcPr>
          <w:p w:rsidR="00A856E4" w:rsidRPr="00A856E4" w:rsidRDefault="00A856E4" w:rsidP="004017DA">
            <w:pPr>
              <w:pStyle w:val="TableTextNoSpace"/>
            </w:pPr>
            <w:r w:rsidRPr="00A856E4">
              <w:t>Mechanism to monitor the appointment and quality of service provided by guardians ad litem to children involved in judicial proceeding (CivAdm155) (3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provision on the right of children to obtain legal advice and other assistance in determining the appropriateness and desirability of using alternatives to judicial proceedings (CivAdm166) (3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provision allowing a child care authority to appeal against certain court decisions involving children (CivAdm177) (3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provision on the use of force to implement a judgement as a measure of last resort in family cases when children are involved (CivAdm195) (3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that the information should be provided at first contact with the judicial system or other competent authorities (e.g. police, immigration, educational,</w:t>
            </w:r>
            <w:r>
              <w:t xml:space="preserve"> social or healthcare services)</w:t>
            </w:r>
            <w:r w:rsidRPr="002030DE">
              <w:t xml:space="preserve"> (CivAdm068b</w:t>
            </w:r>
            <w:r>
              <w:t>)</w:t>
            </w:r>
            <w:r w:rsidRPr="002030DE">
              <w:t xml:space="preserve"> (2 jurisdictions)</w:t>
            </w:r>
          </w:p>
        </w:tc>
      </w:tr>
      <w:tr w:rsidR="00A856E4" w:rsidTr="004017DA">
        <w:tc>
          <w:tcPr>
            <w:tcW w:w="8220" w:type="dxa"/>
            <w:shd w:val="clear" w:color="auto" w:fill="auto"/>
          </w:tcPr>
          <w:p w:rsidR="00A856E4" w:rsidRPr="002030DE" w:rsidRDefault="00A856E4" w:rsidP="004017DA">
            <w:pPr>
              <w:pStyle w:val="TableTextNoSpace"/>
            </w:pPr>
            <w:r w:rsidRPr="002030DE">
              <w:t>Guidance or codes of conduct for judicial or other competent authorities (e.g. police, immigration, educational, social or healthcare services) to ensure that children receive informatio</w:t>
            </w:r>
            <w:r w:rsidRPr="00A856E4">
              <w:t>n (CivAdm069)  (2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on the right of children to information in a child-friendly format about rights and procedures</w:t>
            </w:r>
            <w:r>
              <w:t xml:space="preserve"> </w:t>
            </w:r>
            <w:r w:rsidRPr="002030DE">
              <w:t>(CivAdm076a) (2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on the right of children to information in a manner that takes into account any special needs of the child about rights and procedures (CivAdm076b) (2 jurisdictions)</w:t>
            </w:r>
          </w:p>
        </w:tc>
      </w:tr>
      <w:tr w:rsidR="00A856E4" w:rsidTr="004017DA">
        <w:tc>
          <w:tcPr>
            <w:tcW w:w="8220" w:type="dxa"/>
            <w:shd w:val="clear" w:color="auto" w:fill="auto"/>
          </w:tcPr>
          <w:p w:rsidR="00A856E4" w:rsidRPr="002030DE" w:rsidRDefault="00A856E4" w:rsidP="004017DA">
            <w:pPr>
              <w:pStyle w:val="TableTextNoSpace"/>
            </w:pPr>
            <w:r w:rsidRPr="002030DE">
              <w:t>Mechanism for the competent authorities to inform children about the possibility of having recourse to ADR</w:t>
            </w:r>
            <w:r>
              <w:t xml:space="preserve"> </w:t>
            </w:r>
            <w:r w:rsidRPr="002030DE">
              <w:t>(CivAdm161</w:t>
            </w:r>
            <w:r>
              <w:t>)</w:t>
            </w:r>
            <w:r w:rsidRPr="002030DE">
              <w:t xml:space="preserve"> (2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on the right to legal redress when children feel their rights have been violated in the ADR procedure (CivAdm164) (2 jurisdictions)</w:t>
            </w:r>
          </w:p>
        </w:tc>
      </w:tr>
      <w:tr w:rsidR="00A856E4" w:rsidTr="004017DA">
        <w:tc>
          <w:tcPr>
            <w:tcW w:w="8220" w:type="dxa"/>
            <w:shd w:val="clear" w:color="auto" w:fill="auto"/>
          </w:tcPr>
          <w:p w:rsidR="00A856E4" w:rsidRPr="002030DE" w:rsidRDefault="00A856E4" w:rsidP="004017DA">
            <w:pPr>
              <w:pStyle w:val="TableTextNoSpace"/>
            </w:pPr>
            <w:r w:rsidRPr="002030DE">
              <w:t>Legal obligation to communicate a decision or judgement in a manner adapted to the child's level of understanding</w:t>
            </w:r>
            <w:r>
              <w:t xml:space="preserve"> </w:t>
            </w:r>
            <w:r w:rsidRPr="002030DE">
              <w:t>(CivAdm188b) (2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conditions attached to representation of the child by a legal representative or guardian (e.g. signed written consent by the child) (CivAdm049) (1 jurisdiction)</w:t>
            </w:r>
          </w:p>
        </w:tc>
      </w:tr>
      <w:tr w:rsidR="00A856E4" w:rsidTr="004017DA">
        <w:tc>
          <w:tcPr>
            <w:tcW w:w="8220" w:type="dxa"/>
            <w:shd w:val="clear" w:color="auto" w:fill="auto"/>
          </w:tcPr>
          <w:p w:rsidR="00A856E4" w:rsidRPr="00A856E4" w:rsidRDefault="00A856E4" w:rsidP="004017DA">
            <w:pPr>
              <w:pStyle w:val="TableTextNoSpace"/>
            </w:pPr>
            <w:r w:rsidRPr="00A856E4">
              <w:t>Guidance or code of conduct for lawyers, guardians ad litem or legal representatives on how to communicate a decision or judgement to a child involved in judicial proceedings in a manner adapted to the child's level of understanding (CivAdm189). (1 jurisdiction)</w:t>
            </w:r>
          </w:p>
        </w:tc>
      </w:tr>
      <w:tr w:rsidR="00A856E4" w:rsidTr="004017DA">
        <w:tc>
          <w:tcPr>
            <w:tcW w:w="8220" w:type="dxa"/>
            <w:shd w:val="clear" w:color="auto" w:fill="auto"/>
          </w:tcPr>
          <w:p w:rsidR="00A856E4" w:rsidRPr="00A856E4" w:rsidRDefault="00A856E4" w:rsidP="004017DA">
            <w:pPr>
              <w:pStyle w:val="TableTextNoSpace"/>
            </w:pPr>
            <w:r w:rsidRPr="00A856E4">
              <w:t>Guidelines for judicial authorities on the types of cases involving children where decisions should be made directly or immediately enforceable (CivAdm193) (1 jurisdiction)</w:t>
            </w:r>
          </w:p>
        </w:tc>
      </w:tr>
    </w:tbl>
    <w:p w:rsidR="00A856E4" w:rsidRDefault="00A856E4" w:rsidP="00173CAC">
      <w:pPr>
        <w:pStyle w:val="Heading3"/>
        <w:numPr>
          <w:ilvl w:val="2"/>
          <w:numId w:val="31"/>
        </w:numPr>
      </w:pPr>
      <w:bookmarkStart w:id="256" w:name="_Toc408908751"/>
      <w:r>
        <w:t>Safeguards that are most prevalent for child subjects</w:t>
      </w:r>
      <w:bookmarkEnd w:id="256"/>
    </w:p>
    <w:p w:rsidR="00A856E4" w:rsidRPr="0085036F" w:rsidRDefault="00A856E4" w:rsidP="004017DA">
      <w:pPr>
        <w:pStyle w:val="BodyText"/>
      </w:pPr>
      <w:r>
        <w:t>Table 5.7</w:t>
      </w:r>
      <w:r w:rsidRPr="0085036F">
        <w:t xml:space="preserve"> identifies the</w:t>
      </w:r>
      <w:r>
        <w:t xml:space="preserve"> two </w:t>
      </w:r>
      <w:r w:rsidRPr="0085036F">
        <w:t>safeguards that</w:t>
      </w:r>
      <w:r>
        <w:t xml:space="preserve"> exist in more than 24</w:t>
      </w:r>
      <w:r w:rsidRPr="0085036F">
        <w:t xml:space="preserve"> </w:t>
      </w:r>
      <w:r>
        <w:t>jurisdictions</w:t>
      </w:r>
      <w:r w:rsidRPr="0085036F">
        <w:t xml:space="preserve"> for child </w:t>
      </w:r>
      <w:r>
        <w:t>subjects</w:t>
      </w:r>
      <w:r w:rsidRPr="0085036F">
        <w:t>.</w:t>
      </w:r>
    </w:p>
    <w:p w:rsidR="00A856E4" w:rsidRDefault="00A856E4" w:rsidP="001D508A">
      <w:pPr>
        <w:pStyle w:val="Table"/>
      </w:pPr>
      <w:bookmarkStart w:id="257" w:name="_Toc408908623"/>
      <w:r>
        <w:t>Safeguards for child subjects existing in more than 24 jurisdictions</w:t>
      </w:r>
      <w:bookmarkEnd w:id="257"/>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A856E4" w:rsidTr="004017DA">
        <w:tc>
          <w:tcPr>
            <w:tcW w:w="8220" w:type="dxa"/>
            <w:shd w:val="clear" w:color="auto" w:fill="auto"/>
          </w:tcPr>
          <w:p w:rsidR="00A856E4" w:rsidRDefault="00A856E4" w:rsidP="004017DA">
            <w:pPr>
              <w:pStyle w:val="TableTextNoSpace"/>
            </w:pPr>
            <w:r>
              <w:t>S</w:t>
            </w:r>
            <w:r w:rsidRPr="00E54853">
              <w:t>tatutory provision allowing entities to file applications/initiate legal proceedings in child protection cases</w:t>
            </w:r>
            <w:r>
              <w:t xml:space="preserve"> (CivAdm057) (27 jurisdictions)</w:t>
            </w:r>
          </w:p>
        </w:tc>
      </w:tr>
      <w:tr w:rsidR="00A856E4" w:rsidTr="004017DA">
        <w:tc>
          <w:tcPr>
            <w:tcW w:w="8220" w:type="dxa"/>
            <w:shd w:val="clear" w:color="auto" w:fill="auto"/>
          </w:tcPr>
          <w:p w:rsidR="00A856E4" w:rsidRPr="00F204A3" w:rsidRDefault="00A856E4" w:rsidP="004017DA">
            <w:pPr>
              <w:pStyle w:val="TableTextNoSpace"/>
            </w:pPr>
            <w:r>
              <w:t>S</w:t>
            </w:r>
            <w:r w:rsidRPr="00E54853">
              <w:t>tatutory provision for court</w:t>
            </w:r>
            <w:r>
              <w:t>s</w:t>
            </w:r>
            <w:r w:rsidRPr="00E54853">
              <w:t xml:space="preserve"> to impose protective me</w:t>
            </w:r>
            <w:r>
              <w:t>asures during court proceedings (CivAdm125a) (25 jurisdictions)</w:t>
            </w:r>
          </w:p>
        </w:tc>
      </w:tr>
    </w:tbl>
    <w:p w:rsidR="00A856E4" w:rsidRDefault="00A856E4" w:rsidP="00173CAC">
      <w:pPr>
        <w:pStyle w:val="Heading3"/>
        <w:numPr>
          <w:ilvl w:val="2"/>
          <w:numId w:val="31"/>
        </w:numPr>
      </w:pPr>
      <w:bookmarkStart w:id="258" w:name="_Toc408908752"/>
      <w:r>
        <w:t>Safeguards that are uncommon for child subjects</w:t>
      </w:r>
      <w:bookmarkEnd w:id="258"/>
    </w:p>
    <w:p w:rsidR="00A856E4" w:rsidRPr="0085036F" w:rsidRDefault="00A856E4" w:rsidP="004017DA">
      <w:pPr>
        <w:pStyle w:val="BodyText"/>
      </w:pPr>
      <w:r w:rsidRPr="0085036F">
        <w:t xml:space="preserve">Table </w:t>
      </w:r>
      <w:r>
        <w:t>5.8 identifies</w:t>
      </w:r>
      <w:r w:rsidRPr="0085036F">
        <w:t xml:space="preserve"> the</w:t>
      </w:r>
      <w:r>
        <w:t xml:space="preserve"> 13 </w:t>
      </w:r>
      <w:r w:rsidRPr="0085036F">
        <w:t xml:space="preserve">safeguards that exist in less than </w:t>
      </w:r>
      <w:r>
        <w:t>six</w:t>
      </w:r>
      <w:r w:rsidRPr="0085036F">
        <w:t xml:space="preserve"> </w:t>
      </w:r>
      <w:r>
        <w:t xml:space="preserve">jurisdictions </w:t>
      </w:r>
      <w:r w:rsidRPr="0085036F">
        <w:t>for child</w:t>
      </w:r>
      <w:r>
        <w:t xml:space="preserve"> subjects</w:t>
      </w:r>
      <w:r w:rsidRPr="0085036F">
        <w:t>.</w:t>
      </w:r>
    </w:p>
    <w:p w:rsidR="00A856E4" w:rsidRDefault="00A856E4" w:rsidP="001D508A">
      <w:pPr>
        <w:pStyle w:val="Table"/>
      </w:pPr>
      <w:bookmarkStart w:id="259" w:name="_Toc408908624"/>
      <w:r>
        <w:t>Safeguards for child subjects existing in less than six jurisdictions</w:t>
      </w:r>
      <w:bookmarkEnd w:id="259"/>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A856E4" w:rsidTr="004017DA">
        <w:tc>
          <w:tcPr>
            <w:tcW w:w="8220" w:type="dxa"/>
            <w:shd w:val="clear" w:color="auto" w:fill="auto"/>
          </w:tcPr>
          <w:p w:rsidR="00A856E4" w:rsidRPr="002030DE" w:rsidRDefault="00A856E4" w:rsidP="004017DA">
            <w:pPr>
              <w:pStyle w:val="TableTextNoSpace"/>
            </w:pPr>
            <w:r w:rsidRPr="002030DE">
              <w:t>Statutory provision on the right of children to information in a child-friendly format about rights and procedures</w:t>
            </w:r>
            <w:r>
              <w:t xml:space="preserve"> </w:t>
            </w:r>
            <w:r w:rsidRPr="002030DE">
              <w:t>(CivAdm076a) (5 jurisdictions)</w:t>
            </w:r>
          </w:p>
        </w:tc>
      </w:tr>
      <w:tr w:rsidR="00A856E4" w:rsidTr="004017DA">
        <w:tc>
          <w:tcPr>
            <w:tcW w:w="8220" w:type="dxa"/>
            <w:shd w:val="clear" w:color="auto" w:fill="auto"/>
          </w:tcPr>
          <w:p w:rsidR="00A856E4" w:rsidRPr="002030DE" w:rsidRDefault="00A856E4" w:rsidP="004017DA">
            <w:pPr>
              <w:pStyle w:val="TableTextNoSpace"/>
            </w:pPr>
            <w:r w:rsidRPr="002030DE">
              <w:t>Statutory provision on the right of children to information in a manner that takes into account any special needs of the child about rights and procedures</w:t>
            </w:r>
            <w:r>
              <w:t xml:space="preserve"> </w:t>
            </w:r>
            <w:r w:rsidRPr="002030DE">
              <w:t>(CivAdm076b) (5 jurisdictions)</w:t>
            </w:r>
          </w:p>
        </w:tc>
      </w:tr>
      <w:tr w:rsidR="00A856E4" w:rsidTr="004017DA">
        <w:tc>
          <w:tcPr>
            <w:tcW w:w="8220" w:type="dxa"/>
            <w:shd w:val="clear" w:color="auto" w:fill="auto"/>
          </w:tcPr>
          <w:p w:rsidR="00A856E4" w:rsidRPr="002030DE" w:rsidRDefault="00A856E4" w:rsidP="004017DA">
            <w:pPr>
              <w:pStyle w:val="TableTextNoSpace"/>
            </w:pPr>
            <w:r w:rsidRPr="002030DE">
              <w:t>Mechanism for the competent authorities to inform children about the possibility of having recourse to ADR</w:t>
            </w:r>
            <w:r>
              <w:t xml:space="preserve"> </w:t>
            </w:r>
            <w:r w:rsidRPr="002030DE">
              <w:t>(CivAdm161</w:t>
            </w:r>
            <w:r>
              <w:t>)</w:t>
            </w:r>
            <w:r w:rsidRPr="002030DE">
              <w:t xml:space="preserve"> (5 jurisdictions)</w:t>
            </w:r>
          </w:p>
        </w:tc>
      </w:tr>
      <w:tr w:rsidR="00A856E4" w:rsidTr="004017DA">
        <w:tc>
          <w:tcPr>
            <w:tcW w:w="8220" w:type="dxa"/>
            <w:shd w:val="clear" w:color="auto" w:fill="auto"/>
          </w:tcPr>
          <w:p w:rsidR="00A856E4" w:rsidRPr="002030DE" w:rsidRDefault="00A856E4" w:rsidP="004017DA">
            <w:pPr>
              <w:pStyle w:val="TableTextNoSpace"/>
            </w:pPr>
            <w:r w:rsidRPr="002030DE">
              <w:t>Mechanism or body to monitor the implementation of the urgency principle in respect of judicial</w:t>
            </w:r>
            <w:r>
              <w:t xml:space="preserve"> proceedings involving children</w:t>
            </w:r>
            <w:r w:rsidRPr="002030DE">
              <w:t xml:space="preserve"> (CivAdm108</w:t>
            </w:r>
            <w:r>
              <w:t>)</w:t>
            </w:r>
            <w:r w:rsidRPr="002030DE">
              <w:t xml:space="preserve"> (5 jurisdictions)</w:t>
            </w:r>
          </w:p>
        </w:tc>
      </w:tr>
      <w:tr w:rsidR="00A856E4" w:rsidTr="004017DA">
        <w:tc>
          <w:tcPr>
            <w:tcW w:w="8220" w:type="dxa"/>
            <w:shd w:val="clear" w:color="auto" w:fill="auto"/>
          </w:tcPr>
          <w:p w:rsidR="00A856E4" w:rsidRPr="00A856E4" w:rsidRDefault="00A856E4" w:rsidP="004017DA">
            <w:pPr>
              <w:pStyle w:val="TableTextNoSpace"/>
            </w:pPr>
            <w:r w:rsidRPr="00A856E4">
              <w:t xml:space="preserve">Guidance or codes of conduct for judicial or other competent authorities (e.g. police, immigration, educational, social or healthcare services) to ensure that children receive information (CivAdm069) (4 jurisdictions) </w:t>
            </w:r>
          </w:p>
        </w:tc>
      </w:tr>
      <w:tr w:rsidR="00A856E4" w:rsidTr="004017DA">
        <w:tc>
          <w:tcPr>
            <w:tcW w:w="8220" w:type="dxa"/>
            <w:shd w:val="clear" w:color="auto" w:fill="auto"/>
          </w:tcPr>
          <w:p w:rsidR="00A856E4" w:rsidRPr="00A856E4" w:rsidRDefault="00A856E4" w:rsidP="004017DA">
            <w:pPr>
              <w:pStyle w:val="TableTextNoSpace"/>
            </w:pPr>
            <w:r w:rsidRPr="00A856E4">
              <w:t>Common assessment framework for all professionals working with or for children in civil and administrative proceedings (including lawyers, psychologists, physicians, immigration officials, social workers and mediators) (CivAdm101) (4 jurisdictions)</w:t>
            </w:r>
          </w:p>
        </w:tc>
      </w:tr>
      <w:tr w:rsidR="00A856E4" w:rsidTr="004017DA">
        <w:tc>
          <w:tcPr>
            <w:tcW w:w="8220" w:type="dxa"/>
            <w:shd w:val="clear" w:color="auto" w:fill="auto"/>
          </w:tcPr>
          <w:p w:rsidR="00A856E4" w:rsidRPr="00A856E4" w:rsidRDefault="00A856E4" w:rsidP="004017DA">
            <w:pPr>
              <w:pStyle w:val="TableTextNoSpace"/>
            </w:pPr>
            <w:r w:rsidRPr="00A856E4">
              <w:t>Guidance for lawyers who represent children to ensure they treat the child as a fully-fledged client, whose opinions are brought forward (CivAdm153) (4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provision on the right of children to obtain legal advice and other assistance in determining the appropriateness and desirability of using alternatives to judicial proceedings (CivAdm166) (3 jurisdictions)</w:t>
            </w:r>
          </w:p>
        </w:tc>
      </w:tr>
      <w:tr w:rsidR="00A856E4" w:rsidTr="004017DA">
        <w:tc>
          <w:tcPr>
            <w:tcW w:w="8220" w:type="dxa"/>
            <w:shd w:val="clear" w:color="auto" w:fill="auto"/>
          </w:tcPr>
          <w:p w:rsidR="00A856E4" w:rsidRPr="00A856E4" w:rsidRDefault="00A856E4" w:rsidP="004017DA">
            <w:pPr>
              <w:pStyle w:val="TableTextNoSpace"/>
            </w:pPr>
            <w:r w:rsidRPr="00A856E4">
              <w:t>Guidance or code of conduct for lawyers, guardians ad litem or legal representatives on how to communicate a decision or judgement to a child involved in judicial proceedings in a manner adapted to the child's level of understanding (CivAdm189) (3 jurisdictions)</w:t>
            </w:r>
          </w:p>
        </w:tc>
      </w:tr>
      <w:tr w:rsidR="00A856E4" w:rsidTr="004017DA">
        <w:tc>
          <w:tcPr>
            <w:tcW w:w="8220" w:type="dxa"/>
            <w:shd w:val="clear" w:color="auto" w:fill="auto"/>
          </w:tcPr>
          <w:p w:rsidR="00A856E4" w:rsidRPr="00A856E4" w:rsidRDefault="00A856E4" w:rsidP="004017DA">
            <w:pPr>
              <w:pStyle w:val="TableTextNoSpace"/>
            </w:pPr>
            <w:r w:rsidRPr="00A856E4">
              <w:t>Statutory provision on the right to legal redress when children feel their rights have been violated in the ADR procedure (CivAdm164) (2 jurisdictions)</w:t>
            </w:r>
          </w:p>
        </w:tc>
      </w:tr>
      <w:tr w:rsidR="00A856E4" w:rsidTr="004017DA">
        <w:tc>
          <w:tcPr>
            <w:tcW w:w="8220" w:type="dxa"/>
            <w:shd w:val="clear" w:color="auto" w:fill="auto"/>
          </w:tcPr>
          <w:p w:rsidR="00A856E4" w:rsidRPr="00A856E4" w:rsidRDefault="00A856E4" w:rsidP="004017DA">
            <w:pPr>
              <w:pStyle w:val="TableTextNoSpace"/>
            </w:pPr>
            <w:r w:rsidRPr="00A856E4">
              <w:t>Guidelines for judicial authorities on the types of cases involving children where decisions should be made directly or immediately enforceable (CivAdm193) (2 jurisdictions)</w:t>
            </w:r>
          </w:p>
        </w:tc>
      </w:tr>
      <w:tr w:rsidR="00A856E4" w:rsidTr="004017DA">
        <w:tc>
          <w:tcPr>
            <w:tcW w:w="8220" w:type="dxa"/>
            <w:shd w:val="clear" w:color="auto" w:fill="auto"/>
          </w:tcPr>
          <w:p w:rsidR="00A856E4" w:rsidRPr="00A856E4" w:rsidRDefault="00A856E4" w:rsidP="004017DA">
            <w:pPr>
              <w:pStyle w:val="TableTextNoSpace"/>
            </w:pPr>
            <w:r w:rsidRPr="00A856E4">
              <w:t>Minimum age at which a child can initiate ADR in their own right (CivAdm163) (1 jurisdiction)</w:t>
            </w:r>
          </w:p>
        </w:tc>
      </w:tr>
      <w:tr w:rsidR="00A856E4" w:rsidTr="004017DA">
        <w:tc>
          <w:tcPr>
            <w:tcW w:w="8220" w:type="dxa"/>
            <w:shd w:val="clear" w:color="auto" w:fill="auto"/>
          </w:tcPr>
          <w:p w:rsidR="00A856E4" w:rsidRPr="00A856E4" w:rsidRDefault="00A856E4" w:rsidP="004017DA">
            <w:pPr>
              <w:pStyle w:val="TableTextNoSpace"/>
            </w:pPr>
            <w:r w:rsidRPr="00A856E4">
              <w:t>Statutory provision allowing the court fees to be waived in the case of a child defendant or plaintiff. (CivAdm185) (1 jurisdiction)</w:t>
            </w:r>
          </w:p>
        </w:tc>
      </w:tr>
    </w:tbl>
    <w:p w:rsidR="00517C61" w:rsidRPr="00F60F4B" w:rsidRDefault="00517C61" w:rsidP="001D508A">
      <w:pPr>
        <w:pStyle w:val="Heading2"/>
      </w:pPr>
      <w:bookmarkStart w:id="260" w:name="_Toc365616823"/>
      <w:bookmarkStart w:id="261" w:name="_Toc365881795"/>
      <w:bookmarkStart w:id="262" w:name="_Toc365881944"/>
      <w:bookmarkStart w:id="263" w:name="_Toc406590168"/>
      <w:bookmarkStart w:id="264" w:name="_Toc408908753"/>
      <w:r w:rsidRPr="00F60F4B">
        <w:t>Safeguards applying to children in different areas of law</w:t>
      </w:r>
      <w:bookmarkEnd w:id="260"/>
      <w:bookmarkEnd w:id="261"/>
      <w:bookmarkEnd w:id="262"/>
      <w:bookmarkEnd w:id="263"/>
      <w:bookmarkEnd w:id="264"/>
    </w:p>
    <w:p w:rsidR="00517C61" w:rsidRPr="00517C61" w:rsidRDefault="00517C61" w:rsidP="004017DA">
      <w:pPr>
        <w:pStyle w:val="BodyText"/>
      </w:pPr>
      <w:r w:rsidRPr="00517C61">
        <w:t xml:space="preserve">The number of safeguards that apply to children in the nine different areas of law that are reviewed in this summary report vary significantly. The tables below indicate that the greatest number of safeguards apply to children in </w:t>
      </w:r>
      <w:r w:rsidR="00F749C3">
        <w:rPr>
          <w:b/>
        </w:rPr>
        <w:t>placement in</w:t>
      </w:r>
      <w:r w:rsidRPr="00517C61">
        <w:rPr>
          <w:b/>
        </w:rPr>
        <w:t xml:space="preserve"> care </w:t>
      </w:r>
      <w:r w:rsidRPr="00517C61">
        <w:t xml:space="preserve">and </w:t>
      </w:r>
      <w:r w:rsidRPr="00517C61">
        <w:rPr>
          <w:b/>
        </w:rPr>
        <w:t>family law</w:t>
      </w:r>
      <w:r w:rsidRPr="00517C61">
        <w:t xml:space="preserve"> proceedings.</w:t>
      </w:r>
    </w:p>
    <w:p w:rsidR="00517C61" w:rsidRPr="001D508A" w:rsidRDefault="00F749C3" w:rsidP="004017DA">
      <w:pPr>
        <w:pStyle w:val="BTBullet1"/>
      </w:pPr>
      <w:r w:rsidRPr="001D508A">
        <w:rPr>
          <w:b/>
        </w:rPr>
        <w:t>Placement in</w:t>
      </w:r>
      <w:r w:rsidR="00517C61" w:rsidRPr="001D508A">
        <w:rPr>
          <w:b/>
        </w:rPr>
        <w:t xml:space="preserve"> care</w:t>
      </w:r>
      <w:r w:rsidR="00517C61" w:rsidRPr="001D508A">
        <w:t xml:space="preserve">: Nine safeguards apply in 25 or more jurisdictions; 20 safeguards apply in more than 20 jurisdictions, whereas </w:t>
      </w:r>
      <w:r w:rsidR="00A05DDC">
        <w:t>10</w:t>
      </w:r>
      <w:r w:rsidR="00317A72" w:rsidRPr="001D508A">
        <w:t xml:space="preserve"> </w:t>
      </w:r>
      <w:r w:rsidR="00517C61" w:rsidRPr="001D508A">
        <w:t xml:space="preserve">safeguards apply in five or less jurisdictions. </w:t>
      </w:r>
    </w:p>
    <w:p w:rsidR="00517C61" w:rsidRPr="001D508A" w:rsidRDefault="00517C61" w:rsidP="004017DA">
      <w:pPr>
        <w:pStyle w:val="BTBullet1"/>
      </w:pPr>
      <w:r w:rsidRPr="001D508A">
        <w:rPr>
          <w:b/>
        </w:rPr>
        <w:t>Family law</w:t>
      </w:r>
      <w:r w:rsidRPr="001D508A">
        <w:t xml:space="preserve">: Eight safeguards apply in 25 or more jurisdictions; 22 safeguards apply in more than 20 jurisdictions, whereas 11 safeguards apply in five or less jurisdictions. </w:t>
      </w:r>
    </w:p>
    <w:p w:rsidR="009D241E" w:rsidRPr="001D508A" w:rsidRDefault="009D241E" w:rsidP="004017DA">
      <w:pPr>
        <w:pStyle w:val="BTBullet1"/>
      </w:pPr>
      <w:r w:rsidRPr="001D508A">
        <w:t>A smaller number of safeguards apply in the other areas, in the following order:</w:t>
      </w:r>
    </w:p>
    <w:p w:rsidR="009D241E" w:rsidRPr="001D508A" w:rsidRDefault="009D241E" w:rsidP="004017DA">
      <w:pPr>
        <w:pStyle w:val="BTBullet1"/>
      </w:pPr>
      <w:r w:rsidRPr="001D508A">
        <w:rPr>
          <w:b/>
        </w:rPr>
        <w:t>Migration</w:t>
      </w:r>
      <w:r w:rsidRPr="001D508A">
        <w:t>: Four safeguards apply in 25 or more jurisdictions; 12 safeguards apply in more than 20 jurisdictions, whereas 15 safeguards apply in five or less jurisdictions.</w:t>
      </w:r>
    </w:p>
    <w:p w:rsidR="009D241E" w:rsidRPr="001D508A" w:rsidRDefault="009D241E" w:rsidP="004017DA">
      <w:pPr>
        <w:pStyle w:val="BTBullet1"/>
      </w:pPr>
      <w:r w:rsidRPr="001D508A">
        <w:rPr>
          <w:b/>
        </w:rPr>
        <w:t>Asylum</w:t>
      </w:r>
      <w:r w:rsidRPr="001D508A">
        <w:t>: Four safeguards apply in 25 or more jurisdictions; 12 safeguards apply in more than 20 jurisdictions, whereas 15 safeguards apply in five or less jurisdictions.</w:t>
      </w:r>
    </w:p>
    <w:p w:rsidR="009D241E" w:rsidRPr="001D508A" w:rsidRDefault="009D241E" w:rsidP="004017DA">
      <w:pPr>
        <w:pStyle w:val="BTBullet1"/>
      </w:pPr>
      <w:r w:rsidRPr="001D508A">
        <w:rPr>
          <w:b/>
        </w:rPr>
        <w:t>Health</w:t>
      </w:r>
      <w:r w:rsidRPr="001D508A">
        <w:t>: Two safeguards apply in 25 or more jurisdictions; 11 safeguards apply in more than 20 jurisdictions, whereas 17 safeguards apply in five or less jurisdictions.</w:t>
      </w:r>
    </w:p>
    <w:p w:rsidR="009D241E" w:rsidRPr="001D508A" w:rsidRDefault="009D241E" w:rsidP="004017DA">
      <w:pPr>
        <w:pStyle w:val="BTBullet1"/>
      </w:pPr>
      <w:r w:rsidRPr="001D508A">
        <w:rPr>
          <w:b/>
        </w:rPr>
        <w:t>Administrative sanctions</w:t>
      </w:r>
      <w:r w:rsidRPr="001D508A">
        <w:t>: Two safeguards apply in 25 or more jurisdictions; seven safeguards apply in more than 20 jurisdictions, whereas 23 safeguards apply in five or less jurisdictions.</w:t>
      </w:r>
    </w:p>
    <w:p w:rsidR="009D241E" w:rsidRPr="001D508A" w:rsidRDefault="009D241E" w:rsidP="004017DA">
      <w:pPr>
        <w:pStyle w:val="BTBullet1"/>
      </w:pPr>
      <w:r w:rsidRPr="001D508A">
        <w:rPr>
          <w:b/>
        </w:rPr>
        <w:t>Education</w:t>
      </w:r>
      <w:r w:rsidRPr="001D508A">
        <w:t>: One safeguard applies in 25 or more jurisdictions; 11 safeguards apply in more than 20 jurisdictions, whereas 23 safeguards apply in five or less jurisdictions.</w:t>
      </w:r>
    </w:p>
    <w:p w:rsidR="009D241E" w:rsidRPr="001D508A" w:rsidRDefault="009D241E" w:rsidP="004017DA">
      <w:pPr>
        <w:pStyle w:val="BTBullet1"/>
      </w:pPr>
      <w:r w:rsidRPr="001D508A">
        <w:rPr>
          <w:b/>
        </w:rPr>
        <w:t>Employment</w:t>
      </w:r>
      <w:r w:rsidRPr="001D508A">
        <w:t>: One safeguard applies in 25 or more jurisdictions; 11 safeguards apply in more than 20 jurisdictions, whereas 24 safeguards apply five or less jurisdictions.</w:t>
      </w:r>
    </w:p>
    <w:p w:rsidR="009D241E" w:rsidRPr="001D508A" w:rsidRDefault="009D241E" w:rsidP="004017DA">
      <w:pPr>
        <w:pStyle w:val="BTBullet1"/>
      </w:pPr>
      <w:r w:rsidRPr="001D508A">
        <w:rPr>
          <w:b/>
        </w:rPr>
        <w:t>Offences committed below MACR</w:t>
      </w:r>
      <w:r w:rsidRPr="001D508A">
        <w:t>: Zero safeguards apply in 25 or more jurisdictions; two safeguards apply in more than 20 jurisdictions, whereas 19 safeguards apply in five or less jurisdictions.</w:t>
      </w:r>
    </w:p>
    <w:p w:rsidR="009D241E" w:rsidRPr="00B35C45" w:rsidRDefault="009D241E" w:rsidP="004017DA">
      <w:pPr>
        <w:pStyle w:val="BodyText"/>
      </w:pPr>
      <w:r w:rsidRPr="00B35C45">
        <w:t xml:space="preserve">The following sections identify the most frequent and least frequent </w:t>
      </w:r>
      <w:r>
        <w:t xml:space="preserve">safeguards that </w:t>
      </w:r>
      <w:r w:rsidRPr="00B35C45">
        <w:t>apply to children in each area of law.</w:t>
      </w:r>
    </w:p>
    <w:p w:rsidR="009D241E" w:rsidRPr="00F749C3" w:rsidRDefault="00A07B81" w:rsidP="00A07B81">
      <w:pPr>
        <w:pStyle w:val="Heading3"/>
        <w:rPr>
          <w:rFonts w:eastAsia="Calibri"/>
        </w:rPr>
      </w:pPr>
      <w:bookmarkStart w:id="265" w:name="_Toc408908754"/>
      <w:r w:rsidRPr="00F749C3">
        <w:rPr>
          <w:rFonts w:eastAsia="Calibri"/>
        </w:rPr>
        <w:t>Placement In Care</w:t>
      </w:r>
      <w:bookmarkEnd w:id="265"/>
    </w:p>
    <w:p w:rsidR="00CC1B18" w:rsidRPr="009D7851" w:rsidRDefault="009D241E" w:rsidP="00CC1B18">
      <w:pPr>
        <w:pStyle w:val="BodyText"/>
      </w:pPr>
      <w:r>
        <w:t>Table 5.9</w:t>
      </w:r>
      <w:r w:rsidRPr="00B35C45">
        <w:t xml:space="preserve"> provides a list of safeguards for children in placement in care proceedings that are present in 25 or more jurisdictions</w:t>
      </w:r>
      <w:r>
        <w:t>.</w:t>
      </w:r>
    </w:p>
    <w:p w:rsidR="009D241E" w:rsidRPr="00682308" w:rsidRDefault="009D241E" w:rsidP="001D508A">
      <w:pPr>
        <w:pStyle w:val="Table"/>
      </w:pPr>
      <w:bookmarkStart w:id="266" w:name="_Toc408908625"/>
      <w:r w:rsidRPr="00682308">
        <w:t xml:space="preserve">Safeguards that are most </w:t>
      </w:r>
      <w:r>
        <w:t>prevalent</w:t>
      </w:r>
      <w:r w:rsidRPr="00682308">
        <w:t xml:space="preserve"> in the area of placement in care</w:t>
      </w:r>
      <w:bookmarkEnd w:id="266"/>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7B3674" w:rsidTr="004017DA">
        <w:tc>
          <w:tcPr>
            <w:tcW w:w="8222" w:type="dxa"/>
            <w:shd w:val="clear" w:color="auto" w:fill="auto"/>
          </w:tcPr>
          <w:p w:rsidR="009D241E" w:rsidRPr="007B3674" w:rsidRDefault="009D241E" w:rsidP="004017DA">
            <w:pPr>
              <w:pStyle w:val="TableTextNoSpace"/>
            </w:pPr>
            <w:r w:rsidRPr="007B3674">
              <w:t>Statutory provision on the right of the court to adopt precautionary and interim measures regarding children</w:t>
            </w:r>
            <w:r>
              <w:t xml:space="preserve"> </w:t>
            </w:r>
            <w:r>
              <w:rPr>
                <w:rFonts w:eastAsia="Calibri"/>
              </w:rPr>
              <w:t xml:space="preserve">(CivAdm058) </w:t>
            </w:r>
            <w:r w:rsidRPr="007B3674">
              <w:t>(29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Statutory provision on the right of children involved in judicial proceedings to the protection of personal data, especially in the context of processing, storing and transmitting court records</w:t>
            </w:r>
            <w:r>
              <w:t xml:space="preserve"> </w:t>
            </w:r>
            <w:r>
              <w:rPr>
                <w:rFonts w:eastAsia="Calibri"/>
              </w:rPr>
              <w:t>(CivAdm085)</w:t>
            </w:r>
            <w:r w:rsidRPr="007B3674">
              <w:t xml:space="preserve"> (29 jurisdictions)</w:t>
            </w:r>
          </w:p>
        </w:tc>
      </w:tr>
      <w:tr w:rsidR="009D241E" w:rsidRPr="007B3674" w:rsidTr="004017DA">
        <w:tc>
          <w:tcPr>
            <w:tcW w:w="8222" w:type="dxa"/>
            <w:shd w:val="clear" w:color="auto" w:fill="auto"/>
          </w:tcPr>
          <w:p w:rsidR="009D241E" w:rsidRPr="007B3674" w:rsidRDefault="009D241E" w:rsidP="004017DA">
            <w:pPr>
              <w:pStyle w:val="TableTextNoSpace"/>
              <w:rPr>
                <w:rFonts w:eastAsia="Calibri"/>
              </w:rPr>
            </w:pPr>
            <w:r w:rsidRPr="007B3674">
              <w:t>Statutory provision for court to impose protective measures during court proceedings</w:t>
            </w:r>
            <w:r>
              <w:t xml:space="preserve"> </w:t>
            </w:r>
            <w:r>
              <w:rPr>
                <w:rFonts w:eastAsia="Calibri"/>
              </w:rPr>
              <w:t>(CivAdm125a)</w:t>
            </w:r>
            <w:r w:rsidRPr="007B3674">
              <w:t xml:space="preserve"> (27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Statutory provision on the right of children involved in judicial proceedings to privacy</w:t>
            </w:r>
            <w:r>
              <w:t xml:space="preserve"> </w:t>
            </w:r>
            <w:r>
              <w:rPr>
                <w:rFonts w:eastAsia="Calibri"/>
              </w:rPr>
              <w:t>(CivAdm080a)</w:t>
            </w:r>
            <w:r w:rsidRPr="007B3674">
              <w:t xml:space="preserve"> (26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Statutory provision on the child's right to be heard, disaggregated by type of proceeding</w:t>
            </w:r>
            <w:r>
              <w:t xml:space="preserve"> </w:t>
            </w:r>
            <w:r>
              <w:rPr>
                <w:rFonts w:eastAsia="Calibri"/>
              </w:rPr>
              <w:t>(CivAdm127)</w:t>
            </w:r>
            <w:r w:rsidRPr="007B3674">
              <w:t xml:space="preserve"> (26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Statutory provision on the right of children involved in judicial proceedings to free legal aid</w:t>
            </w:r>
            <w:r>
              <w:t xml:space="preserve"> </w:t>
            </w:r>
            <w:r>
              <w:rPr>
                <w:rFonts w:eastAsia="Calibri"/>
              </w:rPr>
              <w:t xml:space="preserve">(CivAdm151) </w:t>
            </w:r>
            <w:r w:rsidRPr="007B3674">
              <w:t>(26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appointment by the court of a guardian ad litem or special legal representative to represent child where there are potential conflicts of interest between child and parents </w:t>
            </w:r>
            <w:r>
              <w:rPr>
                <w:rFonts w:eastAsia="Calibri"/>
              </w:rPr>
              <w:t xml:space="preserve">(CivAdm154) </w:t>
            </w:r>
            <w:r w:rsidRPr="007B3674">
              <w:t>(26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Mechanisms to permit the court or the child involved in judicial proceedings to take actions if there is a conflict of interests with his/her parents</w:t>
            </w:r>
            <w:r>
              <w:t xml:space="preserve"> </w:t>
            </w:r>
            <w:r>
              <w:rPr>
                <w:rFonts w:eastAsia="Calibri"/>
              </w:rPr>
              <w:t>(CivAdm182)</w:t>
            </w:r>
            <w:r w:rsidRPr="007B3674">
              <w:t xml:space="preserve"> (26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allowing a child care authority to appeal against certain court decisions involving children </w:t>
            </w:r>
            <w:r>
              <w:rPr>
                <w:rFonts w:eastAsia="Calibri"/>
              </w:rPr>
              <w:t xml:space="preserve">(CivAdm177) </w:t>
            </w:r>
            <w:r w:rsidRPr="007B3674">
              <w:t>(25 jurisdictions)</w:t>
            </w:r>
          </w:p>
        </w:tc>
      </w:tr>
    </w:tbl>
    <w:p w:rsidR="009D241E" w:rsidRPr="009D7851" w:rsidRDefault="009D241E" w:rsidP="004017DA">
      <w:pPr>
        <w:pStyle w:val="BodyText"/>
      </w:pPr>
      <w:r>
        <w:t>Table 5.10</w:t>
      </w:r>
      <w:r w:rsidRPr="009D7851">
        <w:t xml:space="preserve"> identifies the safeguards that are uncommon (existing in </w:t>
      </w:r>
      <w:r>
        <w:t xml:space="preserve">five or </w:t>
      </w:r>
      <w:r w:rsidRPr="009D7851">
        <w:t xml:space="preserve">less </w:t>
      </w:r>
      <w:r>
        <w:t>jurisdictions)</w:t>
      </w:r>
      <w:r w:rsidRPr="009D7851">
        <w:t xml:space="preserve"> for children in the area of placement in care.</w:t>
      </w:r>
    </w:p>
    <w:p w:rsidR="009D241E" w:rsidRPr="007B3674" w:rsidRDefault="009D241E" w:rsidP="001D508A">
      <w:pPr>
        <w:pStyle w:val="Table"/>
      </w:pPr>
      <w:bookmarkStart w:id="267" w:name="_Toc408908626"/>
      <w:r w:rsidRPr="007B3674">
        <w:t xml:space="preserve">Safeguards that are least </w:t>
      </w:r>
      <w:r>
        <w:t>prevalent</w:t>
      </w:r>
      <w:r w:rsidRPr="007B3674">
        <w:t xml:space="preserve"> for children in proceedings on placement</w:t>
      </w:r>
      <w:bookmarkEnd w:id="267"/>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7B3674" w:rsidTr="004017DA">
        <w:tc>
          <w:tcPr>
            <w:tcW w:w="8222" w:type="dxa"/>
            <w:shd w:val="clear" w:color="auto" w:fill="auto"/>
          </w:tcPr>
          <w:p w:rsidR="009D241E" w:rsidRPr="007B3674" w:rsidRDefault="009D241E" w:rsidP="004017DA">
            <w:pPr>
              <w:pStyle w:val="TableTextNoSpace"/>
            </w:pPr>
            <w:r w:rsidRPr="007B3674">
              <w:t>Discretionary powers of the judge or court to grant a dispensation as to the minimum age a child can bring a case to court in their own right</w:t>
            </w:r>
            <w:r>
              <w:t xml:space="preserve"> </w:t>
            </w:r>
            <w:r>
              <w:rPr>
                <w:rFonts w:eastAsia="Calibri"/>
              </w:rPr>
              <w:t>(CivAdm046)</w:t>
            </w:r>
            <w:r w:rsidRPr="007B3674">
              <w:t xml:space="preserve"> (5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Statutory provision on the right of children to information in a manner that takes into account any special needs of the child about rights and procedures</w:t>
            </w:r>
            <w:r>
              <w:t xml:space="preserve"> </w:t>
            </w:r>
            <w:r>
              <w:rPr>
                <w:rFonts w:eastAsia="Calibri"/>
              </w:rPr>
              <w:t xml:space="preserve">(CivAdm076b)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rPr>
                <w:rFonts w:eastAsia="Calibri"/>
              </w:rPr>
            </w:pPr>
            <w:r w:rsidRPr="007B3674">
              <w:t>Statutory provision to ensure that court sessions are adapted to the child's pace and attention span and child's communication skills (e.g. provision for the adoption of regular breaks in court sessions)</w:t>
            </w:r>
            <w:r>
              <w:rPr>
                <w:rFonts w:eastAsia="Calibri"/>
              </w:rPr>
              <w:t xml:space="preserve"> (CivAdm117)</w:t>
            </w:r>
            <w:r w:rsidRPr="007B3674">
              <w:t xml:space="preserve"> (5 jurisdictions)</w:t>
            </w:r>
          </w:p>
        </w:tc>
      </w:tr>
      <w:tr w:rsidR="009D241E" w:rsidRPr="007B3674" w:rsidTr="004017DA">
        <w:tc>
          <w:tcPr>
            <w:tcW w:w="8222" w:type="dxa"/>
            <w:shd w:val="clear" w:color="auto" w:fill="auto"/>
          </w:tcPr>
          <w:p w:rsidR="009D241E" w:rsidRPr="007B3674" w:rsidRDefault="009D241E" w:rsidP="004017DA">
            <w:pPr>
              <w:pStyle w:val="TableTextNoSpace"/>
              <w:rPr>
                <w:rFonts w:eastAsia="Calibri"/>
              </w:rPr>
            </w:pPr>
            <w:r w:rsidRPr="007B3674">
              <w:t xml:space="preserve">Guidance for court staff and judicial authorities to ensure that court sessions are adapted to the child's pace and attention space and child's communication skills </w:t>
            </w:r>
            <w:r>
              <w:rPr>
                <w:rFonts w:eastAsia="Calibri"/>
              </w:rPr>
              <w:t xml:space="preserve">(CivAdm118) </w:t>
            </w:r>
            <w:r w:rsidRPr="007B3674">
              <w:t>(5 jurisdictions)</w:t>
            </w:r>
          </w:p>
        </w:tc>
      </w:tr>
      <w:tr w:rsidR="009D241E" w:rsidRPr="007B3674" w:rsidTr="004017DA">
        <w:tc>
          <w:tcPr>
            <w:tcW w:w="8222" w:type="dxa"/>
            <w:shd w:val="clear" w:color="auto" w:fill="auto"/>
          </w:tcPr>
          <w:p w:rsidR="009D241E" w:rsidRPr="007F1924" w:rsidRDefault="009D241E" w:rsidP="004017DA">
            <w:pPr>
              <w:pStyle w:val="TableTextNoSpace"/>
            </w:pPr>
            <w:r w:rsidRPr="00A05DDC">
              <w:t>Guidance for lawyers who represent children to ensure they treat the child as a fully-fledged client, wh</w:t>
            </w:r>
            <w:r w:rsidRPr="007F1924">
              <w:t xml:space="preserve">ose opinions are brought forward </w:t>
            </w:r>
            <w:r w:rsidRPr="007F1924">
              <w:rPr>
                <w:rFonts w:eastAsia="Calibri"/>
              </w:rPr>
              <w:t xml:space="preserve">(CivAdm153) </w:t>
            </w:r>
            <w:r w:rsidRPr="007F192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Guidance or codes of conduct for judicial or other competent authorities (e.g. police, immigration, educational, social or healthcare services) to ensure that children receive information</w:t>
            </w:r>
            <w:r>
              <w:t xml:space="preserve"> </w:t>
            </w:r>
            <w:r>
              <w:rPr>
                <w:rFonts w:eastAsia="Calibri"/>
              </w:rPr>
              <w:t xml:space="preserve">(CivAdm069)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Common assessment framework for all professionals working with or for children in civil and administrative proceedings (including lawyers, psychologists, physicians, immigration officials, social workers and mediators) </w:t>
            </w:r>
            <w:r>
              <w:rPr>
                <w:rFonts w:eastAsia="Calibri"/>
              </w:rPr>
              <w:t xml:space="preserve">(CivAdm101)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or code of conduct for lawyers, guardians ad litem or legal representatives on how to communicate a decision or judgement to a child involved in judicial proceedings in a manner adapted to the child's level of understanding </w:t>
            </w:r>
            <w:r>
              <w:rPr>
                <w:rFonts w:eastAsia="Calibri"/>
              </w:rPr>
              <w:t xml:space="preserve">(CivAdm189) </w:t>
            </w:r>
            <w:r w:rsidRPr="007B3674">
              <w:t>(1 jurisdiction)</w:t>
            </w:r>
          </w:p>
        </w:tc>
      </w:tr>
      <w:tr w:rsidR="009D241E" w:rsidRPr="007B3674" w:rsidTr="004017DA">
        <w:tc>
          <w:tcPr>
            <w:tcW w:w="8222" w:type="dxa"/>
            <w:shd w:val="clear" w:color="auto" w:fill="auto"/>
          </w:tcPr>
          <w:p w:rsidR="009D241E" w:rsidRPr="007B3674" w:rsidRDefault="009D241E" w:rsidP="004017DA">
            <w:pPr>
              <w:pStyle w:val="TableTextNoSpace"/>
            </w:pPr>
            <w:r w:rsidRPr="00CC65CB">
              <w:t xml:space="preserve">Guidelines for judicial authorities on the types of cases involving children where decisions should be made directly or immediately enforceable </w:t>
            </w:r>
            <w:r w:rsidRPr="00CC65CB">
              <w:rPr>
                <w:rFonts w:eastAsia="Calibri"/>
              </w:rPr>
              <w:t>(CivAdm193)</w:t>
            </w:r>
            <w:r w:rsidRPr="00CC65CB">
              <w:t xml:space="preserve"> (0 jurisdictions)</w:t>
            </w:r>
          </w:p>
        </w:tc>
      </w:tr>
    </w:tbl>
    <w:p w:rsidR="009D241E" w:rsidRPr="00F749C3" w:rsidRDefault="00A07B81" w:rsidP="00694BE0">
      <w:pPr>
        <w:pStyle w:val="Heading3"/>
        <w:rPr>
          <w:rFonts w:eastAsia="Calibri"/>
        </w:rPr>
      </w:pPr>
      <w:bookmarkStart w:id="268" w:name="_Toc408908755"/>
      <w:r w:rsidRPr="00F749C3">
        <w:rPr>
          <w:rFonts w:eastAsia="Calibri"/>
        </w:rPr>
        <w:t>Family Law</w:t>
      </w:r>
      <w:bookmarkEnd w:id="268"/>
    </w:p>
    <w:p w:rsidR="009D241E" w:rsidRPr="003959DC" w:rsidRDefault="009D241E" w:rsidP="004017DA">
      <w:pPr>
        <w:pStyle w:val="BodyText"/>
      </w:pPr>
      <w:r w:rsidRPr="003959DC">
        <w:t xml:space="preserve">Table 5.11 provides a list of safeguards for children in family proceedings that are present in 25 or more </w:t>
      </w:r>
      <w:bookmarkStart w:id="269" w:name="_Toc372198371"/>
      <w:r w:rsidRPr="003959DC">
        <w:t>jurisdictions.</w:t>
      </w:r>
    </w:p>
    <w:bookmarkEnd w:id="269"/>
    <w:p w:rsidR="009D241E" w:rsidRPr="00C03A4F" w:rsidRDefault="001D508A" w:rsidP="004017DA">
      <w:pPr>
        <w:pStyle w:val="Table"/>
      </w:pPr>
      <w:r>
        <w:t xml:space="preserve"> </w:t>
      </w:r>
      <w:bookmarkStart w:id="270" w:name="_Toc408908627"/>
      <w:r w:rsidR="004017DA">
        <w:t>S</w:t>
      </w:r>
      <w:r w:rsidR="004017DA" w:rsidRPr="004017DA">
        <w:t>afeguards for children in family proceedings</w:t>
      </w:r>
      <w:bookmarkEnd w:id="270"/>
      <w:r w:rsidR="004017DA" w:rsidRPr="004017DA">
        <w:t xml:space="preserve"> </w:t>
      </w:r>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945C51" w:rsidTr="004017DA">
        <w:tc>
          <w:tcPr>
            <w:tcW w:w="8222" w:type="dxa"/>
            <w:shd w:val="clear" w:color="auto" w:fill="auto"/>
          </w:tcPr>
          <w:p w:rsidR="009D241E" w:rsidRPr="00945C51" w:rsidRDefault="009D241E" w:rsidP="004017DA">
            <w:pPr>
              <w:pStyle w:val="TableTextNoSpace"/>
            </w:pPr>
            <w:r w:rsidRPr="00945C51">
              <w:t xml:space="preserve">Statutory provision on the right of the court to adopt precautionary and interim measures regarding children </w:t>
            </w:r>
            <w:r>
              <w:t xml:space="preserve">(CivAdm058) </w:t>
            </w:r>
            <w:r w:rsidRPr="00945C51">
              <w:t xml:space="preserve">(28 jurisdictions) </w:t>
            </w:r>
          </w:p>
        </w:tc>
      </w:tr>
      <w:tr w:rsidR="009D241E" w:rsidRPr="00945C51" w:rsidTr="004017DA">
        <w:tc>
          <w:tcPr>
            <w:tcW w:w="8222" w:type="dxa"/>
            <w:shd w:val="clear" w:color="auto" w:fill="auto"/>
          </w:tcPr>
          <w:p w:rsidR="009D241E" w:rsidRPr="00945C51" w:rsidRDefault="009D241E" w:rsidP="004017DA">
            <w:pPr>
              <w:pStyle w:val="TableTextNoSpace"/>
            </w:pPr>
            <w:r w:rsidRPr="00945C51">
              <w:t>Statutory provision on the right of children involved in judicial proceedings to the protection of personal data, especially in the context of processing, storing and transmitting court records</w:t>
            </w:r>
            <w:r>
              <w:t xml:space="preserve">(CivAdm085) </w:t>
            </w:r>
            <w:r w:rsidRPr="00945C51">
              <w:t xml:space="preserve"> (28 jurisdictions)</w:t>
            </w:r>
          </w:p>
        </w:tc>
      </w:tr>
      <w:tr w:rsidR="009D241E" w:rsidRPr="00945C51" w:rsidTr="004017DA">
        <w:tc>
          <w:tcPr>
            <w:tcW w:w="8222" w:type="dxa"/>
            <w:shd w:val="clear" w:color="auto" w:fill="auto"/>
          </w:tcPr>
          <w:p w:rsidR="009D241E" w:rsidRPr="00945C51" w:rsidRDefault="009D241E" w:rsidP="004017DA">
            <w:pPr>
              <w:pStyle w:val="TableTextNoSpace"/>
            </w:pPr>
            <w:r w:rsidRPr="00945C51">
              <w:t>Statutory provision on the child's right to be heard, disaggregated by type of proceeding</w:t>
            </w:r>
            <w:r>
              <w:t xml:space="preserve">(CivAdm127) </w:t>
            </w:r>
            <w:r w:rsidRPr="00945C51">
              <w:t xml:space="preserve"> (28 jurisdictions)</w:t>
            </w:r>
          </w:p>
        </w:tc>
      </w:tr>
      <w:tr w:rsidR="009D241E" w:rsidRPr="00945C51" w:rsidTr="004017DA">
        <w:tc>
          <w:tcPr>
            <w:tcW w:w="8222" w:type="dxa"/>
            <w:shd w:val="clear" w:color="auto" w:fill="auto"/>
          </w:tcPr>
          <w:p w:rsidR="009D241E" w:rsidRPr="00945C51" w:rsidRDefault="009D241E" w:rsidP="004017DA">
            <w:pPr>
              <w:pStyle w:val="TableTextNoSpace"/>
            </w:pPr>
            <w:r w:rsidRPr="00945C51">
              <w:t>Statutory provision on the appointment by the court of a guardian ad litem or special legal representative to represent child where there are potential conflicts of interest between child and parents</w:t>
            </w:r>
            <w:r>
              <w:t xml:space="preserve">(CivAdm154) </w:t>
            </w:r>
            <w:r w:rsidRPr="00945C51">
              <w:t xml:space="preserve"> (28 jurisdictions)</w:t>
            </w:r>
          </w:p>
        </w:tc>
      </w:tr>
      <w:tr w:rsidR="009D241E" w:rsidRPr="00945C51" w:rsidTr="004017DA">
        <w:tc>
          <w:tcPr>
            <w:tcW w:w="8222" w:type="dxa"/>
            <w:shd w:val="clear" w:color="auto" w:fill="auto"/>
          </w:tcPr>
          <w:p w:rsidR="009D241E" w:rsidRPr="00945C51" w:rsidRDefault="009D241E" w:rsidP="004017DA">
            <w:pPr>
              <w:pStyle w:val="TableTextNoSpace"/>
            </w:pPr>
            <w:r w:rsidRPr="00945C51">
              <w:t>Mechanisms to permit the court or the child involved in judicial proceedings to take actions if there is a conflict of interests with his/her parents</w:t>
            </w:r>
            <w:r>
              <w:t xml:space="preserve">(CivAdm182) </w:t>
            </w:r>
            <w:r w:rsidRPr="00945C51">
              <w:t xml:space="preserve"> (28 jurisdictions)</w:t>
            </w:r>
          </w:p>
        </w:tc>
      </w:tr>
      <w:tr w:rsidR="009D241E" w:rsidRPr="00945C51" w:rsidTr="004017DA">
        <w:tc>
          <w:tcPr>
            <w:tcW w:w="8222" w:type="dxa"/>
            <w:shd w:val="clear" w:color="auto" w:fill="auto"/>
          </w:tcPr>
          <w:p w:rsidR="009D241E" w:rsidRPr="00945C51" w:rsidRDefault="009D241E" w:rsidP="004017DA">
            <w:pPr>
              <w:pStyle w:val="TableTextNoSpace"/>
            </w:pPr>
            <w:r w:rsidRPr="00945C51">
              <w:t>Statutory provision for court to impose protective measures during court proceedings</w:t>
            </w:r>
            <w:r>
              <w:t xml:space="preserve">(CivAdm125a) </w:t>
            </w:r>
            <w:r w:rsidRPr="00945C51">
              <w:t>(26 jurisdictions)</w:t>
            </w:r>
          </w:p>
        </w:tc>
      </w:tr>
      <w:tr w:rsidR="009D241E" w:rsidRPr="00945C51" w:rsidTr="004017DA">
        <w:tc>
          <w:tcPr>
            <w:tcW w:w="8222" w:type="dxa"/>
            <w:shd w:val="clear" w:color="auto" w:fill="auto"/>
          </w:tcPr>
          <w:p w:rsidR="009D241E" w:rsidRPr="00945C51" w:rsidRDefault="009D241E" w:rsidP="004017DA">
            <w:pPr>
              <w:pStyle w:val="TableTextNoSpace"/>
            </w:pPr>
            <w:r w:rsidRPr="00945C51">
              <w:t>Statutory provision on the right of children involved in judicial proceedings to free legal aid</w:t>
            </w:r>
            <w:r>
              <w:t>(CivAdm151)</w:t>
            </w:r>
            <w:r w:rsidRPr="00945C51">
              <w:t xml:space="preserve"> (26 jurisdictions)</w:t>
            </w:r>
          </w:p>
        </w:tc>
      </w:tr>
      <w:tr w:rsidR="009D241E" w:rsidRPr="00945C51" w:rsidTr="004017DA">
        <w:tc>
          <w:tcPr>
            <w:tcW w:w="8222" w:type="dxa"/>
            <w:shd w:val="clear" w:color="auto" w:fill="auto"/>
          </w:tcPr>
          <w:p w:rsidR="009D241E" w:rsidRPr="00945C51" w:rsidRDefault="009D241E" w:rsidP="004017DA">
            <w:pPr>
              <w:pStyle w:val="TableTextNoSpace"/>
            </w:pPr>
            <w:r w:rsidRPr="00945C51">
              <w:t>Statutory provision on the right of children involved in judicial proceedings to privacy</w:t>
            </w:r>
            <w:r>
              <w:t>(CivAdm080a)</w:t>
            </w:r>
            <w:r w:rsidRPr="00945C51">
              <w:t xml:space="preserve"> (25 jurisdictions)</w:t>
            </w:r>
          </w:p>
        </w:tc>
      </w:tr>
    </w:tbl>
    <w:p w:rsidR="009D241E" w:rsidRPr="003959DC" w:rsidRDefault="009D241E" w:rsidP="004017DA">
      <w:pPr>
        <w:pStyle w:val="BodyText"/>
      </w:pPr>
      <w:r w:rsidRPr="003959DC">
        <w:t>Table 5.12 identifies the safeguards that are uncommon (existing in five jurisdictions or less) for children in the area of family law.</w:t>
      </w:r>
      <w:bookmarkStart w:id="271" w:name="_Toc372198372"/>
    </w:p>
    <w:p w:rsidR="009D241E" w:rsidRPr="00945C51" w:rsidRDefault="009D241E" w:rsidP="001D508A">
      <w:pPr>
        <w:pStyle w:val="Table"/>
      </w:pPr>
      <w:bookmarkStart w:id="272" w:name="_Toc408908628"/>
      <w:r w:rsidRPr="00945C51">
        <w:t xml:space="preserve">Safeguards that are least </w:t>
      </w:r>
      <w:r>
        <w:t>prevalent</w:t>
      </w:r>
      <w:r w:rsidRPr="00945C51">
        <w:t xml:space="preserve"> for children in family proceedings</w:t>
      </w:r>
      <w:bookmarkEnd w:id="271"/>
      <w:bookmarkEnd w:id="272"/>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8C2C26" w:rsidTr="004017DA">
        <w:tc>
          <w:tcPr>
            <w:tcW w:w="8222" w:type="dxa"/>
            <w:shd w:val="clear" w:color="auto" w:fill="auto"/>
            <w:vAlign w:val="center"/>
          </w:tcPr>
          <w:p w:rsidR="009D241E" w:rsidRPr="008C2C26" w:rsidRDefault="009D241E" w:rsidP="004017DA">
            <w:pPr>
              <w:pStyle w:val="TableTextNoSpace"/>
              <w:rPr>
                <w:rFonts w:eastAsia="Calibri"/>
              </w:rPr>
            </w:pPr>
            <w:r w:rsidRPr="008C2C26">
              <w:t>Statutory provision that the information should be provided at first contact with the judicial system or other competent authorities (e.g. police, immigration, educational, social or healthcare services) (CivAdm068b) (5 jurisdictions)</w:t>
            </w:r>
          </w:p>
        </w:tc>
      </w:tr>
      <w:tr w:rsidR="009D241E" w:rsidRPr="008C2C26" w:rsidTr="004017DA">
        <w:tc>
          <w:tcPr>
            <w:tcW w:w="8222" w:type="dxa"/>
            <w:shd w:val="clear" w:color="auto" w:fill="auto"/>
            <w:vAlign w:val="center"/>
          </w:tcPr>
          <w:p w:rsidR="009D241E" w:rsidRPr="008C2C26" w:rsidRDefault="009D241E" w:rsidP="004017DA">
            <w:pPr>
              <w:pStyle w:val="TableTextNoSpace"/>
              <w:rPr>
                <w:rFonts w:eastAsia="Calibri"/>
              </w:rPr>
            </w:pPr>
            <w:r w:rsidRPr="008C2C26">
              <w:t>Statutory provision on the right of children to information in a manner that takes into account any special needs of the child about ri</w:t>
            </w:r>
            <w:r>
              <w:t>ghts and procedures(CivAdm076b)</w:t>
            </w:r>
            <w:r w:rsidRPr="008C2C26">
              <w:t xml:space="preserve"> (5 jurisdictions)</w:t>
            </w:r>
          </w:p>
        </w:tc>
      </w:tr>
      <w:tr w:rsidR="009D241E" w:rsidRPr="008C2C26" w:rsidTr="004017DA">
        <w:tc>
          <w:tcPr>
            <w:tcW w:w="8222" w:type="dxa"/>
            <w:shd w:val="clear" w:color="auto" w:fill="auto"/>
            <w:vAlign w:val="center"/>
          </w:tcPr>
          <w:p w:rsidR="009D241E" w:rsidRPr="008C2C26" w:rsidRDefault="009D241E" w:rsidP="004017DA">
            <w:pPr>
              <w:pStyle w:val="TableTextNoSpace"/>
              <w:rPr>
                <w:rFonts w:eastAsia="Calibri"/>
              </w:rPr>
            </w:pPr>
            <w:r w:rsidRPr="008C2C26">
              <w:t>Common assessment framework for all professionals working with or for children in civil and administrative proceedings (including lawyers, psychologists, physicians, immigration officials, social workers and mediators) (CivAdm101) (5 jurisdictions)</w:t>
            </w:r>
          </w:p>
        </w:tc>
      </w:tr>
      <w:tr w:rsidR="009D241E" w:rsidRPr="008C2C26" w:rsidTr="004017DA">
        <w:tc>
          <w:tcPr>
            <w:tcW w:w="8222" w:type="dxa"/>
            <w:shd w:val="clear" w:color="auto" w:fill="auto"/>
            <w:vAlign w:val="center"/>
          </w:tcPr>
          <w:p w:rsidR="009D241E" w:rsidRPr="008C2C26" w:rsidRDefault="009D241E" w:rsidP="004017DA">
            <w:pPr>
              <w:pStyle w:val="TableTextNoSpace"/>
              <w:rPr>
                <w:rFonts w:eastAsia="Calibri"/>
              </w:rPr>
            </w:pPr>
            <w:r w:rsidRPr="008C2C26">
              <w:t>Guidance for court staff and judicial authorities to ensure that court sessions are adapted to the child's pace and attention space and child's communication skills (CivAdm118) (5 jurisdictions)</w:t>
            </w:r>
          </w:p>
        </w:tc>
      </w:tr>
      <w:tr w:rsidR="009D241E" w:rsidRPr="008C2C26" w:rsidTr="004017DA">
        <w:tc>
          <w:tcPr>
            <w:tcW w:w="8222" w:type="dxa"/>
            <w:shd w:val="clear" w:color="auto" w:fill="auto"/>
            <w:vAlign w:val="center"/>
          </w:tcPr>
          <w:p w:rsidR="009D241E" w:rsidRPr="008C2C26" w:rsidRDefault="009D241E" w:rsidP="004017DA">
            <w:pPr>
              <w:pStyle w:val="TableTextNoSpace"/>
              <w:rPr>
                <w:rFonts w:eastAsia="Calibri"/>
              </w:rPr>
            </w:pPr>
            <w:r w:rsidRPr="008C2C26">
              <w:t>Guidance for lawyers who represent children to ensure they treat the child as a fully-fledged client, whose opinions are brought forward (CivAdm153) (5 jurisdictions)</w:t>
            </w:r>
          </w:p>
        </w:tc>
      </w:tr>
      <w:tr w:rsidR="009D241E" w:rsidRPr="008C2C26" w:rsidTr="004017DA">
        <w:tc>
          <w:tcPr>
            <w:tcW w:w="8222" w:type="dxa"/>
            <w:shd w:val="clear" w:color="auto" w:fill="auto"/>
            <w:vAlign w:val="center"/>
          </w:tcPr>
          <w:p w:rsidR="009D241E" w:rsidRPr="00007D34" w:rsidRDefault="009D241E" w:rsidP="004017DA">
            <w:pPr>
              <w:pStyle w:val="TableTextNoSpace"/>
            </w:pPr>
            <w:r w:rsidRPr="00007D34">
              <w:t>Statutory provision on the use by judicial authorities of restriction of liberty or detention as a measure of last resort (CivAdm171a) (5 jurisdictions)</w:t>
            </w:r>
          </w:p>
        </w:tc>
      </w:tr>
      <w:tr w:rsidR="009D241E" w:rsidRPr="008C2C26" w:rsidTr="004017DA">
        <w:tc>
          <w:tcPr>
            <w:tcW w:w="8222" w:type="dxa"/>
            <w:shd w:val="clear" w:color="auto" w:fill="auto"/>
            <w:vAlign w:val="center"/>
          </w:tcPr>
          <w:p w:rsidR="009D241E" w:rsidRPr="00007D34" w:rsidRDefault="009D241E" w:rsidP="004017DA">
            <w:pPr>
              <w:pStyle w:val="TableTextNoSpace"/>
            </w:pPr>
            <w:r w:rsidRPr="00007D34">
              <w:t>Statutory provision on the use by judicial authorities of restriction of liberty or detention for the shortest possible amount of time (CivAdm171b) (5 jurisdictions)</w:t>
            </w:r>
          </w:p>
        </w:tc>
      </w:tr>
      <w:tr w:rsidR="009D241E" w:rsidRPr="008C2C26" w:rsidTr="004017DA">
        <w:tc>
          <w:tcPr>
            <w:tcW w:w="8222" w:type="dxa"/>
            <w:shd w:val="clear" w:color="auto" w:fill="auto"/>
          </w:tcPr>
          <w:p w:rsidR="009D241E" w:rsidRPr="00007D34" w:rsidRDefault="009D241E" w:rsidP="004017DA">
            <w:pPr>
              <w:pStyle w:val="TableTextNoSpace"/>
            </w:pPr>
            <w:r w:rsidRPr="00007D34">
              <w:t>Independent system for monitoring the appropriate use of detention (CivAdm169) (4 jurisdictions)</w:t>
            </w:r>
          </w:p>
        </w:tc>
      </w:tr>
      <w:tr w:rsidR="009D241E" w:rsidRPr="008C2C26" w:rsidTr="004017DA">
        <w:tc>
          <w:tcPr>
            <w:tcW w:w="8222" w:type="dxa"/>
            <w:shd w:val="clear" w:color="auto" w:fill="auto"/>
          </w:tcPr>
          <w:p w:rsidR="009D241E" w:rsidRPr="008C2C26" w:rsidRDefault="009D241E" w:rsidP="004017DA">
            <w:pPr>
              <w:pStyle w:val="TableTextNoSpace"/>
              <w:rPr>
                <w:rFonts w:eastAsia="Calibri"/>
              </w:rPr>
            </w:pPr>
            <w:r w:rsidRPr="008C2C26">
              <w:t>Guidance or codes of conduct for judicial or other competent authorities (e.g. police, immigration, educational, social or healthcare services) to ensure that children receive information (CivAdm069) (3 jurisdictions)</w:t>
            </w:r>
          </w:p>
        </w:tc>
      </w:tr>
      <w:tr w:rsidR="009D241E" w:rsidRPr="008C2C26" w:rsidTr="004017DA">
        <w:tc>
          <w:tcPr>
            <w:tcW w:w="8222" w:type="dxa"/>
            <w:shd w:val="clear" w:color="auto" w:fill="auto"/>
          </w:tcPr>
          <w:p w:rsidR="009D241E" w:rsidRPr="008C2C26" w:rsidRDefault="009D241E" w:rsidP="004017DA">
            <w:pPr>
              <w:pStyle w:val="TableTextNoSpace"/>
              <w:rPr>
                <w:rFonts w:eastAsia="Calibri"/>
              </w:rPr>
            </w:pPr>
            <w:r w:rsidRPr="008C2C26">
              <w:t>Guidance or code of conduct for lawyers, guardians ad litem or legal representatives on how to communicate a decision or judgement to a child involved in judicial proceedings in a manner adapted to the child's level of understanding (CivAdm189) (2 jurisdictions)</w:t>
            </w:r>
          </w:p>
        </w:tc>
      </w:tr>
      <w:tr w:rsidR="009D241E" w:rsidRPr="008C2C26" w:rsidTr="004017DA">
        <w:tc>
          <w:tcPr>
            <w:tcW w:w="8222" w:type="dxa"/>
            <w:shd w:val="clear" w:color="auto" w:fill="auto"/>
          </w:tcPr>
          <w:p w:rsidR="009D241E" w:rsidRPr="008C2C26" w:rsidRDefault="009D241E" w:rsidP="004017DA">
            <w:pPr>
              <w:pStyle w:val="TableTextNoSpace"/>
            </w:pPr>
            <w:r w:rsidRPr="008C2C26">
              <w:t xml:space="preserve">Guidelines for judicial authorities on the types of cases involving children where decisions should be made directly or immediately enforceable </w:t>
            </w:r>
            <w:r>
              <w:t xml:space="preserve">(CivAdm193) </w:t>
            </w:r>
            <w:r w:rsidRPr="008C2C26">
              <w:t>(2 jurisdictions)</w:t>
            </w:r>
          </w:p>
        </w:tc>
      </w:tr>
    </w:tbl>
    <w:p w:rsidR="009D241E" w:rsidRPr="00F749C3" w:rsidRDefault="00A07B81" w:rsidP="00694BE0">
      <w:pPr>
        <w:pStyle w:val="Heading3"/>
        <w:rPr>
          <w:rFonts w:eastAsia="Calibri"/>
        </w:rPr>
      </w:pPr>
      <w:bookmarkStart w:id="273" w:name="_Toc408908756"/>
      <w:r w:rsidRPr="00F749C3">
        <w:rPr>
          <w:rFonts w:eastAsia="Calibri"/>
        </w:rPr>
        <w:t>Migration Law</w:t>
      </w:r>
      <w:bookmarkEnd w:id="273"/>
    </w:p>
    <w:p w:rsidR="009D241E" w:rsidRPr="003959DC" w:rsidRDefault="009D241E" w:rsidP="004017DA">
      <w:pPr>
        <w:pStyle w:val="BodyText"/>
      </w:pPr>
      <w:r>
        <w:t>Table 5.13</w:t>
      </w:r>
      <w:r w:rsidRPr="003959DC">
        <w:t xml:space="preserve"> provides a list of safeguards for children in migration proceedings that are present in 25 or more jurisdictions.</w:t>
      </w:r>
    </w:p>
    <w:p w:rsidR="009D241E" w:rsidRPr="0079132A" w:rsidRDefault="009D241E" w:rsidP="001D508A">
      <w:pPr>
        <w:pStyle w:val="Table"/>
      </w:pPr>
      <w:bookmarkStart w:id="274" w:name="_Toc408908629"/>
      <w:r w:rsidRPr="0079132A">
        <w:t xml:space="preserve">Safeguards that are most </w:t>
      </w:r>
      <w:r w:rsidRPr="0079132A">
        <w:rPr>
          <w:rFonts w:asciiTheme="minorHAnsi" w:hAnsiTheme="minorHAnsi"/>
        </w:rPr>
        <w:t xml:space="preserve">prevalent </w:t>
      </w:r>
      <w:r w:rsidRPr="0079132A">
        <w:t>in the area of migration law</w:t>
      </w:r>
      <w:bookmarkEnd w:id="274"/>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involved in judicial proceedings to the protection of personal data, especially in the context of processing, storing and transmitting court records </w:t>
            </w:r>
            <w:r>
              <w:t xml:space="preserve">(CivAdm085) </w:t>
            </w:r>
            <w:r w:rsidRPr="00B9002F">
              <w:t>(28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Legal obligation to appoint a guardian or advisor to represent unaccompanied and separated children, free of charge </w:t>
            </w:r>
            <w:r>
              <w:t xml:space="preserve">(CivAdm156) </w:t>
            </w:r>
            <w:r w:rsidRPr="00B9002F">
              <w:t>(28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involved in judicial proceedings to free legal aid </w:t>
            </w:r>
            <w:r>
              <w:t xml:space="preserve">(CivAdm151) </w:t>
            </w:r>
            <w:r w:rsidRPr="00B9002F">
              <w:t>(26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the child to appeal an administrative decision to restrict their liberty </w:t>
            </w:r>
            <w:r>
              <w:t xml:space="preserve">(CivAdm168) </w:t>
            </w:r>
            <w:r w:rsidRPr="00B9002F">
              <w:t>(25 jurisdictions)</w:t>
            </w:r>
          </w:p>
        </w:tc>
      </w:tr>
    </w:tbl>
    <w:p w:rsidR="009D241E" w:rsidRPr="00C504D6" w:rsidRDefault="009D241E" w:rsidP="004017DA">
      <w:pPr>
        <w:pStyle w:val="BodyText"/>
      </w:pPr>
      <w:r w:rsidRPr="00C504D6">
        <w:t>Table 5.14 identifies the safeguards that are uncommon (existing in 5 or less jurisdictions) for children in the area of migration law.</w:t>
      </w:r>
    </w:p>
    <w:p w:rsidR="009D241E" w:rsidRPr="00B9002F" w:rsidRDefault="009D241E" w:rsidP="001D508A">
      <w:pPr>
        <w:pStyle w:val="Table"/>
      </w:pPr>
      <w:bookmarkStart w:id="275" w:name="_Toc408908630"/>
      <w:r w:rsidRPr="00B9002F">
        <w:t xml:space="preserve">Safeguards that are least </w:t>
      </w:r>
      <w:r>
        <w:t>prevalent</w:t>
      </w:r>
      <w:r w:rsidRPr="007B3674">
        <w:t xml:space="preserve"> </w:t>
      </w:r>
      <w:r w:rsidRPr="00B9002F">
        <w:t>for children in migration proceedings</w:t>
      </w:r>
      <w:bookmarkEnd w:id="275"/>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B9002F" w:rsidTr="004017DA">
        <w:tc>
          <w:tcPr>
            <w:tcW w:w="8222" w:type="dxa"/>
            <w:shd w:val="clear" w:color="auto" w:fill="auto"/>
          </w:tcPr>
          <w:p w:rsidR="009D241E" w:rsidRPr="00B9002F" w:rsidRDefault="009D241E" w:rsidP="004017DA">
            <w:pPr>
              <w:pStyle w:val="TableTextNoSpace"/>
            </w:pPr>
            <w:r w:rsidRPr="00B9002F">
              <w:t xml:space="preserve">Discretionary powers of the judge or court to grant a dispensation as to the minimum age a child can bring a case to court in their own right </w:t>
            </w:r>
            <w:r>
              <w:t xml:space="preserve">(CivAdm046)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Legal obligation to provide training to professionals having direct contact with children in communicating with them at all ages and stages of development </w:t>
            </w:r>
            <w:r>
              <w:t xml:space="preserve">(CivAdm097a)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Guidance for judicial authorities on avoiding undue delay of judicial proceedings affecting children </w:t>
            </w:r>
            <w:r>
              <w:t xml:space="preserve">(CivAdm106)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Legal obligation to conduct court hearings with children in non-intimidating and child sensitive environments </w:t>
            </w:r>
            <w:r>
              <w:t xml:space="preserve">(CivAdm109)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Guidance for court staff and judicial authorities to ensure that court sessions are adapted to the child's pace and attention space and child's communication skills </w:t>
            </w:r>
            <w:r>
              <w:t xml:space="preserve">(CivAdm118)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Guidance or code of conduct for judicial authorities to ensure that the right to be heard of the child is respected </w:t>
            </w:r>
            <w:r>
              <w:t xml:space="preserve">(CivAdm128)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Guidance or code of conduct for lawyers, guardians ad litem or legal representatives on how to communicate a decision or judgement to a child involved in judicial proceedings in a manner adapted to the child's level of understanding </w:t>
            </w:r>
            <w:r>
              <w:t xml:space="preserve">(CivAdm189) </w:t>
            </w:r>
            <w:r w:rsidRPr="00B9002F">
              <w:t>(3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Guidance or codes of conduct for judicial or other competent authorities (e.g. police, immigration, educational, social or healthcare services) to ensure that children receive information </w:t>
            </w:r>
            <w:r>
              <w:t xml:space="preserve">(CivAdm069) </w:t>
            </w:r>
            <w:r w:rsidRPr="00B9002F">
              <w:t>(2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to information in a child-friendly format about rights and procedures </w:t>
            </w:r>
            <w:r>
              <w:t xml:space="preserve">(CivAdm076a) </w:t>
            </w:r>
            <w:r w:rsidRPr="00B9002F">
              <w:t>(2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to information in a manner that takes into account any special needs of the child about rights and procedures </w:t>
            </w:r>
            <w:r>
              <w:t xml:space="preserve">(CivAdm076b) </w:t>
            </w:r>
            <w:r w:rsidRPr="00B9002F">
              <w:t>(2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Common assessment framework for all professionals working with or for children in civil and administrative proceedings (including lawyers, psychologists, physicians, immigration officials, social workers and mediators) </w:t>
            </w:r>
            <w:r>
              <w:t xml:space="preserve">(CivAdm101) </w:t>
            </w:r>
            <w:r w:rsidRPr="00B9002F">
              <w:t>(2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Guidelines to protect children from harmful images during judicial proceedings</w:t>
            </w:r>
            <w:r>
              <w:t xml:space="preserve"> (CivAdm123) </w:t>
            </w:r>
            <w:r w:rsidRPr="00B9002F">
              <w:t>(2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Legal obligation to communicate a decision or judgement in a manner adapted to the child's level of understanding</w:t>
            </w:r>
            <w:r>
              <w:t xml:space="preserve"> (CivAdm188b) </w:t>
            </w:r>
            <w:r w:rsidRPr="00B9002F">
              <w:t xml:space="preserve"> (2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to ensure that court sessions are adapted to the child's pace and attention span and child's communication skills (e.g. provision for the adoption of regular breaks in court sessions) </w:t>
            </w:r>
            <w:r>
              <w:t xml:space="preserve">(CivAdm117) </w:t>
            </w:r>
            <w:r w:rsidRPr="00B9002F">
              <w:t>(1 jurisdiction)</w:t>
            </w:r>
          </w:p>
        </w:tc>
      </w:tr>
      <w:tr w:rsidR="009D241E" w:rsidRPr="00B9002F" w:rsidTr="004017DA">
        <w:tc>
          <w:tcPr>
            <w:tcW w:w="8222" w:type="dxa"/>
            <w:shd w:val="clear" w:color="auto" w:fill="auto"/>
          </w:tcPr>
          <w:p w:rsidR="009D241E" w:rsidRPr="00B9002F" w:rsidRDefault="009D241E" w:rsidP="004017DA">
            <w:pPr>
              <w:pStyle w:val="TableTextNoSpace"/>
            </w:pPr>
            <w:r w:rsidRPr="00B9002F">
              <w:t>Guidelines for judicial authorities on the types of cases involving children where decisions should be made directly or immediately enforceable</w:t>
            </w:r>
            <w:r>
              <w:t xml:space="preserve"> (CivAdm193)</w:t>
            </w:r>
            <w:r w:rsidRPr="00B9002F">
              <w:t xml:space="preserve"> (1 jurisdiction)</w:t>
            </w:r>
          </w:p>
        </w:tc>
      </w:tr>
    </w:tbl>
    <w:p w:rsidR="009D241E" w:rsidRPr="00F749C3" w:rsidRDefault="00A07B81" w:rsidP="00694BE0">
      <w:pPr>
        <w:pStyle w:val="Heading3"/>
        <w:rPr>
          <w:rFonts w:eastAsia="Calibri"/>
        </w:rPr>
      </w:pPr>
      <w:bookmarkStart w:id="276" w:name="_Toc408908757"/>
      <w:r w:rsidRPr="00F749C3">
        <w:rPr>
          <w:rFonts w:eastAsia="Calibri"/>
        </w:rPr>
        <w:t>Asylum Law</w:t>
      </w:r>
      <w:bookmarkEnd w:id="276"/>
    </w:p>
    <w:p w:rsidR="009D241E" w:rsidRPr="00C504D6" w:rsidRDefault="009D241E" w:rsidP="004017DA">
      <w:pPr>
        <w:pStyle w:val="BodyText"/>
      </w:pPr>
      <w:r>
        <w:t>Table 5.15</w:t>
      </w:r>
      <w:r w:rsidRPr="00C504D6">
        <w:t xml:space="preserve"> provides a list of safeguards for children in asylum proceedings that are present in 25 or more jurisdictions</w:t>
      </w:r>
    </w:p>
    <w:p w:rsidR="009D241E" w:rsidRPr="00B9002F" w:rsidRDefault="009D241E" w:rsidP="001D508A">
      <w:pPr>
        <w:pStyle w:val="Table"/>
      </w:pPr>
      <w:bookmarkStart w:id="277" w:name="_Toc408908631"/>
      <w:r w:rsidRPr="00B9002F">
        <w:t xml:space="preserve">Safeguards that are most </w:t>
      </w:r>
      <w:r>
        <w:t>prevalent</w:t>
      </w:r>
      <w:r w:rsidRPr="007B3674">
        <w:t xml:space="preserve"> </w:t>
      </w:r>
      <w:r w:rsidRPr="00B9002F">
        <w:t>in the area of asylum</w:t>
      </w:r>
      <w:bookmarkEnd w:id="277"/>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B9002F" w:rsidTr="004017DA">
        <w:tc>
          <w:tcPr>
            <w:tcW w:w="8222" w:type="dxa"/>
            <w:shd w:val="clear" w:color="auto" w:fill="auto"/>
          </w:tcPr>
          <w:p w:rsidR="009D241E" w:rsidRPr="00B9002F" w:rsidRDefault="009D241E" w:rsidP="004017DA">
            <w:pPr>
              <w:pStyle w:val="TableTextNoSpace"/>
            </w:pPr>
            <w:r w:rsidRPr="00B9002F">
              <w:t>Legal obligation to appoint a guardian or advisor to represent unaccompanied and separated children, free of charge</w:t>
            </w:r>
            <w:r>
              <w:t xml:space="preserve"> (CivAdm156)</w:t>
            </w:r>
            <w:r w:rsidRPr="00B9002F">
              <w:t xml:space="preserve"> (30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Statutory provision on the right of children involved in judicial proceedings to the protection of personal data, especially in the context of processing, storing and transmitting court records</w:t>
            </w:r>
            <w:r>
              <w:t xml:space="preserve"> (CivAdm085) </w:t>
            </w:r>
            <w:r w:rsidRPr="00B9002F">
              <w:t xml:space="preserve"> (28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involved in judicial proceedings to free legal aid </w:t>
            </w:r>
            <w:r>
              <w:t xml:space="preserve">(CivAdm151) </w:t>
            </w:r>
            <w:r w:rsidRPr="00B9002F">
              <w:t>(27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the child to appeal an administrative decision to restrict their liberty </w:t>
            </w:r>
            <w:r>
              <w:t xml:space="preserve">(CivAdm168) </w:t>
            </w:r>
            <w:r w:rsidRPr="00B9002F">
              <w:t>(</w:t>
            </w:r>
            <w:r w:rsidR="00317A72" w:rsidRPr="00B9002F">
              <w:t>2</w:t>
            </w:r>
            <w:r w:rsidR="009C2E54">
              <w:t>5</w:t>
            </w:r>
            <w:r w:rsidRPr="00B9002F">
              <w:t xml:space="preserve"> jurisdictions)</w:t>
            </w:r>
          </w:p>
        </w:tc>
      </w:tr>
    </w:tbl>
    <w:p w:rsidR="009D241E" w:rsidRPr="00C504D6" w:rsidRDefault="009D241E" w:rsidP="004017DA">
      <w:pPr>
        <w:pStyle w:val="BodyText"/>
      </w:pPr>
      <w:r w:rsidRPr="00C504D6">
        <w:t>Table 5.16 identifies the safeguards that are uncommon (existing in five or less jurisdictions) for children in the area of asylum law.</w:t>
      </w:r>
    </w:p>
    <w:p w:rsidR="009D241E" w:rsidRPr="00B9002F" w:rsidRDefault="009D241E" w:rsidP="001D508A">
      <w:pPr>
        <w:pStyle w:val="Table"/>
      </w:pPr>
      <w:bookmarkStart w:id="278" w:name="_Toc408908632"/>
      <w:r w:rsidRPr="00B9002F">
        <w:t xml:space="preserve">Safeguards that are least </w:t>
      </w:r>
      <w:r>
        <w:t>prevalent</w:t>
      </w:r>
      <w:r w:rsidRPr="007B3674">
        <w:t xml:space="preserve"> </w:t>
      </w:r>
      <w:r w:rsidRPr="00B9002F">
        <w:t>for children in asylum proceedings</w:t>
      </w:r>
      <w:bookmarkEnd w:id="278"/>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B9002F" w:rsidTr="004017DA">
        <w:tc>
          <w:tcPr>
            <w:tcW w:w="8222" w:type="dxa"/>
            <w:shd w:val="clear" w:color="auto" w:fill="auto"/>
          </w:tcPr>
          <w:p w:rsidR="009D241E" w:rsidRPr="00B9002F" w:rsidRDefault="009D241E" w:rsidP="004017DA">
            <w:pPr>
              <w:pStyle w:val="TableTextNoSpace"/>
            </w:pPr>
            <w:r w:rsidRPr="00B9002F">
              <w:t xml:space="preserve">Discretionary powers of the judge or court to grant a dispensation as to the minimum age a child can bring a case to court in their own right </w:t>
            </w:r>
            <w:r>
              <w:t xml:space="preserve">(CivAdm046)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Legal obligation to provide training to professionals having direct contact with children in communicating with them at all ages and stages of development </w:t>
            </w:r>
            <w:r>
              <w:t xml:space="preserve">(CivAdm097a)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Guidance for judicial authorities on avoiding undue delay of judicial proceedings affecting children </w:t>
            </w:r>
            <w:r>
              <w:t xml:space="preserve">(CivAdm106)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Legal obligation to conduct court hearings with children in non-intimidating and child sensitive environments </w:t>
            </w:r>
            <w:r>
              <w:t xml:space="preserve">(CivAdm109)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Guidance for court staff and judicial authorities to ensure that court sessions are adapted to the child's pace and attention space and child's communication skills</w:t>
            </w:r>
            <w:r>
              <w:t xml:space="preserve"> (CivAdm118)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Guidance or code of conduct for judicial authorities to ensure that the right to be heard of the child is respected</w:t>
            </w:r>
            <w:r>
              <w:t xml:space="preserve"> (CivAdm128) </w:t>
            </w:r>
            <w:r w:rsidRPr="00B9002F">
              <w:t>(5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to information in a child-friendly format about rights and procedures </w:t>
            </w:r>
            <w:r>
              <w:t xml:space="preserve">(CivAdm076a) </w:t>
            </w:r>
            <w:r w:rsidRPr="00B9002F">
              <w:t>(3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Guidance or code of conduct for lawyers, guardians ad litem or legal representatives on how to communicate a decision or judgement to a child involved in judicial proceedings in a manner adapted to the child's level of understanding</w:t>
            </w:r>
            <w:r>
              <w:t xml:space="preserve"> (CivAdm189)</w:t>
            </w:r>
            <w:r w:rsidRPr="00B9002F">
              <w:t xml:space="preserve"> (3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on the right of children to information in a manner that takes into account any special needs of the child about rights and procedures </w:t>
            </w:r>
            <w:r>
              <w:t xml:space="preserve">(CivAdm076b) </w:t>
            </w:r>
            <w:r w:rsidRPr="00B9002F">
              <w:t>(2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Common assessment framework for all professionals working with or for children in civil and administrative proceedings (including lawyers, psychologists, physicians, immigration officials, social workers and mediators)</w:t>
            </w:r>
            <w:r>
              <w:t xml:space="preserve"> (CivAdm101)</w:t>
            </w:r>
            <w:r w:rsidRPr="00B9002F">
              <w:t xml:space="preserve"> (2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Guidelines to protect children from harmful images during judicial proceedings</w:t>
            </w:r>
            <w:r>
              <w:t xml:space="preserve"> (CivAdm123)</w:t>
            </w:r>
            <w:r w:rsidRPr="00B9002F">
              <w:t xml:space="preserve"> (2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Legal obligation to communicate a decision or judgement in a manner adapted to the child's level of understanding</w:t>
            </w:r>
            <w:r>
              <w:t xml:space="preserve"> (CivAdm188b)</w:t>
            </w:r>
            <w:r w:rsidRPr="00B9002F">
              <w:t xml:space="preserve"> (2 jurisdictions)</w:t>
            </w:r>
          </w:p>
        </w:tc>
      </w:tr>
      <w:tr w:rsidR="009D241E" w:rsidRPr="00B9002F" w:rsidTr="004017DA">
        <w:tc>
          <w:tcPr>
            <w:tcW w:w="8222" w:type="dxa"/>
            <w:shd w:val="clear" w:color="auto" w:fill="auto"/>
          </w:tcPr>
          <w:p w:rsidR="009D241E" w:rsidRPr="00B9002F" w:rsidRDefault="009D241E" w:rsidP="004017DA">
            <w:pPr>
              <w:pStyle w:val="TableTextNoSpace"/>
            </w:pPr>
            <w:r w:rsidRPr="00B9002F">
              <w:t>Guidance or codes of conduct for judicial or other competent authorities (e.g. police, immigration, educational, social or healthcare services) to ensure that children receive information</w:t>
            </w:r>
            <w:r>
              <w:t xml:space="preserve"> (CivAdm069) </w:t>
            </w:r>
            <w:r w:rsidRPr="00B9002F">
              <w:t xml:space="preserve"> (1 jurisdiction)</w:t>
            </w:r>
          </w:p>
        </w:tc>
      </w:tr>
      <w:tr w:rsidR="009D241E" w:rsidRPr="00B9002F" w:rsidTr="004017DA">
        <w:tc>
          <w:tcPr>
            <w:tcW w:w="8222" w:type="dxa"/>
            <w:shd w:val="clear" w:color="auto" w:fill="auto"/>
          </w:tcPr>
          <w:p w:rsidR="009D241E" w:rsidRPr="00B9002F" w:rsidRDefault="009D241E" w:rsidP="004017DA">
            <w:pPr>
              <w:pStyle w:val="TableTextNoSpace"/>
            </w:pPr>
            <w:r w:rsidRPr="00B9002F">
              <w:t xml:space="preserve">Statutory provision to ensure that court sessions are adapted to the child's pace and attention span and child's communication skills (e.g. provision for the adoption of regular breaks in court sessions) </w:t>
            </w:r>
            <w:r>
              <w:t xml:space="preserve">(CivAdm117) </w:t>
            </w:r>
            <w:r w:rsidRPr="00B9002F">
              <w:t>(1 jurisdiction)</w:t>
            </w:r>
          </w:p>
        </w:tc>
      </w:tr>
      <w:tr w:rsidR="009D241E" w:rsidRPr="00B9002F" w:rsidTr="004017DA">
        <w:tc>
          <w:tcPr>
            <w:tcW w:w="8222" w:type="dxa"/>
            <w:shd w:val="clear" w:color="auto" w:fill="auto"/>
          </w:tcPr>
          <w:p w:rsidR="009D241E" w:rsidRPr="00B9002F" w:rsidRDefault="009D241E" w:rsidP="004017DA">
            <w:pPr>
              <w:pStyle w:val="TableTextNoSpace"/>
            </w:pPr>
            <w:r w:rsidRPr="00B9002F">
              <w:t>Guidelines for judicial authorities on the types of cases involving children where decisions should be made directly or immediately enforceable</w:t>
            </w:r>
            <w:r>
              <w:t xml:space="preserve"> (CivAdm193)</w:t>
            </w:r>
            <w:r w:rsidRPr="00B9002F">
              <w:t xml:space="preserve"> (1 jurisdiction)</w:t>
            </w:r>
          </w:p>
        </w:tc>
      </w:tr>
    </w:tbl>
    <w:p w:rsidR="009D241E" w:rsidRPr="00F749C3" w:rsidRDefault="00A07B81" w:rsidP="00694BE0">
      <w:pPr>
        <w:pStyle w:val="Heading3"/>
        <w:rPr>
          <w:rFonts w:eastAsia="Calibri"/>
        </w:rPr>
      </w:pPr>
      <w:bookmarkStart w:id="279" w:name="_Toc408908758"/>
      <w:r w:rsidRPr="00F749C3">
        <w:rPr>
          <w:rFonts w:eastAsia="Calibri"/>
        </w:rPr>
        <w:t>Health Law</w:t>
      </w:r>
      <w:bookmarkEnd w:id="279"/>
    </w:p>
    <w:p w:rsidR="009D241E" w:rsidRPr="009D7851" w:rsidRDefault="009D241E" w:rsidP="004017DA">
      <w:pPr>
        <w:pStyle w:val="BodyText"/>
      </w:pPr>
      <w:r w:rsidRPr="00C504D6">
        <w:t xml:space="preserve">Table </w:t>
      </w:r>
      <w:r>
        <w:t>5.17</w:t>
      </w:r>
      <w:r w:rsidRPr="00C504D6">
        <w:t xml:space="preserve"> provides a list of safeguards for children in health proceedings that are present in 25 or more jurisdictions</w:t>
      </w:r>
      <w:r w:rsidRPr="009D7851">
        <w:t>.</w:t>
      </w:r>
    </w:p>
    <w:p w:rsidR="009D241E" w:rsidRPr="0079132A" w:rsidRDefault="009D241E" w:rsidP="001D508A">
      <w:pPr>
        <w:pStyle w:val="Table"/>
      </w:pPr>
      <w:bookmarkStart w:id="280" w:name="_Toc408908633"/>
      <w:r w:rsidRPr="0079132A">
        <w:t xml:space="preserve">Safeguards that are most </w:t>
      </w:r>
      <w:r w:rsidRPr="0079132A">
        <w:rPr>
          <w:rFonts w:asciiTheme="minorHAnsi" w:hAnsiTheme="minorHAnsi"/>
        </w:rPr>
        <w:t xml:space="preserve">prevalent </w:t>
      </w:r>
      <w:r w:rsidRPr="0079132A">
        <w:t>in the area of health law</w:t>
      </w:r>
      <w:bookmarkEnd w:id="280"/>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right of children involved in judicial proceedings to the protection of personal data, especially in the context of processing, storing and transmitting court records </w:t>
            </w:r>
            <w:r>
              <w:t>(CivAdm0</w:t>
            </w:r>
            <w:r w:rsidRPr="007B3674">
              <w:t>85</w:t>
            </w:r>
            <w:r>
              <w:t xml:space="preserve">) </w:t>
            </w:r>
            <w:r w:rsidRPr="007B3674">
              <w:t>(29 jurisdictions)</w:t>
            </w:r>
          </w:p>
        </w:tc>
      </w:tr>
      <w:tr w:rsidR="009D241E" w:rsidRPr="007B3674" w:rsidTr="004017DA">
        <w:tc>
          <w:tcPr>
            <w:tcW w:w="8222" w:type="dxa"/>
            <w:shd w:val="clear" w:color="auto" w:fill="auto"/>
          </w:tcPr>
          <w:p w:rsidR="009D241E" w:rsidRPr="007B3674" w:rsidRDefault="009D241E" w:rsidP="004017DA">
            <w:pPr>
              <w:pStyle w:val="TableTextNoSpace"/>
            </w:pPr>
            <w:r>
              <w:t>L</w:t>
            </w:r>
            <w:r w:rsidRPr="007B3674">
              <w:t>egal obligation to appoint a guardian or advisor to represent unaccompanied and separated children, free of charge</w:t>
            </w:r>
            <w:r>
              <w:t xml:space="preserve"> (CivAdm</w:t>
            </w:r>
            <w:r w:rsidRPr="007B3674">
              <w:t>156</w:t>
            </w:r>
            <w:r>
              <w:t xml:space="preserve">) </w:t>
            </w:r>
            <w:r w:rsidRPr="007B3674">
              <w:t>(25 jurisdictions)</w:t>
            </w:r>
          </w:p>
        </w:tc>
      </w:tr>
    </w:tbl>
    <w:p w:rsidR="009D241E" w:rsidRPr="00C504D6" w:rsidRDefault="009D241E" w:rsidP="004017DA">
      <w:pPr>
        <w:pStyle w:val="BodyText"/>
      </w:pPr>
      <w:r>
        <w:t>Table 5.17</w:t>
      </w:r>
      <w:r w:rsidRPr="00C504D6">
        <w:t xml:space="preserve"> identifies the safeguards that are uncommon (existing in five or less jurisdictions) for children in the area of health.</w:t>
      </w:r>
    </w:p>
    <w:p w:rsidR="009D241E" w:rsidRPr="007B3674" w:rsidRDefault="009D241E" w:rsidP="001D508A">
      <w:pPr>
        <w:pStyle w:val="Table"/>
      </w:pPr>
      <w:bookmarkStart w:id="281" w:name="_Toc408908634"/>
      <w:r w:rsidRPr="007B3674">
        <w:t xml:space="preserve">Safeguards that are least </w:t>
      </w:r>
      <w:r>
        <w:t>prevalent</w:t>
      </w:r>
      <w:r w:rsidRPr="007B3674">
        <w:t xml:space="preserve"> for children in health proceedings</w:t>
      </w:r>
      <w:bookmarkEnd w:id="281"/>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conditions attached to representation of the child by a legal representative or guardian (e.g. signed written consent by the child) </w:t>
            </w:r>
            <w:r>
              <w:t xml:space="preserve">(CivAdm049)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that the information should be provided at first contact with the judicial system or other competent authorities (e.g. police, immigration, educational, social or healthcare services) </w:t>
            </w:r>
            <w:r>
              <w:t>(CivAdm0</w:t>
            </w:r>
            <w:r w:rsidRPr="007B3674">
              <w:t>68b</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Formalised operational cooperation procedures to facilitate interactions between criminal, civil and administrative judicial proceedings </w:t>
            </w:r>
            <w:r>
              <w:t>(CivAdm</w:t>
            </w:r>
            <w:r w:rsidRPr="007B3674">
              <w:t>103</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Legal obligation to conduct court hearings with children in non-intimidating and child sensitive environments </w:t>
            </w:r>
            <w:r>
              <w:t>(CivAdm</w:t>
            </w:r>
            <w:r w:rsidRPr="007B3674">
              <w:t>109</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Legal obligation to provide training to professionals having direct contact with children in communicating with them at all ages and stages of development </w:t>
            </w:r>
            <w:r>
              <w:t>(CivAdm0</w:t>
            </w:r>
            <w:r w:rsidRPr="007B3674">
              <w:t>97a</w:t>
            </w:r>
            <w:r>
              <w:t xml:space="preserve">)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for judicial authorities on avoiding undue delay of judicial proceedings affecting children </w:t>
            </w:r>
            <w:r>
              <w:t>(CivAdm</w:t>
            </w:r>
            <w:r w:rsidRPr="007B3674">
              <w:t>106</w:t>
            </w:r>
            <w:r>
              <w:t xml:space="preserve">)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for court staff and judicial authorities to ensure that court sessions are adapted to the child's pace and attention space and child's communication skills </w:t>
            </w:r>
            <w:r>
              <w:t>(CivAdm</w:t>
            </w:r>
            <w:r w:rsidRPr="007B3674">
              <w:t>118</w:t>
            </w:r>
            <w:r>
              <w:t xml:space="preserve">)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or code of conduct for judicial authorities to ensure that the right to be heard of the child is respected </w:t>
            </w:r>
            <w:r>
              <w:t>(CivAdm</w:t>
            </w:r>
            <w:r w:rsidRPr="007B3674">
              <w:t>128</w:t>
            </w:r>
            <w:r>
              <w:t xml:space="preserve">)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Legal obligation to communicate a decision or judgement in a manner adapted to the child's level of understanding </w:t>
            </w:r>
            <w:r>
              <w:t>(CivAdm</w:t>
            </w:r>
            <w:r w:rsidRPr="007B3674">
              <w:t>188b</w:t>
            </w:r>
            <w:r>
              <w:t xml:space="preserve">) </w:t>
            </w:r>
            <w:r w:rsidRPr="007B3674">
              <w:t>(3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right of children to information in a child-friendly format about rights and procedures </w:t>
            </w:r>
            <w:r>
              <w:t>(CivAdm0</w:t>
            </w:r>
            <w:r w:rsidRPr="007B3674">
              <w:t>76a</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right of children to information in a manner that takes into account any special needs of the child about rights and procedures </w:t>
            </w:r>
            <w:r>
              <w:t>(CivAdm0</w:t>
            </w:r>
            <w:r w:rsidRPr="007B3674">
              <w:t>76b</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Common assessment framework for all professionals working with or for children in civil and administrative proceedings (including lawyers, psychologists, physicians, immigration officials, social workers and mediators) </w:t>
            </w:r>
            <w:r>
              <w:t>(CivAdm</w:t>
            </w:r>
            <w:r w:rsidRPr="007B3674">
              <w:t>101</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Guidelines to protect children from harmful images during judicial proceedings</w:t>
            </w:r>
            <w:r>
              <w:t xml:space="preserve"> (CivAdm</w:t>
            </w:r>
            <w:r w:rsidRPr="007B3674">
              <w:t>123</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or code of conduct for lawyers, guardians ad litem or legal representatives on how to communicate a decision or judgement to a child involved in judicial proceedings in a manner adapted to the child's level of understanding </w:t>
            </w:r>
            <w:r>
              <w:t>(CivAdm</w:t>
            </w:r>
            <w:r w:rsidRPr="007B3674">
              <w:t>189</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or codes of conduct for judicial or other competent authorities (e.g. police, immigration, educational, social or healthcare services) to ensure that children receive information </w:t>
            </w:r>
            <w:r>
              <w:t>(CivAdm0</w:t>
            </w:r>
            <w:r w:rsidRPr="007B3674">
              <w:t>69</w:t>
            </w:r>
            <w:r>
              <w:t xml:space="preserve">) </w:t>
            </w:r>
            <w:r w:rsidRPr="007B3674">
              <w:t>(1 jurisdiction)</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to ensure that court sessions are adapted to the child's pace and attention span and child's communication skills (e.g. provision for the adoption of regular breaks in court sessions) </w:t>
            </w:r>
            <w:r>
              <w:t>(CivAdm</w:t>
            </w:r>
            <w:r w:rsidRPr="007B3674">
              <w:t>117</w:t>
            </w:r>
            <w:r>
              <w:t xml:space="preserve">) </w:t>
            </w:r>
            <w:r w:rsidRPr="007B3674">
              <w:t>(1 jurisdiction)</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Guidelines for judicial authorities on the types of cases involving children where decisions should be made directly or immediately enforceable </w:t>
            </w:r>
            <w:r>
              <w:t>(CivAdm</w:t>
            </w:r>
            <w:r w:rsidRPr="007B3674">
              <w:t>193</w:t>
            </w:r>
            <w:r>
              <w:t xml:space="preserve">) </w:t>
            </w:r>
            <w:r w:rsidRPr="007B3674">
              <w:t>(1 jurisdiction)</w:t>
            </w:r>
          </w:p>
        </w:tc>
      </w:tr>
    </w:tbl>
    <w:p w:rsidR="009D241E" w:rsidRPr="00F749C3" w:rsidRDefault="00A07B81" w:rsidP="00694BE0">
      <w:pPr>
        <w:pStyle w:val="Heading3"/>
        <w:rPr>
          <w:rFonts w:eastAsia="Calibri"/>
        </w:rPr>
      </w:pPr>
      <w:bookmarkStart w:id="282" w:name="_Toc408908759"/>
      <w:r w:rsidRPr="00F749C3">
        <w:rPr>
          <w:rFonts w:eastAsia="Calibri"/>
        </w:rPr>
        <w:t>Administrative Sanctions</w:t>
      </w:r>
      <w:bookmarkEnd w:id="282"/>
    </w:p>
    <w:p w:rsidR="009D241E" w:rsidRPr="00C504D6" w:rsidRDefault="009D241E" w:rsidP="004017DA">
      <w:pPr>
        <w:pStyle w:val="BodyText"/>
      </w:pPr>
      <w:r w:rsidRPr="00C504D6">
        <w:t>Table 5.19 provides a list of safeguards for children in proceedings on administrative sanctions that are present in 25 or more jurisdictions.</w:t>
      </w:r>
    </w:p>
    <w:p w:rsidR="009D241E" w:rsidRPr="0079132A" w:rsidRDefault="009D241E" w:rsidP="001D508A">
      <w:pPr>
        <w:pStyle w:val="Table"/>
      </w:pPr>
      <w:bookmarkStart w:id="283" w:name="_Toc408908635"/>
      <w:r w:rsidRPr="0079132A">
        <w:t xml:space="preserve">Safeguards that are most </w:t>
      </w:r>
      <w:r w:rsidRPr="0079132A">
        <w:rPr>
          <w:rFonts w:asciiTheme="minorHAnsi" w:hAnsiTheme="minorHAnsi"/>
        </w:rPr>
        <w:t xml:space="preserve">prevalent </w:t>
      </w:r>
      <w:r w:rsidRPr="0079132A">
        <w:t>in the area of administrative sanctions</w:t>
      </w:r>
      <w:bookmarkEnd w:id="283"/>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161EEE" w:rsidTr="004017DA">
        <w:tc>
          <w:tcPr>
            <w:tcW w:w="8222" w:type="dxa"/>
            <w:shd w:val="clear" w:color="auto" w:fill="auto"/>
          </w:tcPr>
          <w:p w:rsidR="009D241E" w:rsidRPr="00161EEE" w:rsidRDefault="009D241E" w:rsidP="004017DA">
            <w:pPr>
              <w:pStyle w:val="TableTextNoSpace"/>
            </w:pPr>
            <w:r w:rsidRPr="00161EEE">
              <w:t xml:space="preserve">Statutory provision on the right of children involved in judicial proceedings to the protection of personal data, especially in the context of processing, storing and transmitting court records </w:t>
            </w:r>
            <w:r>
              <w:rPr>
                <w:rFonts w:eastAsia="Calibri"/>
              </w:rPr>
              <w:t xml:space="preserve">(CivAdm085) </w:t>
            </w:r>
            <w:r w:rsidRPr="00161EEE">
              <w:t>(25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Procedures to ensure that the records of children are kept strictly confidential and closed to third parties </w:t>
            </w:r>
            <w:r>
              <w:rPr>
                <w:rFonts w:eastAsia="Calibri"/>
              </w:rPr>
              <w:t>(CivAdm0</w:t>
            </w:r>
            <w:r w:rsidRPr="00161EEE">
              <w:t>86a</w:t>
            </w:r>
            <w:r>
              <w:rPr>
                <w:rFonts w:eastAsia="Calibri"/>
              </w:rPr>
              <w:t xml:space="preserve">) </w:t>
            </w:r>
            <w:r w:rsidRPr="00161EEE">
              <w:t>(25 jurisdictions)</w:t>
            </w:r>
          </w:p>
        </w:tc>
      </w:tr>
    </w:tbl>
    <w:p w:rsidR="009D241E" w:rsidRPr="00C504D6" w:rsidRDefault="009D241E" w:rsidP="004017DA">
      <w:pPr>
        <w:pStyle w:val="BodyText"/>
      </w:pPr>
      <w:r w:rsidRPr="00C504D6">
        <w:t>Table 5.20 identifies the safeguards that are uncommon (existing in five or less jurisdictions) for children in the area of administrative sanctions.</w:t>
      </w:r>
    </w:p>
    <w:p w:rsidR="009D241E" w:rsidRPr="00161EEE" w:rsidRDefault="009D241E" w:rsidP="001D508A">
      <w:pPr>
        <w:pStyle w:val="Table"/>
      </w:pPr>
      <w:bookmarkStart w:id="284" w:name="_Toc408908636"/>
      <w:r w:rsidRPr="00161EEE">
        <w:t xml:space="preserve">Safeguards that are least </w:t>
      </w:r>
      <w:r>
        <w:t>prevalent</w:t>
      </w:r>
      <w:r w:rsidRPr="007B3674">
        <w:t xml:space="preserve"> </w:t>
      </w:r>
      <w:r w:rsidRPr="00161EEE">
        <w:t>for children in proceedings on administrative sanctions</w:t>
      </w:r>
      <w:bookmarkEnd w:id="284"/>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161EEE" w:rsidTr="004017DA">
        <w:tc>
          <w:tcPr>
            <w:tcW w:w="8222" w:type="dxa"/>
            <w:shd w:val="clear" w:color="auto" w:fill="auto"/>
          </w:tcPr>
          <w:p w:rsidR="009D241E" w:rsidRPr="00161EEE" w:rsidRDefault="009D241E" w:rsidP="004017DA">
            <w:pPr>
              <w:pStyle w:val="TableTextNoSpace"/>
            </w:pPr>
            <w:r w:rsidRPr="00161EEE">
              <w:t xml:space="preserve">Discretionary powers of the judge or court to grant a dispensation as to the minimum age a child can bring a case to court in their own right </w:t>
            </w:r>
            <w:r>
              <w:rPr>
                <w:rFonts w:eastAsia="Calibri"/>
              </w:rPr>
              <w:t>(CivAdm0</w:t>
            </w:r>
            <w:r w:rsidRPr="00161EEE">
              <w:t>46</w:t>
            </w:r>
            <w:r>
              <w:rPr>
                <w:rFonts w:eastAsia="Calibri"/>
              </w:rPr>
              <w:t xml:space="preserve">) </w:t>
            </w:r>
            <w:r w:rsidRPr="00161EEE">
              <w:t>(5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Statutory provision that the information should be provided at first contact with the judicial system or other competent authorities (e.g. police, immigration, educational, social or healthcare services) </w:t>
            </w:r>
            <w:r>
              <w:rPr>
                <w:rFonts w:eastAsia="Calibri"/>
              </w:rPr>
              <w:t>(CivAdm0</w:t>
            </w:r>
            <w:r w:rsidRPr="00161EEE">
              <w:t>68b</w:t>
            </w:r>
            <w:r>
              <w:rPr>
                <w:rFonts w:eastAsia="Calibri"/>
              </w:rPr>
              <w:t xml:space="preserve">) </w:t>
            </w:r>
            <w:r w:rsidRPr="00161EEE">
              <w:t>(5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Legal obligation to provide multidisciplinary training (as part of capacity building programme) to all professionals who work for and with children on the rights and needs of children of different age groups as well as on proceedings that are adapted to them </w:t>
            </w:r>
            <w:r>
              <w:rPr>
                <w:rFonts w:eastAsia="Calibri"/>
              </w:rPr>
              <w:t>(CivAdm0</w:t>
            </w:r>
            <w:r w:rsidRPr="00161EEE">
              <w:t>94a</w:t>
            </w:r>
            <w:r>
              <w:rPr>
                <w:rFonts w:eastAsia="Calibri"/>
              </w:rPr>
              <w:t xml:space="preserve">) </w:t>
            </w:r>
            <w:r w:rsidRPr="00161EEE">
              <w:t>(5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Formalised operational cooperation procedures to facilitate interactions between criminal, civil and administrative judicial proceedings </w:t>
            </w:r>
            <w:r>
              <w:rPr>
                <w:rFonts w:eastAsia="Calibri"/>
              </w:rPr>
              <w:t>(CivAdm</w:t>
            </w:r>
            <w:r w:rsidRPr="00161EEE">
              <w:t>103</w:t>
            </w:r>
            <w:r>
              <w:rPr>
                <w:rFonts w:eastAsia="Calibri"/>
              </w:rPr>
              <w:t xml:space="preserve">) </w:t>
            </w:r>
            <w:r w:rsidRPr="00161EEE">
              <w:t>(5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Materials to provide support/guidance to children during the proceedings </w:t>
            </w:r>
            <w:r>
              <w:rPr>
                <w:rFonts w:eastAsia="Calibri"/>
              </w:rPr>
              <w:t>(CivAdm</w:t>
            </w:r>
            <w:r w:rsidRPr="00161EEE">
              <w:t>142</w:t>
            </w:r>
            <w:r>
              <w:rPr>
                <w:rFonts w:eastAsia="Calibri"/>
              </w:rPr>
              <w:t xml:space="preserve">) </w:t>
            </w:r>
            <w:r w:rsidRPr="00161EEE">
              <w:t>(5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Guidance for lawyers who represent children to ensure they treat the child as a fully-fledged client, whose opinions are brought forward </w:t>
            </w:r>
            <w:r>
              <w:rPr>
                <w:rFonts w:eastAsia="Calibri"/>
              </w:rPr>
              <w:t>(CivAdm</w:t>
            </w:r>
            <w:r w:rsidRPr="00161EEE">
              <w:t>153</w:t>
            </w:r>
            <w:r>
              <w:rPr>
                <w:rFonts w:eastAsia="Calibri"/>
              </w:rPr>
              <w:t xml:space="preserve">) </w:t>
            </w:r>
            <w:r w:rsidRPr="00161EEE">
              <w:t>(5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Statutory provision on the use by judicial authorities of restriction of liberty or detention for the shortest possible amount of time </w:t>
            </w:r>
            <w:r>
              <w:rPr>
                <w:rFonts w:eastAsia="Calibri"/>
              </w:rPr>
              <w:t>(CivAdm</w:t>
            </w:r>
            <w:r w:rsidRPr="00161EEE">
              <w:t>171b</w:t>
            </w:r>
            <w:r>
              <w:rPr>
                <w:rFonts w:eastAsia="Calibri"/>
              </w:rPr>
              <w:t xml:space="preserve">) </w:t>
            </w:r>
            <w:r w:rsidRPr="00161EEE">
              <w:t>(</w:t>
            </w:r>
            <w:r w:rsidR="009C2E54">
              <w:t>4</w:t>
            </w:r>
            <w:r w:rsidRPr="00161EEE">
              <w:t xml:space="preserve">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Legal obligation to provide training to professionals having direct contact with children in communicating with them at all ages and stages of development </w:t>
            </w:r>
            <w:r>
              <w:rPr>
                <w:rFonts w:eastAsia="Calibri"/>
              </w:rPr>
              <w:t>(CivAdm0</w:t>
            </w:r>
            <w:r w:rsidRPr="00161EEE">
              <w:t>97a</w:t>
            </w:r>
            <w:r>
              <w:rPr>
                <w:rFonts w:eastAsia="Calibri"/>
              </w:rPr>
              <w:t xml:space="preserve">) </w:t>
            </w:r>
            <w:r w:rsidRPr="00161EEE">
              <w:t>(4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Guidance for judicial authorities on avoiding undue delay of judicial proceedings affecting children</w:t>
            </w:r>
            <w:r>
              <w:t xml:space="preserve"> </w:t>
            </w:r>
            <w:r>
              <w:rPr>
                <w:rFonts w:eastAsia="Calibri"/>
              </w:rPr>
              <w:t>(CivAdm</w:t>
            </w:r>
            <w:r w:rsidRPr="00161EEE">
              <w:t>106</w:t>
            </w:r>
            <w:r>
              <w:rPr>
                <w:rFonts w:eastAsia="Calibri"/>
              </w:rPr>
              <w:t>)</w:t>
            </w:r>
            <w:r w:rsidRPr="00161EEE">
              <w:t xml:space="preserve"> (4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Guidance for court staff and judicial authorities to ensure that court sessions are adapted to the child's pace and attention space and child's communication skills </w:t>
            </w:r>
            <w:r>
              <w:rPr>
                <w:rFonts w:eastAsia="Calibri"/>
              </w:rPr>
              <w:t>(CivAdm</w:t>
            </w:r>
            <w:r w:rsidRPr="00161EEE">
              <w:t>118</w:t>
            </w:r>
            <w:r>
              <w:rPr>
                <w:rFonts w:eastAsia="Calibri"/>
              </w:rPr>
              <w:t xml:space="preserve">) </w:t>
            </w:r>
            <w:r w:rsidRPr="00161EEE">
              <w:t>(4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Statutory provision on the right of children to information in a child-friendly format about rights and procedures </w:t>
            </w:r>
            <w:r>
              <w:rPr>
                <w:rFonts w:eastAsia="Calibri"/>
              </w:rPr>
              <w:t>(CivAdm0</w:t>
            </w:r>
            <w:r w:rsidRPr="00161EEE">
              <w:t>76a</w:t>
            </w:r>
            <w:r>
              <w:rPr>
                <w:rFonts w:eastAsia="Calibri"/>
              </w:rPr>
              <w:t xml:space="preserve">) </w:t>
            </w:r>
            <w:r w:rsidRPr="00161EEE">
              <w:t>(3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Legal obligation to conduct court hearings with children in non-intimidating and child sensitive environments </w:t>
            </w:r>
            <w:r>
              <w:rPr>
                <w:rFonts w:eastAsia="Calibri"/>
              </w:rPr>
              <w:t>(CivAdm</w:t>
            </w:r>
            <w:r w:rsidRPr="00161EEE">
              <w:t>109</w:t>
            </w:r>
            <w:r>
              <w:rPr>
                <w:rFonts w:eastAsia="Calibri"/>
              </w:rPr>
              <w:t xml:space="preserve">) </w:t>
            </w:r>
            <w:r w:rsidRPr="00161EEE">
              <w:t>(3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Statutory provision to ensure that court sessions are adapted to the child's pace and attention span and child's communication skills (e.g. provision for the adoption of regular breaks in court sessions) </w:t>
            </w:r>
            <w:r>
              <w:rPr>
                <w:rFonts w:eastAsia="Calibri"/>
              </w:rPr>
              <w:t>(CivAdm</w:t>
            </w:r>
            <w:r w:rsidRPr="00161EEE">
              <w:t>117</w:t>
            </w:r>
            <w:r>
              <w:rPr>
                <w:rFonts w:eastAsia="Calibri"/>
              </w:rPr>
              <w:t xml:space="preserve">) </w:t>
            </w:r>
            <w:r w:rsidRPr="00161EEE">
              <w:t>(3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Independent system for monitoring the appropriate use of detention </w:t>
            </w:r>
            <w:r>
              <w:rPr>
                <w:rFonts w:eastAsia="Calibri"/>
              </w:rPr>
              <w:t>(CivAdm</w:t>
            </w:r>
            <w:r w:rsidRPr="00161EEE">
              <w:t>169</w:t>
            </w:r>
            <w:r>
              <w:rPr>
                <w:rFonts w:eastAsia="Calibri"/>
              </w:rPr>
              <w:t xml:space="preserve">) </w:t>
            </w:r>
            <w:r w:rsidRPr="00161EEE">
              <w:t>(3 jurisdictions)</w:t>
            </w:r>
          </w:p>
        </w:tc>
      </w:tr>
      <w:tr w:rsidR="00305858" w:rsidRPr="00161EEE" w:rsidTr="004017DA">
        <w:tc>
          <w:tcPr>
            <w:tcW w:w="8222" w:type="dxa"/>
            <w:shd w:val="clear" w:color="auto" w:fill="auto"/>
          </w:tcPr>
          <w:p w:rsidR="00305858" w:rsidRPr="00161EEE" w:rsidRDefault="00305858" w:rsidP="004017DA">
            <w:pPr>
              <w:pStyle w:val="TableTextNoSpace"/>
            </w:pPr>
            <w:r w:rsidRPr="007A0C03">
              <w:t xml:space="preserve">Statutory provision on the use by judicial authorities of restriction of liberty or detention as a measure of last resort </w:t>
            </w:r>
            <w:r w:rsidRPr="007A0C03">
              <w:rPr>
                <w:rFonts w:eastAsia="Calibri"/>
              </w:rPr>
              <w:t>(CivAdm</w:t>
            </w:r>
            <w:r w:rsidRPr="007A0C03">
              <w:t>171a</w:t>
            </w:r>
            <w:r w:rsidRPr="007A0C03">
              <w:rPr>
                <w:rFonts w:eastAsia="Calibri"/>
              </w:rPr>
              <w:t xml:space="preserve">) </w:t>
            </w:r>
            <w:r w:rsidRPr="007A0C03">
              <w:t>(3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Statutory provision on the right of children to information in a manner that takes into account any special needs of the child about rights and procedures </w:t>
            </w:r>
            <w:r>
              <w:rPr>
                <w:rFonts w:eastAsia="Calibri"/>
              </w:rPr>
              <w:t>(CivAdm0</w:t>
            </w:r>
            <w:r w:rsidRPr="00161EEE">
              <w:t>76b</w:t>
            </w:r>
            <w:r>
              <w:rPr>
                <w:rFonts w:eastAsia="Calibri"/>
              </w:rPr>
              <w:t xml:space="preserve">) </w:t>
            </w:r>
            <w:r w:rsidRPr="00161EEE">
              <w:t>(2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Common assessment framework for all professionals working with or for children in civil and administrative proceedings (including lawyers, psychologists, physicians, immigration officials, social workers and mediators) </w:t>
            </w:r>
            <w:r>
              <w:rPr>
                <w:rFonts w:eastAsia="Calibri"/>
              </w:rPr>
              <w:t>(CivAdm</w:t>
            </w:r>
            <w:r w:rsidRPr="00161EEE">
              <w:t>101</w:t>
            </w:r>
            <w:r>
              <w:rPr>
                <w:rFonts w:eastAsia="Calibri"/>
              </w:rPr>
              <w:t xml:space="preserve">) </w:t>
            </w:r>
            <w:r w:rsidRPr="00161EEE">
              <w:t>(2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Guidelines to protect children from harmful images during judicial proceedings </w:t>
            </w:r>
            <w:r>
              <w:rPr>
                <w:rFonts w:eastAsia="Calibri"/>
              </w:rPr>
              <w:t>(CivAdm</w:t>
            </w:r>
            <w:r w:rsidRPr="00161EEE">
              <w:t>123</w:t>
            </w:r>
            <w:r>
              <w:rPr>
                <w:rFonts w:eastAsia="Calibri"/>
              </w:rPr>
              <w:t xml:space="preserve">) </w:t>
            </w:r>
            <w:r w:rsidRPr="00161EEE">
              <w:t>(2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Guidance or code of conduct for judicial authorities to ensure that the right to be heard of the child is respected </w:t>
            </w:r>
            <w:r>
              <w:rPr>
                <w:rFonts w:eastAsia="Calibri"/>
              </w:rPr>
              <w:t>(CivAdm</w:t>
            </w:r>
            <w:r w:rsidRPr="00161EEE">
              <w:t>128</w:t>
            </w:r>
            <w:r>
              <w:rPr>
                <w:rFonts w:eastAsia="Calibri"/>
              </w:rPr>
              <w:t xml:space="preserve">) </w:t>
            </w:r>
            <w:r w:rsidRPr="00161EEE">
              <w:t>(2 jurisdictions)</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Guidance or codes of conduct for judicial or other competent authorities (e.g. police, immigration, educational, social or healthcare services) to ensure that children receive information </w:t>
            </w:r>
            <w:r>
              <w:rPr>
                <w:rFonts w:eastAsia="Calibri"/>
              </w:rPr>
              <w:t>(CivAdm0</w:t>
            </w:r>
            <w:r w:rsidRPr="00161EEE">
              <w:t>69</w:t>
            </w:r>
            <w:r>
              <w:rPr>
                <w:rFonts w:eastAsia="Calibri"/>
              </w:rPr>
              <w:t xml:space="preserve">) </w:t>
            </w:r>
            <w:r w:rsidRPr="00161EEE">
              <w:t>(1 jurisdiction)</w:t>
            </w:r>
          </w:p>
        </w:tc>
      </w:tr>
      <w:tr w:rsidR="009D241E" w:rsidRPr="00161EEE" w:rsidTr="004017DA">
        <w:tc>
          <w:tcPr>
            <w:tcW w:w="8222" w:type="dxa"/>
            <w:shd w:val="clear" w:color="auto" w:fill="auto"/>
          </w:tcPr>
          <w:p w:rsidR="009D241E" w:rsidRPr="00161EEE" w:rsidRDefault="009D241E" w:rsidP="004017DA">
            <w:pPr>
              <w:pStyle w:val="TableTextNoSpace"/>
            </w:pPr>
            <w:r w:rsidRPr="00161EEE">
              <w:t xml:space="preserve">Legal obligation to communicate a decision or judgement in a manner adapted to the child's level of understanding </w:t>
            </w:r>
            <w:r>
              <w:rPr>
                <w:rFonts w:eastAsia="Calibri"/>
              </w:rPr>
              <w:t>(CivAdm</w:t>
            </w:r>
            <w:r w:rsidRPr="00161EEE">
              <w:t>188b</w:t>
            </w:r>
            <w:r>
              <w:rPr>
                <w:rFonts w:eastAsia="Calibri"/>
              </w:rPr>
              <w:t xml:space="preserve">) </w:t>
            </w:r>
            <w:r w:rsidRPr="00161EEE">
              <w:t>(1 jurisdiction)</w:t>
            </w:r>
          </w:p>
        </w:tc>
      </w:tr>
      <w:tr w:rsidR="009D241E" w:rsidRPr="00CC65CB" w:rsidTr="004017DA">
        <w:tc>
          <w:tcPr>
            <w:tcW w:w="8222" w:type="dxa"/>
            <w:shd w:val="clear" w:color="auto" w:fill="auto"/>
          </w:tcPr>
          <w:p w:rsidR="009D241E" w:rsidRPr="00CC65CB" w:rsidRDefault="009D241E" w:rsidP="004017DA">
            <w:pPr>
              <w:pStyle w:val="TableTextNoSpace"/>
            </w:pPr>
            <w:r w:rsidRPr="00CC65CB">
              <w:t xml:space="preserve">Guidance or code of conduct for lawyers, guardians ad litem or legal representatives on how to communicate a decision or judgement to a child involved in judicial proceedings in a manner adapted to the child's level of understanding </w:t>
            </w:r>
            <w:r w:rsidRPr="00CC65CB">
              <w:rPr>
                <w:rFonts w:eastAsia="Calibri"/>
              </w:rPr>
              <w:t>(CivAdm</w:t>
            </w:r>
            <w:r w:rsidRPr="00CC65CB">
              <w:t>189</w:t>
            </w:r>
            <w:r w:rsidRPr="00CC65CB">
              <w:rPr>
                <w:rFonts w:eastAsia="Calibri"/>
              </w:rPr>
              <w:t xml:space="preserve">) </w:t>
            </w:r>
            <w:r w:rsidRPr="00CC65CB">
              <w:t>(1 jurisdiction)</w:t>
            </w:r>
          </w:p>
        </w:tc>
      </w:tr>
      <w:tr w:rsidR="009D241E" w:rsidRPr="00CC65CB" w:rsidTr="004017DA">
        <w:tc>
          <w:tcPr>
            <w:tcW w:w="8222" w:type="dxa"/>
            <w:shd w:val="clear" w:color="auto" w:fill="auto"/>
          </w:tcPr>
          <w:p w:rsidR="009D241E" w:rsidRPr="00CC65CB" w:rsidRDefault="009D241E" w:rsidP="004017DA">
            <w:pPr>
              <w:pStyle w:val="TableTextNoSpace"/>
            </w:pPr>
            <w:r w:rsidRPr="00CC65CB">
              <w:t xml:space="preserve">Guidelines for judicial authorities on the types of cases involving children where decisions should be made directly or immediately enforceable </w:t>
            </w:r>
            <w:r w:rsidRPr="00CC65CB">
              <w:rPr>
                <w:rFonts w:eastAsia="Calibri"/>
              </w:rPr>
              <w:t>(CivAdm</w:t>
            </w:r>
            <w:r w:rsidRPr="00CC65CB">
              <w:t>193</w:t>
            </w:r>
            <w:r w:rsidRPr="00CC65CB">
              <w:rPr>
                <w:rFonts w:eastAsia="Calibri"/>
              </w:rPr>
              <w:t xml:space="preserve">) </w:t>
            </w:r>
            <w:r w:rsidRPr="00CC65CB">
              <w:t>(0 jurisdictions)</w:t>
            </w:r>
          </w:p>
        </w:tc>
      </w:tr>
    </w:tbl>
    <w:p w:rsidR="009D241E" w:rsidRPr="00F749C3" w:rsidRDefault="00A07B81" w:rsidP="00456819">
      <w:pPr>
        <w:pStyle w:val="Heading3"/>
        <w:rPr>
          <w:rFonts w:eastAsia="Calibri"/>
        </w:rPr>
      </w:pPr>
      <w:bookmarkStart w:id="285" w:name="_Toc408908760"/>
      <w:r w:rsidRPr="00F749C3">
        <w:rPr>
          <w:rFonts w:eastAsia="Calibri"/>
        </w:rPr>
        <w:t>Education Law</w:t>
      </w:r>
      <w:bookmarkEnd w:id="285"/>
    </w:p>
    <w:p w:rsidR="009D241E" w:rsidRPr="00C504D6" w:rsidRDefault="009D241E" w:rsidP="004017DA">
      <w:pPr>
        <w:pStyle w:val="BodyText"/>
      </w:pPr>
      <w:r w:rsidRPr="00C504D6">
        <w:t>Table 5.21 provides a list of safeguards for children in education proceedings that are present in 25 or more jurisdictions.</w:t>
      </w:r>
    </w:p>
    <w:p w:rsidR="009D241E" w:rsidRPr="0079132A" w:rsidRDefault="009D241E" w:rsidP="001D508A">
      <w:pPr>
        <w:pStyle w:val="Table"/>
      </w:pPr>
      <w:bookmarkStart w:id="286" w:name="_Toc408908637"/>
      <w:r w:rsidRPr="0079132A">
        <w:t xml:space="preserve">Safeguards that are most </w:t>
      </w:r>
      <w:r w:rsidRPr="0079132A">
        <w:rPr>
          <w:rFonts w:asciiTheme="minorHAnsi" w:hAnsiTheme="minorHAnsi"/>
        </w:rPr>
        <w:t xml:space="preserve">prevalent </w:t>
      </w:r>
      <w:r w:rsidRPr="0079132A">
        <w:t>in the area of education</w:t>
      </w:r>
      <w:bookmarkEnd w:id="286"/>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none" w:sz="0" w:space="0" w:color="auto"/>
          <w:insideV w:val="none" w:sz="0" w:space="0" w:color="auto"/>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right of children involved in judicial proceedings to the protection of personal data, especially in the context of processing, storing and transmitting court records </w:t>
            </w:r>
            <w:r>
              <w:t xml:space="preserve">(CivAdm085) </w:t>
            </w:r>
            <w:r w:rsidRPr="007B3674">
              <w:t>(28 jurisdictions)</w:t>
            </w:r>
          </w:p>
        </w:tc>
      </w:tr>
    </w:tbl>
    <w:p w:rsidR="009D241E" w:rsidRPr="00C504D6" w:rsidRDefault="009D241E" w:rsidP="004017DA">
      <w:pPr>
        <w:pStyle w:val="BodyText"/>
      </w:pPr>
      <w:r>
        <w:t>Table 5.22</w:t>
      </w:r>
      <w:r w:rsidRPr="00C504D6">
        <w:t xml:space="preserve"> identifies the safeguards that are uncommon (existing in five or less jurisdictions) for children in the area of education.</w:t>
      </w:r>
    </w:p>
    <w:p w:rsidR="009D241E" w:rsidRPr="007B3674" w:rsidRDefault="009D241E" w:rsidP="001D508A">
      <w:pPr>
        <w:pStyle w:val="Table"/>
      </w:pPr>
      <w:bookmarkStart w:id="287" w:name="_Toc408908638"/>
      <w:r w:rsidRPr="007B3674">
        <w:t xml:space="preserve">Safeguards that are least </w:t>
      </w:r>
      <w:r>
        <w:t>prevalent</w:t>
      </w:r>
      <w:r w:rsidRPr="007B3674">
        <w:t xml:space="preserve"> for children in education proceedings</w:t>
      </w:r>
      <w:bookmarkEnd w:id="287"/>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7B3674" w:rsidTr="004017DA">
        <w:tc>
          <w:tcPr>
            <w:tcW w:w="8222" w:type="dxa"/>
            <w:shd w:val="clear" w:color="auto" w:fill="auto"/>
          </w:tcPr>
          <w:p w:rsidR="009D241E" w:rsidRPr="007B3674" w:rsidRDefault="009D241E" w:rsidP="004017DA">
            <w:pPr>
              <w:pStyle w:val="TableTextNoSpace"/>
            </w:pPr>
            <w:r w:rsidRPr="007B3674">
              <w:t xml:space="preserve">Discretionary powers of the judge or court to grant a dispensation as to the minimum age a child can bring a case to court in their own right </w:t>
            </w:r>
            <w:r>
              <w:t>(CivAdm0</w:t>
            </w:r>
            <w:r w:rsidRPr="007B3674">
              <w:t>46</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conditions attached to representation of the child by a legal representative or guardian (e.g. signed written consent by the child) </w:t>
            </w:r>
            <w:r>
              <w:t>(CivAdm0</w:t>
            </w:r>
            <w:r w:rsidRPr="007B3674">
              <w:t>49</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that the information should be provided at first contact with the judicial system or other competent authorities (e.g. police, immigration, educational, social or healthcare services) </w:t>
            </w:r>
            <w:r>
              <w:t>(CivAdm0</w:t>
            </w:r>
            <w:r w:rsidRPr="007B3674">
              <w:t>68b</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for judicial authorities on avoiding undue delay of judicial proceedings affecting children </w:t>
            </w:r>
            <w:r>
              <w:t>(CivAdm</w:t>
            </w:r>
            <w:r w:rsidRPr="007B3674">
              <w:t>106</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Materials to provide support/guidance to children during the proceedings </w:t>
            </w:r>
            <w:r>
              <w:t>(CivAdm</w:t>
            </w:r>
            <w:r w:rsidRPr="007B3674">
              <w:t>142</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for lawyers who represent children to ensure they treat the child as a fully-fledged client, whose opinions are brought forward </w:t>
            </w:r>
            <w:r>
              <w:t>(CivAdm</w:t>
            </w:r>
            <w:r w:rsidRPr="007B3674">
              <w:t>153</w:t>
            </w:r>
            <w:r>
              <w:t xml:space="preserve">) </w:t>
            </w:r>
            <w:r w:rsidRPr="007B3674">
              <w:t>(5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Legal obligation to conduct court hearings with children in non-intimidating and child sensitive environments</w:t>
            </w:r>
            <w:r>
              <w:t xml:space="preserve"> (CivAdm</w:t>
            </w:r>
            <w:r w:rsidRPr="007B3674">
              <w:t>109</w:t>
            </w:r>
            <w:r>
              <w:t xml:space="preserve">)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Guidance or code of conduct for judicial authorities to ensure that the right to be heard of the child is respected</w:t>
            </w:r>
            <w:r>
              <w:t xml:space="preserve"> (CivAdm</w:t>
            </w:r>
            <w:r w:rsidRPr="007B3674">
              <w:t>128</w:t>
            </w:r>
            <w:r>
              <w:t xml:space="preserve">) </w:t>
            </w:r>
            <w:r w:rsidRPr="007B3674">
              <w:t>(4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Legal obligation to provide training to professionals having direct contact with children in communicating with them at all ages and stages of development </w:t>
            </w:r>
            <w:r>
              <w:t>(CivAdm0</w:t>
            </w:r>
            <w:r w:rsidRPr="007B3674">
              <w:t>97a</w:t>
            </w:r>
            <w:r>
              <w:t xml:space="preserve">) </w:t>
            </w:r>
            <w:r w:rsidRPr="007B3674">
              <w:t>(3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Legal obligation to communicate a decision or judgement in a manner adapted to the child's level of understanding </w:t>
            </w:r>
            <w:r>
              <w:t>(CivAdm</w:t>
            </w:r>
            <w:r w:rsidRPr="007B3674">
              <w:t>188b</w:t>
            </w:r>
            <w:r>
              <w:t xml:space="preserve">) </w:t>
            </w:r>
            <w:r w:rsidRPr="007B3674">
              <w:t>(3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right of children to information in a child-friendly format about rights and procedures </w:t>
            </w:r>
            <w:r>
              <w:t>(CivAdm0</w:t>
            </w:r>
            <w:r w:rsidRPr="007B3674">
              <w:t>76a</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Common assessment framework for all professionals working with or for children in civil and administrative proceedings (including lawyers, psychologists, physicians, immigration officials, social workers and mediators) </w:t>
            </w:r>
            <w:r>
              <w:t>(CivAdm</w:t>
            </w:r>
            <w:r w:rsidRPr="007B3674">
              <w:t>101</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for court staff and judicial authorities to ensure that court sessions are adapted to the child's pace and attention space and child's communication skills </w:t>
            </w:r>
            <w:r>
              <w:t>(CivAdm</w:t>
            </w:r>
            <w:r w:rsidRPr="007B3674">
              <w:t>118</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Guidelines to protect children from harmful images during judicial proceedings </w:t>
            </w:r>
            <w:r>
              <w:t>(CivAdm</w:t>
            </w:r>
            <w:r w:rsidRPr="007B3674">
              <w:t>123</w:t>
            </w:r>
            <w:r>
              <w:t xml:space="preserve">) </w:t>
            </w:r>
            <w:r w:rsidRPr="007B3674">
              <w:t>(2 jurisdictions)</w:t>
            </w:r>
          </w:p>
        </w:tc>
      </w:tr>
      <w:tr w:rsidR="00305858" w:rsidRPr="007B3674" w:rsidTr="004017DA">
        <w:tc>
          <w:tcPr>
            <w:tcW w:w="8222" w:type="dxa"/>
            <w:shd w:val="clear" w:color="auto" w:fill="auto"/>
          </w:tcPr>
          <w:p w:rsidR="00305858" w:rsidRPr="007B3674" w:rsidRDefault="00305858" w:rsidP="004017DA">
            <w:pPr>
              <w:pStyle w:val="TableTextNoSpace"/>
            </w:pPr>
            <w:r w:rsidRPr="007235B8">
              <w:t>Statutory provision on the right of the child to appeal an administrative decision to restrict their liberty (CivAdm168) (2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Independent system for monitoring the appropriate use of detention </w:t>
            </w:r>
            <w:r>
              <w:t>(CivAdm</w:t>
            </w:r>
            <w:r w:rsidRPr="007B3674">
              <w:t>169</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use by judicial authorities of restriction of liberty or detention as a measure of last resort </w:t>
            </w:r>
            <w:r>
              <w:t>(CivAdm</w:t>
            </w:r>
            <w:r w:rsidRPr="007B3674">
              <w:t>171a</w:t>
            </w:r>
            <w:r>
              <w:t xml:space="preserve">) </w:t>
            </w:r>
            <w:r w:rsidRPr="007B3674">
              <w:t>(2 jurisdictions)</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use by judicial authorities of restriction of liberty or detention for the shortest possible amount of time </w:t>
            </w:r>
            <w:r>
              <w:t>(CivAdm</w:t>
            </w:r>
            <w:r w:rsidRPr="007B3674">
              <w:t>171b</w:t>
            </w:r>
            <w:r>
              <w:t xml:space="preserve">) </w:t>
            </w:r>
            <w:r w:rsidRPr="007B3674">
              <w:t>(</w:t>
            </w:r>
            <w:r w:rsidR="00317A72">
              <w:t>1</w:t>
            </w:r>
            <w:r w:rsidR="00317A72" w:rsidRPr="007B3674">
              <w:t xml:space="preserve"> jurisdiction)</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Guidance or codes of conduct for judicial or other competent authorities (e.g. police, immigration, educational, social or healthcare services) to ensure that children receive information </w:t>
            </w:r>
            <w:r>
              <w:t>(CivAdm0</w:t>
            </w:r>
            <w:r w:rsidRPr="007B3674">
              <w:t>69</w:t>
            </w:r>
            <w:r>
              <w:t xml:space="preserve">) </w:t>
            </w:r>
            <w:r w:rsidRPr="007B3674">
              <w:t>(1 jurisdiction)</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on the right of children to information in a manner that takes into account any special needs of the child about rights and procedures </w:t>
            </w:r>
            <w:r>
              <w:t>(CivAdm0</w:t>
            </w:r>
            <w:r w:rsidRPr="007B3674">
              <w:t>76b</w:t>
            </w:r>
            <w:r>
              <w:t xml:space="preserve">) </w:t>
            </w:r>
            <w:r w:rsidRPr="007B3674">
              <w:t>(1 jurisdiction)</w:t>
            </w:r>
          </w:p>
        </w:tc>
      </w:tr>
      <w:tr w:rsidR="009D241E" w:rsidRPr="007B3674" w:rsidTr="004017DA">
        <w:tc>
          <w:tcPr>
            <w:tcW w:w="8222" w:type="dxa"/>
            <w:shd w:val="clear" w:color="auto" w:fill="auto"/>
          </w:tcPr>
          <w:p w:rsidR="009D241E" w:rsidRPr="007B3674" w:rsidRDefault="009D241E" w:rsidP="004017DA">
            <w:pPr>
              <w:pStyle w:val="TableTextNoSpace"/>
            </w:pPr>
            <w:r w:rsidRPr="007B3674">
              <w:t xml:space="preserve">Statutory provision to ensure that court sessions are adapted to the child's pace and attention span and child's communication skills (e.g. provision for the adoption of regular breaks in court sessions) </w:t>
            </w:r>
            <w:r>
              <w:t>(CivAdm</w:t>
            </w:r>
            <w:r w:rsidRPr="007B3674">
              <w:t>117</w:t>
            </w:r>
            <w:r>
              <w:t xml:space="preserve">) </w:t>
            </w:r>
            <w:r w:rsidRPr="007B3674">
              <w:t>(1 jurisdiction)</w:t>
            </w:r>
          </w:p>
        </w:tc>
      </w:tr>
      <w:tr w:rsidR="009D241E" w:rsidRPr="007B3674" w:rsidTr="004017DA">
        <w:tc>
          <w:tcPr>
            <w:tcW w:w="8222" w:type="dxa"/>
            <w:shd w:val="clear" w:color="auto" w:fill="auto"/>
          </w:tcPr>
          <w:p w:rsidR="009D241E" w:rsidRPr="00CC65CB" w:rsidRDefault="009D241E" w:rsidP="004017DA">
            <w:pPr>
              <w:pStyle w:val="TableTextNoSpace"/>
            </w:pPr>
            <w:r w:rsidRPr="00CC65CB">
              <w:t>Guidance or code of conduct for lawyers, guardians ad litem or legal representatives on how to communicate a decision or judgement to a child involved in judicial proceedings in a manner adapted to the child's level of understanding (CivAdm189) (1 jurisdiction)</w:t>
            </w:r>
          </w:p>
        </w:tc>
      </w:tr>
      <w:tr w:rsidR="009D241E" w:rsidRPr="007B3674" w:rsidTr="004017DA">
        <w:tc>
          <w:tcPr>
            <w:tcW w:w="8222" w:type="dxa"/>
            <w:shd w:val="clear" w:color="auto" w:fill="auto"/>
          </w:tcPr>
          <w:p w:rsidR="009D241E" w:rsidRPr="00CC65CB" w:rsidRDefault="009D241E" w:rsidP="004017DA">
            <w:pPr>
              <w:pStyle w:val="TableTextNoSpace"/>
            </w:pPr>
            <w:r w:rsidRPr="00CC65CB">
              <w:t>Guidelines for judicial authorities on the types of cases involving children where decisions should be made directly or immediately enforceable (CivAdm193) (0 jurisdictions)</w:t>
            </w:r>
          </w:p>
        </w:tc>
      </w:tr>
    </w:tbl>
    <w:p w:rsidR="009D241E" w:rsidRPr="00F749C3" w:rsidRDefault="00A07B81" w:rsidP="00456819">
      <w:pPr>
        <w:pStyle w:val="Heading3"/>
        <w:rPr>
          <w:rFonts w:eastAsia="Calibri"/>
        </w:rPr>
      </w:pPr>
      <w:bookmarkStart w:id="288" w:name="_Toc408908761"/>
      <w:r w:rsidRPr="00F749C3">
        <w:rPr>
          <w:rFonts w:eastAsia="Calibri"/>
        </w:rPr>
        <w:t>Employment Law</w:t>
      </w:r>
      <w:bookmarkEnd w:id="288"/>
    </w:p>
    <w:p w:rsidR="009D241E" w:rsidRPr="00C504D6" w:rsidRDefault="009D241E" w:rsidP="00E13364">
      <w:pPr>
        <w:pStyle w:val="BodyText"/>
      </w:pPr>
      <w:r>
        <w:t>Table 5.23</w:t>
      </w:r>
      <w:r w:rsidRPr="00C504D6">
        <w:t xml:space="preserve"> provides a list of safeguards for children in employment proceedings that are present in 25 or more jurisdictions.</w:t>
      </w:r>
    </w:p>
    <w:p w:rsidR="009D241E" w:rsidRPr="008B15E7" w:rsidRDefault="009D241E" w:rsidP="001D508A">
      <w:pPr>
        <w:pStyle w:val="Table"/>
      </w:pPr>
      <w:bookmarkStart w:id="289" w:name="_Toc408908639"/>
      <w:r w:rsidRPr="00B9002F">
        <w:t xml:space="preserve">Safeguards that are most </w:t>
      </w:r>
      <w:r>
        <w:t>prevalent</w:t>
      </w:r>
      <w:r w:rsidRPr="007B3674">
        <w:t xml:space="preserve"> </w:t>
      </w:r>
      <w:r w:rsidRPr="00B9002F">
        <w:t>in the area of employment</w:t>
      </w:r>
      <w:bookmarkEnd w:id="289"/>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none" w:sz="0" w:space="0" w:color="auto"/>
          <w:insideV w:val="none" w:sz="0" w:space="0" w:color="auto"/>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B9002F" w:rsidTr="00E13364">
        <w:tc>
          <w:tcPr>
            <w:tcW w:w="8222" w:type="dxa"/>
            <w:shd w:val="clear" w:color="auto" w:fill="auto"/>
          </w:tcPr>
          <w:p w:rsidR="009D241E" w:rsidRPr="00B9002F" w:rsidRDefault="009D241E" w:rsidP="00E13364">
            <w:pPr>
              <w:pStyle w:val="TableTextNoSpace"/>
            </w:pPr>
            <w:r w:rsidRPr="00B9002F">
              <w:t xml:space="preserve">Statutory provision on the right of children involved in judicial proceedings to the protection of personal data, especially in the context of processing, storing and transmitting court records </w:t>
            </w:r>
            <w:r>
              <w:t xml:space="preserve">(CivAdm085) </w:t>
            </w:r>
            <w:r w:rsidRPr="00B9002F">
              <w:t>(27 jurisdictions)</w:t>
            </w:r>
          </w:p>
        </w:tc>
      </w:tr>
    </w:tbl>
    <w:p w:rsidR="009D241E" w:rsidRPr="00C504D6" w:rsidRDefault="009D241E" w:rsidP="00E13364">
      <w:pPr>
        <w:pStyle w:val="BodyText"/>
      </w:pPr>
      <w:r w:rsidRPr="00C504D6">
        <w:t>Table 5.24 identifies the safeguards that are uncommon (existing in five or less jurisdictions) for children in the area of employment law.</w:t>
      </w:r>
    </w:p>
    <w:p w:rsidR="009D241E" w:rsidRPr="00B9002F" w:rsidRDefault="009D241E" w:rsidP="001D508A">
      <w:pPr>
        <w:pStyle w:val="Table"/>
      </w:pPr>
      <w:bookmarkStart w:id="290" w:name="_Toc408908640"/>
      <w:r w:rsidRPr="00B9002F">
        <w:t xml:space="preserve">Safeguards that are least </w:t>
      </w:r>
      <w:r>
        <w:t>prevalent</w:t>
      </w:r>
      <w:r w:rsidRPr="007B3674">
        <w:t xml:space="preserve"> </w:t>
      </w:r>
      <w:r w:rsidRPr="00B9002F">
        <w:t>for children in employment proceedings</w:t>
      </w:r>
      <w:bookmarkEnd w:id="290"/>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8220"/>
      </w:tblGrid>
      <w:tr w:rsidR="009D241E" w:rsidRPr="00B9002F" w:rsidTr="00E13364">
        <w:tc>
          <w:tcPr>
            <w:tcW w:w="8222" w:type="dxa"/>
            <w:shd w:val="clear" w:color="auto" w:fill="auto"/>
          </w:tcPr>
          <w:p w:rsidR="009D241E" w:rsidRPr="00B9002F" w:rsidRDefault="009D241E" w:rsidP="00E13364">
            <w:pPr>
              <w:pStyle w:val="TableTextNoSpace"/>
            </w:pPr>
            <w:r w:rsidRPr="00B9002F">
              <w:t>Discretionary powers of the judge or court to grant a dispensation as to the minimum age a child can bring a c</w:t>
            </w:r>
            <w:r>
              <w:t xml:space="preserve">ase to court in their own right (CivAdm056) </w:t>
            </w:r>
            <w:r w:rsidRPr="00B9002F">
              <w:t>(5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Statutory conditions attached to representation of the child by a legal representative or guardian (e.g. signed written consent by the child) </w:t>
            </w:r>
            <w:r>
              <w:t xml:space="preserve">(CivAdm049) </w:t>
            </w:r>
            <w:r w:rsidRPr="00B9002F">
              <w:t>(5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Formalised operational cooperation procedures to facilitate interactions between criminal, civil and administrative judicial proceedings </w:t>
            </w:r>
            <w:r>
              <w:t xml:space="preserve">(CivAdm103) </w:t>
            </w:r>
            <w:r w:rsidRPr="00B9002F">
              <w:t xml:space="preserve">(5 jurisdictions) </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Legal obligation to conduct court hearings with children in non-intimidating and child sensitive environments </w:t>
            </w:r>
            <w:r>
              <w:t xml:space="preserve">(CivAdm109) </w:t>
            </w:r>
            <w:r w:rsidRPr="00B9002F">
              <w:t>(5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Materials to provide support/guidance to children during the proceedings </w:t>
            </w:r>
            <w:r>
              <w:t xml:space="preserve">(CivAdm142) </w:t>
            </w:r>
            <w:r w:rsidRPr="00B9002F">
              <w:t>(5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007D34">
              <w:t>Statutory provision on the right of the child to appeal an administrative decision to restrict their liberty (CivAdm168) (5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Legal obligation to provide training to professionals having direct contact with children in communicating with them at all ages and stages of development </w:t>
            </w:r>
            <w:r>
              <w:t xml:space="preserve">(CivAdm097a) </w:t>
            </w:r>
            <w:r w:rsidRPr="00B9002F">
              <w:t>(4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Guidance for judicial authorities on avoiding undue delay of judicial proceedings affecting children </w:t>
            </w:r>
            <w:r>
              <w:t xml:space="preserve">(CivAdm106) </w:t>
            </w:r>
            <w:r w:rsidRPr="00B9002F">
              <w:t>(4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Guidance or code of conduct for judicial authorities to ensure that the right to be heard of the child is respected </w:t>
            </w:r>
            <w:r>
              <w:t xml:space="preserve">(CivAdm128) </w:t>
            </w:r>
            <w:r w:rsidRPr="00B9002F">
              <w:t>(4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Guidance for lawyers who represent children to ensure they treat the child as a fully-fledged client, whose opinions are brought forward </w:t>
            </w:r>
            <w:r>
              <w:t xml:space="preserve">(CivAdm153) </w:t>
            </w:r>
            <w:r w:rsidRPr="00B9002F">
              <w:t>(4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Common assessment framework for all professionals working with or for children in civil and administrative proceedings (including lawyers, psychologists, physicians, immigration officials, social workers and mediators)</w:t>
            </w:r>
            <w:r>
              <w:t xml:space="preserve"> (CivAdm101)</w:t>
            </w:r>
            <w:r w:rsidRPr="00B9002F">
              <w:t xml:space="preserve"> (3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007D34">
              <w:t>Statutory provision on the use by judicial authorities of restriction of liberty or detention for the shortest possible amount of time (CivAdm171b) (3 jurisdictions)</w:t>
            </w:r>
          </w:p>
        </w:tc>
      </w:tr>
      <w:tr w:rsidR="009D241E" w:rsidRPr="00B9002F" w:rsidTr="00E13364">
        <w:tc>
          <w:tcPr>
            <w:tcW w:w="8222" w:type="dxa"/>
            <w:shd w:val="clear" w:color="auto" w:fill="auto"/>
          </w:tcPr>
          <w:p w:rsidR="009D241E" w:rsidRDefault="009D241E" w:rsidP="00E13364">
            <w:pPr>
              <w:pStyle w:val="TableTextNoSpace"/>
            </w:pPr>
            <w:r w:rsidRPr="00B9002F">
              <w:t xml:space="preserve">Legal obligation to communicate a decision or judgement in a manner adapted to the child's level of understanding </w:t>
            </w:r>
            <w:r>
              <w:t xml:space="preserve">(CivAdm188b) </w:t>
            </w:r>
            <w:r w:rsidRPr="00B9002F">
              <w:t>(3 jurisdictions)</w:t>
            </w:r>
          </w:p>
        </w:tc>
      </w:tr>
      <w:tr w:rsidR="009D241E" w:rsidRPr="00B9002F" w:rsidTr="00E13364">
        <w:tc>
          <w:tcPr>
            <w:tcW w:w="8222" w:type="dxa"/>
            <w:shd w:val="clear" w:color="auto" w:fill="auto"/>
          </w:tcPr>
          <w:p w:rsidR="009D241E" w:rsidRDefault="009D241E" w:rsidP="00E13364">
            <w:pPr>
              <w:pStyle w:val="TableTextNoSpace"/>
            </w:pPr>
            <w:r w:rsidRPr="00B9002F">
              <w:t xml:space="preserve">Statutory provision that the information should be provided at first contact with the judicial system or other competent authorities (e.g. police, immigration, educational, social or healthcare services) </w:t>
            </w:r>
            <w:r>
              <w:t xml:space="preserve">(CivAdm068b) </w:t>
            </w:r>
            <w:r w:rsidRPr="00B9002F">
              <w:t>(2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Statutory provision on the right of children to information in a child-friendly format about rights and procedures </w:t>
            </w:r>
            <w:r>
              <w:t xml:space="preserve">(CivAdm076a) </w:t>
            </w:r>
            <w:r w:rsidRPr="00B9002F">
              <w:t>(2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Guidance for court staff and judicial authorities to ensure that court sessions are adapted to the child's pace and attention space and child's communication skills </w:t>
            </w:r>
            <w:r>
              <w:t xml:space="preserve">(CivAdm118) </w:t>
            </w:r>
            <w:r w:rsidRPr="00B9002F">
              <w:t>(2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Guidelines to protect children from harmful images during judicial proceedings </w:t>
            </w:r>
            <w:r>
              <w:t xml:space="preserve">(CivAdm123) </w:t>
            </w:r>
            <w:r w:rsidRPr="00B9002F">
              <w:t>(2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007D34">
              <w:t>Statutory provision on the use by judicial authorities of restriction of liberty or detention as a measure of last resort (CivAdm171a) (2 jurisdictions)</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Guidance or codes of conduct for judicial or other competent authorities (e.g. police, immigration, educational, social or healthcare services) to ensure that children receive information </w:t>
            </w:r>
            <w:r>
              <w:t xml:space="preserve">(CivAdm069) </w:t>
            </w:r>
            <w:r w:rsidRPr="00B9002F">
              <w:t>(1 jurisdiction)</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Statutory provision on the right of children to information in a manner that takes into account any special needs of the child about rights and procedures </w:t>
            </w:r>
            <w:r>
              <w:t xml:space="preserve">(CivAdm076b) </w:t>
            </w:r>
            <w:r w:rsidRPr="00B9002F">
              <w:t>(1 jurisdiction)</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Statutory provision to ensure that court sessions are adapted to the child's pace and attention span and child's communication skills (e.g. provision for the adoption of regular breaks in court sessions) </w:t>
            </w:r>
            <w:r>
              <w:t xml:space="preserve">(CivAdm117) </w:t>
            </w:r>
            <w:r w:rsidRPr="00B9002F">
              <w:t>(1 jurisdiction)</w:t>
            </w:r>
          </w:p>
        </w:tc>
      </w:tr>
      <w:tr w:rsidR="009D241E" w:rsidRPr="00B9002F" w:rsidTr="00E13364">
        <w:tc>
          <w:tcPr>
            <w:tcW w:w="8222" w:type="dxa"/>
            <w:shd w:val="clear" w:color="auto" w:fill="auto"/>
          </w:tcPr>
          <w:p w:rsidR="009D241E" w:rsidRPr="00B9002F" w:rsidRDefault="009D241E" w:rsidP="00E13364">
            <w:pPr>
              <w:pStyle w:val="TableTextNoSpace"/>
            </w:pPr>
            <w:r w:rsidRPr="00B9002F">
              <w:t xml:space="preserve">Guidance or code of conduct for lawyers, guardians ad litem or legal representatives on how to communicate a decision or judgement to a child involved in judicial proceedings in a manner adapted to the child's level of understanding </w:t>
            </w:r>
            <w:r>
              <w:t xml:space="preserve">(CivAdm189) </w:t>
            </w:r>
            <w:r w:rsidRPr="00B9002F">
              <w:t>(1 jurisdiction)</w:t>
            </w:r>
          </w:p>
        </w:tc>
      </w:tr>
      <w:tr w:rsidR="009D241E" w:rsidRPr="00CC65CB" w:rsidTr="00E13364">
        <w:tc>
          <w:tcPr>
            <w:tcW w:w="8222" w:type="dxa"/>
            <w:shd w:val="clear" w:color="auto" w:fill="auto"/>
          </w:tcPr>
          <w:p w:rsidR="009D241E" w:rsidRPr="00526B7A" w:rsidRDefault="009D241E" w:rsidP="00E13364">
            <w:pPr>
              <w:pStyle w:val="TableTextNoSpace"/>
            </w:pPr>
            <w:r w:rsidRPr="00007D34">
              <w:t>Independent system for monitoring the appropriate use of detention (CivAdm169) (0 jurisdictions)</w:t>
            </w:r>
          </w:p>
        </w:tc>
      </w:tr>
      <w:tr w:rsidR="009D241E" w:rsidRPr="00CC65CB" w:rsidTr="00E13364">
        <w:tc>
          <w:tcPr>
            <w:tcW w:w="8222" w:type="dxa"/>
            <w:shd w:val="clear" w:color="auto" w:fill="auto"/>
          </w:tcPr>
          <w:p w:rsidR="009D241E" w:rsidRPr="00CC65CB" w:rsidRDefault="009D241E" w:rsidP="00E13364">
            <w:pPr>
              <w:pStyle w:val="TableTextNoSpace"/>
            </w:pPr>
            <w:r w:rsidRPr="00CC65CB">
              <w:t>Guidelines for judicial authorities on the types of cases involving children where decisions should be made directly or immediately enforceable (CivAdm193) (0 jurisdictions)</w:t>
            </w:r>
          </w:p>
        </w:tc>
      </w:tr>
    </w:tbl>
    <w:p w:rsidR="009D241E" w:rsidRPr="00F749C3" w:rsidRDefault="00A07B81" w:rsidP="004E39FE">
      <w:pPr>
        <w:pStyle w:val="Heading3"/>
        <w:rPr>
          <w:rFonts w:eastAsia="Calibri" w:cs="Arial"/>
          <w:b w:val="0"/>
          <w:color w:val="0070C0"/>
          <w:szCs w:val="22"/>
        </w:rPr>
      </w:pPr>
      <w:bookmarkStart w:id="291" w:name="_Toc408908762"/>
      <w:r>
        <w:rPr>
          <w:rFonts w:eastAsia="Calibri" w:cs="Arial"/>
          <w:color w:val="0070C0"/>
          <w:szCs w:val="22"/>
        </w:rPr>
        <w:t xml:space="preserve">Offences Committed Below </w:t>
      </w:r>
      <w:r w:rsidRPr="00F749C3">
        <w:rPr>
          <w:rFonts w:eastAsia="Calibri" w:cs="Arial"/>
          <w:color w:val="0070C0"/>
          <w:szCs w:val="22"/>
        </w:rPr>
        <w:t>MACR</w:t>
      </w:r>
      <w:bookmarkEnd w:id="291"/>
    </w:p>
    <w:p w:rsidR="009D241E" w:rsidRPr="00F60F4B" w:rsidRDefault="009D241E" w:rsidP="00E13364">
      <w:pPr>
        <w:pStyle w:val="BodyText"/>
      </w:pPr>
      <w:r w:rsidRPr="00F60F4B">
        <w:t>There are no safeguards for children in proceedings on offences committed below the age of criminal responsibility that are present in 25 or more jurisdictions. The most prevalent safeguard for children is these proceedings applies in 23 jurisdictions: statutory provision on the right of children involved in judicial proceedings to the protection of personal data, especially in the context of processing, storing and transmitting court records (CivAdm085).</w:t>
      </w:r>
    </w:p>
    <w:p w:rsidR="00E15472" w:rsidRDefault="009D241E" w:rsidP="00E13364">
      <w:pPr>
        <w:pStyle w:val="BodyText"/>
      </w:pPr>
      <w:r w:rsidRPr="00F60F4B">
        <w:t>Table 5.25 identifies the safeguards that are uncommon (existing in five or less jurisdictions) for children in the area of offences committed below the MACR.</w:t>
      </w:r>
    </w:p>
    <w:p w:rsidR="00E15472" w:rsidRPr="00E15472" w:rsidRDefault="009D241E" w:rsidP="00E15472">
      <w:pPr>
        <w:pStyle w:val="Table"/>
      </w:pPr>
      <w:bookmarkStart w:id="292" w:name="_Toc408908641"/>
      <w:r w:rsidRPr="00CE12A6">
        <w:t xml:space="preserve">Safeguards that are least </w:t>
      </w:r>
      <w:r>
        <w:t>prevalent</w:t>
      </w:r>
      <w:r w:rsidRPr="007B3674">
        <w:t xml:space="preserve"> </w:t>
      </w:r>
      <w:r w:rsidRPr="00CE12A6">
        <w:t>for children in proceedings on offences &lt;MACR</w:t>
      </w:r>
      <w:bookmarkEnd w:id="292"/>
    </w:p>
    <w:tbl>
      <w:tblPr>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000" w:firstRow="0" w:lastRow="0" w:firstColumn="0" w:lastColumn="0" w:noHBand="0" w:noVBand="0"/>
      </w:tblPr>
      <w:tblGrid>
        <w:gridCol w:w="8220"/>
      </w:tblGrid>
      <w:tr w:rsidR="00E15472" w:rsidTr="00E13364">
        <w:trPr>
          <w:tblHeader/>
        </w:trPr>
        <w:tc>
          <w:tcPr>
            <w:tcW w:w="8220" w:type="dxa"/>
            <w:shd w:val="clear" w:color="auto" w:fill="auto"/>
          </w:tcPr>
          <w:p w:rsidR="00E15472" w:rsidRPr="00885DFE" w:rsidRDefault="00E15472" w:rsidP="00E13364">
            <w:pPr>
              <w:pStyle w:val="TableTextNoSpace"/>
            </w:pPr>
            <w:r w:rsidRPr="00885DFE">
              <w:t>Statutory conditions attached to representation of the child by a legal representative or guardian (e.g. signed written consent by the child) (CivAdm049) (5 jurisdictions)</w:t>
            </w:r>
          </w:p>
        </w:tc>
      </w:tr>
      <w:tr w:rsidR="00E15472" w:rsidTr="00E13364">
        <w:tc>
          <w:tcPr>
            <w:tcW w:w="8220" w:type="dxa"/>
            <w:shd w:val="clear" w:color="auto" w:fill="auto"/>
          </w:tcPr>
          <w:p w:rsidR="00E15472" w:rsidRPr="00885DFE" w:rsidRDefault="00E15472" w:rsidP="00E13364">
            <w:pPr>
              <w:pStyle w:val="TableTextNoSpace"/>
            </w:pPr>
            <w:r w:rsidRPr="00885DFE">
              <w:t>Formalised operational cooperation procedures to facilitate interactions between criminal, civil and administrative judicial proceedings (CivAdm103) (5 jurisdictions)</w:t>
            </w:r>
          </w:p>
        </w:tc>
      </w:tr>
      <w:tr w:rsidR="00E15472" w:rsidTr="00E13364">
        <w:tc>
          <w:tcPr>
            <w:tcW w:w="8220" w:type="dxa"/>
            <w:shd w:val="clear" w:color="auto" w:fill="auto"/>
          </w:tcPr>
          <w:p w:rsidR="00E15472" w:rsidRPr="00885DFE" w:rsidRDefault="00E15472" w:rsidP="00E13364">
            <w:pPr>
              <w:pStyle w:val="TableTextNoSpace"/>
            </w:pPr>
            <w:r w:rsidRPr="00885DFE">
              <w:t>Mechanism or body to monitor the implementation of the urgency principle in respect of judicial proceedings involving children (CivAdm108) (5 jurisdictions)</w:t>
            </w:r>
          </w:p>
        </w:tc>
      </w:tr>
      <w:tr w:rsidR="00E15472" w:rsidTr="00E13364">
        <w:tc>
          <w:tcPr>
            <w:tcW w:w="8220" w:type="dxa"/>
            <w:shd w:val="clear" w:color="auto" w:fill="auto"/>
          </w:tcPr>
          <w:p w:rsidR="00E15472" w:rsidRPr="00885DFE" w:rsidRDefault="00E15472" w:rsidP="00E13364">
            <w:pPr>
              <w:pStyle w:val="TableTextNoSpace"/>
            </w:pPr>
            <w:r w:rsidRPr="00885DFE">
              <w:t>Statutory provision to ensure that court sessions are adapted to the child's pace and attention span and child's communication skills (e.g. provision for the adoption of regular breaks in court sessions) (CivAdm117) (5 jurisdictions)</w:t>
            </w:r>
          </w:p>
        </w:tc>
      </w:tr>
      <w:tr w:rsidR="00E15472" w:rsidTr="00E13364">
        <w:tc>
          <w:tcPr>
            <w:tcW w:w="8220" w:type="dxa"/>
            <w:shd w:val="clear" w:color="auto" w:fill="auto"/>
          </w:tcPr>
          <w:p w:rsidR="00E15472" w:rsidRPr="00885DFE" w:rsidRDefault="00E15472" w:rsidP="00E13364">
            <w:pPr>
              <w:pStyle w:val="TableTextNoSpace"/>
            </w:pPr>
            <w:r w:rsidRPr="00885DFE">
              <w:t>Guidance for court staff and judicial authorities to ensure that court sessions are adapted to the child's pace and attention space and child's communication skills (CivAdm118) (5 jurisdictions)</w:t>
            </w:r>
          </w:p>
        </w:tc>
      </w:tr>
      <w:tr w:rsidR="00E15472" w:rsidTr="00E13364">
        <w:tc>
          <w:tcPr>
            <w:tcW w:w="8220" w:type="dxa"/>
            <w:shd w:val="clear" w:color="auto" w:fill="auto"/>
          </w:tcPr>
          <w:p w:rsidR="00E15472" w:rsidRPr="00885DFE" w:rsidRDefault="00E15472" w:rsidP="00E13364">
            <w:pPr>
              <w:pStyle w:val="TableTextNoSpace"/>
            </w:pPr>
            <w:r w:rsidRPr="00885DFE">
              <w:t>Guidance for judicial authorities on avoiding undue delay of judicial proceedings affecting children (CivAdm106) (4 jurisdictions)</w:t>
            </w:r>
          </w:p>
        </w:tc>
      </w:tr>
      <w:tr w:rsidR="00E15472" w:rsidTr="00E13364">
        <w:tc>
          <w:tcPr>
            <w:tcW w:w="8220" w:type="dxa"/>
            <w:shd w:val="clear" w:color="auto" w:fill="auto"/>
          </w:tcPr>
          <w:p w:rsidR="00E15472" w:rsidRPr="00885DFE" w:rsidRDefault="00E15472" w:rsidP="00E13364">
            <w:pPr>
              <w:pStyle w:val="TableTextNoSpace"/>
            </w:pPr>
            <w:r w:rsidRPr="00885DFE">
              <w:t>Guidance for lawyers who represent children to ensure they treat the child as a fully-fledged client, whose opinions are brought forward (CivAdm153) (4 jurisdictions)</w:t>
            </w:r>
          </w:p>
        </w:tc>
      </w:tr>
      <w:tr w:rsidR="00E15472" w:rsidTr="00E13364">
        <w:tc>
          <w:tcPr>
            <w:tcW w:w="8220" w:type="dxa"/>
            <w:shd w:val="clear" w:color="auto" w:fill="auto"/>
          </w:tcPr>
          <w:p w:rsidR="00E15472" w:rsidRPr="00885DFE" w:rsidRDefault="00E15472" w:rsidP="00E13364">
            <w:pPr>
              <w:pStyle w:val="TableTextNoSpace"/>
            </w:pPr>
            <w:r w:rsidRPr="00885DFE">
              <w:t>Discretionary powers of the judge or court to grant a dispensation as to the minimum age a child can bring a case to court in their own right (CivAdm046) (3 jurisdictions)</w:t>
            </w:r>
          </w:p>
        </w:tc>
      </w:tr>
      <w:tr w:rsidR="00E15472" w:rsidTr="00E13364">
        <w:tc>
          <w:tcPr>
            <w:tcW w:w="8220" w:type="dxa"/>
            <w:shd w:val="clear" w:color="auto" w:fill="auto"/>
          </w:tcPr>
          <w:p w:rsidR="00E15472" w:rsidRPr="00885DFE" w:rsidRDefault="00E15472" w:rsidP="00E13364">
            <w:pPr>
              <w:pStyle w:val="TableTextNoSpace"/>
            </w:pPr>
            <w:r w:rsidRPr="00885DFE">
              <w:t>Statutory provision that the information should be provided at first contact with the judicial system or other competent authorities (e.g. police, immigration, educational, social or healthcare services) (CivAdm068b) (3 jurisdictions)</w:t>
            </w:r>
          </w:p>
        </w:tc>
      </w:tr>
      <w:tr w:rsidR="00E15472" w:rsidTr="00E13364">
        <w:tc>
          <w:tcPr>
            <w:tcW w:w="8220" w:type="dxa"/>
            <w:shd w:val="clear" w:color="auto" w:fill="auto"/>
          </w:tcPr>
          <w:p w:rsidR="00E15472" w:rsidRPr="00885DFE" w:rsidRDefault="00E15472" w:rsidP="00E13364">
            <w:pPr>
              <w:pStyle w:val="TableTextNoSpace"/>
            </w:pPr>
            <w:r w:rsidRPr="00885DFE">
              <w:t>Statutory provision on the right of children to information in a child-friendly format about rights and procedures (CivAdm076a) (3 jurisdictions)</w:t>
            </w:r>
          </w:p>
        </w:tc>
      </w:tr>
      <w:tr w:rsidR="00E15472" w:rsidTr="00E13364">
        <w:tc>
          <w:tcPr>
            <w:tcW w:w="8220" w:type="dxa"/>
            <w:shd w:val="clear" w:color="auto" w:fill="auto"/>
          </w:tcPr>
          <w:p w:rsidR="00E15472" w:rsidRPr="00885DFE" w:rsidRDefault="00E15472" w:rsidP="00E13364">
            <w:pPr>
              <w:pStyle w:val="TableTextNoSpace"/>
            </w:pPr>
            <w:r w:rsidRPr="00885DFE">
              <w:t>Legal obligation to conduct court hearings with children in non-intimidating and child sensitive environments (CivAdm109) (3 jurisdictions)</w:t>
            </w:r>
          </w:p>
        </w:tc>
      </w:tr>
      <w:tr w:rsidR="00E15472" w:rsidTr="00E13364">
        <w:tc>
          <w:tcPr>
            <w:tcW w:w="8220" w:type="dxa"/>
            <w:shd w:val="clear" w:color="auto" w:fill="auto"/>
          </w:tcPr>
          <w:p w:rsidR="00E15472" w:rsidRPr="00885DFE" w:rsidRDefault="00E15472" w:rsidP="00E13364">
            <w:pPr>
              <w:pStyle w:val="TableTextNoSpace"/>
            </w:pPr>
            <w:r w:rsidRPr="00885DFE">
              <w:t>Legal obligation to communicate a decision or judgement in a manner adapted to the child's level of understanding (CivAdm188b) (3 jurisdictions)</w:t>
            </w:r>
          </w:p>
        </w:tc>
      </w:tr>
      <w:tr w:rsidR="00E15472" w:rsidTr="00E13364">
        <w:tc>
          <w:tcPr>
            <w:tcW w:w="8220" w:type="dxa"/>
            <w:shd w:val="clear" w:color="auto" w:fill="auto"/>
          </w:tcPr>
          <w:p w:rsidR="00E15472" w:rsidRPr="00885DFE" w:rsidRDefault="00E15472" w:rsidP="00E13364">
            <w:pPr>
              <w:pStyle w:val="TableTextNoSpace"/>
            </w:pPr>
            <w:r w:rsidRPr="00885DFE">
              <w:t>Guidance or codes of conduct for judicial or other competent authorities (e.g. police, immigration, educational, social or healthcare services) to ensure that children receive information (CivAdm069) (2 jurisdictions)</w:t>
            </w:r>
          </w:p>
        </w:tc>
      </w:tr>
      <w:tr w:rsidR="00E15472" w:rsidTr="00E13364">
        <w:tc>
          <w:tcPr>
            <w:tcW w:w="8220" w:type="dxa"/>
            <w:shd w:val="clear" w:color="auto" w:fill="auto"/>
          </w:tcPr>
          <w:p w:rsidR="00E15472" w:rsidRPr="00885DFE" w:rsidRDefault="00E15472" w:rsidP="00E13364">
            <w:pPr>
              <w:pStyle w:val="TableTextNoSpace"/>
            </w:pPr>
            <w:r w:rsidRPr="00885DFE">
              <w:t>Statutory provision on the right of children to information in a manner that takes into account any special needs of the child about rights and procedures (CivAdm076b) (2 jurisdictions)</w:t>
            </w:r>
          </w:p>
        </w:tc>
      </w:tr>
      <w:tr w:rsidR="00E15472" w:rsidTr="00E13364">
        <w:tc>
          <w:tcPr>
            <w:tcW w:w="8220" w:type="dxa"/>
            <w:shd w:val="clear" w:color="auto" w:fill="auto"/>
          </w:tcPr>
          <w:p w:rsidR="00E15472" w:rsidRPr="00885DFE" w:rsidRDefault="00E15472" w:rsidP="00E13364">
            <w:pPr>
              <w:pStyle w:val="TableTextNoSpace"/>
            </w:pPr>
            <w:r w:rsidRPr="00885DFE">
              <w:t>Common assessment framework for all professionals working with or for children in civil and administrative proceedings (including lawyers, psychologists, physicians, immigration officials, social workers and mediators) (CivAdm101) (2 jurisdictions)</w:t>
            </w:r>
          </w:p>
        </w:tc>
      </w:tr>
      <w:tr w:rsidR="00E15472" w:rsidTr="00E13364">
        <w:tc>
          <w:tcPr>
            <w:tcW w:w="8220" w:type="dxa"/>
            <w:shd w:val="clear" w:color="auto" w:fill="auto"/>
          </w:tcPr>
          <w:p w:rsidR="00E15472" w:rsidRPr="00885DFE" w:rsidRDefault="00E15472" w:rsidP="00E13364">
            <w:pPr>
              <w:pStyle w:val="TableTextNoSpace"/>
            </w:pPr>
            <w:r w:rsidRPr="00885DFE">
              <w:t>Guidance or code of conduct for judicial authorities to ensure that the right to be heard of the child is respected (CivAdm128) (2 jurisdictions)</w:t>
            </w:r>
          </w:p>
        </w:tc>
      </w:tr>
      <w:tr w:rsidR="00E15472" w:rsidTr="00E13364">
        <w:tc>
          <w:tcPr>
            <w:tcW w:w="8220" w:type="dxa"/>
            <w:shd w:val="clear" w:color="auto" w:fill="auto"/>
          </w:tcPr>
          <w:p w:rsidR="00E15472" w:rsidRPr="00885DFE" w:rsidRDefault="00E15472" w:rsidP="00E13364">
            <w:pPr>
              <w:pStyle w:val="TableTextNoSpace"/>
            </w:pPr>
            <w:r w:rsidRPr="00885DFE">
              <w:t>Guidance or code of conduct for lawyers, guardians ad litem or legal representatives on how to communicate a decision or judgement to a child involved in judicial proceedings in a manner adapted to the child's level of understanding (CivAdm189) (1 jurisdiction)</w:t>
            </w:r>
          </w:p>
        </w:tc>
      </w:tr>
      <w:tr w:rsidR="00E15472" w:rsidTr="00E13364">
        <w:tc>
          <w:tcPr>
            <w:tcW w:w="8220" w:type="dxa"/>
            <w:shd w:val="clear" w:color="auto" w:fill="auto"/>
          </w:tcPr>
          <w:p w:rsidR="00E15472" w:rsidRPr="00885DFE" w:rsidRDefault="00E15472" w:rsidP="00E13364">
            <w:pPr>
              <w:pStyle w:val="TableTextNoSpace"/>
            </w:pPr>
            <w:r w:rsidRPr="00885DFE">
              <w:t>Guidelines to protect children from harmful images during judicial proceedings (CivAdm123) (0 jurisdictions)</w:t>
            </w:r>
          </w:p>
        </w:tc>
      </w:tr>
      <w:tr w:rsidR="00E15472" w:rsidTr="00E13364">
        <w:tc>
          <w:tcPr>
            <w:tcW w:w="8220" w:type="dxa"/>
            <w:shd w:val="clear" w:color="auto" w:fill="auto"/>
          </w:tcPr>
          <w:p w:rsidR="00E15472" w:rsidRPr="00885DFE" w:rsidRDefault="00E15472" w:rsidP="00E13364">
            <w:pPr>
              <w:pStyle w:val="TableTextNoSpace"/>
            </w:pPr>
            <w:r w:rsidRPr="00885DFE">
              <w:t>Guidelines for judicial authorities on the types of cases involving children where decisions should be made directly or immediately enforceable (CivAdm193) (0 jurisdictions)</w:t>
            </w:r>
          </w:p>
        </w:tc>
      </w:tr>
    </w:tbl>
    <w:p w:rsidR="00F60F4B" w:rsidRDefault="00F60F4B" w:rsidP="001D508A">
      <w:pPr>
        <w:pStyle w:val="Heading2"/>
        <w:rPr>
          <w:rFonts w:eastAsia="Times New Roman"/>
        </w:rPr>
      </w:pPr>
      <w:bookmarkStart w:id="293" w:name="_Toc406590169"/>
      <w:bookmarkStart w:id="294" w:name="_Toc408908763"/>
      <w:r>
        <w:rPr>
          <w:rFonts w:eastAsia="Times New Roman"/>
        </w:rPr>
        <w:t>The prevalence of s</w:t>
      </w:r>
      <w:r w:rsidRPr="00A80CAC">
        <w:rPr>
          <w:rFonts w:eastAsia="Times New Roman"/>
        </w:rPr>
        <w:t xml:space="preserve">afeguards </w:t>
      </w:r>
      <w:r>
        <w:rPr>
          <w:rFonts w:eastAsia="Times New Roman"/>
        </w:rPr>
        <w:t>for children in each area of protection</w:t>
      </w:r>
      <w:bookmarkEnd w:id="293"/>
      <w:bookmarkEnd w:id="294"/>
    </w:p>
    <w:p w:rsidR="00EB2E37" w:rsidRDefault="00F749C3" w:rsidP="00E13364">
      <w:pPr>
        <w:pStyle w:val="BodyText"/>
      </w:pPr>
      <w:r w:rsidRPr="00F749C3">
        <w:t>This</w:t>
      </w:r>
      <w:r>
        <w:t xml:space="preserve"> sub-</w:t>
      </w:r>
      <w:r w:rsidRPr="00F749C3">
        <w:t xml:space="preserve">section considers the prevalence of safeguards in the </w:t>
      </w:r>
      <w:r w:rsidR="00EB2E37">
        <w:t xml:space="preserve">14 </w:t>
      </w:r>
      <w:r w:rsidRPr="00F749C3">
        <w:t>areas of protection</w:t>
      </w:r>
      <w:r w:rsidR="00EB2E37">
        <w:t xml:space="preserve"> that are reviewed in this study</w:t>
      </w:r>
      <w:r w:rsidRPr="00F749C3">
        <w:t xml:space="preserve">. </w:t>
      </w:r>
    </w:p>
    <w:p w:rsidR="00CB0F64" w:rsidRDefault="00020AAD" w:rsidP="00E13364">
      <w:pPr>
        <w:pStyle w:val="BodyText"/>
      </w:pPr>
      <w:r>
        <w:t xml:space="preserve">The prevalence of safeguards </w:t>
      </w:r>
      <w:r w:rsidR="00EB2E37">
        <w:t xml:space="preserve">in each area of protection </w:t>
      </w:r>
      <w:r>
        <w:t xml:space="preserve">is calculated by identifying the number of jurisdictions </w:t>
      </w:r>
      <w:r w:rsidR="00CB0F64">
        <w:t xml:space="preserve">that apply the safeguards </w:t>
      </w:r>
      <w:r>
        <w:t xml:space="preserve">reviewed under each area of protection for at least one role of the child and in at least one area of law. </w:t>
      </w:r>
    </w:p>
    <w:p w:rsidR="0036414E" w:rsidRDefault="00CB0F64" w:rsidP="00E13364">
      <w:pPr>
        <w:pStyle w:val="BodyText"/>
      </w:pPr>
      <w:r>
        <w:t>Since the number of safeguards reviewed under each area of protection varies, the average number of jurisdictions that apply the safeguards under each area of protection is calculated.</w:t>
      </w:r>
    </w:p>
    <w:p w:rsidR="00F749C3" w:rsidRPr="00F749C3" w:rsidRDefault="00F749C3" w:rsidP="00E13364">
      <w:pPr>
        <w:pStyle w:val="BodyText"/>
      </w:pPr>
      <w:r w:rsidRPr="00F749C3">
        <w:t>The areas of protection in which safeguards are most prevalent are:</w:t>
      </w:r>
    </w:p>
    <w:p w:rsidR="0036414E" w:rsidRPr="001D508A" w:rsidRDefault="00F749C3" w:rsidP="00E13364">
      <w:pPr>
        <w:pStyle w:val="BTBullet1"/>
      </w:pPr>
      <w:r w:rsidRPr="001D508A">
        <w:rPr>
          <w:b/>
        </w:rPr>
        <w:t>Monitoring mechanisms:</w:t>
      </w:r>
      <w:r w:rsidRPr="001D508A">
        <w:t xml:space="preserve"> The one safeguard in this area applies in 26 jurisdictions.</w:t>
      </w:r>
    </w:p>
    <w:p w:rsidR="0036414E" w:rsidRPr="001D508A" w:rsidRDefault="00F749C3" w:rsidP="00E13364">
      <w:pPr>
        <w:pStyle w:val="BTBullet1"/>
      </w:pPr>
      <w:r w:rsidRPr="001D508A">
        <w:rPr>
          <w:b/>
        </w:rPr>
        <w:t>Restrictions on liberty</w:t>
      </w:r>
      <w:r w:rsidRPr="001D508A">
        <w:t xml:space="preserve">: The four safeguards in this area apply in an average of over </w:t>
      </w:r>
      <w:r w:rsidR="00317A72" w:rsidRPr="001D508A">
        <w:t>2</w:t>
      </w:r>
      <w:r w:rsidR="00317A72">
        <w:t>6</w:t>
      </w:r>
      <w:r w:rsidRPr="001D508A">
        <w:t xml:space="preserve"> jurisdictions</w:t>
      </w:r>
    </w:p>
    <w:p w:rsidR="0036414E" w:rsidRPr="001D508A" w:rsidRDefault="00F749C3" w:rsidP="00E13364">
      <w:pPr>
        <w:pStyle w:val="BTBullet1"/>
      </w:pPr>
      <w:r w:rsidRPr="001D508A">
        <w:rPr>
          <w:b/>
        </w:rPr>
        <w:t>Protection of private and family life</w:t>
      </w:r>
      <w:r w:rsidRPr="001D508A">
        <w:t>: The ten safeguards in this are</w:t>
      </w:r>
      <w:r w:rsidR="00191000" w:rsidRPr="001D508A">
        <w:t>a</w:t>
      </w:r>
      <w:r w:rsidRPr="001D508A">
        <w:t xml:space="preserve"> apply in an average of over 21 jurisdictions, through the frequency ranges from 29 jurisdictions to 12 jurisdictions.</w:t>
      </w:r>
    </w:p>
    <w:p w:rsidR="00F749C3" w:rsidRPr="001D508A" w:rsidRDefault="00F749C3" w:rsidP="00E13364">
      <w:pPr>
        <w:pStyle w:val="BTBullet1"/>
      </w:pPr>
      <w:r w:rsidRPr="001D508A">
        <w:rPr>
          <w:b/>
        </w:rPr>
        <w:t>Legal representation</w:t>
      </w:r>
      <w:r w:rsidRPr="001D508A">
        <w:t>: The eight safeguards in this area apply in an average of over 21 jurisdictions. The frequency ranges from all 30 jurisdictions to just seven.</w:t>
      </w:r>
    </w:p>
    <w:p w:rsidR="00F749C3" w:rsidRPr="001D508A" w:rsidRDefault="00F749C3" w:rsidP="00E13364">
      <w:pPr>
        <w:pStyle w:val="BTBullet1"/>
      </w:pPr>
      <w:r w:rsidRPr="001D508A">
        <w:t xml:space="preserve">The areas of protection in which safeguards are least prevalent are: </w:t>
      </w:r>
    </w:p>
    <w:p w:rsidR="0036414E" w:rsidRPr="001D508A" w:rsidRDefault="00F749C3" w:rsidP="00E13364">
      <w:pPr>
        <w:pStyle w:val="BTBullet1"/>
      </w:pPr>
      <w:r w:rsidRPr="001D508A">
        <w:rPr>
          <w:b/>
        </w:rPr>
        <w:t>Access to info</w:t>
      </w:r>
      <w:r w:rsidR="0036414E" w:rsidRPr="001D508A">
        <w:rPr>
          <w:b/>
        </w:rPr>
        <w:t>rmation</w:t>
      </w:r>
      <w:r w:rsidRPr="001D508A">
        <w:rPr>
          <w:b/>
        </w:rPr>
        <w:t xml:space="preserve"> and advice</w:t>
      </w:r>
      <w:r w:rsidRPr="001D508A">
        <w:t>: The six safeguards in this area apply in an average of over ten jurisdictions</w:t>
      </w:r>
      <w:r w:rsidR="0036414E" w:rsidRPr="001D508A">
        <w:t>.</w:t>
      </w:r>
    </w:p>
    <w:p w:rsidR="0036414E" w:rsidRPr="001D508A" w:rsidRDefault="00F749C3" w:rsidP="00E13364">
      <w:pPr>
        <w:pStyle w:val="BTBullet1"/>
      </w:pPr>
      <w:r w:rsidRPr="001D508A">
        <w:rPr>
          <w:b/>
        </w:rPr>
        <w:t>Multidisciplinary approach</w:t>
      </w:r>
      <w:r w:rsidRPr="001D508A">
        <w:t>: The four safeguards in this area apply in an average of 11 jurisdictions)</w:t>
      </w:r>
      <w:r w:rsidR="0036414E" w:rsidRPr="001D508A">
        <w:t>.</w:t>
      </w:r>
    </w:p>
    <w:p w:rsidR="0036414E" w:rsidRPr="001D508A" w:rsidRDefault="00F749C3" w:rsidP="00E13364">
      <w:pPr>
        <w:pStyle w:val="BTBullet1"/>
      </w:pPr>
      <w:r w:rsidRPr="001D508A">
        <w:rPr>
          <w:b/>
        </w:rPr>
        <w:t>Enforcement of court judgement</w:t>
      </w:r>
      <w:r w:rsidR="0036414E" w:rsidRPr="001D508A">
        <w:rPr>
          <w:b/>
        </w:rPr>
        <w:t>s</w:t>
      </w:r>
      <w:r w:rsidRPr="001D508A">
        <w:t>: The six safeguards in this area apply in an average of over 11 jurisdictions)</w:t>
      </w:r>
      <w:r w:rsidR="0036414E" w:rsidRPr="001D508A">
        <w:t>.</w:t>
      </w:r>
    </w:p>
    <w:p w:rsidR="00F749C3" w:rsidRPr="001D508A" w:rsidRDefault="00F749C3" w:rsidP="00E13364">
      <w:pPr>
        <w:pStyle w:val="BTBullet1"/>
      </w:pPr>
      <w:r w:rsidRPr="001D508A">
        <w:rPr>
          <w:b/>
        </w:rPr>
        <w:t xml:space="preserve">Alternatives to </w:t>
      </w:r>
      <w:r w:rsidR="0036414E" w:rsidRPr="001D508A">
        <w:rPr>
          <w:b/>
        </w:rPr>
        <w:t xml:space="preserve">judicial </w:t>
      </w:r>
      <w:r w:rsidRPr="001D508A">
        <w:rPr>
          <w:b/>
        </w:rPr>
        <w:t>proceedings (ADR)</w:t>
      </w:r>
      <w:r w:rsidRPr="001D508A">
        <w:t xml:space="preserve">: The six safeguards in this area apply in an average </w:t>
      </w:r>
      <w:r w:rsidR="00020AAD" w:rsidRPr="001D508A">
        <w:t xml:space="preserve">of </w:t>
      </w:r>
      <w:r w:rsidRPr="001D508A">
        <w:t xml:space="preserve">over 11 jurisdictions. </w:t>
      </w:r>
    </w:p>
    <w:p w:rsidR="00E13364" w:rsidRDefault="00E13364" w:rsidP="00020AAD">
      <w:pPr>
        <w:pStyle w:val="BTBullet1Last"/>
        <w:numPr>
          <w:ilvl w:val="0"/>
          <w:numId w:val="0"/>
        </w:numPr>
        <w:ind w:left="851"/>
        <w:rPr>
          <w:rFonts w:eastAsia="Calibri" w:cs="Arial"/>
          <w:sz w:val="22"/>
          <w:szCs w:val="22"/>
        </w:rPr>
      </w:pPr>
    </w:p>
    <w:p w:rsidR="00191000" w:rsidRDefault="00020AAD" w:rsidP="00E13364">
      <w:pPr>
        <w:pStyle w:val="BodyText"/>
      </w:pPr>
      <w:r>
        <w:t xml:space="preserve">The </w:t>
      </w:r>
      <w:r w:rsidR="00191000">
        <w:t>14 areas of protection are listed below, according to the prevalence of the safeguards within them, from most prevalent to least prevalent. The average number of</w:t>
      </w:r>
      <w:r>
        <w:t xml:space="preserve"> jurisdictions </w:t>
      </w:r>
      <w:r w:rsidR="00191000">
        <w:t xml:space="preserve">which apply </w:t>
      </w:r>
      <w:r>
        <w:t xml:space="preserve">the safeguards </w:t>
      </w:r>
      <w:r w:rsidR="00191000">
        <w:t xml:space="preserve">to </w:t>
      </w:r>
      <w:r>
        <w:t xml:space="preserve">at least one role of the child and </w:t>
      </w:r>
      <w:r w:rsidR="00191000">
        <w:t xml:space="preserve">in at least </w:t>
      </w:r>
      <w:r>
        <w:t>one area of law</w:t>
      </w:r>
      <w:r w:rsidR="00191000">
        <w:t xml:space="preserve"> is also indicated</w:t>
      </w:r>
      <w:r>
        <w:t>.</w:t>
      </w:r>
      <w:r w:rsidR="00CB0F64">
        <w:t xml:space="preserve"> </w:t>
      </w:r>
    </w:p>
    <w:p w:rsidR="00EA4C0E" w:rsidRDefault="00EB2E37" w:rsidP="00E13364">
      <w:pPr>
        <w:pStyle w:val="BodyText"/>
      </w:pPr>
      <w:r>
        <w:t>V</w:t>
      </w:r>
      <w:r w:rsidR="00191000">
        <w:t xml:space="preserve">ariations in the frequency of safeguards </w:t>
      </w:r>
      <w:r>
        <w:t xml:space="preserve">reviewed </w:t>
      </w:r>
      <w:r w:rsidR="00EA4C0E">
        <w:t>under individual areas of protection are particular significant in respect of</w:t>
      </w:r>
      <w:r w:rsidR="0023574E">
        <w:t xml:space="preserve"> six areas of protection</w:t>
      </w:r>
      <w:r w:rsidR="00EA4C0E">
        <w:t>:</w:t>
      </w:r>
      <w:r>
        <w:t xml:space="preserve"> </w:t>
      </w:r>
      <w:r w:rsidR="00191000">
        <w:t>protection of privacy and family life</w:t>
      </w:r>
      <w:r>
        <w:t xml:space="preserve">; </w:t>
      </w:r>
      <w:r w:rsidR="00EA4C0E">
        <w:t xml:space="preserve">legal representation; right to be heard; protection from harm in the proceedings; enforcement of court judgments; and access to information and advice. </w:t>
      </w:r>
    </w:p>
    <w:p w:rsidR="00F01EB9" w:rsidRDefault="00EA4C0E" w:rsidP="00E13364">
      <w:pPr>
        <w:pStyle w:val="BodyText"/>
      </w:pPr>
      <w:r>
        <w:t xml:space="preserve">The wide variations in the frequency of safeguards </w:t>
      </w:r>
      <w:r w:rsidR="0023574E">
        <w:t xml:space="preserve">under these six areas of protection possibly </w:t>
      </w:r>
      <w:r>
        <w:t xml:space="preserve">reflect the </w:t>
      </w:r>
      <w:r w:rsidR="0023574E">
        <w:t xml:space="preserve">different types of </w:t>
      </w:r>
      <w:r>
        <w:t xml:space="preserve">safeguards reviewed </w:t>
      </w:r>
      <w:r w:rsidR="0023574E">
        <w:t xml:space="preserve">within them. In particular, the six areas of protection </w:t>
      </w:r>
      <w:r>
        <w:t>include both statutory provisions/legal obligations and guidelines/codes of conduct.</w:t>
      </w:r>
      <w:r w:rsidR="0023574E">
        <w:t xml:space="preserve"> </w:t>
      </w:r>
      <w:r>
        <w:t xml:space="preserve"> </w:t>
      </w:r>
    </w:p>
    <w:p w:rsidR="00020AAD" w:rsidRDefault="00F01EB9" w:rsidP="00E13364">
      <w:pPr>
        <w:pStyle w:val="BodyText"/>
      </w:pPr>
      <w:r>
        <w:t xml:space="preserve">In general, statutory provisions / </w:t>
      </w:r>
      <w:r w:rsidRPr="00F01EB9">
        <w:t xml:space="preserve">legal obligations tend to be more prevalent than other provisions, such as guidelines </w:t>
      </w:r>
      <w:r>
        <w:t xml:space="preserve">/ </w:t>
      </w:r>
      <w:r w:rsidRPr="00F01EB9">
        <w:t xml:space="preserve">codes of conduct. The least prevalent safeguards in over half of the areas of protection include guidance for children and their parents involved in judicial proceedings, guidelines for lawyers representing children and guidelines for judicial authorities. </w:t>
      </w:r>
    </w:p>
    <w:p w:rsidR="00020AAD" w:rsidRPr="00CB0F64" w:rsidRDefault="00020AAD" w:rsidP="00E13364">
      <w:pPr>
        <w:pStyle w:val="Heading4NoNumb"/>
        <w:ind w:firstLine="851"/>
        <w:rPr>
          <w:rFonts w:eastAsia="Calibri"/>
        </w:rPr>
      </w:pPr>
      <w:r w:rsidRPr="00E13364">
        <w:t>Monitoring mechanisms</w:t>
      </w:r>
      <w:r w:rsidRPr="00CB0F64">
        <w:rPr>
          <w:rFonts w:eastAsia="Calibri"/>
          <w:color w:val="0070C0"/>
        </w:rPr>
        <w:t xml:space="preserve"> </w:t>
      </w:r>
      <w:r w:rsidRPr="00E32CD3">
        <w:rPr>
          <w:rFonts w:eastAsia="Calibri"/>
        </w:rPr>
        <w:t>(Average: 26 jurisdictions</w:t>
      </w:r>
      <w:r w:rsidRPr="00CB0F64">
        <w:rPr>
          <w:rFonts w:eastAsia="Calibri"/>
        </w:rPr>
        <w:t>)</w:t>
      </w:r>
    </w:p>
    <w:p w:rsidR="00191000" w:rsidRPr="001D508A" w:rsidRDefault="00020AAD" w:rsidP="00E13364">
      <w:pPr>
        <w:pStyle w:val="BodyText"/>
        <w:rPr>
          <w:b/>
        </w:rPr>
      </w:pPr>
      <w:r w:rsidRPr="00020AAD">
        <w:t xml:space="preserve">Monitoring mechanisms at national level to systematically review domestic legislation, policies and practice related to judicial proceedings to ensure their compatibility with international standards of </w:t>
      </w:r>
      <w:r w:rsidRPr="00CB0F64">
        <w:rPr>
          <w:b/>
        </w:rPr>
        <w:t>child-friendly justice (CivAdm044) (26 jurisdictions)</w:t>
      </w:r>
    </w:p>
    <w:p w:rsidR="00020AAD" w:rsidRPr="00020AAD" w:rsidRDefault="00020AAD" w:rsidP="00E13364">
      <w:pPr>
        <w:pStyle w:val="Heading4NoNumb"/>
        <w:ind w:firstLine="851"/>
        <w:rPr>
          <w:rFonts w:eastAsia="Calibri"/>
          <w:u w:val="single"/>
        </w:rPr>
      </w:pPr>
      <w:r w:rsidRPr="00CB0F64">
        <w:rPr>
          <w:rFonts w:eastAsia="Calibri"/>
          <w:color w:val="0070C0"/>
        </w:rPr>
        <w:t xml:space="preserve">Restrictions on liberty </w:t>
      </w:r>
      <w:r w:rsidRPr="00E32CD3">
        <w:rPr>
          <w:rFonts w:eastAsia="Calibri"/>
        </w:rPr>
        <w:t>(Average: 2</w:t>
      </w:r>
      <w:r w:rsidR="00016EF8">
        <w:rPr>
          <w:rFonts w:eastAsia="Calibri"/>
        </w:rPr>
        <w:t>5</w:t>
      </w:r>
      <w:r w:rsidRPr="00E32CD3">
        <w:rPr>
          <w:rFonts w:eastAsia="Calibri"/>
        </w:rPr>
        <w:t>.5</w:t>
      </w:r>
      <w:r w:rsidR="00CB3C84">
        <w:rPr>
          <w:rFonts w:eastAsia="Calibri"/>
        </w:rPr>
        <w:t xml:space="preserve"> </w:t>
      </w:r>
      <w:r w:rsidRPr="00E32CD3">
        <w:rPr>
          <w:rFonts w:eastAsia="Calibri"/>
        </w:rPr>
        <w:t>jurisdictions</w:t>
      </w:r>
      <w:r w:rsidRPr="00CB0F64">
        <w:rPr>
          <w:rFonts w:eastAsia="Calibri"/>
        </w:rPr>
        <w:t>)</w:t>
      </w:r>
    </w:p>
    <w:p w:rsidR="00016EF8" w:rsidRPr="00020AAD" w:rsidRDefault="00016EF8" w:rsidP="00E13364">
      <w:pPr>
        <w:pStyle w:val="BodyText"/>
      </w:pPr>
      <w:r w:rsidRPr="00020AAD">
        <w:t>Statutory provision on the right of the child to appeal an administrative decision to restrict their liberty (CivAdm168)</w:t>
      </w:r>
      <w:r w:rsidRPr="00020AAD">
        <w:rPr>
          <w:b/>
        </w:rPr>
        <w:t xml:space="preserve"> (2</w:t>
      </w:r>
      <w:r>
        <w:rPr>
          <w:b/>
        </w:rPr>
        <w:t>9</w:t>
      </w:r>
      <w:r w:rsidRPr="00020AAD">
        <w:rPr>
          <w:b/>
        </w:rPr>
        <w:t xml:space="preserve"> jurisdictions)</w:t>
      </w:r>
    </w:p>
    <w:p w:rsidR="00020AAD" w:rsidRPr="00020AAD" w:rsidRDefault="00020AAD" w:rsidP="00E13364">
      <w:pPr>
        <w:pStyle w:val="BodyText"/>
      </w:pPr>
      <w:r w:rsidRPr="00020AAD">
        <w:t>Statutory provision on the use by judicial authorities of restriction of liberty or detention for the shortest possible amount of time (CivAdm171b)</w:t>
      </w:r>
      <w:r w:rsidRPr="00020AAD">
        <w:rPr>
          <w:b/>
        </w:rPr>
        <w:t xml:space="preserve"> (26 jurisdictions)</w:t>
      </w:r>
    </w:p>
    <w:p w:rsidR="00020AAD" w:rsidRPr="00020AAD" w:rsidRDefault="00020AAD" w:rsidP="00E13364">
      <w:pPr>
        <w:pStyle w:val="BodyText"/>
      </w:pPr>
      <w:r w:rsidRPr="00020AAD">
        <w:t>Statutory provision on the use by judicial authorities of restriction of liberty or detention as a measure of last resort (CivAdm171a)</w:t>
      </w:r>
      <w:r w:rsidRPr="00020AAD">
        <w:rPr>
          <w:b/>
        </w:rPr>
        <w:t xml:space="preserve"> (24 jurisdictions)</w:t>
      </w:r>
    </w:p>
    <w:p w:rsidR="00191000" w:rsidRPr="001D508A" w:rsidRDefault="00020AAD" w:rsidP="00E13364">
      <w:pPr>
        <w:pStyle w:val="BodyText"/>
      </w:pPr>
      <w:r w:rsidRPr="00020AAD">
        <w:t>Independent system for monitoring the appropriate use of detention (CivAdm169)</w:t>
      </w:r>
      <w:r w:rsidRPr="00020AAD">
        <w:rPr>
          <w:b/>
        </w:rPr>
        <w:t xml:space="preserve"> (23 jurisdictions)</w:t>
      </w:r>
    </w:p>
    <w:p w:rsidR="00020AAD" w:rsidRPr="00E32CD3" w:rsidRDefault="00020AAD" w:rsidP="00E13364">
      <w:pPr>
        <w:pStyle w:val="Heading4NoNumb"/>
        <w:ind w:firstLine="851"/>
        <w:rPr>
          <w:rFonts w:eastAsia="Calibri"/>
        </w:rPr>
      </w:pPr>
      <w:r w:rsidRPr="00E32CD3">
        <w:rPr>
          <w:rFonts w:eastAsia="Calibri"/>
        </w:rPr>
        <w:t>Protection of private and family life (Average: 21.5 jurisdictions)</w:t>
      </w:r>
    </w:p>
    <w:p w:rsidR="00020AAD" w:rsidRPr="00020AAD" w:rsidRDefault="00020AAD" w:rsidP="00E13364">
      <w:pPr>
        <w:pStyle w:val="BodyText"/>
      </w:pPr>
      <w:r w:rsidRPr="00020AAD">
        <w:t>Statutory provision on the right of children involved in judicial proceedings to the protection of personal data, especially in the context of processing, storing and transmitting court records (CivAdm085)</w:t>
      </w:r>
      <w:r w:rsidRPr="00020AAD">
        <w:rPr>
          <w:b/>
        </w:rPr>
        <w:t xml:space="preserve"> (29 jurisdictions)</w:t>
      </w:r>
    </w:p>
    <w:p w:rsidR="00020AAD" w:rsidRPr="00020AAD" w:rsidRDefault="00020AAD" w:rsidP="00E13364">
      <w:pPr>
        <w:pStyle w:val="BodyText"/>
      </w:pPr>
      <w:r w:rsidRPr="00020AAD">
        <w:t>Statutory provision on the right of children involved in judicial proceedings to privacy (CivAdm080a)</w:t>
      </w:r>
      <w:r w:rsidRPr="00020AAD">
        <w:rPr>
          <w:b/>
        </w:rPr>
        <w:t xml:space="preserve"> (27 jurisdictions)</w:t>
      </w:r>
    </w:p>
    <w:p w:rsidR="00020AAD" w:rsidRPr="00020AAD" w:rsidRDefault="00020AAD" w:rsidP="00E13364">
      <w:pPr>
        <w:pStyle w:val="BodyText"/>
      </w:pPr>
      <w:r w:rsidRPr="00020AAD">
        <w:t xml:space="preserve">Procedures to ensure that the records of children are kept strictly confidential and closed to third parties (CivAdm086a) </w:t>
      </w:r>
      <w:r w:rsidRPr="00020AAD">
        <w:rPr>
          <w:b/>
        </w:rPr>
        <w:t>(26 jurisdictions)</w:t>
      </w:r>
    </w:p>
    <w:p w:rsidR="00020AAD" w:rsidRPr="00020AAD" w:rsidRDefault="00020AAD" w:rsidP="00E13364">
      <w:pPr>
        <w:pStyle w:val="BodyText"/>
      </w:pPr>
      <w:r w:rsidRPr="00020AAD">
        <w:t>Legal obligation to conduct court hearings with children behind closed doors (only those directly involved should be present). (CivAdm083a)</w:t>
      </w:r>
      <w:r w:rsidRPr="00020AAD">
        <w:rPr>
          <w:b/>
        </w:rPr>
        <w:t xml:space="preserve"> (24 jurisdictions)</w:t>
      </w:r>
    </w:p>
    <w:p w:rsidR="00020AAD" w:rsidRPr="00020AAD" w:rsidRDefault="00020AAD" w:rsidP="00E13364">
      <w:pPr>
        <w:pStyle w:val="BodyText"/>
      </w:pPr>
      <w:r w:rsidRPr="00020AAD">
        <w:t>Legislative measures to prevent violations of the privacy rights of children by the media at all stages of the proceedings (CivAdm089)</w:t>
      </w:r>
      <w:r w:rsidRPr="00020AAD">
        <w:rPr>
          <w:b/>
        </w:rPr>
        <w:t xml:space="preserve"> (24 jurisdictions)</w:t>
      </w:r>
    </w:p>
    <w:p w:rsidR="00020AAD" w:rsidRPr="00020AAD" w:rsidRDefault="00020AAD" w:rsidP="00E13364">
      <w:pPr>
        <w:pStyle w:val="BodyText"/>
        <w:rPr>
          <w:b/>
        </w:rPr>
      </w:pPr>
      <w:r w:rsidRPr="00020AAD">
        <w:t>Self-regulatory measures applied by the media to protect the child's right to privacy (CivAdm090)</w:t>
      </w:r>
      <w:r w:rsidRPr="00020AAD">
        <w:rPr>
          <w:b/>
        </w:rPr>
        <w:t xml:space="preserve"> (22 jurisdictions)</w:t>
      </w:r>
    </w:p>
    <w:p w:rsidR="00020AAD" w:rsidRPr="00020AAD" w:rsidRDefault="00020AAD" w:rsidP="00E13364">
      <w:pPr>
        <w:pStyle w:val="BodyText"/>
      </w:pPr>
      <w:r w:rsidRPr="00020AAD">
        <w:t>Guidance and support measures for children an</w:t>
      </w:r>
      <w:r w:rsidR="00E32CD3">
        <w:t xml:space="preserve">d their families by specialised </w:t>
      </w:r>
      <w:r w:rsidRPr="00020AAD">
        <w:t>services to avoid adverse consequences of the judicial proceedings on family relations (CivAdm088a)</w:t>
      </w:r>
      <w:r w:rsidRPr="00020AAD">
        <w:rPr>
          <w:b/>
        </w:rPr>
        <w:t xml:space="preserve"> (18 jurisdictions)</w:t>
      </w:r>
    </w:p>
    <w:p w:rsidR="00020AAD" w:rsidRPr="00E32CD3" w:rsidRDefault="00020AAD" w:rsidP="00E13364">
      <w:pPr>
        <w:pStyle w:val="BodyText"/>
        <w:rPr>
          <w:b/>
        </w:rPr>
      </w:pPr>
      <w:r w:rsidRPr="00020AAD">
        <w:t xml:space="preserve">Discretionary powers of the judge/court to make an order regarding disclosure of any information related to the proceedings of children (CivAdm081) </w:t>
      </w:r>
      <w:r w:rsidR="00E32CD3">
        <w:rPr>
          <w:b/>
        </w:rPr>
        <w:t xml:space="preserve">(17 </w:t>
      </w:r>
      <w:r w:rsidRPr="00020AAD">
        <w:rPr>
          <w:b/>
        </w:rPr>
        <w:t>jurisdictions)</w:t>
      </w:r>
    </w:p>
    <w:p w:rsidR="00020AAD" w:rsidRPr="00020AAD" w:rsidRDefault="00020AAD" w:rsidP="00E13364">
      <w:pPr>
        <w:pStyle w:val="BodyText"/>
        <w:rPr>
          <w:b/>
        </w:rPr>
      </w:pPr>
      <w:r w:rsidRPr="00020AAD">
        <w:t>Independent monitoring (non-media) of self-regulatory measures applied by the media (CivAdm092)</w:t>
      </w:r>
      <w:r w:rsidRPr="00020AAD">
        <w:rPr>
          <w:b/>
        </w:rPr>
        <w:t xml:space="preserve"> (16 jurisdictions)</w:t>
      </w:r>
    </w:p>
    <w:p w:rsidR="00020AAD" w:rsidRPr="00020AAD" w:rsidRDefault="00020AAD" w:rsidP="00E13364">
      <w:pPr>
        <w:pStyle w:val="BodyText"/>
      </w:pPr>
      <w:r w:rsidRPr="00020AAD">
        <w:t xml:space="preserve">Guidance and support measures for children and their families by specialised services to avoid adverse consequences of the judicial proceedings on family relations are free-of-charge (CivAdm088b) </w:t>
      </w:r>
      <w:r w:rsidRPr="00020AAD">
        <w:rPr>
          <w:b/>
        </w:rPr>
        <w:t>(12 jurisdictions)</w:t>
      </w:r>
    </w:p>
    <w:p w:rsidR="00020AAD" w:rsidRPr="00E32CD3" w:rsidRDefault="00020AAD" w:rsidP="00E13364">
      <w:pPr>
        <w:pStyle w:val="Heading4NoNumb"/>
        <w:ind w:firstLine="851"/>
        <w:rPr>
          <w:rFonts w:eastAsia="Calibri"/>
        </w:rPr>
      </w:pPr>
      <w:r w:rsidRPr="00E32CD3">
        <w:rPr>
          <w:rFonts w:eastAsia="Calibri"/>
          <w:color w:val="0070C0"/>
        </w:rPr>
        <w:t>Legal representation</w:t>
      </w:r>
      <w:r w:rsidRPr="00E32CD3">
        <w:rPr>
          <w:rFonts w:eastAsia="Calibri"/>
        </w:rPr>
        <w:t xml:space="preserve"> (Average: 21.14 jurisdictions)</w:t>
      </w:r>
    </w:p>
    <w:p w:rsidR="00020AAD" w:rsidRPr="00020AAD" w:rsidRDefault="00020AAD" w:rsidP="00E13364">
      <w:pPr>
        <w:pStyle w:val="BodyText"/>
      </w:pPr>
      <w:r w:rsidRPr="00020AAD">
        <w:t>Legal obligation to appoint a guardian or advisor to represent unaccompanied and separated children, free of charge (CivAdm156)</w:t>
      </w:r>
      <w:r w:rsidRPr="00020AAD">
        <w:rPr>
          <w:b/>
        </w:rPr>
        <w:t xml:space="preserve"> (30 jurisdictions)</w:t>
      </w:r>
    </w:p>
    <w:p w:rsidR="00020AAD" w:rsidRPr="00020AAD" w:rsidRDefault="00020AAD" w:rsidP="00E13364">
      <w:pPr>
        <w:pStyle w:val="BodyText"/>
        <w:rPr>
          <w:b/>
        </w:rPr>
      </w:pPr>
      <w:r w:rsidRPr="00020AAD">
        <w:t>Statutory provision on the right of children involved in judicial proceedings to free legal aid (CivAdm151)</w:t>
      </w:r>
      <w:r w:rsidRPr="00020AAD">
        <w:rPr>
          <w:b/>
        </w:rPr>
        <w:t xml:space="preserve"> (29 jurisdictions)</w:t>
      </w:r>
    </w:p>
    <w:p w:rsidR="00020AAD" w:rsidRPr="00020AAD" w:rsidRDefault="00020AAD" w:rsidP="00E13364">
      <w:pPr>
        <w:pStyle w:val="BodyText"/>
      </w:pPr>
      <w:r w:rsidRPr="00020AAD">
        <w:t>Statutory provision on the appointment by the court of a guardian ad litem or special legal representative to represent child where there are potential conflicts of interest between child and parents (CivAdm154)</w:t>
      </w:r>
      <w:r w:rsidRPr="00020AAD">
        <w:rPr>
          <w:b/>
        </w:rPr>
        <w:t xml:space="preserve"> (28 jurisdictions)</w:t>
      </w:r>
      <w:r w:rsidRPr="00020AAD">
        <w:t xml:space="preserve"> </w:t>
      </w:r>
    </w:p>
    <w:p w:rsidR="00020AAD" w:rsidRPr="00020AAD" w:rsidRDefault="00020AAD" w:rsidP="00E13364">
      <w:pPr>
        <w:pStyle w:val="BodyText"/>
      </w:pPr>
      <w:r w:rsidRPr="00020AAD">
        <w:t xml:space="preserve">Statutory provision on the right of children to legal counsel and representation, in their own name, in proceedings where there are potential conflicts of interest between child and parents (CivAdm148a) </w:t>
      </w:r>
      <w:r w:rsidRPr="00020AAD">
        <w:rPr>
          <w:b/>
        </w:rPr>
        <w:t>(24 jurisdictions)</w:t>
      </w:r>
    </w:p>
    <w:p w:rsidR="00020AAD" w:rsidRPr="00020AAD" w:rsidRDefault="00020AAD" w:rsidP="00E13364">
      <w:pPr>
        <w:pStyle w:val="BodyText"/>
      </w:pPr>
      <w:r w:rsidRPr="00020AAD">
        <w:t>Statutory provision on the right of children involved in judicial proceedings to choose his/her own legal counsel (CivAdm152)</w:t>
      </w:r>
      <w:r w:rsidRPr="00020AAD">
        <w:rPr>
          <w:b/>
        </w:rPr>
        <w:t xml:space="preserve"> (17 jurisdictions)</w:t>
      </w:r>
    </w:p>
    <w:p w:rsidR="00020AAD" w:rsidRPr="00020AAD" w:rsidRDefault="00020AAD" w:rsidP="00E13364">
      <w:pPr>
        <w:pStyle w:val="BodyText"/>
      </w:pPr>
      <w:r w:rsidRPr="00020AAD">
        <w:t>Mechanism to monitor the appointment and quality of service provided by guardians ad litem to children involved in judicial proceeding (CivAdm155)</w:t>
      </w:r>
      <w:r w:rsidRPr="00020AAD">
        <w:rPr>
          <w:b/>
        </w:rPr>
        <w:t xml:space="preserve"> (13 jurisdictions)</w:t>
      </w:r>
    </w:p>
    <w:p w:rsidR="00020AAD" w:rsidRPr="001D508A" w:rsidRDefault="00020AAD" w:rsidP="00E13364">
      <w:pPr>
        <w:pStyle w:val="BodyText"/>
      </w:pPr>
      <w:r w:rsidRPr="00020AAD">
        <w:t>Guidance for lawyers who represent children to ensure they treat the child as a fully-fledged client, whose opinions are brought forward (CivAdm153)</w:t>
      </w:r>
      <w:r w:rsidRPr="00020AAD">
        <w:rPr>
          <w:b/>
        </w:rPr>
        <w:t xml:space="preserve"> (7 jurisdictions)</w:t>
      </w:r>
    </w:p>
    <w:p w:rsidR="00020AAD" w:rsidRPr="00E32CD3" w:rsidRDefault="00020AAD" w:rsidP="00E13364">
      <w:pPr>
        <w:pStyle w:val="Heading4NoNumb"/>
        <w:ind w:firstLine="851"/>
        <w:rPr>
          <w:rFonts w:eastAsia="Calibri"/>
        </w:rPr>
      </w:pPr>
      <w:r w:rsidRPr="00E32CD3">
        <w:rPr>
          <w:rFonts w:eastAsia="Calibri"/>
          <w:color w:val="0070C0"/>
        </w:rPr>
        <w:t xml:space="preserve">Legal remedies </w:t>
      </w:r>
      <w:r w:rsidRPr="00E32CD3">
        <w:rPr>
          <w:rFonts w:eastAsia="Calibri"/>
        </w:rPr>
        <w:t>(Average: 21 jurisdictions)</w:t>
      </w:r>
    </w:p>
    <w:p w:rsidR="00020AAD" w:rsidRPr="00020AAD" w:rsidRDefault="00020AAD" w:rsidP="00E13364">
      <w:pPr>
        <w:pStyle w:val="BodyText"/>
      </w:pPr>
      <w:r w:rsidRPr="00020AAD">
        <w:t>Mechanisms to permit the court or the child involved in judicial proceedings to take actions if there is a conflict of interests with his/her parent (CivAdm182)</w:t>
      </w:r>
      <w:r w:rsidRPr="00020AAD">
        <w:rPr>
          <w:b/>
        </w:rPr>
        <w:t xml:space="preserve"> (28 jurisdictions)</w:t>
      </w:r>
    </w:p>
    <w:p w:rsidR="00020AAD" w:rsidRPr="00020AAD" w:rsidRDefault="00020AAD" w:rsidP="00E13364">
      <w:pPr>
        <w:pStyle w:val="BodyText"/>
      </w:pPr>
      <w:r w:rsidRPr="00020AAD">
        <w:t xml:space="preserve">Statutory provision allowing a child care authority to appeal against certain court decisions involving children (CivAdm177) </w:t>
      </w:r>
      <w:r w:rsidRPr="00020AAD">
        <w:rPr>
          <w:b/>
        </w:rPr>
        <w:t>(26 jurisdictions)</w:t>
      </w:r>
    </w:p>
    <w:p w:rsidR="00020AAD" w:rsidRPr="00020AAD" w:rsidRDefault="00020AAD" w:rsidP="00E13364">
      <w:pPr>
        <w:pStyle w:val="BodyText"/>
      </w:pPr>
      <w:r w:rsidRPr="00020AAD">
        <w:t>Statutory basis for a child involved in judicial proceedings to appeal against a court's decision in his/her own right (CivAdm173)</w:t>
      </w:r>
      <w:r w:rsidRPr="00020AAD">
        <w:rPr>
          <w:b/>
        </w:rPr>
        <w:t xml:space="preserve"> (23 jurisdictions)</w:t>
      </w:r>
    </w:p>
    <w:p w:rsidR="00020AAD" w:rsidRPr="00020AAD" w:rsidRDefault="00020AAD" w:rsidP="00E13364">
      <w:pPr>
        <w:pStyle w:val="BodyText"/>
      </w:pPr>
      <w:r w:rsidRPr="00020AAD">
        <w:t>Support to enable child involved in judicial proceedings to access remedies or compensation for violation of rights/failure to act (CivAdm180)</w:t>
      </w:r>
      <w:r w:rsidRPr="00020AAD">
        <w:rPr>
          <w:b/>
        </w:rPr>
        <w:t xml:space="preserve"> (15 jurisdictions)</w:t>
      </w:r>
    </w:p>
    <w:p w:rsidR="00020AAD" w:rsidRPr="001D508A" w:rsidRDefault="00020AAD" w:rsidP="00E13364">
      <w:pPr>
        <w:pStyle w:val="BodyText"/>
      </w:pPr>
      <w:r w:rsidRPr="00020AAD">
        <w:t xml:space="preserve">Legal obligation to secure the right of a child involved in judicial proceedings to claim compensation for damages caused by violation of rights (CivAdm179) </w:t>
      </w:r>
      <w:r w:rsidRPr="00020AAD">
        <w:rPr>
          <w:b/>
        </w:rPr>
        <w:t>(13 jurisdictions)</w:t>
      </w:r>
    </w:p>
    <w:p w:rsidR="00020AAD" w:rsidRPr="00E32CD3" w:rsidRDefault="00020AAD" w:rsidP="00E13364">
      <w:pPr>
        <w:pStyle w:val="Heading4NoNumb"/>
        <w:ind w:firstLine="851"/>
        <w:rPr>
          <w:rFonts w:eastAsia="Calibri"/>
        </w:rPr>
      </w:pPr>
      <w:r w:rsidRPr="00E32CD3">
        <w:rPr>
          <w:rFonts w:eastAsia="Calibri"/>
          <w:color w:val="0070C0"/>
        </w:rPr>
        <w:t xml:space="preserve">Access to justice </w:t>
      </w:r>
      <w:r w:rsidRPr="00E32CD3">
        <w:rPr>
          <w:rFonts w:eastAsia="Calibri"/>
        </w:rPr>
        <w:t>(Average: 20.17 jurisdictions)</w:t>
      </w:r>
    </w:p>
    <w:p w:rsidR="00020AAD" w:rsidRPr="00020AAD" w:rsidRDefault="00020AAD" w:rsidP="00E13364">
      <w:pPr>
        <w:pStyle w:val="BodyText"/>
      </w:pPr>
      <w:r w:rsidRPr="00020AAD">
        <w:t>Statutory provision on the right of the court to adopt precautionary and interim measures regarding children (CivAdm058)</w:t>
      </w:r>
      <w:r w:rsidRPr="00020AAD">
        <w:rPr>
          <w:b/>
        </w:rPr>
        <w:t xml:space="preserve"> (30 jurisdictions)</w:t>
      </w:r>
    </w:p>
    <w:p w:rsidR="00020AAD" w:rsidRPr="00020AAD" w:rsidRDefault="00020AAD" w:rsidP="00E13364">
      <w:pPr>
        <w:pStyle w:val="BodyText"/>
        <w:rPr>
          <w:b/>
        </w:rPr>
      </w:pPr>
      <w:r w:rsidRPr="00020AAD">
        <w:t>Statutory provision allowing entities to file applications/initiate legal proceedings in child protection cases (CivAdm057) (</w:t>
      </w:r>
      <w:r w:rsidRPr="00020AAD">
        <w:rPr>
          <w:b/>
        </w:rPr>
        <w:t>27 jurisdictions)</w:t>
      </w:r>
    </w:p>
    <w:p w:rsidR="00020AAD" w:rsidRPr="00020AAD" w:rsidRDefault="00020AAD" w:rsidP="00E13364">
      <w:pPr>
        <w:pStyle w:val="BodyText"/>
      </w:pPr>
      <w:r w:rsidRPr="00020AAD">
        <w:t>Statutory provision on the right of social services to initiate precautionary and interim measures regarding children (CivAdm061)</w:t>
      </w:r>
      <w:r w:rsidRPr="00020AAD">
        <w:rPr>
          <w:b/>
        </w:rPr>
        <w:t xml:space="preserve"> (24 jurisdictions)</w:t>
      </w:r>
    </w:p>
    <w:p w:rsidR="00020AAD" w:rsidRPr="00020AAD" w:rsidRDefault="00020AAD" w:rsidP="00E13364">
      <w:pPr>
        <w:pStyle w:val="BodyText"/>
      </w:pPr>
      <w:r w:rsidRPr="00020AAD">
        <w:t>Statutory minimum age a child can bring a case to court in their own right (CivAdm045)</w:t>
      </w:r>
      <w:r w:rsidRPr="00020AAD">
        <w:rPr>
          <w:b/>
        </w:rPr>
        <w:t xml:space="preserve"> (23 jurisdictions)</w:t>
      </w:r>
    </w:p>
    <w:p w:rsidR="00020AAD" w:rsidRPr="00020AAD" w:rsidRDefault="00020AAD" w:rsidP="00E13364">
      <w:pPr>
        <w:pStyle w:val="BodyText"/>
      </w:pPr>
      <w:r w:rsidRPr="00020AAD">
        <w:t xml:space="preserve">Discretionary powers of the judge or court to grant a dispensation as to the minimum age a child can bring a case to court in their own right. (CivAdm046) </w:t>
      </w:r>
      <w:r w:rsidR="00E32CD3">
        <w:rPr>
          <w:b/>
        </w:rPr>
        <w:t xml:space="preserve">(9 </w:t>
      </w:r>
      <w:r w:rsidRPr="00020AAD">
        <w:rPr>
          <w:b/>
        </w:rPr>
        <w:t>jurisdictions)</w:t>
      </w:r>
    </w:p>
    <w:p w:rsidR="00020AAD" w:rsidRPr="001D508A" w:rsidRDefault="00020AAD" w:rsidP="00E13364">
      <w:pPr>
        <w:pStyle w:val="BodyText"/>
      </w:pPr>
      <w:r w:rsidRPr="00020AAD">
        <w:t xml:space="preserve">Statutory conditions attached to representation of the child by a legal representative or guardian (e.g. signed written consent by the child (CivAdm049) </w:t>
      </w:r>
      <w:r w:rsidRPr="00020AAD">
        <w:rPr>
          <w:b/>
        </w:rPr>
        <w:t>(8 jurisdictions)</w:t>
      </w:r>
    </w:p>
    <w:p w:rsidR="00020AAD" w:rsidRPr="00E32CD3" w:rsidRDefault="00020AAD" w:rsidP="00E13364">
      <w:pPr>
        <w:pStyle w:val="Heading4NoNumb"/>
        <w:ind w:firstLine="851"/>
        <w:rPr>
          <w:rFonts w:eastAsia="Calibri"/>
        </w:rPr>
      </w:pPr>
      <w:r w:rsidRPr="00E32CD3">
        <w:rPr>
          <w:rFonts w:eastAsia="Calibri"/>
          <w:color w:val="0070C0"/>
        </w:rPr>
        <w:t xml:space="preserve">Right to be heard </w:t>
      </w:r>
      <w:r w:rsidRPr="00E32CD3">
        <w:rPr>
          <w:rFonts w:eastAsia="Calibri"/>
        </w:rPr>
        <w:t>(Average: 18 jurisdictions)</w:t>
      </w:r>
    </w:p>
    <w:p w:rsidR="00020AAD" w:rsidRPr="00020AAD" w:rsidRDefault="00020AAD" w:rsidP="00E13364">
      <w:pPr>
        <w:pStyle w:val="BodyText"/>
      </w:pPr>
      <w:r w:rsidRPr="00020AAD">
        <w:t xml:space="preserve">Statutory provision on the child's right to be heard, disaggregated by type of proceeding (CivAdm127) </w:t>
      </w:r>
      <w:r w:rsidRPr="00020AAD">
        <w:rPr>
          <w:b/>
        </w:rPr>
        <w:t>(26 jurisdictions)</w:t>
      </w:r>
    </w:p>
    <w:p w:rsidR="00020AAD" w:rsidRPr="00020AAD" w:rsidRDefault="00020AAD" w:rsidP="00E13364">
      <w:pPr>
        <w:pStyle w:val="BodyText"/>
      </w:pPr>
      <w:r w:rsidRPr="00020AAD">
        <w:t xml:space="preserve">Statutory provision on the right of children to interpretation and translation services in order to support the right to be heard (CivAdm133) </w:t>
      </w:r>
      <w:r w:rsidRPr="00020AAD">
        <w:rPr>
          <w:b/>
        </w:rPr>
        <w:t>(24 jurisdictions)</w:t>
      </w:r>
    </w:p>
    <w:p w:rsidR="00020AAD" w:rsidRPr="001D508A" w:rsidRDefault="00020AAD" w:rsidP="00E13364">
      <w:pPr>
        <w:pStyle w:val="BodyText"/>
      </w:pPr>
      <w:r w:rsidRPr="00020AAD">
        <w:t xml:space="preserve">Guidance or code of conduct for judicial authorities to ensure that the right to be heard of the child is respected (CivAdm128) </w:t>
      </w:r>
      <w:r w:rsidRPr="00020AAD">
        <w:rPr>
          <w:b/>
        </w:rPr>
        <w:t>(4 jurisdictions)</w:t>
      </w:r>
    </w:p>
    <w:p w:rsidR="00020AAD" w:rsidRPr="00E32CD3" w:rsidRDefault="00020AAD" w:rsidP="00E13364">
      <w:pPr>
        <w:pStyle w:val="Heading4NoNumb"/>
        <w:ind w:firstLine="851"/>
        <w:rPr>
          <w:rFonts w:eastAsia="Calibri"/>
        </w:rPr>
      </w:pPr>
      <w:r w:rsidRPr="00E32CD3">
        <w:rPr>
          <w:rFonts w:eastAsia="Calibri"/>
          <w:color w:val="0070C0"/>
        </w:rPr>
        <w:t xml:space="preserve">Training requirements </w:t>
      </w:r>
      <w:r w:rsidRPr="00E32CD3">
        <w:rPr>
          <w:rFonts w:eastAsia="Calibri"/>
        </w:rPr>
        <w:t>(Average: 15 jurisdictions)</w:t>
      </w:r>
    </w:p>
    <w:p w:rsidR="00020AAD" w:rsidRPr="00020AAD" w:rsidRDefault="00020AAD" w:rsidP="00E13364">
      <w:pPr>
        <w:pStyle w:val="BodyText"/>
      </w:pPr>
      <w:r w:rsidRPr="00020AAD">
        <w:t xml:space="preserve">Continuous training programmes for professionals who work for and with children involved in civil and administrative proceedings (CivAdm098) </w:t>
      </w:r>
      <w:r w:rsidRPr="00020AAD">
        <w:rPr>
          <w:b/>
        </w:rPr>
        <w:t>(18 jurisdictions)</w:t>
      </w:r>
    </w:p>
    <w:p w:rsidR="00020AAD" w:rsidRPr="00020AAD" w:rsidRDefault="00020AAD" w:rsidP="00E13364">
      <w:pPr>
        <w:pStyle w:val="BodyText"/>
      </w:pPr>
      <w:r w:rsidRPr="00020AAD">
        <w:t xml:space="preserve">Initial training programmes for professionals who work for and with children involved in civil and administrative proceedings (CivAdm095) </w:t>
      </w:r>
      <w:r w:rsidRPr="00020AAD">
        <w:rPr>
          <w:b/>
        </w:rPr>
        <w:t>(17 jurisdictions)</w:t>
      </w:r>
    </w:p>
    <w:p w:rsidR="00020AAD" w:rsidRPr="00020AAD" w:rsidRDefault="00020AAD" w:rsidP="00E13364">
      <w:pPr>
        <w:pStyle w:val="BodyText"/>
      </w:pPr>
      <w:r w:rsidRPr="00020AAD">
        <w:t xml:space="preserve">Training on communicating with children is available but not mandatory (CivAdm097c) </w:t>
      </w:r>
      <w:r w:rsidRPr="00020AAD">
        <w:rPr>
          <w:b/>
        </w:rPr>
        <w:t>(17 jurisdictions)</w:t>
      </w:r>
    </w:p>
    <w:p w:rsidR="00020AAD" w:rsidRPr="00020AAD" w:rsidRDefault="00020AAD" w:rsidP="00E13364">
      <w:pPr>
        <w:pStyle w:val="BodyText"/>
      </w:pPr>
      <w:r w:rsidRPr="00020AAD">
        <w:t>Legal obligation to provide multidisciplinary training (as part of capacity building programme) to all professionals who work for and with children on the rights and needs of children of different age groups as well as on proceedings that are adapted to them (CivAdm094a)</w:t>
      </w:r>
      <w:r w:rsidRPr="00020AAD">
        <w:rPr>
          <w:b/>
        </w:rPr>
        <w:t xml:space="preserve"> (13 jurisdictions)</w:t>
      </w:r>
    </w:p>
    <w:p w:rsidR="00020AAD" w:rsidRPr="001D508A" w:rsidRDefault="00020AAD" w:rsidP="00E13364">
      <w:pPr>
        <w:pStyle w:val="BodyText"/>
      </w:pPr>
      <w:r w:rsidRPr="00020AAD">
        <w:t xml:space="preserve">Legal obligation to provide training to professionals having direct contact with children in communicating with them at all ages and stages of development (CivAdm097a) </w:t>
      </w:r>
      <w:r w:rsidRPr="00020AAD">
        <w:rPr>
          <w:b/>
        </w:rPr>
        <w:t>(10 jurisdictions)</w:t>
      </w:r>
    </w:p>
    <w:p w:rsidR="00020AAD" w:rsidRPr="00E32CD3" w:rsidRDefault="00020AAD" w:rsidP="00E13364">
      <w:pPr>
        <w:pStyle w:val="Heading4NoNumb"/>
        <w:ind w:firstLine="851"/>
        <w:rPr>
          <w:rFonts w:eastAsia="Calibri"/>
        </w:rPr>
      </w:pPr>
      <w:r w:rsidRPr="00E32CD3">
        <w:rPr>
          <w:rFonts w:eastAsia="Calibri"/>
        </w:rPr>
        <w:t>Protection from harm in proceedings (Average: 14.58 jurisdictions)</w:t>
      </w:r>
    </w:p>
    <w:p w:rsidR="00020AAD" w:rsidRPr="00020AAD" w:rsidRDefault="00020AAD" w:rsidP="00E13364">
      <w:pPr>
        <w:pStyle w:val="BodyText"/>
      </w:pPr>
      <w:r w:rsidRPr="00020AAD">
        <w:t xml:space="preserve">Statutory provision for court to impose protective measures during court proceedings (CivAdm125a) </w:t>
      </w:r>
      <w:r w:rsidRPr="00020AAD">
        <w:rPr>
          <w:b/>
        </w:rPr>
        <w:t>(29 jurisdictions)</w:t>
      </w:r>
    </w:p>
    <w:p w:rsidR="00020AAD" w:rsidRPr="00020AAD" w:rsidRDefault="00020AAD" w:rsidP="00E13364">
      <w:pPr>
        <w:pStyle w:val="BodyText"/>
      </w:pPr>
      <w:r w:rsidRPr="00020AAD">
        <w:t xml:space="preserve">Legal obligation for judicial authorities to avoid undue delay in their handling of cases involving children (urgency principle) (CivAdm105) </w:t>
      </w:r>
      <w:r w:rsidRPr="00020AAD">
        <w:rPr>
          <w:b/>
        </w:rPr>
        <w:t>(25 jurisdictions)</w:t>
      </w:r>
    </w:p>
    <w:p w:rsidR="00020AAD" w:rsidRPr="00020AAD" w:rsidRDefault="00020AAD" w:rsidP="00E13364">
      <w:pPr>
        <w:pStyle w:val="BodyText"/>
      </w:pPr>
      <w:r w:rsidRPr="00020AAD">
        <w:t xml:space="preserve">Statutory provision on the right of a child to receive assistance when attending proceedings, including from an interpreter, social worker, lawyer or friend (CivAdm141) </w:t>
      </w:r>
      <w:r w:rsidRPr="00020AAD">
        <w:rPr>
          <w:b/>
        </w:rPr>
        <w:t>(24 jurisdictions)</w:t>
      </w:r>
    </w:p>
    <w:p w:rsidR="00020AAD" w:rsidRPr="00020AAD" w:rsidRDefault="00020AAD" w:rsidP="00E13364">
      <w:pPr>
        <w:pStyle w:val="BodyText"/>
      </w:pPr>
      <w:r w:rsidRPr="00020AAD">
        <w:t>Statutory provision on the mandatory presence of a legal representative, guardian, guardian ad litem, adult relative, or a lawyer when a child is being interviewed in a civil/administrative judicial proceeding (CivAdm144)</w:t>
      </w:r>
      <w:r w:rsidRPr="00020AAD">
        <w:rPr>
          <w:b/>
        </w:rPr>
        <w:t xml:space="preserve"> (22 jurisdictions)</w:t>
      </w:r>
    </w:p>
    <w:p w:rsidR="00020AAD" w:rsidRPr="00020AAD" w:rsidRDefault="00020AAD" w:rsidP="00E13364">
      <w:pPr>
        <w:pStyle w:val="BodyText"/>
      </w:pPr>
      <w:r w:rsidRPr="00020AAD">
        <w:t>Statutory provision to ensure that evidence provided through audio-visual recordings are admissible (CivAdm112)</w:t>
      </w:r>
      <w:r w:rsidRPr="00020AAD">
        <w:rPr>
          <w:b/>
        </w:rPr>
        <w:t xml:space="preserve"> (19 jurisdictions)</w:t>
      </w:r>
    </w:p>
    <w:p w:rsidR="00020AAD" w:rsidRPr="00020AAD" w:rsidRDefault="00020AAD" w:rsidP="00E13364">
      <w:pPr>
        <w:pStyle w:val="BodyText"/>
      </w:pPr>
      <w:r w:rsidRPr="00020AAD">
        <w:t>Legal obligation to conduct court hearings with children in non-intimidating and child sensitive environments (CivAdm109)</w:t>
      </w:r>
      <w:r w:rsidRPr="00020AAD">
        <w:rPr>
          <w:b/>
        </w:rPr>
        <w:t xml:space="preserve"> (13 jurisdictions)</w:t>
      </w:r>
    </w:p>
    <w:p w:rsidR="00020AAD" w:rsidRPr="00020AAD" w:rsidRDefault="00020AAD" w:rsidP="00E13364">
      <w:pPr>
        <w:pStyle w:val="BodyText"/>
      </w:pPr>
      <w:r w:rsidRPr="00020AAD">
        <w:t>Materials to provide support/guidance to children during the proceedings (CivAdm142)</w:t>
      </w:r>
      <w:r w:rsidRPr="00020AAD">
        <w:rPr>
          <w:b/>
        </w:rPr>
        <w:t xml:space="preserve"> (10 jurisdictions)</w:t>
      </w:r>
    </w:p>
    <w:p w:rsidR="00020AAD" w:rsidRPr="00020AAD" w:rsidRDefault="00020AAD" w:rsidP="00E13364">
      <w:pPr>
        <w:pStyle w:val="BodyText"/>
      </w:pPr>
      <w:r w:rsidRPr="00020AAD">
        <w:t>Guidance for judicial authorities on avoiding undue delay of judicial proceedings affecting children (CivAdm106)</w:t>
      </w:r>
      <w:r w:rsidRPr="00020AAD">
        <w:rPr>
          <w:b/>
        </w:rPr>
        <w:t xml:space="preserve"> (8 jurisdictions)</w:t>
      </w:r>
    </w:p>
    <w:p w:rsidR="00020AAD" w:rsidRPr="00020AAD" w:rsidRDefault="00020AAD" w:rsidP="00E13364">
      <w:pPr>
        <w:pStyle w:val="BodyText"/>
      </w:pPr>
      <w:r w:rsidRPr="00020AAD">
        <w:t xml:space="preserve">Statutory provision to ensure that court sessions are adapted to the child's pace and attention span and child's communication skills (e.g. provision for the adoption of regular breaks in court sessions (CivAdm117) </w:t>
      </w:r>
      <w:r w:rsidRPr="00020AAD">
        <w:rPr>
          <w:b/>
        </w:rPr>
        <w:t>(8 jurisdictions)</w:t>
      </w:r>
    </w:p>
    <w:p w:rsidR="00020AAD" w:rsidRPr="00020AAD" w:rsidRDefault="00020AAD" w:rsidP="00E13364">
      <w:pPr>
        <w:pStyle w:val="BodyText"/>
      </w:pPr>
      <w:r w:rsidRPr="00020AAD">
        <w:t xml:space="preserve">Mechanism or body to monitor the implementation of the urgency principle in respect of judicial proceedings involving children (CivAdm108) </w:t>
      </w:r>
      <w:r w:rsidRPr="00020AAD">
        <w:rPr>
          <w:b/>
        </w:rPr>
        <w:t>(6 jurisdictions)</w:t>
      </w:r>
    </w:p>
    <w:p w:rsidR="00020AAD" w:rsidRPr="00020AAD" w:rsidRDefault="00020AAD" w:rsidP="00E13364">
      <w:pPr>
        <w:pStyle w:val="BodyText"/>
      </w:pPr>
      <w:r w:rsidRPr="00020AAD">
        <w:t>Guidelines to protect children from harmful images during judicial proceedings (CivAdm123)</w:t>
      </w:r>
      <w:r w:rsidRPr="00020AAD">
        <w:rPr>
          <w:b/>
        </w:rPr>
        <w:t xml:space="preserve"> (6 jurisdictions)</w:t>
      </w:r>
    </w:p>
    <w:p w:rsidR="00020AAD" w:rsidRPr="001D508A" w:rsidRDefault="00020AAD" w:rsidP="00E13364">
      <w:pPr>
        <w:pStyle w:val="BodyText"/>
      </w:pPr>
      <w:r w:rsidRPr="00020AAD">
        <w:t xml:space="preserve">Guidance for court staff and judicial authorities to ensure that court sessions are adapted to the child's pace and attention space and child's communication skills (CivAdm118) </w:t>
      </w:r>
      <w:r w:rsidRPr="00020AAD">
        <w:rPr>
          <w:b/>
        </w:rPr>
        <w:t>(5 jurisdictions)</w:t>
      </w:r>
    </w:p>
    <w:p w:rsidR="00020AAD" w:rsidRPr="00E32CD3" w:rsidRDefault="00020AAD" w:rsidP="00E13364">
      <w:pPr>
        <w:pStyle w:val="Heading4NoNumb"/>
        <w:ind w:firstLine="851"/>
        <w:rPr>
          <w:rFonts w:eastAsia="Calibri"/>
        </w:rPr>
      </w:pPr>
      <w:r w:rsidRPr="00E32CD3">
        <w:rPr>
          <w:rFonts w:eastAsia="Calibri"/>
          <w:color w:val="0070C0"/>
        </w:rPr>
        <w:t>Legal costs</w:t>
      </w:r>
      <w:r w:rsidRPr="00E32CD3">
        <w:rPr>
          <w:rFonts w:eastAsia="Calibri"/>
        </w:rPr>
        <w:t xml:space="preserve"> (Average: 13 jurisdictions)</w:t>
      </w:r>
    </w:p>
    <w:p w:rsidR="00020AAD" w:rsidRPr="00020AAD" w:rsidRDefault="00020AAD" w:rsidP="00E13364">
      <w:pPr>
        <w:pStyle w:val="BodyText"/>
      </w:pPr>
      <w:r w:rsidRPr="00020AAD">
        <w:t>Statutory provision allowing the court fees to be waived in the case of a child defendant or plaintiff (CivAdm185)</w:t>
      </w:r>
      <w:r w:rsidRPr="00020AAD">
        <w:rPr>
          <w:b/>
        </w:rPr>
        <w:t xml:space="preserve"> (15 jurisdictions)</w:t>
      </w:r>
    </w:p>
    <w:p w:rsidR="00020AAD" w:rsidRPr="001D508A" w:rsidRDefault="00020AAD" w:rsidP="00E13364">
      <w:pPr>
        <w:pStyle w:val="BodyText"/>
      </w:pPr>
      <w:r w:rsidRPr="00020AAD">
        <w:t xml:space="preserve">Discretionary powers of the court or judge to waive the court fees in the case of a child defendant or plaintiff (CivAdm186) </w:t>
      </w:r>
      <w:r w:rsidRPr="00020AAD">
        <w:rPr>
          <w:b/>
        </w:rPr>
        <w:t>(11 jurisdictions)</w:t>
      </w:r>
    </w:p>
    <w:p w:rsidR="00020AAD" w:rsidRPr="00E32CD3" w:rsidRDefault="00020AAD" w:rsidP="00E13364">
      <w:pPr>
        <w:pStyle w:val="Heading4NoNumb"/>
        <w:ind w:firstLine="851"/>
        <w:rPr>
          <w:rFonts w:eastAsia="Calibri"/>
        </w:rPr>
      </w:pPr>
      <w:r w:rsidRPr="00E32CD3">
        <w:rPr>
          <w:rFonts w:eastAsia="Calibri"/>
        </w:rPr>
        <w:t>Alternatives to proceedings (ADR) (Average: 11.67 jurisdictions)</w:t>
      </w:r>
    </w:p>
    <w:p w:rsidR="00020AAD" w:rsidRPr="00020AAD" w:rsidRDefault="00020AAD" w:rsidP="00E13364">
      <w:pPr>
        <w:pStyle w:val="BodyText"/>
      </w:pPr>
      <w:r w:rsidRPr="00020AAD">
        <w:t>Statutory provision on the right of a child to have recourse to Alternative Dispute Resolution (ADR) (CivAdm157)</w:t>
      </w:r>
      <w:r w:rsidRPr="00020AAD">
        <w:rPr>
          <w:b/>
        </w:rPr>
        <w:t xml:space="preserve"> (23 jurisdictions)</w:t>
      </w:r>
    </w:p>
    <w:p w:rsidR="00020AAD" w:rsidRPr="00020AAD" w:rsidRDefault="00020AAD" w:rsidP="00E13364">
      <w:pPr>
        <w:pStyle w:val="BodyText"/>
      </w:pPr>
      <w:r w:rsidRPr="00020AAD">
        <w:t>Mechanism for the competent authorities to inform children about the possibility of having recourse to ADR (CivAdm161)</w:t>
      </w:r>
      <w:r w:rsidRPr="00020AAD">
        <w:rPr>
          <w:b/>
        </w:rPr>
        <w:t xml:space="preserve"> (13 jurisdictions)</w:t>
      </w:r>
    </w:p>
    <w:p w:rsidR="00020AAD" w:rsidRPr="00020AAD" w:rsidRDefault="00020AAD" w:rsidP="00E13364">
      <w:pPr>
        <w:pStyle w:val="BodyText"/>
      </w:pPr>
      <w:r w:rsidRPr="00020AAD">
        <w:t>Statutory provision on the right of children to be heard while accessing and during the ADR (CivAdm160)</w:t>
      </w:r>
      <w:r w:rsidRPr="00020AAD">
        <w:rPr>
          <w:b/>
        </w:rPr>
        <w:t xml:space="preserve"> (11 jurisdictions)</w:t>
      </w:r>
    </w:p>
    <w:p w:rsidR="00020AAD" w:rsidRPr="00020AAD" w:rsidRDefault="00020AAD" w:rsidP="00E13364">
      <w:pPr>
        <w:pStyle w:val="BodyText"/>
      </w:pPr>
      <w:r w:rsidRPr="00020AAD">
        <w:t xml:space="preserve">Minimum age at which a child can initiate ADR in their own right (CivAdm163) </w:t>
      </w:r>
      <w:r w:rsidRPr="00020AAD">
        <w:rPr>
          <w:b/>
        </w:rPr>
        <w:t>(8 jurisdictions)</w:t>
      </w:r>
    </w:p>
    <w:p w:rsidR="00020AAD" w:rsidRPr="00020AAD" w:rsidRDefault="00020AAD" w:rsidP="00E13364">
      <w:pPr>
        <w:pStyle w:val="BodyText"/>
      </w:pPr>
      <w:r w:rsidRPr="00020AAD">
        <w:t>Statutory provision on the right to legal redress when children feel their rights have been violated in the ADR procedure (CivAdm164)</w:t>
      </w:r>
      <w:r w:rsidRPr="00020AAD">
        <w:rPr>
          <w:b/>
        </w:rPr>
        <w:t xml:space="preserve"> (8 jurisdictions)</w:t>
      </w:r>
    </w:p>
    <w:p w:rsidR="00020AAD" w:rsidRPr="001D508A" w:rsidRDefault="00020AAD" w:rsidP="00E13364">
      <w:pPr>
        <w:pStyle w:val="BodyText"/>
      </w:pPr>
      <w:r w:rsidRPr="00020AAD">
        <w:t>Right of children to obtain legal advice and other assistance in determining the appropriateness and desirability of using alternatives to judicial proceedings (CivAdm166)</w:t>
      </w:r>
      <w:r w:rsidRPr="00020AAD">
        <w:rPr>
          <w:b/>
        </w:rPr>
        <w:t xml:space="preserve"> (7 jurisdictions)</w:t>
      </w:r>
    </w:p>
    <w:p w:rsidR="00020AAD" w:rsidRPr="00E32CD3" w:rsidRDefault="00020AAD" w:rsidP="00E13364">
      <w:pPr>
        <w:pStyle w:val="Heading4NoNumb"/>
        <w:ind w:firstLine="851"/>
        <w:rPr>
          <w:rFonts w:eastAsia="Calibri"/>
        </w:rPr>
      </w:pPr>
      <w:r w:rsidRPr="00E32CD3">
        <w:rPr>
          <w:rFonts w:eastAsia="Calibri"/>
          <w:color w:val="0070C0"/>
        </w:rPr>
        <w:t>Enforcement of court judgements</w:t>
      </w:r>
      <w:r w:rsidRPr="00E32CD3">
        <w:rPr>
          <w:rFonts w:eastAsia="Calibri"/>
        </w:rPr>
        <w:t xml:space="preserve"> (Average: 11.33 jurisdictions)</w:t>
      </w:r>
    </w:p>
    <w:p w:rsidR="00020AAD" w:rsidRPr="00020AAD" w:rsidRDefault="00020AAD" w:rsidP="00E13364">
      <w:pPr>
        <w:pStyle w:val="BodyText"/>
      </w:pPr>
      <w:r w:rsidRPr="00020AAD">
        <w:t>Statutory provision for court to impose protective measures during enforcement proceedings (e.g. temporary child custody, temporary award of alimony, restraining orders, non-contact orders etc.) (CivAdm190a)</w:t>
      </w:r>
      <w:r w:rsidRPr="00020AAD">
        <w:rPr>
          <w:b/>
        </w:rPr>
        <w:t xml:space="preserve"> (23 jurisdictions)</w:t>
      </w:r>
    </w:p>
    <w:p w:rsidR="00020AAD" w:rsidRPr="00020AAD" w:rsidRDefault="00020AAD" w:rsidP="00E13364">
      <w:pPr>
        <w:pStyle w:val="BodyText"/>
      </w:pPr>
      <w:r w:rsidRPr="00020AAD">
        <w:t>Statutory provision for judicial authorities to make decisions which concern children directly or immediately enforceable (CivAdm192)</w:t>
      </w:r>
      <w:r w:rsidRPr="00020AAD">
        <w:rPr>
          <w:b/>
        </w:rPr>
        <w:t xml:space="preserve"> (16 jurisdictions)</w:t>
      </w:r>
    </w:p>
    <w:p w:rsidR="00020AAD" w:rsidRPr="00020AAD" w:rsidRDefault="00020AAD" w:rsidP="00E13364">
      <w:pPr>
        <w:pStyle w:val="BodyText"/>
      </w:pPr>
      <w:r w:rsidRPr="00020AAD">
        <w:t xml:space="preserve">Statutory provision on the use of force to implement a judgement as a measure of last resort in family cases when children are involved (CivAdm195) </w:t>
      </w:r>
      <w:r w:rsidRPr="00020AAD">
        <w:rPr>
          <w:b/>
        </w:rPr>
        <w:t>(13 jurisdictions)</w:t>
      </w:r>
    </w:p>
    <w:p w:rsidR="00020AAD" w:rsidRPr="00020AAD" w:rsidRDefault="00020AAD" w:rsidP="00E13364">
      <w:pPr>
        <w:pStyle w:val="BodyText"/>
      </w:pPr>
      <w:r w:rsidRPr="00020AAD">
        <w:t xml:space="preserve">Legal obligation to communicate a decision or judgement in a manner adapted to the child's level of understanding (CivAdm188b) </w:t>
      </w:r>
      <w:r w:rsidRPr="00020AAD">
        <w:rPr>
          <w:b/>
        </w:rPr>
        <w:t>(10 jurisdictions)</w:t>
      </w:r>
    </w:p>
    <w:p w:rsidR="00020AAD" w:rsidRPr="00020AAD" w:rsidRDefault="00020AAD" w:rsidP="00E13364">
      <w:pPr>
        <w:pStyle w:val="BodyText"/>
      </w:pPr>
      <w:r w:rsidRPr="00020AAD">
        <w:t xml:space="preserve">Guidance or code of conduct for lawyers, guardians ad litem or legal representatives on how to communicate a decision or judgement to a child involved in judicial proceedings in a manner adapted to the child's level of understanding (CivAdm189) </w:t>
      </w:r>
      <w:r w:rsidRPr="00020AAD">
        <w:rPr>
          <w:b/>
        </w:rPr>
        <w:t>(4 jurisdictions)</w:t>
      </w:r>
    </w:p>
    <w:p w:rsidR="00020AAD" w:rsidRPr="001D508A" w:rsidRDefault="00020AAD" w:rsidP="00E13364">
      <w:pPr>
        <w:pStyle w:val="BodyText"/>
      </w:pPr>
      <w:r w:rsidRPr="00020AAD">
        <w:t>Guidelines for judicial authorities on the types of cases involving children where decisions should be made directly or immediately enforceable (CivAdm193)</w:t>
      </w:r>
      <w:r w:rsidRPr="00020AAD">
        <w:rPr>
          <w:b/>
        </w:rPr>
        <w:t xml:space="preserve"> (2 jurisdictions)</w:t>
      </w:r>
    </w:p>
    <w:p w:rsidR="00020AAD" w:rsidRPr="00E32CD3" w:rsidRDefault="00020AAD" w:rsidP="00E13364">
      <w:pPr>
        <w:pStyle w:val="Heading4NoNumb"/>
        <w:ind w:firstLine="851"/>
        <w:rPr>
          <w:rFonts w:eastAsia="Calibri"/>
        </w:rPr>
      </w:pPr>
      <w:r w:rsidRPr="00E32CD3">
        <w:rPr>
          <w:rFonts w:eastAsia="Calibri"/>
        </w:rPr>
        <w:t>Multidisciplinary approach (Average: 11 jurisdictions)</w:t>
      </w:r>
    </w:p>
    <w:p w:rsidR="00020AAD" w:rsidRPr="00020AAD" w:rsidRDefault="00020AAD" w:rsidP="00E13364">
      <w:pPr>
        <w:pStyle w:val="BodyText"/>
      </w:pPr>
      <w:r w:rsidRPr="00020AAD">
        <w:t xml:space="preserve">Legal obligation on the part of the court to obtain a comprehensive understanding of children involved in judicial proceedings and assess his or her legal, psychological, social, emotional, physical and cognitive situation using a multidisciplinary approach (CivAdm099) </w:t>
      </w:r>
      <w:r w:rsidRPr="00020AAD">
        <w:rPr>
          <w:b/>
        </w:rPr>
        <w:t>(16 jurisdictions)</w:t>
      </w:r>
    </w:p>
    <w:p w:rsidR="00020AAD" w:rsidRPr="00020AAD" w:rsidRDefault="00020AAD" w:rsidP="00E13364">
      <w:pPr>
        <w:pStyle w:val="BodyText"/>
      </w:pPr>
      <w:r w:rsidRPr="00020AAD">
        <w:t xml:space="preserve">Formalised operational cooperation procedures for professionals working with or for children in different government departments and agencies and throughout all stages of the proceedings (CivAdm100) </w:t>
      </w:r>
      <w:r w:rsidRPr="00020AAD">
        <w:rPr>
          <w:b/>
        </w:rPr>
        <w:t>(14 jurisdictions)</w:t>
      </w:r>
    </w:p>
    <w:p w:rsidR="00020AAD" w:rsidRPr="00020AAD" w:rsidRDefault="00020AAD" w:rsidP="00E13364">
      <w:pPr>
        <w:pStyle w:val="BodyText"/>
      </w:pPr>
      <w:r w:rsidRPr="00020AAD">
        <w:t xml:space="preserve">Formalised operational cooperation procedures to facilitate interactions between criminal, civil and administrative judicial proceedings (CivAdm103) </w:t>
      </w:r>
      <w:r w:rsidRPr="00020AAD">
        <w:rPr>
          <w:b/>
        </w:rPr>
        <w:t>(8 jurisdictions)</w:t>
      </w:r>
    </w:p>
    <w:p w:rsidR="00020AAD" w:rsidRPr="001D508A" w:rsidRDefault="00020AAD" w:rsidP="00E13364">
      <w:pPr>
        <w:pStyle w:val="BodyText"/>
      </w:pPr>
      <w:r w:rsidRPr="00020AAD">
        <w:t>Common assessment framework for all professionals working with or for children in civil and administrative proceedings (including lawyers, psychologists, physicians, immigration officials, social workers and mediators) (CivAdm101)</w:t>
      </w:r>
      <w:r w:rsidRPr="00020AAD">
        <w:rPr>
          <w:b/>
        </w:rPr>
        <w:t xml:space="preserve"> (6 jurisdictions)</w:t>
      </w:r>
    </w:p>
    <w:p w:rsidR="00020AAD" w:rsidRPr="00E32CD3" w:rsidRDefault="00020AAD" w:rsidP="00E13364">
      <w:pPr>
        <w:pStyle w:val="Heading4NoNumb"/>
        <w:ind w:firstLine="851"/>
        <w:rPr>
          <w:rFonts w:eastAsia="Calibri"/>
        </w:rPr>
      </w:pPr>
      <w:r w:rsidRPr="00E32CD3">
        <w:rPr>
          <w:rFonts w:eastAsia="Calibri"/>
          <w:color w:val="0070C0"/>
        </w:rPr>
        <w:t xml:space="preserve">Access to info and advice </w:t>
      </w:r>
      <w:r w:rsidRPr="00E32CD3">
        <w:rPr>
          <w:rFonts w:eastAsia="Calibri"/>
        </w:rPr>
        <w:t>(Average: 10.3 jurisdictions)</w:t>
      </w:r>
    </w:p>
    <w:p w:rsidR="00020AAD" w:rsidRPr="00E32CD3" w:rsidRDefault="00020AAD" w:rsidP="00E13364">
      <w:pPr>
        <w:pStyle w:val="BodyText"/>
        <w:rPr>
          <w:b/>
        </w:rPr>
      </w:pPr>
      <w:r w:rsidRPr="00020AAD">
        <w:t xml:space="preserve">Statutory provision on the right of children to receive information on systems and procedures involved, consequences of the procedure, time and place of court procedures, progress and outcome of the procedure, review of decisions affecting the child, rights of remedy, availability of support services etc. (CivAdm068a) </w:t>
      </w:r>
      <w:r w:rsidRPr="00020AAD">
        <w:rPr>
          <w:b/>
        </w:rPr>
        <w:t>(2</w:t>
      </w:r>
      <w:r w:rsidR="00E32CD3">
        <w:rPr>
          <w:b/>
        </w:rPr>
        <w:t xml:space="preserve">4 </w:t>
      </w:r>
      <w:r w:rsidRPr="00020AAD">
        <w:rPr>
          <w:b/>
        </w:rPr>
        <w:t>jurisdictions)</w:t>
      </w:r>
    </w:p>
    <w:p w:rsidR="00020AAD" w:rsidRPr="00020AAD" w:rsidRDefault="00020AAD" w:rsidP="00E13364">
      <w:pPr>
        <w:pStyle w:val="BodyText"/>
      </w:pPr>
      <w:r w:rsidRPr="00020AAD">
        <w:t xml:space="preserve">Statutory provision on the right of children to receive information on the consequences of participating in judicial proceedings (CivAdm071) </w:t>
      </w:r>
      <w:r w:rsidRPr="00020AAD">
        <w:rPr>
          <w:b/>
        </w:rPr>
        <w:t>(12 jurisdictions)</w:t>
      </w:r>
    </w:p>
    <w:p w:rsidR="00020AAD" w:rsidRPr="00020AAD" w:rsidRDefault="00020AAD" w:rsidP="00E13364">
      <w:pPr>
        <w:pStyle w:val="BodyText"/>
      </w:pPr>
      <w:r w:rsidRPr="00020AAD">
        <w:t>Statutory provision that the information should be provided at first contact with the judicial system or other competent authorities (e.g. police, immigration, educational, social or healthcare services) (CivAdm068b)</w:t>
      </w:r>
      <w:r w:rsidRPr="00020AAD">
        <w:rPr>
          <w:b/>
        </w:rPr>
        <w:t xml:space="preserve"> (10 jurisdictions)</w:t>
      </w:r>
    </w:p>
    <w:p w:rsidR="00020AAD" w:rsidRPr="00020AAD" w:rsidRDefault="00020AAD" w:rsidP="00E13364">
      <w:pPr>
        <w:pStyle w:val="BodyText"/>
      </w:pPr>
      <w:r w:rsidRPr="00020AAD">
        <w:t>Statutory provision on the right of children to information in a child-friendly format about rights and procedures (CivAdm076a)</w:t>
      </w:r>
      <w:r w:rsidRPr="00020AAD">
        <w:rPr>
          <w:b/>
        </w:rPr>
        <w:t xml:space="preserve"> (6 jurisdictions)</w:t>
      </w:r>
    </w:p>
    <w:p w:rsidR="00020AAD" w:rsidRPr="00020AAD" w:rsidRDefault="00020AAD" w:rsidP="00E13364">
      <w:pPr>
        <w:pStyle w:val="BodyText"/>
      </w:pPr>
      <w:r w:rsidRPr="00020AAD">
        <w:t>Statutory provision on the right of children to information in a manner that takes into account any special needs of the child about rights and procedures (CivAdm076b)</w:t>
      </w:r>
      <w:r w:rsidRPr="00020AAD">
        <w:rPr>
          <w:b/>
        </w:rPr>
        <w:t xml:space="preserve"> (6 jurisdictions)</w:t>
      </w:r>
    </w:p>
    <w:p w:rsidR="00020AAD" w:rsidRPr="00020AAD" w:rsidRDefault="00020AAD" w:rsidP="00E13364">
      <w:pPr>
        <w:pStyle w:val="BodyText"/>
      </w:pPr>
      <w:r w:rsidRPr="00020AAD">
        <w:t>Guidance or codes of conduct for judicial or other competent authorities (e.g. police, immigration, educational, social or healthcare services) to ensure that children receive information (CivAdm069)</w:t>
      </w:r>
      <w:r w:rsidRPr="00020AAD">
        <w:rPr>
          <w:b/>
        </w:rPr>
        <w:t xml:space="preserve"> (4 jurisdictions)</w:t>
      </w:r>
    </w:p>
    <w:p w:rsidR="0071400A" w:rsidRDefault="0071400A" w:rsidP="00E13364">
      <w:pPr>
        <w:pStyle w:val="Heading2"/>
        <w:rPr>
          <w:rFonts w:eastAsia="Times New Roman"/>
        </w:rPr>
      </w:pPr>
      <w:bookmarkStart w:id="295" w:name="_Toc396308712"/>
      <w:bookmarkStart w:id="296" w:name="_Toc406590170"/>
      <w:bookmarkStart w:id="297" w:name="_Toc408908764"/>
      <w:r>
        <w:rPr>
          <w:rFonts w:eastAsia="Times New Roman"/>
        </w:rPr>
        <w:t>The frequency of s</w:t>
      </w:r>
      <w:r w:rsidRPr="00A80CAC">
        <w:rPr>
          <w:rFonts w:eastAsia="Times New Roman"/>
        </w:rPr>
        <w:t xml:space="preserve">afeguards </w:t>
      </w:r>
      <w:r>
        <w:rPr>
          <w:rFonts w:eastAsia="Times New Roman"/>
        </w:rPr>
        <w:t>for children in each jurisdiction</w:t>
      </w:r>
      <w:bookmarkEnd w:id="295"/>
      <w:bookmarkEnd w:id="296"/>
      <w:bookmarkEnd w:id="297"/>
    </w:p>
    <w:p w:rsidR="0071400A" w:rsidRPr="0071400A" w:rsidRDefault="0071400A" w:rsidP="00E13364">
      <w:pPr>
        <w:pStyle w:val="BodyText"/>
      </w:pPr>
      <w:r w:rsidRPr="0071400A">
        <w:t xml:space="preserve">In this sub-section, two methods have been used to compare the prevalence of safeguards between jurisdictions: </w:t>
      </w:r>
    </w:p>
    <w:p w:rsidR="0071400A" w:rsidRPr="001D508A" w:rsidRDefault="0071400A" w:rsidP="00E13364">
      <w:pPr>
        <w:pStyle w:val="BTNumbListLast"/>
      </w:pPr>
      <w:r w:rsidRPr="001D508A">
        <w:t xml:space="preserve">In the </w:t>
      </w:r>
      <w:r w:rsidRPr="00A5732C">
        <w:rPr>
          <w:b/>
        </w:rPr>
        <w:t>first method</w:t>
      </w:r>
      <w:r w:rsidRPr="001D508A">
        <w:t xml:space="preserve"> jurisdictions have been ranked according to the frequency of the safeguards across all areas of law and roles of the child. The total possible is 2772 (four roles of the child x nine areas of law x total number of safeguards</w:t>
      </w:r>
      <w:r w:rsidR="00E31683">
        <w:t xml:space="preserve"> reviewed in the summary report i.e. 77</w:t>
      </w:r>
      <w:r w:rsidRPr="001D508A">
        <w:t xml:space="preserve">). No weighting has been applied. A potential weakness in this approach is that it assumes that all areas of law and all roles of the child are equally important to the welfare of children in judicial proceedings. </w:t>
      </w:r>
    </w:p>
    <w:p w:rsidR="0071400A" w:rsidRPr="001D508A" w:rsidRDefault="0071400A" w:rsidP="00E13364">
      <w:pPr>
        <w:pStyle w:val="BTNumbListLast"/>
      </w:pPr>
      <w:r w:rsidRPr="001D508A">
        <w:t xml:space="preserve">In the </w:t>
      </w:r>
      <w:r w:rsidRPr="00A5732C">
        <w:rPr>
          <w:b/>
        </w:rPr>
        <w:t>second method</w:t>
      </w:r>
      <w:r w:rsidRPr="001D508A">
        <w:t xml:space="preserve"> jurisdictions have been ranked according to the frequency of the safeguards in the areas of family law and placement into care and for all roles of the child, with a possible total of 616. As described in Section 2, children are most frequently involved in civil or administrative judicial proceedings in the areas of family </w:t>
      </w:r>
      <w:r w:rsidR="007D43F7" w:rsidRPr="001D508A">
        <w:t xml:space="preserve">law </w:t>
      </w:r>
      <w:r w:rsidRPr="001D508A">
        <w:t xml:space="preserve">and placement in care. It is therefore reasonable to consider these two areas in isolation because the safeguards applying in these areas are likely to be applied more often.  </w:t>
      </w:r>
    </w:p>
    <w:p w:rsidR="0071400A" w:rsidRDefault="0071400A" w:rsidP="00E13364">
      <w:pPr>
        <w:pStyle w:val="BodyText"/>
      </w:pPr>
      <w:r w:rsidRPr="0071400A">
        <w:t>Making comparisons between jurisdictions according to the frequency of safeguards that they apply to children involved in civil and administrative judicial proceedings is of course problematic because of the differences in judicial systems, the uncertainty over whether safeguards that exist are applied and whether children can receive equivalent or better protection in the abse</w:t>
      </w:r>
      <w:r w:rsidR="007D43F7">
        <w:t xml:space="preserve">nce of the safeguards observed - </w:t>
      </w:r>
      <w:r w:rsidRPr="0071400A">
        <w:t>through, for example, the discretion of judges or measure</w:t>
      </w:r>
      <w:r w:rsidR="007D43F7">
        <w:t>s</w:t>
      </w:r>
      <w:r w:rsidRPr="0071400A">
        <w:t xml:space="preserve"> taken to avoid cases reaching judicial proceedings. </w:t>
      </w:r>
    </w:p>
    <w:p w:rsidR="0071400A" w:rsidRPr="0071400A" w:rsidRDefault="0071400A" w:rsidP="00E13364">
      <w:pPr>
        <w:pStyle w:val="BodyText"/>
      </w:pPr>
      <w:r w:rsidRPr="0071400A">
        <w:t xml:space="preserve">Table </w:t>
      </w:r>
      <w:r>
        <w:t>5.26</w:t>
      </w:r>
      <w:r w:rsidRPr="0071400A">
        <w:t xml:space="preserve"> indicates the ten jurisdictions with the highest frequency of safeguards applying the two methods.</w:t>
      </w:r>
      <w:r>
        <w:t xml:space="preserve"> The number in brackets indicates the </w:t>
      </w:r>
      <w:r w:rsidR="007D43F7">
        <w:t>total number of safeguards applied x the number of roles x the number of areas of law.</w:t>
      </w:r>
    </w:p>
    <w:p w:rsidR="0071400A" w:rsidRPr="00C03A4F" w:rsidRDefault="0071400A" w:rsidP="001D508A">
      <w:pPr>
        <w:pStyle w:val="Table"/>
      </w:pPr>
      <w:bookmarkStart w:id="298" w:name="_Toc408908642"/>
      <w:r>
        <w:t>Ten jurisdictions with the highest numbers of safeguards</w:t>
      </w:r>
      <w:bookmarkEnd w:id="298"/>
      <w:r>
        <w:t xml:space="preserve"> </w:t>
      </w:r>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4110"/>
        <w:gridCol w:w="4110"/>
      </w:tblGrid>
      <w:tr w:rsidR="0071400A" w:rsidRPr="000B39B2" w:rsidTr="00E13364">
        <w:tc>
          <w:tcPr>
            <w:tcW w:w="4122" w:type="dxa"/>
            <w:shd w:val="clear" w:color="auto" w:fill="auto"/>
          </w:tcPr>
          <w:p w:rsidR="0071400A" w:rsidRPr="000B39B2" w:rsidRDefault="0071400A" w:rsidP="00E13364">
            <w:pPr>
              <w:pStyle w:val="TableTextNoSpace"/>
            </w:pPr>
            <w:r>
              <w:t>Method 1</w:t>
            </w:r>
            <w:r w:rsidRPr="000B39B2">
              <w:t xml:space="preserve"> – </w:t>
            </w:r>
            <w:r>
              <w:t xml:space="preserve">safeguards </w:t>
            </w:r>
            <w:r w:rsidRPr="000B39B2">
              <w:t>covering all areas of law</w:t>
            </w:r>
          </w:p>
        </w:tc>
        <w:tc>
          <w:tcPr>
            <w:tcW w:w="4122" w:type="dxa"/>
            <w:shd w:val="clear" w:color="auto" w:fill="auto"/>
          </w:tcPr>
          <w:p w:rsidR="0071400A" w:rsidRPr="000B39B2" w:rsidRDefault="0071400A" w:rsidP="00E13364">
            <w:pPr>
              <w:pStyle w:val="TableTextNoSpace"/>
            </w:pPr>
            <w:r>
              <w:t xml:space="preserve">Method </w:t>
            </w:r>
            <w:r w:rsidRPr="000B39B2">
              <w:t xml:space="preserve">2 – </w:t>
            </w:r>
            <w:r>
              <w:t xml:space="preserve">safeguards covering </w:t>
            </w:r>
            <w:r w:rsidRPr="000B39B2">
              <w:t xml:space="preserve">family and placement into care </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1. EE (13</w:t>
            </w:r>
            <w:r w:rsidR="00BA0D71">
              <w:rPr>
                <w:rFonts w:eastAsia="Calibri" w:cs="Arial"/>
                <w:szCs w:val="18"/>
              </w:rPr>
              <w:t>86</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1. UK-NI</w:t>
            </w:r>
            <w:r>
              <w:rPr>
                <w:rFonts w:eastAsia="Calibri" w:cs="Arial"/>
                <w:szCs w:val="18"/>
              </w:rPr>
              <w:t xml:space="preserve"> (344)</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2. HR (11</w:t>
            </w:r>
            <w:r w:rsidR="00BA0D71">
              <w:rPr>
                <w:rFonts w:eastAsia="Calibri" w:cs="Arial"/>
                <w:szCs w:val="18"/>
              </w:rPr>
              <w:t>82</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2. UK-E&amp;W</w:t>
            </w:r>
            <w:r>
              <w:rPr>
                <w:rFonts w:eastAsia="Calibri" w:cs="Arial"/>
                <w:szCs w:val="18"/>
              </w:rPr>
              <w:t xml:space="preserve"> (338)</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3. UK-NI (11</w:t>
            </w:r>
            <w:r w:rsidR="00BA0D71">
              <w:rPr>
                <w:rFonts w:eastAsia="Calibri" w:cs="Arial"/>
                <w:szCs w:val="18"/>
              </w:rPr>
              <w:t>04</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3. EE</w:t>
            </w:r>
            <w:r>
              <w:rPr>
                <w:rFonts w:eastAsia="Calibri" w:cs="Arial"/>
                <w:szCs w:val="18"/>
              </w:rPr>
              <w:t xml:space="preserve"> (329)</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4. BE (1060)</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4. FR</w:t>
            </w:r>
            <w:r>
              <w:rPr>
                <w:rFonts w:eastAsia="Calibri" w:cs="Arial"/>
                <w:szCs w:val="18"/>
              </w:rPr>
              <w:t xml:space="preserve"> (302)</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5. UK-E&amp;W (10</w:t>
            </w:r>
            <w:r w:rsidR="00BA0D71">
              <w:rPr>
                <w:rFonts w:eastAsia="Calibri" w:cs="Arial"/>
                <w:szCs w:val="18"/>
              </w:rPr>
              <w:t>47</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5. HR</w:t>
            </w:r>
            <w:r>
              <w:rPr>
                <w:rFonts w:eastAsia="Calibri" w:cs="Arial"/>
                <w:szCs w:val="18"/>
              </w:rPr>
              <w:t xml:space="preserve"> (2</w:t>
            </w:r>
            <w:r w:rsidR="006564A4">
              <w:rPr>
                <w:rFonts w:eastAsia="Calibri" w:cs="Arial"/>
                <w:szCs w:val="18"/>
              </w:rPr>
              <w:t>89</w:t>
            </w:r>
            <w:r>
              <w:rPr>
                <w:rFonts w:eastAsia="Calibri" w:cs="Arial"/>
                <w:szCs w:val="18"/>
              </w:rPr>
              <w:t>)</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6. BG (9</w:t>
            </w:r>
            <w:r w:rsidR="00BA0D71">
              <w:rPr>
                <w:rFonts w:eastAsia="Calibri" w:cs="Arial"/>
                <w:szCs w:val="18"/>
              </w:rPr>
              <w:t>68</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6. FI</w:t>
            </w:r>
            <w:r>
              <w:rPr>
                <w:rFonts w:eastAsia="Calibri" w:cs="Arial"/>
                <w:szCs w:val="18"/>
              </w:rPr>
              <w:t xml:space="preserve"> (26</w:t>
            </w:r>
            <w:r w:rsidR="006564A4">
              <w:rPr>
                <w:rFonts w:eastAsia="Calibri" w:cs="Arial"/>
                <w:szCs w:val="18"/>
              </w:rPr>
              <w:t>3</w:t>
            </w:r>
            <w:r>
              <w:rPr>
                <w:rFonts w:eastAsia="Calibri" w:cs="Arial"/>
                <w:szCs w:val="18"/>
              </w:rPr>
              <w:t>)</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7. CY (894)</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7. SI</w:t>
            </w:r>
            <w:r>
              <w:rPr>
                <w:rFonts w:eastAsia="Calibri" w:cs="Arial"/>
                <w:szCs w:val="18"/>
              </w:rPr>
              <w:t xml:space="preserve"> (263)</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8. SI (884)</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8. CY</w:t>
            </w:r>
            <w:r>
              <w:rPr>
                <w:rFonts w:eastAsia="Calibri" w:cs="Arial"/>
                <w:szCs w:val="18"/>
              </w:rPr>
              <w:t xml:space="preserve"> (262)</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9. IT (8</w:t>
            </w:r>
            <w:r w:rsidR="00BA0D71">
              <w:rPr>
                <w:rFonts w:eastAsia="Calibri" w:cs="Arial"/>
                <w:szCs w:val="18"/>
              </w:rPr>
              <w:t>00</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9. BE</w:t>
            </w:r>
            <w:r>
              <w:rPr>
                <w:rFonts w:eastAsia="Calibri" w:cs="Arial"/>
                <w:szCs w:val="18"/>
              </w:rPr>
              <w:t xml:space="preserve"> (260)</w:t>
            </w:r>
          </w:p>
        </w:tc>
      </w:tr>
      <w:tr w:rsidR="0071400A" w:rsidRPr="00F10607" w:rsidTr="00E13364">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10. EL (</w:t>
            </w:r>
            <w:r w:rsidR="00BA0D71">
              <w:rPr>
                <w:rFonts w:eastAsia="Calibri" w:cs="Arial"/>
                <w:szCs w:val="18"/>
              </w:rPr>
              <w:t>799</w:t>
            </w:r>
            <w:r w:rsidRPr="00F10607">
              <w:rPr>
                <w:rFonts w:eastAsia="Calibri" w:cs="Arial"/>
                <w:szCs w:val="18"/>
              </w:rPr>
              <w:t>)</w:t>
            </w:r>
          </w:p>
        </w:tc>
        <w:tc>
          <w:tcPr>
            <w:tcW w:w="4122" w:type="dxa"/>
            <w:shd w:val="clear" w:color="auto" w:fill="auto"/>
          </w:tcPr>
          <w:p w:rsidR="0071400A" w:rsidRPr="00F10607" w:rsidRDefault="0071400A" w:rsidP="00E13364">
            <w:pPr>
              <w:pStyle w:val="TableTextNoSpace"/>
              <w:rPr>
                <w:rFonts w:eastAsia="Calibri" w:cs="Arial"/>
                <w:szCs w:val="18"/>
              </w:rPr>
            </w:pPr>
            <w:r w:rsidRPr="00F10607">
              <w:rPr>
                <w:rFonts w:eastAsia="Calibri" w:cs="Arial"/>
                <w:szCs w:val="18"/>
              </w:rPr>
              <w:t>10. PT</w:t>
            </w:r>
            <w:r>
              <w:rPr>
                <w:rFonts w:eastAsia="Calibri" w:cs="Arial"/>
                <w:szCs w:val="18"/>
              </w:rPr>
              <w:t xml:space="preserve"> (234)</w:t>
            </w:r>
          </w:p>
        </w:tc>
      </w:tr>
    </w:tbl>
    <w:p w:rsidR="009F7C2B" w:rsidRPr="0071400A" w:rsidRDefault="0071400A" w:rsidP="00E13364">
      <w:pPr>
        <w:pStyle w:val="BodyText"/>
      </w:pPr>
      <w:r w:rsidRPr="0071400A">
        <w:t xml:space="preserve">Table </w:t>
      </w:r>
      <w:r>
        <w:t>5</w:t>
      </w:r>
      <w:r w:rsidRPr="0071400A">
        <w:t>.2</w:t>
      </w:r>
      <w:r>
        <w:t>7</w:t>
      </w:r>
      <w:r w:rsidRPr="0071400A">
        <w:t xml:space="preserve"> indicates the five </w:t>
      </w:r>
      <w:r w:rsidR="00D04193">
        <w:t>jurisdictions with the lowest</w:t>
      </w:r>
      <w:r w:rsidRPr="0071400A">
        <w:t xml:space="preserve"> numbers of safeguards applying the two methods. </w:t>
      </w:r>
      <w:r w:rsidR="009F7C2B">
        <w:t>The number in brackets indicates the total number of safeguards applied x the number of roles x the number of areas of law.</w:t>
      </w:r>
    </w:p>
    <w:p w:rsidR="0071400A" w:rsidRPr="00945C51" w:rsidRDefault="0071400A" w:rsidP="001D508A">
      <w:pPr>
        <w:pStyle w:val="Table"/>
      </w:pPr>
      <w:bookmarkStart w:id="299" w:name="_Toc408908643"/>
      <w:r>
        <w:t>Five jurisdictions with the lowest numbers of safeguards</w:t>
      </w:r>
      <w:bookmarkEnd w:id="299"/>
    </w:p>
    <w:tbl>
      <w:tblPr>
        <w:tblStyle w:val="TableGrid"/>
        <w:tblW w:w="8220" w:type="dxa"/>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4110"/>
        <w:gridCol w:w="4110"/>
      </w:tblGrid>
      <w:tr w:rsidR="0071400A" w:rsidRPr="00945C51" w:rsidTr="00E13364">
        <w:tc>
          <w:tcPr>
            <w:tcW w:w="4122" w:type="dxa"/>
            <w:shd w:val="clear" w:color="auto" w:fill="auto"/>
          </w:tcPr>
          <w:p w:rsidR="0071400A" w:rsidRPr="00945C51" w:rsidRDefault="0071400A" w:rsidP="00E13364">
            <w:pPr>
              <w:pStyle w:val="TableTextNoSpace"/>
              <w:rPr>
                <w:rFonts w:eastAsia="Calibri" w:cs="Arial"/>
                <w:szCs w:val="18"/>
              </w:rPr>
            </w:pPr>
            <w:r>
              <w:t>Method 1</w:t>
            </w:r>
            <w:r w:rsidRPr="000B39B2">
              <w:t xml:space="preserve"> – </w:t>
            </w:r>
            <w:r>
              <w:t xml:space="preserve">safeguards </w:t>
            </w:r>
            <w:r w:rsidRPr="000B39B2">
              <w:t>covering all areas of law</w:t>
            </w:r>
          </w:p>
        </w:tc>
        <w:tc>
          <w:tcPr>
            <w:tcW w:w="4122" w:type="dxa"/>
            <w:shd w:val="clear" w:color="auto" w:fill="auto"/>
          </w:tcPr>
          <w:p w:rsidR="0071400A" w:rsidRPr="00945C51" w:rsidRDefault="0071400A" w:rsidP="00E13364">
            <w:pPr>
              <w:pStyle w:val="TableTextNoSpace"/>
              <w:rPr>
                <w:rFonts w:eastAsia="Calibri" w:cs="Arial"/>
                <w:szCs w:val="18"/>
              </w:rPr>
            </w:pPr>
            <w:r>
              <w:t xml:space="preserve">Method </w:t>
            </w:r>
            <w:r w:rsidRPr="000B39B2">
              <w:t xml:space="preserve">2 – </w:t>
            </w:r>
            <w:r>
              <w:t xml:space="preserve">safeguards covering </w:t>
            </w:r>
            <w:r w:rsidRPr="000B39B2">
              <w:t>family and placement into care</w:t>
            </w:r>
          </w:p>
        </w:tc>
      </w:tr>
      <w:tr w:rsidR="0071400A" w:rsidRPr="00945C51" w:rsidTr="00E13364">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1. </w:t>
            </w:r>
            <w:r w:rsidR="003775FF">
              <w:rPr>
                <w:rFonts w:eastAsia="Calibri" w:cs="Arial"/>
                <w:szCs w:val="18"/>
              </w:rPr>
              <w:t>MT (537)</w:t>
            </w:r>
          </w:p>
        </w:tc>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1. </w:t>
            </w:r>
            <w:r w:rsidR="00634E05">
              <w:rPr>
                <w:rFonts w:eastAsia="Calibri" w:cs="Arial"/>
                <w:szCs w:val="18"/>
              </w:rPr>
              <w:t>IE (147)</w:t>
            </w:r>
          </w:p>
        </w:tc>
      </w:tr>
      <w:tr w:rsidR="0071400A" w:rsidRPr="00945C51" w:rsidTr="00E13364">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2. </w:t>
            </w:r>
            <w:r w:rsidR="003775FF">
              <w:rPr>
                <w:rFonts w:eastAsia="Calibri" w:cs="Arial"/>
                <w:szCs w:val="18"/>
              </w:rPr>
              <w:t>RO (50</w:t>
            </w:r>
            <w:r w:rsidR="007F1924">
              <w:rPr>
                <w:rFonts w:eastAsia="Calibri" w:cs="Arial"/>
                <w:szCs w:val="18"/>
              </w:rPr>
              <w:t>3</w:t>
            </w:r>
            <w:r w:rsidR="003775FF">
              <w:rPr>
                <w:rFonts w:eastAsia="Calibri" w:cs="Arial"/>
                <w:szCs w:val="18"/>
              </w:rPr>
              <w:t>)</w:t>
            </w:r>
          </w:p>
        </w:tc>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2. </w:t>
            </w:r>
            <w:r w:rsidR="00634E05">
              <w:rPr>
                <w:rFonts w:eastAsia="Calibri" w:cs="Arial"/>
                <w:szCs w:val="18"/>
              </w:rPr>
              <w:t>RO (146)</w:t>
            </w:r>
          </w:p>
        </w:tc>
      </w:tr>
      <w:tr w:rsidR="0071400A" w:rsidRPr="00945C51" w:rsidTr="00E13364">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3. </w:t>
            </w:r>
            <w:r w:rsidR="00CD7610">
              <w:rPr>
                <w:rFonts w:eastAsia="Calibri" w:cs="Arial"/>
                <w:szCs w:val="18"/>
              </w:rPr>
              <w:t>UK-S</w:t>
            </w:r>
            <w:r>
              <w:rPr>
                <w:rFonts w:eastAsia="Calibri" w:cs="Arial"/>
                <w:szCs w:val="18"/>
              </w:rPr>
              <w:t xml:space="preserve"> (480)</w:t>
            </w:r>
          </w:p>
        </w:tc>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3. LV (140)</w:t>
            </w:r>
          </w:p>
        </w:tc>
      </w:tr>
      <w:tr w:rsidR="0071400A" w:rsidRPr="00945C51" w:rsidTr="00E13364">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4. </w:t>
            </w:r>
            <w:r w:rsidR="003775FF">
              <w:rPr>
                <w:rFonts w:eastAsia="Calibri" w:cs="Arial"/>
                <w:szCs w:val="18"/>
              </w:rPr>
              <w:t>DE (462)</w:t>
            </w:r>
          </w:p>
        </w:tc>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4. </w:t>
            </w:r>
            <w:r w:rsidR="00634E05">
              <w:rPr>
                <w:rFonts w:eastAsia="Calibri" w:cs="Arial"/>
                <w:szCs w:val="18"/>
              </w:rPr>
              <w:t>DE (130)</w:t>
            </w:r>
          </w:p>
        </w:tc>
      </w:tr>
      <w:tr w:rsidR="0071400A" w:rsidRPr="00945C51" w:rsidTr="00E13364">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5. </w:t>
            </w:r>
            <w:r w:rsidR="003775FF">
              <w:rPr>
                <w:rFonts w:eastAsia="Calibri" w:cs="Arial"/>
                <w:szCs w:val="18"/>
              </w:rPr>
              <w:t>IE (418)</w:t>
            </w:r>
          </w:p>
        </w:tc>
        <w:tc>
          <w:tcPr>
            <w:tcW w:w="4122" w:type="dxa"/>
            <w:shd w:val="clear" w:color="auto" w:fill="auto"/>
          </w:tcPr>
          <w:p w:rsidR="0071400A" w:rsidRPr="00945C51" w:rsidRDefault="0071400A" w:rsidP="00E13364">
            <w:pPr>
              <w:pStyle w:val="TableTextNoSpace"/>
              <w:rPr>
                <w:rFonts w:eastAsia="Calibri" w:cs="Arial"/>
                <w:szCs w:val="18"/>
              </w:rPr>
            </w:pPr>
            <w:r>
              <w:rPr>
                <w:rFonts w:eastAsia="Calibri" w:cs="Arial"/>
                <w:szCs w:val="18"/>
              </w:rPr>
              <w:t xml:space="preserve">5. </w:t>
            </w:r>
            <w:r w:rsidR="00634E05">
              <w:rPr>
                <w:rFonts w:eastAsia="Calibri" w:cs="Arial"/>
                <w:szCs w:val="18"/>
              </w:rPr>
              <w:t>MT (127)</w:t>
            </w:r>
          </w:p>
        </w:tc>
      </w:tr>
    </w:tbl>
    <w:p w:rsidR="00F80E58" w:rsidRPr="005452A8" w:rsidRDefault="00312B8F" w:rsidP="00F80E58">
      <w:pPr>
        <w:pStyle w:val="Divider"/>
      </w:pPr>
      <w:r>
        <w:t>A</w:t>
      </w:r>
      <w:r w:rsidR="00F80E58" w:rsidRPr="007B47FB">
        <w:t>NNEXES</w:t>
      </w:r>
    </w:p>
    <w:p w:rsidR="00F80E58" w:rsidRDefault="00F80E58" w:rsidP="00977E06">
      <w:pPr>
        <w:pStyle w:val="BodyText"/>
      </w:pPr>
    </w:p>
    <w:p w:rsidR="004934FE" w:rsidRPr="00A41DE0" w:rsidRDefault="004934FE" w:rsidP="004934FE">
      <w:pPr>
        <w:pStyle w:val="AnnexHeading"/>
      </w:pPr>
      <w:bookmarkStart w:id="300" w:name="_Toc406590171"/>
      <w:bookmarkStart w:id="301" w:name="_Toc408908765"/>
      <w:r w:rsidRPr="00A41DE0">
        <w:t>List of abbreviations</w:t>
      </w:r>
      <w:r>
        <w:t xml:space="preserve"> of EU Member States</w:t>
      </w:r>
      <w:bookmarkEnd w:id="300"/>
      <w:bookmarkEnd w:id="301"/>
    </w:p>
    <w:p w:rsidR="004934FE" w:rsidRPr="00483B57" w:rsidRDefault="00D51D01" w:rsidP="00546996">
      <w:pPr>
        <w:pStyle w:val="AnnexTable"/>
        <w:ind w:left="2160" w:hanging="1350"/>
      </w:pPr>
      <w:bookmarkStart w:id="302" w:name="_Toc408908644"/>
      <w:r w:rsidRPr="00007D34">
        <w:t>List of abbreviations of EU Member States</w:t>
      </w:r>
      <w:bookmarkEnd w:id="302"/>
    </w:p>
    <w:tbl>
      <w:tblPr>
        <w:tblW w:w="4170" w:type="pct"/>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3715"/>
        <w:gridCol w:w="3855"/>
      </w:tblGrid>
      <w:tr w:rsidR="004934FE" w:rsidRPr="00A41DE0" w:rsidTr="00CC1B18">
        <w:trPr>
          <w:tblHeader/>
        </w:trPr>
        <w:tc>
          <w:tcPr>
            <w:tcW w:w="2454" w:type="pct"/>
            <w:shd w:val="clear" w:color="auto" w:fill="auto"/>
          </w:tcPr>
          <w:p w:rsidR="004934FE" w:rsidRPr="00CC1B18" w:rsidRDefault="004934FE" w:rsidP="00E13364">
            <w:pPr>
              <w:pStyle w:val="TableTextNoSpace"/>
              <w:rPr>
                <w:b/>
                <w:lang w:eastAsia="en-GB"/>
              </w:rPr>
            </w:pPr>
            <w:r w:rsidRPr="00CC1B18">
              <w:rPr>
                <w:b/>
                <w:lang w:eastAsia="en-GB"/>
              </w:rPr>
              <w:t>Name of country</w:t>
            </w:r>
          </w:p>
        </w:tc>
        <w:tc>
          <w:tcPr>
            <w:tcW w:w="2546" w:type="pct"/>
            <w:shd w:val="clear" w:color="auto" w:fill="auto"/>
          </w:tcPr>
          <w:p w:rsidR="004934FE" w:rsidRPr="00CC1B18" w:rsidRDefault="004934FE" w:rsidP="00E13364">
            <w:pPr>
              <w:pStyle w:val="TableTextNoSpace"/>
              <w:rPr>
                <w:b/>
                <w:lang w:eastAsia="en-GB"/>
              </w:rPr>
            </w:pPr>
            <w:r w:rsidRPr="00CC1B18">
              <w:rPr>
                <w:b/>
                <w:lang w:eastAsia="en-GB"/>
              </w:rPr>
              <w:t>Abbreviation</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Austria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AT</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Belgium</w:t>
            </w:r>
          </w:p>
        </w:tc>
        <w:tc>
          <w:tcPr>
            <w:tcW w:w="2546" w:type="pct"/>
            <w:shd w:val="clear" w:color="auto" w:fill="auto"/>
          </w:tcPr>
          <w:p w:rsidR="004934FE" w:rsidRPr="004C752A" w:rsidRDefault="004934FE" w:rsidP="00E13364">
            <w:pPr>
              <w:pStyle w:val="TableTextNoSpace"/>
              <w:rPr>
                <w:lang w:eastAsia="en-GB"/>
              </w:rPr>
            </w:pPr>
            <w:r w:rsidRPr="004C752A">
              <w:rPr>
                <w:lang w:eastAsia="en-GB"/>
              </w:rPr>
              <w:t>BE</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Bulgaria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BG</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 xml:space="preserve">Croatia </w:t>
            </w:r>
          </w:p>
        </w:tc>
        <w:tc>
          <w:tcPr>
            <w:tcW w:w="2546" w:type="pct"/>
            <w:shd w:val="clear" w:color="auto" w:fill="auto"/>
          </w:tcPr>
          <w:p w:rsidR="004934FE" w:rsidRPr="004C752A" w:rsidRDefault="004934FE" w:rsidP="00E13364">
            <w:pPr>
              <w:pStyle w:val="TableTextNoSpace"/>
              <w:rPr>
                <w:lang w:eastAsia="en-GB"/>
              </w:rPr>
            </w:pPr>
            <w:r w:rsidRPr="004C752A">
              <w:rPr>
                <w:lang w:eastAsia="en-GB"/>
              </w:rPr>
              <w:t>HR</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Cyprus</w:t>
            </w:r>
          </w:p>
        </w:tc>
        <w:tc>
          <w:tcPr>
            <w:tcW w:w="2546" w:type="pct"/>
            <w:shd w:val="clear" w:color="auto" w:fill="auto"/>
          </w:tcPr>
          <w:p w:rsidR="004934FE" w:rsidRPr="004C752A" w:rsidRDefault="004934FE" w:rsidP="00E13364">
            <w:pPr>
              <w:pStyle w:val="TableTextNoSpace"/>
              <w:rPr>
                <w:lang w:eastAsia="en-GB"/>
              </w:rPr>
            </w:pPr>
            <w:r w:rsidRPr="004C752A">
              <w:rPr>
                <w:lang w:eastAsia="en-GB"/>
              </w:rPr>
              <w:t>CY</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Czech Republic</w:t>
            </w:r>
          </w:p>
        </w:tc>
        <w:tc>
          <w:tcPr>
            <w:tcW w:w="2546" w:type="pct"/>
            <w:shd w:val="clear" w:color="auto" w:fill="auto"/>
          </w:tcPr>
          <w:p w:rsidR="004934FE" w:rsidRPr="004C752A" w:rsidRDefault="004934FE" w:rsidP="00E13364">
            <w:pPr>
              <w:pStyle w:val="TableTextNoSpace"/>
              <w:rPr>
                <w:lang w:eastAsia="en-GB"/>
              </w:rPr>
            </w:pPr>
            <w:r w:rsidRPr="004C752A">
              <w:rPr>
                <w:lang w:eastAsia="en-GB"/>
              </w:rPr>
              <w:t>CZ</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Denmark</w:t>
            </w:r>
          </w:p>
        </w:tc>
        <w:tc>
          <w:tcPr>
            <w:tcW w:w="2546" w:type="pct"/>
            <w:shd w:val="clear" w:color="auto" w:fill="auto"/>
          </w:tcPr>
          <w:p w:rsidR="004934FE" w:rsidRPr="004C752A" w:rsidRDefault="004934FE" w:rsidP="00E13364">
            <w:pPr>
              <w:pStyle w:val="TableTextNoSpace"/>
              <w:rPr>
                <w:lang w:eastAsia="en-GB"/>
              </w:rPr>
            </w:pPr>
            <w:r w:rsidRPr="004C752A">
              <w:rPr>
                <w:lang w:eastAsia="en-GB"/>
              </w:rPr>
              <w:t>DK</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Estonia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EE</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Finland</w:t>
            </w:r>
          </w:p>
        </w:tc>
        <w:tc>
          <w:tcPr>
            <w:tcW w:w="2546" w:type="pct"/>
            <w:shd w:val="clear" w:color="auto" w:fill="auto"/>
          </w:tcPr>
          <w:p w:rsidR="004934FE" w:rsidRPr="004C752A" w:rsidRDefault="004934FE" w:rsidP="00E13364">
            <w:pPr>
              <w:pStyle w:val="TableTextNoSpace"/>
              <w:rPr>
                <w:lang w:eastAsia="en-GB"/>
              </w:rPr>
            </w:pPr>
            <w:r w:rsidRPr="004C752A">
              <w:rPr>
                <w:lang w:eastAsia="en-GB"/>
              </w:rPr>
              <w:t>FI</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France</w:t>
            </w:r>
          </w:p>
        </w:tc>
        <w:tc>
          <w:tcPr>
            <w:tcW w:w="2546" w:type="pct"/>
            <w:shd w:val="clear" w:color="auto" w:fill="auto"/>
          </w:tcPr>
          <w:p w:rsidR="004934FE" w:rsidRPr="004C752A" w:rsidRDefault="004934FE" w:rsidP="00E13364">
            <w:pPr>
              <w:pStyle w:val="TableTextNoSpace"/>
              <w:rPr>
                <w:lang w:eastAsia="en-GB"/>
              </w:rPr>
            </w:pPr>
            <w:r w:rsidRPr="004C752A">
              <w:rPr>
                <w:lang w:eastAsia="en-GB"/>
              </w:rPr>
              <w:t>FR</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Germany</w:t>
            </w:r>
          </w:p>
        </w:tc>
        <w:tc>
          <w:tcPr>
            <w:tcW w:w="2546" w:type="pct"/>
            <w:shd w:val="clear" w:color="auto" w:fill="auto"/>
          </w:tcPr>
          <w:p w:rsidR="004934FE" w:rsidRPr="004C752A" w:rsidRDefault="004934FE" w:rsidP="00E13364">
            <w:pPr>
              <w:pStyle w:val="TableTextNoSpace"/>
              <w:rPr>
                <w:lang w:eastAsia="en-GB"/>
              </w:rPr>
            </w:pPr>
            <w:r w:rsidRPr="004C752A">
              <w:rPr>
                <w:lang w:eastAsia="en-GB"/>
              </w:rPr>
              <w:t>DE</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Greece</w:t>
            </w:r>
          </w:p>
        </w:tc>
        <w:tc>
          <w:tcPr>
            <w:tcW w:w="2546" w:type="pct"/>
            <w:shd w:val="clear" w:color="auto" w:fill="auto"/>
          </w:tcPr>
          <w:p w:rsidR="004934FE" w:rsidRPr="004C752A" w:rsidRDefault="004934FE" w:rsidP="00E13364">
            <w:pPr>
              <w:pStyle w:val="TableTextNoSpace"/>
              <w:rPr>
                <w:lang w:eastAsia="en-GB"/>
              </w:rPr>
            </w:pPr>
            <w:r w:rsidRPr="004C752A">
              <w:rPr>
                <w:lang w:eastAsia="en-GB"/>
              </w:rPr>
              <w:t>EL</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Hungary</w:t>
            </w:r>
          </w:p>
        </w:tc>
        <w:tc>
          <w:tcPr>
            <w:tcW w:w="2546" w:type="pct"/>
            <w:shd w:val="clear" w:color="auto" w:fill="auto"/>
          </w:tcPr>
          <w:p w:rsidR="004934FE" w:rsidRPr="004C752A" w:rsidRDefault="004934FE" w:rsidP="00E13364">
            <w:pPr>
              <w:pStyle w:val="TableTextNoSpace"/>
              <w:rPr>
                <w:lang w:eastAsia="en-GB"/>
              </w:rPr>
            </w:pPr>
            <w:r w:rsidRPr="004C752A">
              <w:rPr>
                <w:lang w:eastAsia="en-GB"/>
              </w:rPr>
              <w:t>HU</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Ireland</w:t>
            </w:r>
          </w:p>
        </w:tc>
        <w:tc>
          <w:tcPr>
            <w:tcW w:w="2546" w:type="pct"/>
            <w:shd w:val="clear" w:color="auto" w:fill="auto"/>
          </w:tcPr>
          <w:p w:rsidR="004934FE" w:rsidRPr="004C752A" w:rsidRDefault="004934FE" w:rsidP="00E13364">
            <w:pPr>
              <w:pStyle w:val="TableTextNoSpace"/>
              <w:rPr>
                <w:lang w:eastAsia="en-GB"/>
              </w:rPr>
            </w:pPr>
            <w:r w:rsidRPr="004C752A">
              <w:rPr>
                <w:lang w:eastAsia="en-GB"/>
              </w:rPr>
              <w:t>IE</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Italy</w:t>
            </w:r>
          </w:p>
        </w:tc>
        <w:tc>
          <w:tcPr>
            <w:tcW w:w="2546" w:type="pct"/>
            <w:shd w:val="clear" w:color="auto" w:fill="auto"/>
          </w:tcPr>
          <w:p w:rsidR="004934FE" w:rsidRPr="004C752A" w:rsidRDefault="004934FE" w:rsidP="00E13364">
            <w:pPr>
              <w:pStyle w:val="TableTextNoSpace"/>
              <w:rPr>
                <w:lang w:eastAsia="en-GB"/>
              </w:rPr>
            </w:pPr>
            <w:r w:rsidRPr="004C752A">
              <w:rPr>
                <w:lang w:eastAsia="en-GB"/>
              </w:rPr>
              <w:t>IT</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Latvia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LV</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Lithuania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LT</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 xml:space="preserve">Luxembourg </w:t>
            </w:r>
          </w:p>
        </w:tc>
        <w:tc>
          <w:tcPr>
            <w:tcW w:w="2546" w:type="pct"/>
            <w:shd w:val="clear" w:color="auto" w:fill="auto"/>
          </w:tcPr>
          <w:p w:rsidR="004934FE" w:rsidRPr="004C752A" w:rsidRDefault="004934FE" w:rsidP="00E13364">
            <w:pPr>
              <w:pStyle w:val="TableTextNoSpace"/>
              <w:rPr>
                <w:lang w:eastAsia="en-GB"/>
              </w:rPr>
            </w:pPr>
            <w:r w:rsidRPr="004C752A">
              <w:rPr>
                <w:lang w:eastAsia="en-GB"/>
              </w:rPr>
              <w:t>LU</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Malta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MT</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Netherlands</w:t>
            </w:r>
          </w:p>
        </w:tc>
        <w:tc>
          <w:tcPr>
            <w:tcW w:w="2546" w:type="pct"/>
            <w:shd w:val="clear" w:color="auto" w:fill="auto"/>
          </w:tcPr>
          <w:p w:rsidR="004934FE" w:rsidRPr="004C752A" w:rsidRDefault="004934FE" w:rsidP="00E13364">
            <w:pPr>
              <w:pStyle w:val="TableTextNoSpace"/>
              <w:rPr>
                <w:lang w:eastAsia="en-GB"/>
              </w:rPr>
            </w:pPr>
            <w:r w:rsidRPr="004C752A">
              <w:rPr>
                <w:lang w:eastAsia="en-GB"/>
              </w:rPr>
              <w:t>NL</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Poland</w:t>
            </w:r>
          </w:p>
        </w:tc>
        <w:tc>
          <w:tcPr>
            <w:tcW w:w="2546" w:type="pct"/>
            <w:shd w:val="clear" w:color="auto" w:fill="auto"/>
          </w:tcPr>
          <w:p w:rsidR="004934FE" w:rsidRPr="004C752A" w:rsidRDefault="004934FE" w:rsidP="00E13364">
            <w:pPr>
              <w:pStyle w:val="TableTextNoSpace"/>
              <w:rPr>
                <w:lang w:eastAsia="en-GB"/>
              </w:rPr>
            </w:pPr>
            <w:r w:rsidRPr="004C752A">
              <w:rPr>
                <w:lang w:eastAsia="en-GB"/>
              </w:rPr>
              <w:t>PL</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Portugal</w:t>
            </w:r>
          </w:p>
        </w:tc>
        <w:tc>
          <w:tcPr>
            <w:tcW w:w="2546" w:type="pct"/>
            <w:shd w:val="clear" w:color="auto" w:fill="auto"/>
          </w:tcPr>
          <w:p w:rsidR="004934FE" w:rsidRPr="004C752A" w:rsidRDefault="004934FE" w:rsidP="00E13364">
            <w:pPr>
              <w:pStyle w:val="TableTextNoSpace"/>
              <w:rPr>
                <w:lang w:eastAsia="en-GB"/>
              </w:rPr>
            </w:pPr>
            <w:r w:rsidRPr="004C752A">
              <w:rPr>
                <w:lang w:eastAsia="en-GB"/>
              </w:rPr>
              <w:t>PT</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Romania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RO</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Slovakia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SK</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Slovenia</w:t>
            </w:r>
          </w:p>
        </w:tc>
        <w:tc>
          <w:tcPr>
            <w:tcW w:w="2546" w:type="pct"/>
            <w:shd w:val="clear" w:color="auto" w:fill="auto"/>
          </w:tcPr>
          <w:p w:rsidR="004934FE" w:rsidRPr="004C752A" w:rsidRDefault="004934FE" w:rsidP="00E13364">
            <w:pPr>
              <w:pStyle w:val="TableTextNoSpace"/>
              <w:rPr>
                <w:lang w:eastAsia="en-GB"/>
              </w:rPr>
            </w:pPr>
            <w:r w:rsidRPr="004C752A">
              <w:rPr>
                <w:lang w:eastAsia="en-GB"/>
              </w:rPr>
              <w:t>SI</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Spain</w:t>
            </w:r>
          </w:p>
        </w:tc>
        <w:tc>
          <w:tcPr>
            <w:tcW w:w="2546" w:type="pct"/>
            <w:shd w:val="clear" w:color="auto" w:fill="auto"/>
          </w:tcPr>
          <w:p w:rsidR="004934FE" w:rsidRPr="004C752A" w:rsidRDefault="004934FE" w:rsidP="00E13364">
            <w:pPr>
              <w:pStyle w:val="TableTextNoSpace"/>
              <w:rPr>
                <w:lang w:eastAsia="en-GB"/>
              </w:rPr>
            </w:pPr>
            <w:r w:rsidRPr="004C752A">
              <w:rPr>
                <w:lang w:eastAsia="en-GB"/>
              </w:rPr>
              <w:t>ES</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Sweden</w:t>
            </w:r>
          </w:p>
        </w:tc>
        <w:tc>
          <w:tcPr>
            <w:tcW w:w="2546" w:type="pct"/>
            <w:shd w:val="clear" w:color="auto" w:fill="auto"/>
          </w:tcPr>
          <w:p w:rsidR="004934FE" w:rsidRPr="004C752A" w:rsidRDefault="004934FE" w:rsidP="00E13364">
            <w:pPr>
              <w:pStyle w:val="TableTextNoSpace"/>
              <w:rPr>
                <w:lang w:eastAsia="en-GB"/>
              </w:rPr>
            </w:pPr>
            <w:r w:rsidRPr="004C752A">
              <w:rPr>
                <w:lang w:eastAsia="en-GB"/>
              </w:rPr>
              <w:t>SE</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United Kingdom – England and Wales</w:t>
            </w:r>
          </w:p>
        </w:tc>
        <w:tc>
          <w:tcPr>
            <w:tcW w:w="2546" w:type="pct"/>
            <w:shd w:val="clear" w:color="auto" w:fill="auto"/>
          </w:tcPr>
          <w:p w:rsidR="004934FE" w:rsidRPr="004C752A" w:rsidRDefault="004934FE" w:rsidP="00E13364">
            <w:pPr>
              <w:pStyle w:val="TableTextNoSpace"/>
              <w:rPr>
                <w:lang w:eastAsia="en-GB"/>
              </w:rPr>
            </w:pPr>
            <w:r w:rsidRPr="004C752A">
              <w:rPr>
                <w:lang w:eastAsia="en-GB"/>
              </w:rPr>
              <w:t>UK-E&amp;W</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United Kingdom – Northern Ireland</w:t>
            </w:r>
          </w:p>
        </w:tc>
        <w:tc>
          <w:tcPr>
            <w:tcW w:w="2546" w:type="pct"/>
            <w:shd w:val="clear" w:color="auto" w:fill="auto"/>
          </w:tcPr>
          <w:p w:rsidR="004934FE" w:rsidRPr="004C752A" w:rsidRDefault="004934FE" w:rsidP="00E13364">
            <w:pPr>
              <w:pStyle w:val="TableTextNoSpace"/>
              <w:rPr>
                <w:lang w:eastAsia="en-GB"/>
              </w:rPr>
            </w:pPr>
            <w:r w:rsidRPr="004C752A">
              <w:rPr>
                <w:lang w:eastAsia="en-GB"/>
              </w:rPr>
              <w:t>UK-NI</w:t>
            </w:r>
          </w:p>
        </w:tc>
      </w:tr>
      <w:tr w:rsidR="004934FE" w:rsidRPr="00A41DE0" w:rsidTr="00CC1B18">
        <w:tc>
          <w:tcPr>
            <w:tcW w:w="2454" w:type="pct"/>
            <w:shd w:val="clear" w:color="auto" w:fill="auto"/>
          </w:tcPr>
          <w:p w:rsidR="004934FE" w:rsidRPr="004C752A" w:rsidRDefault="004934FE" w:rsidP="00E13364">
            <w:pPr>
              <w:pStyle w:val="TableTextNoSpace"/>
              <w:rPr>
                <w:lang w:eastAsia="en-GB"/>
              </w:rPr>
            </w:pPr>
            <w:r w:rsidRPr="004C752A">
              <w:rPr>
                <w:lang w:eastAsia="en-GB"/>
              </w:rPr>
              <w:t xml:space="preserve">United Kingdom – Scotland </w:t>
            </w:r>
          </w:p>
        </w:tc>
        <w:tc>
          <w:tcPr>
            <w:tcW w:w="2546" w:type="pct"/>
            <w:shd w:val="clear" w:color="auto" w:fill="auto"/>
          </w:tcPr>
          <w:p w:rsidR="004934FE" w:rsidRPr="004C752A" w:rsidRDefault="004934FE" w:rsidP="00E13364">
            <w:pPr>
              <w:pStyle w:val="TableTextNoSpace"/>
              <w:rPr>
                <w:lang w:eastAsia="en-GB"/>
              </w:rPr>
            </w:pPr>
            <w:r w:rsidRPr="004C752A">
              <w:rPr>
                <w:lang w:eastAsia="en-GB"/>
              </w:rPr>
              <w:t>UK-S</w:t>
            </w:r>
          </w:p>
        </w:tc>
      </w:tr>
    </w:tbl>
    <w:p w:rsidR="00F80E58" w:rsidRDefault="001E22DC" w:rsidP="00F80E58">
      <w:pPr>
        <w:pStyle w:val="AnnexHeading"/>
      </w:pPr>
      <w:bookmarkStart w:id="303" w:name="_Ref397595320"/>
      <w:bookmarkStart w:id="304" w:name="_Toc406590172"/>
      <w:bookmarkStart w:id="305" w:name="_Toc408908766"/>
      <w:r>
        <w:t>Data on the scale of the affected population</w:t>
      </w:r>
      <w:bookmarkEnd w:id="303"/>
      <w:bookmarkEnd w:id="304"/>
      <w:bookmarkEnd w:id="305"/>
    </w:p>
    <w:p w:rsidR="00BF010D" w:rsidRDefault="00BF010D" w:rsidP="00546996">
      <w:pPr>
        <w:pStyle w:val="AnnexTable"/>
        <w:tabs>
          <w:tab w:val="clear" w:pos="2687"/>
          <w:tab w:val="num" w:pos="2160"/>
        </w:tabs>
        <w:ind w:hanging="1967"/>
      </w:pPr>
      <w:bookmarkStart w:id="306" w:name="_Ref392679931"/>
      <w:bookmarkStart w:id="307" w:name="_Toc408908645"/>
      <w:bookmarkStart w:id="308" w:name="_Ref394595664"/>
      <w:r>
        <w:t>Number of national datasets in each Member State</w:t>
      </w:r>
      <w:bookmarkEnd w:id="306"/>
      <w:bookmarkEnd w:id="307"/>
    </w:p>
    <w:tbl>
      <w:tblPr>
        <w:tblW w:w="4021" w:type="pct"/>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3729"/>
        <w:gridCol w:w="3571"/>
      </w:tblGrid>
      <w:tr w:rsidR="00064542" w:rsidRPr="00064542" w:rsidTr="00CC1B18">
        <w:trPr>
          <w:tblHeader/>
        </w:trPr>
        <w:tc>
          <w:tcPr>
            <w:tcW w:w="2554" w:type="pct"/>
            <w:shd w:val="clear" w:color="auto" w:fill="auto"/>
          </w:tcPr>
          <w:p w:rsidR="00064542" w:rsidRPr="00CC1B18" w:rsidRDefault="00064542" w:rsidP="00E13364">
            <w:pPr>
              <w:pStyle w:val="TableTextNoSpace"/>
              <w:rPr>
                <w:b/>
              </w:rPr>
            </w:pPr>
            <w:r w:rsidRPr="00CC1B18">
              <w:rPr>
                <w:b/>
              </w:rPr>
              <w:t>Member State</w:t>
            </w:r>
          </w:p>
        </w:tc>
        <w:tc>
          <w:tcPr>
            <w:tcW w:w="2446" w:type="pct"/>
            <w:shd w:val="clear" w:color="auto" w:fill="auto"/>
          </w:tcPr>
          <w:p w:rsidR="00064542" w:rsidRPr="00CC1B18" w:rsidRDefault="00064542" w:rsidP="00E13364">
            <w:pPr>
              <w:pStyle w:val="TableTextNoSpace"/>
              <w:rPr>
                <w:b/>
              </w:rPr>
            </w:pPr>
            <w:r w:rsidRPr="00CC1B18">
              <w:rPr>
                <w:b/>
              </w:rPr>
              <w:t>Number of datasets</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AT</w:t>
            </w:r>
          </w:p>
        </w:tc>
        <w:tc>
          <w:tcPr>
            <w:tcW w:w="2446" w:type="pct"/>
            <w:shd w:val="clear" w:color="auto" w:fill="auto"/>
          </w:tcPr>
          <w:p w:rsidR="00064542" w:rsidRPr="00064542" w:rsidRDefault="00064542" w:rsidP="00E13364">
            <w:pPr>
              <w:pStyle w:val="TableTextNoSpace"/>
            </w:pPr>
            <w:r w:rsidRPr="00064542">
              <w:t>22</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BE</w:t>
            </w:r>
          </w:p>
        </w:tc>
        <w:tc>
          <w:tcPr>
            <w:tcW w:w="2446" w:type="pct"/>
            <w:shd w:val="clear" w:color="auto" w:fill="auto"/>
          </w:tcPr>
          <w:p w:rsidR="00064542" w:rsidRPr="00064542" w:rsidRDefault="00064542" w:rsidP="00E13364">
            <w:pPr>
              <w:pStyle w:val="TableTextNoSpace"/>
            </w:pPr>
            <w:r w:rsidRPr="00064542">
              <w:t>38</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BG</w:t>
            </w:r>
          </w:p>
        </w:tc>
        <w:tc>
          <w:tcPr>
            <w:tcW w:w="2446" w:type="pct"/>
            <w:shd w:val="clear" w:color="auto" w:fill="auto"/>
          </w:tcPr>
          <w:p w:rsidR="00064542" w:rsidRPr="00064542" w:rsidRDefault="00064542" w:rsidP="00E13364">
            <w:pPr>
              <w:pStyle w:val="TableTextNoSpace"/>
            </w:pPr>
            <w:r w:rsidRPr="00064542">
              <w:t>41</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CY</w:t>
            </w:r>
          </w:p>
        </w:tc>
        <w:tc>
          <w:tcPr>
            <w:tcW w:w="2446" w:type="pct"/>
            <w:shd w:val="clear" w:color="auto" w:fill="auto"/>
          </w:tcPr>
          <w:p w:rsidR="00064542" w:rsidRPr="00064542" w:rsidRDefault="00064542" w:rsidP="00E13364">
            <w:pPr>
              <w:pStyle w:val="TableTextNoSpace"/>
            </w:pPr>
            <w:r w:rsidRPr="00064542">
              <w:t>3</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CZ</w:t>
            </w:r>
          </w:p>
        </w:tc>
        <w:tc>
          <w:tcPr>
            <w:tcW w:w="2446" w:type="pct"/>
            <w:shd w:val="clear" w:color="auto" w:fill="auto"/>
          </w:tcPr>
          <w:p w:rsidR="00064542" w:rsidRPr="00064542" w:rsidRDefault="00064542" w:rsidP="00E13364">
            <w:pPr>
              <w:pStyle w:val="TableTextNoSpace"/>
            </w:pPr>
            <w:r w:rsidRPr="00064542">
              <w:t>38</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DE</w:t>
            </w:r>
          </w:p>
        </w:tc>
        <w:tc>
          <w:tcPr>
            <w:tcW w:w="2446" w:type="pct"/>
            <w:shd w:val="clear" w:color="auto" w:fill="auto"/>
          </w:tcPr>
          <w:p w:rsidR="00064542" w:rsidRPr="00064542" w:rsidRDefault="00064542" w:rsidP="00E13364">
            <w:pPr>
              <w:pStyle w:val="TableTextNoSpace"/>
            </w:pPr>
            <w:r w:rsidRPr="00064542">
              <w:t>22</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DK</w:t>
            </w:r>
          </w:p>
        </w:tc>
        <w:tc>
          <w:tcPr>
            <w:tcW w:w="2446" w:type="pct"/>
            <w:shd w:val="clear" w:color="auto" w:fill="auto"/>
          </w:tcPr>
          <w:p w:rsidR="00064542" w:rsidRPr="00064542" w:rsidRDefault="00064542" w:rsidP="00E13364">
            <w:pPr>
              <w:pStyle w:val="TableTextNoSpace"/>
            </w:pPr>
            <w:r w:rsidRPr="00064542">
              <w:t>21</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EE</w:t>
            </w:r>
          </w:p>
        </w:tc>
        <w:tc>
          <w:tcPr>
            <w:tcW w:w="2446" w:type="pct"/>
            <w:shd w:val="clear" w:color="auto" w:fill="auto"/>
          </w:tcPr>
          <w:p w:rsidR="00064542" w:rsidRPr="00064542" w:rsidRDefault="00064542" w:rsidP="00E13364">
            <w:pPr>
              <w:pStyle w:val="TableTextNoSpace"/>
            </w:pPr>
            <w:r w:rsidRPr="00064542">
              <w:t>13</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EL</w:t>
            </w:r>
          </w:p>
        </w:tc>
        <w:tc>
          <w:tcPr>
            <w:tcW w:w="2446" w:type="pct"/>
            <w:shd w:val="clear" w:color="auto" w:fill="auto"/>
          </w:tcPr>
          <w:p w:rsidR="00064542" w:rsidRPr="00064542" w:rsidRDefault="00064542" w:rsidP="00E13364">
            <w:pPr>
              <w:pStyle w:val="TableTextNoSpace"/>
            </w:pPr>
            <w:r w:rsidRPr="00064542">
              <w:t>4</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ES</w:t>
            </w:r>
          </w:p>
        </w:tc>
        <w:tc>
          <w:tcPr>
            <w:tcW w:w="2446" w:type="pct"/>
            <w:shd w:val="clear" w:color="auto" w:fill="auto"/>
          </w:tcPr>
          <w:p w:rsidR="00064542" w:rsidRPr="00064542" w:rsidRDefault="00064542" w:rsidP="00E13364">
            <w:pPr>
              <w:pStyle w:val="TableTextNoSpace"/>
            </w:pPr>
            <w:r w:rsidRPr="00064542">
              <w:t>19</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FI</w:t>
            </w:r>
          </w:p>
        </w:tc>
        <w:tc>
          <w:tcPr>
            <w:tcW w:w="2446" w:type="pct"/>
            <w:shd w:val="clear" w:color="auto" w:fill="auto"/>
          </w:tcPr>
          <w:p w:rsidR="00064542" w:rsidRPr="00064542" w:rsidRDefault="00064542" w:rsidP="00E13364">
            <w:pPr>
              <w:pStyle w:val="TableTextNoSpace"/>
            </w:pPr>
            <w:r w:rsidRPr="00064542">
              <w:t>10</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FR</w:t>
            </w:r>
          </w:p>
        </w:tc>
        <w:tc>
          <w:tcPr>
            <w:tcW w:w="2446" w:type="pct"/>
            <w:shd w:val="clear" w:color="auto" w:fill="auto"/>
          </w:tcPr>
          <w:p w:rsidR="00064542" w:rsidRPr="00064542" w:rsidRDefault="00064542" w:rsidP="00E13364">
            <w:pPr>
              <w:pStyle w:val="TableTextNoSpace"/>
            </w:pPr>
            <w:r w:rsidRPr="00064542">
              <w:t>13</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HU</w:t>
            </w:r>
          </w:p>
        </w:tc>
        <w:tc>
          <w:tcPr>
            <w:tcW w:w="2446" w:type="pct"/>
            <w:shd w:val="clear" w:color="auto" w:fill="auto"/>
          </w:tcPr>
          <w:p w:rsidR="00064542" w:rsidRPr="00064542" w:rsidRDefault="00064542" w:rsidP="00E13364">
            <w:pPr>
              <w:pStyle w:val="TableTextNoSpace"/>
            </w:pPr>
            <w:r w:rsidRPr="00064542">
              <w:t>22</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IE</w:t>
            </w:r>
          </w:p>
        </w:tc>
        <w:tc>
          <w:tcPr>
            <w:tcW w:w="2446" w:type="pct"/>
            <w:shd w:val="clear" w:color="auto" w:fill="auto"/>
          </w:tcPr>
          <w:p w:rsidR="00064542" w:rsidRPr="00064542" w:rsidRDefault="00064542" w:rsidP="00E13364">
            <w:pPr>
              <w:pStyle w:val="TableTextNoSpace"/>
            </w:pPr>
            <w:r w:rsidRPr="00064542">
              <w:t>24</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IT</w:t>
            </w:r>
          </w:p>
        </w:tc>
        <w:tc>
          <w:tcPr>
            <w:tcW w:w="2446" w:type="pct"/>
            <w:shd w:val="clear" w:color="auto" w:fill="auto"/>
          </w:tcPr>
          <w:p w:rsidR="00064542" w:rsidRPr="00064542" w:rsidRDefault="00064542" w:rsidP="00E13364">
            <w:pPr>
              <w:pStyle w:val="TableTextNoSpace"/>
            </w:pPr>
            <w:r w:rsidRPr="00064542">
              <w:t>24</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LT</w:t>
            </w:r>
          </w:p>
        </w:tc>
        <w:tc>
          <w:tcPr>
            <w:tcW w:w="2446" w:type="pct"/>
            <w:shd w:val="clear" w:color="auto" w:fill="auto"/>
          </w:tcPr>
          <w:p w:rsidR="00064542" w:rsidRPr="00064542" w:rsidRDefault="00064542" w:rsidP="00E13364">
            <w:pPr>
              <w:pStyle w:val="TableTextNoSpace"/>
            </w:pPr>
            <w:r w:rsidRPr="00064542">
              <w:t>12</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LU</w:t>
            </w:r>
          </w:p>
        </w:tc>
        <w:tc>
          <w:tcPr>
            <w:tcW w:w="2446" w:type="pct"/>
            <w:shd w:val="clear" w:color="auto" w:fill="auto"/>
          </w:tcPr>
          <w:p w:rsidR="00064542" w:rsidRPr="00064542" w:rsidRDefault="00064542" w:rsidP="00E13364">
            <w:pPr>
              <w:pStyle w:val="TableTextNoSpace"/>
            </w:pPr>
            <w:r w:rsidRPr="00064542">
              <w:t>6</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LV</w:t>
            </w:r>
          </w:p>
        </w:tc>
        <w:tc>
          <w:tcPr>
            <w:tcW w:w="2446" w:type="pct"/>
            <w:shd w:val="clear" w:color="auto" w:fill="auto"/>
          </w:tcPr>
          <w:p w:rsidR="00064542" w:rsidRPr="00064542" w:rsidRDefault="00064542" w:rsidP="00E13364">
            <w:pPr>
              <w:pStyle w:val="TableTextNoSpace"/>
            </w:pPr>
            <w:r w:rsidRPr="00064542">
              <w:t>35</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MT</w:t>
            </w:r>
          </w:p>
        </w:tc>
        <w:tc>
          <w:tcPr>
            <w:tcW w:w="2446" w:type="pct"/>
            <w:shd w:val="clear" w:color="auto" w:fill="auto"/>
          </w:tcPr>
          <w:p w:rsidR="00064542" w:rsidRPr="00064542" w:rsidRDefault="00064542" w:rsidP="00E13364">
            <w:pPr>
              <w:pStyle w:val="TableTextNoSpace"/>
            </w:pPr>
            <w:r w:rsidRPr="00064542">
              <w:t>6</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NL</w:t>
            </w:r>
          </w:p>
        </w:tc>
        <w:tc>
          <w:tcPr>
            <w:tcW w:w="2446" w:type="pct"/>
            <w:shd w:val="clear" w:color="auto" w:fill="auto"/>
          </w:tcPr>
          <w:p w:rsidR="00064542" w:rsidRPr="00064542" w:rsidRDefault="00064542" w:rsidP="00E13364">
            <w:pPr>
              <w:pStyle w:val="TableTextNoSpace"/>
            </w:pPr>
            <w:r w:rsidRPr="00064542">
              <w:t>8</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PL</w:t>
            </w:r>
          </w:p>
        </w:tc>
        <w:tc>
          <w:tcPr>
            <w:tcW w:w="2446" w:type="pct"/>
            <w:shd w:val="clear" w:color="auto" w:fill="auto"/>
          </w:tcPr>
          <w:p w:rsidR="00064542" w:rsidRPr="00064542" w:rsidRDefault="00064542" w:rsidP="00E13364">
            <w:pPr>
              <w:pStyle w:val="TableTextNoSpace"/>
            </w:pPr>
            <w:r w:rsidRPr="00064542">
              <w:t>18</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PT</w:t>
            </w:r>
          </w:p>
        </w:tc>
        <w:tc>
          <w:tcPr>
            <w:tcW w:w="2446" w:type="pct"/>
            <w:shd w:val="clear" w:color="auto" w:fill="auto"/>
          </w:tcPr>
          <w:p w:rsidR="00064542" w:rsidRPr="00064542" w:rsidRDefault="00064542" w:rsidP="00E13364">
            <w:pPr>
              <w:pStyle w:val="TableTextNoSpace"/>
            </w:pPr>
            <w:r w:rsidRPr="00064542">
              <w:t>16</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RO</w:t>
            </w:r>
          </w:p>
        </w:tc>
        <w:tc>
          <w:tcPr>
            <w:tcW w:w="2446" w:type="pct"/>
            <w:shd w:val="clear" w:color="auto" w:fill="auto"/>
          </w:tcPr>
          <w:p w:rsidR="00064542" w:rsidRPr="00064542" w:rsidRDefault="00064542" w:rsidP="00E13364">
            <w:pPr>
              <w:pStyle w:val="TableTextNoSpace"/>
            </w:pPr>
            <w:r w:rsidRPr="00064542">
              <w:t>12</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SE</w:t>
            </w:r>
          </w:p>
        </w:tc>
        <w:tc>
          <w:tcPr>
            <w:tcW w:w="2446" w:type="pct"/>
            <w:shd w:val="clear" w:color="auto" w:fill="auto"/>
          </w:tcPr>
          <w:p w:rsidR="00064542" w:rsidRPr="00064542" w:rsidRDefault="00064542" w:rsidP="00E13364">
            <w:pPr>
              <w:pStyle w:val="TableTextNoSpace"/>
            </w:pPr>
            <w:r w:rsidRPr="00064542">
              <w:t>17</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SI</w:t>
            </w:r>
          </w:p>
        </w:tc>
        <w:tc>
          <w:tcPr>
            <w:tcW w:w="2446" w:type="pct"/>
            <w:shd w:val="clear" w:color="auto" w:fill="auto"/>
          </w:tcPr>
          <w:p w:rsidR="00064542" w:rsidRPr="00064542" w:rsidRDefault="00064542" w:rsidP="00E13364">
            <w:pPr>
              <w:pStyle w:val="TableTextNoSpace"/>
            </w:pPr>
            <w:r w:rsidRPr="00064542">
              <w:t>20</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SK</w:t>
            </w:r>
          </w:p>
        </w:tc>
        <w:tc>
          <w:tcPr>
            <w:tcW w:w="2446" w:type="pct"/>
            <w:shd w:val="clear" w:color="auto" w:fill="auto"/>
          </w:tcPr>
          <w:p w:rsidR="00064542" w:rsidRPr="00064542" w:rsidRDefault="00064542" w:rsidP="00E13364">
            <w:pPr>
              <w:pStyle w:val="TableTextNoSpace"/>
            </w:pPr>
            <w:r w:rsidRPr="00064542">
              <w:t>31</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UK E&amp; W</w:t>
            </w:r>
          </w:p>
        </w:tc>
        <w:tc>
          <w:tcPr>
            <w:tcW w:w="2446" w:type="pct"/>
            <w:shd w:val="clear" w:color="auto" w:fill="auto"/>
          </w:tcPr>
          <w:p w:rsidR="00064542" w:rsidRPr="00064542" w:rsidRDefault="00064542" w:rsidP="00E13364">
            <w:pPr>
              <w:pStyle w:val="TableTextNoSpace"/>
            </w:pPr>
            <w:r w:rsidRPr="00064542">
              <w:t>20</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UK NI</w:t>
            </w:r>
          </w:p>
        </w:tc>
        <w:tc>
          <w:tcPr>
            <w:tcW w:w="2446" w:type="pct"/>
            <w:shd w:val="clear" w:color="auto" w:fill="auto"/>
          </w:tcPr>
          <w:p w:rsidR="00064542" w:rsidRPr="00064542" w:rsidRDefault="00064542" w:rsidP="00E13364">
            <w:pPr>
              <w:pStyle w:val="TableTextNoSpace"/>
            </w:pPr>
            <w:r w:rsidRPr="00064542">
              <w:t>20</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UK S</w:t>
            </w:r>
          </w:p>
        </w:tc>
        <w:tc>
          <w:tcPr>
            <w:tcW w:w="2446" w:type="pct"/>
            <w:shd w:val="clear" w:color="auto" w:fill="auto"/>
          </w:tcPr>
          <w:p w:rsidR="00064542" w:rsidRPr="00064542" w:rsidRDefault="00064542" w:rsidP="00E13364">
            <w:pPr>
              <w:pStyle w:val="TableTextNoSpace"/>
            </w:pPr>
            <w:r w:rsidRPr="00064542">
              <w:t>11</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HR</w:t>
            </w:r>
          </w:p>
        </w:tc>
        <w:tc>
          <w:tcPr>
            <w:tcW w:w="2446" w:type="pct"/>
            <w:shd w:val="clear" w:color="auto" w:fill="auto"/>
          </w:tcPr>
          <w:p w:rsidR="00064542" w:rsidRPr="00064542" w:rsidRDefault="00064542" w:rsidP="00E13364">
            <w:pPr>
              <w:pStyle w:val="TableTextNoSpace"/>
            </w:pPr>
            <w:r w:rsidRPr="00064542">
              <w:t>9</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International</w:t>
            </w:r>
          </w:p>
        </w:tc>
        <w:tc>
          <w:tcPr>
            <w:tcW w:w="2446" w:type="pct"/>
            <w:shd w:val="clear" w:color="auto" w:fill="auto"/>
          </w:tcPr>
          <w:p w:rsidR="00064542" w:rsidRPr="00064542" w:rsidRDefault="00064542" w:rsidP="00E13364">
            <w:pPr>
              <w:pStyle w:val="TableTextNoSpace"/>
            </w:pPr>
            <w:r w:rsidRPr="00064542">
              <w:t>31</w:t>
            </w:r>
          </w:p>
        </w:tc>
      </w:tr>
      <w:tr w:rsidR="00064542" w:rsidRPr="00064542" w:rsidTr="00CC1B18">
        <w:tc>
          <w:tcPr>
            <w:tcW w:w="2554"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Total</w:t>
            </w:r>
          </w:p>
        </w:tc>
        <w:tc>
          <w:tcPr>
            <w:tcW w:w="2446" w:type="pct"/>
            <w:shd w:val="clear" w:color="auto" w:fill="auto"/>
          </w:tcPr>
          <w:p w:rsidR="00064542" w:rsidRPr="00064542" w:rsidRDefault="00064542" w:rsidP="00E13364">
            <w:pPr>
              <w:pStyle w:val="TableTextNoSpace"/>
            </w:pPr>
            <w:r w:rsidRPr="00064542">
              <w:t>586</w:t>
            </w:r>
          </w:p>
        </w:tc>
      </w:tr>
    </w:tbl>
    <w:p w:rsidR="00BF010D" w:rsidRDefault="00BF010D" w:rsidP="00BF010D"/>
    <w:p w:rsidR="00064542" w:rsidRDefault="00064542" w:rsidP="00BF010D"/>
    <w:p w:rsidR="00064542" w:rsidRPr="00615E66" w:rsidRDefault="00064542" w:rsidP="00BF010D"/>
    <w:p w:rsidR="005F0EA6" w:rsidRDefault="005F0EA6" w:rsidP="00E13364">
      <w:pPr>
        <w:pStyle w:val="AnnexTable"/>
        <w:ind w:left="2160" w:hanging="1260"/>
      </w:pPr>
      <w:bookmarkStart w:id="309" w:name="_Toc372198380"/>
      <w:bookmarkStart w:id="310" w:name="_Ref372242347"/>
      <w:bookmarkStart w:id="311" w:name="_Ref372319860"/>
      <w:bookmarkStart w:id="312" w:name="_Ref373493222"/>
      <w:bookmarkStart w:id="313" w:name="_Toc408908646"/>
      <w:bookmarkStart w:id="314" w:name="_Ref395831597"/>
      <w:r>
        <w:t>The child population in the EU (2010)</w:t>
      </w:r>
      <w:bookmarkEnd w:id="309"/>
      <w:bookmarkEnd w:id="310"/>
      <w:bookmarkEnd w:id="311"/>
      <w:bookmarkEnd w:id="312"/>
      <w:r>
        <w:t xml:space="preserve"> (CivAdm001)</w:t>
      </w:r>
      <w:bookmarkEnd w:id="313"/>
    </w:p>
    <w:tbl>
      <w:tblPr>
        <w:tblW w:w="0" w:type="auto"/>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4A0" w:firstRow="1" w:lastRow="0" w:firstColumn="1" w:lastColumn="0" w:noHBand="0" w:noVBand="1"/>
      </w:tblPr>
      <w:tblGrid>
        <w:gridCol w:w="1466"/>
        <w:gridCol w:w="979"/>
        <w:gridCol w:w="806"/>
        <w:gridCol w:w="1717"/>
        <w:gridCol w:w="1524"/>
        <w:gridCol w:w="1778"/>
      </w:tblGrid>
      <w:tr w:rsidR="00E13364" w:rsidTr="00E13364">
        <w:trPr>
          <w:trHeight w:val="1564"/>
        </w:trPr>
        <w:tc>
          <w:tcPr>
            <w:tcW w:w="1106" w:type="dxa"/>
            <w:shd w:val="clear" w:color="auto" w:fill="DBE5F1" w:themeFill="accent1" w:themeFillTint="33"/>
            <w:vAlign w:val="center"/>
            <w:hideMark/>
          </w:tcPr>
          <w:p w:rsidR="005F0EA6" w:rsidRPr="00E13364" w:rsidRDefault="005F0EA6" w:rsidP="00E13364">
            <w:pPr>
              <w:pStyle w:val="TableTextNoSpace"/>
              <w:rPr>
                <w:b/>
              </w:rPr>
            </w:pPr>
            <w:r w:rsidRPr="00E13364">
              <w:rPr>
                <w:b/>
              </w:rPr>
              <w:t>Member State/jurisdiction</w:t>
            </w:r>
          </w:p>
        </w:tc>
        <w:tc>
          <w:tcPr>
            <w:tcW w:w="0" w:type="auto"/>
            <w:shd w:val="clear" w:color="auto" w:fill="DBE5F1" w:themeFill="accent1" w:themeFillTint="33"/>
            <w:vAlign w:val="center"/>
            <w:hideMark/>
          </w:tcPr>
          <w:p w:rsidR="005F0EA6" w:rsidRPr="00E13364" w:rsidRDefault="005F0EA6" w:rsidP="00E13364">
            <w:pPr>
              <w:pStyle w:val="TableTextNoSpace"/>
              <w:rPr>
                <w:b/>
              </w:rPr>
            </w:pPr>
            <w:r w:rsidRPr="00E13364">
              <w:rPr>
                <w:b/>
              </w:rPr>
              <w:t xml:space="preserve">Total population </w:t>
            </w:r>
          </w:p>
          <w:p w:rsidR="005F0EA6" w:rsidRPr="00E13364" w:rsidRDefault="005F0EA6" w:rsidP="00E13364">
            <w:pPr>
              <w:pStyle w:val="TableTextNoSpace"/>
              <w:rPr>
                <w:b/>
              </w:rPr>
            </w:pPr>
            <w:r w:rsidRPr="00E13364">
              <w:rPr>
                <w:b/>
              </w:rPr>
              <w:t>CRIM001</w:t>
            </w:r>
          </w:p>
        </w:tc>
        <w:tc>
          <w:tcPr>
            <w:tcW w:w="0" w:type="auto"/>
            <w:shd w:val="clear" w:color="auto" w:fill="DBE5F1" w:themeFill="accent1" w:themeFillTint="33"/>
            <w:vAlign w:val="center"/>
            <w:hideMark/>
          </w:tcPr>
          <w:p w:rsidR="005F0EA6" w:rsidRPr="00E13364" w:rsidRDefault="005F0EA6" w:rsidP="00E13364">
            <w:pPr>
              <w:pStyle w:val="TableTextNoSpace"/>
              <w:rPr>
                <w:b/>
              </w:rPr>
            </w:pPr>
            <w:r w:rsidRPr="00E13364">
              <w:rPr>
                <w:b/>
              </w:rPr>
              <w:t xml:space="preserve">Children </w:t>
            </w:r>
          </w:p>
          <w:p w:rsidR="005F0EA6" w:rsidRPr="00E13364" w:rsidRDefault="005F0EA6" w:rsidP="00E13364">
            <w:pPr>
              <w:pStyle w:val="TableTextNoSpace"/>
              <w:rPr>
                <w:b/>
              </w:rPr>
            </w:pPr>
            <w:r w:rsidRPr="00E13364">
              <w:rPr>
                <w:b/>
              </w:rPr>
              <w:t>CRIM001</w:t>
            </w:r>
          </w:p>
        </w:tc>
        <w:tc>
          <w:tcPr>
            <w:tcW w:w="0" w:type="auto"/>
            <w:shd w:val="clear" w:color="auto" w:fill="DBE5F1" w:themeFill="accent1" w:themeFillTint="33"/>
            <w:vAlign w:val="center"/>
            <w:hideMark/>
          </w:tcPr>
          <w:p w:rsidR="005F0EA6" w:rsidRPr="00E13364" w:rsidRDefault="005F0EA6" w:rsidP="00E13364">
            <w:pPr>
              <w:pStyle w:val="TableTextNoSpace"/>
              <w:rPr>
                <w:b/>
              </w:rPr>
            </w:pPr>
            <w:r w:rsidRPr="00E13364">
              <w:rPr>
                <w:b/>
              </w:rPr>
              <w:t>Children who are Third Country Nationals. Number of MS in total in brackets.</w:t>
            </w:r>
          </w:p>
        </w:tc>
        <w:tc>
          <w:tcPr>
            <w:tcW w:w="0" w:type="auto"/>
            <w:shd w:val="clear" w:color="auto" w:fill="DBE5F1" w:themeFill="accent1" w:themeFillTint="33"/>
            <w:vAlign w:val="center"/>
            <w:hideMark/>
          </w:tcPr>
          <w:p w:rsidR="005F0EA6" w:rsidRPr="00E13364" w:rsidRDefault="005F0EA6" w:rsidP="00E13364">
            <w:pPr>
              <w:pStyle w:val="TableTextNoSpace"/>
              <w:rPr>
                <w:b/>
              </w:rPr>
            </w:pPr>
            <w:r w:rsidRPr="00E13364">
              <w:rPr>
                <w:b/>
              </w:rPr>
              <w:t xml:space="preserve">Children who are EU nationals from other Member States </w:t>
            </w:r>
          </w:p>
          <w:p w:rsidR="005F0EA6" w:rsidRPr="00E13364" w:rsidRDefault="005F0EA6" w:rsidP="00E13364">
            <w:pPr>
              <w:pStyle w:val="TableTextNoSpace"/>
              <w:rPr>
                <w:b/>
              </w:rPr>
            </w:pPr>
            <w:r w:rsidRPr="00E13364">
              <w:rPr>
                <w:b/>
              </w:rPr>
              <w:t>Number of MS in total in brackets.</w:t>
            </w:r>
          </w:p>
        </w:tc>
        <w:tc>
          <w:tcPr>
            <w:tcW w:w="0" w:type="auto"/>
            <w:shd w:val="clear" w:color="auto" w:fill="DBE5F1" w:themeFill="accent1" w:themeFillTint="33"/>
            <w:vAlign w:val="center"/>
            <w:hideMark/>
          </w:tcPr>
          <w:p w:rsidR="005F0EA6" w:rsidRPr="00E13364" w:rsidRDefault="005F0EA6" w:rsidP="00E13364">
            <w:pPr>
              <w:pStyle w:val="TableTextNoSpace"/>
              <w:rPr>
                <w:b/>
              </w:rPr>
            </w:pPr>
            <w:r w:rsidRPr="00E13364">
              <w:rPr>
                <w:b/>
              </w:rPr>
              <w:t>Children aged above Minimum Age of Criminal Responsibility (MACR)</w:t>
            </w:r>
          </w:p>
          <w:p w:rsidR="005F0EA6" w:rsidRPr="00E13364" w:rsidRDefault="005F0EA6" w:rsidP="00E13364">
            <w:pPr>
              <w:pStyle w:val="TableTextNoSpace"/>
              <w:rPr>
                <w:b/>
              </w:rPr>
            </w:pPr>
            <w:r w:rsidRPr="00E13364">
              <w:rPr>
                <w:b/>
              </w:rPr>
              <w:t>CRIM002</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EU 28</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505,820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95</w:t>
            </w:r>
            <w:r>
              <w:rPr>
                <w:rFonts w:eastAsia="Times New Roman" w:cs="Arial"/>
                <w:color w:val="000000"/>
                <w:sz w:val="16"/>
                <w:szCs w:val="16"/>
                <w:lang w:eastAsia="en-GB"/>
              </w:rPr>
              <w:t>,</w:t>
            </w:r>
            <w:r w:rsidRPr="0085036F">
              <w:rPr>
                <w:rFonts w:eastAsia="Times New Roman" w:cs="Arial"/>
                <w:color w:val="000000"/>
                <w:sz w:val="16"/>
                <w:szCs w:val="16"/>
                <w:lang w:eastAsia="en-GB"/>
              </w:rPr>
              <w:t>908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(24) 3,420</w:t>
            </w:r>
            <w:r>
              <w:rPr>
                <w:rFonts w:eastAsia="Times New Roman" w:cs="Arial"/>
                <w:color w:val="000000"/>
                <w:sz w:val="16"/>
                <w:szCs w:val="16"/>
                <w:lang w:eastAsia="en-GB"/>
              </w:rPr>
              <w:t>,000</w:t>
            </w: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(25) 1,360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25,252</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AT</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8,375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1,542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113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390</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BE</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10,840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2,214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259</w:t>
            </w:r>
            <w:r>
              <w:rPr>
                <w:rFonts w:eastAsia="Times New Roman" w:cs="Arial"/>
                <w:color w:val="000000"/>
                <w:sz w:val="16"/>
                <w:szCs w:val="16"/>
                <w:lang w:eastAsia="en-GB"/>
              </w:rPr>
              <w:t>,000 (*)</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BG</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7,564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1,259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299</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CY</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819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178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49</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CZ</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10,507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1,847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353</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DE</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81,802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13,482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786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254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3,239</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DK</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5,535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1,216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214</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EE</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1,340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247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57</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EL</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11,305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1,960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185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336</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ES</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45,989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8,185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684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341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1,735</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FI</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5,351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1,088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200</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FR</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64,659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14,369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522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161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3,942</w:t>
            </w:r>
            <w:r>
              <w:rPr>
                <w:rFonts w:eastAsia="Times New Roman" w:cs="Arial"/>
                <w:color w:val="000000"/>
                <w:sz w:val="16"/>
                <w:szCs w:val="16"/>
                <w:lang w:eastAsia="en-GB"/>
              </w:rPr>
              <w:t>,000 (*)</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HR</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4,426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824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201</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HU</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10,014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1,827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461</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IE</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4,468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1,121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459</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IT</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60,340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10,228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698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217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2,309</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LT</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3,329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636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w:t>
            </w:r>
            <w:r>
              <w:rPr>
                <w:rFonts w:eastAsia="Times New Roman" w:cs="Arial"/>
                <w:color w:val="000000"/>
                <w:sz w:val="16"/>
                <w:szCs w:val="16"/>
                <w:lang w:eastAsia="en-GB"/>
              </w:rPr>
              <w:t>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176</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LU</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502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12</w:t>
            </w:r>
            <w:r>
              <w:rPr>
                <w:rFonts w:eastAsia="Times New Roman" w:cs="Arial"/>
                <w:color w:val="000000"/>
                <w:sz w:val="16"/>
                <w:szCs w:val="16"/>
                <w:lang w:eastAsia="en-GB"/>
              </w:rPr>
              <w:t>,000 (*)</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LV</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2,248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387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20</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99</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MT</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414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21</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NL</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16,575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3,514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34</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1,184</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PL</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38,167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7,231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1,448</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PT</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10,638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1,948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224</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RO</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21,462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3,967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937</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SE</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9,416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1,919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69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36</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354</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SI</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2,047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348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7</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w:t>
            </w:r>
            <w:r>
              <w:rPr>
                <w:rFonts w:eastAsia="Times New Roman" w:cs="Arial"/>
                <w:color w:val="000000"/>
                <w:sz w:val="16"/>
                <w:szCs w:val="16"/>
                <w:lang w:eastAsia="en-GB"/>
              </w:rPr>
              <w:t>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80</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SK</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5,425</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1,043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3</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273</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UK E&amp;W</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55,241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11,671</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5,166</w:t>
            </w:r>
            <w:r>
              <w:rPr>
                <w:rFonts w:eastAsia="Times New Roman" w:cs="Arial"/>
                <w:color w:val="000000"/>
                <w:sz w:val="16"/>
                <w:szCs w:val="16"/>
                <w:lang w:eastAsia="en-GB"/>
              </w:rPr>
              <w:t>,000</w:t>
            </w:r>
          </w:p>
        </w:tc>
      </w:tr>
      <w:tr w:rsidR="00E13364" w:rsidTr="00E13364">
        <w:trPr>
          <w:trHeight w:val="315"/>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UK NI</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1,799</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432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195</w:t>
            </w:r>
            <w:r>
              <w:rPr>
                <w:rFonts w:eastAsia="Times New Roman" w:cs="Arial"/>
                <w:color w:val="000000"/>
                <w:sz w:val="16"/>
                <w:szCs w:val="16"/>
                <w:lang w:eastAsia="en-GB"/>
              </w:rPr>
              <w:t>,000</w:t>
            </w:r>
          </w:p>
        </w:tc>
      </w:tr>
      <w:tr w:rsidR="00E13364" w:rsidTr="00E13364">
        <w:trPr>
          <w:trHeight w:val="137"/>
        </w:trPr>
        <w:tc>
          <w:tcPr>
            <w:tcW w:w="1106" w:type="dxa"/>
            <w:shd w:val="clear" w:color="auto" w:fill="DBE5F1" w:themeFill="accent1" w:themeFillTint="33"/>
            <w:vAlign w:val="center"/>
            <w:hideMark/>
          </w:tcPr>
          <w:p w:rsidR="005F0EA6" w:rsidRPr="00E13364" w:rsidRDefault="005F0EA6" w:rsidP="00E13364">
            <w:pPr>
              <w:pStyle w:val="TableTextNoSpace"/>
              <w:rPr>
                <w:rFonts w:cs="Arial"/>
                <w:b/>
                <w:sz w:val="16"/>
                <w:szCs w:val="16"/>
              </w:rPr>
            </w:pPr>
            <w:r w:rsidRPr="00E13364">
              <w:rPr>
                <w:rFonts w:cs="Arial"/>
                <w:b/>
                <w:sz w:val="16"/>
                <w:szCs w:val="16"/>
              </w:rPr>
              <w:t>UK S</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5,222</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1,038</w:t>
            </w:r>
            <w:r>
              <w:rPr>
                <w:rFonts w:eastAsia="Times New Roman" w:cs="Arial"/>
                <w:color w:val="000000"/>
                <w:sz w:val="16"/>
                <w:szCs w:val="16"/>
                <w:lang w:eastAsia="en-GB"/>
              </w:rPr>
              <w:t>,000</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 </w:t>
            </w:r>
          </w:p>
        </w:tc>
        <w:tc>
          <w:tcPr>
            <w:tcW w:w="0" w:type="auto"/>
            <w:shd w:val="clear" w:color="auto" w:fill="auto"/>
            <w:noWrap/>
            <w:vAlign w:val="center"/>
            <w:hideMark/>
          </w:tcPr>
          <w:p w:rsidR="005F0EA6" w:rsidRPr="0085036F" w:rsidRDefault="005F0EA6" w:rsidP="00E13364">
            <w:pPr>
              <w:pStyle w:val="TableTextNoSpace"/>
              <w:rPr>
                <w:rFonts w:eastAsia="Times New Roman" w:cs="Arial"/>
                <w:color w:val="000000"/>
                <w:sz w:val="16"/>
                <w:szCs w:val="16"/>
                <w:lang w:eastAsia="en-GB"/>
              </w:rPr>
            </w:pPr>
            <w:r w:rsidRPr="0085036F">
              <w:rPr>
                <w:rFonts w:eastAsia="Times New Roman" w:cs="Arial"/>
                <w:color w:val="000000"/>
                <w:sz w:val="16"/>
                <w:szCs w:val="16"/>
                <w:lang w:eastAsia="en-GB"/>
              </w:rPr>
              <w:t>580</w:t>
            </w:r>
            <w:r>
              <w:rPr>
                <w:rFonts w:eastAsia="Times New Roman" w:cs="Arial"/>
                <w:color w:val="000000"/>
                <w:sz w:val="16"/>
                <w:szCs w:val="16"/>
                <w:lang w:eastAsia="en-GB"/>
              </w:rPr>
              <w:t>,000</w:t>
            </w:r>
          </w:p>
        </w:tc>
      </w:tr>
    </w:tbl>
    <w:p w:rsidR="005F0EA6" w:rsidRPr="00E13364" w:rsidRDefault="005F0EA6" w:rsidP="00E13364">
      <w:pPr>
        <w:pStyle w:val="BodyText"/>
        <w:rPr>
          <w:i/>
        </w:rPr>
      </w:pPr>
      <w:r w:rsidRPr="00E13364">
        <w:rPr>
          <w:i/>
        </w:rPr>
        <w:t>Source: Population on 1 January by age, Eurostat; Population by age group and citizenship, Eurostat; National research to obtain the MACR (</w:t>
      </w:r>
      <w:hyperlink r:id="rId19" w:history="1">
        <w:r w:rsidRPr="00E13364">
          <w:rPr>
            <w:rStyle w:val="Hyperlink"/>
            <w:i/>
          </w:rPr>
          <w:t>HIDS1</w:t>
        </w:r>
      </w:hyperlink>
      <w:r w:rsidRPr="00E13364">
        <w:rPr>
          <w:i/>
        </w:rPr>
        <w:t xml:space="preserve"> and </w:t>
      </w:r>
      <w:hyperlink r:id="rId20" w:history="1">
        <w:r w:rsidRPr="00E13364">
          <w:rPr>
            <w:rStyle w:val="Hyperlink"/>
            <w:i/>
          </w:rPr>
          <w:t>CRIM012</w:t>
        </w:r>
      </w:hyperlink>
      <w:r w:rsidRPr="00E13364">
        <w:rPr>
          <w:i/>
        </w:rPr>
        <w:t>).</w:t>
      </w:r>
    </w:p>
    <w:p w:rsidR="005F0EA6" w:rsidRPr="00E13364" w:rsidRDefault="005F0EA6" w:rsidP="00E13364">
      <w:pPr>
        <w:pStyle w:val="BodyText"/>
        <w:rPr>
          <w:i/>
        </w:rPr>
      </w:pPr>
      <w:r w:rsidRPr="00E13364">
        <w:rPr>
          <w:i/>
        </w:rPr>
        <w:t xml:space="preserve">The following Member States Judiciaries did not have available data: Croatia, Luxembourg, Romania, England and Wales, Scotland and Northern Ireland. </w:t>
      </w:r>
    </w:p>
    <w:p w:rsidR="005F0EA6" w:rsidRPr="00E13364" w:rsidRDefault="005F0EA6" w:rsidP="00E13364">
      <w:pPr>
        <w:pStyle w:val="BodyText"/>
        <w:rPr>
          <w:i/>
        </w:rPr>
      </w:pPr>
      <w:r w:rsidRPr="00E13364">
        <w:rPr>
          <w:i/>
        </w:rPr>
        <w:t>Note: Blank = Not available; (*) According to the national contextual overviews (Section 2.3.1 in EU CRIM summary report) and the EU CRIM summary report (Section 3.1), children belonging to specific age groups in Belgium, France and Luxembourg could be potentially criminally liable, even if they are below 18. The age groups in those countries are as follows: 16-17 year olds in Belgium; 13-17 year olds in France; and 16-17 year olds in Luxembourg. Data included in Table A.2.2 of the EU summary report refer to these age groups.</w:t>
      </w:r>
    </w:p>
    <w:p w:rsidR="00F75B22" w:rsidRDefault="00F75B22" w:rsidP="00546996">
      <w:pPr>
        <w:pStyle w:val="AnnexTable"/>
        <w:tabs>
          <w:tab w:val="num" w:pos="2160"/>
        </w:tabs>
        <w:ind w:hanging="1877"/>
      </w:pPr>
      <w:bookmarkStart w:id="315" w:name="_Toc408908647"/>
      <w:r>
        <w:t>Number of c</w:t>
      </w:r>
      <w:r w:rsidRPr="00A43272">
        <w:t>hildren affected by parental divorce proceedings</w:t>
      </w:r>
      <w:bookmarkEnd w:id="308"/>
      <w:bookmarkEnd w:id="314"/>
      <w:r w:rsidR="00483B57">
        <w:t xml:space="preserve"> (CivAdm002)</w:t>
      </w:r>
      <w:bookmarkEnd w:id="315"/>
    </w:p>
    <w:tbl>
      <w:tblPr>
        <w:tblW w:w="4555" w:type="pct"/>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170"/>
        <w:gridCol w:w="1173"/>
        <w:gridCol w:w="2049"/>
        <w:gridCol w:w="1350"/>
        <w:gridCol w:w="2527"/>
      </w:tblGrid>
      <w:tr w:rsidR="00E13364" w:rsidTr="00E13364">
        <w:trPr>
          <w:tblHeader/>
        </w:trPr>
        <w:tc>
          <w:tcPr>
            <w:tcW w:w="708" w:type="pct"/>
            <w:shd w:val="clear" w:color="auto" w:fill="DBE5F1" w:themeFill="accent1" w:themeFillTint="33"/>
          </w:tcPr>
          <w:p w:rsidR="00064542" w:rsidRPr="00E13364" w:rsidRDefault="00064542" w:rsidP="00E13364">
            <w:pPr>
              <w:pStyle w:val="TableTextNoSpace"/>
              <w:rPr>
                <w:b/>
              </w:rPr>
            </w:pPr>
            <w:r w:rsidRPr="00E13364">
              <w:rPr>
                <w:b/>
              </w:rPr>
              <w:t>Member State</w:t>
            </w:r>
          </w:p>
        </w:tc>
        <w:tc>
          <w:tcPr>
            <w:tcW w:w="1948" w:type="pct"/>
            <w:gridSpan w:val="2"/>
            <w:shd w:val="clear" w:color="auto" w:fill="DBE5F1" w:themeFill="accent1" w:themeFillTint="33"/>
          </w:tcPr>
          <w:p w:rsidR="00064542" w:rsidRPr="00E13364" w:rsidRDefault="00064542" w:rsidP="00E13364">
            <w:pPr>
              <w:pStyle w:val="TableTextNoSpace"/>
              <w:rPr>
                <w:b/>
              </w:rPr>
            </w:pPr>
            <w:r w:rsidRPr="00E13364">
              <w:rPr>
                <w:b/>
              </w:rPr>
              <w:t>2008</w:t>
            </w:r>
          </w:p>
        </w:tc>
        <w:tc>
          <w:tcPr>
            <w:tcW w:w="2344" w:type="pct"/>
            <w:gridSpan w:val="2"/>
            <w:shd w:val="clear" w:color="auto" w:fill="DBE5F1" w:themeFill="accent1" w:themeFillTint="33"/>
          </w:tcPr>
          <w:p w:rsidR="00064542" w:rsidRPr="00E13364" w:rsidRDefault="00064542" w:rsidP="00E13364">
            <w:pPr>
              <w:pStyle w:val="TableTextNoSpace"/>
              <w:rPr>
                <w:b/>
              </w:rPr>
            </w:pPr>
            <w:r w:rsidRPr="00E13364">
              <w:rPr>
                <w:b/>
              </w:rPr>
              <w:t>2010</w:t>
            </w:r>
          </w:p>
        </w:tc>
      </w:tr>
      <w:tr w:rsidR="00E13364" w:rsidTr="00E13364">
        <w:trPr>
          <w:tblHeader/>
        </w:trPr>
        <w:tc>
          <w:tcPr>
            <w:tcW w:w="708" w:type="pct"/>
            <w:shd w:val="clear" w:color="auto" w:fill="DBE5F1" w:themeFill="accent1" w:themeFillTint="33"/>
          </w:tcPr>
          <w:p w:rsidR="00064542" w:rsidRPr="00E13364" w:rsidRDefault="00064542" w:rsidP="00E13364">
            <w:pPr>
              <w:pStyle w:val="TableTextNoSpace"/>
              <w:rPr>
                <w:b/>
              </w:rPr>
            </w:pPr>
          </w:p>
        </w:tc>
        <w:tc>
          <w:tcPr>
            <w:tcW w:w="709" w:type="pct"/>
            <w:shd w:val="clear" w:color="auto" w:fill="DBE5F1" w:themeFill="accent1" w:themeFillTint="33"/>
          </w:tcPr>
          <w:p w:rsidR="00064542" w:rsidRPr="00E13364" w:rsidRDefault="00064542" w:rsidP="00E13364">
            <w:pPr>
              <w:pStyle w:val="TableTextNoSpace"/>
              <w:rPr>
                <w:b/>
              </w:rPr>
            </w:pPr>
            <w:r w:rsidRPr="00E13364">
              <w:rPr>
                <w:b/>
              </w:rPr>
              <w:t>Number</w:t>
            </w:r>
          </w:p>
        </w:tc>
        <w:tc>
          <w:tcPr>
            <w:tcW w:w="1239" w:type="pct"/>
            <w:shd w:val="clear" w:color="auto" w:fill="DBE5F1" w:themeFill="accent1" w:themeFillTint="33"/>
          </w:tcPr>
          <w:p w:rsidR="00064542" w:rsidRPr="00E13364" w:rsidRDefault="00064542" w:rsidP="00E13364">
            <w:pPr>
              <w:pStyle w:val="TableTextNoSpace"/>
              <w:rPr>
                <w:b/>
              </w:rPr>
            </w:pPr>
            <w:r w:rsidRPr="00E13364">
              <w:rPr>
                <w:b/>
              </w:rPr>
              <w:t>Per 100,000 child population</w:t>
            </w:r>
            <w:r w:rsidRPr="00E13364">
              <w:rPr>
                <w:rStyle w:val="FootnoteReference"/>
                <w:b/>
              </w:rPr>
              <w:footnoteReference w:id="30"/>
            </w:r>
          </w:p>
        </w:tc>
        <w:tc>
          <w:tcPr>
            <w:tcW w:w="816" w:type="pct"/>
            <w:shd w:val="clear" w:color="auto" w:fill="DBE5F1" w:themeFill="accent1" w:themeFillTint="33"/>
          </w:tcPr>
          <w:p w:rsidR="00064542" w:rsidRPr="00E13364" w:rsidRDefault="00064542" w:rsidP="00E13364">
            <w:pPr>
              <w:pStyle w:val="TableTextNoSpace"/>
              <w:rPr>
                <w:b/>
              </w:rPr>
            </w:pPr>
            <w:r w:rsidRPr="00E13364">
              <w:rPr>
                <w:b/>
              </w:rPr>
              <w:t>Number</w:t>
            </w:r>
          </w:p>
        </w:tc>
        <w:tc>
          <w:tcPr>
            <w:tcW w:w="1527" w:type="pct"/>
            <w:shd w:val="clear" w:color="auto" w:fill="DBE5F1" w:themeFill="accent1" w:themeFillTint="33"/>
          </w:tcPr>
          <w:p w:rsidR="00064542" w:rsidRPr="00E13364" w:rsidRDefault="00064542" w:rsidP="00E13364">
            <w:pPr>
              <w:pStyle w:val="TableTextNoSpace"/>
              <w:rPr>
                <w:b/>
              </w:rPr>
            </w:pPr>
            <w:r w:rsidRPr="00E13364">
              <w:rPr>
                <w:b/>
              </w:rPr>
              <w:t>Per 100,000 child population</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BE</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17,066</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777.7</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13,028</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588.4</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CZ</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26,883</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1,446.0</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25,597</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1,385.9</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DE</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150,187</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1,075.1</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145,146</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1,076.6</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EE</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2,518</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996.4</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2,220</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898.9</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EL</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13,437</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689.6</w:t>
            </w:r>
          </w:p>
        </w:tc>
        <w:tc>
          <w:tcPr>
            <w:tcW w:w="816" w:type="pct"/>
            <w:shd w:val="clear" w:color="auto" w:fill="auto"/>
            <w:vAlign w:val="center"/>
          </w:tcPr>
          <w:p w:rsidR="00064542" w:rsidRPr="00F2479C" w:rsidRDefault="00064542" w:rsidP="00E13364">
            <w:pPr>
              <w:pStyle w:val="TableTextNoSpace"/>
              <w:rPr>
                <w:rFonts w:cs="Arial"/>
                <w:color w:val="000000"/>
                <w:sz w:val="20"/>
                <w:szCs w:val="20"/>
              </w:rPr>
            </w:pPr>
          </w:p>
        </w:tc>
        <w:tc>
          <w:tcPr>
            <w:tcW w:w="1527" w:type="pct"/>
            <w:shd w:val="clear" w:color="auto" w:fill="auto"/>
            <w:vAlign w:val="bottom"/>
          </w:tcPr>
          <w:p w:rsidR="00064542" w:rsidRPr="00F2479C" w:rsidRDefault="00064542" w:rsidP="00E13364">
            <w:pPr>
              <w:pStyle w:val="TableTextNoSpace"/>
              <w:rPr>
                <w:rFonts w:cs="Arial"/>
                <w:color w:val="000000"/>
                <w:sz w:val="20"/>
                <w:szCs w:val="20"/>
              </w:rPr>
            </w:pP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FR</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135,206</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946.4</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138,332</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962.7</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HR</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2,897</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351.8</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IT</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26,592</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262.0</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23,545</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230.2</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LV</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4,771</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1,168.8</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3,667</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947.1</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HU</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24,083</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1,280.4</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22,741</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1,244.9</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AT</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14,812</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938.5</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13,657</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885.8</w:t>
            </w:r>
          </w:p>
        </w:tc>
      </w:tr>
      <w:tr w:rsidR="00E13364" w:rsidTr="00E13364">
        <w:tc>
          <w:tcPr>
            <w:tcW w:w="708" w:type="pct"/>
            <w:shd w:val="clear" w:color="auto" w:fill="DBE5F1" w:themeFill="accent1" w:themeFillTint="33"/>
            <w:vAlign w:val="bottom"/>
          </w:tcPr>
          <w:p w:rsidR="00064542" w:rsidRPr="00E13364" w:rsidRDefault="00064542" w:rsidP="00E13364">
            <w:pPr>
              <w:pStyle w:val="TableTextNoSpace"/>
              <w:rPr>
                <w:rFonts w:cs="Arial"/>
                <w:b/>
                <w:color w:val="000000"/>
                <w:sz w:val="20"/>
                <w:szCs w:val="20"/>
              </w:rPr>
            </w:pPr>
            <w:r w:rsidRPr="00E13364">
              <w:rPr>
                <w:rFonts w:cs="Arial"/>
                <w:b/>
                <w:color w:val="000000"/>
                <w:sz w:val="20"/>
                <w:szCs w:val="20"/>
              </w:rPr>
              <w:t>UK – E&amp;W</w:t>
            </w:r>
          </w:p>
        </w:tc>
        <w:tc>
          <w:tcPr>
            <w:tcW w:w="709"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106,753</w:t>
            </w:r>
          </w:p>
        </w:tc>
        <w:tc>
          <w:tcPr>
            <w:tcW w:w="1239"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917.2</w:t>
            </w:r>
          </w:p>
        </w:tc>
        <w:tc>
          <w:tcPr>
            <w:tcW w:w="816" w:type="pct"/>
            <w:shd w:val="clear" w:color="auto" w:fill="auto"/>
            <w:vAlign w:val="center"/>
          </w:tcPr>
          <w:p w:rsidR="00064542" w:rsidRPr="00A43272" w:rsidRDefault="00064542" w:rsidP="00E13364">
            <w:pPr>
              <w:pStyle w:val="TableTextNoSpace"/>
              <w:rPr>
                <w:rFonts w:cs="Arial"/>
                <w:color w:val="000000"/>
                <w:sz w:val="20"/>
                <w:szCs w:val="20"/>
              </w:rPr>
            </w:pPr>
            <w:r w:rsidRPr="00A43272">
              <w:rPr>
                <w:rFonts w:cs="Arial"/>
                <w:color w:val="000000"/>
                <w:sz w:val="20"/>
                <w:szCs w:val="20"/>
              </w:rPr>
              <w:t>104,364</w:t>
            </w:r>
          </w:p>
        </w:tc>
        <w:tc>
          <w:tcPr>
            <w:tcW w:w="1527" w:type="pct"/>
            <w:shd w:val="clear" w:color="auto" w:fill="auto"/>
            <w:vAlign w:val="bottom"/>
          </w:tcPr>
          <w:p w:rsidR="00064542" w:rsidRPr="00A43272" w:rsidRDefault="00064542" w:rsidP="00E13364">
            <w:pPr>
              <w:pStyle w:val="TableTextNoSpace"/>
              <w:rPr>
                <w:rFonts w:cs="Arial"/>
                <w:color w:val="000000"/>
                <w:sz w:val="20"/>
                <w:szCs w:val="20"/>
              </w:rPr>
            </w:pPr>
            <w:r w:rsidRPr="00C06C24">
              <w:rPr>
                <w:rFonts w:cs="Arial"/>
                <w:color w:val="000000"/>
                <w:sz w:val="20"/>
                <w:szCs w:val="20"/>
              </w:rPr>
              <w:t>894.3</w:t>
            </w:r>
          </w:p>
        </w:tc>
      </w:tr>
      <w:tr w:rsidR="00E13364" w:rsidTr="00E13364">
        <w:tc>
          <w:tcPr>
            <w:tcW w:w="708" w:type="pct"/>
            <w:shd w:val="clear" w:color="auto" w:fill="DBE5F1" w:themeFill="accent1" w:themeFillTint="33"/>
            <w:vAlign w:val="bottom"/>
          </w:tcPr>
          <w:p w:rsidR="00064542" w:rsidRPr="00C06C24" w:rsidRDefault="00064542" w:rsidP="00E13364">
            <w:pPr>
              <w:pStyle w:val="TableTextNoSpace"/>
              <w:rPr>
                <w:rFonts w:cs="Arial"/>
                <w:b/>
                <w:color w:val="000000"/>
                <w:sz w:val="20"/>
                <w:szCs w:val="20"/>
              </w:rPr>
            </w:pPr>
            <w:r w:rsidRPr="00C06C24">
              <w:rPr>
                <w:rFonts w:cs="Arial"/>
                <w:b/>
                <w:color w:val="000000"/>
                <w:sz w:val="20"/>
                <w:szCs w:val="20"/>
              </w:rPr>
              <w:t>Total</w:t>
            </w:r>
          </w:p>
        </w:tc>
        <w:tc>
          <w:tcPr>
            <w:tcW w:w="709" w:type="pct"/>
            <w:shd w:val="clear" w:color="auto" w:fill="DBE5F1" w:themeFill="accent1" w:themeFillTint="33"/>
            <w:vAlign w:val="center"/>
          </w:tcPr>
          <w:p w:rsidR="00064542" w:rsidRPr="00C06C24" w:rsidRDefault="00064542" w:rsidP="00E13364">
            <w:pPr>
              <w:pStyle w:val="TableTextNoSpace"/>
              <w:rPr>
                <w:rFonts w:cs="Arial"/>
                <w:b/>
                <w:color w:val="000000"/>
                <w:sz w:val="20"/>
                <w:szCs w:val="20"/>
              </w:rPr>
            </w:pPr>
            <w:r w:rsidRPr="00C06C24">
              <w:rPr>
                <w:rFonts w:cs="Arial"/>
                <w:b/>
                <w:color w:val="000000"/>
                <w:sz w:val="20"/>
                <w:szCs w:val="20"/>
              </w:rPr>
              <w:t>522,308</w:t>
            </w:r>
          </w:p>
        </w:tc>
        <w:tc>
          <w:tcPr>
            <w:tcW w:w="1239" w:type="pct"/>
            <w:shd w:val="clear" w:color="auto" w:fill="DBE5F1" w:themeFill="accent1" w:themeFillTint="33"/>
            <w:vAlign w:val="center"/>
          </w:tcPr>
          <w:p w:rsidR="00064542" w:rsidRPr="00C06C24" w:rsidRDefault="00064542" w:rsidP="00E13364">
            <w:pPr>
              <w:pStyle w:val="TableTextNoSpace"/>
              <w:rPr>
                <w:rFonts w:cs="Arial"/>
                <w:b/>
                <w:color w:val="000000"/>
                <w:sz w:val="20"/>
                <w:szCs w:val="20"/>
              </w:rPr>
            </w:pPr>
            <w:r w:rsidRPr="00C06C24">
              <w:rPr>
                <w:rFonts w:cs="Arial"/>
                <w:b/>
                <w:color w:val="000000"/>
                <w:sz w:val="20"/>
                <w:szCs w:val="20"/>
              </w:rPr>
              <w:t>868.1</w:t>
            </w:r>
          </w:p>
        </w:tc>
        <w:tc>
          <w:tcPr>
            <w:tcW w:w="816" w:type="pct"/>
            <w:shd w:val="clear" w:color="auto" w:fill="DBE5F1" w:themeFill="accent1" w:themeFillTint="33"/>
            <w:vAlign w:val="center"/>
          </w:tcPr>
          <w:p w:rsidR="00064542" w:rsidRPr="00C06C24" w:rsidRDefault="00064542" w:rsidP="00E13364">
            <w:pPr>
              <w:pStyle w:val="TableTextNoSpace"/>
              <w:rPr>
                <w:rFonts w:cs="Arial"/>
                <w:b/>
                <w:color w:val="000000"/>
                <w:sz w:val="20"/>
                <w:szCs w:val="20"/>
              </w:rPr>
            </w:pPr>
            <w:r w:rsidRPr="00C06C24">
              <w:rPr>
                <w:rFonts w:cs="Arial"/>
                <w:b/>
                <w:color w:val="000000"/>
                <w:sz w:val="20"/>
                <w:szCs w:val="20"/>
              </w:rPr>
              <w:t>495,194</w:t>
            </w:r>
          </w:p>
        </w:tc>
        <w:tc>
          <w:tcPr>
            <w:tcW w:w="1527" w:type="pct"/>
            <w:shd w:val="clear" w:color="auto" w:fill="DBE5F1" w:themeFill="accent1" w:themeFillTint="33"/>
          </w:tcPr>
          <w:p w:rsidR="00064542" w:rsidRPr="00C06C24" w:rsidRDefault="00064542" w:rsidP="00E13364">
            <w:pPr>
              <w:pStyle w:val="TableTextNoSpace"/>
              <w:rPr>
                <w:rFonts w:cs="Arial"/>
                <w:b/>
                <w:color w:val="000000"/>
                <w:sz w:val="20"/>
                <w:szCs w:val="20"/>
              </w:rPr>
            </w:pPr>
            <w:r w:rsidRPr="00C06C24">
              <w:rPr>
                <w:rFonts w:cs="Arial"/>
                <w:b/>
                <w:color w:val="000000"/>
                <w:sz w:val="20"/>
                <w:szCs w:val="20"/>
              </w:rPr>
              <w:t>844.5</w:t>
            </w:r>
          </w:p>
        </w:tc>
      </w:tr>
    </w:tbl>
    <w:p w:rsidR="00695DB0" w:rsidRDefault="00695DB0">
      <w:pPr>
        <w:spacing w:before="0" w:after="0" w:line="240" w:lineRule="auto"/>
      </w:pPr>
    </w:p>
    <w:p w:rsidR="00695DB0" w:rsidRPr="00E13364" w:rsidRDefault="005F0EA6" w:rsidP="00E13364">
      <w:pPr>
        <w:pStyle w:val="BodyText"/>
        <w:rPr>
          <w:i/>
        </w:rPr>
      </w:pPr>
      <w:r w:rsidRPr="00E13364">
        <w:rPr>
          <w:i/>
        </w:rPr>
        <w:t xml:space="preserve">Source: National research presented in the </w:t>
      </w:r>
      <w:hyperlink r:id="rId21" w:history="1">
        <w:r w:rsidRPr="00E13364">
          <w:rPr>
            <w:rStyle w:val="Hyperlink"/>
            <w:i/>
          </w:rPr>
          <w:t>online database</w:t>
        </w:r>
      </w:hyperlink>
      <w:r w:rsidRPr="00E13364">
        <w:rPr>
          <w:i/>
        </w:rPr>
        <w:t>.</w:t>
      </w:r>
      <w:r w:rsidR="00A83745" w:rsidRPr="00E13364">
        <w:rPr>
          <w:i/>
        </w:rPr>
        <w:t xml:space="preserve"> Note: Blank = Not available </w:t>
      </w:r>
      <w:r w:rsidR="00695DB0" w:rsidRPr="00E13364">
        <w:rPr>
          <w:i/>
        </w:rPr>
        <w:br w:type="page"/>
      </w:r>
    </w:p>
    <w:p w:rsidR="00F75B22" w:rsidRDefault="00F75B22" w:rsidP="00CC1B18">
      <w:pPr>
        <w:pStyle w:val="AnnexTable"/>
        <w:ind w:left="2160" w:hanging="1350"/>
      </w:pPr>
      <w:bookmarkStart w:id="316" w:name="_Ref394595699"/>
      <w:bookmarkStart w:id="317" w:name="_Toc408908648"/>
      <w:r>
        <w:t>Number of c</w:t>
      </w:r>
      <w:r w:rsidRPr="00370001">
        <w:t>ases concerning international abductions of children</w:t>
      </w:r>
      <w:bookmarkEnd w:id="316"/>
      <w:r>
        <w:t xml:space="preserve"> </w:t>
      </w:r>
      <w:r w:rsidR="00483B57">
        <w:t>(CivAdm007)</w:t>
      </w:r>
      <w:r w:rsidR="00744362">
        <w:rPr>
          <w:rStyle w:val="FootnoteReference"/>
        </w:rPr>
        <w:footnoteReference w:id="31"/>
      </w:r>
      <w:bookmarkEnd w:id="317"/>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621"/>
        <w:gridCol w:w="1172"/>
        <w:gridCol w:w="1893"/>
        <w:gridCol w:w="1622"/>
        <w:gridCol w:w="2052"/>
      </w:tblGrid>
      <w:tr w:rsidR="00064542" w:rsidRPr="00064542" w:rsidTr="00E13364">
        <w:trPr>
          <w:tblHeader/>
        </w:trPr>
        <w:tc>
          <w:tcPr>
            <w:tcW w:w="970" w:type="pct"/>
            <w:shd w:val="clear" w:color="auto" w:fill="DBE5F1" w:themeFill="accent1" w:themeFillTint="33"/>
          </w:tcPr>
          <w:p w:rsidR="00064542" w:rsidRPr="00E13364" w:rsidRDefault="00064542" w:rsidP="00E13364">
            <w:pPr>
              <w:pStyle w:val="TableTextNoSpace"/>
              <w:rPr>
                <w:b/>
              </w:rPr>
            </w:pPr>
            <w:r w:rsidRPr="00E13364">
              <w:rPr>
                <w:b/>
              </w:rPr>
              <w:t>Member State</w:t>
            </w:r>
          </w:p>
        </w:tc>
        <w:tc>
          <w:tcPr>
            <w:tcW w:w="1833" w:type="pct"/>
            <w:gridSpan w:val="2"/>
            <w:shd w:val="clear" w:color="auto" w:fill="DBE5F1" w:themeFill="accent1" w:themeFillTint="33"/>
          </w:tcPr>
          <w:p w:rsidR="00064542" w:rsidRPr="00E13364" w:rsidRDefault="00064542" w:rsidP="00E13364">
            <w:pPr>
              <w:pStyle w:val="TableTextNoSpace"/>
              <w:rPr>
                <w:b/>
              </w:rPr>
            </w:pPr>
            <w:r w:rsidRPr="00E13364">
              <w:rPr>
                <w:b/>
              </w:rPr>
              <w:t>2008</w:t>
            </w:r>
          </w:p>
        </w:tc>
        <w:tc>
          <w:tcPr>
            <w:tcW w:w="2197" w:type="pct"/>
            <w:gridSpan w:val="2"/>
            <w:shd w:val="clear" w:color="auto" w:fill="DBE5F1" w:themeFill="accent1" w:themeFillTint="33"/>
          </w:tcPr>
          <w:p w:rsidR="00064542" w:rsidRPr="00E13364" w:rsidRDefault="00064542" w:rsidP="00E13364">
            <w:pPr>
              <w:pStyle w:val="TableTextNoSpace"/>
              <w:rPr>
                <w:b/>
              </w:rPr>
            </w:pPr>
            <w:r w:rsidRPr="00E13364">
              <w:rPr>
                <w:b/>
              </w:rPr>
              <w:t>2010</w:t>
            </w:r>
          </w:p>
        </w:tc>
      </w:tr>
      <w:tr w:rsidR="00E13364" w:rsidRPr="00064542" w:rsidTr="00E13364">
        <w:trPr>
          <w:tblHeader/>
        </w:trPr>
        <w:tc>
          <w:tcPr>
            <w:tcW w:w="970" w:type="pct"/>
            <w:shd w:val="clear" w:color="auto" w:fill="DBE5F1" w:themeFill="accent1" w:themeFillTint="33"/>
          </w:tcPr>
          <w:p w:rsidR="00064542" w:rsidRPr="00E13364" w:rsidRDefault="00064542" w:rsidP="00E13364">
            <w:pPr>
              <w:pStyle w:val="TableTextNoSpace"/>
              <w:rPr>
                <w:b/>
              </w:rPr>
            </w:pPr>
          </w:p>
        </w:tc>
        <w:tc>
          <w:tcPr>
            <w:tcW w:w="701" w:type="pct"/>
            <w:shd w:val="clear" w:color="auto" w:fill="DBE5F1" w:themeFill="accent1" w:themeFillTint="33"/>
          </w:tcPr>
          <w:p w:rsidR="00064542" w:rsidRPr="00E13364" w:rsidRDefault="00064542" w:rsidP="00E13364">
            <w:pPr>
              <w:pStyle w:val="TableTextNoSpace"/>
              <w:rPr>
                <w:b/>
              </w:rPr>
            </w:pPr>
            <w:r w:rsidRPr="00E13364">
              <w:rPr>
                <w:b/>
              </w:rPr>
              <w:t>Number</w:t>
            </w:r>
          </w:p>
        </w:tc>
        <w:tc>
          <w:tcPr>
            <w:tcW w:w="1131" w:type="pct"/>
            <w:shd w:val="clear" w:color="auto" w:fill="DBE5F1" w:themeFill="accent1" w:themeFillTint="33"/>
          </w:tcPr>
          <w:p w:rsidR="00064542" w:rsidRPr="00E13364" w:rsidRDefault="00064542" w:rsidP="00E13364">
            <w:pPr>
              <w:pStyle w:val="TableTextNoSpace"/>
              <w:rPr>
                <w:b/>
              </w:rPr>
            </w:pPr>
            <w:r w:rsidRPr="00E13364">
              <w:rPr>
                <w:b/>
              </w:rPr>
              <w:t>Per 100,000 child population</w:t>
            </w:r>
          </w:p>
        </w:tc>
        <w:tc>
          <w:tcPr>
            <w:tcW w:w="970" w:type="pct"/>
            <w:shd w:val="clear" w:color="auto" w:fill="DBE5F1" w:themeFill="accent1" w:themeFillTint="33"/>
          </w:tcPr>
          <w:p w:rsidR="00064542" w:rsidRPr="00E13364" w:rsidRDefault="00064542" w:rsidP="00E13364">
            <w:pPr>
              <w:pStyle w:val="TableTextNoSpace"/>
              <w:rPr>
                <w:b/>
              </w:rPr>
            </w:pPr>
            <w:r w:rsidRPr="00E13364">
              <w:rPr>
                <w:b/>
              </w:rPr>
              <w:t>Number</w:t>
            </w:r>
          </w:p>
        </w:tc>
        <w:tc>
          <w:tcPr>
            <w:tcW w:w="1227" w:type="pct"/>
            <w:shd w:val="clear" w:color="auto" w:fill="DBE5F1" w:themeFill="accent1" w:themeFillTint="33"/>
          </w:tcPr>
          <w:p w:rsidR="00064542" w:rsidRPr="00E13364" w:rsidRDefault="00064542" w:rsidP="00E13364">
            <w:pPr>
              <w:pStyle w:val="TableTextNoSpace"/>
              <w:rPr>
                <w:b/>
              </w:rPr>
            </w:pPr>
            <w:r w:rsidRPr="00E13364">
              <w:rPr>
                <w:b/>
              </w:rPr>
              <w:t>Per 100,000 child population</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BE</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145</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6.6</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136</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6.1</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BG</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33</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2.6</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30</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2.4</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CZ</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28</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1.5</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44</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2.4</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DK</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35</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2.9</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41</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3.4</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DE</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401</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2.9</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367</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2.7</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EE</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12</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4.7</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17</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6.9</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IE</w:t>
            </w:r>
          </w:p>
        </w:tc>
        <w:tc>
          <w:tcPr>
            <w:tcW w:w="701" w:type="pct"/>
            <w:shd w:val="clear" w:color="auto" w:fill="auto"/>
            <w:vAlign w:val="center"/>
          </w:tcPr>
          <w:p w:rsidR="00064542" w:rsidRPr="00F2479C" w:rsidRDefault="00064542" w:rsidP="00E13364">
            <w:pPr>
              <w:pStyle w:val="TableTextNoSpace"/>
              <w:rPr>
                <w:rFonts w:cs="Arial"/>
                <w:color w:val="000000"/>
                <w:szCs w:val="20"/>
              </w:rPr>
            </w:pPr>
          </w:p>
        </w:tc>
        <w:tc>
          <w:tcPr>
            <w:tcW w:w="1131" w:type="pct"/>
            <w:shd w:val="clear" w:color="auto" w:fill="auto"/>
            <w:vAlign w:val="bottom"/>
          </w:tcPr>
          <w:p w:rsidR="00064542" w:rsidRPr="00F2479C" w:rsidRDefault="00064542" w:rsidP="00E13364">
            <w:pPr>
              <w:pStyle w:val="TableTextNoSpace"/>
              <w:rPr>
                <w:rFonts w:cs="Arial"/>
                <w:color w:val="000000"/>
                <w:szCs w:val="20"/>
              </w:rPr>
            </w:pPr>
          </w:p>
        </w:tc>
        <w:tc>
          <w:tcPr>
            <w:tcW w:w="970" w:type="pct"/>
            <w:shd w:val="clear" w:color="auto" w:fill="auto"/>
            <w:vAlign w:val="center"/>
          </w:tcPr>
          <w:p w:rsidR="00064542" w:rsidRPr="00F2479C" w:rsidRDefault="00064542" w:rsidP="00E13364">
            <w:pPr>
              <w:pStyle w:val="TableTextNoSpace"/>
              <w:rPr>
                <w:rFonts w:cs="Arial"/>
                <w:color w:val="000000"/>
                <w:szCs w:val="20"/>
              </w:rPr>
            </w:pPr>
            <w:r w:rsidRPr="00F2479C">
              <w:rPr>
                <w:rFonts w:cs="Arial"/>
                <w:color w:val="000000"/>
                <w:szCs w:val="20"/>
              </w:rPr>
              <w:t>140</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12.5</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ES</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208</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2.6</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214</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2.6</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FR</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226</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1.6</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280</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1.9</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IT</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197</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1.9</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161</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1.6</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CY</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21</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12.2</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24</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13.5</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LV</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8</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2.0</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0.8</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LT</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21</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3.1</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17</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2.7</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LU</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6</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5.7</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16</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14.9</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HU</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97</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5.2</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127</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7.0</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MT</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3.6</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5</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6.2</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NL</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132</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3.7</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160</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4.6</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AT</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37</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2.3</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63</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4.1</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PL</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138</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1.8</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109</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1.5</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RO</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36</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0.9</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29</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0.7</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SI</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6</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1.7</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0</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0.0</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SK</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159</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14.7</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145</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13.9</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FI</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12</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1.1</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18</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1.7</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SE</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62</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3.2</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70</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3.6</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UK</w:t>
            </w:r>
          </w:p>
        </w:tc>
        <w:tc>
          <w:tcPr>
            <w:tcW w:w="701"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369</w:t>
            </w:r>
          </w:p>
        </w:tc>
        <w:tc>
          <w:tcPr>
            <w:tcW w:w="113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2.8</w:t>
            </w:r>
          </w:p>
        </w:tc>
        <w:tc>
          <w:tcPr>
            <w:tcW w:w="970"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379</w:t>
            </w:r>
          </w:p>
        </w:tc>
        <w:tc>
          <w:tcPr>
            <w:tcW w:w="122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2.9</w:t>
            </w:r>
          </w:p>
        </w:tc>
      </w:tr>
      <w:tr w:rsidR="00E13364" w:rsidRPr="00064542" w:rsidTr="00E13364">
        <w:tc>
          <w:tcPr>
            <w:tcW w:w="970"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Total</w:t>
            </w:r>
          </w:p>
        </w:tc>
        <w:tc>
          <w:tcPr>
            <w:tcW w:w="701" w:type="pct"/>
            <w:shd w:val="clear" w:color="auto" w:fill="DBE5F1" w:themeFill="accent1" w:themeFillTint="33"/>
            <w:vAlign w:val="center"/>
          </w:tcPr>
          <w:p w:rsidR="00064542" w:rsidRPr="00E13364" w:rsidRDefault="00064542" w:rsidP="00E13364">
            <w:pPr>
              <w:pStyle w:val="TableTextNoSpace"/>
              <w:rPr>
                <w:rFonts w:cs="Arial"/>
                <w:b/>
                <w:color w:val="000000"/>
                <w:szCs w:val="20"/>
              </w:rPr>
            </w:pPr>
            <w:r w:rsidRPr="00E13364">
              <w:rPr>
                <w:rFonts w:cs="Arial"/>
                <w:b/>
                <w:color w:val="000000"/>
                <w:szCs w:val="20"/>
              </w:rPr>
              <w:t>2,392</w:t>
            </w:r>
          </w:p>
        </w:tc>
        <w:tc>
          <w:tcPr>
            <w:tcW w:w="1131" w:type="pct"/>
            <w:shd w:val="clear" w:color="auto" w:fill="DBE5F1" w:themeFill="accent1" w:themeFillTint="33"/>
            <w:vAlign w:val="center"/>
          </w:tcPr>
          <w:p w:rsidR="00064542" w:rsidRPr="00E13364" w:rsidRDefault="00064542" w:rsidP="00E13364">
            <w:pPr>
              <w:pStyle w:val="TableTextNoSpace"/>
              <w:rPr>
                <w:rFonts w:cs="Arial"/>
                <w:b/>
                <w:color w:val="000000"/>
                <w:szCs w:val="20"/>
              </w:rPr>
            </w:pPr>
            <w:r w:rsidRPr="00E13364">
              <w:rPr>
                <w:rFonts w:cs="Arial"/>
                <w:b/>
                <w:color w:val="000000"/>
                <w:szCs w:val="20"/>
              </w:rPr>
              <w:t>2.64</w:t>
            </w:r>
          </w:p>
        </w:tc>
        <w:tc>
          <w:tcPr>
            <w:tcW w:w="970" w:type="pct"/>
            <w:shd w:val="clear" w:color="auto" w:fill="DBE5F1" w:themeFill="accent1" w:themeFillTint="33"/>
            <w:vAlign w:val="center"/>
          </w:tcPr>
          <w:p w:rsidR="00064542" w:rsidRPr="00E13364" w:rsidRDefault="00064542" w:rsidP="00E13364">
            <w:pPr>
              <w:pStyle w:val="TableTextNoSpace"/>
              <w:rPr>
                <w:rFonts w:cs="Arial"/>
                <w:b/>
                <w:color w:val="000000"/>
                <w:szCs w:val="20"/>
              </w:rPr>
            </w:pPr>
            <w:r w:rsidRPr="00E13364">
              <w:rPr>
                <w:rFonts w:cs="Arial"/>
                <w:b/>
                <w:color w:val="000000"/>
                <w:szCs w:val="20"/>
              </w:rPr>
              <w:t>2,595</w:t>
            </w:r>
          </w:p>
        </w:tc>
        <w:tc>
          <w:tcPr>
            <w:tcW w:w="1227" w:type="pct"/>
            <w:shd w:val="clear" w:color="auto" w:fill="DBE5F1" w:themeFill="accent1" w:themeFillTint="33"/>
          </w:tcPr>
          <w:p w:rsidR="00064542" w:rsidRPr="00E13364" w:rsidRDefault="00064542" w:rsidP="00E13364">
            <w:pPr>
              <w:pStyle w:val="TableTextNoSpace"/>
              <w:rPr>
                <w:rFonts w:cs="Arial"/>
                <w:b/>
                <w:color w:val="000000"/>
                <w:szCs w:val="20"/>
              </w:rPr>
            </w:pPr>
            <w:r w:rsidRPr="00E13364">
              <w:rPr>
                <w:rFonts w:cs="Arial"/>
                <w:b/>
                <w:color w:val="000000"/>
                <w:szCs w:val="20"/>
              </w:rPr>
              <w:t>2.85</w:t>
            </w:r>
          </w:p>
        </w:tc>
      </w:tr>
    </w:tbl>
    <w:p w:rsidR="00F75B22" w:rsidRPr="005A1057" w:rsidRDefault="005F0EA6" w:rsidP="005A1057">
      <w:pPr>
        <w:pStyle w:val="BodyText"/>
        <w:rPr>
          <w:i/>
        </w:rPr>
      </w:pPr>
      <w:r w:rsidRPr="00E13364">
        <w:rPr>
          <w:i/>
        </w:rPr>
        <w:t xml:space="preserve">Source: National research presented in the </w:t>
      </w:r>
      <w:hyperlink r:id="rId22" w:history="1">
        <w:r w:rsidRPr="00A5732C">
          <w:rPr>
            <w:rStyle w:val="Hyperlink"/>
            <w:i/>
          </w:rPr>
          <w:t>online database</w:t>
        </w:r>
      </w:hyperlink>
      <w:r w:rsidRPr="00E13364">
        <w:rPr>
          <w:i/>
        </w:rPr>
        <w:t>.</w:t>
      </w:r>
      <w:r w:rsidR="00A83745" w:rsidRPr="00E13364">
        <w:rPr>
          <w:i/>
        </w:rPr>
        <w:t xml:space="preserve"> Note: Blank = Not available</w:t>
      </w:r>
    </w:p>
    <w:p w:rsidR="00F75B22" w:rsidRDefault="00F75B22" w:rsidP="00E13364">
      <w:pPr>
        <w:pStyle w:val="AnnexTable"/>
        <w:ind w:left="2160" w:hanging="1350"/>
      </w:pPr>
      <w:bookmarkStart w:id="318" w:name="_Ref394595713"/>
      <w:bookmarkStart w:id="319" w:name="_Toc408908649"/>
      <w:r>
        <w:t>Number of c</w:t>
      </w:r>
      <w:r w:rsidRPr="00912F0A">
        <w:t>hildren subject to judicial decisions on national adoptions</w:t>
      </w:r>
      <w:bookmarkEnd w:id="318"/>
      <w:r w:rsidR="00483B57">
        <w:t xml:space="preserve"> (CivAdm012)</w:t>
      </w:r>
      <w:bookmarkEnd w:id="319"/>
    </w:p>
    <w:tbl>
      <w:tblPr>
        <w:tblW w:w="4555" w:type="pct"/>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262"/>
        <w:gridCol w:w="1442"/>
        <w:gridCol w:w="2163"/>
        <w:gridCol w:w="1351"/>
        <w:gridCol w:w="2051"/>
      </w:tblGrid>
      <w:tr w:rsidR="00064542" w:rsidRPr="00064542" w:rsidTr="005A1057">
        <w:trPr>
          <w:tblHeader/>
        </w:trPr>
        <w:tc>
          <w:tcPr>
            <w:tcW w:w="763" w:type="pct"/>
            <w:shd w:val="clear" w:color="auto" w:fill="DBE5F1" w:themeFill="accent1" w:themeFillTint="33"/>
          </w:tcPr>
          <w:p w:rsidR="00064542" w:rsidRPr="00E13364" w:rsidRDefault="00064542" w:rsidP="00E13364">
            <w:pPr>
              <w:pStyle w:val="TableTextNoSpace"/>
              <w:rPr>
                <w:b/>
              </w:rPr>
            </w:pPr>
            <w:r w:rsidRPr="00E13364">
              <w:rPr>
                <w:b/>
              </w:rPr>
              <w:t>Member State</w:t>
            </w:r>
          </w:p>
        </w:tc>
        <w:tc>
          <w:tcPr>
            <w:tcW w:w="2180" w:type="pct"/>
            <w:gridSpan w:val="2"/>
            <w:shd w:val="clear" w:color="auto" w:fill="DBE5F1" w:themeFill="accent1" w:themeFillTint="33"/>
          </w:tcPr>
          <w:p w:rsidR="00064542" w:rsidRPr="00E13364" w:rsidRDefault="00064542" w:rsidP="00E13364">
            <w:pPr>
              <w:pStyle w:val="TableTextNoSpace"/>
              <w:rPr>
                <w:b/>
              </w:rPr>
            </w:pPr>
            <w:r w:rsidRPr="00E13364">
              <w:rPr>
                <w:b/>
              </w:rPr>
              <w:t>2008</w:t>
            </w:r>
          </w:p>
        </w:tc>
        <w:tc>
          <w:tcPr>
            <w:tcW w:w="2057" w:type="pct"/>
            <w:gridSpan w:val="2"/>
            <w:shd w:val="clear" w:color="auto" w:fill="DBE5F1" w:themeFill="accent1" w:themeFillTint="33"/>
          </w:tcPr>
          <w:p w:rsidR="00064542" w:rsidRPr="00E13364" w:rsidRDefault="00064542" w:rsidP="00E13364">
            <w:pPr>
              <w:pStyle w:val="TableTextNoSpace"/>
              <w:rPr>
                <w:b/>
              </w:rPr>
            </w:pPr>
            <w:r w:rsidRPr="00E13364">
              <w:rPr>
                <w:b/>
              </w:rPr>
              <w:t>2010</w:t>
            </w:r>
          </w:p>
        </w:tc>
      </w:tr>
      <w:tr w:rsidR="005A1057" w:rsidRPr="00064542" w:rsidTr="005A1057">
        <w:trPr>
          <w:tblHeader/>
        </w:trPr>
        <w:tc>
          <w:tcPr>
            <w:tcW w:w="763" w:type="pct"/>
            <w:shd w:val="clear" w:color="auto" w:fill="DBE5F1" w:themeFill="accent1" w:themeFillTint="33"/>
          </w:tcPr>
          <w:p w:rsidR="00064542" w:rsidRPr="00E13364" w:rsidRDefault="00064542" w:rsidP="00E13364">
            <w:pPr>
              <w:pStyle w:val="TableTextNoSpace"/>
              <w:rPr>
                <w:b/>
              </w:rPr>
            </w:pPr>
          </w:p>
        </w:tc>
        <w:tc>
          <w:tcPr>
            <w:tcW w:w="872" w:type="pct"/>
            <w:shd w:val="clear" w:color="auto" w:fill="DBE5F1" w:themeFill="accent1" w:themeFillTint="33"/>
          </w:tcPr>
          <w:p w:rsidR="00064542" w:rsidRPr="00E13364" w:rsidRDefault="00064542" w:rsidP="00E13364">
            <w:pPr>
              <w:pStyle w:val="TableTextNoSpace"/>
              <w:rPr>
                <w:b/>
              </w:rPr>
            </w:pPr>
            <w:r w:rsidRPr="00E13364">
              <w:rPr>
                <w:b/>
              </w:rPr>
              <w:t>Number</w:t>
            </w:r>
          </w:p>
        </w:tc>
        <w:tc>
          <w:tcPr>
            <w:tcW w:w="1307" w:type="pct"/>
            <w:shd w:val="clear" w:color="auto" w:fill="DBE5F1" w:themeFill="accent1" w:themeFillTint="33"/>
          </w:tcPr>
          <w:p w:rsidR="00064542" w:rsidRPr="00E13364" w:rsidRDefault="00064542" w:rsidP="00E13364">
            <w:pPr>
              <w:pStyle w:val="TableTextNoSpace"/>
              <w:rPr>
                <w:b/>
              </w:rPr>
            </w:pPr>
            <w:r w:rsidRPr="00E13364">
              <w:rPr>
                <w:b/>
              </w:rPr>
              <w:t>Per 100,000 child population</w:t>
            </w:r>
          </w:p>
        </w:tc>
        <w:tc>
          <w:tcPr>
            <w:tcW w:w="817" w:type="pct"/>
            <w:shd w:val="clear" w:color="auto" w:fill="DBE5F1" w:themeFill="accent1" w:themeFillTint="33"/>
          </w:tcPr>
          <w:p w:rsidR="00064542" w:rsidRPr="00E13364" w:rsidRDefault="00064542" w:rsidP="00E13364">
            <w:pPr>
              <w:pStyle w:val="TableTextNoSpace"/>
              <w:rPr>
                <w:b/>
              </w:rPr>
            </w:pPr>
            <w:r w:rsidRPr="00E13364">
              <w:rPr>
                <w:b/>
              </w:rPr>
              <w:t>Number</w:t>
            </w:r>
          </w:p>
        </w:tc>
        <w:tc>
          <w:tcPr>
            <w:tcW w:w="1241" w:type="pct"/>
            <w:shd w:val="clear" w:color="auto" w:fill="DBE5F1" w:themeFill="accent1" w:themeFillTint="33"/>
          </w:tcPr>
          <w:p w:rsidR="00064542" w:rsidRPr="00E13364" w:rsidRDefault="00064542" w:rsidP="00E13364">
            <w:pPr>
              <w:pStyle w:val="TableTextNoSpace"/>
              <w:rPr>
                <w:b/>
              </w:rPr>
            </w:pPr>
            <w:r w:rsidRPr="00E13364">
              <w:rPr>
                <w:b/>
              </w:rPr>
              <w:t>Per 100,000 child population</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BE</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1,714</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78.1</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1,832</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82.7</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BG</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674</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52.3</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950</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75.4</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CZ</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542</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29.2</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549</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29.7</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EE</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49</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19.4</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45</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18.2</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IE</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17</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1.6</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9</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0.8</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ES</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666</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8.4</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853</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10.4</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HR</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132</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15.7</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133</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16.2</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HU</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739</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39.3</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735</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40.2</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NL</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28</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0.8</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36</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1.0</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AT</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120</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7.6</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110</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7.1</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PL</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2,870</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38.3</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2,973</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41.1</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RO</w:t>
            </w:r>
          </w:p>
        </w:tc>
        <w:tc>
          <w:tcPr>
            <w:tcW w:w="872"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1,305</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32.0</w:t>
            </w:r>
          </w:p>
        </w:tc>
        <w:tc>
          <w:tcPr>
            <w:tcW w:w="81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1,402</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35.3</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SK</w:t>
            </w:r>
          </w:p>
        </w:tc>
        <w:tc>
          <w:tcPr>
            <w:tcW w:w="872"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345</w:t>
            </w:r>
          </w:p>
        </w:tc>
        <w:tc>
          <w:tcPr>
            <w:tcW w:w="1307"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31.9</w:t>
            </w:r>
          </w:p>
        </w:tc>
        <w:tc>
          <w:tcPr>
            <w:tcW w:w="817" w:type="pct"/>
            <w:shd w:val="clear" w:color="auto" w:fill="auto"/>
            <w:vAlign w:val="center"/>
          </w:tcPr>
          <w:p w:rsidR="00064542" w:rsidRPr="00064542" w:rsidRDefault="00064542" w:rsidP="00E13364">
            <w:pPr>
              <w:pStyle w:val="TableTextNoSpace"/>
              <w:rPr>
                <w:rFonts w:cs="Arial"/>
                <w:color w:val="000000"/>
                <w:szCs w:val="20"/>
              </w:rPr>
            </w:pPr>
            <w:r w:rsidRPr="00064542">
              <w:rPr>
                <w:rFonts w:cs="Arial"/>
                <w:color w:val="000000"/>
                <w:szCs w:val="20"/>
              </w:rPr>
              <w:t>378</w:t>
            </w:r>
          </w:p>
        </w:tc>
        <w:tc>
          <w:tcPr>
            <w:tcW w:w="1241" w:type="pct"/>
            <w:shd w:val="clear" w:color="auto" w:fill="auto"/>
            <w:vAlign w:val="bottom"/>
          </w:tcPr>
          <w:p w:rsidR="00064542" w:rsidRPr="00064542" w:rsidRDefault="00064542" w:rsidP="00E13364">
            <w:pPr>
              <w:pStyle w:val="TableTextNoSpace"/>
              <w:rPr>
                <w:rFonts w:cs="Arial"/>
                <w:color w:val="000000"/>
                <w:szCs w:val="20"/>
              </w:rPr>
            </w:pPr>
            <w:r w:rsidRPr="00064542">
              <w:rPr>
                <w:rFonts w:cs="Arial"/>
                <w:color w:val="000000"/>
                <w:szCs w:val="20"/>
              </w:rPr>
              <w:t>36.2</w:t>
            </w:r>
          </w:p>
        </w:tc>
      </w:tr>
      <w:tr w:rsidR="005A1057" w:rsidRPr="00064542" w:rsidTr="005A1057">
        <w:tc>
          <w:tcPr>
            <w:tcW w:w="763"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Total</w:t>
            </w:r>
          </w:p>
        </w:tc>
        <w:tc>
          <w:tcPr>
            <w:tcW w:w="872"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9,201</w:t>
            </w:r>
          </w:p>
        </w:tc>
        <w:tc>
          <w:tcPr>
            <w:tcW w:w="1307"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26.2</w:t>
            </w:r>
          </w:p>
        </w:tc>
        <w:tc>
          <w:tcPr>
            <w:tcW w:w="817" w:type="pct"/>
            <w:shd w:val="clear" w:color="auto" w:fill="DBE5F1" w:themeFill="accent1" w:themeFillTint="33"/>
          </w:tcPr>
          <w:p w:rsidR="00064542" w:rsidRPr="00E13364" w:rsidRDefault="00064542" w:rsidP="00E13364">
            <w:pPr>
              <w:pStyle w:val="TableTextNoSpace"/>
              <w:rPr>
                <w:rFonts w:cs="Arial"/>
                <w:b/>
                <w:color w:val="000000"/>
                <w:szCs w:val="20"/>
              </w:rPr>
            </w:pPr>
            <w:r w:rsidRPr="00E13364">
              <w:rPr>
                <w:rFonts w:cs="Arial"/>
                <w:b/>
                <w:color w:val="000000"/>
                <w:szCs w:val="20"/>
              </w:rPr>
              <w:t>10,005</w:t>
            </w:r>
          </w:p>
        </w:tc>
        <w:tc>
          <w:tcPr>
            <w:tcW w:w="1241" w:type="pct"/>
            <w:shd w:val="clear" w:color="auto" w:fill="DBE5F1" w:themeFill="accent1" w:themeFillTint="33"/>
            <w:vAlign w:val="bottom"/>
          </w:tcPr>
          <w:p w:rsidR="00064542" w:rsidRPr="00E13364" w:rsidRDefault="00064542" w:rsidP="00E13364">
            <w:pPr>
              <w:pStyle w:val="TableTextNoSpace"/>
              <w:rPr>
                <w:rFonts w:cs="Arial"/>
                <w:b/>
                <w:color w:val="000000"/>
                <w:szCs w:val="20"/>
              </w:rPr>
            </w:pPr>
            <w:r w:rsidRPr="00E13364">
              <w:rPr>
                <w:rFonts w:cs="Arial"/>
                <w:b/>
                <w:color w:val="000000"/>
                <w:szCs w:val="20"/>
              </w:rPr>
              <w:t>28.7</w:t>
            </w:r>
          </w:p>
        </w:tc>
      </w:tr>
    </w:tbl>
    <w:p w:rsidR="00064542" w:rsidRPr="00CC1B18" w:rsidRDefault="005F0EA6" w:rsidP="00CC1B18">
      <w:pPr>
        <w:pStyle w:val="BodyText"/>
        <w:rPr>
          <w:i/>
        </w:rPr>
      </w:pPr>
      <w:r w:rsidRPr="005A1057">
        <w:rPr>
          <w:i/>
        </w:rPr>
        <w:t xml:space="preserve">Source: National research presented in the </w:t>
      </w:r>
      <w:hyperlink r:id="rId23" w:history="1">
        <w:r w:rsidRPr="005A1057">
          <w:rPr>
            <w:rStyle w:val="Hyperlink"/>
            <w:i/>
          </w:rPr>
          <w:t>online database</w:t>
        </w:r>
      </w:hyperlink>
      <w:r w:rsidRPr="005A1057">
        <w:rPr>
          <w:i/>
        </w:rPr>
        <w:t>.</w:t>
      </w:r>
    </w:p>
    <w:p w:rsidR="00F75B22" w:rsidRDefault="00F75B22" w:rsidP="005A1057">
      <w:pPr>
        <w:pStyle w:val="AnnexTable"/>
        <w:tabs>
          <w:tab w:val="num" w:pos="2160"/>
        </w:tabs>
        <w:ind w:left="2250" w:hanging="1350"/>
      </w:pPr>
      <w:bookmarkStart w:id="320" w:name="_Ref394595781"/>
      <w:bookmarkStart w:id="321" w:name="_Toc408908650"/>
      <w:r>
        <w:t>Number of c</w:t>
      </w:r>
      <w:r w:rsidRPr="00912F0A">
        <w:t>hildren subject to judicial decisions on inter-country adoptions</w:t>
      </w:r>
      <w:bookmarkEnd w:id="320"/>
      <w:r w:rsidR="00483B57">
        <w:t xml:space="preserve"> (CivAdm013)</w:t>
      </w:r>
      <w:bookmarkEnd w:id="321"/>
    </w:p>
    <w:tbl>
      <w:tblPr>
        <w:tblW w:w="4555" w:type="pct"/>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262"/>
        <w:gridCol w:w="1442"/>
        <w:gridCol w:w="2163"/>
        <w:gridCol w:w="1351"/>
        <w:gridCol w:w="2051"/>
      </w:tblGrid>
      <w:tr w:rsidR="00064542" w:rsidRPr="00064542" w:rsidTr="005A1057">
        <w:trPr>
          <w:tblHeader/>
        </w:trPr>
        <w:tc>
          <w:tcPr>
            <w:tcW w:w="763" w:type="pct"/>
            <w:shd w:val="clear" w:color="auto" w:fill="DBE5F1" w:themeFill="accent1" w:themeFillTint="33"/>
          </w:tcPr>
          <w:p w:rsidR="00064542" w:rsidRPr="005A1057" w:rsidRDefault="00064542" w:rsidP="005A1057">
            <w:pPr>
              <w:pStyle w:val="TableTextNoSpace"/>
              <w:rPr>
                <w:b/>
              </w:rPr>
            </w:pPr>
            <w:r w:rsidRPr="005A1057">
              <w:rPr>
                <w:b/>
              </w:rPr>
              <w:t>Member State</w:t>
            </w:r>
          </w:p>
        </w:tc>
        <w:tc>
          <w:tcPr>
            <w:tcW w:w="2180" w:type="pct"/>
            <w:gridSpan w:val="2"/>
            <w:shd w:val="clear" w:color="auto" w:fill="DBE5F1" w:themeFill="accent1" w:themeFillTint="33"/>
          </w:tcPr>
          <w:p w:rsidR="00064542" w:rsidRPr="005A1057" w:rsidRDefault="00064542" w:rsidP="005A1057">
            <w:pPr>
              <w:pStyle w:val="TableTextNoSpace"/>
              <w:rPr>
                <w:b/>
              </w:rPr>
            </w:pPr>
            <w:r w:rsidRPr="005A1057">
              <w:rPr>
                <w:b/>
              </w:rPr>
              <w:t>2008</w:t>
            </w:r>
          </w:p>
        </w:tc>
        <w:tc>
          <w:tcPr>
            <w:tcW w:w="2057" w:type="pct"/>
            <w:gridSpan w:val="2"/>
            <w:shd w:val="clear" w:color="auto" w:fill="DBE5F1" w:themeFill="accent1" w:themeFillTint="33"/>
          </w:tcPr>
          <w:p w:rsidR="00064542" w:rsidRPr="005A1057" w:rsidRDefault="00064542" w:rsidP="005A1057">
            <w:pPr>
              <w:pStyle w:val="TableTextNoSpace"/>
              <w:rPr>
                <w:b/>
              </w:rPr>
            </w:pPr>
            <w:r w:rsidRPr="005A1057">
              <w:rPr>
                <w:b/>
              </w:rPr>
              <w:t>2010</w:t>
            </w:r>
          </w:p>
        </w:tc>
      </w:tr>
      <w:tr w:rsidR="005A1057" w:rsidRPr="00064542" w:rsidTr="005A1057">
        <w:trPr>
          <w:tblHeader/>
        </w:trPr>
        <w:tc>
          <w:tcPr>
            <w:tcW w:w="763" w:type="pct"/>
            <w:shd w:val="clear" w:color="auto" w:fill="DBE5F1" w:themeFill="accent1" w:themeFillTint="33"/>
          </w:tcPr>
          <w:p w:rsidR="00064542" w:rsidRPr="005A1057" w:rsidRDefault="00064542" w:rsidP="005A1057">
            <w:pPr>
              <w:pStyle w:val="TableTextNoSpace"/>
              <w:rPr>
                <w:b/>
              </w:rPr>
            </w:pPr>
          </w:p>
        </w:tc>
        <w:tc>
          <w:tcPr>
            <w:tcW w:w="872" w:type="pct"/>
            <w:shd w:val="clear" w:color="auto" w:fill="DBE5F1" w:themeFill="accent1" w:themeFillTint="33"/>
          </w:tcPr>
          <w:p w:rsidR="00064542" w:rsidRPr="005A1057" w:rsidRDefault="00064542" w:rsidP="005A1057">
            <w:pPr>
              <w:pStyle w:val="TableTextNoSpace"/>
              <w:rPr>
                <w:b/>
              </w:rPr>
            </w:pPr>
            <w:r w:rsidRPr="005A1057">
              <w:rPr>
                <w:b/>
              </w:rPr>
              <w:t>Number</w:t>
            </w:r>
          </w:p>
        </w:tc>
        <w:tc>
          <w:tcPr>
            <w:tcW w:w="1307" w:type="pct"/>
            <w:shd w:val="clear" w:color="auto" w:fill="DBE5F1" w:themeFill="accent1" w:themeFillTint="33"/>
          </w:tcPr>
          <w:p w:rsidR="00064542" w:rsidRPr="005A1057" w:rsidRDefault="00064542" w:rsidP="005A1057">
            <w:pPr>
              <w:pStyle w:val="TableTextNoSpace"/>
              <w:rPr>
                <w:b/>
              </w:rPr>
            </w:pPr>
            <w:r w:rsidRPr="005A1057">
              <w:rPr>
                <w:b/>
              </w:rPr>
              <w:t>Per 100,000 child population</w:t>
            </w:r>
          </w:p>
        </w:tc>
        <w:tc>
          <w:tcPr>
            <w:tcW w:w="817" w:type="pct"/>
            <w:shd w:val="clear" w:color="auto" w:fill="DBE5F1" w:themeFill="accent1" w:themeFillTint="33"/>
          </w:tcPr>
          <w:p w:rsidR="00064542" w:rsidRPr="005A1057" w:rsidRDefault="00064542" w:rsidP="005A1057">
            <w:pPr>
              <w:pStyle w:val="TableTextNoSpace"/>
              <w:rPr>
                <w:b/>
              </w:rPr>
            </w:pPr>
            <w:r w:rsidRPr="005A1057">
              <w:rPr>
                <w:b/>
              </w:rPr>
              <w:t>Number</w:t>
            </w:r>
          </w:p>
        </w:tc>
        <w:tc>
          <w:tcPr>
            <w:tcW w:w="1241" w:type="pct"/>
            <w:shd w:val="clear" w:color="auto" w:fill="DBE5F1" w:themeFill="accent1" w:themeFillTint="33"/>
          </w:tcPr>
          <w:p w:rsidR="00064542" w:rsidRPr="005A1057" w:rsidRDefault="00064542" w:rsidP="005A1057">
            <w:pPr>
              <w:pStyle w:val="TableTextNoSpace"/>
              <w:rPr>
                <w:b/>
              </w:rPr>
            </w:pPr>
            <w:r w:rsidRPr="005A1057">
              <w:rPr>
                <w:b/>
              </w:rPr>
              <w:t>Per 100,000 child population</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BE</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372</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17.0</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347</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15.7</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BG</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184</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14.3</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246</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19.5</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CZ</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22</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1.2</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28</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1.5</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EE</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28</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11.1</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28</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11.3</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ES</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3,256</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40.9</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2,891</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35.3</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FR</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3,271</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22.9</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3,508</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24.4</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HR</w:t>
            </w:r>
          </w:p>
        </w:tc>
        <w:tc>
          <w:tcPr>
            <w:tcW w:w="872" w:type="pct"/>
            <w:shd w:val="clear" w:color="auto" w:fill="auto"/>
            <w:vAlign w:val="bottom"/>
          </w:tcPr>
          <w:p w:rsidR="00064542" w:rsidRPr="00A83745" w:rsidRDefault="00064542" w:rsidP="005A1057">
            <w:pPr>
              <w:pStyle w:val="TableTextNoSpace"/>
              <w:rPr>
                <w:rFonts w:cs="Arial"/>
                <w:color w:val="000000"/>
                <w:szCs w:val="20"/>
              </w:rPr>
            </w:pPr>
          </w:p>
        </w:tc>
        <w:tc>
          <w:tcPr>
            <w:tcW w:w="1307" w:type="pct"/>
            <w:shd w:val="clear" w:color="auto" w:fill="auto"/>
            <w:vAlign w:val="bottom"/>
          </w:tcPr>
          <w:p w:rsidR="00064542" w:rsidRPr="00A83745" w:rsidRDefault="00064542" w:rsidP="005A1057">
            <w:pPr>
              <w:pStyle w:val="TableTextNoSpace"/>
              <w:rPr>
                <w:rFonts w:cs="Arial"/>
                <w:color w:val="000000"/>
                <w:szCs w:val="20"/>
              </w:rPr>
            </w:pPr>
          </w:p>
        </w:tc>
        <w:tc>
          <w:tcPr>
            <w:tcW w:w="817" w:type="pct"/>
            <w:shd w:val="clear" w:color="auto" w:fill="auto"/>
            <w:vAlign w:val="bottom"/>
          </w:tcPr>
          <w:p w:rsidR="00064542" w:rsidRPr="00F2479C" w:rsidRDefault="00064542" w:rsidP="005A1057">
            <w:pPr>
              <w:pStyle w:val="TableTextNoSpace"/>
              <w:rPr>
                <w:rFonts w:cs="Arial"/>
                <w:color w:val="000000"/>
                <w:szCs w:val="20"/>
              </w:rPr>
            </w:pPr>
            <w:r w:rsidRPr="00F2479C">
              <w:rPr>
                <w:rFonts w:cs="Arial"/>
                <w:color w:val="000000"/>
                <w:szCs w:val="20"/>
              </w:rPr>
              <w:t>128</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15.5</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IT</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3,997</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39.4</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4,130</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40.4</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LV</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83</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20.3</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202</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52.2</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LT</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108</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16.0</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115</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18.1</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HU</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140</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7.4</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163</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8.9</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NL</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809</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22.8</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269</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7.7</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PL</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383</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5.1</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312</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4.3</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SI</w:t>
            </w:r>
          </w:p>
        </w:tc>
        <w:tc>
          <w:tcPr>
            <w:tcW w:w="872"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6</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1.7</w:t>
            </w:r>
          </w:p>
        </w:tc>
        <w:tc>
          <w:tcPr>
            <w:tcW w:w="81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18</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5.2</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SK</w:t>
            </w:r>
          </w:p>
        </w:tc>
        <w:tc>
          <w:tcPr>
            <w:tcW w:w="872" w:type="pct"/>
            <w:shd w:val="clear" w:color="auto" w:fill="auto"/>
            <w:vAlign w:val="center"/>
          </w:tcPr>
          <w:p w:rsidR="00064542" w:rsidRPr="00064542" w:rsidRDefault="00064542" w:rsidP="005A1057">
            <w:pPr>
              <w:pStyle w:val="TableTextNoSpace"/>
              <w:rPr>
                <w:rFonts w:cs="Arial"/>
                <w:color w:val="000000"/>
                <w:szCs w:val="20"/>
              </w:rPr>
            </w:pPr>
            <w:r w:rsidRPr="00064542">
              <w:rPr>
                <w:rFonts w:cs="Arial"/>
                <w:color w:val="000000"/>
                <w:szCs w:val="20"/>
              </w:rPr>
              <w:t>51</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4.7</w:t>
            </w:r>
          </w:p>
        </w:tc>
        <w:tc>
          <w:tcPr>
            <w:tcW w:w="817" w:type="pct"/>
            <w:shd w:val="clear" w:color="auto" w:fill="auto"/>
            <w:vAlign w:val="center"/>
          </w:tcPr>
          <w:p w:rsidR="00064542" w:rsidRPr="00064542" w:rsidRDefault="00064542" w:rsidP="005A1057">
            <w:pPr>
              <w:pStyle w:val="TableTextNoSpace"/>
              <w:rPr>
                <w:rFonts w:cs="Arial"/>
                <w:color w:val="000000"/>
                <w:szCs w:val="20"/>
              </w:rPr>
            </w:pPr>
            <w:r w:rsidRPr="00064542">
              <w:rPr>
                <w:rFonts w:cs="Arial"/>
                <w:color w:val="000000"/>
                <w:szCs w:val="20"/>
              </w:rPr>
              <w:t>43</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4.1</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SE</w:t>
            </w:r>
          </w:p>
        </w:tc>
        <w:tc>
          <w:tcPr>
            <w:tcW w:w="872" w:type="pct"/>
            <w:shd w:val="clear" w:color="auto" w:fill="auto"/>
            <w:vAlign w:val="center"/>
          </w:tcPr>
          <w:p w:rsidR="00064542" w:rsidRPr="00064542" w:rsidRDefault="00064542" w:rsidP="005A1057">
            <w:pPr>
              <w:pStyle w:val="TableTextNoSpace"/>
              <w:rPr>
                <w:rFonts w:cs="Arial"/>
                <w:color w:val="000000"/>
                <w:szCs w:val="20"/>
              </w:rPr>
            </w:pPr>
            <w:r w:rsidRPr="00064542">
              <w:rPr>
                <w:rFonts w:cs="Arial"/>
                <w:color w:val="000000"/>
                <w:szCs w:val="20"/>
              </w:rPr>
              <w:t>941</w:t>
            </w:r>
          </w:p>
        </w:tc>
        <w:tc>
          <w:tcPr>
            <w:tcW w:w="1307"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48.7</w:t>
            </w:r>
          </w:p>
        </w:tc>
        <w:tc>
          <w:tcPr>
            <w:tcW w:w="817" w:type="pct"/>
            <w:shd w:val="clear" w:color="auto" w:fill="auto"/>
            <w:vAlign w:val="center"/>
          </w:tcPr>
          <w:p w:rsidR="00064542" w:rsidRPr="00064542" w:rsidRDefault="00064542" w:rsidP="005A1057">
            <w:pPr>
              <w:pStyle w:val="TableTextNoSpace"/>
              <w:rPr>
                <w:rFonts w:cs="Arial"/>
                <w:color w:val="000000"/>
                <w:szCs w:val="20"/>
              </w:rPr>
            </w:pPr>
            <w:r w:rsidRPr="00064542">
              <w:rPr>
                <w:rFonts w:cs="Arial"/>
                <w:color w:val="000000"/>
                <w:szCs w:val="20"/>
              </w:rPr>
              <w:t>945</w:t>
            </w:r>
          </w:p>
        </w:tc>
        <w:tc>
          <w:tcPr>
            <w:tcW w:w="1241" w:type="pct"/>
            <w:shd w:val="clear" w:color="auto" w:fill="auto"/>
            <w:vAlign w:val="bottom"/>
          </w:tcPr>
          <w:p w:rsidR="00064542" w:rsidRPr="00064542" w:rsidRDefault="00064542" w:rsidP="005A1057">
            <w:pPr>
              <w:pStyle w:val="TableTextNoSpace"/>
              <w:rPr>
                <w:rFonts w:cs="Arial"/>
                <w:color w:val="000000"/>
                <w:szCs w:val="20"/>
              </w:rPr>
            </w:pPr>
            <w:r w:rsidRPr="00064542">
              <w:rPr>
                <w:rFonts w:cs="Arial"/>
                <w:color w:val="000000"/>
                <w:szCs w:val="20"/>
              </w:rPr>
              <w:t>49.2</w:t>
            </w:r>
          </w:p>
        </w:tc>
      </w:tr>
      <w:tr w:rsidR="005A1057" w:rsidRPr="00064542" w:rsidTr="005A1057">
        <w:tc>
          <w:tcPr>
            <w:tcW w:w="763"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Total</w:t>
            </w:r>
          </w:p>
        </w:tc>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13,651</w:t>
            </w:r>
          </w:p>
        </w:tc>
        <w:tc>
          <w:tcPr>
            <w:tcW w:w="1307"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24.7</w:t>
            </w:r>
          </w:p>
        </w:tc>
        <w:tc>
          <w:tcPr>
            <w:tcW w:w="817" w:type="pct"/>
            <w:shd w:val="clear" w:color="auto" w:fill="DBE5F1" w:themeFill="accent1" w:themeFillTint="33"/>
            <w:vAlign w:val="bottom"/>
          </w:tcPr>
          <w:p w:rsidR="00064542" w:rsidRPr="005A1057" w:rsidRDefault="00064542" w:rsidP="005A1057">
            <w:pPr>
              <w:pStyle w:val="TableTextNoSpace"/>
              <w:rPr>
                <w:rFonts w:cs="Arial"/>
                <w:b/>
                <w:color w:val="000000"/>
                <w:szCs w:val="20"/>
              </w:rPr>
            </w:pPr>
            <w:r w:rsidRPr="005A1057">
              <w:rPr>
                <w:rFonts w:cs="Arial"/>
                <w:b/>
                <w:color w:val="000000"/>
                <w:szCs w:val="20"/>
              </w:rPr>
              <w:t>13,373</w:t>
            </w:r>
          </w:p>
        </w:tc>
        <w:tc>
          <w:tcPr>
            <w:tcW w:w="1241" w:type="pct"/>
            <w:shd w:val="clear" w:color="auto" w:fill="DBE5F1" w:themeFill="accent1" w:themeFillTint="33"/>
          </w:tcPr>
          <w:p w:rsidR="00064542" w:rsidRPr="005A1057" w:rsidRDefault="00064542" w:rsidP="005A1057">
            <w:pPr>
              <w:pStyle w:val="TableTextNoSpace"/>
              <w:rPr>
                <w:rFonts w:cs="Arial"/>
                <w:b/>
                <w:color w:val="000000"/>
                <w:szCs w:val="20"/>
              </w:rPr>
            </w:pPr>
            <w:r w:rsidRPr="005A1057">
              <w:rPr>
                <w:rFonts w:cs="Arial"/>
                <w:b/>
                <w:color w:val="000000"/>
                <w:szCs w:val="20"/>
              </w:rPr>
              <w:t>23.8</w:t>
            </w:r>
          </w:p>
        </w:tc>
      </w:tr>
    </w:tbl>
    <w:p w:rsidR="00064542" w:rsidRPr="00546996" w:rsidRDefault="005F0EA6" w:rsidP="00546996">
      <w:pPr>
        <w:pStyle w:val="BodyText"/>
        <w:rPr>
          <w:i/>
        </w:rPr>
      </w:pPr>
      <w:r w:rsidRPr="005A1057">
        <w:rPr>
          <w:i/>
        </w:rPr>
        <w:t xml:space="preserve">Source: National research presented in the </w:t>
      </w:r>
      <w:hyperlink r:id="rId24" w:history="1">
        <w:r w:rsidRPr="005A1057">
          <w:rPr>
            <w:rStyle w:val="Hyperlink"/>
            <w:i/>
          </w:rPr>
          <w:t>online database</w:t>
        </w:r>
      </w:hyperlink>
      <w:r w:rsidRPr="005A1057">
        <w:rPr>
          <w:i/>
        </w:rPr>
        <w:t>.</w:t>
      </w:r>
      <w:r w:rsidR="00A83745" w:rsidRPr="005A1057">
        <w:rPr>
          <w:i/>
        </w:rPr>
        <w:t xml:space="preserve"> Note: Blank = Not available</w:t>
      </w:r>
    </w:p>
    <w:p w:rsidR="00F75B22" w:rsidRDefault="00F75B22" w:rsidP="005A1057">
      <w:pPr>
        <w:pStyle w:val="AnnexTable"/>
        <w:ind w:left="2160" w:hanging="1350"/>
      </w:pPr>
      <w:bookmarkStart w:id="322" w:name="_Ref394595749"/>
      <w:bookmarkStart w:id="323" w:name="_Toc408908651"/>
      <w:r>
        <w:t>Number of f</w:t>
      </w:r>
      <w:r w:rsidRPr="00652614">
        <w:t xml:space="preserve">irst instance decisions on applications for asylum </w:t>
      </w:r>
      <w:r>
        <w:t>(age 0-17)</w:t>
      </w:r>
      <w:bookmarkEnd w:id="322"/>
      <w:r w:rsidR="00483B57">
        <w:t xml:space="preserve"> (CivAdm016)</w:t>
      </w:r>
      <w:bookmarkEnd w:id="323"/>
    </w:p>
    <w:tbl>
      <w:tblPr>
        <w:tblW w:w="4555" w:type="pct"/>
        <w:tblInd w:w="80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443"/>
        <w:gridCol w:w="1353"/>
        <w:gridCol w:w="2072"/>
        <w:gridCol w:w="1531"/>
        <w:gridCol w:w="1870"/>
      </w:tblGrid>
      <w:tr w:rsidR="00064542" w:rsidTr="005A1057">
        <w:trPr>
          <w:tblHeader/>
        </w:trPr>
        <w:tc>
          <w:tcPr>
            <w:tcW w:w="872" w:type="pct"/>
            <w:shd w:val="clear" w:color="auto" w:fill="DBE5F1" w:themeFill="accent1" w:themeFillTint="33"/>
          </w:tcPr>
          <w:p w:rsidR="00064542" w:rsidRPr="005A1057" w:rsidRDefault="00064542" w:rsidP="005A1057">
            <w:pPr>
              <w:pStyle w:val="TableTextNoSpace"/>
              <w:rPr>
                <w:b/>
              </w:rPr>
            </w:pPr>
            <w:r w:rsidRPr="005A1057">
              <w:rPr>
                <w:b/>
              </w:rPr>
              <w:t>Member State</w:t>
            </w:r>
          </w:p>
        </w:tc>
        <w:tc>
          <w:tcPr>
            <w:tcW w:w="2071" w:type="pct"/>
            <w:gridSpan w:val="2"/>
            <w:shd w:val="clear" w:color="auto" w:fill="DBE5F1" w:themeFill="accent1" w:themeFillTint="33"/>
          </w:tcPr>
          <w:p w:rsidR="00064542" w:rsidRPr="005A1057" w:rsidRDefault="00064542" w:rsidP="005A1057">
            <w:pPr>
              <w:pStyle w:val="TableTextNoSpace"/>
              <w:rPr>
                <w:b/>
              </w:rPr>
            </w:pPr>
            <w:r w:rsidRPr="005A1057">
              <w:rPr>
                <w:b/>
              </w:rPr>
              <w:t>2008</w:t>
            </w:r>
          </w:p>
        </w:tc>
        <w:tc>
          <w:tcPr>
            <w:tcW w:w="2057" w:type="pct"/>
            <w:gridSpan w:val="2"/>
            <w:shd w:val="clear" w:color="auto" w:fill="DBE5F1" w:themeFill="accent1" w:themeFillTint="33"/>
          </w:tcPr>
          <w:p w:rsidR="00064542" w:rsidRPr="005A1057" w:rsidRDefault="00064542" w:rsidP="005A1057">
            <w:pPr>
              <w:pStyle w:val="TableTextNoSpace"/>
              <w:rPr>
                <w:b/>
              </w:rPr>
            </w:pPr>
            <w:r w:rsidRPr="005A1057">
              <w:rPr>
                <w:b/>
              </w:rPr>
              <w:t>2010</w:t>
            </w:r>
          </w:p>
        </w:tc>
      </w:tr>
      <w:tr w:rsidR="005A1057" w:rsidTr="005A1057">
        <w:trPr>
          <w:tblHeader/>
        </w:trPr>
        <w:tc>
          <w:tcPr>
            <w:tcW w:w="872" w:type="pct"/>
            <w:shd w:val="clear" w:color="auto" w:fill="DBE5F1" w:themeFill="accent1" w:themeFillTint="33"/>
          </w:tcPr>
          <w:p w:rsidR="00064542" w:rsidRPr="005A1057" w:rsidRDefault="00064542" w:rsidP="005A1057">
            <w:pPr>
              <w:pStyle w:val="TableTextNoSpace"/>
              <w:rPr>
                <w:b/>
              </w:rPr>
            </w:pPr>
          </w:p>
        </w:tc>
        <w:tc>
          <w:tcPr>
            <w:tcW w:w="818" w:type="pct"/>
            <w:shd w:val="clear" w:color="auto" w:fill="DBE5F1" w:themeFill="accent1" w:themeFillTint="33"/>
          </w:tcPr>
          <w:p w:rsidR="00064542" w:rsidRPr="005A1057" w:rsidRDefault="00064542" w:rsidP="005A1057">
            <w:pPr>
              <w:pStyle w:val="TableTextNoSpace"/>
              <w:rPr>
                <w:b/>
              </w:rPr>
            </w:pPr>
            <w:r w:rsidRPr="005A1057">
              <w:rPr>
                <w:b/>
              </w:rPr>
              <w:t>Number</w:t>
            </w:r>
          </w:p>
        </w:tc>
        <w:tc>
          <w:tcPr>
            <w:tcW w:w="1253" w:type="pct"/>
            <w:shd w:val="clear" w:color="auto" w:fill="DBE5F1" w:themeFill="accent1" w:themeFillTint="33"/>
          </w:tcPr>
          <w:p w:rsidR="00064542" w:rsidRPr="005A1057" w:rsidRDefault="00064542" w:rsidP="005A1057">
            <w:pPr>
              <w:pStyle w:val="TableTextNoSpace"/>
              <w:rPr>
                <w:b/>
              </w:rPr>
            </w:pPr>
            <w:r w:rsidRPr="005A1057">
              <w:rPr>
                <w:b/>
              </w:rPr>
              <w:t>Per 100,000 child population</w:t>
            </w:r>
          </w:p>
        </w:tc>
        <w:tc>
          <w:tcPr>
            <w:tcW w:w="926" w:type="pct"/>
            <w:shd w:val="clear" w:color="auto" w:fill="DBE5F1" w:themeFill="accent1" w:themeFillTint="33"/>
          </w:tcPr>
          <w:p w:rsidR="00064542" w:rsidRPr="005A1057" w:rsidRDefault="00064542" w:rsidP="005A1057">
            <w:pPr>
              <w:pStyle w:val="TableTextNoSpace"/>
              <w:rPr>
                <w:b/>
              </w:rPr>
            </w:pPr>
            <w:r w:rsidRPr="005A1057">
              <w:rPr>
                <w:b/>
              </w:rPr>
              <w:t>Number</w:t>
            </w:r>
          </w:p>
        </w:tc>
        <w:tc>
          <w:tcPr>
            <w:tcW w:w="1130" w:type="pct"/>
            <w:shd w:val="clear" w:color="auto" w:fill="DBE5F1" w:themeFill="accent1" w:themeFillTint="33"/>
          </w:tcPr>
          <w:p w:rsidR="00064542" w:rsidRPr="005A1057" w:rsidRDefault="00064542" w:rsidP="005A1057">
            <w:pPr>
              <w:pStyle w:val="TableTextNoSpace"/>
              <w:rPr>
                <w:b/>
              </w:rPr>
            </w:pPr>
            <w:r w:rsidRPr="005A1057">
              <w:rPr>
                <w:b/>
              </w:rPr>
              <w:t>Per 100,000 child population</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BE</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3,865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176.1</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4,730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213.6</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BG</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30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2.3</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1.2</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CZ</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290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15.6</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120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6.5</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DK</w:t>
            </w:r>
          </w:p>
        </w:tc>
        <w:tc>
          <w:tcPr>
            <w:tcW w:w="818" w:type="pct"/>
            <w:shd w:val="clear" w:color="auto" w:fill="auto"/>
            <w:vAlign w:val="center"/>
          </w:tcPr>
          <w:p w:rsidR="00064542" w:rsidRPr="00F2479C" w:rsidRDefault="00064542" w:rsidP="005A1057">
            <w:pPr>
              <w:pStyle w:val="TableTextNoSpace"/>
              <w:rPr>
                <w:rFonts w:cs="Arial"/>
                <w:color w:val="000000"/>
                <w:sz w:val="20"/>
                <w:szCs w:val="20"/>
              </w:rPr>
            </w:pPr>
          </w:p>
        </w:tc>
        <w:tc>
          <w:tcPr>
            <w:tcW w:w="1253" w:type="pct"/>
            <w:shd w:val="clear" w:color="auto" w:fill="auto"/>
            <w:vAlign w:val="center"/>
          </w:tcPr>
          <w:p w:rsidR="00064542" w:rsidRPr="00F2479C" w:rsidRDefault="00064542" w:rsidP="005A1057">
            <w:pPr>
              <w:pStyle w:val="TableTextNoSpace"/>
              <w:rPr>
                <w:rFonts w:cs="Arial"/>
                <w:color w:val="000000"/>
                <w:sz w:val="20"/>
                <w:szCs w:val="20"/>
              </w:rPr>
            </w:pP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995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81.9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DE</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5,650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40.4</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14,620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108.4</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EE</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0.0</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4.0</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IE</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1,000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92.7</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535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47.7</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EL</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895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45.9</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115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5.9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ES</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685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8.6</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355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4.3</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FR</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770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5.4</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595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4.1</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IT</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250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2.5</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1,870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18.3</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CY</w:t>
            </w:r>
          </w:p>
        </w:tc>
        <w:tc>
          <w:tcPr>
            <w:tcW w:w="818" w:type="pct"/>
            <w:shd w:val="clear" w:color="auto" w:fill="auto"/>
            <w:vAlign w:val="center"/>
          </w:tcPr>
          <w:p w:rsidR="00064542" w:rsidRPr="00F2479C" w:rsidRDefault="00064542" w:rsidP="005A1057">
            <w:pPr>
              <w:pStyle w:val="TableTextNoSpace"/>
              <w:rPr>
                <w:rFonts w:cs="Arial"/>
                <w:color w:val="000000"/>
                <w:sz w:val="20"/>
                <w:szCs w:val="20"/>
              </w:rPr>
            </w:pPr>
          </w:p>
        </w:tc>
        <w:tc>
          <w:tcPr>
            <w:tcW w:w="1253" w:type="pct"/>
            <w:shd w:val="clear" w:color="auto" w:fill="auto"/>
            <w:vAlign w:val="center"/>
          </w:tcPr>
          <w:p w:rsidR="00064542" w:rsidRPr="00F2479C" w:rsidRDefault="00064542" w:rsidP="005A1057">
            <w:pPr>
              <w:pStyle w:val="TableTextNoSpace"/>
              <w:rPr>
                <w:rFonts w:cs="Arial"/>
                <w:color w:val="000000"/>
                <w:sz w:val="20"/>
                <w:szCs w:val="20"/>
              </w:rPr>
            </w:pP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270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151.4</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LV</w:t>
            </w:r>
          </w:p>
        </w:tc>
        <w:tc>
          <w:tcPr>
            <w:tcW w:w="818" w:type="pct"/>
            <w:shd w:val="clear" w:color="auto" w:fill="auto"/>
            <w:vAlign w:val="center"/>
          </w:tcPr>
          <w:p w:rsidR="00064542" w:rsidRPr="00F2479C" w:rsidRDefault="00064542" w:rsidP="005A1057">
            <w:pPr>
              <w:pStyle w:val="TableTextNoSpace"/>
              <w:rPr>
                <w:rFonts w:cs="Arial"/>
                <w:color w:val="000000"/>
                <w:sz w:val="20"/>
                <w:szCs w:val="20"/>
              </w:rPr>
            </w:pPr>
            <w:r w:rsidRPr="00F2479C">
              <w:rPr>
                <w:rFonts w:cs="Arial"/>
                <w:color w:val="000000"/>
                <w:sz w:val="20"/>
                <w:szCs w:val="20"/>
              </w:rPr>
              <w:t>0</w:t>
            </w:r>
          </w:p>
        </w:tc>
        <w:tc>
          <w:tcPr>
            <w:tcW w:w="1253" w:type="pct"/>
            <w:shd w:val="clear" w:color="auto" w:fill="auto"/>
            <w:vAlign w:val="bottom"/>
          </w:tcPr>
          <w:p w:rsidR="00064542" w:rsidRPr="00A83745" w:rsidRDefault="00064542" w:rsidP="005A1057">
            <w:pPr>
              <w:pStyle w:val="TableTextNoSpace"/>
              <w:rPr>
                <w:rFonts w:cs="Arial"/>
                <w:color w:val="000000"/>
                <w:sz w:val="20"/>
                <w:szCs w:val="20"/>
              </w:rPr>
            </w:pPr>
            <w:r w:rsidRPr="00A83745">
              <w:rPr>
                <w:rFonts w:cs="Arial"/>
                <w:color w:val="000000"/>
                <w:sz w:val="20"/>
                <w:szCs w:val="20"/>
              </w:rPr>
              <w:t>0.0</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2.6</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LT</w:t>
            </w:r>
          </w:p>
        </w:tc>
        <w:tc>
          <w:tcPr>
            <w:tcW w:w="818" w:type="pct"/>
            <w:shd w:val="clear" w:color="auto" w:fill="auto"/>
            <w:vAlign w:val="center"/>
          </w:tcPr>
          <w:p w:rsidR="00064542" w:rsidRPr="00F2479C" w:rsidRDefault="00064542" w:rsidP="005A1057">
            <w:pPr>
              <w:pStyle w:val="TableTextNoSpace"/>
              <w:rPr>
                <w:rFonts w:cs="Arial"/>
                <w:color w:val="000000"/>
                <w:sz w:val="20"/>
                <w:szCs w:val="20"/>
              </w:rPr>
            </w:pPr>
            <w:r w:rsidRPr="00F2479C">
              <w:rPr>
                <w:rFonts w:cs="Arial"/>
                <w:color w:val="000000"/>
                <w:sz w:val="20"/>
                <w:szCs w:val="20"/>
              </w:rPr>
              <w:t>30</w:t>
            </w:r>
          </w:p>
        </w:tc>
        <w:tc>
          <w:tcPr>
            <w:tcW w:w="1253" w:type="pct"/>
            <w:shd w:val="clear" w:color="auto" w:fill="auto"/>
            <w:vAlign w:val="bottom"/>
          </w:tcPr>
          <w:p w:rsidR="00064542" w:rsidRPr="00A83745" w:rsidRDefault="00064542" w:rsidP="005A1057">
            <w:pPr>
              <w:pStyle w:val="TableTextNoSpace"/>
              <w:rPr>
                <w:rFonts w:cs="Arial"/>
                <w:color w:val="000000"/>
                <w:sz w:val="20"/>
                <w:szCs w:val="20"/>
              </w:rPr>
            </w:pPr>
            <w:r w:rsidRPr="00A83745">
              <w:rPr>
                <w:rFonts w:cs="Arial"/>
                <w:color w:val="000000"/>
                <w:sz w:val="20"/>
                <w:szCs w:val="20"/>
              </w:rPr>
              <w:t>4.5</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25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3.9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LU</w:t>
            </w:r>
          </w:p>
        </w:tc>
        <w:tc>
          <w:tcPr>
            <w:tcW w:w="818" w:type="pct"/>
            <w:shd w:val="clear" w:color="auto" w:fill="auto"/>
            <w:vAlign w:val="center"/>
          </w:tcPr>
          <w:p w:rsidR="00064542" w:rsidRPr="00F2479C" w:rsidRDefault="00064542" w:rsidP="005A1057">
            <w:pPr>
              <w:pStyle w:val="TableTextNoSpace"/>
              <w:rPr>
                <w:rFonts w:cs="Arial"/>
                <w:color w:val="000000"/>
                <w:sz w:val="20"/>
                <w:szCs w:val="20"/>
              </w:rPr>
            </w:pPr>
            <w:r w:rsidRPr="00F2479C">
              <w:rPr>
                <w:rFonts w:cs="Arial"/>
                <w:color w:val="000000"/>
                <w:sz w:val="20"/>
                <w:szCs w:val="20"/>
              </w:rPr>
              <w:t>125</w:t>
            </w:r>
          </w:p>
        </w:tc>
        <w:tc>
          <w:tcPr>
            <w:tcW w:w="1253" w:type="pct"/>
            <w:shd w:val="clear" w:color="auto" w:fill="auto"/>
            <w:vAlign w:val="bottom"/>
          </w:tcPr>
          <w:p w:rsidR="00064542" w:rsidRPr="00A83745" w:rsidRDefault="00064542" w:rsidP="005A1057">
            <w:pPr>
              <w:pStyle w:val="TableTextNoSpace"/>
              <w:rPr>
                <w:rFonts w:cs="Arial"/>
                <w:color w:val="000000"/>
                <w:sz w:val="20"/>
                <w:szCs w:val="20"/>
              </w:rPr>
            </w:pPr>
            <w:r w:rsidRPr="00A83745">
              <w:rPr>
                <w:rFonts w:cs="Arial"/>
                <w:color w:val="000000"/>
                <w:sz w:val="20"/>
                <w:szCs w:val="20"/>
              </w:rPr>
              <w:t>118.8</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120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111.9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HU</w:t>
            </w:r>
          </w:p>
        </w:tc>
        <w:tc>
          <w:tcPr>
            <w:tcW w:w="818" w:type="pct"/>
            <w:shd w:val="clear" w:color="auto" w:fill="auto"/>
            <w:vAlign w:val="center"/>
          </w:tcPr>
          <w:p w:rsidR="00064542" w:rsidRPr="00F2479C" w:rsidRDefault="00064542" w:rsidP="005A1057">
            <w:pPr>
              <w:pStyle w:val="TableTextNoSpace"/>
              <w:rPr>
                <w:rFonts w:cs="Arial"/>
                <w:color w:val="000000"/>
                <w:sz w:val="20"/>
                <w:szCs w:val="20"/>
              </w:rPr>
            </w:pPr>
          </w:p>
        </w:tc>
        <w:tc>
          <w:tcPr>
            <w:tcW w:w="1253" w:type="pct"/>
            <w:shd w:val="clear" w:color="auto" w:fill="auto"/>
            <w:vAlign w:val="center"/>
          </w:tcPr>
          <w:p w:rsidR="00064542" w:rsidRPr="00F2479C" w:rsidRDefault="00064542" w:rsidP="005A1057">
            <w:pPr>
              <w:pStyle w:val="TableTextNoSpace"/>
              <w:rPr>
                <w:rFonts w:cs="Arial"/>
                <w:color w:val="000000"/>
                <w:sz w:val="20"/>
                <w:szCs w:val="20"/>
              </w:rPr>
            </w:pPr>
          </w:p>
        </w:tc>
        <w:tc>
          <w:tcPr>
            <w:tcW w:w="926" w:type="pct"/>
            <w:shd w:val="clear" w:color="auto" w:fill="auto"/>
            <w:vAlign w:val="bottom"/>
          </w:tcPr>
          <w:p w:rsidR="00064542" w:rsidRPr="00A5732C" w:rsidRDefault="00064542" w:rsidP="005A1057">
            <w:pPr>
              <w:pStyle w:val="TableTextNoSpace"/>
              <w:rPr>
                <w:rFonts w:cs="Arial"/>
                <w:color w:val="000000"/>
                <w:sz w:val="20"/>
                <w:szCs w:val="20"/>
                <w:highlight w:val="yellow"/>
              </w:rPr>
            </w:pPr>
            <w:r w:rsidRPr="00F2479C">
              <w:rPr>
                <w:rFonts w:cs="Arial"/>
                <w:color w:val="000000"/>
                <w:sz w:val="20"/>
                <w:szCs w:val="20"/>
              </w:rPr>
              <w:t>180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9.9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MT</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165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197.7</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55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68.3</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NL</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2,645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74.6</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5,915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168.3</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AT</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4,750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301.0</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4,670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302.9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PL</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2,115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28.2</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1,740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24.1</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PT</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15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0.8</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0.8</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RO</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75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1.8</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40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1.0</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SI</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35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10.1</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35</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10.1</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SK</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65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6.0</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30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2.9</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FI</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300</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27.4</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1,060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97.4</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SE</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6,905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357.5</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8,370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435.7</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UK</w:t>
            </w:r>
          </w:p>
        </w:tc>
        <w:tc>
          <w:tcPr>
            <w:tcW w:w="818" w:type="pct"/>
            <w:shd w:val="clear" w:color="auto" w:fill="auto"/>
            <w:vAlign w:val="center"/>
          </w:tcPr>
          <w:p w:rsidR="00064542" w:rsidRPr="00EB085A" w:rsidRDefault="00064542" w:rsidP="005A1057">
            <w:pPr>
              <w:pStyle w:val="TableTextNoSpace"/>
              <w:rPr>
                <w:rFonts w:cs="Arial"/>
                <w:color w:val="000000"/>
                <w:sz w:val="20"/>
                <w:szCs w:val="20"/>
              </w:rPr>
            </w:pPr>
            <w:r w:rsidRPr="00EB085A">
              <w:rPr>
                <w:rFonts w:cs="Arial"/>
                <w:color w:val="000000"/>
                <w:sz w:val="20"/>
                <w:szCs w:val="20"/>
              </w:rPr>
              <w:t>6,215</w:t>
            </w:r>
          </w:p>
        </w:tc>
        <w:tc>
          <w:tcPr>
            <w:tcW w:w="1253"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47.4</w:t>
            </w:r>
          </w:p>
        </w:tc>
        <w:tc>
          <w:tcPr>
            <w:tcW w:w="926" w:type="pct"/>
            <w:shd w:val="clear" w:color="auto" w:fill="auto"/>
            <w:vAlign w:val="bottom"/>
          </w:tcPr>
          <w:p w:rsidR="00064542" w:rsidRPr="00EB085A" w:rsidRDefault="00064542" w:rsidP="005A1057">
            <w:pPr>
              <w:pStyle w:val="TableTextNoSpace"/>
              <w:rPr>
                <w:rFonts w:cs="Arial"/>
                <w:color w:val="000000"/>
                <w:sz w:val="20"/>
                <w:szCs w:val="20"/>
              </w:rPr>
            </w:pPr>
            <w:r w:rsidRPr="00EB085A">
              <w:rPr>
                <w:rFonts w:cs="Arial"/>
                <w:color w:val="000000"/>
                <w:sz w:val="20"/>
                <w:szCs w:val="20"/>
              </w:rPr>
              <w:t>6,440</w:t>
            </w:r>
          </w:p>
        </w:tc>
        <w:tc>
          <w:tcPr>
            <w:tcW w:w="1130" w:type="pct"/>
            <w:shd w:val="clear" w:color="auto" w:fill="auto"/>
            <w:vAlign w:val="bottom"/>
          </w:tcPr>
          <w:p w:rsidR="00064542" w:rsidRPr="00EB085A" w:rsidRDefault="00064542" w:rsidP="005A1057">
            <w:pPr>
              <w:pStyle w:val="TableTextNoSpace"/>
              <w:rPr>
                <w:rFonts w:cs="Arial"/>
                <w:color w:val="000000"/>
                <w:sz w:val="20"/>
                <w:szCs w:val="20"/>
              </w:rPr>
            </w:pPr>
            <w:r w:rsidRPr="000C41E1">
              <w:rPr>
                <w:rFonts w:cs="Arial"/>
                <w:color w:val="000000"/>
                <w:sz w:val="20"/>
                <w:szCs w:val="20"/>
              </w:rPr>
              <w:t>49.1</w:t>
            </w:r>
          </w:p>
        </w:tc>
      </w:tr>
      <w:tr w:rsidR="005A1057" w:rsidTr="005A1057">
        <w:tc>
          <w:tcPr>
            <w:tcW w:w="872"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Total</w:t>
            </w:r>
          </w:p>
        </w:tc>
        <w:tc>
          <w:tcPr>
            <w:tcW w:w="818" w:type="pct"/>
            <w:shd w:val="clear" w:color="auto" w:fill="DBE5F1" w:themeFill="accent1" w:themeFillTint="33"/>
          </w:tcPr>
          <w:p w:rsidR="00064542" w:rsidRPr="000C41E1" w:rsidRDefault="00064542" w:rsidP="005A1057">
            <w:pPr>
              <w:pStyle w:val="TableTextNoSpace"/>
              <w:rPr>
                <w:rFonts w:cs="Arial"/>
                <w:b/>
                <w:color w:val="000000"/>
                <w:sz w:val="20"/>
                <w:szCs w:val="20"/>
              </w:rPr>
            </w:pPr>
            <w:r w:rsidRPr="000C41E1">
              <w:rPr>
                <w:rFonts w:cs="Arial"/>
                <w:b/>
                <w:color w:val="000000"/>
                <w:sz w:val="20"/>
                <w:szCs w:val="20"/>
              </w:rPr>
              <w:t>36,875</w:t>
            </w:r>
          </w:p>
        </w:tc>
        <w:tc>
          <w:tcPr>
            <w:tcW w:w="1253" w:type="pct"/>
            <w:shd w:val="clear" w:color="auto" w:fill="DBE5F1" w:themeFill="accent1" w:themeFillTint="33"/>
          </w:tcPr>
          <w:p w:rsidR="00064542" w:rsidRPr="000C41E1" w:rsidRDefault="00064542" w:rsidP="005A1057">
            <w:pPr>
              <w:pStyle w:val="TableTextNoSpace"/>
              <w:rPr>
                <w:rFonts w:cs="Arial"/>
                <w:b/>
                <w:color w:val="000000"/>
                <w:sz w:val="20"/>
                <w:szCs w:val="20"/>
              </w:rPr>
            </w:pPr>
            <w:r w:rsidRPr="000C41E1">
              <w:rPr>
                <w:rFonts w:cs="Arial"/>
                <w:b/>
                <w:color w:val="000000"/>
                <w:sz w:val="20"/>
                <w:szCs w:val="20"/>
              </w:rPr>
              <w:t>39.9</w:t>
            </w:r>
          </w:p>
        </w:tc>
        <w:tc>
          <w:tcPr>
            <w:tcW w:w="926" w:type="pct"/>
            <w:shd w:val="clear" w:color="auto" w:fill="DBE5F1" w:themeFill="accent1" w:themeFillTint="33"/>
          </w:tcPr>
          <w:p w:rsidR="00064542" w:rsidRPr="000C41E1" w:rsidRDefault="00064542" w:rsidP="005A1057">
            <w:pPr>
              <w:pStyle w:val="TableTextNoSpace"/>
              <w:rPr>
                <w:rFonts w:cs="Arial"/>
                <w:b/>
                <w:color w:val="000000"/>
                <w:sz w:val="20"/>
                <w:szCs w:val="20"/>
              </w:rPr>
            </w:pPr>
            <w:r w:rsidRPr="000C41E1">
              <w:rPr>
                <w:rFonts w:cs="Arial"/>
                <w:b/>
                <w:color w:val="000000"/>
                <w:sz w:val="20"/>
                <w:szCs w:val="20"/>
              </w:rPr>
              <w:t>52,935</w:t>
            </w:r>
          </w:p>
        </w:tc>
        <w:tc>
          <w:tcPr>
            <w:tcW w:w="1130" w:type="pct"/>
            <w:shd w:val="clear" w:color="auto" w:fill="DBE5F1" w:themeFill="accent1" w:themeFillTint="33"/>
          </w:tcPr>
          <w:p w:rsidR="00064542" w:rsidRPr="000C41E1" w:rsidRDefault="00064542" w:rsidP="005A1057">
            <w:pPr>
              <w:pStyle w:val="TableTextNoSpace"/>
              <w:rPr>
                <w:rFonts w:cs="Arial"/>
                <w:b/>
                <w:color w:val="000000"/>
                <w:sz w:val="20"/>
                <w:szCs w:val="20"/>
              </w:rPr>
            </w:pPr>
            <w:r w:rsidRPr="000C41E1">
              <w:rPr>
                <w:rFonts w:cs="Arial"/>
                <w:b/>
                <w:color w:val="000000"/>
                <w:sz w:val="20"/>
                <w:szCs w:val="20"/>
              </w:rPr>
              <w:t>55.7</w:t>
            </w:r>
          </w:p>
        </w:tc>
      </w:tr>
    </w:tbl>
    <w:p w:rsidR="005A1057" w:rsidRPr="005A1057" w:rsidRDefault="00A83745" w:rsidP="005A1057">
      <w:pPr>
        <w:pStyle w:val="BodyText"/>
        <w:rPr>
          <w:i/>
        </w:rPr>
      </w:pPr>
      <w:bookmarkStart w:id="324" w:name="_Ref398149093"/>
      <w:bookmarkStart w:id="325" w:name="_Ref394595805"/>
      <w:r w:rsidRPr="005A1057">
        <w:rPr>
          <w:i/>
        </w:rPr>
        <w:t xml:space="preserve">Source: National research presented in the </w:t>
      </w:r>
      <w:hyperlink r:id="rId25" w:history="1">
        <w:r w:rsidRPr="005A1057">
          <w:rPr>
            <w:rStyle w:val="Hyperlink"/>
            <w:i/>
          </w:rPr>
          <w:t>online database</w:t>
        </w:r>
      </w:hyperlink>
      <w:r w:rsidRPr="005A1057">
        <w:rPr>
          <w:i/>
        </w:rPr>
        <w:t>. Note: Blank = Not available</w:t>
      </w:r>
    </w:p>
    <w:p w:rsidR="00325F1B" w:rsidRDefault="00325F1B" w:rsidP="005A1057">
      <w:pPr>
        <w:pStyle w:val="AnnexTable"/>
        <w:numPr>
          <w:ilvl w:val="4"/>
          <w:numId w:val="33"/>
        </w:numPr>
        <w:tabs>
          <w:tab w:val="clear" w:pos="2687"/>
        </w:tabs>
        <w:ind w:left="2160" w:hanging="1440"/>
      </w:pPr>
      <w:bookmarkStart w:id="326" w:name="_Toc408908652"/>
      <w:r>
        <w:t>Number of unaccompanied children applying</w:t>
      </w:r>
      <w:r w:rsidRPr="00652614">
        <w:t xml:space="preserve"> for asylum </w:t>
      </w:r>
      <w:r>
        <w:t>(age 0-17)</w:t>
      </w:r>
      <w:bookmarkEnd w:id="324"/>
      <w:r w:rsidR="00483B57">
        <w:t xml:space="preserve"> (CivAdm019)</w:t>
      </w:r>
      <w:bookmarkEnd w:id="326"/>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32"/>
        <w:gridCol w:w="1259"/>
        <w:gridCol w:w="1986"/>
        <w:gridCol w:w="1441"/>
        <w:gridCol w:w="2142"/>
      </w:tblGrid>
      <w:tr w:rsidR="00064542" w:rsidTr="005A1057">
        <w:trPr>
          <w:tblHeader/>
        </w:trPr>
        <w:tc>
          <w:tcPr>
            <w:tcW w:w="916" w:type="pct"/>
            <w:shd w:val="clear" w:color="auto" w:fill="DBE5F1" w:themeFill="accent1" w:themeFillTint="33"/>
          </w:tcPr>
          <w:p w:rsidR="00064542" w:rsidRPr="005A1057" w:rsidRDefault="00064542" w:rsidP="005A1057">
            <w:pPr>
              <w:pStyle w:val="TableTextNoSpace"/>
              <w:rPr>
                <w:b/>
              </w:rPr>
            </w:pPr>
            <w:r w:rsidRPr="005A1057">
              <w:rPr>
                <w:b/>
              </w:rPr>
              <w:t>Member State</w:t>
            </w:r>
          </w:p>
        </w:tc>
        <w:tc>
          <w:tcPr>
            <w:tcW w:w="1941" w:type="pct"/>
            <w:gridSpan w:val="2"/>
            <w:shd w:val="clear" w:color="auto" w:fill="DBE5F1" w:themeFill="accent1" w:themeFillTint="33"/>
          </w:tcPr>
          <w:p w:rsidR="00064542" w:rsidRPr="005A1057" w:rsidRDefault="00064542" w:rsidP="005A1057">
            <w:pPr>
              <w:pStyle w:val="TableTextNoSpace"/>
              <w:rPr>
                <w:b/>
              </w:rPr>
            </w:pPr>
            <w:r w:rsidRPr="005A1057">
              <w:rPr>
                <w:b/>
              </w:rPr>
              <w:t>2008</w:t>
            </w:r>
          </w:p>
        </w:tc>
        <w:tc>
          <w:tcPr>
            <w:tcW w:w="2144" w:type="pct"/>
            <w:gridSpan w:val="2"/>
            <w:shd w:val="clear" w:color="auto" w:fill="DBE5F1" w:themeFill="accent1" w:themeFillTint="33"/>
          </w:tcPr>
          <w:p w:rsidR="00064542" w:rsidRPr="005A1057" w:rsidRDefault="00064542" w:rsidP="005A1057">
            <w:pPr>
              <w:pStyle w:val="TableTextNoSpace"/>
              <w:rPr>
                <w:b/>
              </w:rPr>
            </w:pPr>
            <w:r w:rsidRPr="005A1057">
              <w:rPr>
                <w:b/>
              </w:rPr>
              <w:t>2010</w:t>
            </w:r>
          </w:p>
        </w:tc>
      </w:tr>
      <w:tr w:rsidR="005A1057" w:rsidTr="005A1057">
        <w:trPr>
          <w:tblHeader/>
        </w:trPr>
        <w:tc>
          <w:tcPr>
            <w:tcW w:w="916" w:type="pct"/>
            <w:shd w:val="clear" w:color="auto" w:fill="DBE5F1" w:themeFill="accent1" w:themeFillTint="33"/>
          </w:tcPr>
          <w:p w:rsidR="00064542" w:rsidRPr="005A1057" w:rsidRDefault="00064542" w:rsidP="005A1057">
            <w:pPr>
              <w:pStyle w:val="TableTextNoSpace"/>
              <w:rPr>
                <w:b/>
              </w:rPr>
            </w:pPr>
          </w:p>
        </w:tc>
        <w:tc>
          <w:tcPr>
            <w:tcW w:w="753" w:type="pct"/>
            <w:shd w:val="clear" w:color="auto" w:fill="DBE5F1" w:themeFill="accent1" w:themeFillTint="33"/>
          </w:tcPr>
          <w:p w:rsidR="00064542" w:rsidRPr="005A1057" w:rsidRDefault="00064542" w:rsidP="005A1057">
            <w:pPr>
              <w:pStyle w:val="TableTextNoSpace"/>
              <w:rPr>
                <w:b/>
              </w:rPr>
            </w:pPr>
            <w:r w:rsidRPr="005A1057">
              <w:rPr>
                <w:b/>
              </w:rPr>
              <w:t>Number</w:t>
            </w:r>
          </w:p>
        </w:tc>
        <w:tc>
          <w:tcPr>
            <w:tcW w:w="1187" w:type="pct"/>
            <w:shd w:val="clear" w:color="auto" w:fill="DBE5F1" w:themeFill="accent1" w:themeFillTint="33"/>
          </w:tcPr>
          <w:p w:rsidR="00064542" w:rsidRPr="005A1057" w:rsidRDefault="00064542" w:rsidP="005A1057">
            <w:pPr>
              <w:pStyle w:val="TableTextNoSpace"/>
              <w:rPr>
                <w:b/>
              </w:rPr>
            </w:pPr>
            <w:r w:rsidRPr="005A1057">
              <w:rPr>
                <w:b/>
              </w:rPr>
              <w:t>Per 100,000 child population</w:t>
            </w:r>
          </w:p>
        </w:tc>
        <w:tc>
          <w:tcPr>
            <w:tcW w:w="862" w:type="pct"/>
            <w:shd w:val="clear" w:color="auto" w:fill="DBE5F1" w:themeFill="accent1" w:themeFillTint="33"/>
          </w:tcPr>
          <w:p w:rsidR="00064542" w:rsidRPr="005A1057" w:rsidRDefault="00064542" w:rsidP="005A1057">
            <w:pPr>
              <w:pStyle w:val="TableTextNoSpace"/>
              <w:rPr>
                <w:b/>
              </w:rPr>
            </w:pPr>
            <w:r w:rsidRPr="005A1057">
              <w:rPr>
                <w:b/>
              </w:rPr>
              <w:t>Number</w:t>
            </w:r>
          </w:p>
        </w:tc>
        <w:tc>
          <w:tcPr>
            <w:tcW w:w="1281" w:type="pct"/>
            <w:shd w:val="clear" w:color="auto" w:fill="DBE5F1" w:themeFill="accent1" w:themeFillTint="33"/>
          </w:tcPr>
          <w:p w:rsidR="00064542" w:rsidRPr="005A1057" w:rsidRDefault="00064542" w:rsidP="005A1057">
            <w:pPr>
              <w:pStyle w:val="TableTextNoSpace"/>
              <w:rPr>
                <w:b/>
              </w:rPr>
            </w:pPr>
            <w:r w:rsidRPr="005A1057">
              <w:rPr>
                <w:b/>
              </w:rPr>
              <w:t>Per 100,000 child population</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BE</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w:t>
            </w:r>
            <w:r w:rsidR="00C87071">
              <w:rPr>
                <w:rFonts w:cs="Arial"/>
                <w:color w:val="000000"/>
                <w:sz w:val="20"/>
                <w:szCs w:val="20"/>
              </w:rPr>
              <w:t>70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w:t>
            </w:r>
            <w:r w:rsidR="00C87071">
              <w:rPr>
                <w:rFonts w:cs="Arial"/>
                <w:color w:val="000000"/>
                <w:sz w:val="20"/>
                <w:szCs w:val="20"/>
              </w:rPr>
              <w:t>1</w:t>
            </w:r>
            <w:r w:rsidRPr="00D17A6F">
              <w:rPr>
                <w:rFonts w:cs="Arial"/>
                <w:color w:val="000000"/>
                <w:sz w:val="20"/>
                <w:szCs w:val="20"/>
              </w:rPr>
              <w:t>.</w:t>
            </w:r>
            <w:r w:rsidR="00C87071">
              <w:rPr>
                <w:rFonts w:cs="Arial"/>
                <w:color w:val="000000"/>
                <w:sz w:val="20"/>
                <w:szCs w:val="20"/>
              </w:rPr>
              <w:t>4</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8</w:t>
            </w:r>
            <w:r w:rsidR="00C87071">
              <w:rPr>
                <w:rFonts w:cs="Arial"/>
                <w:color w:val="000000"/>
                <w:sz w:val="20"/>
                <w:szCs w:val="20"/>
              </w:rPr>
              <w:t>6</w:t>
            </w:r>
            <w:r w:rsidRPr="00D17A6F">
              <w:rPr>
                <w:rFonts w:cs="Arial"/>
                <w:color w:val="000000"/>
                <w:sz w:val="20"/>
                <w:szCs w:val="20"/>
              </w:rPr>
              <w:t>0</w:t>
            </w:r>
          </w:p>
        </w:tc>
        <w:tc>
          <w:tcPr>
            <w:tcW w:w="1281" w:type="pct"/>
            <w:shd w:val="clear" w:color="auto" w:fill="auto"/>
            <w:vAlign w:val="bottom"/>
          </w:tcPr>
          <w:p w:rsidR="00064542" w:rsidRPr="00EB085A" w:rsidRDefault="00C87071" w:rsidP="005A1057">
            <w:pPr>
              <w:pStyle w:val="TableTextNoSpace"/>
              <w:rPr>
                <w:rFonts w:cs="Arial"/>
                <w:color w:val="000000"/>
                <w:sz w:val="20"/>
                <w:szCs w:val="20"/>
              </w:rPr>
            </w:pPr>
            <w:r>
              <w:rPr>
                <w:rFonts w:cs="Arial"/>
                <w:color w:val="000000"/>
                <w:sz w:val="20"/>
                <w:szCs w:val="20"/>
              </w:rPr>
              <w:t>3</w:t>
            </w:r>
            <w:r w:rsidR="00064542" w:rsidRPr="00D17A6F">
              <w:rPr>
                <w:rFonts w:cs="Arial"/>
                <w:color w:val="000000"/>
                <w:sz w:val="20"/>
                <w:szCs w:val="20"/>
              </w:rPr>
              <w:t>8.8</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BG</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1.2</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1.6</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CZ</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1.9</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0.3</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DK</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300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24.7</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410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33.7</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DE</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765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5.5</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1,950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14.5</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EE</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0.0</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0.0</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IE</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100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9.3</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3.1</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EL</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295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15.1</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145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7.4</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ES</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0.2</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0.2</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FR</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410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2.9</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610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4.2</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IT</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575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5.7</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305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3.0</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CY</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40.8</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19.6</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LV</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1.2</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1.3</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LT</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0.0</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1.6</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LU</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0.0</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18.6</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HU</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175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9.3</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150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8.2</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MT</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24.0</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6.2</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NL</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725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20.4</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700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19.9</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AT</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695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44.0</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600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38.9</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PL</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375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5.0</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230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3.2</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PT</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0.3</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0.3</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RO</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1.3</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0.9</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SI</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5.8</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7.2</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SK</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6.5</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0.5</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FI</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705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64.3</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330</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30.3</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SE</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1,510</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78.2</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2,395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124.7</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UK</w:t>
            </w:r>
          </w:p>
        </w:tc>
        <w:tc>
          <w:tcPr>
            <w:tcW w:w="753"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4,285</w:t>
            </w:r>
          </w:p>
        </w:tc>
        <w:tc>
          <w:tcPr>
            <w:tcW w:w="1187"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32.7</w:t>
            </w:r>
          </w:p>
        </w:tc>
        <w:tc>
          <w:tcPr>
            <w:tcW w:w="862"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1,715</w:t>
            </w:r>
          </w:p>
        </w:tc>
        <w:tc>
          <w:tcPr>
            <w:tcW w:w="1281" w:type="pct"/>
            <w:shd w:val="clear" w:color="auto" w:fill="auto"/>
            <w:vAlign w:val="bottom"/>
          </w:tcPr>
          <w:p w:rsidR="00064542" w:rsidRPr="00EB085A" w:rsidRDefault="00064542" w:rsidP="005A1057">
            <w:pPr>
              <w:pStyle w:val="TableTextNoSpace"/>
              <w:rPr>
                <w:rFonts w:cs="Arial"/>
                <w:color w:val="000000"/>
                <w:sz w:val="20"/>
                <w:szCs w:val="20"/>
              </w:rPr>
            </w:pPr>
            <w:r w:rsidRPr="00D17A6F">
              <w:rPr>
                <w:rFonts w:cs="Arial"/>
                <w:color w:val="000000"/>
                <w:sz w:val="20"/>
                <w:szCs w:val="20"/>
              </w:rPr>
              <w:t>13.1</w:t>
            </w:r>
          </w:p>
        </w:tc>
      </w:tr>
      <w:tr w:rsidR="005A1057" w:rsidTr="005A1057">
        <w:tc>
          <w:tcPr>
            <w:tcW w:w="916" w:type="pct"/>
            <w:shd w:val="clear" w:color="auto" w:fill="DBE5F1" w:themeFill="accent1" w:themeFillTint="33"/>
            <w:vAlign w:val="bottom"/>
          </w:tcPr>
          <w:p w:rsidR="00064542" w:rsidRPr="005A1057" w:rsidRDefault="00064542" w:rsidP="005A1057">
            <w:pPr>
              <w:pStyle w:val="TableTextNoSpace"/>
              <w:rPr>
                <w:rFonts w:cs="Arial"/>
                <w:b/>
                <w:color w:val="000000"/>
                <w:sz w:val="20"/>
                <w:szCs w:val="20"/>
              </w:rPr>
            </w:pPr>
            <w:r w:rsidRPr="005A1057">
              <w:rPr>
                <w:rFonts w:cs="Arial"/>
                <w:b/>
                <w:color w:val="000000"/>
                <w:sz w:val="20"/>
                <w:szCs w:val="20"/>
              </w:rPr>
              <w:t>Total</w:t>
            </w:r>
          </w:p>
        </w:tc>
        <w:tc>
          <w:tcPr>
            <w:tcW w:w="753" w:type="pct"/>
            <w:shd w:val="clear" w:color="auto" w:fill="DBE5F1" w:themeFill="accent1" w:themeFillTint="33"/>
            <w:vAlign w:val="bottom"/>
          </w:tcPr>
          <w:p w:rsidR="00064542" w:rsidRPr="000C41E1" w:rsidRDefault="00064542" w:rsidP="005A1057">
            <w:pPr>
              <w:pStyle w:val="TableTextNoSpace"/>
              <w:rPr>
                <w:rFonts w:cs="Arial"/>
                <w:b/>
                <w:color w:val="000000"/>
                <w:sz w:val="20"/>
                <w:szCs w:val="20"/>
              </w:rPr>
            </w:pPr>
            <w:r w:rsidRPr="00D17A6F">
              <w:rPr>
                <w:rFonts w:cs="Arial"/>
                <w:b/>
                <w:color w:val="000000"/>
                <w:sz w:val="20"/>
                <w:szCs w:val="20"/>
              </w:rPr>
              <w:t>11,710</w:t>
            </w:r>
          </w:p>
        </w:tc>
        <w:tc>
          <w:tcPr>
            <w:tcW w:w="1187" w:type="pct"/>
            <w:shd w:val="clear" w:color="auto" w:fill="DBE5F1" w:themeFill="accent1" w:themeFillTint="33"/>
            <w:vAlign w:val="bottom"/>
          </w:tcPr>
          <w:p w:rsidR="00064542" w:rsidRPr="000C41E1" w:rsidRDefault="00064542" w:rsidP="005A1057">
            <w:pPr>
              <w:pStyle w:val="TableTextNoSpace"/>
              <w:rPr>
                <w:rFonts w:cs="Arial"/>
                <w:b/>
                <w:color w:val="000000"/>
                <w:sz w:val="20"/>
                <w:szCs w:val="20"/>
              </w:rPr>
            </w:pPr>
            <w:r w:rsidRPr="00D17A6F">
              <w:rPr>
                <w:rFonts w:cs="Arial"/>
                <w:b/>
                <w:color w:val="000000"/>
                <w:sz w:val="20"/>
                <w:szCs w:val="20"/>
              </w:rPr>
              <w:t>12.2</w:t>
            </w:r>
          </w:p>
        </w:tc>
        <w:tc>
          <w:tcPr>
            <w:tcW w:w="862" w:type="pct"/>
            <w:shd w:val="clear" w:color="auto" w:fill="DBE5F1" w:themeFill="accent1" w:themeFillTint="33"/>
            <w:vAlign w:val="bottom"/>
          </w:tcPr>
          <w:p w:rsidR="00064542" w:rsidRPr="000C41E1" w:rsidRDefault="00064542" w:rsidP="005A1057">
            <w:pPr>
              <w:pStyle w:val="TableTextNoSpace"/>
              <w:rPr>
                <w:rFonts w:cs="Arial"/>
                <w:b/>
                <w:color w:val="000000"/>
                <w:sz w:val="20"/>
                <w:szCs w:val="20"/>
              </w:rPr>
            </w:pPr>
            <w:r w:rsidRPr="00D17A6F">
              <w:rPr>
                <w:rFonts w:cs="Arial"/>
                <w:b/>
                <w:color w:val="000000"/>
                <w:sz w:val="20"/>
                <w:szCs w:val="20"/>
              </w:rPr>
              <w:t>10,840</w:t>
            </w:r>
          </w:p>
        </w:tc>
        <w:tc>
          <w:tcPr>
            <w:tcW w:w="1281" w:type="pct"/>
            <w:shd w:val="clear" w:color="auto" w:fill="DBE5F1" w:themeFill="accent1" w:themeFillTint="33"/>
            <w:vAlign w:val="bottom"/>
          </w:tcPr>
          <w:p w:rsidR="00064542" w:rsidRPr="000C41E1" w:rsidRDefault="00064542" w:rsidP="005A1057">
            <w:pPr>
              <w:pStyle w:val="TableTextNoSpace"/>
              <w:rPr>
                <w:rFonts w:cs="Arial"/>
                <w:b/>
                <w:color w:val="000000"/>
                <w:sz w:val="20"/>
                <w:szCs w:val="20"/>
              </w:rPr>
            </w:pPr>
            <w:r w:rsidRPr="00D17A6F">
              <w:rPr>
                <w:rFonts w:cs="Arial"/>
                <w:b/>
                <w:color w:val="000000"/>
                <w:sz w:val="20"/>
                <w:szCs w:val="20"/>
              </w:rPr>
              <w:t>11.</w:t>
            </w:r>
            <w:r w:rsidR="009F35BF">
              <w:rPr>
                <w:rFonts w:cs="Arial"/>
                <w:b/>
                <w:color w:val="000000"/>
                <w:sz w:val="20"/>
                <w:szCs w:val="20"/>
              </w:rPr>
              <w:t>2</w:t>
            </w:r>
          </w:p>
        </w:tc>
      </w:tr>
    </w:tbl>
    <w:p w:rsidR="002F67F3" w:rsidRPr="00BF05FC" w:rsidRDefault="005F0EA6" w:rsidP="00BF05FC">
      <w:pPr>
        <w:pStyle w:val="BodyText"/>
        <w:ind w:left="0" w:firstLine="851"/>
        <w:rPr>
          <w:i/>
        </w:rPr>
      </w:pPr>
      <w:r w:rsidRPr="005A1057">
        <w:rPr>
          <w:i/>
        </w:rPr>
        <w:t xml:space="preserve">Source: National research presented in the </w:t>
      </w:r>
      <w:hyperlink r:id="rId26" w:history="1">
        <w:r w:rsidRPr="005A1057">
          <w:rPr>
            <w:rStyle w:val="Hyperlink"/>
            <w:i/>
          </w:rPr>
          <w:t>online database</w:t>
        </w:r>
      </w:hyperlink>
      <w:r w:rsidRPr="005A1057">
        <w:rPr>
          <w:i/>
        </w:rPr>
        <w:t>.</w:t>
      </w:r>
    </w:p>
    <w:p w:rsidR="00F75B22" w:rsidRDefault="00F75B22" w:rsidP="00546996">
      <w:pPr>
        <w:pStyle w:val="AnnexTable"/>
        <w:tabs>
          <w:tab w:val="num" w:pos="2160"/>
        </w:tabs>
        <w:ind w:hanging="1967"/>
      </w:pPr>
      <w:bookmarkStart w:id="327" w:name="_Ref398149127"/>
      <w:bookmarkStart w:id="328" w:name="_Toc408908653"/>
      <w:r>
        <w:t>Number of c</w:t>
      </w:r>
      <w:r w:rsidRPr="00652614">
        <w:t>hild maintenance cases</w:t>
      </w:r>
      <w:bookmarkEnd w:id="325"/>
      <w:bookmarkEnd w:id="327"/>
      <w:r w:rsidR="00483B57">
        <w:t xml:space="preserve"> (CivAdm040)</w:t>
      </w:r>
      <w:bookmarkEnd w:id="328"/>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32"/>
        <w:gridCol w:w="1259"/>
        <w:gridCol w:w="1986"/>
        <w:gridCol w:w="1441"/>
        <w:gridCol w:w="2142"/>
      </w:tblGrid>
      <w:tr w:rsidR="00064542" w:rsidTr="00BF05FC">
        <w:trPr>
          <w:tblHeader/>
        </w:trPr>
        <w:tc>
          <w:tcPr>
            <w:tcW w:w="916" w:type="pct"/>
            <w:shd w:val="clear" w:color="auto" w:fill="DBE5F1" w:themeFill="accent1" w:themeFillTint="33"/>
          </w:tcPr>
          <w:p w:rsidR="00064542" w:rsidRPr="00BF05FC" w:rsidRDefault="00064542" w:rsidP="00BF05FC">
            <w:pPr>
              <w:pStyle w:val="TableTextNoSpace"/>
              <w:rPr>
                <w:b/>
              </w:rPr>
            </w:pPr>
            <w:r w:rsidRPr="00BF05FC">
              <w:rPr>
                <w:b/>
              </w:rPr>
              <w:t>Member State</w:t>
            </w:r>
          </w:p>
        </w:tc>
        <w:tc>
          <w:tcPr>
            <w:tcW w:w="1941" w:type="pct"/>
            <w:gridSpan w:val="2"/>
            <w:shd w:val="clear" w:color="auto" w:fill="DBE5F1" w:themeFill="accent1" w:themeFillTint="33"/>
          </w:tcPr>
          <w:p w:rsidR="00064542" w:rsidRPr="00BF05FC" w:rsidRDefault="00064542" w:rsidP="00BF05FC">
            <w:pPr>
              <w:pStyle w:val="TableTextNoSpace"/>
              <w:rPr>
                <w:b/>
              </w:rPr>
            </w:pPr>
            <w:r w:rsidRPr="00BF05FC">
              <w:rPr>
                <w:b/>
              </w:rPr>
              <w:t>2008</w:t>
            </w:r>
          </w:p>
        </w:tc>
        <w:tc>
          <w:tcPr>
            <w:tcW w:w="2144" w:type="pct"/>
            <w:gridSpan w:val="2"/>
            <w:shd w:val="clear" w:color="auto" w:fill="DBE5F1" w:themeFill="accent1" w:themeFillTint="33"/>
          </w:tcPr>
          <w:p w:rsidR="00064542" w:rsidRPr="00BF05FC" w:rsidRDefault="00064542" w:rsidP="00BF05FC">
            <w:pPr>
              <w:pStyle w:val="TableTextNoSpace"/>
              <w:rPr>
                <w:b/>
              </w:rPr>
            </w:pPr>
            <w:r w:rsidRPr="00BF05FC">
              <w:rPr>
                <w:b/>
              </w:rPr>
              <w:t>2010</w:t>
            </w:r>
          </w:p>
        </w:tc>
      </w:tr>
      <w:tr w:rsidR="00BF05FC" w:rsidTr="00BF05FC">
        <w:trPr>
          <w:tblHeader/>
        </w:trPr>
        <w:tc>
          <w:tcPr>
            <w:tcW w:w="916" w:type="pct"/>
            <w:shd w:val="clear" w:color="auto" w:fill="DBE5F1" w:themeFill="accent1" w:themeFillTint="33"/>
          </w:tcPr>
          <w:p w:rsidR="00064542" w:rsidRPr="00BF05FC" w:rsidRDefault="00064542" w:rsidP="00BF05FC">
            <w:pPr>
              <w:pStyle w:val="TableTextNoSpace"/>
              <w:rPr>
                <w:b/>
              </w:rPr>
            </w:pPr>
          </w:p>
        </w:tc>
        <w:tc>
          <w:tcPr>
            <w:tcW w:w="753" w:type="pct"/>
            <w:shd w:val="clear" w:color="auto" w:fill="DBE5F1" w:themeFill="accent1" w:themeFillTint="33"/>
          </w:tcPr>
          <w:p w:rsidR="00064542" w:rsidRPr="00BF05FC" w:rsidRDefault="00064542" w:rsidP="00BF05FC">
            <w:pPr>
              <w:pStyle w:val="TableTextNoSpace"/>
              <w:rPr>
                <w:b/>
              </w:rPr>
            </w:pPr>
            <w:r w:rsidRPr="00BF05FC">
              <w:rPr>
                <w:b/>
              </w:rPr>
              <w:t>Number</w:t>
            </w:r>
          </w:p>
        </w:tc>
        <w:tc>
          <w:tcPr>
            <w:tcW w:w="1187" w:type="pct"/>
            <w:shd w:val="clear" w:color="auto" w:fill="DBE5F1" w:themeFill="accent1" w:themeFillTint="33"/>
          </w:tcPr>
          <w:p w:rsidR="00064542" w:rsidRPr="00BF05FC" w:rsidRDefault="00064542" w:rsidP="00BF05FC">
            <w:pPr>
              <w:pStyle w:val="TableTextNoSpace"/>
              <w:rPr>
                <w:b/>
              </w:rPr>
            </w:pPr>
            <w:r w:rsidRPr="00BF05FC">
              <w:rPr>
                <w:b/>
              </w:rPr>
              <w:t>Per 100,000 child population</w:t>
            </w:r>
          </w:p>
        </w:tc>
        <w:tc>
          <w:tcPr>
            <w:tcW w:w="862" w:type="pct"/>
            <w:shd w:val="clear" w:color="auto" w:fill="DBE5F1" w:themeFill="accent1" w:themeFillTint="33"/>
          </w:tcPr>
          <w:p w:rsidR="00064542" w:rsidRPr="00BF05FC" w:rsidRDefault="00064542" w:rsidP="00BF05FC">
            <w:pPr>
              <w:pStyle w:val="TableTextNoSpace"/>
              <w:rPr>
                <w:b/>
              </w:rPr>
            </w:pPr>
            <w:r w:rsidRPr="00BF05FC">
              <w:rPr>
                <w:b/>
              </w:rPr>
              <w:t>Number</w:t>
            </w:r>
          </w:p>
        </w:tc>
        <w:tc>
          <w:tcPr>
            <w:tcW w:w="1281" w:type="pct"/>
            <w:shd w:val="clear" w:color="auto" w:fill="DBE5F1" w:themeFill="accent1" w:themeFillTint="33"/>
          </w:tcPr>
          <w:p w:rsidR="00064542" w:rsidRPr="00BF05FC" w:rsidRDefault="00064542" w:rsidP="00BF05FC">
            <w:pPr>
              <w:pStyle w:val="TableTextNoSpace"/>
              <w:rPr>
                <w:b/>
              </w:rPr>
            </w:pPr>
            <w:r w:rsidRPr="00BF05FC">
              <w:rPr>
                <w:b/>
              </w:rPr>
              <w:t>Per 100,000 child population</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BG</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2,710</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210.1</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3,834</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304.4</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CZ</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97,072</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5,221.4</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98,678</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5,342.6</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DE</w:t>
            </w:r>
          </w:p>
        </w:tc>
        <w:tc>
          <w:tcPr>
            <w:tcW w:w="753" w:type="pct"/>
            <w:shd w:val="clear" w:color="auto" w:fill="auto"/>
            <w:vAlign w:val="bottom"/>
          </w:tcPr>
          <w:p w:rsidR="00064542" w:rsidRPr="00F2479C" w:rsidRDefault="00064542" w:rsidP="00BF05FC">
            <w:pPr>
              <w:pStyle w:val="TableTextNoSpace"/>
              <w:rPr>
                <w:rFonts w:cs="Arial"/>
                <w:color w:val="000000"/>
                <w:sz w:val="20"/>
                <w:szCs w:val="20"/>
              </w:rPr>
            </w:pPr>
          </w:p>
        </w:tc>
        <w:tc>
          <w:tcPr>
            <w:tcW w:w="1187" w:type="pct"/>
            <w:shd w:val="clear" w:color="auto" w:fill="auto"/>
            <w:vAlign w:val="bottom"/>
          </w:tcPr>
          <w:p w:rsidR="00064542" w:rsidRPr="00F2479C" w:rsidRDefault="00064542" w:rsidP="00BF05FC">
            <w:pPr>
              <w:pStyle w:val="TableTextNoSpace"/>
              <w:rPr>
                <w:rFonts w:cs="Arial"/>
                <w:color w:val="000000"/>
                <w:sz w:val="20"/>
                <w:szCs w:val="20"/>
              </w:rPr>
            </w:pP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88,440</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656.0</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HR</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114</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13.6</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101</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12.3</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HU</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14,280</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759.2</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15,678</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858.2</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MT</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121</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145.0</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90</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111.7</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AT</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34,367</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2,177.5</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27,367</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1,775.1</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PL</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85,479</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1,141.6</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94,535</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1,307.3</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SI</w:t>
            </w:r>
          </w:p>
        </w:tc>
        <w:tc>
          <w:tcPr>
            <w:tcW w:w="753"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3,552</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1,029.1</w:t>
            </w:r>
          </w:p>
        </w:tc>
        <w:tc>
          <w:tcPr>
            <w:tcW w:w="862" w:type="pct"/>
            <w:shd w:val="clear" w:color="auto" w:fill="auto"/>
            <w:vAlign w:val="bottom"/>
          </w:tcPr>
          <w:p w:rsidR="00064542" w:rsidRPr="00652614" w:rsidRDefault="00064542" w:rsidP="00BF05FC">
            <w:pPr>
              <w:pStyle w:val="TableTextNoSpace"/>
              <w:rPr>
                <w:rFonts w:cs="Arial"/>
                <w:color w:val="000000"/>
                <w:sz w:val="20"/>
                <w:szCs w:val="20"/>
              </w:rPr>
            </w:pPr>
            <w:r w:rsidRPr="00652614">
              <w:rPr>
                <w:rFonts w:cs="Arial"/>
                <w:color w:val="000000"/>
                <w:sz w:val="20"/>
                <w:szCs w:val="20"/>
              </w:rPr>
              <w:t>3,303</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949.0</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SK</w:t>
            </w:r>
          </w:p>
        </w:tc>
        <w:tc>
          <w:tcPr>
            <w:tcW w:w="753" w:type="pct"/>
            <w:shd w:val="clear" w:color="auto" w:fill="auto"/>
            <w:vAlign w:val="center"/>
          </w:tcPr>
          <w:p w:rsidR="00064542" w:rsidRPr="00652614" w:rsidRDefault="00064542" w:rsidP="00BF05FC">
            <w:pPr>
              <w:pStyle w:val="TableTextNoSpace"/>
              <w:rPr>
                <w:rFonts w:cs="Arial"/>
                <w:color w:val="000000"/>
                <w:sz w:val="20"/>
                <w:szCs w:val="20"/>
              </w:rPr>
            </w:pPr>
            <w:r w:rsidRPr="00652614">
              <w:rPr>
                <w:rFonts w:cs="Arial"/>
                <w:color w:val="000000"/>
                <w:sz w:val="20"/>
                <w:szCs w:val="20"/>
              </w:rPr>
              <w:t>25,444</w:t>
            </w:r>
          </w:p>
        </w:tc>
        <w:tc>
          <w:tcPr>
            <w:tcW w:w="1187"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2,353.7</w:t>
            </w:r>
          </w:p>
        </w:tc>
        <w:tc>
          <w:tcPr>
            <w:tcW w:w="862" w:type="pct"/>
            <w:shd w:val="clear" w:color="auto" w:fill="auto"/>
            <w:vAlign w:val="center"/>
          </w:tcPr>
          <w:p w:rsidR="00064542" w:rsidRPr="00652614" w:rsidRDefault="00064542" w:rsidP="00BF05FC">
            <w:pPr>
              <w:pStyle w:val="TableTextNoSpace"/>
              <w:rPr>
                <w:rFonts w:cs="Arial"/>
                <w:color w:val="000000"/>
                <w:sz w:val="20"/>
                <w:szCs w:val="20"/>
              </w:rPr>
            </w:pPr>
            <w:r w:rsidRPr="00652614">
              <w:rPr>
                <w:rFonts w:cs="Arial"/>
                <w:color w:val="000000"/>
                <w:sz w:val="20"/>
                <w:szCs w:val="20"/>
              </w:rPr>
              <w:t>26,497</w:t>
            </w:r>
          </w:p>
        </w:tc>
        <w:tc>
          <w:tcPr>
            <w:tcW w:w="1281" w:type="pct"/>
            <w:shd w:val="clear" w:color="auto" w:fill="auto"/>
            <w:vAlign w:val="bottom"/>
          </w:tcPr>
          <w:p w:rsidR="00064542" w:rsidRPr="00652614" w:rsidRDefault="00064542" w:rsidP="00BF05FC">
            <w:pPr>
              <w:pStyle w:val="TableTextNoSpace"/>
              <w:rPr>
                <w:rFonts w:cs="Arial"/>
                <w:color w:val="000000"/>
                <w:sz w:val="20"/>
                <w:szCs w:val="20"/>
              </w:rPr>
            </w:pPr>
            <w:r w:rsidRPr="00431804">
              <w:rPr>
                <w:rFonts w:cs="Arial"/>
                <w:color w:val="000000"/>
                <w:sz w:val="20"/>
                <w:szCs w:val="20"/>
              </w:rPr>
              <w:t>2,539.9</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rFonts w:cs="Arial"/>
                <w:b/>
                <w:color w:val="000000"/>
                <w:sz w:val="20"/>
                <w:szCs w:val="20"/>
              </w:rPr>
            </w:pPr>
            <w:r w:rsidRPr="00BF05FC">
              <w:rPr>
                <w:rFonts w:cs="Arial"/>
                <w:b/>
                <w:color w:val="000000"/>
                <w:sz w:val="20"/>
                <w:szCs w:val="20"/>
              </w:rPr>
              <w:t>Total</w:t>
            </w:r>
          </w:p>
        </w:tc>
        <w:tc>
          <w:tcPr>
            <w:tcW w:w="753" w:type="pct"/>
            <w:shd w:val="clear" w:color="auto" w:fill="DBE5F1" w:themeFill="accent1" w:themeFillTint="33"/>
          </w:tcPr>
          <w:p w:rsidR="00064542" w:rsidRPr="00431804" w:rsidRDefault="00064542" w:rsidP="00BF05FC">
            <w:pPr>
              <w:pStyle w:val="TableTextNoSpace"/>
              <w:rPr>
                <w:rFonts w:cs="Arial"/>
                <w:b/>
                <w:color w:val="000000"/>
                <w:sz w:val="20"/>
                <w:szCs w:val="20"/>
              </w:rPr>
            </w:pPr>
            <w:r w:rsidRPr="00431804">
              <w:rPr>
                <w:rFonts w:cs="Arial"/>
                <w:b/>
                <w:color w:val="000000"/>
                <w:sz w:val="20"/>
                <w:szCs w:val="20"/>
              </w:rPr>
              <w:t>263,139</w:t>
            </w:r>
          </w:p>
        </w:tc>
        <w:tc>
          <w:tcPr>
            <w:tcW w:w="1187" w:type="pct"/>
            <w:shd w:val="clear" w:color="auto" w:fill="DBE5F1" w:themeFill="accent1" w:themeFillTint="33"/>
          </w:tcPr>
          <w:p w:rsidR="00064542" w:rsidRPr="00431804" w:rsidRDefault="00064542" w:rsidP="00BF05FC">
            <w:pPr>
              <w:pStyle w:val="TableTextNoSpace"/>
              <w:rPr>
                <w:rFonts w:cs="Arial"/>
                <w:b/>
                <w:color w:val="000000"/>
                <w:sz w:val="20"/>
                <w:szCs w:val="20"/>
              </w:rPr>
            </w:pPr>
            <w:r w:rsidRPr="00431804">
              <w:rPr>
                <w:rFonts w:cs="Arial"/>
                <w:b/>
                <w:color w:val="000000"/>
                <w:sz w:val="20"/>
                <w:szCs w:val="20"/>
              </w:rPr>
              <w:t>1,600.1</w:t>
            </w:r>
          </w:p>
        </w:tc>
        <w:tc>
          <w:tcPr>
            <w:tcW w:w="862" w:type="pct"/>
            <w:shd w:val="clear" w:color="auto" w:fill="DBE5F1" w:themeFill="accent1" w:themeFillTint="33"/>
          </w:tcPr>
          <w:p w:rsidR="00064542" w:rsidRPr="00431804" w:rsidRDefault="00064542" w:rsidP="00BF05FC">
            <w:pPr>
              <w:pStyle w:val="TableTextNoSpace"/>
              <w:rPr>
                <w:rFonts w:cs="Arial"/>
                <w:b/>
                <w:color w:val="000000"/>
                <w:sz w:val="20"/>
                <w:szCs w:val="20"/>
              </w:rPr>
            </w:pPr>
            <w:r w:rsidRPr="00431804">
              <w:rPr>
                <w:rFonts w:cs="Arial"/>
                <w:b/>
                <w:color w:val="000000"/>
                <w:sz w:val="20"/>
                <w:szCs w:val="20"/>
              </w:rPr>
              <w:t>358,523</w:t>
            </w:r>
          </w:p>
        </w:tc>
        <w:tc>
          <w:tcPr>
            <w:tcW w:w="1281" w:type="pct"/>
            <w:shd w:val="clear" w:color="auto" w:fill="DBE5F1" w:themeFill="accent1" w:themeFillTint="33"/>
          </w:tcPr>
          <w:p w:rsidR="00064542" w:rsidRPr="00431804" w:rsidRDefault="00064542" w:rsidP="00BF05FC">
            <w:pPr>
              <w:pStyle w:val="TableTextNoSpace"/>
              <w:rPr>
                <w:rFonts w:cs="Arial"/>
                <w:b/>
                <w:color w:val="000000"/>
                <w:sz w:val="20"/>
                <w:szCs w:val="20"/>
              </w:rPr>
            </w:pPr>
            <w:r w:rsidRPr="00431804">
              <w:rPr>
                <w:rFonts w:cs="Arial"/>
                <w:b/>
                <w:color w:val="000000"/>
                <w:sz w:val="20"/>
                <w:szCs w:val="20"/>
              </w:rPr>
              <w:t>1,216.0</w:t>
            </w:r>
          </w:p>
        </w:tc>
      </w:tr>
    </w:tbl>
    <w:p w:rsidR="005F0EA6" w:rsidRPr="00D17A45" w:rsidRDefault="005F0EA6" w:rsidP="00BF05FC">
      <w:pPr>
        <w:pStyle w:val="BodyText"/>
        <w:ind w:left="0" w:firstLine="851"/>
        <w:rPr>
          <w:i/>
        </w:rPr>
      </w:pPr>
      <w:r w:rsidRPr="00D17A45">
        <w:rPr>
          <w:i/>
        </w:rPr>
        <w:t xml:space="preserve">Source: National research presented in the </w:t>
      </w:r>
      <w:hyperlink r:id="rId27" w:history="1">
        <w:r w:rsidRPr="00D17A45">
          <w:rPr>
            <w:rStyle w:val="Hyperlink"/>
            <w:i/>
          </w:rPr>
          <w:t>online database</w:t>
        </w:r>
      </w:hyperlink>
      <w:r w:rsidRPr="00D17A45">
        <w:rPr>
          <w:i/>
        </w:rPr>
        <w:t>.</w:t>
      </w:r>
      <w:r w:rsidR="00A83745">
        <w:rPr>
          <w:i/>
        </w:rPr>
        <w:t xml:space="preserve"> </w:t>
      </w:r>
      <w:r w:rsidR="00A83745" w:rsidRPr="00D17A45">
        <w:rPr>
          <w:i/>
        </w:rPr>
        <w:t>Note: Blank = Not available</w:t>
      </w:r>
    </w:p>
    <w:p w:rsidR="00F75B22" w:rsidRDefault="00F75B22" w:rsidP="00F75B22"/>
    <w:p w:rsidR="00F75B22" w:rsidRDefault="00F75B22" w:rsidP="00BF05FC">
      <w:pPr>
        <w:pStyle w:val="AnnexTable"/>
        <w:ind w:left="2160" w:hanging="1440"/>
      </w:pPr>
      <w:bookmarkStart w:id="329" w:name="_Ref395861467"/>
      <w:bookmarkStart w:id="330" w:name="_Toc408908654"/>
      <w:r w:rsidRPr="00D37409">
        <w:t>Number of children who have received sanctions for criminal ty</w:t>
      </w:r>
      <w:r w:rsidR="00F03946">
        <w:t>pe or anti-social behaviour (e.g</w:t>
      </w:r>
      <w:r w:rsidRPr="00D37409">
        <w:t>. ASBOS)</w:t>
      </w:r>
      <w:r w:rsidR="00483B57">
        <w:t xml:space="preserve"> (CivAdm036</w:t>
      </w:r>
      <w:r w:rsidRPr="00D37409">
        <w:t>)</w:t>
      </w:r>
      <w:bookmarkEnd w:id="329"/>
      <w:bookmarkEnd w:id="330"/>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32"/>
        <w:gridCol w:w="1259"/>
        <w:gridCol w:w="1986"/>
        <w:gridCol w:w="1441"/>
        <w:gridCol w:w="2142"/>
      </w:tblGrid>
      <w:tr w:rsidR="00064542" w:rsidRPr="00064542" w:rsidTr="00BF05FC">
        <w:trPr>
          <w:tblHeader/>
        </w:trPr>
        <w:tc>
          <w:tcPr>
            <w:tcW w:w="916" w:type="pct"/>
            <w:shd w:val="clear" w:color="auto" w:fill="DBE5F1" w:themeFill="accent1" w:themeFillTint="33"/>
          </w:tcPr>
          <w:p w:rsidR="00064542" w:rsidRPr="00BF05FC" w:rsidRDefault="00064542" w:rsidP="00BF05FC">
            <w:pPr>
              <w:pStyle w:val="TableTextNoSpace"/>
              <w:rPr>
                <w:b/>
              </w:rPr>
            </w:pPr>
            <w:r w:rsidRPr="00BF05FC">
              <w:rPr>
                <w:b/>
              </w:rPr>
              <w:t>Member State</w:t>
            </w:r>
          </w:p>
        </w:tc>
        <w:tc>
          <w:tcPr>
            <w:tcW w:w="1941" w:type="pct"/>
            <w:gridSpan w:val="2"/>
            <w:shd w:val="clear" w:color="auto" w:fill="DBE5F1" w:themeFill="accent1" w:themeFillTint="33"/>
          </w:tcPr>
          <w:p w:rsidR="00064542" w:rsidRPr="00BF05FC" w:rsidRDefault="00064542" w:rsidP="00BF05FC">
            <w:pPr>
              <w:pStyle w:val="TableTextNoSpace"/>
              <w:rPr>
                <w:b/>
              </w:rPr>
            </w:pPr>
            <w:r w:rsidRPr="00BF05FC">
              <w:rPr>
                <w:b/>
              </w:rPr>
              <w:t>2008</w:t>
            </w:r>
          </w:p>
        </w:tc>
        <w:tc>
          <w:tcPr>
            <w:tcW w:w="2144" w:type="pct"/>
            <w:gridSpan w:val="2"/>
            <w:shd w:val="clear" w:color="auto" w:fill="DBE5F1" w:themeFill="accent1" w:themeFillTint="33"/>
          </w:tcPr>
          <w:p w:rsidR="00064542" w:rsidRPr="00BF05FC" w:rsidRDefault="00064542" w:rsidP="00BF05FC">
            <w:pPr>
              <w:pStyle w:val="TableTextNoSpace"/>
              <w:rPr>
                <w:b/>
              </w:rPr>
            </w:pPr>
            <w:r w:rsidRPr="00BF05FC">
              <w:rPr>
                <w:b/>
              </w:rPr>
              <w:t>2010</w:t>
            </w:r>
          </w:p>
        </w:tc>
      </w:tr>
      <w:tr w:rsidR="00BF05FC" w:rsidRPr="00064542" w:rsidTr="00BF05FC">
        <w:trPr>
          <w:tblHeader/>
        </w:trPr>
        <w:tc>
          <w:tcPr>
            <w:tcW w:w="916" w:type="pct"/>
            <w:shd w:val="clear" w:color="auto" w:fill="DBE5F1" w:themeFill="accent1" w:themeFillTint="33"/>
          </w:tcPr>
          <w:p w:rsidR="00064542" w:rsidRPr="00BF05FC" w:rsidRDefault="00064542" w:rsidP="00BF05FC">
            <w:pPr>
              <w:pStyle w:val="TableTextNoSpace"/>
              <w:rPr>
                <w:b/>
                <w:color w:val="FF0000"/>
              </w:rPr>
            </w:pPr>
          </w:p>
        </w:tc>
        <w:tc>
          <w:tcPr>
            <w:tcW w:w="753" w:type="pct"/>
            <w:shd w:val="clear" w:color="auto" w:fill="DBE5F1" w:themeFill="accent1" w:themeFillTint="33"/>
          </w:tcPr>
          <w:p w:rsidR="00064542" w:rsidRPr="00BF05FC" w:rsidRDefault="00064542" w:rsidP="00BF05FC">
            <w:pPr>
              <w:pStyle w:val="TableTextNoSpace"/>
              <w:rPr>
                <w:b/>
                <w:color w:val="FF0000"/>
              </w:rPr>
            </w:pPr>
            <w:r w:rsidRPr="00BF05FC">
              <w:rPr>
                <w:b/>
              </w:rPr>
              <w:t>Number</w:t>
            </w:r>
          </w:p>
        </w:tc>
        <w:tc>
          <w:tcPr>
            <w:tcW w:w="1187" w:type="pct"/>
            <w:shd w:val="clear" w:color="auto" w:fill="DBE5F1" w:themeFill="accent1" w:themeFillTint="33"/>
          </w:tcPr>
          <w:p w:rsidR="00064542" w:rsidRPr="00BF05FC" w:rsidRDefault="00064542" w:rsidP="00BF05FC">
            <w:pPr>
              <w:pStyle w:val="TableTextNoSpace"/>
              <w:rPr>
                <w:b/>
                <w:color w:val="FF0000"/>
              </w:rPr>
            </w:pPr>
            <w:r w:rsidRPr="00BF05FC">
              <w:rPr>
                <w:b/>
              </w:rPr>
              <w:t>Per 100,000 child population</w:t>
            </w:r>
          </w:p>
        </w:tc>
        <w:tc>
          <w:tcPr>
            <w:tcW w:w="862" w:type="pct"/>
            <w:shd w:val="clear" w:color="auto" w:fill="DBE5F1" w:themeFill="accent1" w:themeFillTint="33"/>
          </w:tcPr>
          <w:p w:rsidR="00064542" w:rsidRPr="00BF05FC" w:rsidRDefault="00064542" w:rsidP="00BF05FC">
            <w:pPr>
              <w:pStyle w:val="TableTextNoSpace"/>
              <w:rPr>
                <w:b/>
                <w:color w:val="FF0000"/>
              </w:rPr>
            </w:pPr>
            <w:r w:rsidRPr="00BF05FC">
              <w:rPr>
                <w:b/>
              </w:rPr>
              <w:t>Number</w:t>
            </w:r>
          </w:p>
        </w:tc>
        <w:tc>
          <w:tcPr>
            <w:tcW w:w="1281" w:type="pct"/>
            <w:shd w:val="clear" w:color="auto" w:fill="DBE5F1" w:themeFill="accent1" w:themeFillTint="33"/>
          </w:tcPr>
          <w:p w:rsidR="00064542" w:rsidRPr="00BF05FC" w:rsidRDefault="00064542" w:rsidP="00BF05FC">
            <w:pPr>
              <w:pStyle w:val="TableTextNoSpace"/>
              <w:rPr>
                <w:b/>
                <w:color w:val="FF0000"/>
              </w:rPr>
            </w:pPr>
            <w:r w:rsidRPr="00BF05FC">
              <w:rPr>
                <w:b/>
              </w:rPr>
              <w:t>Per 100,000 child population</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BG</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1,180</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91.5</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1,246</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98.9</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HR</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958</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114.1</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925</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112.3</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LV</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1,102</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270.0</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1,962</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506.7</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LT</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1,231</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182.7</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1,104</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173.6</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PL</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20,089</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268.3</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16,118</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222.9</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SI</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530</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153.5</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1,412</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405.7</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SK</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1,372</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126.9</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1,394</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133.6</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Total</w:t>
            </w:r>
          </w:p>
        </w:tc>
        <w:tc>
          <w:tcPr>
            <w:tcW w:w="753" w:type="pct"/>
            <w:shd w:val="clear" w:color="auto" w:fill="DBE5F1" w:themeFill="accent1" w:themeFillTint="33"/>
            <w:vAlign w:val="center"/>
          </w:tcPr>
          <w:p w:rsidR="00064542" w:rsidRPr="00BF05FC" w:rsidRDefault="00064542" w:rsidP="00BF05FC">
            <w:pPr>
              <w:pStyle w:val="TableTextNoSpace"/>
              <w:rPr>
                <w:rFonts w:cs="Arial"/>
                <w:b/>
                <w:szCs w:val="20"/>
              </w:rPr>
            </w:pPr>
            <w:r w:rsidRPr="00BF05FC">
              <w:rPr>
                <w:rFonts w:cs="Arial"/>
                <w:b/>
                <w:szCs w:val="20"/>
              </w:rPr>
              <w:t>26,462</w:t>
            </w:r>
          </w:p>
        </w:tc>
        <w:tc>
          <w:tcPr>
            <w:tcW w:w="1187"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218.2</w:t>
            </w:r>
          </w:p>
        </w:tc>
        <w:tc>
          <w:tcPr>
            <w:tcW w:w="862" w:type="pct"/>
            <w:shd w:val="clear" w:color="auto" w:fill="DBE5F1" w:themeFill="accent1" w:themeFillTint="33"/>
            <w:vAlign w:val="center"/>
          </w:tcPr>
          <w:p w:rsidR="00064542" w:rsidRPr="00BF05FC" w:rsidRDefault="00064542" w:rsidP="00BF05FC">
            <w:pPr>
              <w:pStyle w:val="TableTextNoSpace"/>
              <w:rPr>
                <w:rFonts w:cs="Arial"/>
                <w:b/>
                <w:szCs w:val="20"/>
              </w:rPr>
            </w:pPr>
            <w:r w:rsidRPr="00BF05FC">
              <w:rPr>
                <w:rFonts w:cs="Arial"/>
                <w:b/>
                <w:szCs w:val="20"/>
              </w:rPr>
              <w:t>24,161</w:t>
            </w:r>
          </w:p>
        </w:tc>
        <w:tc>
          <w:tcPr>
            <w:tcW w:w="1281"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206.0</w:t>
            </w:r>
          </w:p>
        </w:tc>
      </w:tr>
    </w:tbl>
    <w:p w:rsidR="00064542" w:rsidRPr="00BF05FC" w:rsidRDefault="005F0EA6" w:rsidP="00A5732C">
      <w:pPr>
        <w:pStyle w:val="BodyText"/>
        <w:ind w:left="0" w:firstLine="851"/>
        <w:rPr>
          <w:i/>
        </w:rPr>
      </w:pPr>
      <w:r w:rsidRPr="00D17A45">
        <w:rPr>
          <w:i/>
        </w:rPr>
        <w:t xml:space="preserve">Source: National research presented in the </w:t>
      </w:r>
      <w:hyperlink r:id="rId28" w:history="1">
        <w:r w:rsidRPr="00D17A45">
          <w:rPr>
            <w:rStyle w:val="Hyperlink"/>
            <w:i/>
          </w:rPr>
          <w:t>online database</w:t>
        </w:r>
      </w:hyperlink>
      <w:r w:rsidRPr="00D17A45">
        <w:rPr>
          <w:i/>
        </w:rPr>
        <w:t>.</w:t>
      </w:r>
      <w:r w:rsidR="00A83745">
        <w:rPr>
          <w:i/>
        </w:rPr>
        <w:t xml:space="preserve"> </w:t>
      </w:r>
    </w:p>
    <w:p w:rsidR="00F75B22" w:rsidRPr="007C0028" w:rsidRDefault="00F75B22" w:rsidP="00BF05FC">
      <w:pPr>
        <w:pStyle w:val="AnnexTable"/>
        <w:tabs>
          <w:tab w:val="num" w:pos="2160"/>
        </w:tabs>
        <w:ind w:left="2250" w:hanging="1530"/>
      </w:pPr>
      <w:bookmarkStart w:id="331" w:name="_Ref395861708"/>
      <w:bookmarkStart w:id="332" w:name="_Toc408908655"/>
      <w:r w:rsidRPr="007C0028">
        <w:t>Number of children who have received sanctions imposed by the court for road traffic offences</w:t>
      </w:r>
      <w:bookmarkEnd w:id="331"/>
      <w:r w:rsidR="00483B57">
        <w:t xml:space="preserve"> (CivAdm037)</w:t>
      </w:r>
      <w:bookmarkEnd w:id="332"/>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32"/>
        <w:gridCol w:w="1259"/>
        <w:gridCol w:w="1986"/>
        <w:gridCol w:w="1441"/>
        <w:gridCol w:w="2142"/>
      </w:tblGrid>
      <w:tr w:rsidR="00064542" w:rsidRPr="00064542" w:rsidTr="00BF05FC">
        <w:trPr>
          <w:tblHeader/>
        </w:trPr>
        <w:tc>
          <w:tcPr>
            <w:tcW w:w="916" w:type="pct"/>
            <w:shd w:val="clear" w:color="auto" w:fill="DBE5F1" w:themeFill="accent1" w:themeFillTint="33"/>
          </w:tcPr>
          <w:p w:rsidR="00064542" w:rsidRPr="00BF05FC" w:rsidRDefault="00064542" w:rsidP="00BF05FC">
            <w:pPr>
              <w:pStyle w:val="TableTextNoSpace"/>
              <w:rPr>
                <w:b/>
              </w:rPr>
            </w:pPr>
            <w:r w:rsidRPr="00BF05FC">
              <w:rPr>
                <w:b/>
              </w:rPr>
              <w:t>Member State</w:t>
            </w:r>
          </w:p>
        </w:tc>
        <w:tc>
          <w:tcPr>
            <w:tcW w:w="1941" w:type="pct"/>
            <w:gridSpan w:val="2"/>
            <w:shd w:val="clear" w:color="auto" w:fill="DBE5F1" w:themeFill="accent1" w:themeFillTint="33"/>
          </w:tcPr>
          <w:p w:rsidR="00064542" w:rsidRPr="00BF05FC" w:rsidRDefault="00064542" w:rsidP="00BF05FC">
            <w:pPr>
              <w:pStyle w:val="TableTextNoSpace"/>
              <w:rPr>
                <w:b/>
              </w:rPr>
            </w:pPr>
            <w:r w:rsidRPr="00BF05FC">
              <w:rPr>
                <w:b/>
              </w:rPr>
              <w:t>2008</w:t>
            </w:r>
          </w:p>
        </w:tc>
        <w:tc>
          <w:tcPr>
            <w:tcW w:w="2144" w:type="pct"/>
            <w:gridSpan w:val="2"/>
            <w:shd w:val="clear" w:color="auto" w:fill="DBE5F1" w:themeFill="accent1" w:themeFillTint="33"/>
          </w:tcPr>
          <w:p w:rsidR="00064542" w:rsidRPr="00BF05FC" w:rsidRDefault="00064542" w:rsidP="00BF05FC">
            <w:pPr>
              <w:pStyle w:val="TableTextNoSpace"/>
              <w:rPr>
                <w:b/>
              </w:rPr>
            </w:pPr>
            <w:r w:rsidRPr="00BF05FC">
              <w:rPr>
                <w:b/>
              </w:rPr>
              <w:t>2010</w:t>
            </w:r>
          </w:p>
        </w:tc>
      </w:tr>
      <w:tr w:rsidR="00BF05FC" w:rsidRPr="00064542" w:rsidTr="00BF05FC">
        <w:trPr>
          <w:tblHeader/>
        </w:trPr>
        <w:tc>
          <w:tcPr>
            <w:tcW w:w="916" w:type="pct"/>
            <w:shd w:val="clear" w:color="auto" w:fill="DBE5F1" w:themeFill="accent1" w:themeFillTint="33"/>
          </w:tcPr>
          <w:p w:rsidR="00064542" w:rsidRPr="00BF05FC" w:rsidRDefault="00064542" w:rsidP="00BF05FC">
            <w:pPr>
              <w:pStyle w:val="TableTextNoSpace"/>
              <w:rPr>
                <w:b/>
              </w:rPr>
            </w:pPr>
          </w:p>
        </w:tc>
        <w:tc>
          <w:tcPr>
            <w:tcW w:w="753" w:type="pct"/>
            <w:shd w:val="clear" w:color="auto" w:fill="DBE5F1" w:themeFill="accent1" w:themeFillTint="33"/>
          </w:tcPr>
          <w:p w:rsidR="00064542" w:rsidRPr="00BF05FC" w:rsidRDefault="00064542" w:rsidP="00BF05FC">
            <w:pPr>
              <w:pStyle w:val="TableTextNoSpace"/>
              <w:rPr>
                <w:b/>
              </w:rPr>
            </w:pPr>
            <w:r w:rsidRPr="00BF05FC">
              <w:rPr>
                <w:b/>
              </w:rPr>
              <w:t>Number</w:t>
            </w:r>
          </w:p>
        </w:tc>
        <w:tc>
          <w:tcPr>
            <w:tcW w:w="1187" w:type="pct"/>
            <w:shd w:val="clear" w:color="auto" w:fill="DBE5F1" w:themeFill="accent1" w:themeFillTint="33"/>
          </w:tcPr>
          <w:p w:rsidR="00064542" w:rsidRPr="00BF05FC" w:rsidRDefault="00064542" w:rsidP="00BF05FC">
            <w:pPr>
              <w:pStyle w:val="TableTextNoSpace"/>
              <w:rPr>
                <w:b/>
              </w:rPr>
            </w:pPr>
            <w:r w:rsidRPr="00BF05FC">
              <w:rPr>
                <w:b/>
              </w:rPr>
              <w:t>Per 100,000 child population</w:t>
            </w:r>
          </w:p>
        </w:tc>
        <w:tc>
          <w:tcPr>
            <w:tcW w:w="862" w:type="pct"/>
            <w:shd w:val="clear" w:color="auto" w:fill="DBE5F1" w:themeFill="accent1" w:themeFillTint="33"/>
          </w:tcPr>
          <w:p w:rsidR="00064542" w:rsidRPr="00BF05FC" w:rsidRDefault="00064542" w:rsidP="00BF05FC">
            <w:pPr>
              <w:pStyle w:val="TableTextNoSpace"/>
              <w:rPr>
                <w:b/>
              </w:rPr>
            </w:pPr>
            <w:r w:rsidRPr="00BF05FC">
              <w:rPr>
                <w:b/>
              </w:rPr>
              <w:t>Number</w:t>
            </w:r>
          </w:p>
        </w:tc>
        <w:tc>
          <w:tcPr>
            <w:tcW w:w="1281" w:type="pct"/>
            <w:shd w:val="clear" w:color="auto" w:fill="DBE5F1" w:themeFill="accent1" w:themeFillTint="33"/>
          </w:tcPr>
          <w:p w:rsidR="00064542" w:rsidRPr="00BF05FC" w:rsidRDefault="00064542" w:rsidP="00BF05FC">
            <w:pPr>
              <w:pStyle w:val="TableTextNoSpace"/>
              <w:rPr>
                <w:b/>
              </w:rPr>
            </w:pPr>
            <w:r w:rsidRPr="00BF05FC">
              <w:rPr>
                <w:b/>
              </w:rPr>
              <w:t>Per 100,000 child population</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BE</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271</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12.3</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178</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8.0</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DE</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6,319</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45.2</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4,745</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35.2</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HR</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30</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3.6</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20</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2.4</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LT</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4</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0.6</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0.5</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RO</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3,624</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88.8</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3,079</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77.6</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SI</w:t>
            </w:r>
          </w:p>
        </w:tc>
        <w:tc>
          <w:tcPr>
            <w:tcW w:w="753"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1,189</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344.5</w:t>
            </w:r>
          </w:p>
        </w:tc>
        <w:tc>
          <w:tcPr>
            <w:tcW w:w="862"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2,048</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588.4</w:t>
            </w:r>
          </w:p>
        </w:tc>
      </w:tr>
      <w:tr w:rsidR="00BF05FC" w:rsidRPr="00064542" w:rsidTr="00BF05FC">
        <w:tc>
          <w:tcPr>
            <w:tcW w:w="916" w:type="pct"/>
            <w:shd w:val="clear" w:color="auto" w:fill="DBE5F1" w:themeFill="accent1" w:themeFillTint="33"/>
          </w:tcPr>
          <w:p w:rsidR="00064542" w:rsidRPr="00BF05FC" w:rsidRDefault="00064542" w:rsidP="00BF05FC">
            <w:pPr>
              <w:pStyle w:val="TableTextNoSpace"/>
              <w:rPr>
                <w:b/>
              </w:rPr>
            </w:pPr>
            <w:r w:rsidRPr="00BF05FC">
              <w:rPr>
                <w:b/>
              </w:rPr>
              <w:t>Total</w:t>
            </w:r>
          </w:p>
        </w:tc>
        <w:tc>
          <w:tcPr>
            <w:tcW w:w="753" w:type="pct"/>
            <w:shd w:val="clear" w:color="auto" w:fill="DBE5F1" w:themeFill="accent1" w:themeFillTint="33"/>
          </w:tcPr>
          <w:p w:rsidR="00064542" w:rsidRPr="00BF05FC" w:rsidRDefault="00064542" w:rsidP="00BF05FC">
            <w:pPr>
              <w:pStyle w:val="TableTextNoSpace"/>
              <w:rPr>
                <w:rFonts w:cs="Arial"/>
                <w:b/>
                <w:szCs w:val="20"/>
              </w:rPr>
            </w:pPr>
            <w:r w:rsidRPr="00BF05FC">
              <w:rPr>
                <w:rFonts w:cs="Arial"/>
                <w:b/>
                <w:szCs w:val="20"/>
              </w:rPr>
              <w:t>11,437</w:t>
            </w:r>
          </w:p>
        </w:tc>
        <w:tc>
          <w:tcPr>
            <w:tcW w:w="1187"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51.7</w:t>
            </w:r>
          </w:p>
        </w:tc>
        <w:tc>
          <w:tcPr>
            <w:tcW w:w="862" w:type="pct"/>
            <w:shd w:val="clear" w:color="auto" w:fill="DBE5F1" w:themeFill="accent1" w:themeFillTint="33"/>
          </w:tcPr>
          <w:p w:rsidR="00064542" w:rsidRPr="00BF05FC" w:rsidRDefault="00064542" w:rsidP="00BF05FC">
            <w:pPr>
              <w:pStyle w:val="TableTextNoSpace"/>
              <w:rPr>
                <w:rFonts w:cs="Arial"/>
                <w:b/>
                <w:szCs w:val="20"/>
              </w:rPr>
            </w:pPr>
            <w:r w:rsidRPr="00BF05FC">
              <w:rPr>
                <w:rFonts w:cs="Arial"/>
                <w:b/>
                <w:szCs w:val="20"/>
              </w:rPr>
              <w:t>10,073</w:t>
            </w:r>
          </w:p>
        </w:tc>
        <w:tc>
          <w:tcPr>
            <w:tcW w:w="1281"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46.9</w:t>
            </w:r>
          </w:p>
        </w:tc>
      </w:tr>
    </w:tbl>
    <w:p w:rsidR="00F75B22" w:rsidRPr="00BF05FC" w:rsidRDefault="005F0EA6" w:rsidP="00BF05FC">
      <w:pPr>
        <w:pStyle w:val="BodyText"/>
        <w:rPr>
          <w:i/>
        </w:rPr>
      </w:pPr>
      <w:r w:rsidRPr="00D17A45">
        <w:rPr>
          <w:i/>
        </w:rPr>
        <w:t xml:space="preserve">Source: National research presented in the </w:t>
      </w:r>
      <w:hyperlink r:id="rId29" w:history="1">
        <w:r w:rsidRPr="00D17A45">
          <w:rPr>
            <w:rStyle w:val="Hyperlink"/>
            <w:i/>
          </w:rPr>
          <w:t>online database</w:t>
        </w:r>
      </w:hyperlink>
      <w:r w:rsidRPr="00D17A45">
        <w:rPr>
          <w:i/>
        </w:rPr>
        <w:t>.</w:t>
      </w:r>
    </w:p>
    <w:p w:rsidR="00F75B22" w:rsidRPr="007C0028" w:rsidRDefault="00F75B22" w:rsidP="00546996">
      <w:pPr>
        <w:pStyle w:val="AnnexTable"/>
        <w:tabs>
          <w:tab w:val="num" w:pos="2160"/>
        </w:tabs>
        <w:ind w:hanging="1967"/>
      </w:pPr>
      <w:bookmarkStart w:id="333" w:name="_Ref395861915"/>
      <w:bookmarkStart w:id="334" w:name="_Toc408908656"/>
      <w:r w:rsidRPr="007C0028">
        <w:t>Court cases concerning institutional care placement</w:t>
      </w:r>
      <w:bookmarkEnd w:id="333"/>
      <w:r w:rsidR="00483B57">
        <w:t xml:space="preserve"> (CivAdm009)</w:t>
      </w:r>
      <w:bookmarkEnd w:id="334"/>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32"/>
        <w:gridCol w:w="1259"/>
        <w:gridCol w:w="1986"/>
        <w:gridCol w:w="1441"/>
        <w:gridCol w:w="2142"/>
      </w:tblGrid>
      <w:tr w:rsidR="00064542" w:rsidRPr="00064542" w:rsidTr="00BF05FC">
        <w:trPr>
          <w:tblHeader/>
        </w:trPr>
        <w:tc>
          <w:tcPr>
            <w:tcW w:w="916" w:type="pct"/>
            <w:shd w:val="clear" w:color="auto" w:fill="DBE5F1" w:themeFill="accent1" w:themeFillTint="33"/>
          </w:tcPr>
          <w:p w:rsidR="00064542" w:rsidRPr="00BF05FC" w:rsidRDefault="00064542" w:rsidP="00BF05FC">
            <w:pPr>
              <w:pStyle w:val="TableTextNoSpace"/>
              <w:rPr>
                <w:b/>
              </w:rPr>
            </w:pPr>
            <w:r w:rsidRPr="00BF05FC">
              <w:rPr>
                <w:b/>
              </w:rPr>
              <w:t>Member State</w:t>
            </w:r>
          </w:p>
        </w:tc>
        <w:tc>
          <w:tcPr>
            <w:tcW w:w="1941" w:type="pct"/>
            <w:gridSpan w:val="2"/>
            <w:shd w:val="clear" w:color="auto" w:fill="DBE5F1" w:themeFill="accent1" w:themeFillTint="33"/>
          </w:tcPr>
          <w:p w:rsidR="00064542" w:rsidRPr="00BF05FC" w:rsidRDefault="00064542" w:rsidP="00BF05FC">
            <w:pPr>
              <w:pStyle w:val="TableTextNoSpace"/>
              <w:rPr>
                <w:b/>
              </w:rPr>
            </w:pPr>
            <w:r w:rsidRPr="00BF05FC">
              <w:rPr>
                <w:b/>
              </w:rPr>
              <w:t>2008</w:t>
            </w:r>
          </w:p>
        </w:tc>
        <w:tc>
          <w:tcPr>
            <w:tcW w:w="2144" w:type="pct"/>
            <w:gridSpan w:val="2"/>
            <w:shd w:val="clear" w:color="auto" w:fill="DBE5F1" w:themeFill="accent1" w:themeFillTint="33"/>
          </w:tcPr>
          <w:p w:rsidR="00064542" w:rsidRPr="00BF05FC" w:rsidRDefault="00064542" w:rsidP="00BF05FC">
            <w:pPr>
              <w:pStyle w:val="TableTextNoSpace"/>
              <w:rPr>
                <w:b/>
              </w:rPr>
            </w:pPr>
            <w:r w:rsidRPr="00BF05FC">
              <w:rPr>
                <w:b/>
              </w:rPr>
              <w:t>2010</w:t>
            </w:r>
          </w:p>
        </w:tc>
      </w:tr>
      <w:tr w:rsidR="00BF05FC" w:rsidRPr="00064542" w:rsidTr="00BF05FC">
        <w:trPr>
          <w:tblHeader/>
        </w:trPr>
        <w:tc>
          <w:tcPr>
            <w:tcW w:w="916" w:type="pct"/>
            <w:shd w:val="clear" w:color="auto" w:fill="DBE5F1" w:themeFill="accent1" w:themeFillTint="33"/>
          </w:tcPr>
          <w:p w:rsidR="00064542" w:rsidRPr="00BF05FC" w:rsidRDefault="00064542" w:rsidP="00BF05FC">
            <w:pPr>
              <w:pStyle w:val="TableTextNoSpace"/>
              <w:rPr>
                <w:b/>
              </w:rPr>
            </w:pPr>
          </w:p>
        </w:tc>
        <w:tc>
          <w:tcPr>
            <w:tcW w:w="753" w:type="pct"/>
            <w:shd w:val="clear" w:color="auto" w:fill="DBE5F1" w:themeFill="accent1" w:themeFillTint="33"/>
          </w:tcPr>
          <w:p w:rsidR="00064542" w:rsidRPr="00BF05FC" w:rsidRDefault="00064542" w:rsidP="00BF05FC">
            <w:pPr>
              <w:pStyle w:val="TableTextNoSpace"/>
              <w:rPr>
                <w:b/>
              </w:rPr>
            </w:pPr>
            <w:r w:rsidRPr="00BF05FC">
              <w:rPr>
                <w:b/>
              </w:rPr>
              <w:t>Number</w:t>
            </w:r>
          </w:p>
        </w:tc>
        <w:tc>
          <w:tcPr>
            <w:tcW w:w="1187" w:type="pct"/>
            <w:shd w:val="clear" w:color="auto" w:fill="DBE5F1" w:themeFill="accent1" w:themeFillTint="33"/>
          </w:tcPr>
          <w:p w:rsidR="00064542" w:rsidRPr="00BF05FC" w:rsidRDefault="00064542" w:rsidP="00BF05FC">
            <w:pPr>
              <w:pStyle w:val="TableTextNoSpace"/>
              <w:rPr>
                <w:b/>
              </w:rPr>
            </w:pPr>
            <w:r w:rsidRPr="00BF05FC">
              <w:rPr>
                <w:b/>
              </w:rPr>
              <w:t>Per 100,000 child population</w:t>
            </w:r>
          </w:p>
        </w:tc>
        <w:tc>
          <w:tcPr>
            <w:tcW w:w="862" w:type="pct"/>
            <w:shd w:val="clear" w:color="auto" w:fill="DBE5F1" w:themeFill="accent1" w:themeFillTint="33"/>
          </w:tcPr>
          <w:p w:rsidR="00064542" w:rsidRPr="00BF05FC" w:rsidRDefault="00064542" w:rsidP="00BF05FC">
            <w:pPr>
              <w:pStyle w:val="TableTextNoSpace"/>
              <w:rPr>
                <w:b/>
              </w:rPr>
            </w:pPr>
            <w:r w:rsidRPr="00BF05FC">
              <w:rPr>
                <w:b/>
              </w:rPr>
              <w:t>Number</w:t>
            </w:r>
          </w:p>
        </w:tc>
        <w:tc>
          <w:tcPr>
            <w:tcW w:w="1281" w:type="pct"/>
            <w:shd w:val="clear" w:color="auto" w:fill="DBE5F1" w:themeFill="accent1" w:themeFillTint="33"/>
          </w:tcPr>
          <w:p w:rsidR="00064542" w:rsidRPr="00BF05FC" w:rsidRDefault="00064542" w:rsidP="00BF05FC">
            <w:pPr>
              <w:pStyle w:val="TableTextNoSpace"/>
              <w:rPr>
                <w:b/>
                <w:color w:val="FF0000"/>
              </w:rPr>
            </w:pPr>
            <w:r w:rsidRPr="00BF05FC">
              <w:rPr>
                <w:b/>
              </w:rPr>
              <w:t>Per 100,000 child population</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BG</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2,399</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186.0</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2,467</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195.9</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CZ</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2,619</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140.9</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2,292</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124.1</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MT</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35</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41.9</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36</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44.7</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PL</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2,716</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36.3</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2,833</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39.2</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PT</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5,558</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281.4</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5,410</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277.8</w:t>
            </w:r>
          </w:p>
        </w:tc>
      </w:tr>
      <w:tr w:rsidR="00BF05FC" w:rsidRPr="00064542"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SK</w:t>
            </w:r>
          </w:p>
        </w:tc>
        <w:tc>
          <w:tcPr>
            <w:tcW w:w="753"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1,432</w:t>
            </w:r>
          </w:p>
        </w:tc>
        <w:tc>
          <w:tcPr>
            <w:tcW w:w="1187"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132.5</w:t>
            </w:r>
          </w:p>
        </w:tc>
        <w:tc>
          <w:tcPr>
            <w:tcW w:w="862" w:type="pct"/>
            <w:shd w:val="clear" w:color="auto" w:fill="auto"/>
            <w:vAlign w:val="center"/>
          </w:tcPr>
          <w:p w:rsidR="00064542" w:rsidRPr="00064542" w:rsidRDefault="00064542" w:rsidP="00BF05FC">
            <w:pPr>
              <w:pStyle w:val="TableTextNoSpace"/>
              <w:rPr>
                <w:rFonts w:cs="Arial"/>
                <w:szCs w:val="20"/>
              </w:rPr>
            </w:pPr>
            <w:r w:rsidRPr="00064542">
              <w:rPr>
                <w:rFonts w:cs="Arial"/>
                <w:szCs w:val="20"/>
              </w:rPr>
              <w:t>1,291</w:t>
            </w:r>
          </w:p>
        </w:tc>
        <w:tc>
          <w:tcPr>
            <w:tcW w:w="1281" w:type="pct"/>
            <w:shd w:val="clear" w:color="auto" w:fill="auto"/>
            <w:vAlign w:val="bottom"/>
          </w:tcPr>
          <w:p w:rsidR="00064542" w:rsidRPr="00064542" w:rsidRDefault="00064542" w:rsidP="00BF05FC">
            <w:pPr>
              <w:pStyle w:val="TableTextNoSpace"/>
              <w:rPr>
                <w:rFonts w:cs="Arial"/>
                <w:szCs w:val="20"/>
              </w:rPr>
            </w:pPr>
            <w:r w:rsidRPr="00064542">
              <w:rPr>
                <w:rFonts w:cs="Arial"/>
                <w:szCs w:val="20"/>
              </w:rPr>
              <w:t>123.7</w:t>
            </w:r>
          </w:p>
        </w:tc>
      </w:tr>
      <w:tr w:rsidR="00BF05FC" w:rsidRPr="00064542" w:rsidTr="00BF05FC">
        <w:tc>
          <w:tcPr>
            <w:tcW w:w="916" w:type="pct"/>
            <w:shd w:val="clear" w:color="auto" w:fill="DBE5F1" w:themeFill="accent1" w:themeFillTint="33"/>
          </w:tcPr>
          <w:p w:rsidR="00064542" w:rsidRPr="00BF05FC" w:rsidRDefault="00064542" w:rsidP="00BF05FC">
            <w:pPr>
              <w:pStyle w:val="TableTextNoSpace"/>
              <w:rPr>
                <w:b/>
              </w:rPr>
            </w:pPr>
            <w:r w:rsidRPr="00BF05FC">
              <w:rPr>
                <w:b/>
              </w:rPr>
              <w:t>Total</w:t>
            </w:r>
          </w:p>
        </w:tc>
        <w:tc>
          <w:tcPr>
            <w:tcW w:w="753"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14,759</w:t>
            </w:r>
          </w:p>
        </w:tc>
        <w:tc>
          <w:tcPr>
            <w:tcW w:w="1187"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107.1</w:t>
            </w:r>
          </w:p>
        </w:tc>
        <w:tc>
          <w:tcPr>
            <w:tcW w:w="862"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14,329</w:t>
            </w:r>
          </w:p>
        </w:tc>
        <w:tc>
          <w:tcPr>
            <w:tcW w:w="1281" w:type="pct"/>
            <w:shd w:val="clear" w:color="auto" w:fill="DBE5F1" w:themeFill="accent1" w:themeFillTint="33"/>
            <w:vAlign w:val="bottom"/>
          </w:tcPr>
          <w:p w:rsidR="00064542" w:rsidRPr="00BF05FC" w:rsidRDefault="00064542" w:rsidP="00BF05FC">
            <w:pPr>
              <w:pStyle w:val="TableTextNoSpace"/>
              <w:rPr>
                <w:rFonts w:cs="Arial"/>
                <w:b/>
                <w:szCs w:val="20"/>
              </w:rPr>
            </w:pPr>
            <w:r w:rsidRPr="00BF05FC">
              <w:rPr>
                <w:rFonts w:cs="Arial"/>
                <w:b/>
                <w:szCs w:val="20"/>
              </w:rPr>
              <w:t>106.9</w:t>
            </w:r>
          </w:p>
        </w:tc>
      </w:tr>
    </w:tbl>
    <w:p w:rsidR="005F0EA6" w:rsidRPr="00D17A45" w:rsidRDefault="005F0EA6" w:rsidP="00BF05FC">
      <w:pPr>
        <w:pStyle w:val="BodyText"/>
        <w:ind w:left="0" w:firstLine="851"/>
        <w:rPr>
          <w:i/>
        </w:rPr>
      </w:pPr>
      <w:r w:rsidRPr="00D17A45">
        <w:rPr>
          <w:i/>
        </w:rPr>
        <w:t xml:space="preserve">Source: National research presented in the </w:t>
      </w:r>
      <w:hyperlink r:id="rId30" w:history="1">
        <w:r w:rsidRPr="00D17A45">
          <w:rPr>
            <w:rStyle w:val="Hyperlink"/>
            <w:i/>
          </w:rPr>
          <w:t>online database</w:t>
        </w:r>
      </w:hyperlink>
      <w:r w:rsidRPr="00D17A45">
        <w:rPr>
          <w:i/>
        </w:rPr>
        <w:t>.</w:t>
      </w:r>
    </w:p>
    <w:p w:rsidR="00F75B22" w:rsidRPr="007C0028" w:rsidRDefault="00F75B22" w:rsidP="00F75B22"/>
    <w:p w:rsidR="00F75B22" w:rsidRPr="007C0028" w:rsidRDefault="00F75B22" w:rsidP="00BF05FC">
      <w:pPr>
        <w:pStyle w:val="AnnexTable"/>
        <w:tabs>
          <w:tab w:val="num" w:pos="2160"/>
        </w:tabs>
        <w:ind w:left="2160" w:hanging="1260"/>
      </w:pPr>
      <w:bookmarkStart w:id="335" w:name="_Ref395861953"/>
      <w:bookmarkStart w:id="336" w:name="_Toc408908657"/>
      <w:r w:rsidRPr="007C0028">
        <w:t>Court cases concerning children placed with a foster family during a 12 month period</w:t>
      </w:r>
      <w:bookmarkEnd w:id="335"/>
      <w:r w:rsidR="00483B57">
        <w:t xml:space="preserve"> (CivAdm011)</w:t>
      </w:r>
      <w:bookmarkEnd w:id="336"/>
    </w:p>
    <w:tbl>
      <w:tblPr>
        <w:tblW w:w="4605" w:type="pct"/>
        <w:tblInd w:w="71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32"/>
        <w:gridCol w:w="1259"/>
        <w:gridCol w:w="1986"/>
        <w:gridCol w:w="1441"/>
        <w:gridCol w:w="2142"/>
      </w:tblGrid>
      <w:tr w:rsidR="00064542" w:rsidRPr="00D37409" w:rsidTr="00BF05FC">
        <w:trPr>
          <w:tblHeader/>
        </w:trPr>
        <w:tc>
          <w:tcPr>
            <w:tcW w:w="916" w:type="pct"/>
            <w:shd w:val="clear" w:color="auto" w:fill="DBE5F1" w:themeFill="accent1" w:themeFillTint="33"/>
          </w:tcPr>
          <w:p w:rsidR="00064542" w:rsidRPr="00BF05FC" w:rsidRDefault="00064542" w:rsidP="00BF05FC">
            <w:pPr>
              <w:pStyle w:val="TableTextNoSpace"/>
              <w:rPr>
                <w:b/>
              </w:rPr>
            </w:pPr>
            <w:r w:rsidRPr="00BF05FC">
              <w:rPr>
                <w:b/>
              </w:rPr>
              <w:t>Member State</w:t>
            </w:r>
          </w:p>
        </w:tc>
        <w:tc>
          <w:tcPr>
            <w:tcW w:w="1941" w:type="pct"/>
            <w:gridSpan w:val="2"/>
            <w:shd w:val="clear" w:color="auto" w:fill="DBE5F1" w:themeFill="accent1" w:themeFillTint="33"/>
          </w:tcPr>
          <w:p w:rsidR="00064542" w:rsidRPr="00BF05FC" w:rsidRDefault="00064542" w:rsidP="00BF05FC">
            <w:pPr>
              <w:pStyle w:val="TableTextNoSpace"/>
              <w:rPr>
                <w:b/>
              </w:rPr>
            </w:pPr>
            <w:r w:rsidRPr="00BF05FC">
              <w:rPr>
                <w:b/>
              </w:rPr>
              <w:t>2008</w:t>
            </w:r>
          </w:p>
        </w:tc>
        <w:tc>
          <w:tcPr>
            <w:tcW w:w="2144" w:type="pct"/>
            <w:gridSpan w:val="2"/>
            <w:shd w:val="clear" w:color="auto" w:fill="DBE5F1" w:themeFill="accent1" w:themeFillTint="33"/>
          </w:tcPr>
          <w:p w:rsidR="00064542" w:rsidRPr="00BF05FC" w:rsidRDefault="00064542" w:rsidP="00BF05FC">
            <w:pPr>
              <w:pStyle w:val="TableTextNoSpace"/>
              <w:rPr>
                <w:b/>
              </w:rPr>
            </w:pPr>
            <w:r w:rsidRPr="00BF05FC">
              <w:rPr>
                <w:b/>
              </w:rPr>
              <w:t>2010</w:t>
            </w:r>
          </w:p>
        </w:tc>
      </w:tr>
      <w:tr w:rsidR="00BF05FC" w:rsidRPr="00D37409" w:rsidTr="00BF05FC">
        <w:trPr>
          <w:tblHeader/>
        </w:trPr>
        <w:tc>
          <w:tcPr>
            <w:tcW w:w="916" w:type="pct"/>
            <w:shd w:val="clear" w:color="auto" w:fill="DBE5F1" w:themeFill="accent1" w:themeFillTint="33"/>
          </w:tcPr>
          <w:p w:rsidR="00064542" w:rsidRPr="00BF05FC" w:rsidRDefault="00064542" w:rsidP="00BF05FC">
            <w:pPr>
              <w:pStyle w:val="TableTextNoSpace"/>
              <w:rPr>
                <w:b/>
                <w:color w:val="FF0000"/>
              </w:rPr>
            </w:pPr>
          </w:p>
        </w:tc>
        <w:tc>
          <w:tcPr>
            <w:tcW w:w="753" w:type="pct"/>
            <w:shd w:val="clear" w:color="auto" w:fill="DBE5F1" w:themeFill="accent1" w:themeFillTint="33"/>
          </w:tcPr>
          <w:p w:rsidR="00064542" w:rsidRPr="00BF05FC" w:rsidRDefault="00064542" w:rsidP="00BF05FC">
            <w:pPr>
              <w:pStyle w:val="TableTextNoSpace"/>
              <w:rPr>
                <w:b/>
                <w:color w:val="FF0000"/>
              </w:rPr>
            </w:pPr>
            <w:r w:rsidRPr="00BF05FC">
              <w:rPr>
                <w:b/>
              </w:rPr>
              <w:t>Number</w:t>
            </w:r>
          </w:p>
        </w:tc>
        <w:tc>
          <w:tcPr>
            <w:tcW w:w="1187" w:type="pct"/>
            <w:shd w:val="clear" w:color="auto" w:fill="DBE5F1" w:themeFill="accent1" w:themeFillTint="33"/>
          </w:tcPr>
          <w:p w:rsidR="00064542" w:rsidRPr="00BF05FC" w:rsidRDefault="00064542" w:rsidP="00BF05FC">
            <w:pPr>
              <w:pStyle w:val="TableTextNoSpace"/>
              <w:rPr>
                <w:b/>
                <w:color w:val="FF0000"/>
              </w:rPr>
            </w:pPr>
            <w:r w:rsidRPr="00BF05FC">
              <w:rPr>
                <w:b/>
              </w:rPr>
              <w:t>Per 100,000 child population</w:t>
            </w:r>
          </w:p>
        </w:tc>
        <w:tc>
          <w:tcPr>
            <w:tcW w:w="862" w:type="pct"/>
            <w:shd w:val="clear" w:color="auto" w:fill="DBE5F1" w:themeFill="accent1" w:themeFillTint="33"/>
          </w:tcPr>
          <w:p w:rsidR="00064542" w:rsidRPr="00BF05FC" w:rsidRDefault="00064542" w:rsidP="00BF05FC">
            <w:pPr>
              <w:pStyle w:val="TableTextNoSpace"/>
              <w:rPr>
                <w:b/>
                <w:color w:val="FF0000"/>
              </w:rPr>
            </w:pPr>
            <w:r w:rsidRPr="00BF05FC">
              <w:rPr>
                <w:b/>
              </w:rPr>
              <w:t>Number</w:t>
            </w:r>
          </w:p>
        </w:tc>
        <w:tc>
          <w:tcPr>
            <w:tcW w:w="1281" w:type="pct"/>
            <w:shd w:val="clear" w:color="auto" w:fill="DBE5F1" w:themeFill="accent1" w:themeFillTint="33"/>
          </w:tcPr>
          <w:p w:rsidR="00064542" w:rsidRPr="00BF05FC" w:rsidRDefault="00064542" w:rsidP="00BF05FC">
            <w:pPr>
              <w:pStyle w:val="TableTextNoSpace"/>
              <w:rPr>
                <w:b/>
                <w:color w:val="FF0000"/>
              </w:rPr>
            </w:pPr>
            <w:r w:rsidRPr="00BF05FC">
              <w:rPr>
                <w:b/>
              </w:rPr>
              <w:t>Per 100,000 child population</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BE</w:t>
            </w:r>
          </w:p>
        </w:tc>
        <w:tc>
          <w:tcPr>
            <w:tcW w:w="753" w:type="pct"/>
            <w:shd w:val="clear" w:color="auto" w:fill="auto"/>
            <w:vAlign w:val="center"/>
          </w:tcPr>
          <w:p w:rsidR="00064542" w:rsidRPr="00431804" w:rsidRDefault="00064542" w:rsidP="00BF05FC">
            <w:pPr>
              <w:pStyle w:val="TableTextNoSpace"/>
            </w:pPr>
            <w:r w:rsidRPr="00431804">
              <w:t>2</w:t>
            </w:r>
            <w:r w:rsidR="009F35BF">
              <w:t>,4</w:t>
            </w:r>
            <w:r w:rsidRPr="00431804">
              <w:t>1</w:t>
            </w:r>
            <w:r w:rsidR="009F35BF">
              <w:t>7</w:t>
            </w:r>
          </w:p>
        </w:tc>
        <w:tc>
          <w:tcPr>
            <w:tcW w:w="1187" w:type="pct"/>
            <w:shd w:val="clear" w:color="auto" w:fill="auto"/>
            <w:vAlign w:val="bottom"/>
          </w:tcPr>
          <w:p w:rsidR="00064542" w:rsidRPr="00431804" w:rsidRDefault="00064542" w:rsidP="00BF05FC">
            <w:pPr>
              <w:pStyle w:val="TableTextNoSpace"/>
            </w:pPr>
            <w:r w:rsidRPr="00431804">
              <w:t>1</w:t>
            </w:r>
            <w:r w:rsidR="009F35BF">
              <w:t>10</w:t>
            </w:r>
            <w:r w:rsidRPr="00431804">
              <w:t>.</w:t>
            </w:r>
            <w:r w:rsidR="009F35BF">
              <w:t>1</w:t>
            </w:r>
          </w:p>
        </w:tc>
        <w:tc>
          <w:tcPr>
            <w:tcW w:w="862" w:type="pct"/>
            <w:shd w:val="clear" w:color="auto" w:fill="auto"/>
            <w:vAlign w:val="center"/>
          </w:tcPr>
          <w:p w:rsidR="00064542" w:rsidRPr="00431804" w:rsidRDefault="009F35BF" w:rsidP="00BF05FC">
            <w:pPr>
              <w:pStyle w:val="TableTextNoSpace"/>
            </w:pPr>
            <w:r>
              <w:t>2,755</w:t>
            </w:r>
          </w:p>
        </w:tc>
        <w:tc>
          <w:tcPr>
            <w:tcW w:w="1281" w:type="pct"/>
            <w:shd w:val="clear" w:color="auto" w:fill="auto"/>
            <w:vAlign w:val="bottom"/>
          </w:tcPr>
          <w:p w:rsidR="00064542" w:rsidRPr="00431804" w:rsidRDefault="009F35BF" w:rsidP="00BF05FC">
            <w:pPr>
              <w:pStyle w:val="TableTextNoSpace"/>
            </w:pPr>
            <w:r>
              <w:t>124.</w:t>
            </w:r>
            <w:r w:rsidR="00064542" w:rsidRPr="00431804">
              <w:t>.</w:t>
            </w:r>
            <w:r>
              <w:t>4</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BG</w:t>
            </w:r>
          </w:p>
        </w:tc>
        <w:tc>
          <w:tcPr>
            <w:tcW w:w="753" w:type="pct"/>
            <w:shd w:val="clear" w:color="auto" w:fill="auto"/>
            <w:vAlign w:val="center"/>
          </w:tcPr>
          <w:p w:rsidR="00064542" w:rsidRPr="00431804" w:rsidRDefault="00064542" w:rsidP="00BF05FC">
            <w:pPr>
              <w:pStyle w:val="TableTextNoSpace"/>
            </w:pPr>
            <w:r w:rsidRPr="00431804">
              <w:t>126</w:t>
            </w:r>
          </w:p>
        </w:tc>
        <w:tc>
          <w:tcPr>
            <w:tcW w:w="1187" w:type="pct"/>
            <w:shd w:val="clear" w:color="auto" w:fill="auto"/>
            <w:vAlign w:val="bottom"/>
          </w:tcPr>
          <w:p w:rsidR="00064542" w:rsidRPr="00431804" w:rsidRDefault="00064542" w:rsidP="00BF05FC">
            <w:pPr>
              <w:pStyle w:val="TableTextNoSpace"/>
            </w:pPr>
            <w:r w:rsidRPr="00431804">
              <w:t>9.8</w:t>
            </w:r>
          </w:p>
        </w:tc>
        <w:tc>
          <w:tcPr>
            <w:tcW w:w="862" w:type="pct"/>
            <w:shd w:val="clear" w:color="auto" w:fill="auto"/>
            <w:vAlign w:val="center"/>
          </w:tcPr>
          <w:p w:rsidR="00064542" w:rsidRPr="00431804" w:rsidRDefault="00064542" w:rsidP="00BF05FC">
            <w:pPr>
              <w:pStyle w:val="TableTextNoSpace"/>
            </w:pPr>
            <w:r w:rsidRPr="00431804">
              <w:t>268</w:t>
            </w:r>
          </w:p>
        </w:tc>
        <w:tc>
          <w:tcPr>
            <w:tcW w:w="1281" w:type="pct"/>
            <w:shd w:val="clear" w:color="auto" w:fill="auto"/>
            <w:vAlign w:val="bottom"/>
          </w:tcPr>
          <w:p w:rsidR="00064542" w:rsidRPr="00431804" w:rsidRDefault="00064542" w:rsidP="00BF05FC">
            <w:pPr>
              <w:pStyle w:val="TableTextNoSpace"/>
            </w:pPr>
            <w:r w:rsidRPr="00431804">
              <w:t>21.3</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CZ</w:t>
            </w:r>
          </w:p>
        </w:tc>
        <w:tc>
          <w:tcPr>
            <w:tcW w:w="753" w:type="pct"/>
            <w:shd w:val="clear" w:color="auto" w:fill="auto"/>
            <w:vAlign w:val="center"/>
          </w:tcPr>
          <w:p w:rsidR="00064542" w:rsidRPr="00431804" w:rsidRDefault="00064542" w:rsidP="00BF05FC">
            <w:pPr>
              <w:pStyle w:val="TableTextNoSpace"/>
            </w:pPr>
            <w:r w:rsidRPr="00431804">
              <w:t>373</w:t>
            </w:r>
          </w:p>
        </w:tc>
        <w:tc>
          <w:tcPr>
            <w:tcW w:w="1187" w:type="pct"/>
            <w:shd w:val="clear" w:color="auto" w:fill="auto"/>
            <w:vAlign w:val="bottom"/>
          </w:tcPr>
          <w:p w:rsidR="00064542" w:rsidRPr="00431804" w:rsidRDefault="00064542" w:rsidP="00BF05FC">
            <w:pPr>
              <w:pStyle w:val="TableTextNoSpace"/>
            </w:pPr>
            <w:r w:rsidRPr="00431804">
              <w:t>20.1</w:t>
            </w:r>
          </w:p>
        </w:tc>
        <w:tc>
          <w:tcPr>
            <w:tcW w:w="862" w:type="pct"/>
            <w:shd w:val="clear" w:color="auto" w:fill="auto"/>
            <w:vAlign w:val="center"/>
          </w:tcPr>
          <w:p w:rsidR="00064542" w:rsidRPr="00431804" w:rsidRDefault="00064542" w:rsidP="00BF05FC">
            <w:pPr>
              <w:pStyle w:val="TableTextNoSpace"/>
            </w:pPr>
            <w:r w:rsidRPr="00431804">
              <w:t>461</w:t>
            </w:r>
          </w:p>
        </w:tc>
        <w:tc>
          <w:tcPr>
            <w:tcW w:w="1281" w:type="pct"/>
            <w:shd w:val="clear" w:color="auto" w:fill="auto"/>
            <w:vAlign w:val="bottom"/>
          </w:tcPr>
          <w:p w:rsidR="00064542" w:rsidRPr="00431804" w:rsidRDefault="00064542" w:rsidP="00BF05FC">
            <w:pPr>
              <w:pStyle w:val="TableTextNoSpace"/>
            </w:pPr>
            <w:r w:rsidRPr="00431804">
              <w:t>25.0</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FR</w:t>
            </w:r>
          </w:p>
        </w:tc>
        <w:tc>
          <w:tcPr>
            <w:tcW w:w="753" w:type="pct"/>
            <w:shd w:val="clear" w:color="auto" w:fill="auto"/>
            <w:vAlign w:val="center"/>
          </w:tcPr>
          <w:p w:rsidR="00064542" w:rsidRPr="00431804" w:rsidRDefault="00064542" w:rsidP="00BF05FC">
            <w:pPr>
              <w:pStyle w:val="TableTextNoSpace"/>
            </w:pPr>
            <w:r w:rsidRPr="00431804">
              <w:t>9,254</w:t>
            </w:r>
          </w:p>
        </w:tc>
        <w:tc>
          <w:tcPr>
            <w:tcW w:w="1187" w:type="pct"/>
            <w:shd w:val="clear" w:color="auto" w:fill="auto"/>
            <w:vAlign w:val="bottom"/>
          </w:tcPr>
          <w:p w:rsidR="00064542" w:rsidRPr="00431804" w:rsidRDefault="00064542" w:rsidP="00BF05FC">
            <w:pPr>
              <w:pStyle w:val="TableTextNoSpace"/>
            </w:pPr>
            <w:r w:rsidRPr="00431804">
              <w:t>64.8</w:t>
            </w:r>
          </w:p>
        </w:tc>
        <w:tc>
          <w:tcPr>
            <w:tcW w:w="862" w:type="pct"/>
            <w:shd w:val="clear" w:color="auto" w:fill="auto"/>
            <w:vAlign w:val="center"/>
          </w:tcPr>
          <w:p w:rsidR="00064542" w:rsidRPr="00431804" w:rsidRDefault="00064542" w:rsidP="00BF05FC">
            <w:pPr>
              <w:pStyle w:val="TableTextNoSpace"/>
            </w:pPr>
            <w:r w:rsidRPr="00431804">
              <w:t>8,896</w:t>
            </w:r>
          </w:p>
        </w:tc>
        <w:tc>
          <w:tcPr>
            <w:tcW w:w="1281" w:type="pct"/>
            <w:shd w:val="clear" w:color="auto" w:fill="auto"/>
            <w:vAlign w:val="bottom"/>
          </w:tcPr>
          <w:p w:rsidR="00064542" w:rsidRPr="00431804" w:rsidRDefault="00064542" w:rsidP="00BF05FC">
            <w:pPr>
              <w:pStyle w:val="TableTextNoSpace"/>
            </w:pPr>
            <w:r w:rsidRPr="00431804">
              <w:t>61.9</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LV</w:t>
            </w:r>
          </w:p>
        </w:tc>
        <w:tc>
          <w:tcPr>
            <w:tcW w:w="753" w:type="pct"/>
            <w:shd w:val="clear" w:color="auto" w:fill="auto"/>
            <w:vAlign w:val="center"/>
          </w:tcPr>
          <w:p w:rsidR="00064542" w:rsidRPr="00431804" w:rsidRDefault="00064542" w:rsidP="00BF05FC">
            <w:pPr>
              <w:pStyle w:val="TableTextNoSpace"/>
            </w:pPr>
            <w:r w:rsidRPr="00431804">
              <w:t>218</w:t>
            </w:r>
          </w:p>
        </w:tc>
        <w:tc>
          <w:tcPr>
            <w:tcW w:w="1187" w:type="pct"/>
            <w:shd w:val="clear" w:color="auto" w:fill="auto"/>
            <w:vAlign w:val="bottom"/>
          </w:tcPr>
          <w:p w:rsidR="00064542" w:rsidRPr="00431804" w:rsidRDefault="00064542" w:rsidP="00BF05FC">
            <w:pPr>
              <w:pStyle w:val="TableTextNoSpace"/>
            </w:pPr>
            <w:r w:rsidRPr="00431804">
              <w:t>53.4</w:t>
            </w:r>
          </w:p>
        </w:tc>
        <w:tc>
          <w:tcPr>
            <w:tcW w:w="862" w:type="pct"/>
            <w:shd w:val="clear" w:color="auto" w:fill="auto"/>
            <w:vAlign w:val="center"/>
          </w:tcPr>
          <w:p w:rsidR="00064542" w:rsidRPr="00431804" w:rsidRDefault="00064542" w:rsidP="00BF05FC">
            <w:pPr>
              <w:pStyle w:val="TableTextNoSpace"/>
            </w:pPr>
            <w:r w:rsidRPr="00431804">
              <w:t>329</w:t>
            </w:r>
          </w:p>
        </w:tc>
        <w:tc>
          <w:tcPr>
            <w:tcW w:w="1281" w:type="pct"/>
            <w:shd w:val="clear" w:color="auto" w:fill="auto"/>
            <w:vAlign w:val="bottom"/>
          </w:tcPr>
          <w:p w:rsidR="00064542" w:rsidRPr="00431804" w:rsidRDefault="00064542" w:rsidP="00BF05FC">
            <w:pPr>
              <w:pStyle w:val="TableTextNoSpace"/>
            </w:pPr>
            <w:r w:rsidRPr="00431804">
              <w:t>85.0</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PL</w:t>
            </w:r>
          </w:p>
        </w:tc>
        <w:tc>
          <w:tcPr>
            <w:tcW w:w="753" w:type="pct"/>
            <w:shd w:val="clear" w:color="auto" w:fill="auto"/>
            <w:vAlign w:val="center"/>
          </w:tcPr>
          <w:p w:rsidR="00064542" w:rsidRPr="00431804" w:rsidRDefault="00064542" w:rsidP="00BF05FC">
            <w:pPr>
              <w:pStyle w:val="TableTextNoSpace"/>
            </w:pPr>
            <w:r w:rsidRPr="00431804">
              <w:t>5,301</w:t>
            </w:r>
          </w:p>
        </w:tc>
        <w:tc>
          <w:tcPr>
            <w:tcW w:w="1187" w:type="pct"/>
            <w:shd w:val="clear" w:color="auto" w:fill="auto"/>
            <w:vAlign w:val="bottom"/>
          </w:tcPr>
          <w:p w:rsidR="00064542" w:rsidRPr="00431804" w:rsidRDefault="00064542" w:rsidP="00BF05FC">
            <w:pPr>
              <w:pStyle w:val="TableTextNoSpace"/>
            </w:pPr>
            <w:r w:rsidRPr="00431804">
              <w:t>70.8</w:t>
            </w:r>
          </w:p>
        </w:tc>
        <w:tc>
          <w:tcPr>
            <w:tcW w:w="862" w:type="pct"/>
            <w:shd w:val="clear" w:color="auto" w:fill="auto"/>
            <w:vAlign w:val="center"/>
          </w:tcPr>
          <w:p w:rsidR="00064542" w:rsidRPr="00431804" w:rsidRDefault="00064542" w:rsidP="00BF05FC">
            <w:pPr>
              <w:pStyle w:val="TableTextNoSpace"/>
            </w:pPr>
            <w:r w:rsidRPr="00431804">
              <w:t>4,839</w:t>
            </w:r>
          </w:p>
        </w:tc>
        <w:tc>
          <w:tcPr>
            <w:tcW w:w="1281" w:type="pct"/>
            <w:shd w:val="clear" w:color="auto" w:fill="auto"/>
            <w:vAlign w:val="bottom"/>
          </w:tcPr>
          <w:p w:rsidR="00064542" w:rsidRPr="00431804" w:rsidRDefault="00064542" w:rsidP="00BF05FC">
            <w:pPr>
              <w:pStyle w:val="TableTextNoSpace"/>
            </w:pPr>
            <w:r w:rsidRPr="00431804">
              <w:t>66.9</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PT</w:t>
            </w:r>
          </w:p>
        </w:tc>
        <w:tc>
          <w:tcPr>
            <w:tcW w:w="753" w:type="pct"/>
            <w:shd w:val="clear" w:color="auto" w:fill="auto"/>
            <w:vAlign w:val="center"/>
          </w:tcPr>
          <w:p w:rsidR="00064542" w:rsidRPr="00431804" w:rsidRDefault="00064542" w:rsidP="00BF05FC">
            <w:pPr>
              <w:pStyle w:val="TableTextNoSpace"/>
            </w:pPr>
          </w:p>
        </w:tc>
        <w:tc>
          <w:tcPr>
            <w:tcW w:w="1187" w:type="pct"/>
            <w:shd w:val="clear" w:color="auto" w:fill="auto"/>
            <w:vAlign w:val="bottom"/>
          </w:tcPr>
          <w:p w:rsidR="00064542" w:rsidRPr="00431804" w:rsidRDefault="00064542" w:rsidP="00BF05FC">
            <w:pPr>
              <w:pStyle w:val="TableTextNoSpace"/>
            </w:pPr>
          </w:p>
        </w:tc>
        <w:tc>
          <w:tcPr>
            <w:tcW w:w="862" w:type="pct"/>
            <w:shd w:val="clear" w:color="auto" w:fill="auto"/>
            <w:vAlign w:val="center"/>
          </w:tcPr>
          <w:p w:rsidR="00064542" w:rsidRPr="00431804" w:rsidRDefault="00064542" w:rsidP="00BF05FC">
            <w:pPr>
              <w:pStyle w:val="TableTextNoSpace"/>
            </w:pPr>
            <w:r w:rsidRPr="00431804">
              <w:t>443</w:t>
            </w:r>
          </w:p>
        </w:tc>
        <w:tc>
          <w:tcPr>
            <w:tcW w:w="1281" w:type="pct"/>
            <w:shd w:val="clear" w:color="auto" w:fill="auto"/>
            <w:vAlign w:val="bottom"/>
          </w:tcPr>
          <w:p w:rsidR="00064542" w:rsidRPr="00431804" w:rsidRDefault="00064542" w:rsidP="00BF05FC">
            <w:pPr>
              <w:pStyle w:val="TableTextNoSpace"/>
            </w:pPr>
            <w:r w:rsidRPr="00431804">
              <w:t>22.7</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SK</w:t>
            </w:r>
          </w:p>
        </w:tc>
        <w:tc>
          <w:tcPr>
            <w:tcW w:w="753" w:type="pct"/>
            <w:shd w:val="clear" w:color="auto" w:fill="auto"/>
            <w:vAlign w:val="center"/>
          </w:tcPr>
          <w:p w:rsidR="00064542" w:rsidRPr="00431804" w:rsidRDefault="00064542" w:rsidP="00BF05FC">
            <w:pPr>
              <w:pStyle w:val="TableTextNoSpace"/>
            </w:pPr>
            <w:r w:rsidRPr="00431804">
              <w:t>294</w:t>
            </w:r>
          </w:p>
        </w:tc>
        <w:tc>
          <w:tcPr>
            <w:tcW w:w="1187" w:type="pct"/>
            <w:shd w:val="clear" w:color="auto" w:fill="auto"/>
            <w:vAlign w:val="bottom"/>
          </w:tcPr>
          <w:p w:rsidR="00064542" w:rsidRPr="00431804" w:rsidRDefault="00064542" w:rsidP="00BF05FC">
            <w:pPr>
              <w:pStyle w:val="TableTextNoSpace"/>
            </w:pPr>
            <w:r w:rsidRPr="00431804">
              <w:t>27.2</w:t>
            </w:r>
          </w:p>
        </w:tc>
        <w:tc>
          <w:tcPr>
            <w:tcW w:w="862" w:type="pct"/>
            <w:shd w:val="clear" w:color="auto" w:fill="auto"/>
            <w:vAlign w:val="center"/>
          </w:tcPr>
          <w:p w:rsidR="00064542" w:rsidRPr="00431804" w:rsidRDefault="00064542" w:rsidP="00BF05FC">
            <w:pPr>
              <w:pStyle w:val="TableTextNoSpace"/>
            </w:pPr>
            <w:r w:rsidRPr="00431804">
              <w:t>344</w:t>
            </w:r>
          </w:p>
        </w:tc>
        <w:tc>
          <w:tcPr>
            <w:tcW w:w="1281" w:type="pct"/>
            <w:shd w:val="clear" w:color="auto" w:fill="auto"/>
            <w:vAlign w:val="bottom"/>
          </w:tcPr>
          <w:p w:rsidR="00064542" w:rsidRPr="00431804" w:rsidRDefault="00064542" w:rsidP="00BF05FC">
            <w:pPr>
              <w:pStyle w:val="TableTextNoSpace"/>
            </w:pPr>
            <w:r w:rsidRPr="00431804">
              <w:t>33.0</w:t>
            </w:r>
          </w:p>
        </w:tc>
      </w:tr>
      <w:tr w:rsidR="00BF05FC" w:rsidTr="00BF05FC">
        <w:tc>
          <w:tcPr>
            <w:tcW w:w="916" w:type="pct"/>
            <w:shd w:val="clear" w:color="auto" w:fill="DBE5F1" w:themeFill="accent1" w:themeFillTint="33"/>
            <w:vAlign w:val="bottom"/>
          </w:tcPr>
          <w:p w:rsidR="00064542" w:rsidRPr="00BF05FC" w:rsidRDefault="00064542" w:rsidP="00BF05FC">
            <w:pPr>
              <w:pStyle w:val="TableTextNoSpace"/>
              <w:rPr>
                <w:b/>
              </w:rPr>
            </w:pPr>
            <w:r w:rsidRPr="00BF05FC">
              <w:rPr>
                <w:b/>
              </w:rPr>
              <w:t>Total</w:t>
            </w:r>
          </w:p>
        </w:tc>
        <w:tc>
          <w:tcPr>
            <w:tcW w:w="753" w:type="pct"/>
            <w:shd w:val="clear" w:color="auto" w:fill="DBE5F1" w:themeFill="accent1" w:themeFillTint="33"/>
            <w:vAlign w:val="center"/>
          </w:tcPr>
          <w:p w:rsidR="00064542" w:rsidRPr="00431804" w:rsidRDefault="00064542" w:rsidP="00BF05FC">
            <w:pPr>
              <w:pStyle w:val="TableTextNoSpace"/>
              <w:rPr>
                <w:b/>
              </w:rPr>
            </w:pPr>
            <w:r w:rsidRPr="00431804">
              <w:rPr>
                <w:b/>
              </w:rPr>
              <w:t>15,587</w:t>
            </w:r>
          </w:p>
        </w:tc>
        <w:tc>
          <w:tcPr>
            <w:tcW w:w="1187" w:type="pct"/>
            <w:shd w:val="clear" w:color="auto" w:fill="DBE5F1" w:themeFill="accent1" w:themeFillTint="33"/>
            <w:vAlign w:val="center"/>
          </w:tcPr>
          <w:p w:rsidR="00064542" w:rsidRPr="00431804" w:rsidRDefault="009F35BF" w:rsidP="00BF05FC">
            <w:pPr>
              <w:pStyle w:val="TableTextNoSpace"/>
              <w:rPr>
                <w:b/>
              </w:rPr>
            </w:pPr>
            <w:r>
              <w:rPr>
                <w:b/>
              </w:rPr>
              <w:t>62</w:t>
            </w:r>
            <w:r w:rsidR="00064542">
              <w:rPr>
                <w:b/>
              </w:rPr>
              <w:t>.</w:t>
            </w:r>
            <w:r>
              <w:rPr>
                <w:b/>
              </w:rPr>
              <w:t>9</w:t>
            </w:r>
          </w:p>
        </w:tc>
        <w:tc>
          <w:tcPr>
            <w:tcW w:w="862" w:type="pct"/>
            <w:shd w:val="clear" w:color="auto" w:fill="DBE5F1" w:themeFill="accent1" w:themeFillTint="33"/>
            <w:vAlign w:val="center"/>
          </w:tcPr>
          <w:p w:rsidR="00064542" w:rsidRPr="00431804" w:rsidRDefault="00064542" w:rsidP="00BF05FC">
            <w:pPr>
              <w:pStyle w:val="TableTextNoSpace"/>
              <w:rPr>
                <w:b/>
              </w:rPr>
            </w:pPr>
            <w:r w:rsidRPr="00431804">
              <w:rPr>
                <w:b/>
              </w:rPr>
              <w:t>15,596</w:t>
            </w:r>
          </w:p>
        </w:tc>
        <w:tc>
          <w:tcPr>
            <w:tcW w:w="1281" w:type="pct"/>
            <w:shd w:val="clear" w:color="auto" w:fill="DBE5F1" w:themeFill="accent1" w:themeFillTint="33"/>
          </w:tcPr>
          <w:p w:rsidR="00064542" w:rsidRPr="00431804" w:rsidRDefault="009F35BF" w:rsidP="00BF05FC">
            <w:pPr>
              <w:pStyle w:val="TableTextNoSpace"/>
              <w:rPr>
                <w:b/>
              </w:rPr>
            </w:pPr>
            <w:r>
              <w:rPr>
                <w:b/>
              </w:rPr>
              <w:t>63</w:t>
            </w:r>
            <w:r w:rsidR="00064542">
              <w:rPr>
                <w:b/>
              </w:rPr>
              <w:t>.</w:t>
            </w:r>
            <w:r>
              <w:rPr>
                <w:b/>
              </w:rPr>
              <w:t>1</w:t>
            </w:r>
          </w:p>
        </w:tc>
      </w:tr>
    </w:tbl>
    <w:p w:rsidR="00D0403A" w:rsidRDefault="005F0EA6" w:rsidP="00546996">
      <w:pPr>
        <w:pStyle w:val="BodyText"/>
        <w:ind w:left="0" w:firstLine="851"/>
        <w:rPr>
          <w:i/>
        </w:rPr>
      </w:pPr>
      <w:r w:rsidRPr="00D17A45">
        <w:rPr>
          <w:i/>
        </w:rPr>
        <w:t xml:space="preserve">Source: National research presented in the </w:t>
      </w:r>
      <w:hyperlink r:id="rId31" w:history="1">
        <w:r w:rsidRPr="00D17A45">
          <w:rPr>
            <w:rStyle w:val="Hyperlink"/>
            <w:i/>
          </w:rPr>
          <w:t>online database</w:t>
        </w:r>
      </w:hyperlink>
      <w:r w:rsidRPr="00D17A45">
        <w:rPr>
          <w:i/>
        </w:rPr>
        <w:t>.</w:t>
      </w:r>
      <w:r w:rsidR="00A83745">
        <w:rPr>
          <w:i/>
        </w:rPr>
        <w:t xml:space="preserve"> </w:t>
      </w:r>
      <w:r w:rsidR="00A83745" w:rsidRPr="00D17A45">
        <w:rPr>
          <w:i/>
        </w:rPr>
        <w:t>Note: Blank = Not available</w:t>
      </w:r>
    </w:p>
    <w:p w:rsidR="00F44738" w:rsidRPr="00F44738" w:rsidRDefault="00F44738" w:rsidP="00BF05FC">
      <w:pPr>
        <w:pStyle w:val="AnnexH2"/>
      </w:pPr>
      <w:r w:rsidRPr="00F44738">
        <w:t>Approximate data</w:t>
      </w:r>
    </w:p>
    <w:p w:rsidR="00DA6A74" w:rsidRDefault="00DA6A74" w:rsidP="00BF05FC">
      <w:pPr>
        <w:pStyle w:val="AnnexTable"/>
        <w:numPr>
          <w:ilvl w:val="4"/>
          <w:numId w:val="30"/>
        </w:numPr>
        <w:tabs>
          <w:tab w:val="clear" w:pos="1247"/>
          <w:tab w:val="num" w:pos="2070"/>
        </w:tabs>
        <w:ind w:left="2160" w:hanging="1260"/>
      </w:pPr>
      <w:bookmarkStart w:id="337" w:name="_Ref395861400"/>
      <w:bookmarkStart w:id="338" w:name="_Toc408908658"/>
      <w:r>
        <w:t>Member States which provide approximate data for the key indicators</w:t>
      </w:r>
      <w:bookmarkEnd w:id="337"/>
      <w:bookmarkEnd w:id="338"/>
    </w:p>
    <w:tbl>
      <w:tblPr>
        <w:tblW w:w="5000" w:type="pct"/>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513"/>
        <w:gridCol w:w="1512"/>
        <w:gridCol w:w="1512"/>
        <w:gridCol w:w="1514"/>
        <w:gridCol w:w="1514"/>
        <w:gridCol w:w="1512"/>
      </w:tblGrid>
      <w:tr w:rsidR="00F44738" w:rsidRPr="00F44738" w:rsidTr="00BF05FC">
        <w:trPr>
          <w:tblHeader/>
        </w:trPr>
        <w:tc>
          <w:tcPr>
            <w:tcW w:w="833" w:type="pct"/>
            <w:shd w:val="clear" w:color="auto" w:fill="DBE5F1" w:themeFill="accent1" w:themeFillTint="33"/>
          </w:tcPr>
          <w:p w:rsidR="00F44738" w:rsidRPr="00BF05FC" w:rsidRDefault="00E11629" w:rsidP="00BF05FC">
            <w:pPr>
              <w:pStyle w:val="TableTextNoSpace"/>
              <w:rPr>
                <w:b/>
              </w:rPr>
            </w:pPr>
            <w:r w:rsidRPr="00BF05FC">
              <w:rPr>
                <w:b/>
              </w:rPr>
              <w:t>Children affected by parental divorce (CivAdm002)</w:t>
            </w:r>
          </w:p>
        </w:tc>
        <w:tc>
          <w:tcPr>
            <w:tcW w:w="833" w:type="pct"/>
            <w:shd w:val="clear" w:color="auto" w:fill="DBE5F1" w:themeFill="accent1" w:themeFillTint="33"/>
          </w:tcPr>
          <w:p w:rsidR="00F44738" w:rsidRPr="00BF05FC" w:rsidRDefault="00E11629" w:rsidP="00BF05FC">
            <w:pPr>
              <w:pStyle w:val="TableTextNoSpace"/>
              <w:rPr>
                <w:b/>
              </w:rPr>
            </w:pPr>
            <w:r w:rsidRPr="00BF05FC">
              <w:rPr>
                <w:b/>
              </w:rPr>
              <w:t>Cases concerning international abductions of children (CivAdm007)</w:t>
            </w:r>
            <w:r w:rsidR="00F2479C" w:rsidRPr="00BF05FC">
              <w:rPr>
                <w:rStyle w:val="FootnoteReference"/>
                <w:b/>
              </w:rPr>
              <w:footnoteReference w:id="32"/>
            </w:r>
          </w:p>
        </w:tc>
        <w:tc>
          <w:tcPr>
            <w:tcW w:w="833" w:type="pct"/>
            <w:shd w:val="clear" w:color="auto" w:fill="DBE5F1" w:themeFill="accent1" w:themeFillTint="33"/>
          </w:tcPr>
          <w:p w:rsidR="00F44738" w:rsidRPr="00BF05FC" w:rsidRDefault="00E11629" w:rsidP="00BF05FC">
            <w:pPr>
              <w:pStyle w:val="TableTextNoSpace"/>
              <w:rPr>
                <w:b/>
              </w:rPr>
            </w:pPr>
            <w:r w:rsidRPr="00BF05FC">
              <w:rPr>
                <w:b/>
              </w:rPr>
              <w:t>Children subject to judicial decisions on national adoptions (CivAdm012)</w:t>
            </w:r>
          </w:p>
        </w:tc>
        <w:tc>
          <w:tcPr>
            <w:tcW w:w="834" w:type="pct"/>
            <w:shd w:val="clear" w:color="auto" w:fill="DBE5F1" w:themeFill="accent1" w:themeFillTint="33"/>
          </w:tcPr>
          <w:p w:rsidR="00F44738" w:rsidRPr="00BF05FC" w:rsidRDefault="00E11629" w:rsidP="00BF05FC">
            <w:pPr>
              <w:pStyle w:val="TableTextNoSpace"/>
              <w:rPr>
                <w:b/>
              </w:rPr>
            </w:pPr>
            <w:r w:rsidRPr="00BF05FC">
              <w:rPr>
                <w:b/>
              </w:rPr>
              <w:t>Children subject to judicial decisions on inter-country adoptions (CivAdm013)</w:t>
            </w:r>
          </w:p>
        </w:tc>
        <w:tc>
          <w:tcPr>
            <w:tcW w:w="834" w:type="pct"/>
            <w:shd w:val="clear" w:color="auto" w:fill="DBE5F1" w:themeFill="accent1" w:themeFillTint="33"/>
          </w:tcPr>
          <w:p w:rsidR="00F44738" w:rsidRPr="00BF05FC" w:rsidRDefault="00E11629" w:rsidP="00BF05FC">
            <w:pPr>
              <w:pStyle w:val="TableTextNoSpace"/>
              <w:rPr>
                <w:b/>
              </w:rPr>
            </w:pPr>
            <w:r w:rsidRPr="00BF05FC">
              <w:rPr>
                <w:b/>
              </w:rPr>
              <w:t>First instance decisions on applications for asylum (age 0-17) (CivAdm016)</w:t>
            </w:r>
            <w:r w:rsidR="00F2479C" w:rsidRPr="00BF05FC">
              <w:rPr>
                <w:rStyle w:val="FootnoteReference"/>
                <w:b/>
              </w:rPr>
              <w:footnoteReference w:id="33"/>
            </w:r>
          </w:p>
        </w:tc>
        <w:tc>
          <w:tcPr>
            <w:tcW w:w="833" w:type="pct"/>
            <w:shd w:val="clear" w:color="auto" w:fill="DBE5F1" w:themeFill="accent1" w:themeFillTint="33"/>
          </w:tcPr>
          <w:p w:rsidR="00F44738" w:rsidRPr="00BF05FC" w:rsidRDefault="00E11629" w:rsidP="00BF05FC">
            <w:pPr>
              <w:pStyle w:val="TableTextNoSpace"/>
              <w:rPr>
                <w:b/>
              </w:rPr>
            </w:pPr>
            <w:r w:rsidRPr="00BF05FC">
              <w:rPr>
                <w:b/>
              </w:rPr>
              <w:t>Child maintenance cases (CivAdm040)</w:t>
            </w:r>
          </w:p>
        </w:tc>
      </w:tr>
      <w:tr w:rsidR="00F44738" w:rsidRPr="00F44738" w:rsidTr="00BF05FC">
        <w:tc>
          <w:tcPr>
            <w:tcW w:w="833" w:type="pct"/>
            <w:shd w:val="clear" w:color="auto" w:fill="auto"/>
          </w:tcPr>
          <w:p w:rsidR="00F44738" w:rsidRPr="00F44738" w:rsidRDefault="00F44738" w:rsidP="00BF05FC">
            <w:pPr>
              <w:pStyle w:val="TableTextNoSpace"/>
            </w:pPr>
            <w:r w:rsidRPr="00F44738">
              <w:t>BG</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DK</w:t>
            </w:r>
          </w:p>
        </w:tc>
        <w:tc>
          <w:tcPr>
            <w:tcW w:w="834" w:type="pct"/>
            <w:shd w:val="clear" w:color="auto" w:fill="auto"/>
          </w:tcPr>
          <w:p w:rsidR="00F44738" w:rsidRPr="00F44738" w:rsidRDefault="00F44738" w:rsidP="00BF05FC">
            <w:pPr>
              <w:pStyle w:val="TableTextNoSpace"/>
            </w:pPr>
            <w:r w:rsidRPr="00F44738">
              <w:t>DK</w:t>
            </w: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BE</w:t>
            </w:r>
          </w:p>
        </w:tc>
      </w:tr>
      <w:tr w:rsidR="00F44738" w:rsidRPr="00F44738" w:rsidTr="00BF05FC">
        <w:tc>
          <w:tcPr>
            <w:tcW w:w="833" w:type="pct"/>
            <w:shd w:val="clear" w:color="auto" w:fill="auto"/>
          </w:tcPr>
          <w:p w:rsidR="00F44738" w:rsidRPr="00F44738" w:rsidRDefault="00F44738" w:rsidP="00BF05FC">
            <w:pPr>
              <w:pStyle w:val="TableTextNoSpace"/>
            </w:pPr>
            <w:r w:rsidRPr="00F44738">
              <w:t>IE</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EL</w:t>
            </w:r>
          </w:p>
        </w:tc>
        <w:tc>
          <w:tcPr>
            <w:tcW w:w="834" w:type="pct"/>
            <w:shd w:val="clear" w:color="auto" w:fill="auto"/>
          </w:tcPr>
          <w:p w:rsidR="00F44738" w:rsidRPr="00F44738" w:rsidRDefault="00F44738" w:rsidP="00BF05FC">
            <w:pPr>
              <w:pStyle w:val="TableTextNoSpace"/>
            </w:pPr>
            <w:r w:rsidRPr="00F44738">
              <w:t>EL</w:t>
            </w: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IE</w:t>
            </w:r>
          </w:p>
        </w:tc>
      </w:tr>
      <w:tr w:rsidR="00F44738" w:rsidRPr="00F44738" w:rsidTr="00BF05FC">
        <w:tc>
          <w:tcPr>
            <w:tcW w:w="833" w:type="pct"/>
            <w:shd w:val="clear" w:color="auto" w:fill="auto"/>
          </w:tcPr>
          <w:p w:rsidR="00F44738" w:rsidRPr="00F44738" w:rsidRDefault="00F44738" w:rsidP="00BF05FC">
            <w:pPr>
              <w:pStyle w:val="TableTextNoSpace"/>
            </w:pPr>
            <w:r w:rsidRPr="00F44738">
              <w:t>EL</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FR</w:t>
            </w:r>
          </w:p>
        </w:tc>
        <w:tc>
          <w:tcPr>
            <w:tcW w:w="834" w:type="pct"/>
            <w:shd w:val="clear" w:color="auto" w:fill="auto"/>
          </w:tcPr>
          <w:p w:rsidR="00F44738" w:rsidRPr="00F44738" w:rsidRDefault="00F44738" w:rsidP="00BF05FC">
            <w:pPr>
              <w:pStyle w:val="TableTextNoSpace"/>
            </w:pPr>
            <w:r w:rsidRPr="00F44738">
              <w:t>LU</w:t>
            </w: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ES</w:t>
            </w:r>
          </w:p>
        </w:tc>
      </w:tr>
      <w:tr w:rsidR="00F44738" w:rsidRPr="00F44738" w:rsidTr="00BF05FC">
        <w:tc>
          <w:tcPr>
            <w:tcW w:w="833" w:type="pct"/>
            <w:shd w:val="clear" w:color="auto" w:fill="auto"/>
          </w:tcPr>
          <w:p w:rsidR="00F44738" w:rsidRPr="00F44738" w:rsidRDefault="00F44738" w:rsidP="00BF05FC">
            <w:pPr>
              <w:pStyle w:val="TableTextNoSpace"/>
            </w:pPr>
            <w:r w:rsidRPr="00F44738">
              <w:t>ES</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IT</w:t>
            </w:r>
          </w:p>
        </w:tc>
        <w:tc>
          <w:tcPr>
            <w:tcW w:w="834" w:type="pct"/>
            <w:shd w:val="clear" w:color="auto" w:fill="auto"/>
          </w:tcPr>
          <w:p w:rsidR="00F44738" w:rsidRPr="00F44738" w:rsidRDefault="00F44738" w:rsidP="00BF05FC">
            <w:pPr>
              <w:pStyle w:val="TableTextNoSpace"/>
            </w:pPr>
            <w:r w:rsidRPr="00F44738">
              <w:t>AT</w:t>
            </w: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IT</w:t>
            </w:r>
          </w:p>
        </w:tc>
      </w:tr>
      <w:tr w:rsidR="00F44738" w:rsidRPr="00F44738" w:rsidTr="00BF05FC">
        <w:tc>
          <w:tcPr>
            <w:tcW w:w="833" w:type="pct"/>
            <w:shd w:val="clear" w:color="auto" w:fill="auto"/>
          </w:tcPr>
          <w:p w:rsidR="00F44738" w:rsidRPr="00F44738" w:rsidRDefault="00F44738" w:rsidP="00BF05FC">
            <w:pPr>
              <w:pStyle w:val="TableTextNoSpace"/>
            </w:pPr>
            <w:r w:rsidRPr="00F44738">
              <w:t>CY</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LV</w:t>
            </w:r>
          </w:p>
        </w:tc>
        <w:tc>
          <w:tcPr>
            <w:tcW w:w="834" w:type="pct"/>
            <w:shd w:val="clear" w:color="auto" w:fill="auto"/>
          </w:tcPr>
          <w:p w:rsidR="00F44738" w:rsidRPr="00F44738" w:rsidRDefault="00F44738" w:rsidP="00BF05FC">
            <w:pPr>
              <w:pStyle w:val="TableTextNoSpace"/>
            </w:pPr>
            <w:r w:rsidRPr="00F44738">
              <w:t>RO</w:t>
            </w: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LV</w:t>
            </w:r>
          </w:p>
        </w:tc>
      </w:tr>
      <w:tr w:rsidR="00F44738" w:rsidRPr="00F44738" w:rsidTr="00BF05FC">
        <w:tc>
          <w:tcPr>
            <w:tcW w:w="833" w:type="pct"/>
            <w:shd w:val="clear" w:color="auto" w:fill="auto"/>
          </w:tcPr>
          <w:p w:rsidR="00F44738" w:rsidRPr="00F44738" w:rsidRDefault="00F44738" w:rsidP="00BF05FC">
            <w:pPr>
              <w:pStyle w:val="TableTextNoSpace"/>
            </w:pPr>
            <w:r w:rsidRPr="00F44738">
              <w:t>NL</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LT</w:t>
            </w:r>
          </w:p>
        </w:tc>
        <w:tc>
          <w:tcPr>
            <w:tcW w:w="834" w:type="pct"/>
            <w:shd w:val="clear" w:color="auto" w:fill="auto"/>
          </w:tcPr>
          <w:p w:rsidR="00F44738" w:rsidRPr="00F44738" w:rsidRDefault="00F44738" w:rsidP="00BF05FC">
            <w:pPr>
              <w:pStyle w:val="TableTextNoSpace"/>
            </w:pPr>
            <w:r w:rsidRPr="00F44738">
              <w:t>FI</w:t>
            </w: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NL</w:t>
            </w:r>
          </w:p>
        </w:tc>
      </w:tr>
      <w:tr w:rsidR="00F44738" w:rsidRPr="00F44738" w:rsidTr="00BF05FC">
        <w:tc>
          <w:tcPr>
            <w:tcW w:w="833" w:type="pct"/>
            <w:shd w:val="clear" w:color="auto" w:fill="auto"/>
          </w:tcPr>
          <w:p w:rsidR="00F44738" w:rsidRPr="00F44738" w:rsidRDefault="00F44738" w:rsidP="00BF05FC">
            <w:pPr>
              <w:pStyle w:val="TableTextNoSpace"/>
            </w:pPr>
            <w:r w:rsidRPr="00F44738">
              <w:t>PL</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LU</w:t>
            </w:r>
          </w:p>
        </w:tc>
        <w:tc>
          <w:tcPr>
            <w:tcW w:w="834" w:type="pct"/>
            <w:shd w:val="clear" w:color="auto" w:fill="auto"/>
          </w:tcPr>
          <w:p w:rsidR="00F44738" w:rsidRPr="00F44738" w:rsidRDefault="00F44738" w:rsidP="00BF05FC">
            <w:pPr>
              <w:pStyle w:val="TableTextNoSpace"/>
            </w:pP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UK-E&amp;W</w:t>
            </w:r>
          </w:p>
        </w:tc>
      </w:tr>
      <w:tr w:rsidR="00F44738" w:rsidRPr="00F44738" w:rsidTr="00BF05FC">
        <w:tc>
          <w:tcPr>
            <w:tcW w:w="833" w:type="pct"/>
            <w:shd w:val="clear" w:color="auto" w:fill="auto"/>
          </w:tcPr>
          <w:p w:rsidR="00F44738" w:rsidRPr="00F44738" w:rsidRDefault="00F44738" w:rsidP="00BF05FC">
            <w:pPr>
              <w:pStyle w:val="TableTextNoSpace"/>
            </w:pPr>
            <w:r w:rsidRPr="00F44738">
              <w:t>RO</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PT</w:t>
            </w:r>
          </w:p>
        </w:tc>
        <w:tc>
          <w:tcPr>
            <w:tcW w:w="834" w:type="pct"/>
            <w:shd w:val="clear" w:color="auto" w:fill="auto"/>
          </w:tcPr>
          <w:p w:rsidR="00F44738" w:rsidRPr="00F44738" w:rsidRDefault="00F44738" w:rsidP="00BF05FC">
            <w:pPr>
              <w:pStyle w:val="TableTextNoSpace"/>
            </w:pP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UK-NI</w:t>
            </w:r>
          </w:p>
        </w:tc>
      </w:tr>
      <w:tr w:rsidR="00F44738" w:rsidRPr="00F44738" w:rsidTr="00BF05FC">
        <w:tc>
          <w:tcPr>
            <w:tcW w:w="833" w:type="pct"/>
            <w:shd w:val="clear" w:color="auto" w:fill="auto"/>
          </w:tcPr>
          <w:p w:rsidR="00F44738" w:rsidRPr="00F44738" w:rsidRDefault="00F44738" w:rsidP="00BF05FC">
            <w:pPr>
              <w:pStyle w:val="TableTextNoSpace"/>
            </w:pPr>
            <w:r w:rsidRPr="00F44738">
              <w:t>SI</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SI</w:t>
            </w:r>
          </w:p>
        </w:tc>
        <w:tc>
          <w:tcPr>
            <w:tcW w:w="834" w:type="pct"/>
            <w:shd w:val="clear" w:color="auto" w:fill="auto"/>
          </w:tcPr>
          <w:p w:rsidR="00F44738" w:rsidRPr="00F44738" w:rsidRDefault="00F44738" w:rsidP="00BF05FC">
            <w:pPr>
              <w:pStyle w:val="TableTextNoSpace"/>
            </w:pP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UK-S</w:t>
            </w:r>
          </w:p>
        </w:tc>
      </w:tr>
      <w:tr w:rsidR="00F44738" w:rsidRPr="00F44738" w:rsidTr="00BF05FC">
        <w:tc>
          <w:tcPr>
            <w:tcW w:w="833" w:type="pct"/>
            <w:shd w:val="clear" w:color="auto" w:fill="auto"/>
          </w:tcPr>
          <w:p w:rsidR="00F44738" w:rsidRPr="00F44738" w:rsidRDefault="00F44738" w:rsidP="00BF05FC">
            <w:pPr>
              <w:pStyle w:val="TableTextNoSpace"/>
            </w:pPr>
            <w:r w:rsidRPr="00F44738">
              <w:t>SK</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SE</w:t>
            </w:r>
          </w:p>
        </w:tc>
        <w:tc>
          <w:tcPr>
            <w:tcW w:w="834" w:type="pct"/>
            <w:shd w:val="clear" w:color="auto" w:fill="auto"/>
          </w:tcPr>
          <w:p w:rsidR="00F44738" w:rsidRPr="00F44738" w:rsidRDefault="00F44738" w:rsidP="00BF05FC">
            <w:pPr>
              <w:pStyle w:val="TableTextNoSpace"/>
            </w:pP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p>
        </w:tc>
      </w:tr>
      <w:tr w:rsidR="00F44738" w:rsidRPr="00F44738" w:rsidTr="00BF05FC">
        <w:tc>
          <w:tcPr>
            <w:tcW w:w="833" w:type="pct"/>
            <w:shd w:val="clear" w:color="auto" w:fill="auto"/>
          </w:tcPr>
          <w:p w:rsidR="00F44738" w:rsidRPr="00F44738" w:rsidRDefault="00F44738" w:rsidP="00BF05FC">
            <w:pPr>
              <w:pStyle w:val="TableTextNoSpace"/>
            </w:pPr>
            <w:r w:rsidRPr="00F44738">
              <w:t>SE</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UK-E&amp;W</w:t>
            </w:r>
          </w:p>
        </w:tc>
        <w:tc>
          <w:tcPr>
            <w:tcW w:w="834" w:type="pct"/>
            <w:shd w:val="clear" w:color="auto" w:fill="auto"/>
          </w:tcPr>
          <w:p w:rsidR="00F44738" w:rsidRPr="00F44738" w:rsidRDefault="00F44738" w:rsidP="00BF05FC">
            <w:pPr>
              <w:pStyle w:val="TableTextNoSpace"/>
            </w:pP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p>
        </w:tc>
      </w:tr>
      <w:tr w:rsidR="00F44738" w:rsidRPr="00F44738" w:rsidTr="00BF05FC">
        <w:tc>
          <w:tcPr>
            <w:tcW w:w="833" w:type="pct"/>
            <w:shd w:val="clear" w:color="auto" w:fill="auto"/>
          </w:tcPr>
          <w:p w:rsidR="00F44738" w:rsidRPr="00F44738" w:rsidRDefault="00F44738" w:rsidP="00BF05FC">
            <w:pPr>
              <w:pStyle w:val="TableTextNoSpace"/>
            </w:pPr>
            <w:r w:rsidRPr="00F44738">
              <w:t>UK-S</w:t>
            </w:r>
          </w:p>
        </w:tc>
        <w:tc>
          <w:tcPr>
            <w:tcW w:w="833"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r w:rsidRPr="00F44738">
              <w:t>UK-S</w:t>
            </w:r>
          </w:p>
        </w:tc>
        <w:tc>
          <w:tcPr>
            <w:tcW w:w="834" w:type="pct"/>
            <w:shd w:val="clear" w:color="auto" w:fill="auto"/>
          </w:tcPr>
          <w:p w:rsidR="00F44738" w:rsidRPr="00F44738" w:rsidRDefault="00F44738" w:rsidP="00BF05FC">
            <w:pPr>
              <w:pStyle w:val="TableTextNoSpace"/>
            </w:pPr>
          </w:p>
        </w:tc>
        <w:tc>
          <w:tcPr>
            <w:tcW w:w="834" w:type="pct"/>
            <w:shd w:val="clear" w:color="auto" w:fill="auto"/>
          </w:tcPr>
          <w:p w:rsidR="00F44738" w:rsidRPr="00F44738" w:rsidRDefault="00F44738" w:rsidP="00BF05FC">
            <w:pPr>
              <w:pStyle w:val="TableTextNoSpace"/>
            </w:pPr>
          </w:p>
        </w:tc>
        <w:tc>
          <w:tcPr>
            <w:tcW w:w="833" w:type="pct"/>
            <w:shd w:val="clear" w:color="auto" w:fill="auto"/>
          </w:tcPr>
          <w:p w:rsidR="00F44738" w:rsidRPr="00F44738" w:rsidRDefault="00F44738" w:rsidP="00BF05FC">
            <w:pPr>
              <w:pStyle w:val="TableTextNoSpace"/>
            </w:pPr>
          </w:p>
        </w:tc>
      </w:tr>
    </w:tbl>
    <w:p w:rsidR="00F44738" w:rsidRPr="00F44738" w:rsidRDefault="00F44738" w:rsidP="00F95D37">
      <w:pPr>
        <w:spacing w:before="0" w:after="0" w:line="240" w:lineRule="auto"/>
      </w:pPr>
    </w:p>
    <w:p w:rsidR="00DA6A74" w:rsidRPr="00230A0B" w:rsidRDefault="00DA6A74" w:rsidP="00BF05FC">
      <w:pPr>
        <w:pStyle w:val="AnnexTable"/>
        <w:numPr>
          <w:ilvl w:val="4"/>
          <w:numId w:val="30"/>
        </w:numPr>
        <w:tabs>
          <w:tab w:val="clear" w:pos="1247"/>
          <w:tab w:val="num" w:pos="2070"/>
        </w:tabs>
        <w:ind w:hanging="347"/>
        <w:rPr>
          <w:color w:val="0070C0"/>
        </w:rPr>
      </w:pPr>
      <w:bookmarkStart w:id="339" w:name="_Ref394595678"/>
      <w:bookmarkStart w:id="340" w:name="_Toc408908659"/>
      <w:r w:rsidRPr="00230A0B">
        <w:rPr>
          <w:color w:val="0070C0"/>
        </w:rPr>
        <w:t>Member States which provide approximate data for the key indicators</w:t>
      </w:r>
      <w:bookmarkEnd w:id="339"/>
      <w:bookmarkEnd w:id="340"/>
    </w:p>
    <w:tbl>
      <w:tblPr>
        <w:tblW w:w="4654" w:type="pct"/>
        <w:tblInd w:w="62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803"/>
        <w:gridCol w:w="2111"/>
        <w:gridCol w:w="2269"/>
        <w:gridCol w:w="2266"/>
      </w:tblGrid>
      <w:tr w:rsidR="00230A0B" w:rsidRPr="00230A0B" w:rsidTr="00BF05FC">
        <w:trPr>
          <w:tblHeader/>
        </w:trPr>
        <w:tc>
          <w:tcPr>
            <w:tcW w:w="1067" w:type="pct"/>
            <w:shd w:val="clear" w:color="auto" w:fill="DBE5F1" w:themeFill="accent1" w:themeFillTint="33"/>
          </w:tcPr>
          <w:p w:rsidR="00F44738" w:rsidRPr="00BF05FC" w:rsidRDefault="00E11629" w:rsidP="00BF05FC">
            <w:pPr>
              <w:pStyle w:val="TableTextNoSpace"/>
              <w:rPr>
                <w:b/>
              </w:rPr>
            </w:pPr>
            <w:r w:rsidRPr="00BF05FC">
              <w:rPr>
                <w:b/>
              </w:rPr>
              <w:t>Children who have received sanctions for criminal type or anti-social behaviour (CivAdm036)</w:t>
            </w:r>
          </w:p>
        </w:tc>
        <w:tc>
          <w:tcPr>
            <w:tcW w:w="1249" w:type="pct"/>
            <w:shd w:val="clear" w:color="auto" w:fill="DBE5F1" w:themeFill="accent1" w:themeFillTint="33"/>
          </w:tcPr>
          <w:p w:rsidR="00F44738" w:rsidRPr="00BF05FC" w:rsidRDefault="00E11629" w:rsidP="00BF05FC">
            <w:pPr>
              <w:pStyle w:val="TableTextNoSpace"/>
              <w:rPr>
                <w:b/>
              </w:rPr>
            </w:pPr>
            <w:r w:rsidRPr="00BF05FC">
              <w:rPr>
                <w:b/>
              </w:rPr>
              <w:t>Children who have received sanctions imposed by the court for road traffic offences (CivAdm037)</w:t>
            </w:r>
          </w:p>
        </w:tc>
        <w:tc>
          <w:tcPr>
            <w:tcW w:w="1343" w:type="pct"/>
            <w:shd w:val="clear" w:color="auto" w:fill="DBE5F1" w:themeFill="accent1" w:themeFillTint="33"/>
          </w:tcPr>
          <w:p w:rsidR="00F44738" w:rsidRPr="00BF05FC" w:rsidRDefault="00E11629" w:rsidP="00BF05FC">
            <w:pPr>
              <w:pStyle w:val="TableTextNoSpace"/>
              <w:rPr>
                <w:b/>
              </w:rPr>
            </w:pPr>
            <w:r w:rsidRPr="00BF05FC">
              <w:rPr>
                <w:b/>
              </w:rPr>
              <w:t>Court cases concerning institutional care placement (CivAdm009)</w:t>
            </w:r>
          </w:p>
        </w:tc>
        <w:tc>
          <w:tcPr>
            <w:tcW w:w="1342" w:type="pct"/>
            <w:shd w:val="clear" w:color="auto" w:fill="DBE5F1" w:themeFill="accent1" w:themeFillTint="33"/>
          </w:tcPr>
          <w:p w:rsidR="00F44738" w:rsidRPr="00BF05FC" w:rsidRDefault="00E11629" w:rsidP="00BF05FC">
            <w:pPr>
              <w:pStyle w:val="TableTextNoSpace"/>
              <w:rPr>
                <w:b/>
              </w:rPr>
            </w:pPr>
            <w:r w:rsidRPr="00BF05FC">
              <w:rPr>
                <w:b/>
              </w:rPr>
              <w:t>Court cases concerning children placed with a foster family during a 12 month period (CivAdm011)</w:t>
            </w:r>
          </w:p>
        </w:tc>
      </w:tr>
      <w:tr w:rsidR="00F44738" w:rsidRPr="00F44738" w:rsidTr="00BF05FC">
        <w:tc>
          <w:tcPr>
            <w:tcW w:w="1067" w:type="pct"/>
            <w:shd w:val="clear" w:color="auto" w:fill="auto"/>
          </w:tcPr>
          <w:p w:rsidR="00F44738" w:rsidRPr="00230A0B" w:rsidRDefault="00F44738" w:rsidP="00BF05FC">
            <w:pPr>
              <w:pStyle w:val="TableTextNoSpace"/>
            </w:pPr>
            <w:r w:rsidRPr="00230A0B">
              <w:t>DK</w:t>
            </w:r>
          </w:p>
        </w:tc>
        <w:tc>
          <w:tcPr>
            <w:tcW w:w="1249" w:type="pct"/>
            <w:shd w:val="clear" w:color="auto" w:fill="auto"/>
          </w:tcPr>
          <w:p w:rsidR="00F44738" w:rsidRPr="00230A0B" w:rsidRDefault="00F44738" w:rsidP="00BF05FC">
            <w:pPr>
              <w:pStyle w:val="TableTextNoSpace"/>
            </w:pPr>
            <w:r w:rsidRPr="00230A0B">
              <w:t>SE</w:t>
            </w:r>
          </w:p>
        </w:tc>
        <w:tc>
          <w:tcPr>
            <w:tcW w:w="1343" w:type="pct"/>
            <w:shd w:val="clear" w:color="auto" w:fill="auto"/>
          </w:tcPr>
          <w:p w:rsidR="00F44738" w:rsidRPr="00230A0B" w:rsidRDefault="00F44738" w:rsidP="00BF05FC">
            <w:pPr>
              <w:pStyle w:val="TableTextNoSpace"/>
            </w:pPr>
            <w:r w:rsidRPr="00230A0B">
              <w:t>BE</w:t>
            </w:r>
          </w:p>
        </w:tc>
        <w:tc>
          <w:tcPr>
            <w:tcW w:w="1342" w:type="pct"/>
            <w:shd w:val="clear" w:color="auto" w:fill="auto"/>
          </w:tcPr>
          <w:p w:rsidR="00F44738" w:rsidRPr="00230A0B" w:rsidRDefault="00F44738" w:rsidP="00BF05FC">
            <w:pPr>
              <w:pStyle w:val="TableTextNoSpace"/>
            </w:pPr>
            <w:r w:rsidRPr="00230A0B">
              <w:t>DK</w:t>
            </w:r>
          </w:p>
        </w:tc>
      </w:tr>
      <w:tr w:rsidR="00F44738" w:rsidRPr="00F44738" w:rsidTr="00BF05FC">
        <w:tc>
          <w:tcPr>
            <w:tcW w:w="1067" w:type="pct"/>
            <w:shd w:val="clear" w:color="auto" w:fill="auto"/>
          </w:tcPr>
          <w:p w:rsidR="00F44738" w:rsidRPr="00230A0B" w:rsidRDefault="00F44738" w:rsidP="00BF05FC">
            <w:pPr>
              <w:pStyle w:val="TableTextNoSpace"/>
            </w:pPr>
            <w:r w:rsidRPr="00230A0B">
              <w:t>SE</w:t>
            </w: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DK</w:t>
            </w:r>
          </w:p>
        </w:tc>
        <w:tc>
          <w:tcPr>
            <w:tcW w:w="1342" w:type="pct"/>
            <w:shd w:val="clear" w:color="auto" w:fill="auto"/>
          </w:tcPr>
          <w:p w:rsidR="00F44738" w:rsidRPr="00230A0B" w:rsidRDefault="00F44738" w:rsidP="00BF05FC">
            <w:pPr>
              <w:pStyle w:val="TableTextNoSpace"/>
            </w:pPr>
            <w:r w:rsidRPr="00230A0B">
              <w:t>EE</w:t>
            </w:r>
          </w:p>
        </w:tc>
      </w:tr>
      <w:tr w:rsidR="00F44738" w:rsidRPr="00F44738" w:rsidTr="00BF05FC">
        <w:tc>
          <w:tcPr>
            <w:tcW w:w="1067" w:type="pct"/>
            <w:shd w:val="clear" w:color="auto" w:fill="auto"/>
          </w:tcPr>
          <w:p w:rsidR="00F44738" w:rsidRPr="00230A0B" w:rsidRDefault="00F44738" w:rsidP="00BF05FC">
            <w:pPr>
              <w:pStyle w:val="TableTextNoSpace"/>
            </w:pPr>
            <w:r w:rsidRPr="00230A0B">
              <w:t>UK-E&amp;W</w:t>
            </w: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DE</w:t>
            </w:r>
          </w:p>
        </w:tc>
        <w:tc>
          <w:tcPr>
            <w:tcW w:w="1342" w:type="pct"/>
            <w:shd w:val="clear" w:color="auto" w:fill="auto"/>
          </w:tcPr>
          <w:p w:rsidR="00F44738" w:rsidRPr="00230A0B" w:rsidRDefault="00F44738" w:rsidP="00BF05FC">
            <w:pPr>
              <w:pStyle w:val="TableTextNoSpace"/>
            </w:pPr>
            <w:r w:rsidRPr="00230A0B">
              <w:t>IE</w:t>
            </w:r>
          </w:p>
        </w:tc>
      </w:tr>
      <w:tr w:rsidR="00F44738" w:rsidRPr="00F44738" w:rsidTr="00BF05FC">
        <w:tc>
          <w:tcPr>
            <w:tcW w:w="1067" w:type="pct"/>
            <w:shd w:val="clear" w:color="auto" w:fill="auto"/>
          </w:tcPr>
          <w:p w:rsidR="00F44738" w:rsidRPr="00230A0B" w:rsidRDefault="00F44738" w:rsidP="00BF05FC">
            <w:pPr>
              <w:pStyle w:val="TableTextNoSpace"/>
            </w:pPr>
            <w:r w:rsidRPr="00230A0B">
              <w:t>UK-S</w:t>
            </w: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EE</w:t>
            </w:r>
          </w:p>
        </w:tc>
        <w:tc>
          <w:tcPr>
            <w:tcW w:w="1342" w:type="pct"/>
            <w:shd w:val="clear" w:color="auto" w:fill="auto"/>
          </w:tcPr>
          <w:p w:rsidR="00F44738" w:rsidRPr="00230A0B" w:rsidRDefault="00F44738" w:rsidP="00BF05FC">
            <w:pPr>
              <w:pStyle w:val="TableTextNoSpace"/>
            </w:pPr>
            <w:r w:rsidRPr="00230A0B">
              <w:t>ES</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IE</w:t>
            </w:r>
          </w:p>
        </w:tc>
        <w:tc>
          <w:tcPr>
            <w:tcW w:w="1342" w:type="pct"/>
            <w:shd w:val="clear" w:color="auto" w:fill="auto"/>
          </w:tcPr>
          <w:p w:rsidR="00F44738" w:rsidRPr="00230A0B" w:rsidRDefault="00F44738" w:rsidP="00BF05FC">
            <w:pPr>
              <w:pStyle w:val="TableTextNoSpace"/>
            </w:pPr>
            <w:r w:rsidRPr="00230A0B">
              <w:t>HR</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ES</w:t>
            </w:r>
          </w:p>
        </w:tc>
        <w:tc>
          <w:tcPr>
            <w:tcW w:w="1342" w:type="pct"/>
            <w:shd w:val="clear" w:color="auto" w:fill="auto"/>
          </w:tcPr>
          <w:p w:rsidR="00F44738" w:rsidRPr="00230A0B" w:rsidRDefault="00F44738" w:rsidP="00BF05FC">
            <w:pPr>
              <w:pStyle w:val="TableTextNoSpace"/>
            </w:pPr>
            <w:r w:rsidRPr="00230A0B">
              <w:t>LT</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HR</w:t>
            </w:r>
          </w:p>
        </w:tc>
        <w:tc>
          <w:tcPr>
            <w:tcW w:w="1342" w:type="pct"/>
            <w:shd w:val="clear" w:color="auto" w:fill="auto"/>
          </w:tcPr>
          <w:p w:rsidR="00F44738" w:rsidRPr="00230A0B" w:rsidRDefault="00F44738" w:rsidP="00BF05FC">
            <w:pPr>
              <w:pStyle w:val="TableTextNoSpace"/>
            </w:pPr>
            <w:r w:rsidRPr="00230A0B">
              <w:t>LU</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LV</w:t>
            </w:r>
          </w:p>
        </w:tc>
        <w:tc>
          <w:tcPr>
            <w:tcW w:w="1342" w:type="pct"/>
            <w:shd w:val="clear" w:color="auto" w:fill="auto"/>
          </w:tcPr>
          <w:p w:rsidR="00F44738" w:rsidRPr="00230A0B" w:rsidRDefault="00F44738" w:rsidP="00BF05FC">
            <w:pPr>
              <w:pStyle w:val="TableTextNoSpace"/>
            </w:pPr>
            <w:r w:rsidRPr="00230A0B">
              <w:t>HU</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LT</w:t>
            </w:r>
          </w:p>
        </w:tc>
        <w:tc>
          <w:tcPr>
            <w:tcW w:w="1342" w:type="pct"/>
            <w:shd w:val="clear" w:color="auto" w:fill="auto"/>
          </w:tcPr>
          <w:p w:rsidR="00F44738" w:rsidRPr="00230A0B" w:rsidRDefault="00F44738" w:rsidP="00BF05FC">
            <w:pPr>
              <w:pStyle w:val="TableTextNoSpace"/>
            </w:pPr>
            <w:r w:rsidRPr="00230A0B">
              <w:t>RO</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LU</w:t>
            </w:r>
          </w:p>
        </w:tc>
        <w:tc>
          <w:tcPr>
            <w:tcW w:w="1342" w:type="pct"/>
            <w:shd w:val="clear" w:color="auto" w:fill="auto"/>
          </w:tcPr>
          <w:p w:rsidR="00F44738" w:rsidRPr="00230A0B" w:rsidRDefault="00F44738" w:rsidP="00BF05FC">
            <w:pPr>
              <w:pStyle w:val="TableTextNoSpace"/>
            </w:pPr>
            <w:r w:rsidRPr="00230A0B">
              <w:t>SI</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HU</w:t>
            </w:r>
          </w:p>
        </w:tc>
        <w:tc>
          <w:tcPr>
            <w:tcW w:w="1342" w:type="pct"/>
            <w:shd w:val="clear" w:color="auto" w:fill="auto"/>
          </w:tcPr>
          <w:p w:rsidR="00F44738" w:rsidRPr="00230A0B" w:rsidRDefault="00F44738" w:rsidP="00BF05FC">
            <w:pPr>
              <w:pStyle w:val="TableTextNoSpace"/>
            </w:pPr>
            <w:r w:rsidRPr="00230A0B">
              <w:t>FI</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NL</w:t>
            </w:r>
          </w:p>
        </w:tc>
        <w:tc>
          <w:tcPr>
            <w:tcW w:w="1342" w:type="pct"/>
            <w:shd w:val="clear" w:color="auto" w:fill="auto"/>
          </w:tcPr>
          <w:p w:rsidR="00F44738" w:rsidRPr="00230A0B" w:rsidRDefault="00F44738" w:rsidP="00BF05FC">
            <w:pPr>
              <w:pStyle w:val="TableTextNoSpace"/>
            </w:pPr>
            <w:r w:rsidRPr="00230A0B">
              <w:t>UK-E&amp;W</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AT</w:t>
            </w:r>
          </w:p>
        </w:tc>
        <w:tc>
          <w:tcPr>
            <w:tcW w:w="1342" w:type="pct"/>
            <w:shd w:val="clear" w:color="auto" w:fill="auto"/>
          </w:tcPr>
          <w:p w:rsidR="00F44738" w:rsidRPr="00230A0B" w:rsidRDefault="00F44738" w:rsidP="00BF05FC">
            <w:pPr>
              <w:pStyle w:val="TableTextNoSpace"/>
            </w:pPr>
            <w:r w:rsidRPr="00230A0B">
              <w:t>UK-S</w:t>
            </w: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RO</w:t>
            </w:r>
          </w:p>
        </w:tc>
        <w:tc>
          <w:tcPr>
            <w:tcW w:w="1342" w:type="pct"/>
            <w:shd w:val="clear" w:color="auto" w:fill="auto"/>
          </w:tcPr>
          <w:p w:rsidR="00F44738" w:rsidRPr="00230A0B" w:rsidRDefault="00F44738" w:rsidP="00BF05FC">
            <w:pPr>
              <w:pStyle w:val="TableTextNoSpace"/>
            </w:pP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SI</w:t>
            </w:r>
          </w:p>
        </w:tc>
        <w:tc>
          <w:tcPr>
            <w:tcW w:w="1342" w:type="pct"/>
            <w:shd w:val="clear" w:color="auto" w:fill="auto"/>
          </w:tcPr>
          <w:p w:rsidR="00F44738" w:rsidRPr="00230A0B" w:rsidRDefault="00F44738" w:rsidP="00BF05FC">
            <w:pPr>
              <w:pStyle w:val="TableTextNoSpace"/>
            </w:pP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FI</w:t>
            </w:r>
          </w:p>
        </w:tc>
        <w:tc>
          <w:tcPr>
            <w:tcW w:w="1342" w:type="pct"/>
            <w:shd w:val="clear" w:color="auto" w:fill="auto"/>
          </w:tcPr>
          <w:p w:rsidR="00F44738" w:rsidRPr="00230A0B" w:rsidRDefault="00F44738" w:rsidP="00BF05FC">
            <w:pPr>
              <w:pStyle w:val="TableTextNoSpace"/>
            </w:pP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SE</w:t>
            </w:r>
          </w:p>
        </w:tc>
        <w:tc>
          <w:tcPr>
            <w:tcW w:w="1342" w:type="pct"/>
            <w:shd w:val="clear" w:color="auto" w:fill="auto"/>
          </w:tcPr>
          <w:p w:rsidR="00F44738" w:rsidRPr="00230A0B" w:rsidRDefault="00F44738" w:rsidP="00BF05FC">
            <w:pPr>
              <w:pStyle w:val="TableTextNoSpace"/>
            </w:pP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UK-E&amp;W</w:t>
            </w:r>
          </w:p>
        </w:tc>
        <w:tc>
          <w:tcPr>
            <w:tcW w:w="1342" w:type="pct"/>
            <w:shd w:val="clear" w:color="auto" w:fill="auto"/>
          </w:tcPr>
          <w:p w:rsidR="00F44738" w:rsidRPr="00230A0B" w:rsidRDefault="00F44738" w:rsidP="00BF05FC">
            <w:pPr>
              <w:pStyle w:val="TableTextNoSpace"/>
            </w:pPr>
          </w:p>
        </w:tc>
      </w:tr>
      <w:tr w:rsidR="00F44738" w:rsidRPr="00F44738" w:rsidTr="00BF05FC">
        <w:tc>
          <w:tcPr>
            <w:tcW w:w="1067" w:type="pct"/>
            <w:shd w:val="clear" w:color="auto" w:fill="auto"/>
          </w:tcPr>
          <w:p w:rsidR="00F44738" w:rsidRPr="00230A0B" w:rsidRDefault="00F44738" w:rsidP="00BF05FC">
            <w:pPr>
              <w:pStyle w:val="TableTextNoSpace"/>
            </w:pPr>
          </w:p>
        </w:tc>
        <w:tc>
          <w:tcPr>
            <w:tcW w:w="1249" w:type="pct"/>
            <w:shd w:val="clear" w:color="auto" w:fill="auto"/>
          </w:tcPr>
          <w:p w:rsidR="00F44738" w:rsidRPr="00230A0B" w:rsidRDefault="00F44738" w:rsidP="00BF05FC">
            <w:pPr>
              <w:pStyle w:val="TableTextNoSpace"/>
            </w:pPr>
          </w:p>
        </w:tc>
        <w:tc>
          <w:tcPr>
            <w:tcW w:w="1343" w:type="pct"/>
            <w:shd w:val="clear" w:color="auto" w:fill="auto"/>
          </w:tcPr>
          <w:p w:rsidR="00F44738" w:rsidRPr="00230A0B" w:rsidRDefault="00F44738" w:rsidP="00BF05FC">
            <w:pPr>
              <w:pStyle w:val="TableTextNoSpace"/>
            </w:pPr>
            <w:r w:rsidRPr="00230A0B">
              <w:t>UK-S</w:t>
            </w:r>
          </w:p>
        </w:tc>
        <w:tc>
          <w:tcPr>
            <w:tcW w:w="1342" w:type="pct"/>
            <w:shd w:val="clear" w:color="auto" w:fill="auto"/>
          </w:tcPr>
          <w:p w:rsidR="00F44738" w:rsidRPr="00230A0B" w:rsidRDefault="00F44738" w:rsidP="00BF05FC">
            <w:pPr>
              <w:pStyle w:val="TableTextNoSpace"/>
            </w:pPr>
          </w:p>
        </w:tc>
      </w:tr>
    </w:tbl>
    <w:p w:rsidR="0045302E" w:rsidRDefault="0045302E" w:rsidP="00F44738"/>
    <w:p w:rsidR="003D6780" w:rsidRDefault="003D6780" w:rsidP="00BF05FC">
      <w:pPr>
        <w:pStyle w:val="AnnexH2"/>
      </w:pPr>
      <w:r>
        <w:t xml:space="preserve">Total number of children involved in </w:t>
      </w:r>
      <w:r w:rsidR="00D40712">
        <w:t xml:space="preserve">selected criminal, civil and administrative </w:t>
      </w:r>
      <w:r>
        <w:t>judicial proceedings</w:t>
      </w:r>
      <w:r w:rsidR="00D40712">
        <w:t xml:space="preserve"> (per 100,000 children per annum) in 2010</w:t>
      </w:r>
    </w:p>
    <w:p w:rsidR="00987207" w:rsidRPr="00230A0B" w:rsidRDefault="00987207" w:rsidP="00BF05FC">
      <w:pPr>
        <w:pStyle w:val="AnnexTable"/>
        <w:numPr>
          <w:ilvl w:val="4"/>
          <w:numId w:val="30"/>
        </w:numPr>
        <w:tabs>
          <w:tab w:val="clear" w:pos="1247"/>
          <w:tab w:val="num" w:pos="2160"/>
        </w:tabs>
        <w:ind w:left="2160" w:hanging="1260"/>
        <w:rPr>
          <w:color w:val="0070C0"/>
        </w:rPr>
      </w:pPr>
      <w:bookmarkStart w:id="341" w:name="_Toc408908660"/>
      <w:r>
        <w:rPr>
          <w:color w:val="0070C0"/>
        </w:rPr>
        <w:t>Total number of children involved in selected criminal, civil and administrative judicial proceedings (per 100,000 children per annum) in 2010</w:t>
      </w:r>
      <w:bookmarkEnd w:id="341"/>
    </w:p>
    <w:tbl>
      <w:tblPr>
        <w:tblW w:w="0" w:type="auto"/>
        <w:tblInd w:w="850"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CellMar>
          <w:top w:w="57" w:type="dxa"/>
          <w:left w:w="0" w:type="dxa"/>
          <w:bottom w:w="28" w:type="dxa"/>
          <w:right w:w="0" w:type="dxa"/>
        </w:tblCellMar>
        <w:tblLook w:val="0000" w:firstRow="0" w:lastRow="0" w:firstColumn="0" w:lastColumn="0" w:noHBand="0" w:noVBand="0"/>
      </w:tblPr>
      <w:tblGrid>
        <w:gridCol w:w="1668"/>
        <w:gridCol w:w="2585"/>
        <w:gridCol w:w="1166"/>
        <w:gridCol w:w="1159"/>
        <w:gridCol w:w="1159"/>
        <w:gridCol w:w="490"/>
      </w:tblGrid>
      <w:tr w:rsidR="009E3429" w:rsidRPr="00D37409" w:rsidTr="00546996">
        <w:trPr>
          <w:tblHeader/>
        </w:trPr>
        <w:tc>
          <w:tcPr>
            <w:tcW w:w="1667" w:type="dxa"/>
            <w:shd w:val="clear" w:color="auto" w:fill="DBE5F1" w:themeFill="accent1" w:themeFillTint="33"/>
          </w:tcPr>
          <w:p w:rsidR="009E3429" w:rsidRPr="00BF05FC" w:rsidRDefault="009E3429" w:rsidP="00BF05FC">
            <w:pPr>
              <w:pStyle w:val="TableTextNoSpace"/>
              <w:rPr>
                <w:b/>
                <w:color w:val="FF0000"/>
              </w:rPr>
            </w:pPr>
            <w:r w:rsidRPr="00BF05FC">
              <w:rPr>
                <w:b/>
              </w:rPr>
              <w:t>Area of law</w:t>
            </w:r>
          </w:p>
        </w:tc>
        <w:tc>
          <w:tcPr>
            <w:tcW w:w="2585" w:type="dxa"/>
            <w:shd w:val="clear" w:color="auto" w:fill="DBE5F1" w:themeFill="accent1" w:themeFillTint="33"/>
          </w:tcPr>
          <w:p w:rsidR="009E3429" w:rsidRPr="00BF05FC" w:rsidRDefault="009E3429" w:rsidP="00BF05FC">
            <w:pPr>
              <w:pStyle w:val="TableTextNoSpace"/>
              <w:rPr>
                <w:b/>
                <w:color w:val="FF0000"/>
              </w:rPr>
            </w:pPr>
            <w:r w:rsidRPr="00BF05FC">
              <w:rPr>
                <w:b/>
              </w:rPr>
              <w:t>Type of proceedings</w:t>
            </w:r>
          </w:p>
        </w:tc>
        <w:tc>
          <w:tcPr>
            <w:tcW w:w="0" w:type="auto"/>
            <w:shd w:val="clear" w:color="auto" w:fill="DBE5F1" w:themeFill="accent1" w:themeFillTint="33"/>
          </w:tcPr>
          <w:p w:rsidR="009E3429" w:rsidRPr="00BF05FC" w:rsidRDefault="009E3429" w:rsidP="00BF05FC">
            <w:pPr>
              <w:pStyle w:val="TableTextNoSpace"/>
              <w:rPr>
                <w:b/>
                <w:color w:val="FF0000"/>
              </w:rPr>
            </w:pPr>
            <w:r w:rsidRPr="00BF05FC">
              <w:rPr>
                <w:b/>
              </w:rPr>
              <w:t>Highest involvement</w:t>
            </w:r>
          </w:p>
        </w:tc>
        <w:tc>
          <w:tcPr>
            <w:tcW w:w="0" w:type="auto"/>
            <w:shd w:val="clear" w:color="auto" w:fill="DBE5F1" w:themeFill="accent1" w:themeFillTint="33"/>
          </w:tcPr>
          <w:p w:rsidR="009E3429" w:rsidRPr="00BF05FC" w:rsidRDefault="009E3429" w:rsidP="00BF05FC">
            <w:pPr>
              <w:pStyle w:val="TableTextNoSpace"/>
              <w:rPr>
                <w:b/>
                <w:color w:val="FF0000"/>
              </w:rPr>
            </w:pPr>
            <w:r w:rsidRPr="00BF05FC">
              <w:rPr>
                <w:b/>
              </w:rPr>
              <w:t>Lowest involvement</w:t>
            </w:r>
          </w:p>
        </w:tc>
        <w:tc>
          <w:tcPr>
            <w:tcW w:w="0" w:type="auto"/>
            <w:shd w:val="clear" w:color="auto" w:fill="DBE5F1" w:themeFill="accent1" w:themeFillTint="33"/>
          </w:tcPr>
          <w:p w:rsidR="009E3429" w:rsidRPr="00BF05FC" w:rsidRDefault="009E3429" w:rsidP="00BF05FC">
            <w:pPr>
              <w:pStyle w:val="TableTextNoSpace"/>
              <w:rPr>
                <w:b/>
                <w:color w:val="FF0000"/>
              </w:rPr>
            </w:pPr>
            <w:r w:rsidRPr="00BF05FC">
              <w:rPr>
                <w:b/>
              </w:rPr>
              <w:t>Median involvement</w:t>
            </w:r>
          </w:p>
        </w:tc>
        <w:tc>
          <w:tcPr>
            <w:tcW w:w="0" w:type="auto"/>
            <w:shd w:val="clear" w:color="auto" w:fill="DBE5F1" w:themeFill="accent1" w:themeFillTint="33"/>
          </w:tcPr>
          <w:p w:rsidR="009E3429" w:rsidRPr="00BF05FC" w:rsidRDefault="009E3429" w:rsidP="00BF05FC">
            <w:pPr>
              <w:pStyle w:val="TableTextNoSpace"/>
              <w:rPr>
                <w:b/>
              </w:rPr>
            </w:pPr>
          </w:p>
        </w:tc>
      </w:tr>
      <w:tr w:rsidR="00BF05FC" w:rsidTr="00546996">
        <w:tc>
          <w:tcPr>
            <w:tcW w:w="1667" w:type="dxa"/>
            <w:vMerge w:val="restart"/>
            <w:shd w:val="clear" w:color="auto" w:fill="auto"/>
            <w:vAlign w:val="center"/>
          </w:tcPr>
          <w:p w:rsidR="00BF05FC" w:rsidRPr="00431804" w:rsidRDefault="00BF05FC" w:rsidP="00BF05FC">
            <w:pPr>
              <w:pStyle w:val="TableTextNoSpace"/>
            </w:pPr>
            <w:r>
              <w:t>Criminal law offences (thought to have been undertaken by children above MACR</w:t>
            </w:r>
          </w:p>
        </w:tc>
        <w:tc>
          <w:tcPr>
            <w:tcW w:w="2585" w:type="dxa"/>
            <w:shd w:val="clear" w:color="auto" w:fill="auto"/>
            <w:vAlign w:val="bottom"/>
          </w:tcPr>
          <w:p w:rsidR="00BF05FC" w:rsidRPr="00431804" w:rsidRDefault="00BF05FC" w:rsidP="00BF05FC">
            <w:pPr>
              <w:pStyle w:val="TableTextNoSpace"/>
            </w:pPr>
            <w:r w:rsidRPr="0005530B">
              <w:t>Number of children in contact with the police per 100,000 child population (above the MACR)</w:t>
            </w:r>
          </w:p>
        </w:tc>
        <w:tc>
          <w:tcPr>
            <w:tcW w:w="0" w:type="auto"/>
            <w:shd w:val="clear" w:color="auto" w:fill="auto"/>
            <w:vAlign w:val="bottom"/>
          </w:tcPr>
          <w:p w:rsidR="00BF05FC" w:rsidRPr="00431804" w:rsidRDefault="00BF05FC" w:rsidP="00BF05FC">
            <w:pPr>
              <w:pStyle w:val="TableTextNoSpace"/>
            </w:pPr>
            <w:r w:rsidRPr="00987207">
              <w:t>17</w:t>
            </w:r>
            <w:r>
              <w:t>,</w:t>
            </w:r>
            <w:r w:rsidRPr="00987207">
              <w:t>504</w:t>
            </w:r>
          </w:p>
        </w:tc>
        <w:tc>
          <w:tcPr>
            <w:tcW w:w="0" w:type="auto"/>
            <w:shd w:val="clear" w:color="auto" w:fill="auto"/>
            <w:vAlign w:val="bottom"/>
          </w:tcPr>
          <w:p w:rsidR="00BF05FC" w:rsidRPr="00431804" w:rsidRDefault="00BF05FC" w:rsidP="00BF05FC">
            <w:pPr>
              <w:pStyle w:val="TableTextNoSpace"/>
            </w:pPr>
            <w:r w:rsidRPr="00987207">
              <w:t>1</w:t>
            </w:r>
            <w:r>
              <w:t>,</w:t>
            </w:r>
            <w:r w:rsidRPr="00987207">
              <w:t>057</w:t>
            </w:r>
          </w:p>
        </w:tc>
        <w:tc>
          <w:tcPr>
            <w:tcW w:w="0" w:type="auto"/>
            <w:shd w:val="clear" w:color="auto" w:fill="auto"/>
            <w:vAlign w:val="bottom"/>
          </w:tcPr>
          <w:p w:rsidR="00BF05FC" w:rsidRPr="00431804" w:rsidRDefault="00BF05FC" w:rsidP="00BF05FC">
            <w:pPr>
              <w:pStyle w:val="TableTextNoSpace"/>
            </w:pPr>
            <w:r w:rsidRPr="00987207">
              <w:t>2</w:t>
            </w:r>
            <w:r>
              <w:t>,</w:t>
            </w:r>
            <w:r w:rsidRPr="00987207">
              <w:t>005</w:t>
            </w:r>
          </w:p>
        </w:tc>
        <w:tc>
          <w:tcPr>
            <w:tcW w:w="0" w:type="auto"/>
            <w:shd w:val="clear" w:color="auto" w:fill="auto"/>
          </w:tcPr>
          <w:p w:rsidR="00BF05FC" w:rsidRPr="00987207" w:rsidRDefault="00BF05FC" w:rsidP="00BF05FC">
            <w:pPr>
              <w:pStyle w:val="TableTextNoSpace"/>
            </w:pPr>
            <w:r w:rsidRPr="00987207">
              <w:t>N=18 MS</w:t>
            </w:r>
          </w:p>
          <w:p w:rsidR="00BF05FC"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children charged with an offence per 100,000 children (above MACR)</w:t>
            </w:r>
          </w:p>
        </w:tc>
        <w:tc>
          <w:tcPr>
            <w:tcW w:w="0" w:type="auto"/>
            <w:shd w:val="clear" w:color="auto" w:fill="auto"/>
            <w:vAlign w:val="bottom"/>
          </w:tcPr>
          <w:p w:rsidR="00BF05FC" w:rsidRPr="00431804" w:rsidRDefault="00BF05FC" w:rsidP="00BF05FC">
            <w:pPr>
              <w:pStyle w:val="TableTextNoSpace"/>
            </w:pPr>
            <w:r w:rsidRPr="00987207">
              <w:t>3</w:t>
            </w:r>
            <w:r>
              <w:t>,</w:t>
            </w:r>
            <w:r w:rsidRPr="00987207">
              <w:t>532</w:t>
            </w:r>
          </w:p>
        </w:tc>
        <w:tc>
          <w:tcPr>
            <w:tcW w:w="0" w:type="auto"/>
            <w:shd w:val="clear" w:color="auto" w:fill="auto"/>
            <w:vAlign w:val="bottom"/>
          </w:tcPr>
          <w:p w:rsidR="00BF05FC" w:rsidRPr="00431804" w:rsidRDefault="00BF05FC" w:rsidP="00BF05FC">
            <w:pPr>
              <w:pStyle w:val="TableTextNoSpace"/>
            </w:pPr>
            <w:r w:rsidRPr="00987207">
              <w:t>633</w:t>
            </w:r>
          </w:p>
        </w:tc>
        <w:tc>
          <w:tcPr>
            <w:tcW w:w="0" w:type="auto"/>
            <w:shd w:val="clear" w:color="auto" w:fill="auto"/>
            <w:vAlign w:val="bottom"/>
          </w:tcPr>
          <w:p w:rsidR="00BF05FC" w:rsidRPr="00431804" w:rsidRDefault="00BF05FC" w:rsidP="00BF05FC">
            <w:pPr>
              <w:pStyle w:val="TableTextNoSpace"/>
            </w:pPr>
            <w:r w:rsidRPr="00987207">
              <w:t>1</w:t>
            </w:r>
            <w:r>
              <w:t>,</w:t>
            </w:r>
            <w:r w:rsidRPr="00987207">
              <w:t>451</w:t>
            </w:r>
          </w:p>
        </w:tc>
        <w:tc>
          <w:tcPr>
            <w:tcW w:w="0" w:type="auto"/>
            <w:shd w:val="clear" w:color="auto" w:fill="auto"/>
          </w:tcPr>
          <w:p w:rsidR="00BF05FC" w:rsidRPr="00987207" w:rsidRDefault="00BF05FC" w:rsidP="00BF05FC">
            <w:pPr>
              <w:pStyle w:val="TableTextNoSpace"/>
            </w:pPr>
            <w:r w:rsidRPr="00987207">
              <w:t>N=8 MS</w:t>
            </w:r>
          </w:p>
          <w:p w:rsidR="00BF05FC" w:rsidRPr="00431804"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convictions per 100,000 children (above MACR)</w:t>
            </w:r>
          </w:p>
        </w:tc>
        <w:tc>
          <w:tcPr>
            <w:tcW w:w="0" w:type="auto"/>
            <w:shd w:val="clear" w:color="auto" w:fill="auto"/>
            <w:vAlign w:val="bottom"/>
          </w:tcPr>
          <w:p w:rsidR="00BF05FC" w:rsidRPr="00431804" w:rsidRDefault="00BF05FC" w:rsidP="00BF05FC">
            <w:pPr>
              <w:pStyle w:val="TableTextNoSpace"/>
            </w:pPr>
            <w:r w:rsidRPr="00987207">
              <w:t>7</w:t>
            </w:r>
            <w:r>
              <w:t>,</w:t>
            </w:r>
            <w:r w:rsidRPr="00987207">
              <w:t>793</w:t>
            </w:r>
          </w:p>
        </w:tc>
        <w:tc>
          <w:tcPr>
            <w:tcW w:w="0" w:type="auto"/>
            <w:shd w:val="clear" w:color="auto" w:fill="auto"/>
            <w:vAlign w:val="bottom"/>
          </w:tcPr>
          <w:p w:rsidR="00BF05FC" w:rsidRPr="00431804" w:rsidRDefault="00BF05FC" w:rsidP="00BF05FC">
            <w:pPr>
              <w:pStyle w:val="TableTextNoSpace"/>
            </w:pPr>
            <w:r w:rsidRPr="00987207">
              <w:t>209</w:t>
            </w:r>
          </w:p>
        </w:tc>
        <w:tc>
          <w:tcPr>
            <w:tcW w:w="0" w:type="auto"/>
            <w:shd w:val="clear" w:color="auto" w:fill="auto"/>
            <w:vAlign w:val="bottom"/>
          </w:tcPr>
          <w:p w:rsidR="00BF05FC" w:rsidRPr="00431804" w:rsidRDefault="00BF05FC" w:rsidP="00BF05FC">
            <w:pPr>
              <w:pStyle w:val="TableTextNoSpace"/>
            </w:pPr>
            <w:r w:rsidRPr="00987207">
              <w:t>900</w:t>
            </w:r>
          </w:p>
        </w:tc>
        <w:tc>
          <w:tcPr>
            <w:tcW w:w="0" w:type="auto"/>
            <w:shd w:val="clear" w:color="auto" w:fill="auto"/>
          </w:tcPr>
          <w:p w:rsidR="00BF05FC" w:rsidRPr="00987207" w:rsidRDefault="00BF05FC" w:rsidP="00BF05FC">
            <w:pPr>
              <w:pStyle w:val="TableTextNoSpace"/>
            </w:pPr>
            <w:r w:rsidRPr="00987207">
              <w:t>N=21 MS</w:t>
            </w:r>
          </w:p>
          <w:p w:rsidR="00BF05FC" w:rsidRPr="00431804"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community service or probation orders per 100,000 children (above MACR)</w:t>
            </w:r>
          </w:p>
        </w:tc>
        <w:tc>
          <w:tcPr>
            <w:tcW w:w="0" w:type="auto"/>
            <w:shd w:val="clear" w:color="auto" w:fill="auto"/>
            <w:vAlign w:val="bottom"/>
          </w:tcPr>
          <w:p w:rsidR="00BF05FC" w:rsidRPr="00431804" w:rsidRDefault="00BF05FC" w:rsidP="00BF05FC">
            <w:pPr>
              <w:pStyle w:val="TableTextNoSpace"/>
            </w:pPr>
            <w:r w:rsidRPr="00987207">
              <w:t>1</w:t>
            </w:r>
            <w:r>
              <w:t>,</w:t>
            </w:r>
            <w:r w:rsidRPr="00987207">
              <w:t>075</w:t>
            </w:r>
          </w:p>
        </w:tc>
        <w:tc>
          <w:tcPr>
            <w:tcW w:w="0" w:type="auto"/>
            <w:shd w:val="clear" w:color="auto" w:fill="auto"/>
            <w:vAlign w:val="bottom"/>
          </w:tcPr>
          <w:p w:rsidR="00BF05FC" w:rsidRPr="00431804" w:rsidRDefault="00BF05FC" w:rsidP="00BF05FC">
            <w:pPr>
              <w:pStyle w:val="TableTextNoSpace"/>
            </w:pPr>
            <w:r w:rsidRPr="00987207">
              <w:t>15</w:t>
            </w:r>
          </w:p>
        </w:tc>
        <w:tc>
          <w:tcPr>
            <w:tcW w:w="0" w:type="auto"/>
            <w:shd w:val="clear" w:color="auto" w:fill="auto"/>
            <w:vAlign w:val="bottom"/>
          </w:tcPr>
          <w:p w:rsidR="00BF05FC" w:rsidRPr="00431804" w:rsidRDefault="00BF05FC" w:rsidP="00BF05FC">
            <w:pPr>
              <w:pStyle w:val="TableTextNoSpace"/>
            </w:pPr>
            <w:r w:rsidRPr="00987207">
              <w:t>566</w:t>
            </w:r>
          </w:p>
        </w:tc>
        <w:tc>
          <w:tcPr>
            <w:tcW w:w="0" w:type="auto"/>
            <w:shd w:val="clear" w:color="auto" w:fill="auto"/>
          </w:tcPr>
          <w:p w:rsidR="00BF05FC" w:rsidRPr="00987207" w:rsidRDefault="00BF05FC" w:rsidP="00BF05FC">
            <w:pPr>
              <w:pStyle w:val="TableTextNoSpace"/>
            </w:pPr>
            <w:r w:rsidRPr="00987207">
              <w:t>N=19 MS</w:t>
            </w:r>
          </w:p>
          <w:p w:rsidR="00BF05FC" w:rsidRPr="00431804"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suspended sentences:  per 100,000 children (above MACR)</w:t>
            </w:r>
          </w:p>
        </w:tc>
        <w:tc>
          <w:tcPr>
            <w:tcW w:w="0" w:type="auto"/>
            <w:shd w:val="clear" w:color="auto" w:fill="auto"/>
            <w:vAlign w:val="bottom"/>
          </w:tcPr>
          <w:p w:rsidR="00BF05FC" w:rsidRPr="00431804" w:rsidRDefault="00BF05FC" w:rsidP="00BF05FC">
            <w:pPr>
              <w:pStyle w:val="TableTextNoSpace"/>
            </w:pPr>
            <w:r w:rsidRPr="00987207">
              <w:t>988</w:t>
            </w:r>
          </w:p>
        </w:tc>
        <w:tc>
          <w:tcPr>
            <w:tcW w:w="0" w:type="auto"/>
            <w:shd w:val="clear" w:color="auto" w:fill="auto"/>
            <w:vAlign w:val="bottom"/>
          </w:tcPr>
          <w:p w:rsidR="00BF05FC" w:rsidRPr="00431804" w:rsidRDefault="00BF05FC" w:rsidP="00BF05FC">
            <w:pPr>
              <w:pStyle w:val="TableTextNoSpace"/>
            </w:pPr>
            <w:r w:rsidRPr="00987207">
              <w:t>10</w:t>
            </w:r>
          </w:p>
        </w:tc>
        <w:tc>
          <w:tcPr>
            <w:tcW w:w="0" w:type="auto"/>
            <w:shd w:val="clear" w:color="auto" w:fill="auto"/>
            <w:vAlign w:val="bottom"/>
          </w:tcPr>
          <w:p w:rsidR="00BF05FC" w:rsidRPr="00431804" w:rsidRDefault="00BF05FC" w:rsidP="00BF05FC">
            <w:pPr>
              <w:pStyle w:val="TableTextNoSpace"/>
            </w:pPr>
            <w:r w:rsidRPr="00987207">
              <w:t>301</w:t>
            </w:r>
          </w:p>
        </w:tc>
        <w:tc>
          <w:tcPr>
            <w:tcW w:w="0" w:type="auto"/>
            <w:shd w:val="clear" w:color="auto" w:fill="auto"/>
          </w:tcPr>
          <w:p w:rsidR="00BF05FC" w:rsidRPr="00987207" w:rsidRDefault="00BF05FC" w:rsidP="00BF05FC">
            <w:pPr>
              <w:pStyle w:val="TableTextNoSpace"/>
            </w:pPr>
            <w:r w:rsidRPr="00987207">
              <w:t>N=11 MS</w:t>
            </w:r>
          </w:p>
          <w:p w:rsidR="00BF05FC" w:rsidRPr="00431804"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repeat child offenders per 100,000 children (above MACR and below 18)</w:t>
            </w:r>
          </w:p>
        </w:tc>
        <w:tc>
          <w:tcPr>
            <w:tcW w:w="0" w:type="auto"/>
            <w:shd w:val="clear" w:color="auto" w:fill="auto"/>
            <w:vAlign w:val="bottom"/>
          </w:tcPr>
          <w:p w:rsidR="00BF05FC" w:rsidRPr="00431804" w:rsidRDefault="00BF05FC" w:rsidP="00BF05FC">
            <w:pPr>
              <w:pStyle w:val="TableTextNoSpace"/>
            </w:pPr>
            <w:r w:rsidRPr="00987207">
              <w:t>714 (**)</w:t>
            </w:r>
          </w:p>
        </w:tc>
        <w:tc>
          <w:tcPr>
            <w:tcW w:w="0" w:type="auto"/>
            <w:shd w:val="clear" w:color="auto" w:fill="auto"/>
            <w:vAlign w:val="bottom"/>
          </w:tcPr>
          <w:p w:rsidR="00BF05FC" w:rsidRPr="00431804" w:rsidRDefault="00BF05FC" w:rsidP="00BF05FC">
            <w:pPr>
              <w:pStyle w:val="TableTextNoSpace"/>
            </w:pPr>
            <w:r w:rsidRPr="00987207">
              <w:t>65</w:t>
            </w:r>
          </w:p>
        </w:tc>
        <w:tc>
          <w:tcPr>
            <w:tcW w:w="0" w:type="auto"/>
            <w:shd w:val="clear" w:color="auto" w:fill="auto"/>
            <w:vAlign w:val="bottom"/>
          </w:tcPr>
          <w:p w:rsidR="00BF05FC" w:rsidRPr="00431804" w:rsidRDefault="00BF05FC" w:rsidP="00BF05FC">
            <w:pPr>
              <w:pStyle w:val="TableTextNoSpace"/>
            </w:pPr>
            <w:r w:rsidRPr="00987207">
              <w:t>204</w:t>
            </w:r>
          </w:p>
        </w:tc>
        <w:tc>
          <w:tcPr>
            <w:tcW w:w="0" w:type="auto"/>
            <w:shd w:val="clear" w:color="auto" w:fill="auto"/>
          </w:tcPr>
          <w:p w:rsidR="00BF05FC" w:rsidRPr="00987207" w:rsidRDefault="00BF05FC" w:rsidP="00BF05FC">
            <w:pPr>
              <w:pStyle w:val="TableTextNoSpace"/>
            </w:pPr>
            <w:r w:rsidRPr="00987207">
              <w:t>N=11 MS</w:t>
            </w:r>
          </w:p>
          <w:p w:rsidR="00BF05FC" w:rsidRPr="00431804"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custodial sentences per 100,000 children (above MACR)</w:t>
            </w:r>
          </w:p>
        </w:tc>
        <w:tc>
          <w:tcPr>
            <w:tcW w:w="0" w:type="auto"/>
            <w:shd w:val="clear" w:color="auto" w:fill="auto"/>
            <w:vAlign w:val="bottom"/>
          </w:tcPr>
          <w:p w:rsidR="00BF05FC" w:rsidRPr="00431804" w:rsidRDefault="00BF05FC" w:rsidP="00BF05FC">
            <w:pPr>
              <w:pStyle w:val="TableTextNoSpace"/>
            </w:pPr>
            <w:r w:rsidRPr="00987207">
              <w:t>375</w:t>
            </w:r>
          </w:p>
        </w:tc>
        <w:tc>
          <w:tcPr>
            <w:tcW w:w="0" w:type="auto"/>
            <w:shd w:val="clear" w:color="auto" w:fill="auto"/>
            <w:vAlign w:val="bottom"/>
          </w:tcPr>
          <w:p w:rsidR="00BF05FC" w:rsidRPr="00431804" w:rsidRDefault="00BF05FC" w:rsidP="00BF05FC">
            <w:pPr>
              <w:pStyle w:val="TableTextNoSpace"/>
            </w:pPr>
            <w:r w:rsidRPr="00987207">
              <w:t>6</w:t>
            </w:r>
          </w:p>
        </w:tc>
        <w:tc>
          <w:tcPr>
            <w:tcW w:w="0" w:type="auto"/>
            <w:shd w:val="clear" w:color="auto" w:fill="auto"/>
            <w:vAlign w:val="bottom"/>
          </w:tcPr>
          <w:p w:rsidR="00BF05FC" w:rsidRPr="00431804" w:rsidRDefault="00BF05FC" w:rsidP="00BF05FC">
            <w:pPr>
              <w:pStyle w:val="TableTextNoSpace"/>
            </w:pPr>
            <w:r w:rsidRPr="00987207">
              <w:t>59</w:t>
            </w:r>
          </w:p>
        </w:tc>
        <w:tc>
          <w:tcPr>
            <w:tcW w:w="0" w:type="auto"/>
            <w:shd w:val="clear" w:color="auto" w:fill="auto"/>
          </w:tcPr>
          <w:p w:rsidR="00BF05FC" w:rsidRPr="00987207" w:rsidRDefault="00BF05FC" w:rsidP="00BF05FC">
            <w:pPr>
              <w:pStyle w:val="TableTextNoSpace"/>
            </w:pPr>
            <w:r w:rsidRPr="00987207">
              <w:t>N=17 MS</w:t>
            </w:r>
          </w:p>
          <w:p w:rsidR="00BF05FC" w:rsidRPr="00431804" w:rsidRDefault="00BF05FC" w:rsidP="00BF05FC">
            <w:pPr>
              <w:pStyle w:val="TableTextNoSpace"/>
            </w:pP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children in custodial institutions per 100,000 children (above MACR)</w:t>
            </w:r>
          </w:p>
        </w:tc>
        <w:tc>
          <w:tcPr>
            <w:tcW w:w="0" w:type="auto"/>
            <w:shd w:val="clear" w:color="auto" w:fill="auto"/>
            <w:vAlign w:val="bottom"/>
          </w:tcPr>
          <w:p w:rsidR="00BF05FC" w:rsidRPr="00431804" w:rsidRDefault="00BF05FC" w:rsidP="00BF05FC">
            <w:pPr>
              <w:pStyle w:val="TableTextNoSpace"/>
            </w:pPr>
            <w:r w:rsidRPr="00987207">
              <w:t>335</w:t>
            </w:r>
          </w:p>
        </w:tc>
        <w:tc>
          <w:tcPr>
            <w:tcW w:w="0" w:type="auto"/>
            <w:shd w:val="clear" w:color="auto" w:fill="auto"/>
            <w:vAlign w:val="bottom"/>
          </w:tcPr>
          <w:p w:rsidR="00BF05FC" w:rsidRPr="00431804" w:rsidRDefault="00BF05FC" w:rsidP="00BF05FC">
            <w:pPr>
              <w:pStyle w:val="TableTextNoSpace"/>
            </w:pPr>
            <w:r w:rsidRPr="00987207">
              <w:t>4</w:t>
            </w:r>
          </w:p>
        </w:tc>
        <w:tc>
          <w:tcPr>
            <w:tcW w:w="0" w:type="auto"/>
            <w:shd w:val="clear" w:color="auto" w:fill="auto"/>
            <w:vAlign w:val="bottom"/>
          </w:tcPr>
          <w:p w:rsidR="00BF05FC" w:rsidRPr="00431804" w:rsidRDefault="00BF05FC" w:rsidP="00BF05FC">
            <w:pPr>
              <w:pStyle w:val="TableTextNoSpace"/>
            </w:pPr>
            <w:r w:rsidRPr="00987207">
              <w:t>51</w:t>
            </w:r>
          </w:p>
        </w:tc>
        <w:tc>
          <w:tcPr>
            <w:tcW w:w="0" w:type="auto"/>
            <w:shd w:val="clear" w:color="auto" w:fill="auto"/>
            <w:vAlign w:val="bottom"/>
          </w:tcPr>
          <w:p w:rsidR="00BF05FC" w:rsidRPr="00431804" w:rsidRDefault="00BF05FC" w:rsidP="00BF05FC">
            <w:pPr>
              <w:pStyle w:val="TableTextNoSpace"/>
            </w:pPr>
            <w:r w:rsidRPr="00987207">
              <w:t>N=21 MS</w:t>
            </w:r>
          </w:p>
        </w:tc>
      </w:tr>
      <w:tr w:rsidR="00BF05FC" w:rsidTr="00546996">
        <w:tc>
          <w:tcPr>
            <w:tcW w:w="1667" w:type="dxa"/>
            <w:vMerge/>
            <w:shd w:val="clear" w:color="auto" w:fill="auto"/>
            <w:vAlign w:val="bottom"/>
          </w:tcPr>
          <w:p w:rsidR="00BF05FC"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fines per 100,000 children (above MACR)</w:t>
            </w:r>
          </w:p>
        </w:tc>
        <w:tc>
          <w:tcPr>
            <w:tcW w:w="0" w:type="auto"/>
            <w:shd w:val="clear" w:color="auto" w:fill="auto"/>
            <w:vAlign w:val="bottom"/>
          </w:tcPr>
          <w:p w:rsidR="00BF05FC" w:rsidRPr="00431804" w:rsidRDefault="00BF05FC" w:rsidP="00BF05FC">
            <w:pPr>
              <w:pStyle w:val="TableTextNoSpace"/>
            </w:pPr>
            <w:r w:rsidRPr="00987207">
              <w:t>327</w:t>
            </w:r>
          </w:p>
        </w:tc>
        <w:tc>
          <w:tcPr>
            <w:tcW w:w="0" w:type="auto"/>
            <w:shd w:val="clear" w:color="auto" w:fill="auto"/>
            <w:vAlign w:val="bottom"/>
          </w:tcPr>
          <w:p w:rsidR="00BF05FC" w:rsidRPr="00431804" w:rsidRDefault="00BF05FC" w:rsidP="00BF05FC">
            <w:pPr>
              <w:pStyle w:val="TableTextNoSpace"/>
            </w:pPr>
            <w:r w:rsidRPr="00987207">
              <w:t>2</w:t>
            </w:r>
          </w:p>
        </w:tc>
        <w:tc>
          <w:tcPr>
            <w:tcW w:w="0" w:type="auto"/>
            <w:shd w:val="clear" w:color="auto" w:fill="auto"/>
            <w:vAlign w:val="bottom"/>
          </w:tcPr>
          <w:p w:rsidR="00BF05FC" w:rsidRPr="00431804" w:rsidRDefault="00BF05FC" w:rsidP="00BF05FC">
            <w:pPr>
              <w:pStyle w:val="TableTextNoSpace"/>
            </w:pPr>
            <w:r w:rsidRPr="00987207">
              <w:t>26</w:t>
            </w:r>
          </w:p>
        </w:tc>
        <w:tc>
          <w:tcPr>
            <w:tcW w:w="0" w:type="auto"/>
            <w:shd w:val="clear" w:color="auto" w:fill="auto"/>
            <w:vAlign w:val="bottom"/>
          </w:tcPr>
          <w:p w:rsidR="00BF05FC" w:rsidRPr="00431804" w:rsidRDefault="00BF05FC" w:rsidP="00BF05FC">
            <w:pPr>
              <w:pStyle w:val="TableTextNoSpace"/>
            </w:pPr>
            <w:r w:rsidRPr="00987207">
              <w:t>N=10 MS</w:t>
            </w:r>
          </w:p>
        </w:tc>
      </w:tr>
      <w:tr w:rsidR="00BF05FC" w:rsidTr="00546996">
        <w:tc>
          <w:tcPr>
            <w:tcW w:w="1667" w:type="dxa"/>
            <w:vMerge w:val="restart"/>
            <w:shd w:val="clear" w:color="auto" w:fill="auto"/>
            <w:vAlign w:val="center"/>
          </w:tcPr>
          <w:p w:rsidR="00BF05FC" w:rsidRDefault="00BF05FC" w:rsidP="00BF05FC">
            <w:pPr>
              <w:pStyle w:val="TableTextNoSpace"/>
            </w:pPr>
            <w:r>
              <w:t>Family law</w:t>
            </w:r>
          </w:p>
        </w:tc>
        <w:tc>
          <w:tcPr>
            <w:tcW w:w="2585" w:type="dxa"/>
            <w:shd w:val="clear" w:color="auto" w:fill="auto"/>
            <w:vAlign w:val="bottom"/>
          </w:tcPr>
          <w:p w:rsidR="00BF05FC" w:rsidRPr="00431804" w:rsidRDefault="00BF05FC" w:rsidP="00BF05FC">
            <w:pPr>
              <w:pStyle w:val="TableTextNoSpace"/>
            </w:pPr>
            <w:r w:rsidRPr="00987207">
              <w:t>Number of child maintenance cases</w:t>
            </w:r>
          </w:p>
        </w:tc>
        <w:tc>
          <w:tcPr>
            <w:tcW w:w="0" w:type="auto"/>
            <w:shd w:val="clear" w:color="auto" w:fill="auto"/>
            <w:vAlign w:val="bottom"/>
          </w:tcPr>
          <w:p w:rsidR="00BF05FC" w:rsidRPr="00431804" w:rsidRDefault="00BF05FC" w:rsidP="00BF05FC">
            <w:pPr>
              <w:pStyle w:val="TableTextNoSpace"/>
            </w:pPr>
            <w:r w:rsidRPr="00987207">
              <w:t>5</w:t>
            </w:r>
            <w:r>
              <w:t>,</w:t>
            </w:r>
            <w:r w:rsidRPr="00987207">
              <w:t>343</w:t>
            </w:r>
          </w:p>
        </w:tc>
        <w:tc>
          <w:tcPr>
            <w:tcW w:w="0" w:type="auto"/>
            <w:shd w:val="clear" w:color="auto" w:fill="auto"/>
            <w:vAlign w:val="bottom"/>
          </w:tcPr>
          <w:p w:rsidR="00BF05FC" w:rsidRPr="00431804" w:rsidRDefault="00BF05FC" w:rsidP="00BF05FC">
            <w:pPr>
              <w:pStyle w:val="TableTextNoSpace"/>
            </w:pPr>
            <w:r w:rsidRPr="00987207">
              <w:t>12</w:t>
            </w:r>
          </w:p>
        </w:tc>
        <w:tc>
          <w:tcPr>
            <w:tcW w:w="0" w:type="auto"/>
            <w:shd w:val="clear" w:color="auto" w:fill="auto"/>
            <w:vAlign w:val="bottom"/>
          </w:tcPr>
          <w:p w:rsidR="00BF05FC" w:rsidRPr="00431804" w:rsidRDefault="00BF05FC" w:rsidP="00BF05FC">
            <w:pPr>
              <w:pStyle w:val="TableTextNoSpace"/>
            </w:pPr>
            <w:r w:rsidRPr="00987207">
              <w:t>904</w:t>
            </w:r>
          </w:p>
        </w:tc>
        <w:tc>
          <w:tcPr>
            <w:tcW w:w="0" w:type="auto"/>
            <w:shd w:val="clear" w:color="auto" w:fill="auto"/>
            <w:vAlign w:val="bottom"/>
          </w:tcPr>
          <w:p w:rsidR="00BF05FC" w:rsidRPr="00431804" w:rsidRDefault="00BF05FC" w:rsidP="00BF05FC">
            <w:pPr>
              <w:pStyle w:val="TableTextNoSpace"/>
            </w:pPr>
            <w:r w:rsidRPr="00987207">
              <w:t>N=10 MS</w:t>
            </w:r>
          </w:p>
        </w:tc>
      </w:tr>
      <w:tr w:rsidR="00BF05FC" w:rsidTr="00546996">
        <w:tc>
          <w:tcPr>
            <w:tcW w:w="1667" w:type="dxa"/>
            <w:vMerge/>
            <w:shd w:val="clear" w:color="auto" w:fill="auto"/>
            <w:vAlign w:val="center"/>
          </w:tcPr>
          <w:p w:rsidR="00BF05FC" w:rsidRPr="00431804"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children affected by parental divorce proceedings</w:t>
            </w:r>
          </w:p>
        </w:tc>
        <w:tc>
          <w:tcPr>
            <w:tcW w:w="0" w:type="auto"/>
            <w:shd w:val="clear" w:color="auto" w:fill="auto"/>
            <w:vAlign w:val="bottom"/>
          </w:tcPr>
          <w:p w:rsidR="00BF05FC" w:rsidRPr="00431804" w:rsidRDefault="00BF05FC" w:rsidP="00BF05FC">
            <w:pPr>
              <w:pStyle w:val="TableTextNoSpace"/>
            </w:pPr>
            <w:r w:rsidRPr="00987207">
              <w:t>1</w:t>
            </w:r>
            <w:r>
              <w:t>,</w:t>
            </w:r>
            <w:r w:rsidRPr="00987207">
              <w:t>386</w:t>
            </w:r>
          </w:p>
        </w:tc>
        <w:tc>
          <w:tcPr>
            <w:tcW w:w="0" w:type="auto"/>
            <w:shd w:val="clear" w:color="auto" w:fill="auto"/>
            <w:vAlign w:val="bottom"/>
          </w:tcPr>
          <w:p w:rsidR="00BF05FC" w:rsidRPr="00431804" w:rsidRDefault="00BF05FC" w:rsidP="00BF05FC">
            <w:pPr>
              <w:pStyle w:val="TableTextNoSpace"/>
            </w:pPr>
            <w:r w:rsidRPr="00987207">
              <w:t>230</w:t>
            </w:r>
          </w:p>
        </w:tc>
        <w:tc>
          <w:tcPr>
            <w:tcW w:w="0" w:type="auto"/>
            <w:shd w:val="clear" w:color="auto" w:fill="auto"/>
            <w:vAlign w:val="bottom"/>
          </w:tcPr>
          <w:p w:rsidR="00BF05FC" w:rsidRPr="00431804" w:rsidRDefault="00BF05FC" w:rsidP="00BF05FC">
            <w:pPr>
              <w:pStyle w:val="TableTextNoSpace"/>
            </w:pPr>
            <w:r w:rsidRPr="00987207">
              <w:t>899</w:t>
            </w:r>
          </w:p>
        </w:tc>
        <w:tc>
          <w:tcPr>
            <w:tcW w:w="0" w:type="auto"/>
            <w:shd w:val="clear" w:color="auto" w:fill="auto"/>
            <w:vAlign w:val="bottom"/>
          </w:tcPr>
          <w:p w:rsidR="00BF05FC" w:rsidRPr="00431804" w:rsidRDefault="00BF05FC" w:rsidP="00BF05FC">
            <w:pPr>
              <w:pStyle w:val="TableTextNoSpace"/>
            </w:pPr>
            <w:r w:rsidRPr="00987207">
              <w:t>N=11 MS</w:t>
            </w:r>
          </w:p>
        </w:tc>
      </w:tr>
      <w:tr w:rsidR="00BF05FC" w:rsidTr="00546996">
        <w:tc>
          <w:tcPr>
            <w:tcW w:w="1667" w:type="dxa"/>
            <w:vMerge/>
            <w:shd w:val="clear" w:color="auto" w:fill="auto"/>
            <w:vAlign w:val="center"/>
          </w:tcPr>
          <w:p w:rsidR="00BF05FC" w:rsidRPr="00431804" w:rsidRDefault="00BF05FC" w:rsidP="00BF05FC">
            <w:pPr>
              <w:pStyle w:val="TableTextNoSpace"/>
            </w:pPr>
          </w:p>
        </w:tc>
        <w:tc>
          <w:tcPr>
            <w:tcW w:w="2585" w:type="dxa"/>
            <w:shd w:val="clear" w:color="auto" w:fill="auto"/>
            <w:vAlign w:val="bottom"/>
          </w:tcPr>
          <w:p w:rsidR="00BF05FC" w:rsidRPr="00987207" w:rsidRDefault="00BF05FC" w:rsidP="00BF05FC">
            <w:pPr>
              <w:pStyle w:val="TableTextNoSpace"/>
            </w:pPr>
            <w:r w:rsidRPr="00987207">
              <w:t>Number of children subject to judicial decisions on national adoptions</w:t>
            </w:r>
          </w:p>
        </w:tc>
        <w:tc>
          <w:tcPr>
            <w:tcW w:w="0" w:type="auto"/>
            <w:shd w:val="clear" w:color="auto" w:fill="auto"/>
            <w:vAlign w:val="bottom"/>
          </w:tcPr>
          <w:p w:rsidR="00BF05FC" w:rsidRPr="00431804" w:rsidRDefault="00BF05FC" w:rsidP="00BF05FC">
            <w:pPr>
              <w:pStyle w:val="TableTextNoSpace"/>
            </w:pPr>
            <w:r w:rsidRPr="00987207">
              <w:t>83</w:t>
            </w:r>
          </w:p>
        </w:tc>
        <w:tc>
          <w:tcPr>
            <w:tcW w:w="0" w:type="auto"/>
            <w:shd w:val="clear" w:color="auto" w:fill="auto"/>
            <w:vAlign w:val="bottom"/>
          </w:tcPr>
          <w:p w:rsidR="00BF05FC" w:rsidRPr="00431804" w:rsidRDefault="00BF05FC" w:rsidP="00BF05FC">
            <w:pPr>
              <w:pStyle w:val="TableTextNoSpace"/>
            </w:pPr>
            <w:r w:rsidRPr="00987207">
              <w:t>1</w:t>
            </w:r>
          </w:p>
        </w:tc>
        <w:tc>
          <w:tcPr>
            <w:tcW w:w="0" w:type="auto"/>
            <w:shd w:val="clear" w:color="auto" w:fill="auto"/>
            <w:vAlign w:val="bottom"/>
          </w:tcPr>
          <w:p w:rsidR="00BF05FC" w:rsidRPr="00431804" w:rsidRDefault="00BF05FC" w:rsidP="00BF05FC">
            <w:pPr>
              <w:pStyle w:val="TableTextNoSpace"/>
            </w:pPr>
            <w:r w:rsidRPr="00987207">
              <w:t>30</w:t>
            </w:r>
          </w:p>
        </w:tc>
        <w:tc>
          <w:tcPr>
            <w:tcW w:w="0" w:type="auto"/>
            <w:shd w:val="clear" w:color="auto" w:fill="auto"/>
            <w:vAlign w:val="bottom"/>
          </w:tcPr>
          <w:p w:rsidR="00BF05FC" w:rsidRPr="00431804" w:rsidRDefault="00BF05FC" w:rsidP="00BF05FC">
            <w:pPr>
              <w:pStyle w:val="TableTextNoSpace"/>
            </w:pPr>
            <w:r w:rsidRPr="00987207">
              <w:t>N=13 MS</w:t>
            </w:r>
          </w:p>
        </w:tc>
      </w:tr>
      <w:tr w:rsidR="00BF05FC" w:rsidTr="00546996">
        <w:tc>
          <w:tcPr>
            <w:tcW w:w="1667" w:type="dxa"/>
            <w:vMerge/>
            <w:shd w:val="clear" w:color="auto" w:fill="auto"/>
            <w:vAlign w:val="center"/>
          </w:tcPr>
          <w:p w:rsidR="00BF05FC" w:rsidRPr="00431804" w:rsidRDefault="00BF05FC" w:rsidP="00BF05FC">
            <w:pPr>
              <w:pStyle w:val="TableTextNoSpace"/>
            </w:pPr>
          </w:p>
        </w:tc>
        <w:tc>
          <w:tcPr>
            <w:tcW w:w="2585" w:type="dxa"/>
            <w:shd w:val="clear" w:color="auto" w:fill="auto"/>
            <w:vAlign w:val="bottom"/>
          </w:tcPr>
          <w:p w:rsidR="00BF05FC" w:rsidRPr="00987207" w:rsidRDefault="00BF05FC" w:rsidP="00BF05FC">
            <w:pPr>
              <w:pStyle w:val="TableTextNoSpace"/>
            </w:pPr>
            <w:r w:rsidRPr="00987207">
              <w:t>Number of children subject to judicial decisions on inter-country adoptions</w:t>
            </w:r>
          </w:p>
        </w:tc>
        <w:tc>
          <w:tcPr>
            <w:tcW w:w="0" w:type="auto"/>
            <w:shd w:val="clear" w:color="auto" w:fill="auto"/>
            <w:vAlign w:val="bottom"/>
          </w:tcPr>
          <w:p w:rsidR="00BF05FC" w:rsidRPr="00431804" w:rsidRDefault="00BF05FC" w:rsidP="00BF05FC">
            <w:pPr>
              <w:pStyle w:val="TableTextNoSpace"/>
            </w:pPr>
            <w:r w:rsidRPr="00987207">
              <w:t>52</w:t>
            </w:r>
          </w:p>
        </w:tc>
        <w:tc>
          <w:tcPr>
            <w:tcW w:w="0" w:type="auto"/>
            <w:shd w:val="clear" w:color="auto" w:fill="auto"/>
            <w:vAlign w:val="bottom"/>
          </w:tcPr>
          <w:p w:rsidR="00BF05FC" w:rsidRPr="00431804" w:rsidRDefault="00BF05FC" w:rsidP="00BF05FC">
            <w:pPr>
              <w:pStyle w:val="TableTextNoSpace"/>
            </w:pPr>
            <w:r w:rsidRPr="00987207">
              <w:t>2</w:t>
            </w:r>
          </w:p>
        </w:tc>
        <w:tc>
          <w:tcPr>
            <w:tcW w:w="0" w:type="auto"/>
            <w:shd w:val="clear" w:color="auto" w:fill="auto"/>
            <w:vAlign w:val="bottom"/>
          </w:tcPr>
          <w:p w:rsidR="00BF05FC" w:rsidRPr="00431804" w:rsidRDefault="00BF05FC" w:rsidP="00BF05FC">
            <w:pPr>
              <w:pStyle w:val="TableTextNoSpace"/>
            </w:pPr>
            <w:r w:rsidRPr="00987207">
              <w:t>16</w:t>
            </w:r>
          </w:p>
        </w:tc>
        <w:tc>
          <w:tcPr>
            <w:tcW w:w="0" w:type="auto"/>
            <w:shd w:val="clear" w:color="auto" w:fill="auto"/>
            <w:vAlign w:val="bottom"/>
          </w:tcPr>
          <w:p w:rsidR="00BF05FC" w:rsidRPr="00431804" w:rsidRDefault="00BF05FC" w:rsidP="00BF05FC">
            <w:pPr>
              <w:pStyle w:val="TableTextNoSpace"/>
            </w:pPr>
            <w:r w:rsidRPr="00987207">
              <w:t>N=16 MS</w:t>
            </w:r>
          </w:p>
        </w:tc>
      </w:tr>
      <w:tr w:rsidR="00BF05FC" w:rsidTr="00546996">
        <w:tc>
          <w:tcPr>
            <w:tcW w:w="1667" w:type="dxa"/>
            <w:vMerge/>
            <w:shd w:val="clear" w:color="auto" w:fill="auto"/>
            <w:vAlign w:val="center"/>
          </w:tcPr>
          <w:p w:rsidR="00BF05FC" w:rsidRPr="00431804"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cases concerning international abductions of children</w:t>
            </w:r>
          </w:p>
        </w:tc>
        <w:tc>
          <w:tcPr>
            <w:tcW w:w="0" w:type="auto"/>
            <w:shd w:val="clear" w:color="auto" w:fill="auto"/>
            <w:vAlign w:val="bottom"/>
          </w:tcPr>
          <w:p w:rsidR="00BF05FC" w:rsidRPr="00431804" w:rsidRDefault="00BF05FC" w:rsidP="00BF05FC">
            <w:pPr>
              <w:pStyle w:val="TableTextNoSpace"/>
            </w:pPr>
            <w:r w:rsidRPr="00987207">
              <w:t>15</w:t>
            </w:r>
          </w:p>
        </w:tc>
        <w:tc>
          <w:tcPr>
            <w:tcW w:w="0" w:type="auto"/>
            <w:shd w:val="clear" w:color="auto" w:fill="auto"/>
            <w:vAlign w:val="bottom"/>
          </w:tcPr>
          <w:p w:rsidR="00BF05FC" w:rsidRPr="00431804" w:rsidRDefault="00BF05FC" w:rsidP="00BF05FC">
            <w:pPr>
              <w:pStyle w:val="TableTextNoSpace"/>
            </w:pPr>
            <w:r w:rsidRPr="00987207">
              <w:t>1</w:t>
            </w:r>
          </w:p>
        </w:tc>
        <w:tc>
          <w:tcPr>
            <w:tcW w:w="0" w:type="auto"/>
            <w:shd w:val="clear" w:color="auto" w:fill="auto"/>
            <w:vAlign w:val="bottom"/>
          </w:tcPr>
          <w:p w:rsidR="00BF05FC" w:rsidRPr="00431804" w:rsidRDefault="00BF05FC" w:rsidP="00BF05FC">
            <w:pPr>
              <w:pStyle w:val="TableTextNoSpace"/>
            </w:pPr>
            <w:r w:rsidRPr="00987207">
              <w:t>3</w:t>
            </w:r>
          </w:p>
        </w:tc>
        <w:tc>
          <w:tcPr>
            <w:tcW w:w="0" w:type="auto"/>
            <w:shd w:val="clear" w:color="auto" w:fill="auto"/>
            <w:vAlign w:val="bottom"/>
          </w:tcPr>
          <w:p w:rsidR="00BF05FC" w:rsidRPr="00431804" w:rsidRDefault="00BF05FC" w:rsidP="00BF05FC">
            <w:pPr>
              <w:pStyle w:val="TableTextNoSpace"/>
            </w:pPr>
            <w:r w:rsidRPr="00987207">
              <w:t>N=25 MS</w:t>
            </w:r>
          </w:p>
        </w:tc>
      </w:tr>
      <w:tr w:rsidR="00BF05FC" w:rsidTr="00546996">
        <w:tc>
          <w:tcPr>
            <w:tcW w:w="1667" w:type="dxa"/>
            <w:vMerge w:val="restart"/>
            <w:shd w:val="clear" w:color="auto" w:fill="auto"/>
            <w:vAlign w:val="center"/>
          </w:tcPr>
          <w:p w:rsidR="00BF05FC" w:rsidRPr="00431804" w:rsidRDefault="00BF05FC" w:rsidP="00BF05FC">
            <w:pPr>
              <w:pStyle w:val="TableTextNoSpace"/>
            </w:pPr>
            <w:r>
              <w:t>Asylum law</w:t>
            </w:r>
          </w:p>
        </w:tc>
        <w:tc>
          <w:tcPr>
            <w:tcW w:w="2585" w:type="dxa"/>
            <w:shd w:val="clear" w:color="auto" w:fill="auto"/>
            <w:vAlign w:val="bottom"/>
          </w:tcPr>
          <w:p w:rsidR="00BF05FC" w:rsidRPr="00431804" w:rsidRDefault="00BF05FC" w:rsidP="00BF05FC">
            <w:pPr>
              <w:pStyle w:val="TableTextNoSpace"/>
            </w:pPr>
            <w:r w:rsidRPr="00987207">
              <w:t>Number of first instance decisions on applications for asylum (age 0-17)</w:t>
            </w:r>
          </w:p>
        </w:tc>
        <w:tc>
          <w:tcPr>
            <w:tcW w:w="0" w:type="auto"/>
            <w:shd w:val="clear" w:color="auto" w:fill="auto"/>
            <w:vAlign w:val="bottom"/>
          </w:tcPr>
          <w:p w:rsidR="00BF05FC" w:rsidRPr="00431804" w:rsidRDefault="00BF05FC" w:rsidP="00BF05FC">
            <w:pPr>
              <w:pStyle w:val="TableTextNoSpace"/>
            </w:pPr>
            <w:r w:rsidRPr="00987207">
              <w:t>436</w:t>
            </w:r>
          </w:p>
        </w:tc>
        <w:tc>
          <w:tcPr>
            <w:tcW w:w="0" w:type="auto"/>
            <w:shd w:val="clear" w:color="auto" w:fill="auto"/>
            <w:vAlign w:val="bottom"/>
          </w:tcPr>
          <w:p w:rsidR="00BF05FC" w:rsidRPr="00431804" w:rsidRDefault="00BF05FC" w:rsidP="00BF05FC">
            <w:pPr>
              <w:pStyle w:val="TableTextNoSpace"/>
            </w:pPr>
            <w:r w:rsidRPr="00987207">
              <w:t>1</w:t>
            </w:r>
          </w:p>
        </w:tc>
        <w:tc>
          <w:tcPr>
            <w:tcW w:w="0" w:type="auto"/>
            <w:shd w:val="clear" w:color="auto" w:fill="auto"/>
            <w:vAlign w:val="bottom"/>
          </w:tcPr>
          <w:p w:rsidR="00BF05FC" w:rsidRPr="00431804" w:rsidRDefault="00BF05FC" w:rsidP="00BF05FC">
            <w:pPr>
              <w:pStyle w:val="TableTextNoSpace"/>
            </w:pPr>
            <w:r w:rsidRPr="00987207">
              <w:t>18</w:t>
            </w:r>
          </w:p>
        </w:tc>
        <w:tc>
          <w:tcPr>
            <w:tcW w:w="0" w:type="auto"/>
            <w:shd w:val="clear" w:color="auto" w:fill="auto"/>
            <w:vAlign w:val="bottom"/>
          </w:tcPr>
          <w:p w:rsidR="00BF05FC" w:rsidRPr="00431804" w:rsidRDefault="00BF05FC" w:rsidP="00BF05FC">
            <w:pPr>
              <w:pStyle w:val="TableTextNoSpace"/>
            </w:pPr>
            <w:r w:rsidRPr="00987207">
              <w:t>N=27 MS</w:t>
            </w:r>
          </w:p>
        </w:tc>
      </w:tr>
      <w:tr w:rsidR="00BF05FC" w:rsidTr="00546996">
        <w:tc>
          <w:tcPr>
            <w:tcW w:w="1667" w:type="dxa"/>
            <w:vMerge/>
            <w:shd w:val="clear" w:color="auto" w:fill="auto"/>
            <w:vAlign w:val="center"/>
          </w:tcPr>
          <w:p w:rsidR="00BF05FC" w:rsidRPr="00431804" w:rsidRDefault="00BF05FC" w:rsidP="00BF05FC">
            <w:pPr>
              <w:pStyle w:val="TableTextNoSpace"/>
            </w:pPr>
          </w:p>
        </w:tc>
        <w:tc>
          <w:tcPr>
            <w:tcW w:w="2585" w:type="dxa"/>
            <w:shd w:val="clear" w:color="auto" w:fill="auto"/>
            <w:vAlign w:val="bottom"/>
          </w:tcPr>
          <w:p w:rsidR="00BF05FC" w:rsidRPr="00431804" w:rsidRDefault="00BF05FC" w:rsidP="00BF05FC">
            <w:pPr>
              <w:pStyle w:val="TableTextNoSpace"/>
            </w:pPr>
            <w:r w:rsidRPr="00987207">
              <w:t>Number of unaccompanied children applying for asylum (age 0-17)</w:t>
            </w:r>
          </w:p>
        </w:tc>
        <w:tc>
          <w:tcPr>
            <w:tcW w:w="0" w:type="auto"/>
            <w:shd w:val="clear" w:color="auto" w:fill="auto"/>
            <w:vAlign w:val="bottom"/>
          </w:tcPr>
          <w:p w:rsidR="00BF05FC" w:rsidRPr="00431804" w:rsidRDefault="00BF05FC" w:rsidP="00BF05FC">
            <w:pPr>
              <w:pStyle w:val="TableTextNoSpace"/>
            </w:pPr>
            <w:r w:rsidRPr="00987207">
              <w:t>125</w:t>
            </w:r>
          </w:p>
        </w:tc>
        <w:tc>
          <w:tcPr>
            <w:tcW w:w="0" w:type="auto"/>
            <w:shd w:val="clear" w:color="auto" w:fill="auto"/>
            <w:vAlign w:val="bottom"/>
          </w:tcPr>
          <w:p w:rsidR="00BF05FC" w:rsidRPr="00431804" w:rsidRDefault="00BF05FC" w:rsidP="00BF05FC">
            <w:pPr>
              <w:pStyle w:val="TableTextNoSpace"/>
            </w:pPr>
            <w:r w:rsidRPr="00987207">
              <w:t>0</w:t>
            </w:r>
          </w:p>
        </w:tc>
        <w:tc>
          <w:tcPr>
            <w:tcW w:w="0" w:type="auto"/>
            <w:shd w:val="clear" w:color="auto" w:fill="auto"/>
            <w:vAlign w:val="bottom"/>
          </w:tcPr>
          <w:p w:rsidR="00BF05FC" w:rsidRPr="00431804" w:rsidRDefault="00BF05FC" w:rsidP="00BF05FC">
            <w:pPr>
              <w:pStyle w:val="TableTextNoSpace"/>
            </w:pPr>
            <w:r w:rsidRPr="00987207">
              <w:t>6</w:t>
            </w:r>
          </w:p>
        </w:tc>
        <w:tc>
          <w:tcPr>
            <w:tcW w:w="0" w:type="auto"/>
            <w:shd w:val="clear" w:color="auto" w:fill="auto"/>
            <w:vAlign w:val="bottom"/>
          </w:tcPr>
          <w:p w:rsidR="00BF05FC" w:rsidRPr="00431804" w:rsidRDefault="00BF05FC" w:rsidP="00BF05FC">
            <w:pPr>
              <w:pStyle w:val="TableTextNoSpace"/>
            </w:pPr>
            <w:r w:rsidRPr="00987207">
              <w:t>N=27 MS</w:t>
            </w:r>
          </w:p>
        </w:tc>
      </w:tr>
      <w:tr w:rsidR="00BF05FC" w:rsidTr="00546996">
        <w:tc>
          <w:tcPr>
            <w:tcW w:w="1667" w:type="dxa"/>
            <w:vMerge w:val="restart"/>
            <w:shd w:val="clear" w:color="auto" w:fill="auto"/>
            <w:vAlign w:val="center"/>
          </w:tcPr>
          <w:p w:rsidR="00BF05FC" w:rsidRPr="00431804" w:rsidRDefault="00BF05FC" w:rsidP="00BF05FC">
            <w:pPr>
              <w:pStyle w:val="TableTextNoSpace"/>
            </w:pPr>
            <w:r>
              <w:t>Placement into care</w:t>
            </w:r>
          </w:p>
        </w:tc>
        <w:tc>
          <w:tcPr>
            <w:tcW w:w="2585" w:type="dxa"/>
            <w:shd w:val="clear" w:color="auto" w:fill="auto"/>
            <w:vAlign w:val="bottom"/>
          </w:tcPr>
          <w:p w:rsidR="00BF05FC" w:rsidRPr="00431804" w:rsidRDefault="00BF05FC" w:rsidP="00BF05FC">
            <w:pPr>
              <w:pStyle w:val="TableTextNoSpace"/>
            </w:pPr>
            <w:r w:rsidRPr="00987207">
              <w:t>Court cases concerning institutional care placement</w:t>
            </w:r>
          </w:p>
        </w:tc>
        <w:tc>
          <w:tcPr>
            <w:tcW w:w="0" w:type="auto"/>
            <w:shd w:val="clear" w:color="auto" w:fill="auto"/>
            <w:vAlign w:val="bottom"/>
          </w:tcPr>
          <w:p w:rsidR="00BF05FC" w:rsidRPr="00431804" w:rsidRDefault="00BF05FC" w:rsidP="00BF05FC">
            <w:pPr>
              <w:pStyle w:val="TableTextNoSpace"/>
            </w:pPr>
            <w:r w:rsidRPr="00987207">
              <w:t>278</w:t>
            </w:r>
          </w:p>
        </w:tc>
        <w:tc>
          <w:tcPr>
            <w:tcW w:w="0" w:type="auto"/>
            <w:shd w:val="clear" w:color="auto" w:fill="auto"/>
            <w:vAlign w:val="bottom"/>
          </w:tcPr>
          <w:p w:rsidR="00BF05FC" w:rsidRPr="00431804" w:rsidRDefault="00BF05FC" w:rsidP="00BF05FC">
            <w:pPr>
              <w:pStyle w:val="TableTextNoSpace"/>
            </w:pPr>
            <w:r w:rsidRPr="00987207">
              <w:t>39</w:t>
            </w:r>
          </w:p>
        </w:tc>
        <w:tc>
          <w:tcPr>
            <w:tcW w:w="0" w:type="auto"/>
            <w:shd w:val="clear" w:color="auto" w:fill="auto"/>
            <w:vAlign w:val="bottom"/>
          </w:tcPr>
          <w:p w:rsidR="00BF05FC" w:rsidRPr="00431804" w:rsidRDefault="00BF05FC" w:rsidP="00BF05FC">
            <w:pPr>
              <w:pStyle w:val="TableTextNoSpace"/>
            </w:pPr>
            <w:r w:rsidRPr="00987207">
              <w:t>124</w:t>
            </w:r>
          </w:p>
        </w:tc>
        <w:tc>
          <w:tcPr>
            <w:tcW w:w="0" w:type="auto"/>
            <w:shd w:val="clear" w:color="auto" w:fill="auto"/>
            <w:vAlign w:val="bottom"/>
          </w:tcPr>
          <w:p w:rsidR="00BF05FC" w:rsidRPr="00431804" w:rsidRDefault="00BF05FC" w:rsidP="00BF05FC">
            <w:pPr>
              <w:pStyle w:val="TableTextNoSpace"/>
            </w:pPr>
            <w:r w:rsidRPr="00987207">
              <w:t>N=6 MS</w:t>
            </w:r>
          </w:p>
        </w:tc>
      </w:tr>
      <w:tr w:rsidR="00BF05FC" w:rsidTr="00546996">
        <w:tc>
          <w:tcPr>
            <w:tcW w:w="1667" w:type="dxa"/>
            <w:vMerge/>
            <w:shd w:val="clear" w:color="auto" w:fill="auto"/>
            <w:vAlign w:val="center"/>
          </w:tcPr>
          <w:p w:rsidR="00BF05FC" w:rsidRPr="00431804" w:rsidRDefault="00BF05FC" w:rsidP="00BF05FC">
            <w:pPr>
              <w:pStyle w:val="TableTextNoSpace"/>
            </w:pPr>
          </w:p>
        </w:tc>
        <w:tc>
          <w:tcPr>
            <w:tcW w:w="2585" w:type="dxa"/>
            <w:shd w:val="clear" w:color="auto" w:fill="auto"/>
            <w:vAlign w:val="center"/>
          </w:tcPr>
          <w:p w:rsidR="00BF05FC" w:rsidRPr="00431804" w:rsidRDefault="00BF05FC" w:rsidP="00BF05FC">
            <w:pPr>
              <w:pStyle w:val="TableTextNoSpace"/>
            </w:pPr>
            <w:r w:rsidRPr="00987207">
              <w:t>Court cases concerning children placed with a foster family during a 12 month period</w:t>
            </w:r>
          </w:p>
        </w:tc>
        <w:tc>
          <w:tcPr>
            <w:tcW w:w="0" w:type="auto"/>
            <w:shd w:val="clear" w:color="auto" w:fill="auto"/>
            <w:vAlign w:val="bottom"/>
          </w:tcPr>
          <w:p w:rsidR="00BF05FC" w:rsidRPr="00431804" w:rsidRDefault="00BF05FC" w:rsidP="00BF05FC">
            <w:pPr>
              <w:pStyle w:val="TableTextNoSpace"/>
            </w:pPr>
            <w:r w:rsidRPr="00987207">
              <w:t>85</w:t>
            </w:r>
          </w:p>
        </w:tc>
        <w:tc>
          <w:tcPr>
            <w:tcW w:w="0" w:type="auto"/>
            <w:shd w:val="clear" w:color="auto" w:fill="auto"/>
            <w:vAlign w:val="bottom"/>
          </w:tcPr>
          <w:p w:rsidR="00BF05FC" w:rsidRPr="00431804" w:rsidRDefault="00BF05FC" w:rsidP="00BF05FC">
            <w:pPr>
              <w:pStyle w:val="TableTextNoSpace"/>
            </w:pPr>
            <w:r w:rsidRPr="00987207">
              <w:t>1</w:t>
            </w:r>
          </w:p>
        </w:tc>
        <w:tc>
          <w:tcPr>
            <w:tcW w:w="0" w:type="auto"/>
            <w:shd w:val="clear" w:color="auto" w:fill="auto"/>
            <w:vAlign w:val="bottom"/>
          </w:tcPr>
          <w:p w:rsidR="00BF05FC" w:rsidRPr="00431804" w:rsidRDefault="00BF05FC" w:rsidP="00BF05FC">
            <w:pPr>
              <w:pStyle w:val="TableTextNoSpace"/>
            </w:pPr>
            <w:r w:rsidRPr="00987207">
              <w:t>29</w:t>
            </w:r>
          </w:p>
        </w:tc>
        <w:tc>
          <w:tcPr>
            <w:tcW w:w="0" w:type="auto"/>
            <w:shd w:val="clear" w:color="auto" w:fill="auto"/>
            <w:vAlign w:val="bottom"/>
          </w:tcPr>
          <w:p w:rsidR="00BF05FC" w:rsidRPr="00431804" w:rsidRDefault="00BF05FC" w:rsidP="00BF05FC">
            <w:pPr>
              <w:pStyle w:val="TableTextNoSpace"/>
            </w:pPr>
            <w:r w:rsidRPr="00987207">
              <w:t>N=8 MS</w:t>
            </w:r>
          </w:p>
        </w:tc>
      </w:tr>
      <w:tr w:rsidR="00BF05FC" w:rsidTr="00546996">
        <w:tc>
          <w:tcPr>
            <w:tcW w:w="1667" w:type="dxa"/>
            <w:vMerge w:val="restart"/>
            <w:shd w:val="clear" w:color="auto" w:fill="auto"/>
            <w:vAlign w:val="center"/>
          </w:tcPr>
          <w:p w:rsidR="00BF05FC" w:rsidRPr="00431804" w:rsidRDefault="00BF05FC" w:rsidP="00BF05FC">
            <w:pPr>
              <w:pStyle w:val="TableTextNoSpace"/>
            </w:pPr>
            <w:r>
              <w:t>Administrative sanctions</w:t>
            </w:r>
          </w:p>
        </w:tc>
        <w:tc>
          <w:tcPr>
            <w:tcW w:w="2585" w:type="dxa"/>
            <w:shd w:val="clear" w:color="auto" w:fill="auto"/>
            <w:vAlign w:val="center"/>
          </w:tcPr>
          <w:p w:rsidR="00BF05FC" w:rsidRPr="00431804" w:rsidRDefault="00BF05FC" w:rsidP="00BF05FC">
            <w:pPr>
              <w:pStyle w:val="TableTextNoSpace"/>
            </w:pPr>
            <w:r w:rsidRPr="00987207">
              <w:t>Number of children who have received sanctions for criminal type or anti-social behaviour (e.g. ASBOS)</w:t>
            </w:r>
          </w:p>
        </w:tc>
        <w:tc>
          <w:tcPr>
            <w:tcW w:w="0" w:type="auto"/>
            <w:shd w:val="clear" w:color="auto" w:fill="auto"/>
            <w:vAlign w:val="bottom"/>
          </w:tcPr>
          <w:p w:rsidR="00BF05FC" w:rsidRPr="00431804" w:rsidRDefault="00BF05FC" w:rsidP="00BF05FC">
            <w:pPr>
              <w:pStyle w:val="TableTextNoSpace"/>
            </w:pPr>
            <w:r w:rsidRPr="00987207">
              <w:t>507</w:t>
            </w:r>
          </w:p>
        </w:tc>
        <w:tc>
          <w:tcPr>
            <w:tcW w:w="0" w:type="auto"/>
            <w:shd w:val="clear" w:color="auto" w:fill="auto"/>
            <w:vAlign w:val="bottom"/>
          </w:tcPr>
          <w:p w:rsidR="00BF05FC" w:rsidRPr="00431804" w:rsidRDefault="00BF05FC" w:rsidP="00BF05FC">
            <w:pPr>
              <w:pStyle w:val="TableTextNoSpace"/>
            </w:pPr>
            <w:r w:rsidRPr="00987207">
              <w:t>99</w:t>
            </w:r>
          </w:p>
        </w:tc>
        <w:tc>
          <w:tcPr>
            <w:tcW w:w="0" w:type="auto"/>
            <w:shd w:val="clear" w:color="auto" w:fill="auto"/>
            <w:vAlign w:val="bottom"/>
          </w:tcPr>
          <w:p w:rsidR="00BF05FC" w:rsidRPr="00431804" w:rsidRDefault="00BF05FC" w:rsidP="00BF05FC">
            <w:pPr>
              <w:pStyle w:val="TableTextNoSpace"/>
            </w:pPr>
            <w:r w:rsidRPr="00987207">
              <w:t>174</w:t>
            </w:r>
          </w:p>
        </w:tc>
        <w:tc>
          <w:tcPr>
            <w:tcW w:w="0" w:type="auto"/>
            <w:shd w:val="clear" w:color="auto" w:fill="auto"/>
            <w:vAlign w:val="bottom"/>
          </w:tcPr>
          <w:p w:rsidR="00BF05FC" w:rsidRPr="00431804" w:rsidRDefault="00BF05FC" w:rsidP="00BF05FC">
            <w:pPr>
              <w:pStyle w:val="TableTextNoSpace"/>
            </w:pPr>
            <w:r w:rsidRPr="00987207">
              <w:t>N=7 MS</w:t>
            </w:r>
          </w:p>
        </w:tc>
      </w:tr>
      <w:tr w:rsidR="00BF05FC" w:rsidTr="00546996">
        <w:tc>
          <w:tcPr>
            <w:tcW w:w="1667" w:type="dxa"/>
            <w:vMerge/>
            <w:shd w:val="clear" w:color="auto" w:fill="auto"/>
            <w:vAlign w:val="bottom"/>
          </w:tcPr>
          <w:p w:rsidR="00BF05FC" w:rsidRPr="00431804" w:rsidRDefault="00BF05FC" w:rsidP="00BF05FC">
            <w:pPr>
              <w:pStyle w:val="TableTextNoSpace"/>
            </w:pPr>
          </w:p>
        </w:tc>
        <w:tc>
          <w:tcPr>
            <w:tcW w:w="2585" w:type="dxa"/>
            <w:shd w:val="clear" w:color="auto" w:fill="auto"/>
            <w:vAlign w:val="center"/>
          </w:tcPr>
          <w:p w:rsidR="00BF05FC" w:rsidRPr="00431804" w:rsidRDefault="00BF05FC" w:rsidP="00BF05FC">
            <w:pPr>
              <w:pStyle w:val="TableTextNoSpace"/>
            </w:pPr>
            <w:r w:rsidRPr="00987207">
              <w:t>Number of children who have received sanctions imposed by the court for road traffic offences</w:t>
            </w:r>
          </w:p>
        </w:tc>
        <w:tc>
          <w:tcPr>
            <w:tcW w:w="0" w:type="auto"/>
            <w:shd w:val="clear" w:color="auto" w:fill="auto"/>
            <w:vAlign w:val="bottom"/>
          </w:tcPr>
          <w:p w:rsidR="00BF05FC" w:rsidRPr="00431804" w:rsidRDefault="00BF05FC" w:rsidP="00BF05FC">
            <w:pPr>
              <w:pStyle w:val="TableTextNoSpace"/>
            </w:pPr>
            <w:r w:rsidRPr="00987207">
              <w:t>588</w:t>
            </w:r>
          </w:p>
        </w:tc>
        <w:tc>
          <w:tcPr>
            <w:tcW w:w="0" w:type="auto"/>
            <w:shd w:val="clear" w:color="auto" w:fill="auto"/>
            <w:vAlign w:val="bottom"/>
          </w:tcPr>
          <w:p w:rsidR="00BF05FC" w:rsidRPr="00431804" w:rsidRDefault="00BF05FC" w:rsidP="00BF05FC">
            <w:pPr>
              <w:pStyle w:val="TableTextNoSpace"/>
            </w:pPr>
            <w:r w:rsidRPr="00987207">
              <w:t>1</w:t>
            </w:r>
          </w:p>
        </w:tc>
        <w:tc>
          <w:tcPr>
            <w:tcW w:w="0" w:type="auto"/>
            <w:shd w:val="clear" w:color="auto" w:fill="auto"/>
            <w:vAlign w:val="bottom"/>
          </w:tcPr>
          <w:p w:rsidR="00BF05FC" w:rsidRPr="00431804" w:rsidRDefault="00BF05FC" w:rsidP="00BF05FC">
            <w:pPr>
              <w:pStyle w:val="TableTextNoSpace"/>
            </w:pPr>
            <w:r w:rsidRPr="00987207">
              <w:t>22</w:t>
            </w:r>
          </w:p>
        </w:tc>
        <w:tc>
          <w:tcPr>
            <w:tcW w:w="0" w:type="auto"/>
            <w:shd w:val="clear" w:color="auto" w:fill="auto"/>
            <w:vAlign w:val="bottom"/>
          </w:tcPr>
          <w:p w:rsidR="00BF05FC" w:rsidRPr="00431804" w:rsidRDefault="00BF05FC" w:rsidP="00BF05FC">
            <w:pPr>
              <w:pStyle w:val="TableTextNoSpace"/>
            </w:pPr>
            <w:r w:rsidRPr="00987207">
              <w:t>N=6 MS</w:t>
            </w:r>
          </w:p>
        </w:tc>
      </w:tr>
      <w:tr w:rsidR="00987207" w:rsidTr="00546996">
        <w:tc>
          <w:tcPr>
            <w:tcW w:w="1667" w:type="dxa"/>
            <w:shd w:val="clear" w:color="auto" w:fill="auto"/>
            <w:vAlign w:val="bottom"/>
          </w:tcPr>
          <w:p w:rsidR="00987207" w:rsidRPr="00431804" w:rsidRDefault="00987207" w:rsidP="00BF05FC">
            <w:pPr>
              <w:pStyle w:val="TableTextNoSpace"/>
              <w:rPr>
                <w:b/>
              </w:rPr>
            </w:pPr>
            <w:r w:rsidRPr="00431804">
              <w:rPr>
                <w:b/>
              </w:rPr>
              <w:t>Total</w:t>
            </w:r>
          </w:p>
        </w:tc>
        <w:tc>
          <w:tcPr>
            <w:tcW w:w="2585" w:type="dxa"/>
            <w:shd w:val="clear" w:color="auto" w:fill="auto"/>
            <w:vAlign w:val="center"/>
          </w:tcPr>
          <w:p w:rsidR="00987207" w:rsidRPr="00431804" w:rsidRDefault="00987207" w:rsidP="00BF05FC">
            <w:pPr>
              <w:pStyle w:val="TableTextNoSpace"/>
              <w:rPr>
                <w:b/>
              </w:rPr>
            </w:pPr>
          </w:p>
        </w:tc>
        <w:tc>
          <w:tcPr>
            <w:tcW w:w="0" w:type="auto"/>
            <w:shd w:val="clear" w:color="auto" w:fill="auto"/>
            <w:vAlign w:val="bottom"/>
          </w:tcPr>
          <w:p w:rsidR="00987207" w:rsidRPr="00987207" w:rsidRDefault="00987207" w:rsidP="00BF05FC">
            <w:pPr>
              <w:pStyle w:val="TableTextNoSpace"/>
            </w:pPr>
            <w:r w:rsidRPr="00987207">
              <w:t>40</w:t>
            </w:r>
            <w:r>
              <w:t>,</w:t>
            </w:r>
            <w:r w:rsidRPr="00987207">
              <w:t>825.6</w:t>
            </w:r>
          </w:p>
        </w:tc>
        <w:tc>
          <w:tcPr>
            <w:tcW w:w="0" w:type="auto"/>
            <w:shd w:val="clear" w:color="auto" w:fill="auto"/>
            <w:vAlign w:val="bottom"/>
          </w:tcPr>
          <w:p w:rsidR="00987207" w:rsidRPr="00987207" w:rsidRDefault="00987207" w:rsidP="00BF05FC">
            <w:pPr>
              <w:pStyle w:val="TableTextNoSpace"/>
            </w:pPr>
            <w:r w:rsidRPr="00987207">
              <w:t>23</w:t>
            </w:r>
            <w:r>
              <w:t>,</w:t>
            </w:r>
            <w:r w:rsidRPr="00987207">
              <w:t>86.8</w:t>
            </w:r>
          </w:p>
        </w:tc>
        <w:tc>
          <w:tcPr>
            <w:tcW w:w="0" w:type="auto"/>
            <w:shd w:val="clear" w:color="auto" w:fill="auto"/>
            <w:vAlign w:val="bottom"/>
          </w:tcPr>
          <w:p w:rsidR="00987207" w:rsidRPr="00987207" w:rsidRDefault="00987207" w:rsidP="00BF05FC">
            <w:pPr>
              <w:pStyle w:val="TableTextNoSpace"/>
            </w:pPr>
            <w:r w:rsidRPr="00987207">
              <w:t>8</w:t>
            </w:r>
            <w:r>
              <w:t>,</w:t>
            </w:r>
            <w:r w:rsidRPr="00987207">
              <w:t>207.9</w:t>
            </w:r>
          </w:p>
        </w:tc>
        <w:tc>
          <w:tcPr>
            <w:tcW w:w="0" w:type="auto"/>
            <w:shd w:val="clear" w:color="auto" w:fill="auto"/>
          </w:tcPr>
          <w:p w:rsidR="00987207" w:rsidRPr="00987207" w:rsidRDefault="00987207" w:rsidP="00BF05FC">
            <w:pPr>
              <w:pStyle w:val="TableTextNoSpace"/>
            </w:pPr>
          </w:p>
        </w:tc>
      </w:tr>
    </w:tbl>
    <w:p w:rsidR="00987207" w:rsidRDefault="00987207" w:rsidP="00F73B12">
      <w:pPr>
        <w:spacing w:before="0" w:after="0" w:line="240" w:lineRule="auto"/>
        <w:ind w:left="851"/>
        <w:rPr>
          <w:i/>
        </w:rPr>
      </w:pPr>
      <w:r w:rsidRPr="00D17A45">
        <w:rPr>
          <w:i/>
        </w:rPr>
        <w:t xml:space="preserve">Source: National research presented in the </w:t>
      </w:r>
      <w:hyperlink r:id="rId32" w:history="1">
        <w:r w:rsidRPr="00D17A45">
          <w:rPr>
            <w:rStyle w:val="Hyperlink"/>
            <w:i/>
          </w:rPr>
          <w:t>online database</w:t>
        </w:r>
      </w:hyperlink>
      <w:r w:rsidRPr="00D17A45">
        <w:rPr>
          <w:i/>
        </w:rPr>
        <w:t>.</w:t>
      </w:r>
      <w:r>
        <w:rPr>
          <w:i/>
        </w:rPr>
        <w:t xml:space="preserve"> </w:t>
      </w:r>
    </w:p>
    <w:p w:rsidR="00987207" w:rsidRPr="00987207" w:rsidRDefault="00987207" w:rsidP="00F73B12">
      <w:pPr>
        <w:spacing w:before="0" w:after="0" w:line="240" w:lineRule="auto"/>
        <w:ind w:left="851"/>
        <w:rPr>
          <w:rFonts w:ascii="Calibri" w:eastAsia="Times New Roman" w:hAnsi="Calibri"/>
          <w:i/>
          <w:iCs/>
          <w:color w:val="000000"/>
          <w:sz w:val="22"/>
          <w:szCs w:val="22"/>
          <w:lang w:eastAsia="en-GB"/>
        </w:rPr>
      </w:pPr>
      <w:r w:rsidRPr="00987207">
        <w:rPr>
          <w:rFonts w:ascii="Calibri" w:eastAsia="Times New Roman" w:hAnsi="Calibri"/>
          <w:i/>
          <w:iCs/>
          <w:color w:val="000000"/>
          <w:sz w:val="22"/>
          <w:szCs w:val="22"/>
          <w:lang w:eastAsia="en-GB"/>
        </w:rPr>
        <w:t>* Unit of analysis: CRIM proceedings - number of children per 100,000 child population per annum; CIVADM proceedings - number of cases per 100,000 child population per annum</w:t>
      </w:r>
    </w:p>
    <w:p w:rsidR="003D6780" w:rsidRPr="00546996" w:rsidRDefault="00987207" w:rsidP="00546996">
      <w:pPr>
        <w:spacing w:before="0" w:after="0" w:line="240" w:lineRule="auto"/>
        <w:ind w:left="851"/>
        <w:rPr>
          <w:rFonts w:ascii="Calibri" w:eastAsia="Times New Roman" w:hAnsi="Calibri"/>
          <w:i/>
          <w:iCs/>
          <w:color w:val="000000"/>
          <w:sz w:val="22"/>
          <w:szCs w:val="22"/>
          <w:lang w:eastAsia="en-GB"/>
        </w:rPr>
      </w:pPr>
      <w:r w:rsidRPr="00987207">
        <w:rPr>
          <w:rFonts w:ascii="Calibri" w:eastAsia="Times New Roman" w:hAnsi="Calibri"/>
          <w:i/>
          <w:iCs/>
          <w:color w:val="000000"/>
          <w:sz w:val="22"/>
          <w:szCs w:val="22"/>
          <w:lang w:eastAsia="en-GB"/>
        </w:rPr>
        <w:t>** Data refer to 2009</w:t>
      </w:r>
    </w:p>
    <w:p w:rsidR="009D241E" w:rsidRDefault="0070722F" w:rsidP="00236616">
      <w:pPr>
        <w:pStyle w:val="AnnexHeading"/>
      </w:pPr>
      <w:bookmarkStart w:id="342" w:name="_Toc406590173"/>
      <w:bookmarkStart w:id="343" w:name="_Toc408908767"/>
      <w:r>
        <w:t>Tables accompanying Section 3</w:t>
      </w:r>
      <w:bookmarkEnd w:id="342"/>
      <w:bookmarkEnd w:id="343"/>
    </w:p>
    <w:p w:rsidR="009D241E" w:rsidRPr="00D47930" w:rsidRDefault="009D241E" w:rsidP="004A40DC">
      <w:pPr>
        <w:pStyle w:val="Heading4NoNumb"/>
        <w:ind w:firstLine="851"/>
      </w:pPr>
      <w:bookmarkStart w:id="344" w:name="_Toc406591167"/>
      <w:r w:rsidRPr="00D47930">
        <w:t>Type of courts and applicable procedural rules when dealing with children</w:t>
      </w:r>
      <w:bookmarkEnd w:id="344"/>
    </w:p>
    <w:p w:rsidR="009D241E" w:rsidRPr="00D47930" w:rsidRDefault="009D241E" w:rsidP="00F73B12">
      <w:pPr>
        <w:pStyle w:val="BodyText"/>
      </w:pPr>
      <w:r>
        <w:t xml:space="preserve">Whether judicial matters in different areas of law are dealt with in civil or administrative judicial proceedings (or indeed criminal judicial proceedings) varies between MS. So too do the type of procedural rules that apply. </w:t>
      </w:r>
      <w:r w:rsidR="00293882">
        <w:t xml:space="preserve">The summary below (which accompanies </w:t>
      </w:r>
      <w:r w:rsidR="00293882" w:rsidRPr="00293882">
        <w:rPr>
          <w:b/>
          <w:color w:val="0070C0"/>
        </w:rPr>
        <w:fldChar w:fldCharType="begin"/>
      </w:r>
      <w:r w:rsidR="00293882" w:rsidRPr="00293882">
        <w:rPr>
          <w:b/>
          <w:color w:val="0070C0"/>
        </w:rPr>
        <w:instrText xml:space="preserve"> REF _Ref395881811 \r \h  \* MERGEFORMAT </w:instrText>
      </w:r>
      <w:r w:rsidR="00293882" w:rsidRPr="00293882">
        <w:rPr>
          <w:b/>
          <w:color w:val="0070C0"/>
        </w:rPr>
      </w:r>
      <w:r w:rsidR="00293882" w:rsidRPr="00293882">
        <w:rPr>
          <w:b/>
          <w:color w:val="0070C0"/>
        </w:rPr>
        <w:fldChar w:fldCharType="separate"/>
      </w:r>
      <w:r w:rsidR="000223E8">
        <w:rPr>
          <w:b/>
          <w:color w:val="0070C0"/>
        </w:rPr>
        <w:t>Table A3.1</w:t>
      </w:r>
      <w:r w:rsidR="00293882" w:rsidRPr="00293882">
        <w:rPr>
          <w:b/>
          <w:color w:val="0070C0"/>
        </w:rPr>
        <w:fldChar w:fldCharType="end"/>
      </w:r>
      <w:r w:rsidR="00293882">
        <w:t xml:space="preserve"> below) over-simplifies the distinctions </w:t>
      </w:r>
      <w:r w:rsidRPr="001907DA">
        <w:t>between MS in some cases</w:t>
      </w:r>
      <w:r>
        <w:t xml:space="preserve">. For </w:t>
      </w:r>
      <w:r w:rsidR="00293882">
        <w:t>a more complete picture</w:t>
      </w:r>
      <w:r>
        <w:t>, the reader should consult the national contextual overviews for the civil and administrative justice phases of the study.</w:t>
      </w:r>
    </w:p>
    <w:p w:rsidR="009D241E" w:rsidRPr="00905861" w:rsidRDefault="009D241E" w:rsidP="00F73B12">
      <w:pPr>
        <w:pStyle w:val="Heading4NoNumb"/>
        <w:ind w:firstLine="851"/>
      </w:pPr>
      <w:r>
        <w:t>Family law</w:t>
      </w:r>
    </w:p>
    <w:p w:rsidR="009D241E" w:rsidRDefault="009D241E" w:rsidP="00F73B12">
      <w:pPr>
        <w:pStyle w:val="BodyText"/>
      </w:pPr>
      <w:r w:rsidRPr="00905861">
        <w:t xml:space="preserve">In </w:t>
      </w:r>
      <w:r>
        <w:t xml:space="preserve">family law, </w:t>
      </w:r>
      <w:r w:rsidRPr="00905861">
        <w:t>ord</w:t>
      </w:r>
      <w:r>
        <w:t>inar</w:t>
      </w:r>
      <w:r w:rsidRPr="00905861">
        <w:t>y civil courts are used in 1</w:t>
      </w:r>
      <w:r>
        <w:t>7</w:t>
      </w:r>
      <w:r w:rsidRPr="00905861">
        <w:t xml:space="preserve"> MS, </w:t>
      </w:r>
      <w:r>
        <w:t>(AT,</w:t>
      </w:r>
      <w:r w:rsidRPr="00905861">
        <w:t xml:space="preserve"> BG (except in Sofia), CZ, DK, EE, ES, F</w:t>
      </w:r>
      <w:r>
        <w:t xml:space="preserve">I HR, HU, IE, </w:t>
      </w:r>
      <w:r w:rsidRPr="00905861">
        <w:t xml:space="preserve">LU LT, LV, RO, SE, SI, and SK). </w:t>
      </w:r>
      <w:r>
        <w:t xml:space="preserve">In some MS (e.g. BE, IT), more than one court may be competent to deal with different aspects of family cases (e.g. the civil court will decide on the divorce proceedings and the juvenile court on any issues related to parental authority). </w:t>
      </w:r>
      <w:r w:rsidRPr="00905861">
        <w:t xml:space="preserve">In </w:t>
      </w:r>
      <w:r>
        <w:t>four</w:t>
      </w:r>
      <w:r w:rsidRPr="00905861">
        <w:t xml:space="preserve"> MS (EL, FR, MT, and PL) family law matters are dealt with by a specialist division of the civil court and in </w:t>
      </w:r>
      <w:r>
        <w:t>four</w:t>
      </w:r>
      <w:r w:rsidRPr="00905861">
        <w:t xml:space="preserve"> MS (CY, DE, NL and PT) these matters are dealt with in a specialist family or juvenile court</w:t>
      </w:r>
      <w:r>
        <w:t>. In</w:t>
      </w:r>
      <w:r w:rsidRPr="00905861">
        <w:t xml:space="preserve"> BG, there is a specialist family court in Sofia only. </w:t>
      </w:r>
    </w:p>
    <w:p w:rsidR="009D241E" w:rsidRPr="00905861" w:rsidRDefault="009D241E" w:rsidP="00F73B12">
      <w:pPr>
        <w:pStyle w:val="BodyText"/>
      </w:pPr>
      <w:r w:rsidRPr="00905861">
        <w:t>In family law</w:t>
      </w:r>
      <w:r>
        <w:t>,</w:t>
      </w:r>
      <w:r w:rsidRPr="00905861">
        <w:t xml:space="preserve"> civil procedure rules apply in all but two MS (DE and EL).</w:t>
      </w:r>
      <w:r w:rsidR="00050135">
        <w:t xml:space="preserve"> </w:t>
      </w:r>
      <w:r w:rsidRPr="00905861">
        <w:t>In DK, family and non-litigious procedure rules apply, and in EL, specialist civil procedure rules apply.</w:t>
      </w:r>
      <w:r w:rsidR="00050135">
        <w:t xml:space="preserve"> </w:t>
      </w:r>
    </w:p>
    <w:p w:rsidR="009D241E" w:rsidRPr="00905861" w:rsidRDefault="009D241E" w:rsidP="00F73B12">
      <w:pPr>
        <w:pStyle w:val="Heading4NoNumb"/>
        <w:ind w:firstLine="851"/>
      </w:pPr>
      <w:r>
        <w:t>Employment law</w:t>
      </w:r>
    </w:p>
    <w:p w:rsidR="009D241E" w:rsidRPr="00905861" w:rsidRDefault="009D241E" w:rsidP="00F73B12">
      <w:pPr>
        <w:pStyle w:val="BodyText"/>
      </w:pPr>
      <w:r w:rsidRPr="00905861">
        <w:t xml:space="preserve">In </w:t>
      </w:r>
      <w:r>
        <w:t xml:space="preserve">employment </w:t>
      </w:r>
      <w:r w:rsidRPr="00905861">
        <w:t>law, ordinary civil courts are used in 16 MS (AT, BG, CY, CZ, DK, EE, EL, F</w:t>
      </w:r>
      <w:r>
        <w:t>I</w:t>
      </w:r>
      <w:r w:rsidRPr="00905861">
        <w:t>, HR, IT, LT, LV, MT, NL, RO, and SK).</w:t>
      </w:r>
      <w:r w:rsidR="00050135">
        <w:t xml:space="preserve"> </w:t>
      </w:r>
      <w:r w:rsidRPr="00905861">
        <w:t>Specialist labour/employment courts/tribunals are used in 9 MS (BE, DE, ES, FR, IE, LU, PT, SE, and SI).</w:t>
      </w:r>
      <w:r w:rsidR="00050135">
        <w:t xml:space="preserve"> </w:t>
      </w:r>
      <w:r w:rsidRPr="00905861">
        <w:t>In PL the Labour and Social Security Division of the Ordinary Court is used, and in HU the Administrative Court and specialist labour court is used.</w:t>
      </w:r>
      <w:r w:rsidR="00050135">
        <w:t xml:space="preserve"> </w:t>
      </w:r>
    </w:p>
    <w:p w:rsidR="009D241E" w:rsidRPr="00905861" w:rsidRDefault="009D241E" w:rsidP="00F73B12">
      <w:pPr>
        <w:pStyle w:val="BodyText"/>
      </w:pPr>
      <w:r w:rsidRPr="00905861">
        <w:t xml:space="preserve">In employment law, civil procedure rules apply in all but </w:t>
      </w:r>
      <w:r>
        <w:t>three</w:t>
      </w:r>
      <w:r w:rsidRPr="00905861">
        <w:t xml:space="preserve"> MS (EL, ES, and PT). I</w:t>
      </w:r>
      <w:r>
        <w:t>n</w:t>
      </w:r>
      <w:r w:rsidRPr="00905861">
        <w:t xml:space="preserve"> EL and PT specialist civil procedure rules apply, and in ES, Labour law procedure rules apply.</w:t>
      </w:r>
      <w:r w:rsidR="00050135">
        <w:t xml:space="preserve"> </w:t>
      </w:r>
    </w:p>
    <w:p w:rsidR="009D241E" w:rsidRPr="00905861" w:rsidRDefault="009D241E" w:rsidP="00F73B12">
      <w:pPr>
        <w:pStyle w:val="Heading4NoNumb"/>
        <w:ind w:firstLine="851"/>
      </w:pPr>
      <w:r w:rsidRPr="00905861">
        <w:t>Asylum law</w:t>
      </w:r>
    </w:p>
    <w:p w:rsidR="009D241E" w:rsidRPr="00905861" w:rsidRDefault="009D241E" w:rsidP="00F73B12">
      <w:pPr>
        <w:pStyle w:val="BodyText"/>
      </w:pPr>
      <w:r w:rsidRPr="00905861">
        <w:t xml:space="preserve">In asylum law, administrative courts </w:t>
      </w:r>
      <w:r>
        <w:t xml:space="preserve">are </w:t>
      </w:r>
      <w:r w:rsidRPr="0037723B">
        <w:t xml:space="preserve">competent to review the decisions of administrative authorities </w:t>
      </w:r>
      <w:r w:rsidRPr="00905861">
        <w:t xml:space="preserve">in all but </w:t>
      </w:r>
      <w:r w:rsidR="00C570B6">
        <w:t>13</w:t>
      </w:r>
      <w:r w:rsidRPr="00905861">
        <w:t>MS.</w:t>
      </w:r>
      <w:r w:rsidR="00C570B6">
        <w:t>13</w:t>
      </w:r>
      <w:r w:rsidRPr="00905861">
        <w:t xml:space="preserve">In DE, </w:t>
      </w:r>
      <w:r w:rsidR="005E64B8">
        <w:t xml:space="preserve">besides </w:t>
      </w:r>
      <w:r w:rsidRPr="00905861">
        <w:t xml:space="preserve">the </w:t>
      </w:r>
      <w:r w:rsidR="004E5846">
        <w:t>A</w:t>
      </w:r>
      <w:r w:rsidR="00AB65FE">
        <w:t xml:space="preserve">dministrative </w:t>
      </w:r>
      <w:r w:rsidR="005E64B8">
        <w:t xml:space="preserve">Court, also </w:t>
      </w:r>
      <w:r w:rsidR="00AB65FE">
        <w:t xml:space="preserve">the </w:t>
      </w:r>
      <w:r w:rsidRPr="00905861">
        <w:t>Social Court is used.</w:t>
      </w:r>
      <w:r w:rsidR="004E5846">
        <w:t xml:space="preserve"> In HU, Administrative and L</w:t>
      </w:r>
      <w:r w:rsidR="004E5846" w:rsidRPr="00DC778E">
        <w:t>abour courts are competent to review administrative authorities’ decisions.</w:t>
      </w:r>
      <w:r w:rsidRPr="00905861">
        <w:t xml:space="preserve"> </w:t>
      </w:r>
      <w:r w:rsidR="004E5846" w:rsidRPr="00905861">
        <w:t xml:space="preserve">In </w:t>
      </w:r>
      <w:r w:rsidR="004E5846">
        <w:t>four</w:t>
      </w:r>
      <w:r w:rsidR="004E5846" w:rsidRPr="00905861">
        <w:t xml:space="preserve"> MS (AT, IE, MT, and SE) specialist asylum/</w:t>
      </w:r>
      <w:r w:rsidR="00AC749F">
        <w:t xml:space="preserve"> </w:t>
      </w:r>
      <w:r w:rsidR="004E5846" w:rsidRPr="00905861">
        <w:t>migration courts are used.</w:t>
      </w:r>
      <w:r w:rsidR="004E5846">
        <w:t xml:space="preserve"> </w:t>
      </w:r>
      <w:r w:rsidR="005E64B8">
        <w:t xml:space="preserve">In BE, the </w:t>
      </w:r>
      <w:r w:rsidR="005E64B8" w:rsidRPr="000D2323">
        <w:t>Council of State through cassation procedure</w:t>
      </w:r>
      <w:r w:rsidR="005E64B8">
        <w:t xml:space="preserve"> is in charge. In CY it is the Supreme Court. </w:t>
      </w:r>
      <w:r w:rsidR="004E5846" w:rsidRPr="000D2323">
        <w:t xml:space="preserve">District courts are competent in case of judicial objection against administrative decisions.  </w:t>
      </w:r>
      <w:r w:rsidR="00F6472B">
        <w:t xml:space="preserve">In IE, </w:t>
      </w:r>
      <w:r w:rsidR="00F6472B" w:rsidRPr="00272897">
        <w:t>the Refugee Appeals Tribunal is competent to review decisions of the Office of the Refugee Applications Commissioner</w:t>
      </w:r>
      <w:r w:rsidR="00F6472B">
        <w:t>.</w:t>
      </w:r>
      <w:r w:rsidR="00F6472B" w:rsidRPr="00905861">
        <w:t xml:space="preserve"> </w:t>
      </w:r>
      <w:r w:rsidRPr="00905861">
        <w:t xml:space="preserve">In </w:t>
      </w:r>
      <w:r>
        <w:t>three</w:t>
      </w:r>
      <w:r w:rsidRPr="00905861">
        <w:t xml:space="preserve"> MS (DK, IT, and NL) ordinary civil or juvenile courts are used.</w:t>
      </w:r>
      <w:r w:rsidR="00050135">
        <w:t xml:space="preserve"> </w:t>
      </w:r>
      <w:r w:rsidRPr="00905861">
        <w:t xml:space="preserve">In CZ, RO and SK administrative divisions of the ordinary courts are used. </w:t>
      </w:r>
    </w:p>
    <w:p w:rsidR="009D241E" w:rsidRPr="00905861" w:rsidRDefault="009D241E" w:rsidP="00F73B12">
      <w:pPr>
        <w:pStyle w:val="BodyText"/>
      </w:pPr>
      <w:r w:rsidRPr="00905861">
        <w:t xml:space="preserve">In </w:t>
      </w:r>
      <w:r>
        <w:t>asylum</w:t>
      </w:r>
      <w:r w:rsidRPr="00905861">
        <w:t xml:space="preserve"> law, administrative procedure</w:t>
      </w:r>
      <w:r>
        <w:t>s</w:t>
      </w:r>
      <w:r w:rsidRPr="00905861">
        <w:t xml:space="preserve"> appl</w:t>
      </w:r>
      <w:r>
        <w:t>y</w:t>
      </w:r>
      <w:r w:rsidRPr="00905861">
        <w:t xml:space="preserve"> in all but </w:t>
      </w:r>
      <w:r>
        <w:t xml:space="preserve">four </w:t>
      </w:r>
      <w:r w:rsidRPr="00905861">
        <w:t>MS (DK, IE, IT, and MT) where civil procedure rules apply.</w:t>
      </w:r>
      <w:r w:rsidR="00050135">
        <w:t xml:space="preserve"> </w:t>
      </w:r>
    </w:p>
    <w:p w:rsidR="009D241E" w:rsidRPr="00905861" w:rsidRDefault="009D241E" w:rsidP="00F73B12">
      <w:pPr>
        <w:pStyle w:val="Heading4NoNumb"/>
        <w:ind w:firstLine="851"/>
      </w:pPr>
      <w:r>
        <w:t>Migration law</w:t>
      </w:r>
    </w:p>
    <w:p w:rsidR="009D241E" w:rsidRPr="00905861" w:rsidRDefault="009D241E" w:rsidP="00F73B12">
      <w:pPr>
        <w:pStyle w:val="BodyText"/>
      </w:pPr>
      <w:r w:rsidRPr="00905861">
        <w:t xml:space="preserve">In migration law, administrative courts are </w:t>
      </w:r>
      <w:r w:rsidRPr="0037723B">
        <w:t xml:space="preserve">competent to review the decisions of administrative authorities </w:t>
      </w:r>
      <w:r w:rsidRPr="00905861">
        <w:t xml:space="preserve">in all but </w:t>
      </w:r>
      <w:r w:rsidR="00BD4D9B">
        <w:t>101010</w:t>
      </w:r>
      <w:r w:rsidRPr="00905861">
        <w:t xml:space="preserve"> MS. </w:t>
      </w:r>
      <w:r w:rsidR="00BD4D9B">
        <w:t>In HU, Administrative and L</w:t>
      </w:r>
      <w:r w:rsidR="00BD4D9B" w:rsidRPr="00DC778E">
        <w:t xml:space="preserve">abour courts are competent to review administrative authorities’ decisions. </w:t>
      </w:r>
      <w:r w:rsidR="00BD4D9B" w:rsidRPr="00905861">
        <w:t xml:space="preserve"> </w:t>
      </w:r>
      <w:r w:rsidR="00BD4D9B">
        <w:t xml:space="preserve">In NL, </w:t>
      </w:r>
      <w:r w:rsidR="00BD4D9B" w:rsidRPr="009A4057">
        <w:t xml:space="preserve">District Court or the Administrative Jurisdiction Division of the Council of State </w:t>
      </w:r>
      <w:r w:rsidR="00BD4D9B">
        <w:t xml:space="preserve">are used. In BE, the </w:t>
      </w:r>
      <w:r w:rsidR="00BD4D9B" w:rsidRPr="00DC778E">
        <w:t>Council of State through cassation procedure</w:t>
      </w:r>
      <w:r w:rsidR="00BD4D9B">
        <w:t xml:space="preserve"> is in charge.</w:t>
      </w:r>
      <w:r w:rsidRPr="00905861">
        <w:t xml:space="preserve"> </w:t>
      </w:r>
      <w:r w:rsidR="00BD4D9B">
        <w:t xml:space="preserve">In CY it is the Supreme Court. </w:t>
      </w:r>
      <w:r w:rsidRPr="00905861">
        <w:t>In DK, IE</w:t>
      </w:r>
      <w:r w:rsidR="00BD4D9B" w:rsidRPr="00905861">
        <w:t>,</w:t>
      </w:r>
      <w:r w:rsidR="00BD4D9B">
        <w:t xml:space="preserve"> and </w:t>
      </w:r>
      <w:r w:rsidRPr="00905861">
        <w:t>IT ordinary civil or juvenile courts are used.</w:t>
      </w:r>
      <w:r w:rsidR="00050135">
        <w:t xml:space="preserve"> </w:t>
      </w:r>
      <w:r w:rsidRPr="00905861">
        <w:t>In MT and SE, specialist courts are used, and in RO and SK, the administrative division</w:t>
      </w:r>
      <w:r>
        <w:t>s</w:t>
      </w:r>
      <w:r w:rsidRPr="00905861">
        <w:t xml:space="preserve"> of ordinary courts are used.</w:t>
      </w:r>
      <w:r w:rsidR="00050135">
        <w:t xml:space="preserve"> </w:t>
      </w:r>
    </w:p>
    <w:p w:rsidR="009D241E" w:rsidRPr="00905861" w:rsidRDefault="009D241E" w:rsidP="00F73B12">
      <w:pPr>
        <w:pStyle w:val="BodyText"/>
      </w:pPr>
      <w:r w:rsidRPr="00905861">
        <w:t xml:space="preserve">In migration law, as in asylum, administrative procedure applies in all but </w:t>
      </w:r>
      <w:r>
        <w:t>four</w:t>
      </w:r>
      <w:r w:rsidRPr="00905861">
        <w:t xml:space="preserve"> MS (DK, IE, IT, and MT) where civil procedure rules apply.</w:t>
      </w:r>
    </w:p>
    <w:p w:rsidR="009D241E" w:rsidRPr="00800C7F" w:rsidRDefault="009D241E" w:rsidP="00F73B12">
      <w:pPr>
        <w:pStyle w:val="Heading4NoNumb"/>
        <w:ind w:firstLine="851"/>
      </w:pPr>
      <w:r w:rsidRPr="00800C7F">
        <w:t>Education law</w:t>
      </w:r>
    </w:p>
    <w:p w:rsidR="009D241E" w:rsidRPr="001A6468" w:rsidRDefault="009D241E" w:rsidP="00F73B12">
      <w:pPr>
        <w:pStyle w:val="BodyText"/>
      </w:pPr>
      <w:r w:rsidRPr="001A6468">
        <w:t xml:space="preserve">In education law, administrative courts </w:t>
      </w:r>
      <w:r w:rsidRPr="0037723B">
        <w:t xml:space="preserve">are competent to review the decisions of administrative authorities </w:t>
      </w:r>
      <w:r w:rsidRPr="001A6468">
        <w:t xml:space="preserve">in all but </w:t>
      </w:r>
      <w:r>
        <w:t>seven</w:t>
      </w:r>
      <w:r w:rsidRPr="001A6468">
        <w:t xml:space="preserve"> MS.</w:t>
      </w:r>
      <w:r w:rsidR="00050135">
        <w:t xml:space="preserve"> </w:t>
      </w:r>
      <w:r>
        <w:t>Five</w:t>
      </w:r>
      <w:r w:rsidRPr="001A6468">
        <w:t xml:space="preserve"> MS (BE, DK, IE, MT, and NL) use civil courts, and </w:t>
      </w:r>
      <w:r>
        <w:t>three</w:t>
      </w:r>
      <w:r w:rsidRPr="001A6468">
        <w:t xml:space="preserve"> MS (CZ, RO, and SK) use the administrative division of the ordinary or regional courts.</w:t>
      </w:r>
      <w:r w:rsidR="00050135">
        <w:t xml:space="preserve"> </w:t>
      </w:r>
    </w:p>
    <w:p w:rsidR="009D241E" w:rsidRPr="001A6468" w:rsidRDefault="009D241E" w:rsidP="00F73B12">
      <w:pPr>
        <w:pStyle w:val="BodyText"/>
      </w:pPr>
      <w:r w:rsidRPr="001A6468">
        <w:t>In education law, administrative procedure</w:t>
      </w:r>
      <w:r>
        <w:t>s</w:t>
      </w:r>
      <w:r w:rsidRPr="001A6468">
        <w:t xml:space="preserve"> app</w:t>
      </w:r>
      <w:r>
        <w:t>ly</w:t>
      </w:r>
      <w:r w:rsidRPr="001A6468">
        <w:t xml:space="preserve"> in all but </w:t>
      </w:r>
      <w:r>
        <w:t>four</w:t>
      </w:r>
      <w:r w:rsidRPr="001A6468">
        <w:t xml:space="preserve"> MS (DK, IE, MT, and NL) where civil procedure rules apply.</w:t>
      </w:r>
      <w:r w:rsidR="00050135">
        <w:t xml:space="preserve"> </w:t>
      </w:r>
    </w:p>
    <w:p w:rsidR="009D241E" w:rsidRPr="00800C7F" w:rsidRDefault="009D241E" w:rsidP="00F73B12">
      <w:pPr>
        <w:pStyle w:val="Heading4NoNumb"/>
        <w:ind w:firstLine="851"/>
      </w:pPr>
      <w:r w:rsidRPr="00800C7F">
        <w:t>Health law</w:t>
      </w:r>
    </w:p>
    <w:p w:rsidR="009D241E" w:rsidRPr="001A6468" w:rsidRDefault="009D241E" w:rsidP="00F73B12">
      <w:pPr>
        <w:pStyle w:val="BodyText"/>
      </w:pPr>
      <w:r w:rsidRPr="001A6468">
        <w:t xml:space="preserve">In health law, administrative courts </w:t>
      </w:r>
      <w:r w:rsidRPr="0037723B">
        <w:t xml:space="preserve">are competent to review the decisions of administrative authorities </w:t>
      </w:r>
      <w:r w:rsidRPr="001A6468">
        <w:t xml:space="preserve">in </w:t>
      </w:r>
      <w:r>
        <w:t>nine</w:t>
      </w:r>
      <w:r w:rsidRPr="001A6468">
        <w:t xml:space="preserve"> MS.</w:t>
      </w:r>
      <w:r w:rsidR="00050135">
        <w:t xml:space="preserve"> </w:t>
      </w:r>
      <w:r w:rsidRPr="001A6468">
        <w:t>These are: AT, BG, CY</w:t>
      </w:r>
      <w:r>
        <w:t>,</w:t>
      </w:r>
      <w:r w:rsidRPr="001A6468">
        <w:t xml:space="preserve"> DE (but </w:t>
      </w:r>
      <w:r>
        <w:t xml:space="preserve">in DE, </w:t>
      </w:r>
      <w:r w:rsidRPr="001A6468">
        <w:t xml:space="preserve">the social court may also be used), EL, FL, LV, PL (but </w:t>
      </w:r>
      <w:r>
        <w:t xml:space="preserve">in PL, the </w:t>
      </w:r>
      <w:r w:rsidRPr="001A6468">
        <w:t>family and guardianship court may also be used), and PT.</w:t>
      </w:r>
      <w:r w:rsidR="00050135">
        <w:t xml:space="preserve"> </w:t>
      </w:r>
      <w:r w:rsidRPr="001A6468">
        <w:t>In EE and FR administrative and criminal courts may be used.</w:t>
      </w:r>
      <w:r w:rsidR="00050135">
        <w:t xml:space="preserve"> </w:t>
      </w:r>
      <w:r w:rsidRPr="001A6468">
        <w:t xml:space="preserve">In </w:t>
      </w:r>
      <w:r>
        <w:t>five</w:t>
      </w:r>
      <w:r w:rsidRPr="001A6468">
        <w:t xml:space="preserve"> MS (ES, HR CZ, LT, and SE) both admin</w:t>
      </w:r>
      <w:r>
        <w:t>istrative</w:t>
      </w:r>
      <w:r w:rsidRPr="001A6468">
        <w:t xml:space="preserve"> and civil courts may be used.</w:t>
      </w:r>
      <w:r w:rsidR="00050135">
        <w:t xml:space="preserve"> </w:t>
      </w:r>
      <w:r w:rsidRPr="001A6468">
        <w:t>In RO and SK, the administrative sections in ordinary or regional courts are used.</w:t>
      </w:r>
      <w:r w:rsidR="00050135">
        <w:t xml:space="preserve"> </w:t>
      </w:r>
      <w:r w:rsidRPr="001A6468">
        <w:t xml:space="preserve">Civil courts are used in </w:t>
      </w:r>
      <w:r>
        <w:t>seven</w:t>
      </w:r>
      <w:r w:rsidRPr="001A6468">
        <w:t xml:space="preserve"> MS (BE DK, HU, IE, IT, MT, and NL). In LU the Juvenile and guardianship court is used, and in SI the Social and labour courts are used.</w:t>
      </w:r>
      <w:r w:rsidR="00050135">
        <w:t xml:space="preserve"> </w:t>
      </w:r>
    </w:p>
    <w:p w:rsidR="009D241E" w:rsidRPr="001A6468" w:rsidRDefault="009D241E" w:rsidP="00F73B12">
      <w:pPr>
        <w:pStyle w:val="BodyText"/>
      </w:pPr>
      <w:r w:rsidRPr="001A6468">
        <w:t>In health law, administrative procedure</w:t>
      </w:r>
      <w:r>
        <w:t>s</w:t>
      </w:r>
      <w:r w:rsidRPr="001A6468">
        <w:t xml:space="preserve"> </w:t>
      </w:r>
      <w:r>
        <w:t>are</w:t>
      </w:r>
      <w:r w:rsidRPr="001A6468">
        <w:t xml:space="preserve"> used in </w:t>
      </w:r>
      <w:r>
        <w:t>eight</w:t>
      </w:r>
      <w:r w:rsidRPr="001A6468">
        <w:t xml:space="preserve"> MS. These are: AT, BG, CY DE (but social judicial proceeding may also be used) EL, FL, LV, and PT. Civil procedure rules are used in </w:t>
      </w:r>
      <w:r>
        <w:t>eight</w:t>
      </w:r>
      <w:r w:rsidRPr="001A6468">
        <w:t xml:space="preserve"> MS (BE DK HU, IE, IT, LU, MT, and SI)</w:t>
      </w:r>
      <w:r>
        <w:t xml:space="preserve">. </w:t>
      </w:r>
      <w:r w:rsidRPr="001A6468">
        <w:t xml:space="preserve">Both administrative and civil procedure rules are used in </w:t>
      </w:r>
      <w:r>
        <w:t xml:space="preserve">eight </w:t>
      </w:r>
      <w:r w:rsidRPr="001A6468">
        <w:t>MS (CZ ES HR, LT, PL, RO, SE, and SK).</w:t>
      </w:r>
      <w:r w:rsidR="00050135">
        <w:t xml:space="preserve"> </w:t>
      </w:r>
      <w:r w:rsidRPr="001A6468">
        <w:t xml:space="preserve">Both administrative and criminal procedure rules are used in EE and FR. </w:t>
      </w:r>
    </w:p>
    <w:p w:rsidR="009D241E" w:rsidRPr="00800C7F" w:rsidRDefault="009D241E" w:rsidP="00F73B12">
      <w:pPr>
        <w:pStyle w:val="Heading4NoNumb"/>
        <w:ind w:firstLine="851"/>
      </w:pPr>
      <w:r w:rsidRPr="00800C7F">
        <w:t>Placement into care</w:t>
      </w:r>
    </w:p>
    <w:p w:rsidR="009D241E" w:rsidRPr="001A6468" w:rsidRDefault="009D241E" w:rsidP="00F73B12">
      <w:pPr>
        <w:pStyle w:val="BodyText"/>
      </w:pPr>
      <w:r w:rsidRPr="001A6468">
        <w:t>In placement into care proceedings</w:t>
      </w:r>
      <w:r>
        <w:t>,</w:t>
      </w:r>
      <w:r w:rsidRPr="001A6468">
        <w:t xml:space="preserve"> </w:t>
      </w:r>
      <w:r>
        <w:t>c</w:t>
      </w:r>
      <w:r w:rsidRPr="001A6468">
        <w:t xml:space="preserve">ivil courts are used by </w:t>
      </w:r>
      <w:r>
        <w:t>eight</w:t>
      </w:r>
      <w:r w:rsidRPr="001A6468">
        <w:t xml:space="preserve"> MS (BG, CZ, DK, EL, IE, MT, RO, SK).</w:t>
      </w:r>
      <w:r>
        <w:t xml:space="preserve"> A</w:t>
      </w:r>
      <w:r w:rsidRPr="001A6468">
        <w:t xml:space="preserve">dministrative courts are used in </w:t>
      </w:r>
      <w:r>
        <w:t>two</w:t>
      </w:r>
      <w:r w:rsidRPr="001A6468">
        <w:t xml:space="preserve"> MS (FI and LV).</w:t>
      </w:r>
      <w:r w:rsidR="00050135">
        <w:t xml:space="preserve"> </w:t>
      </w:r>
      <w:r w:rsidRPr="001A6468">
        <w:t xml:space="preserve">In FR the administrative court is used as well as the Juvenile and Family Court and in HU the administrative of labour court is used. Civil and administrative courts are used in </w:t>
      </w:r>
      <w:r>
        <w:t>five</w:t>
      </w:r>
      <w:r w:rsidRPr="001A6468">
        <w:t xml:space="preserve"> MS (EE, HR, LT, SE, and SI).</w:t>
      </w:r>
      <w:r w:rsidR="00050135">
        <w:t xml:space="preserve"> </w:t>
      </w:r>
      <w:r w:rsidRPr="001A6468">
        <w:t>Specialist family, juvenile or guardianship courts or tribunals are used by 11 MS (AT, BE, CY, DE, and ES, FR, PL, PT, IT, LU, and NL), although DE also uses administrative court</w:t>
      </w:r>
      <w:r>
        <w:t>s</w:t>
      </w:r>
      <w:r w:rsidRPr="001A6468">
        <w:t>, ES also uses the civil court, and FR uses the juvenile and family court division of high court.</w:t>
      </w:r>
      <w:r w:rsidR="00050135">
        <w:t xml:space="preserve"> </w:t>
      </w:r>
    </w:p>
    <w:p w:rsidR="009D241E" w:rsidRPr="001A6468" w:rsidRDefault="009D241E" w:rsidP="00F73B12">
      <w:pPr>
        <w:pStyle w:val="BodyText"/>
      </w:pPr>
      <w:r w:rsidRPr="001A6468">
        <w:t xml:space="preserve">In </w:t>
      </w:r>
      <w:r>
        <w:t>placement into care proceedings, c</w:t>
      </w:r>
      <w:r w:rsidRPr="001A6468">
        <w:t>ivil procedure rules are applied by 16 MS (AT, BE, BG, CY, CZ, DK, EL, ES, IE, IT, LU, MT, NL, PL, RO, and SK).</w:t>
      </w:r>
      <w:r>
        <w:t xml:space="preserve"> A</w:t>
      </w:r>
      <w:r w:rsidRPr="001A6468">
        <w:t xml:space="preserve">dministrative procedure rules are applied by </w:t>
      </w:r>
      <w:r>
        <w:t>three</w:t>
      </w:r>
      <w:r w:rsidRPr="001A6468">
        <w:t xml:space="preserve"> MS (FI, HU, LV). Administrative or civil procedure rules are applied by </w:t>
      </w:r>
      <w:r>
        <w:t>seven</w:t>
      </w:r>
      <w:r w:rsidRPr="001A6468">
        <w:t xml:space="preserve"> MS (DE, EE, FR, HR, LT, SE, and SI).</w:t>
      </w:r>
      <w:r w:rsidR="00050135">
        <w:t xml:space="preserve"> </w:t>
      </w:r>
      <w:r w:rsidRPr="001A6468">
        <w:t xml:space="preserve">PT applies special procedure rules.  </w:t>
      </w:r>
    </w:p>
    <w:p w:rsidR="009D241E" w:rsidRPr="00800C7F" w:rsidRDefault="009D241E" w:rsidP="00F73B12">
      <w:pPr>
        <w:pStyle w:val="Heading4NoNumb"/>
        <w:ind w:firstLine="851"/>
      </w:pPr>
      <w:r w:rsidRPr="00800C7F">
        <w:t>Administrative Sanctions</w:t>
      </w:r>
    </w:p>
    <w:p w:rsidR="009D241E" w:rsidRPr="001A6468" w:rsidRDefault="009D241E" w:rsidP="00F73B12">
      <w:pPr>
        <w:pStyle w:val="BodyText"/>
      </w:pPr>
      <w:r w:rsidRPr="001A6468">
        <w:t xml:space="preserve">In the area of administrative sanctions, administrative courts </w:t>
      </w:r>
      <w:r w:rsidRPr="0037723B">
        <w:t xml:space="preserve">are competent to review the decisions of administrative authorities </w:t>
      </w:r>
      <w:r w:rsidRPr="001A6468">
        <w:t xml:space="preserve">in 12 MS (AT, BG, CY CZ, EE, EL, ES, FI, LT, NL, SE, and SI). Civil courts are used in </w:t>
      </w:r>
      <w:r>
        <w:t>three</w:t>
      </w:r>
      <w:r w:rsidRPr="001A6468">
        <w:t xml:space="preserve"> MS (DK, HU, and IT).</w:t>
      </w:r>
      <w:r w:rsidR="00050135">
        <w:t xml:space="preserve"> </w:t>
      </w:r>
      <w:r w:rsidRPr="001A6468">
        <w:t>In RO civil or administrative courts are used.</w:t>
      </w:r>
      <w:r w:rsidR="00050135">
        <w:t xml:space="preserve"> </w:t>
      </w:r>
      <w:r w:rsidRPr="001A6468">
        <w:t xml:space="preserve">Criminal courts are used in </w:t>
      </w:r>
      <w:r>
        <w:t>four</w:t>
      </w:r>
      <w:r w:rsidRPr="001A6468">
        <w:t xml:space="preserve"> MS (DE, LV, MT, and PT).</w:t>
      </w:r>
      <w:r w:rsidR="00050135">
        <w:t xml:space="preserve"> </w:t>
      </w:r>
      <w:r w:rsidRPr="001A6468">
        <w:t xml:space="preserve">Specialist tribunals are used in </w:t>
      </w:r>
      <w:r>
        <w:t>five</w:t>
      </w:r>
      <w:r w:rsidRPr="001A6468">
        <w:t xml:space="preserve"> MS. These are: BE (Youth Tribunal), HR (Offence Court), IE (Children’s Court), LU (Juvenile and Guardianship Court), and PL (Family and Guardianship Court).</w:t>
      </w:r>
      <w:r w:rsidR="00050135">
        <w:t xml:space="preserve"> </w:t>
      </w:r>
      <w:r w:rsidRPr="001A6468">
        <w:t xml:space="preserve">In </w:t>
      </w:r>
      <w:r>
        <w:t>three</w:t>
      </w:r>
      <w:r w:rsidRPr="001A6468">
        <w:t xml:space="preserve"> MS (CZ, FR, and SK) administrative divisions of regional courts are used. </w:t>
      </w:r>
    </w:p>
    <w:p w:rsidR="009D241E" w:rsidRPr="001A6468" w:rsidRDefault="009D241E" w:rsidP="00F73B12">
      <w:pPr>
        <w:pStyle w:val="BodyText"/>
      </w:pPr>
      <w:r w:rsidRPr="001A6468">
        <w:t>In the area of administrative sanctions, administrative procedure</w:t>
      </w:r>
      <w:r>
        <w:t>s</w:t>
      </w:r>
      <w:r w:rsidRPr="001A6468">
        <w:t xml:space="preserve"> appl</w:t>
      </w:r>
      <w:r>
        <w:t>y</w:t>
      </w:r>
      <w:r w:rsidRPr="001A6468">
        <w:t xml:space="preserve"> in 12 MS (AT, CY, CZ, EE, EL, ES, FI, LT, NL, SE, SI, and SK).</w:t>
      </w:r>
      <w:r w:rsidR="00050135">
        <w:t xml:space="preserve"> </w:t>
      </w:r>
      <w:r w:rsidRPr="001A6468">
        <w:t xml:space="preserve">Civil procedure applies in </w:t>
      </w:r>
      <w:r>
        <w:t>six</w:t>
      </w:r>
      <w:r w:rsidRPr="001A6468">
        <w:t xml:space="preserve"> MS (BE, DK, IT, LU, MT, and PL). Criminal procedure applies in </w:t>
      </w:r>
      <w:r>
        <w:t>three</w:t>
      </w:r>
      <w:r w:rsidRPr="001A6468">
        <w:t xml:space="preserve"> MS (DE, IE, and LV) and quasi criminal proceedings apply in PT.</w:t>
      </w:r>
      <w:r w:rsidR="00050135">
        <w:t xml:space="preserve"> </w:t>
      </w:r>
      <w:r w:rsidRPr="001A6468">
        <w:t>Administrative and criminal proce</w:t>
      </w:r>
      <w:r>
        <w:t>dures</w:t>
      </w:r>
      <w:r w:rsidRPr="001A6468">
        <w:t xml:space="preserve"> apply in 2 MS (BG</w:t>
      </w:r>
      <w:r>
        <w:t xml:space="preserve"> and</w:t>
      </w:r>
      <w:r w:rsidRPr="001A6468">
        <w:t xml:space="preserve"> RO), and administrative and civil proce</w:t>
      </w:r>
      <w:r>
        <w:t>dures</w:t>
      </w:r>
      <w:r w:rsidRPr="001A6468">
        <w:t xml:space="preserve"> apply in FR. Special proce</w:t>
      </w:r>
      <w:r>
        <w:t>dures</w:t>
      </w:r>
      <w:r w:rsidRPr="001A6468">
        <w:t xml:space="preserve"> apply in </w:t>
      </w:r>
      <w:r>
        <w:t>two</w:t>
      </w:r>
      <w:r w:rsidRPr="001A6468">
        <w:t xml:space="preserve"> MS (HR, HU). </w:t>
      </w:r>
    </w:p>
    <w:p w:rsidR="009D241E" w:rsidRPr="00800C7F" w:rsidRDefault="009D241E" w:rsidP="00F73B12">
      <w:pPr>
        <w:pStyle w:val="Heading4NoNumb"/>
        <w:ind w:firstLine="851"/>
      </w:pPr>
      <w:r w:rsidRPr="00800C7F">
        <w:t xml:space="preserve">Offences committed below </w:t>
      </w:r>
      <w:r>
        <w:t>the age of criminal responsibility</w:t>
      </w:r>
    </w:p>
    <w:p w:rsidR="009D241E" w:rsidRPr="001A6468" w:rsidRDefault="009D241E" w:rsidP="00F73B12">
      <w:pPr>
        <w:pStyle w:val="BodyText"/>
      </w:pPr>
      <w:r w:rsidRPr="001A6468">
        <w:t xml:space="preserve">In the area of offences committed below MACR, </w:t>
      </w:r>
      <w:r>
        <w:t>c</w:t>
      </w:r>
      <w:r w:rsidRPr="001A6468">
        <w:t xml:space="preserve">ivil courts are used in </w:t>
      </w:r>
      <w:r>
        <w:t>seven</w:t>
      </w:r>
      <w:r w:rsidRPr="001A6468">
        <w:t xml:space="preserve"> MS (AT, CZ, DE, DK, IE, RO, and SK). </w:t>
      </w:r>
      <w:r>
        <w:t>A</w:t>
      </w:r>
      <w:r w:rsidRPr="001A6468">
        <w:t xml:space="preserve">dministrative courts are used in </w:t>
      </w:r>
      <w:r>
        <w:t>five</w:t>
      </w:r>
      <w:r w:rsidRPr="001A6468">
        <w:t xml:space="preserve"> MS (BG, CY, FI, HR, and HU).</w:t>
      </w:r>
      <w:r w:rsidR="00050135">
        <w:t xml:space="preserve"> </w:t>
      </w:r>
      <w:r w:rsidRPr="001A6468">
        <w:t xml:space="preserve">Criminal courts are used in </w:t>
      </w:r>
      <w:r>
        <w:t>two</w:t>
      </w:r>
      <w:r w:rsidRPr="001A6468">
        <w:t xml:space="preserve"> MS (EL, LV).</w:t>
      </w:r>
      <w:r w:rsidR="00050135">
        <w:t xml:space="preserve"> </w:t>
      </w:r>
      <w:r w:rsidRPr="001A6468">
        <w:t>Administrative and criminal courts are used in EE.</w:t>
      </w:r>
      <w:r w:rsidR="00050135">
        <w:t xml:space="preserve"> </w:t>
      </w:r>
      <w:r w:rsidRPr="001A6468">
        <w:t xml:space="preserve">Specialist courts or tribunals are used in </w:t>
      </w:r>
      <w:r>
        <w:t>nine</w:t>
      </w:r>
      <w:r w:rsidRPr="001A6468">
        <w:t xml:space="preserve"> MS. These are: BE (Youth Tribunal)</w:t>
      </w:r>
      <w:r>
        <w:t>;</w:t>
      </w:r>
      <w:r w:rsidRPr="001A6468">
        <w:t xml:space="preserve"> ES (Family Court/Civil Court)</w:t>
      </w:r>
      <w:r>
        <w:t>;</w:t>
      </w:r>
      <w:r w:rsidRPr="001A6468">
        <w:t xml:space="preserve"> FR (Juvenile and Family Court)</w:t>
      </w:r>
      <w:r>
        <w:t>;</w:t>
      </w:r>
      <w:r w:rsidRPr="001A6468">
        <w:t xml:space="preserve"> LU (Juvenile and Guardianship Court)</w:t>
      </w:r>
      <w:r>
        <w:t>;</w:t>
      </w:r>
      <w:r w:rsidRPr="001A6468">
        <w:t xml:space="preserve"> LT (General Competence Court)</w:t>
      </w:r>
      <w:r>
        <w:t>;</w:t>
      </w:r>
      <w:r w:rsidRPr="001A6468">
        <w:t xml:space="preserve"> NL (Juvenile Court)</w:t>
      </w:r>
      <w:r>
        <w:t>;</w:t>
      </w:r>
      <w:r w:rsidRPr="001A6468">
        <w:t xml:space="preserve"> PL (Family and Juvenile Divisions of courts)</w:t>
      </w:r>
      <w:r>
        <w:t>;</w:t>
      </w:r>
      <w:r w:rsidRPr="001A6468">
        <w:t xml:space="preserve"> PT (Family and Children Court)</w:t>
      </w:r>
      <w:r>
        <w:t>;</w:t>
      </w:r>
      <w:r w:rsidRPr="001A6468">
        <w:t xml:space="preserve"> and</w:t>
      </w:r>
      <w:r>
        <w:t>,</w:t>
      </w:r>
      <w:r w:rsidRPr="001A6468">
        <w:t xml:space="preserve"> SE (General Court).</w:t>
      </w:r>
      <w:r w:rsidR="00050135">
        <w:t xml:space="preserve"> </w:t>
      </w:r>
      <w:r w:rsidRPr="001A6468">
        <w:t xml:space="preserve">In MT these matters are not dealt with in court, but </w:t>
      </w:r>
      <w:r>
        <w:t xml:space="preserve">by social services. </w:t>
      </w:r>
      <w:r w:rsidRPr="001A6468">
        <w:t xml:space="preserve">Similarly, in SI, decisions are taken by the Centre for Social Work and not reviewed in court. </w:t>
      </w:r>
    </w:p>
    <w:p w:rsidR="009D241E" w:rsidRPr="001A6468" w:rsidRDefault="009D241E" w:rsidP="00F73B12">
      <w:pPr>
        <w:pStyle w:val="BodyText"/>
      </w:pPr>
      <w:r w:rsidRPr="001A6468">
        <w:t xml:space="preserve">In the area of offences committed below MACR, </w:t>
      </w:r>
      <w:r>
        <w:t>c</w:t>
      </w:r>
      <w:r w:rsidRPr="001A6468">
        <w:t>ivil procedure rules apply in 12 MS (AT, CY, CZ, DE, DK, ES, IE, LU, NL, PL, RO, and SK)</w:t>
      </w:r>
      <w:r>
        <w:t>. A</w:t>
      </w:r>
      <w:r w:rsidRPr="001A6468">
        <w:t xml:space="preserve">dministrative procedure rules apply in </w:t>
      </w:r>
      <w:r>
        <w:t xml:space="preserve">three MS (FI, HR, and HU). </w:t>
      </w:r>
      <w:r w:rsidRPr="001A6468">
        <w:t>Civil and criminal procedure rules apply in BE. Administrative and criminal procedure rules apply in BG and EE.</w:t>
      </w:r>
      <w:r w:rsidR="00050135">
        <w:t xml:space="preserve"> </w:t>
      </w:r>
      <w:r w:rsidRPr="001A6468">
        <w:t xml:space="preserve">Criminal procedure rules apply in </w:t>
      </w:r>
      <w:r>
        <w:t>five</w:t>
      </w:r>
      <w:r w:rsidRPr="001A6468">
        <w:t xml:space="preserve"> MS (EL, FR, IT, LT, and SE) and quasi criminal procedure rules apply in LV.</w:t>
      </w:r>
      <w:r w:rsidR="00050135">
        <w:t xml:space="preserve"> </w:t>
      </w:r>
      <w:r w:rsidRPr="001A6468">
        <w:t>In PT special judicial proceedings apply. In MT, as these matters are dealt with by social services, social services procedure</w:t>
      </w:r>
      <w:r>
        <w:t>s</w:t>
      </w:r>
      <w:r w:rsidRPr="001A6468">
        <w:t xml:space="preserve"> appl</w:t>
      </w:r>
      <w:r>
        <w:t>y</w:t>
      </w:r>
      <w:r w:rsidRPr="001A6468">
        <w:t>.</w:t>
      </w:r>
      <w:r w:rsidR="00050135">
        <w:t xml:space="preserve"> </w:t>
      </w:r>
      <w:r>
        <w:t>In</w:t>
      </w:r>
      <w:r w:rsidRPr="001A6468">
        <w:t xml:space="preserve"> SI, these matters are not reviewed in court so no judicial procedure rules apply. </w:t>
      </w:r>
    </w:p>
    <w:p w:rsidR="00977C6A" w:rsidRDefault="00977C6A" w:rsidP="009D241E"/>
    <w:p w:rsidR="00977C6A" w:rsidRPr="00977C6A" w:rsidRDefault="00977C6A" w:rsidP="00977C6A"/>
    <w:p w:rsidR="00977C6A" w:rsidRPr="00977C6A" w:rsidRDefault="00977C6A" w:rsidP="00977C6A"/>
    <w:p w:rsidR="00977C6A" w:rsidRPr="00977C6A" w:rsidRDefault="00977C6A" w:rsidP="00977C6A"/>
    <w:p w:rsidR="00977C6A" w:rsidRPr="00977C6A" w:rsidRDefault="00977C6A" w:rsidP="00977C6A"/>
    <w:p w:rsidR="00977C6A" w:rsidRDefault="00977C6A" w:rsidP="00977C6A"/>
    <w:p w:rsidR="00A077AB" w:rsidRDefault="00A077AB" w:rsidP="00A077AB">
      <w:pPr>
        <w:pStyle w:val="BodyText"/>
        <w:sectPr w:rsidR="00A077AB" w:rsidSect="00977C6A">
          <w:headerReference w:type="default" r:id="rId33"/>
          <w:footerReference w:type="default" r:id="rId34"/>
          <w:pgSz w:w="11907" w:h="16840" w:code="9"/>
          <w:pgMar w:top="890" w:right="1418" w:bottom="1276" w:left="1418" w:header="680" w:footer="567" w:gutter="0"/>
          <w:cols w:space="708"/>
          <w:docGrid w:linePitch="360"/>
        </w:sectPr>
      </w:pPr>
    </w:p>
    <w:p w:rsidR="00775467" w:rsidRDefault="00775467" w:rsidP="004A40DC">
      <w:pPr>
        <w:pStyle w:val="AnnexTable"/>
        <w:tabs>
          <w:tab w:val="clear" w:pos="2687"/>
          <w:tab w:val="num" w:pos="1440"/>
          <w:tab w:val="num" w:pos="2340"/>
        </w:tabs>
        <w:ind w:hanging="1877"/>
      </w:pPr>
      <w:bookmarkStart w:id="345" w:name="_Ref395881811"/>
      <w:bookmarkStart w:id="346" w:name="_Toc408908661"/>
      <w:r w:rsidRPr="00196715">
        <w:t>D</w:t>
      </w:r>
      <w:r w:rsidR="00D74F08">
        <w:t>raft civil and administrative justice coverage table</w:t>
      </w:r>
      <w:bookmarkEnd w:id="345"/>
      <w:bookmarkEnd w:id="346"/>
    </w:p>
    <w:p w:rsidR="00775467" w:rsidRPr="004E39FE" w:rsidRDefault="00775467" w:rsidP="00F73B12">
      <w:pPr>
        <w:pStyle w:val="BodyText"/>
      </w:pPr>
      <w:r w:rsidRPr="009E2507">
        <w:t xml:space="preserve">The following table </w:t>
      </w:r>
      <w:r w:rsidR="00391E77">
        <w:t>indicates in a simplified manner</w:t>
      </w:r>
      <w:r w:rsidRPr="009E2507">
        <w:t xml:space="preserve"> which courts handle the various types of legal issues as</w:t>
      </w:r>
      <w:r w:rsidR="00DF779E">
        <w:t xml:space="preserve"> set out</w:t>
      </w:r>
      <w:r w:rsidRPr="009E2507">
        <w:t xml:space="preserve"> in the civil and administrative proceedings reports. </w:t>
      </w:r>
      <w:r w:rsidR="00391E77">
        <w:t xml:space="preserve"> For a more complete picture, consult the individual national contextual overviews.</w:t>
      </w:r>
    </w:p>
    <w:p w:rsidR="00775467" w:rsidRPr="00A5732C" w:rsidRDefault="00775467" w:rsidP="00F73B12">
      <w:pPr>
        <w:pStyle w:val="BTNumbList"/>
        <w:numPr>
          <w:ilvl w:val="0"/>
          <w:numId w:val="60"/>
        </w:numPr>
      </w:pPr>
      <w:r w:rsidRPr="00A5732C">
        <w:t>Competent authority</w:t>
      </w:r>
    </w:p>
    <w:p w:rsidR="0081677B" w:rsidRPr="00F73B12" w:rsidRDefault="00775467" w:rsidP="00F73B12">
      <w:pPr>
        <w:pStyle w:val="BTNumbList"/>
      </w:pPr>
      <w:r w:rsidRPr="00A5732C">
        <w:t>Type of judicial proceedings applying in the sector</w:t>
      </w:r>
    </w:p>
    <w:p w:rsidR="00E15472" w:rsidRDefault="00E15472" w:rsidP="0081677B">
      <w:pPr>
        <w:tabs>
          <w:tab w:val="left" w:pos="1830"/>
        </w:tabs>
        <w:sectPr w:rsidR="00E15472" w:rsidSect="00A077AB">
          <w:headerReference w:type="default" r:id="rId35"/>
          <w:footerReference w:type="default" r:id="rId36"/>
          <w:pgSz w:w="16840" w:h="11907" w:orient="landscape" w:code="9"/>
          <w:pgMar w:top="1417" w:right="1417" w:bottom="1020" w:left="1417" w:header="680" w:footer="567" w:gutter="0"/>
          <w:cols w:space="708"/>
          <w:docGrid w:linePitch="360"/>
        </w:sectPr>
      </w:pPr>
    </w:p>
    <w:tbl>
      <w:tblPr>
        <w:tblStyle w:val="TableGrid"/>
        <w:tblW w:w="14670" w:type="dxa"/>
        <w:tblInd w:w="-365" w:type="dxa"/>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Layout w:type="fixed"/>
        <w:tblCellMar>
          <w:top w:w="57" w:type="dxa"/>
          <w:left w:w="85" w:type="dxa"/>
          <w:bottom w:w="57" w:type="dxa"/>
          <w:right w:w="85" w:type="dxa"/>
        </w:tblCellMar>
        <w:tblLook w:val="04A0" w:firstRow="1" w:lastRow="0" w:firstColumn="1" w:lastColumn="0" w:noHBand="0" w:noVBand="1"/>
      </w:tblPr>
      <w:tblGrid>
        <w:gridCol w:w="900"/>
        <w:gridCol w:w="1530"/>
        <w:gridCol w:w="1440"/>
        <w:gridCol w:w="1530"/>
        <w:gridCol w:w="1530"/>
        <w:gridCol w:w="1530"/>
        <w:gridCol w:w="61"/>
        <w:gridCol w:w="88"/>
        <w:gridCol w:w="1175"/>
        <w:gridCol w:w="22"/>
        <w:gridCol w:w="1533"/>
        <w:gridCol w:w="1727"/>
        <w:gridCol w:w="1604"/>
      </w:tblGrid>
      <w:tr w:rsidR="00233EFA" w:rsidRPr="0081677B" w:rsidTr="00B959F4">
        <w:trPr>
          <w:cantSplit/>
          <w:trHeight w:val="613"/>
          <w:tblHeader/>
        </w:trPr>
        <w:tc>
          <w:tcPr>
            <w:tcW w:w="900"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sz w:val="18"/>
                <w:szCs w:val="18"/>
              </w:rPr>
              <w:tab/>
            </w:r>
            <w:r w:rsidRPr="00A5732C">
              <w:rPr>
                <w:b/>
                <w:sz w:val="18"/>
                <w:szCs w:val="18"/>
              </w:rPr>
              <w:t>MS</w:t>
            </w:r>
          </w:p>
        </w:tc>
        <w:tc>
          <w:tcPr>
            <w:tcW w:w="1530"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 xml:space="preserve">Family </w:t>
            </w:r>
          </w:p>
        </w:tc>
        <w:tc>
          <w:tcPr>
            <w:tcW w:w="1440"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 xml:space="preserve">Employment </w:t>
            </w:r>
          </w:p>
        </w:tc>
        <w:tc>
          <w:tcPr>
            <w:tcW w:w="1530"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 xml:space="preserve">Asylum </w:t>
            </w:r>
          </w:p>
        </w:tc>
        <w:tc>
          <w:tcPr>
            <w:tcW w:w="1530"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 xml:space="preserve">Migration </w:t>
            </w:r>
          </w:p>
        </w:tc>
        <w:tc>
          <w:tcPr>
            <w:tcW w:w="1679" w:type="dxa"/>
            <w:gridSpan w:val="3"/>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 xml:space="preserve">Education </w:t>
            </w:r>
          </w:p>
        </w:tc>
        <w:tc>
          <w:tcPr>
            <w:tcW w:w="1175"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 xml:space="preserve">Health </w:t>
            </w:r>
          </w:p>
        </w:tc>
        <w:tc>
          <w:tcPr>
            <w:tcW w:w="1555" w:type="dxa"/>
            <w:gridSpan w:val="2"/>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Placement in care</w:t>
            </w:r>
          </w:p>
        </w:tc>
        <w:tc>
          <w:tcPr>
            <w:tcW w:w="1727"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Administrative sanctions</w:t>
            </w:r>
          </w:p>
        </w:tc>
        <w:tc>
          <w:tcPr>
            <w:tcW w:w="1604" w:type="dxa"/>
            <w:shd w:val="clear" w:color="auto" w:fill="DAEEF3" w:themeFill="accent5" w:themeFillTint="33"/>
            <w:vAlign w:val="center"/>
          </w:tcPr>
          <w:p w:rsidR="00233EFA" w:rsidRPr="00A5732C" w:rsidRDefault="00233EFA" w:rsidP="00233EFA">
            <w:pPr>
              <w:tabs>
                <w:tab w:val="left" w:pos="1830"/>
              </w:tabs>
              <w:spacing w:before="0" w:after="0"/>
              <w:rPr>
                <w:b/>
                <w:sz w:val="18"/>
                <w:szCs w:val="18"/>
              </w:rPr>
            </w:pPr>
            <w:r w:rsidRPr="00A5732C">
              <w:rPr>
                <w:b/>
                <w:sz w:val="18"/>
                <w:szCs w:val="18"/>
              </w:rPr>
              <w:t>Offences &lt; MACR</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AT</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Asylum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175"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55"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(Guardianship)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BE</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Magistrate’s Court /Civil Court/Youth Tribunal</w:t>
            </w:r>
            <w:r w:rsidRPr="00A5732C">
              <w:rPr>
                <w:sz w:val="18"/>
                <w:szCs w:val="18"/>
                <w:vertAlign w:val="superscript"/>
              </w:rPr>
              <w:endnoteReference w:id="2"/>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Labour Tribunal/Labour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Council of State</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Council of State</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Council of State/ Civil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175"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Ordinary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55"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Youth Tribunal</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Youth Tribunal</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Youth Tribunal</w:t>
            </w:r>
          </w:p>
          <w:p w:rsidR="00233EFA" w:rsidRPr="00A5732C" w:rsidRDefault="00233EFA" w:rsidP="00233EFA">
            <w:pPr>
              <w:tabs>
                <w:tab w:val="left" w:pos="1830"/>
              </w:tabs>
              <w:spacing w:before="0" w:after="0"/>
              <w:rPr>
                <w:sz w:val="18"/>
                <w:szCs w:val="18"/>
              </w:rPr>
            </w:pPr>
            <w:r w:rsidRPr="00A5732C">
              <w:rPr>
                <w:sz w:val="18"/>
                <w:szCs w:val="18"/>
              </w:rPr>
              <w:t>2: Judicial proceeding of civil and criminal nature</w:t>
            </w:r>
          </w:p>
        </w:tc>
      </w:tr>
      <w:tr w:rsidR="00233EFA" w:rsidRPr="0081677B" w:rsidTr="00B959F4">
        <w:trPr>
          <w:cantSplit/>
          <w:trHeight w:val="897"/>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BG</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Ordinary Civil Court/ Family Court in Sofia</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Ordinary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175"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Court/District Court</w:t>
            </w:r>
            <w:r w:rsidRPr="00A5732C">
              <w:rPr>
                <w:sz w:val="18"/>
                <w:szCs w:val="18"/>
                <w:vertAlign w:val="superscript"/>
              </w:rPr>
              <w:endnoteReference w:id="3"/>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55"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 Administrative Court</w:t>
            </w:r>
            <w:r w:rsidRPr="00A5732C">
              <w:rPr>
                <w:sz w:val="18"/>
                <w:szCs w:val="18"/>
                <w:vertAlign w:val="superscript"/>
              </w:rPr>
              <w:endnoteReference w:id="4"/>
            </w:r>
          </w:p>
          <w:p w:rsidR="00233EFA" w:rsidRPr="00A5732C" w:rsidRDefault="00233EFA" w:rsidP="00233EFA">
            <w:pPr>
              <w:tabs>
                <w:tab w:val="left" w:pos="1830"/>
              </w:tabs>
              <w:spacing w:before="0" w:after="0"/>
              <w:rPr>
                <w:sz w:val="18"/>
                <w:szCs w:val="18"/>
              </w:rPr>
            </w:pPr>
            <w:r w:rsidRPr="00A5732C">
              <w:rPr>
                <w:sz w:val="18"/>
                <w:szCs w:val="18"/>
              </w:rPr>
              <w:t>2: Civil judicial proceeding</w:t>
            </w:r>
            <w:r w:rsidRPr="00A5732C">
              <w:rPr>
                <w:sz w:val="18"/>
                <w:szCs w:val="18"/>
                <w:vertAlign w:val="superscript"/>
              </w:rPr>
              <w:endnoteReference w:id="5"/>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Court/Administrative Court</w:t>
            </w:r>
            <w:r w:rsidRPr="00A5732C">
              <w:rPr>
                <w:sz w:val="18"/>
                <w:szCs w:val="18"/>
                <w:vertAlign w:val="superscript"/>
              </w:rPr>
              <w:endnoteReference w:id="6"/>
            </w:r>
          </w:p>
          <w:p w:rsidR="00233EFA" w:rsidRPr="00A5732C" w:rsidRDefault="00233EFA" w:rsidP="00233EFA">
            <w:pPr>
              <w:tabs>
                <w:tab w:val="left" w:pos="1830"/>
              </w:tabs>
              <w:spacing w:before="0" w:after="0"/>
              <w:rPr>
                <w:sz w:val="18"/>
                <w:szCs w:val="18"/>
              </w:rPr>
            </w:pPr>
            <w:r w:rsidRPr="00A5732C">
              <w:rPr>
                <w:sz w:val="18"/>
                <w:szCs w:val="18"/>
              </w:rPr>
              <w:t>2: Administrative and criminal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Court/Administrative Court</w:t>
            </w:r>
            <w:r w:rsidRPr="00A5732C">
              <w:rPr>
                <w:sz w:val="18"/>
                <w:szCs w:val="18"/>
                <w:vertAlign w:val="superscript"/>
              </w:rPr>
              <w:endnoteReference w:id="7"/>
            </w:r>
          </w:p>
          <w:p w:rsidR="00233EFA" w:rsidRPr="00A5732C" w:rsidRDefault="00233EFA" w:rsidP="00233EFA">
            <w:pPr>
              <w:tabs>
                <w:tab w:val="left" w:pos="1830"/>
              </w:tabs>
              <w:spacing w:before="0" w:after="0"/>
              <w:rPr>
                <w:sz w:val="18"/>
                <w:szCs w:val="18"/>
              </w:rPr>
            </w:pPr>
            <w:r w:rsidRPr="00A5732C">
              <w:rPr>
                <w:sz w:val="18"/>
                <w:szCs w:val="18"/>
              </w:rPr>
              <w:t>2: Administrative and criminal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CY</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Family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1:Supreme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1:Supreme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1:Supreme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175"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1:Supreme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55"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1:Family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1:Supreme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Supreme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CZ</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Divisions of Regional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Divisions of Regional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Divisions of Regional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197"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 Administrative Divisions of Regional Court</w:t>
            </w:r>
          </w:p>
          <w:p w:rsidR="00233EFA" w:rsidRPr="00A5732C" w:rsidRDefault="00233EFA" w:rsidP="00233EFA">
            <w:pPr>
              <w:tabs>
                <w:tab w:val="left" w:pos="1830"/>
              </w:tabs>
              <w:spacing w:before="0" w:after="0"/>
              <w:rPr>
                <w:sz w:val="18"/>
                <w:szCs w:val="18"/>
              </w:rPr>
            </w:pPr>
            <w:r w:rsidRPr="00A5732C">
              <w:rPr>
                <w:sz w:val="18"/>
                <w:szCs w:val="18"/>
              </w:rPr>
              <w:t>2: Civil judicial proceeding/Administrative judicial proceeding</w:t>
            </w:r>
            <w:r w:rsidRPr="00A5732C">
              <w:rPr>
                <w:sz w:val="18"/>
                <w:szCs w:val="18"/>
                <w:vertAlign w:val="superscript"/>
              </w:rPr>
              <w:endnoteReference w:id="8"/>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of Regional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DE</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Family Court</w:t>
            </w:r>
          </w:p>
          <w:p w:rsidR="00233EFA" w:rsidRPr="00A5732C" w:rsidRDefault="00233EFA" w:rsidP="00233EFA">
            <w:pPr>
              <w:tabs>
                <w:tab w:val="left" w:pos="1830"/>
              </w:tabs>
              <w:spacing w:before="0" w:after="0"/>
              <w:rPr>
                <w:sz w:val="18"/>
                <w:szCs w:val="18"/>
              </w:rPr>
            </w:pPr>
            <w:r w:rsidRPr="00A5732C">
              <w:rPr>
                <w:sz w:val="18"/>
                <w:szCs w:val="18"/>
              </w:rPr>
              <w:t xml:space="preserve">2: Family and non-litigious judicial proceeding </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Labour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Social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197"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Social Court/ Administrative Court </w:t>
            </w:r>
          </w:p>
          <w:p w:rsidR="00233EFA" w:rsidRPr="00A5732C" w:rsidRDefault="00233EFA" w:rsidP="00233EFA">
            <w:pPr>
              <w:tabs>
                <w:tab w:val="left" w:pos="1830"/>
              </w:tabs>
              <w:spacing w:before="0" w:after="0"/>
              <w:rPr>
                <w:sz w:val="18"/>
                <w:szCs w:val="18"/>
              </w:rPr>
            </w:pPr>
            <w:r w:rsidRPr="00A5732C">
              <w:rPr>
                <w:sz w:val="18"/>
                <w:szCs w:val="18"/>
              </w:rPr>
              <w:t>2: Social judicial proceeding/Administrative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Family Court/ Administrative Court</w:t>
            </w:r>
          </w:p>
          <w:p w:rsidR="00233EFA" w:rsidRPr="00A5732C" w:rsidRDefault="00233EFA" w:rsidP="00233EFA">
            <w:pPr>
              <w:tabs>
                <w:tab w:val="left" w:pos="1830"/>
              </w:tabs>
              <w:spacing w:before="0" w:after="0"/>
              <w:rPr>
                <w:sz w:val="18"/>
                <w:szCs w:val="18"/>
              </w:rPr>
            </w:pPr>
            <w:r w:rsidRPr="00A5732C">
              <w:rPr>
                <w:sz w:val="18"/>
                <w:szCs w:val="18"/>
              </w:rPr>
              <w:t>2: Civil judicial proceeding/Administrative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Criminal Court </w:t>
            </w:r>
          </w:p>
          <w:p w:rsidR="00233EFA" w:rsidRPr="00A5732C" w:rsidRDefault="00233EFA" w:rsidP="00233EFA">
            <w:pPr>
              <w:tabs>
                <w:tab w:val="left" w:pos="1830"/>
              </w:tabs>
              <w:spacing w:before="0" w:after="0"/>
              <w:rPr>
                <w:sz w:val="18"/>
                <w:szCs w:val="18"/>
              </w:rPr>
            </w:pPr>
            <w:r w:rsidRPr="00A5732C">
              <w:rPr>
                <w:sz w:val="18"/>
                <w:szCs w:val="18"/>
              </w:rPr>
              <w:t>2: Criminal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r w:rsidRPr="00A5732C">
              <w:rPr>
                <w:sz w:val="18"/>
                <w:szCs w:val="18"/>
              </w:rPr>
              <w:tab/>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DK</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679"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197"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EE</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91" w:type="dxa"/>
            <w:gridSpan w:val="2"/>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285" w:type="dxa"/>
            <w:gridSpan w:val="3"/>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 Criminal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r>
              <w:rPr>
                <w:sz w:val="18"/>
                <w:szCs w:val="18"/>
              </w:rPr>
              <w:t xml:space="preserve"> </w:t>
            </w:r>
            <w:r w:rsidRPr="00A5732C">
              <w:rPr>
                <w:sz w:val="18"/>
                <w:szCs w:val="18"/>
              </w:rPr>
              <w:t>criminal proceeding</w:t>
            </w:r>
            <w:r w:rsidRPr="00A5732C">
              <w:rPr>
                <w:sz w:val="18"/>
                <w:szCs w:val="18"/>
                <w:vertAlign w:val="superscript"/>
              </w:rPr>
              <w:endnoteReference w:id="9"/>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 Civil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 Civil judicial proceeding</w:t>
            </w:r>
            <w:r w:rsidRPr="00A5732C">
              <w:rPr>
                <w:sz w:val="18"/>
                <w:szCs w:val="18"/>
                <w:vertAlign w:val="superscript"/>
              </w:rPr>
              <w:endnoteReference w:id="10"/>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 xml:space="preserve">2: Administrative judicial proceeding </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 Criminal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r>
              <w:rPr>
                <w:sz w:val="18"/>
                <w:szCs w:val="18"/>
              </w:rPr>
              <w:t xml:space="preserve"> </w:t>
            </w:r>
            <w:r w:rsidRPr="00A5732C">
              <w:rPr>
                <w:sz w:val="18"/>
                <w:szCs w:val="18"/>
              </w:rPr>
              <w:t xml:space="preserve">criminal judicial proceeding </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EL</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Special chambers of civil courts</w:t>
            </w:r>
          </w:p>
          <w:p w:rsidR="00233EFA" w:rsidRPr="00A5732C" w:rsidRDefault="00233EFA" w:rsidP="00233EFA">
            <w:pPr>
              <w:tabs>
                <w:tab w:val="left" w:pos="1830"/>
              </w:tabs>
              <w:spacing w:before="0" w:after="0"/>
              <w:rPr>
                <w:sz w:val="18"/>
                <w:szCs w:val="18"/>
              </w:rPr>
            </w:pPr>
            <w:r w:rsidRPr="00A5732C">
              <w:rPr>
                <w:sz w:val="18"/>
                <w:szCs w:val="18"/>
              </w:rPr>
              <w:t>2: Special civil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Special civil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Criminal Court</w:t>
            </w:r>
          </w:p>
          <w:p w:rsidR="00233EFA" w:rsidRPr="00A5732C" w:rsidRDefault="00233EFA" w:rsidP="00233EFA">
            <w:pPr>
              <w:tabs>
                <w:tab w:val="left" w:pos="1830"/>
              </w:tabs>
              <w:spacing w:before="0" w:after="0"/>
              <w:rPr>
                <w:sz w:val="18"/>
                <w:szCs w:val="18"/>
              </w:rPr>
            </w:pPr>
            <w:r w:rsidRPr="00A5732C">
              <w:rPr>
                <w:sz w:val="18"/>
                <w:szCs w:val="18"/>
              </w:rPr>
              <w:t>2: Criminal judicial proceeding</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ES</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Ordinary Civil Court / Family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Special Labour Court</w:t>
            </w:r>
          </w:p>
          <w:p w:rsidR="00233EFA" w:rsidRPr="00A5732C" w:rsidRDefault="00233EFA" w:rsidP="00233EFA">
            <w:pPr>
              <w:tabs>
                <w:tab w:val="left" w:pos="1830"/>
              </w:tabs>
              <w:spacing w:before="0" w:after="0"/>
              <w:rPr>
                <w:sz w:val="18"/>
                <w:szCs w:val="18"/>
              </w:rPr>
            </w:pPr>
            <w:r w:rsidRPr="00A5732C">
              <w:rPr>
                <w:sz w:val="18"/>
                <w:szCs w:val="18"/>
              </w:rPr>
              <w:t>2: Labour law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Central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Court/Administrative Chamber of the Higher Court of Justice of the Autonomous Communities</w:t>
            </w:r>
          </w:p>
          <w:p w:rsidR="00233EFA" w:rsidRPr="00A5732C" w:rsidRDefault="00233EFA" w:rsidP="00233EFA">
            <w:pPr>
              <w:tabs>
                <w:tab w:val="left" w:pos="1830"/>
              </w:tabs>
              <w:spacing w:before="0" w:after="0"/>
              <w:rPr>
                <w:sz w:val="18"/>
                <w:szCs w:val="18"/>
              </w:rPr>
            </w:pPr>
            <w:r w:rsidRPr="00A5732C">
              <w:rPr>
                <w:sz w:val="18"/>
                <w:szCs w:val="18"/>
              </w:rPr>
              <w:t>2: Administrative judicial proceedings</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Court/Civil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r w:rsidRPr="00A5732C">
              <w:rPr>
                <w:sz w:val="18"/>
                <w:szCs w:val="18"/>
                <w:vertAlign w:val="superscript"/>
              </w:rPr>
              <w:endnoteReference w:id="11"/>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Family Court/ First Instance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 Central Administrative Court/Administrative Chamber of the Higher Court of Justice of the Autonomous Communities</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Family Court/Civil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r w:rsidRPr="00A5732C">
              <w:rPr>
                <w:sz w:val="18"/>
                <w:szCs w:val="18"/>
                <w:vertAlign w:val="superscript"/>
              </w:rPr>
              <w:endnoteReference w:id="12"/>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FI</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General District Court/Appeal Court/Supreme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General District Court/Appeal Court/Supreme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 Supreme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 Supreme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Court/Supreme Administrative Court/Insurance Court</w:t>
            </w:r>
            <w:r w:rsidRPr="00A5732C">
              <w:rPr>
                <w:sz w:val="18"/>
                <w:szCs w:val="18"/>
                <w:vertAlign w:val="superscript"/>
              </w:rPr>
              <w:endnoteReference w:id="13"/>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Court/Supreme Administrative Court</w:t>
            </w:r>
          </w:p>
          <w:p w:rsidR="00233EFA" w:rsidRPr="00A5732C" w:rsidRDefault="00233EFA" w:rsidP="00233EFA">
            <w:pPr>
              <w:tabs>
                <w:tab w:val="left" w:pos="1830"/>
              </w:tabs>
              <w:spacing w:before="0" w:after="0"/>
              <w:rPr>
                <w:sz w:val="18"/>
                <w:szCs w:val="18"/>
              </w:rPr>
            </w:pPr>
            <w:r w:rsidRPr="00A5732C">
              <w:rPr>
                <w:sz w:val="18"/>
                <w:szCs w:val="18"/>
              </w:rPr>
              <w:t xml:space="preserve">2: Administrative judicial proceeding </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Court/Supreme Administrative Court</w:t>
            </w:r>
          </w:p>
          <w:p w:rsidR="00233EFA" w:rsidRPr="00A5732C" w:rsidRDefault="00233EFA" w:rsidP="00233EFA">
            <w:pPr>
              <w:tabs>
                <w:tab w:val="left" w:pos="1830"/>
              </w:tabs>
              <w:spacing w:before="0" w:after="0"/>
              <w:rPr>
                <w:sz w:val="18"/>
                <w:szCs w:val="18"/>
              </w:rPr>
            </w:pPr>
            <w:r w:rsidRPr="00A5732C">
              <w:rPr>
                <w:sz w:val="18"/>
                <w:szCs w:val="18"/>
              </w:rPr>
              <w:t xml:space="preserve">2: Administrative judicial proceeding </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Court/Supreme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Court/Supreme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FR</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High Courts (Juvenile Court and Family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Employment Tribunal</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Tribunal</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Court/Criminal Court</w:t>
            </w:r>
            <w:r w:rsidRPr="00A5732C">
              <w:rPr>
                <w:sz w:val="18"/>
                <w:szCs w:val="18"/>
                <w:vertAlign w:val="superscript"/>
              </w:rPr>
              <w:endnoteReference w:id="14"/>
            </w:r>
          </w:p>
          <w:p w:rsidR="00233EFA" w:rsidRPr="00A5732C" w:rsidRDefault="00233EFA" w:rsidP="00233EFA">
            <w:pPr>
              <w:tabs>
                <w:tab w:val="left" w:pos="1830"/>
              </w:tabs>
              <w:spacing w:before="0" w:after="0"/>
              <w:rPr>
                <w:sz w:val="18"/>
                <w:szCs w:val="18"/>
              </w:rPr>
            </w:pPr>
            <w:r w:rsidRPr="00A5732C">
              <w:rPr>
                <w:sz w:val="18"/>
                <w:szCs w:val="18"/>
              </w:rPr>
              <w:t>2: Administrative judicial proceeding/Criminal judicial proceeding</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Tribunal/ High Courts (Juvenile Court and Family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Tribunal/ High Courts (Juvenile Court and Family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 Civil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High Courts (Juvenile Court and Family Court)</w:t>
            </w:r>
          </w:p>
          <w:p w:rsidR="00233EFA" w:rsidRPr="00A5732C" w:rsidRDefault="00233EFA" w:rsidP="00233EFA">
            <w:pPr>
              <w:tabs>
                <w:tab w:val="left" w:pos="1830"/>
              </w:tabs>
              <w:spacing w:before="0" w:after="0"/>
              <w:rPr>
                <w:sz w:val="18"/>
                <w:szCs w:val="18"/>
              </w:rPr>
            </w:pPr>
            <w:r w:rsidRPr="00A5732C">
              <w:rPr>
                <w:sz w:val="18"/>
                <w:szCs w:val="18"/>
              </w:rPr>
              <w:t>2: Criminal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HR</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1:Civil Court </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1:Civil Court </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1:Administrative Court </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1:Administrative Court </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1:Administrative Court </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Court/Civil Court</w:t>
            </w:r>
            <w:r w:rsidRPr="00A5732C">
              <w:rPr>
                <w:sz w:val="18"/>
                <w:szCs w:val="18"/>
                <w:vertAlign w:val="superscript"/>
              </w:rPr>
              <w:endnoteReference w:id="15"/>
            </w:r>
          </w:p>
          <w:p w:rsidR="00233EFA" w:rsidRPr="00A5732C" w:rsidRDefault="00233EFA" w:rsidP="00233EFA">
            <w:pPr>
              <w:tabs>
                <w:tab w:val="left" w:pos="1830"/>
              </w:tabs>
              <w:spacing w:before="0" w:after="0"/>
              <w:rPr>
                <w:sz w:val="18"/>
                <w:szCs w:val="18"/>
              </w:rPr>
            </w:pPr>
            <w:r w:rsidRPr="00A5732C">
              <w:rPr>
                <w:sz w:val="18"/>
                <w:szCs w:val="18"/>
              </w:rPr>
              <w:t>2:Administrative judicial proceeding/Civil judicial proceeding</w:t>
            </w:r>
            <w:r w:rsidRPr="00A5732C">
              <w:rPr>
                <w:sz w:val="18"/>
                <w:szCs w:val="18"/>
                <w:vertAlign w:val="superscript"/>
              </w:rPr>
              <w:endnoteReference w:id="16"/>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 Civil Court</w:t>
            </w:r>
            <w:r w:rsidRPr="00A5732C">
              <w:rPr>
                <w:sz w:val="18"/>
                <w:szCs w:val="18"/>
                <w:vertAlign w:val="superscript"/>
              </w:rPr>
              <w:endnoteReference w:id="17"/>
            </w:r>
          </w:p>
          <w:p w:rsidR="00233EFA" w:rsidRPr="00A5732C" w:rsidRDefault="00233EFA" w:rsidP="00233EFA">
            <w:pPr>
              <w:tabs>
                <w:tab w:val="left" w:pos="1830"/>
              </w:tabs>
              <w:spacing w:before="0" w:after="0"/>
              <w:rPr>
                <w:sz w:val="18"/>
                <w:szCs w:val="18"/>
              </w:rPr>
            </w:pPr>
            <w:r w:rsidRPr="00A5732C">
              <w:rPr>
                <w:sz w:val="18"/>
                <w:szCs w:val="18"/>
              </w:rPr>
              <w:t>2:Administrative judicial proceeding/Civil judicial proceeding</w:t>
            </w:r>
            <w:r w:rsidRPr="00A5732C">
              <w:rPr>
                <w:sz w:val="18"/>
                <w:szCs w:val="18"/>
                <w:vertAlign w:val="superscript"/>
              </w:rPr>
              <w:endnoteReference w:id="18"/>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1:Offence Court/High Court of Offences</w:t>
            </w:r>
            <w:r w:rsidRPr="00A5732C">
              <w:rPr>
                <w:sz w:val="18"/>
                <w:szCs w:val="18"/>
                <w:vertAlign w:val="superscript"/>
              </w:rPr>
              <w:endnoteReference w:id="19"/>
            </w:r>
          </w:p>
          <w:p w:rsidR="00233EFA" w:rsidRPr="00A5732C" w:rsidRDefault="00233EFA" w:rsidP="00233EFA">
            <w:pPr>
              <w:tabs>
                <w:tab w:val="left" w:pos="1830"/>
              </w:tabs>
              <w:spacing w:before="0" w:after="0"/>
              <w:rPr>
                <w:sz w:val="18"/>
                <w:szCs w:val="18"/>
              </w:rPr>
            </w:pPr>
            <w:r w:rsidRPr="00A5732C">
              <w:rPr>
                <w:sz w:val="18"/>
                <w:szCs w:val="18"/>
              </w:rPr>
              <w:t>2:Special proceedings regulated by the Act on Offences</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HU</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District Court (civil division)</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1:Administrative Court/Labour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Court/Labour Court/District Court</w:t>
            </w:r>
            <w:r w:rsidRPr="00A5732C">
              <w:rPr>
                <w:sz w:val="18"/>
                <w:szCs w:val="18"/>
                <w:vertAlign w:val="superscript"/>
              </w:rPr>
              <w:endnoteReference w:id="20"/>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Court/Labour Court/District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Court/Labour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1:District Court(civil division)</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Court/Labour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1:District Court</w:t>
            </w:r>
          </w:p>
          <w:p w:rsidR="00233EFA" w:rsidRPr="00A5732C" w:rsidRDefault="00233EFA" w:rsidP="00233EFA">
            <w:pPr>
              <w:tabs>
                <w:tab w:val="left" w:pos="1830"/>
              </w:tabs>
              <w:spacing w:before="0" w:after="0"/>
              <w:rPr>
                <w:sz w:val="18"/>
                <w:szCs w:val="18"/>
              </w:rPr>
            </w:pPr>
            <w:r w:rsidRPr="00A5732C">
              <w:rPr>
                <w:sz w:val="18"/>
                <w:szCs w:val="18"/>
              </w:rPr>
              <w:t>2:Judicial proceedings applicable to infractions</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Court/Labour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IE</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1:General Civil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1:Employment Appeals Tribunal/Circuit Court/High Court </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1:The Refugee Appeals Tribunal</w:t>
            </w:r>
          </w:p>
          <w:p w:rsidR="00233EFA" w:rsidRPr="00A5732C" w:rsidRDefault="00233EFA" w:rsidP="00233EFA">
            <w:pPr>
              <w:tabs>
                <w:tab w:val="left" w:pos="1830"/>
              </w:tabs>
              <w:spacing w:before="0" w:after="0"/>
              <w:rPr>
                <w:sz w:val="18"/>
                <w:szCs w:val="18"/>
              </w:rPr>
            </w:pPr>
            <w:r w:rsidRPr="00A5732C">
              <w:rPr>
                <w:sz w:val="18"/>
                <w:szCs w:val="18"/>
              </w:rPr>
              <w:t>2:Civil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1:High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1:High Court</w:t>
            </w:r>
          </w:p>
          <w:p w:rsidR="00233EFA" w:rsidRPr="00A5732C" w:rsidRDefault="00233EFA" w:rsidP="00233EFA">
            <w:pPr>
              <w:tabs>
                <w:tab w:val="left" w:pos="1830"/>
              </w:tabs>
              <w:spacing w:before="0" w:after="0"/>
              <w:rPr>
                <w:sz w:val="18"/>
                <w:szCs w:val="18"/>
              </w:rPr>
            </w:pPr>
            <w:r w:rsidRPr="00A5732C">
              <w:rPr>
                <w:sz w:val="18"/>
                <w:szCs w:val="18"/>
              </w:rPr>
              <w:t xml:space="preserve">2:Civil judicial proceeding </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1:District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1:District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1:Children Court</w:t>
            </w:r>
          </w:p>
          <w:p w:rsidR="00233EFA" w:rsidRPr="00A5732C" w:rsidRDefault="00233EFA" w:rsidP="00233EFA">
            <w:pPr>
              <w:tabs>
                <w:tab w:val="left" w:pos="1830"/>
              </w:tabs>
              <w:spacing w:before="0" w:after="0"/>
              <w:rPr>
                <w:sz w:val="18"/>
                <w:szCs w:val="18"/>
              </w:rPr>
            </w:pPr>
            <w:r w:rsidRPr="00A5732C">
              <w:rPr>
                <w:sz w:val="18"/>
                <w:szCs w:val="18"/>
              </w:rPr>
              <w:t>2:Criminal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1:District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IT</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Ordinary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Ordinary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Ordinary Civil Court/Juvenile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Ordinary Civil Court/Juvenile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Court/Civil Court(family division)</w:t>
            </w:r>
          </w:p>
          <w:p w:rsidR="00233EFA" w:rsidRPr="00A5732C" w:rsidRDefault="00233EFA" w:rsidP="00233EFA">
            <w:pPr>
              <w:tabs>
                <w:tab w:val="left" w:pos="1830"/>
              </w:tabs>
              <w:spacing w:before="0" w:after="0"/>
              <w:rPr>
                <w:sz w:val="18"/>
                <w:szCs w:val="18"/>
              </w:rPr>
            </w:pPr>
            <w:r w:rsidRPr="00A5732C">
              <w:rPr>
                <w:sz w:val="18"/>
                <w:szCs w:val="18"/>
              </w:rPr>
              <w:t>2:Administrative judicial proceeding/Civil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1:Ordinary Civil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1:Juvenile Court/Court of Appeal</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1:Ordinary Civil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1:Juvenile Court</w:t>
            </w:r>
          </w:p>
          <w:p w:rsidR="00233EFA" w:rsidRPr="00A5732C" w:rsidRDefault="00233EFA" w:rsidP="00233EFA">
            <w:pPr>
              <w:tabs>
                <w:tab w:val="left" w:pos="1830"/>
              </w:tabs>
              <w:spacing w:before="0" w:after="0"/>
              <w:rPr>
                <w:sz w:val="18"/>
                <w:szCs w:val="18"/>
              </w:rPr>
            </w:pPr>
            <w:r w:rsidRPr="00A5732C">
              <w:rPr>
                <w:sz w:val="18"/>
                <w:szCs w:val="18"/>
              </w:rPr>
              <w:t>2:Criminal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LU</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Magistrate Court/Labour Courts</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1:Juvenile and Guardianship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1:Juvenile and Guardianship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1:Juvenile and Guardianship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1:Juvenile and Guardianship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LT</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 xml:space="preserve">2: Administrative judicial proceeding </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 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Court/Civil Court</w:t>
            </w:r>
            <w:r w:rsidRPr="00A5732C">
              <w:rPr>
                <w:sz w:val="18"/>
                <w:szCs w:val="18"/>
                <w:vertAlign w:val="superscript"/>
              </w:rPr>
              <w:endnoteReference w:id="21"/>
            </w:r>
          </w:p>
          <w:p w:rsidR="00233EFA" w:rsidRPr="00A5732C" w:rsidRDefault="00233EFA" w:rsidP="00233EFA">
            <w:pPr>
              <w:tabs>
                <w:tab w:val="left" w:pos="1830"/>
              </w:tabs>
              <w:spacing w:before="0" w:after="0"/>
              <w:rPr>
                <w:sz w:val="18"/>
                <w:szCs w:val="18"/>
              </w:rPr>
            </w:pPr>
            <w:r w:rsidRPr="00A5732C">
              <w:rPr>
                <w:sz w:val="18"/>
                <w:szCs w:val="18"/>
              </w:rPr>
              <w:t>2:Administrative judicial proceeding/Civil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General Jurisdiction Court/Administrative Court</w:t>
            </w:r>
            <w:r w:rsidRPr="00A5732C">
              <w:rPr>
                <w:sz w:val="18"/>
                <w:szCs w:val="18"/>
                <w:vertAlign w:val="superscript"/>
              </w:rPr>
              <w:endnoteReference w:id="22"/>
            </w:r>
          </w:p>
          <w:p w:rsidR="00233EFA" w:rsidRPr="00A5732C" w:rsidRDefault="00233EFA" w:rsidP="00233EFA">
            <w:pPr>
              <w:tabs>
                <w:tab w:val="left" w:pos="1830"/>
              </w:tabs>
              <w:spacing w:before="0" w:after="0"/>
              <w:rPr>
                <w:sz w:val="18"/>
                <w:szCs w:val="18"/>
              </w:rPr>
            </w:pPr>
            <w:r w:rsidRPr="00A5732C">
              <w:rPr>
                <w:sz w:val="18"/>
                <w:szCs w:val="18"/>
              </w:rPr>
              <w:t>2: Civil judicial proceeding/Administrative judicial proceeding</w:t>
            </w:r>
            <w:r w:rsidRPr="00A5732C">
              <w:rPr>
                <w:sz w:val="18"/>
                <w:szCs w:val="18"/>
                <w:vertAlign w:val="superscript"/>
              </w:rPr>
              <w:endnoteReference w:id="23"/>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General Jurisdiction Court/Administrative Court</w:t>
            </w:r>
            <w:r w:rsidRPr="00A5732C">
              <w:rPr>
                <w:sz w:val="18"/>
                <w:szCs w:val="18"/>
                <w:vertAlign w:val="superscript"/>
              </w:rPr>
              <w:endnoteReference w:id="24"/>
            </w:r>
          </w:p>
          <w:p w:rsidR="00233EFA" w:rsidRPr="00A5732C" w:rsidRDefault="00233EFA" w:rsidP="00233EFA">
            <w:pPr>
              <w:tabs>
                <w:tab w:val="left" w:pos="1830"/>
              </w:tabs>
              <w:spacing w:before="0" w:after="0"/>
              <w:rPr>
                <w:sz w:val="18"/>
                <w:szCs w:val="18"/>
              </w:rPr>
            </w:pPr>
            <w:r w:rsidRPr="00A5732C">
              <w:rPr>
                <w:sz w:val="18"/>
                <w:szCs w:val="18"/>
              </w:rPr>
              <w:t>2: Civil judicial proceedings/ Administrative judicial proceedings</w:t>
            </w:r>
            <w:r w:rsidRPr="00A5732C">
              <w:rPr>
                <w:sz w:val="18"/>
                <w:szCs w:val="18"/>
                <w:vertAlign w:val="superscript"/>
              </w:rPr>
              <w:endnoteReference w:id="25"/>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General Jurisdiction Court</w:t>
            </w:r>
          </w:p>
          <w:p w:rsidR="00233EFA" w:rsidRPr="00A5732C" w:rsidRDefault="00233EFA" w:rsidP="00233EFA">
            <w:pPr>
              <w:tabs>
                <w:tab w:val="left" w:pos="1830"/>
              </w:tabs>
              <w:spacing w:before="0" w:after="0"/>
              <w:rPr>
                <w:sz w:val="18"/>
                <w:szCs w:val="18"/>
              </w:rPr>
            </w:pPr>
            <w:r w:rsidRPr="00A5732C">
              <w:rPr>
                <w:sz w:val="18"/>
                <w:szCs w:val="18"/>
              </w:rPr>
              <w:t>2: Criminal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LV</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 xml:space="preserve">2: Administrative judicial proceeding </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General Criminal Court (or municipal authorities)</w:t>
            </w:r>
          </w:p>
          <w:p w:rsidR="00233EFA" w:rsidRPr="00A5732C" w:rsidRDefault="00233EFA" w:rsidP="00233EFA">
            <w:pPr>
              <w:tabs>
                <w:tab w:val="left" w:pos="1830"/>
              </w:tabs>
              <w:spacing w:before="0" w:after="0"/>
              <w:rPr>
                <w:sz w:val="18"/>
                <w:szCs w:val="18"/>
              </w:rPr>
            </w:pPr>
            <w:r w:rsidRPr="00A5732C">
              <w:rPr>
                <w:sz w:val="18"/>
                <w:szCs w:val="18"/>
              </w:rPr>
              <w:t>2: Quasi criminal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General Criminal Court (or municipal authorities)</w:t>
            </w:r>
          </w:p>
          <w:p w:rsidR="00233EFA" w:rsidRPr="00A5732C" w:rsidRDefault="00233EFA" w:rsidP="00233EFA">
            <w:pPr>
              <w:tabs>
                <w:tab w:val="left" w:pos="1830"/>
              </w:tabs>
              <w:spacing w:before="0" w:after="0"/>
              <w:rPr>
                <w:sz w:val="18"/>
                <w:szCs w:val="18"/>
              </w:rPr>
            </w:pPr>
            <w:r w:rsidRPr="00A5732C">
              <w:rPr>
                <w:sz w:val="18"/>
                <w:szCs w:val="18"/>
              </w:rPr>
              <w:t>2: Quasi criminal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MT</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Family Section of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proceedings</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Refugee Appeal Board</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Immigration Appeal Board</w:t>
            </w:r>
          </w:p>
          <w:p w:rsidR="00233EFA" w:rsidRPr="00A5732C" w:rsidRDefault="00233EFA" w:rsidP="00233EFA">
            <w:pPr>
              <w:tabs>
                <w:tab w:val="left" w:pos="1830"/>
              </w:tabs>
              <w:spacing w:before="0" w:after="0"/>
              <w:rPr>
                <w:sz w:val="18"/>
                <w:szCs w:val="18"/>
              </w:rPr>
            </w:pPr>
            <w:r w:rsidRPr="00A5732C">
              <w:rPr>
                <w:sz w:val="18"/>
                <w:szCs w:val="18"/>
              </w:rPr>
              <w:t xml:space="preserve">2: Civil judicial proceeding </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Criminal Court</w:t>
            </w:r>
          </w:p>
          <w:p w:rsidR="00233EFA" w:rsidRPr="00A5732C" w:rsidRDefault="00233EFA" w:rsidP="00233EFA">
            <w:pPr>
              <w:tabs>
                <w:tab w:val="left" w:pos="1830"/>
              </w:tabs>
              <w:spacing w:before="0" w:after="0"/>
              <w:rPr>
                <w:sz w:val="18"/>
                <w:szCs w:val="18"/>
              </w:rPr>
            </w:pPr>
            <w:r w:rsidRPr="00A5732C">
              <w:rPr>
                <w:sz w:val="18"/>
                <w:szCs w:val="18"/>
              </w:rPr>
              <w:t>2 Criminal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No Court. Social Services.</w:t>
            </w:r>
          </w:p>
          <w:p w:rsidR="00233EFA" w:rsidRPr="00A5732C" w:rsidRDefault="00233EFA" w:rsidP="00233EFA">
            <w:pPr>
              <w:tabs>
                <w:tab w:val="left" w:pos="1830"/>
              </w:tabs>
              <w:spacing w:before="0" w:after="0"/>
              <w:rPr>
                <w:sz w:val="18"/>
                <w:szCs w:val="18"/>
              </w:rPr>
            </w:pPr>
            <w:r w:rsidRPr="00A5732C">
              <w:rPr>
                <w:sz w:val="18"/>
                <w:szCs w:val="18"/>
              </w:rPr>
              <w:t>2: Social Services.</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NL</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Juvenile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 Administrative Jurisdiction Division of the Council of State</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Juvenile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Juvenile Court/District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PL</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Court/Family and Juvenile Division of the Ordinary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Civil Court/Labour and Social Security Division of the Ordinary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Voivodeship Administrative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Voivodeship Administrative Court/Family and Guardianship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r w:rsidRPr="00A5732C">
              <w:rPr>
                <w:sz w:val="18"/>
                <w:szCs w:val="18"/>
                <w:vertAlign w:val="superscript"/>
              </w:rPr>
              <w:endnoteReference w:id="26"/>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Family and Guardianship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Family and Guardianship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Family and juvenile divisions of courts</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PT</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1:Children and Family Court</w:t>
            </w:r>
          </w:p>
          <w:p w:rsidR="00233EFA" w:rsidRPr="00A5732C" w:rsidRDefault="00233EFA" w:rsidP="00233EFA">
            <w:pPr>
              <w:tabs>
                <w:tab w:val="left" w:pos="1830"/>
              </w:tabs>
              <w:spacing w:before="0" w:after="0"/>
              <w:rPr>
                <w:sz w:val="18"/>
                <w:szCs w:val="18"/>
              </w:rPr>
            </w:pPr>
            <w:r w:rsidRPr="00A5732C">
              <w:rPr>
                <w:sz w:val="18"/>
                <w:szCs w:val="18"/>
              </w:rPr>
              <w:t>2:Civil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1:Labour Courts/General District Court</w:t>
            </w:r>
          </w:p>
          <w:p w:rsidR="00233EFA" w:rsidRPr="00A5732C" w:rsidRDefault="00233EFA" w:rsidP="00233EFA">
            <w:pPr>
              <w:tabs>
                <w:tab w:val="left" w:pos="1830"/>
              </w:tabs>
              <w:spacing w:before="0" w:after="0"/>
              <w:rPr>
                <w:sz w:val="18"/>
                <w:szCs w:val="18"/>
              </w:rPr>
            </w:pPr>
            <w:r w:rsidRPr="00A5732C">
              <w:rPr>
                <w:sz w:val="18"/>
                <w:szCs w:val="18"/>
              </w:rPr>
              <w:t>2:Civil (labour)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Court/Tax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Court/Tax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Court/Tax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1:Administrative Court/Tax Court</w:t>
            </w:r>
          </w:p>
          <w:p w:rsidR="00233EFA" w:rsidRPr="00A5732C" w:rsidRDefault="00233EFA" w:rsidP="00233EFA">
            <w:pPr>
              <w:tabs>
                <w:tab w:val="left" w:pos="1830"/>
              </w:tabs>
              <w:spacing w:before="0" w:after="0"/>
              <w:rPr>
                <w:sz w:val="18"/>
                <w:szCs w:val="18"/>
              </w:rPr>
            </w:pPr>
            <w:r w:rsidRPr="00A5732C">
              <w:rPr>
                <w:sz w:val="18"/>
                <w:szCs w:val="18"/>
              </w:rPr>
              <w:t>2:Administrative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1:Family and Children Court</w:t>
            </w:r>
          </w:p>
          <w:p w:rsidR="00233EFA" w:rsidRPr="00A5732C" w:rsidRDefault="00233EFA" w:rsidP="00233EFA">
            <w:pPr>
              <w:tabs>
                <w:tab w:val="left" w:pos="1830"/>
              </w:tabs>
              <w:spacing w:before="0" w:after="0"/>
              <w:rPr>
                <w:sz w:val="18"/>
                <w:szCs w:val="18"/>
              </w:rPr>
            </w:pPr>
            <w:r w:rsidRPr="00A5732C">
              <w:rPr>
                <w:sz w:val="18"/>
                <w:szCs w:val="18"/>
              </w:rPr>
              <w:t>2:Special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1:Ordinary Criminal Court</w:t>
            </w:r>
          </w:p>
          <w:p w:rsidR="00233EFA" w:rsidRPr="00A5732C" w:rsidRDefault="00233EFA" w:rsidP="00233EFA">
            <w:pPr>
              <w:tabs>
                <w:tab w:val="left" w:pos="1830"/>
              </w:tabs>
              <w:spacing w:before="0" w:after="0"/>
              <w:rPr>
                <w:sz w:val="18"/>
                <w:szCs w:val="18"/>
              </w:rPr>
            </w:pPr>
            <w:r w:rsidRPr="00A5732C">
              <w:rPr>
                <w:sz w:val="18"/>
                <w:szCs w:val="18"/>
              </w:rPr>
              <w:t>2:Criminal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1:Family and Children Court</w:t>
            </w:r>
          </w:p>
          <w:p w:rsidR="00233EFA" w:rsidRPr="00A5732C" w:rsidRDefault="00233EFA" w:rsidP="00233EFA">
            <w:pPr>
              <w:tabs>
                <w:tab w:val="left" w:pos="1830"/>
              </w:tabs>
              <w:spacing w:before="0" w:after="0"/>
              <w:rPr>
                <w:sz w:val="18"/>
                <w:szCs w:val="18"/>
              </w:rPr>
            </w:pPr>
            <w:r w:rsidRPr="00A5732C">
              <w:rPr>
                <w:sz w:val="18"/>
                <w:szCs w:val="18"/>
              </w:rPr>
              <w:t>2:Special judicial proceeding</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RO</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1:Civil Court </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1:Civil Court </w:t>
            </w:r>
          </w:p>
          <w:p w:rsidR="00233EFA" w:rsidRPr="00A5732C" w:rsidRDefault="00233EFA" w:rsidP="00233EFA">
            <w:pPr>
              <w:tabs>
                <w:tab w:val="left" w:pos="1830"/>
              </w:tabs>
              <w:spacing w:before="0" w:after="0"/>
              <w:rPr>
                <w:sz w:val="18"/>
                <w:szCs w:val="18"/>
              </w:rPr>
            </w:pPr>
            <w:r w:rsidRPr="00A5732C">
              <w:rPr>
                <w:sz w:val="18"/>
                <w:szCs w:val="18"/>
              </w:rPr>
              <w:t>2:Civil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Sections in Ordinary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in Regional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Administrative Sections in Ordinary Court </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Sections in Ordinary Court / Civil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 /Administrative Section of Ordinary Court</w:t>
            </w:r>
          </w:p>
          <w:p w:rsidR="00233EFA" w:rsidRPr="00A5732C" w:rsidRDefault="00233EFA" w:rsidP="00233EFA">
            <w:pPr>
              <w:tabs>
                <w:tab w:val="left" w:pos="1830"/>
              </w:tabs>
              <w:spacing w:before="0" w:after="0"/>
              <w:rPr>
                <w:sz w:val="18"/>
                <w:szCs w:val="18"/>
              </w:rPr>
            </w:pPr>
            <w:r w:rsidRPr="00A5732C">
              <w:rPr>
                <w:sz w:val="18"/>
                <w:szCs w:val="18"/>
              </w:rPr>
              <w:t>2: Civil judicial proceeding/Administrative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SE</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General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General Court/Labour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Migration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Migration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Court/General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Court/General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General Court</w:t>
            </w:r>
          </w:p>
          <w:p w:rsidR="00233EFA" w:rsidRPr="00A5732C" w:rsidRDefault="00233EFA" w:rsidP="00233EFA">
            <w:pPr>
              <w:tabs>
                <w:tab w:val="left" w:pos="1830"/>
              </w:tabs>
              <w:spacing w:before="0" w:after="0"/>
              <w:rPr>
                <w:sz w:val="18"/>
                <w:szCs w:val="18"/>
              </w:rPr>
            </w:pPr>
            <w:r w:rsidRPr="00A5732C">
              <w:rPr>
                <w:sz w:val="18"/>
                <w:szCs w:val="18"/>
              </w:rPr>
              <w:t>2: Criminal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SI</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District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Labour and Social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Social and Labour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p w:rsidR="00233EFA" w:rsidRPr="00A5732C" w:rsidRDefault="00233EFA" w:rsidP="00233EFA">
            <w:pPr>
              <w:tabs>
                <w:tab w:val="left" w:pos="1830"/>
              </w:tabs>
              <w:spacing w:before="0" w:after="0"/>
              <w:rPr>
                <w:sz w:val="18"/>
                <w:szCs w:val="18"/>
              </w:rPr>
            </w:pP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Decision are taken by the Centre for Social Work and not reviewed in court</w:t>
            </w:r>
          </w:p>
          <w:p w:rsidR="00233EFA" w:rsidRPr="00A5732C" w:rsidRDefault="00233EFA" w:rsidP="00233EFA">
            <w:pPr>
              <w:tabs>
                <w:tab w:val="left" w:pos="1830"/>
              </w:tabs>
              <w:spacing w:before="0" w:after="0"/>
              <w:rPr>
                <w:sz w:val="18"/>
                <w:szCs w:val="18"/>
              </w:rPr>
            </w:pPr>
            <w:r w:rsidRPr="00A5732C">
              <w:rPr>
                <w:sz w:val="18"/>
                <w:szCs w:val="18"/>
              </w:rPr>
              <w:t>2: Decision are special and are not reviewed in administrative judicial proceeding</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SK</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2: Civil judicial proceeding</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of Regional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of Regional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of Regional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of Regional Court/District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proceeding/civil judicial proceeding</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District Court</w:t>
            </w:r>
          </w:p>
          <w:p w:rsidR="00233EFA" w:rsidRPr="00A5732C" w:rsidRDefault="00233EFA" w:rsidP="00233EFA">
            <w:pPr>
              <w:tabs>
                <w:tab w:val="left" w:pos="1830"/>
              </w:tabs>
              <w:spacing w:before="0" w:after="0"/>
              <w:rPr>
                <w:sz w:val="18"/>
                <w:szCs w:val="18"/>
              </w:rPr>
            </w:pPr>
            <w:r w:rsidRPr="00A5732C">
              <w:rPr>
                <w:sz w:val="18"/>
                <w:szCs w:val="18"/>
              </w:rPr>
              <w:t xml:space="preserve">2: Civil judicial proceeding </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Administrative Divisions of Regional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Civil Court</w:t>
            </w:r>
          </w:p>
          <w:p w:rsidR="00233EFA" w:rsidRPr="00A5732C" w:rsidRDefault="00233EFA" w:rsidP="00233EFA">
            <w:pPr>
              <w:tabs>
                <w:tab w:val="left" w:pos="1830"/>
              </w:tabs>
              <w:spacing w:before="0" w:after="0"/>
              <w:rPr>
                <w:sz w:val="18"/>
                <w:szCs w:val="18"/>
              </w:rPr>
            </w:pPr>
            <w:r w:rsidRPr="00A5732C">
              <w:rPr>
                <w:sz w:val="18"/>
                <w:szCs w:val="18"/>
              </w:rPr>
              <w:t xml:space="preserve">2: Civil judicial proceeding </w:t>
            </w: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UK</w:t>
            </w:r>
            <w:r>
              <w:rPr>
                <w:b/>
                <w:sz w:val="18"/>
                <w:szCs w:val="18"/>
              </w:rPr>
              <w:t>-NI</w:t>
            </w:r>
            <w:r w:rsidRPr="00A5732C">
              <w:rPr>
                <w:b/>
                <w:sz w:val="18"/>
                <w:szCs w:val="18"/>
              </w:rPr>
              <w:t>)</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Family court</w:t>
            </w:r>
          </w:p>
          <w:p w:rsidR="00233EFA" w:rsidRPr="00B959F4" w:rsidRDefault="00233EFA" w:rsidP="00233EFA">
            <w:pPr>
              <w:spacing w:before="0" w:after="0"/>
              <w:rPr>
                <w:sz w:val="18"/>
                <w:szCs w:val="18"/>
              </w:rPr>
            </w:pPr>
            <w:r w:rsidRPr="00A5732C">
              <w:rPr>
                <w:sz w:val="18"/>
                <w:szCs w:val="18"/>
              </w:rPr>
              <w:t xml:space="preserve">2: </w:t>
            </w:r>
            <w:r w:rsidRPr="00B959F4">
              <w:rPr>
                <w:sz w:val="18"/>
                <w:szCs w:val="18"/>
              </w:rPr>
              <w:t>Family proceedings</w:t>
            </w:r>
          </w:p>
          <w:p w:rsidR="00233EFA" w:rsidRPr="00A5732C" w:rsidRDefault="00233EFA" w:rsidP="00233EFA">
            <w:pPr>
              <w:spacing w:before="0" w:after="0"/>
              <w:rPr>
                <w:sz w:val="18"/>
                <w:szCs w:val="18"/>
              </w:rPr>
            </w:pP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1</w:t>
            </w:r>
            <w:r w:rsidRPr="00A5732C">
              <w:rPr>
                <w:rFonts w:cs="Arial"/>
                <w:sz w:val="18"/>
                <w:szCs w:val="18"/>
              </w:rPr>
              <w:t>Industrial Tribunal/Fair Employment Tribunal</w:t>
            </w:r>
            <w:r w:rsidRPr="00A5732C">
              <w:rPr>
                <w:sz w:val="18"/>
                <w:szCs w:val="18"/>
              </w:rPr>
              <w:t xml:space="preserve">2: </w:t>
            </w:r>
            <w:r w:rsidRPr="00A5732C">
              <w:rPr>
                <w:rFonts w:cs="Arial"/>
                <w:sz w:val="18"/>
                <w:szCs w:val="18"/>
              </w:rPr>
              <w:t>Industrial Tribunal/Fair Employment Tribunal proceedings</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Immigration and Asylum Chamber in the Upper Tribunal</w:t>
            </w:r>
          </w:p>
          <w:p w:rsidR="00233EFA" w:rsidRPr="00A5732C" w:rsidRDefault="00233EFA" w:rsidP="00233EFA">
            <w:pPr>
              <w:tabs>
                <w:tab w:val="left" w:pos="1830"/>
              </w:tabs>
              <w:spacing w:before="0" w:after="0"/>
              <w:rPr>
                <w:sz w:val="18"/>
                <w:szCs w:val="18"/>
              </w:rPr>
            </w:pPr>
            <w:r w:rsidRPr="00A5732C">
              <w:rPr>
                <w:sz w:val="18"/>
                <w:szCs w:val="18"/>
              </w:rPr>
              <w:t xml:space="preserve">2: </w:t>
            </w:r>
            <w:r w:rsidRPr="00A5732C">
              <w:rPr>
                <w:rFonts w:cs="Arial"/>
                <w:sz w:val="18"/>
                <w:szCs w:val="18"/>
              </w:rPr>
              <w:t>First-tier Tribunal, Immigration and Asylum proceedings</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lang w:val="en-US"/>
              </w:rPr>
            </w:pPr>
            <w:r w:rsidRPr="00A5732C">
              <w:rPr>
                <w:sz w:val="18"/>
                <w:szCs w:val="18"/>
                <w:lang w:val="en-US"/>
              </w:rPr>
              <w:t xml:space="preserve">1: </w:t>
            </w:r>
            <w:r w:rsidRPr="00A5732C">
              <w:rPr>
                <w:rFonts w:cs="Arial"/>
                <w:sz w:val="18"/>
                <w:szCs w:val="18"/>
              </w:rPr>
              <w:t>Immigration and Asylum Chamber in the Upper Tribunal</w:t>
            </w:r>
          </w:p>
          <w:p w:rsidR="00233EFA" w:rsidRPr="00A5732C" w:rsidRDefault="00233EFA" w:rsidP="00233EFA">
            <w:pPr>
              <w:tabs>
                <w:tab w:val="left" w:pos="1830"/>
              </w:tabs>
              <w:spacing w:before="0" w:after="0"/>
              <w:rPr>
                <w:sz w:val="18"/>
                <w:szCs w:val="18"/>
              </w:rPr>
            </w:pPr>
            <w:r w:rsidRPr="00A5732C">
              <w:rPr>
                <w:sz w:val="18"/>
                <w:szCs w:val="18"/>
              </w:rPr>
              <w:t xml:space="preserve">2: </w:t>
            </w:r>
            <w:r w:rsidRPr="00A5732C">
              <w:rPr>
                <w:rFonts w:cs="Arial"/>
                <w:sz w:val="18"/>
                <w:szCs w:val="18"/>
              </w:rPr>
              <w:t>Immigration and Asylum Tribunal proceedings</w:t>
            </w:r>
          </w:p>
          <w:p w:rsidR="00233EFA" w:rsidRPr="00A5732C" w:rsidRDefault="00233EFA" w:rsidP="00233EFA">
            <w:pPr>
              <w:tabs>
                <w:tab w:val="left" w:pos="1830"/>
              </w:tabs>
              <w:spacing w:before="0" w:after="0"/>
              <w:rPr>
                <w:sz w:val="18"/>
                <w:szCs w:val="18"/>
              </w:rPr>
            </w:pP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Independent Admissions Appeals Tribunals</w:t>
            </w:r>
          </w:p>
          <w:p w:rsidR="00233EFA" w:rsidRPr="00A5732C" w:rsidRDefault="00233EFA" w:rsidP="00233EFA">
            <w:pPr>
              <w:tabs>
                <w:tab w:val="left" w:pos="1830"/>
              </w:tabs>
              <w:spacing w:before="0" w:after="0"/>
              <w:rPr>
                <w:sz w:val="18"/>
                <w:szCs w:val="18"/>
              </w:rPr>
            </w:pPr>
            <w:r w:rsidRPr="00A5732C">
              <w:rPr>
                <w:sz w:val="18"/>
                <w:szCs w:val="18"/>
              </w:rPr>
              <w:t xml:space="preserve">2: </w:t>
            </w:r>
            <w:r w:rsidRPr="00A5732C">
              <w:rPr>
                <w:rFonts w:cs="Arial"/>
                <w:sz w:val="18"/>
                <w:szCs w:val="18"/>
              </w:rPr>
              <w:t>School admissions and appeals proceedings</w:t>
            </w:r>
          </w:p>
          <w:p w:rsidR="00233EFA" w:rsidRPr="00A5732C" w:rsidRDefault="00233EFA" w:rsidP="00233EFA">
            <w:pPr>
              <w:tabs>
                <w:tab w:val="left" w:pos="1830"/>
              </w:tabs>
              <w:spacing w:before="0" w:after="0"/>
              <w:rPr>
                <w:sz w:val="18"/>
                <w:szCs w:val="18"/>
              </w:rPr>
            </w:pP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eastAsia="Calibri" w:cs="Arial"/>
                <w:sz w:val="18"/>
                <w:szCs w:val="18"/>
              </w:rPr>
              <w:t>High Court</w:t>
            </w:r>
          </w:p>
          <w:p w:rsidR="00233EFA" w:rsidRPr="00A5732C" w:rsidRDefault="00233EFA" w:rsidP="00233EFA">
            <w:pPr>
              <w:spacing w:before="0" w:after="0" w:line="276" w:lineRule="auto"/>
              <w:contextualSpacing/>
              <w:rPr>
                <w:rFonts w:cs="Arial"/>
                <w:sz w:val="18"/>
                <w:szCs w:val="18"/>
              </w:rPr>
            </w:pPr>
            <w:r w:rsidRPr="00A5732C">
              <w:rPr>
                <w:sz w:val="18"/>
                <w:szCs w:val="18"/>
              </w:rPr>
              <w:t xml:space="preserve">2: </w:t>
            </w:r>
            <w:r w:rsidRPr="00A5732C">
              <w:rPr>
                <w:rFonts w:eastAsia="Calibri" w:cs="Arial"/>
                <w:sz w:val="18"/>
                <w:szCs w:val="18"/>
              </w:rPr>
              <w:t xml:space="preserve">Medical </w:t>
            </w:r>
            <w:r w:rsidRPr="00A5732C">
              <w:rPr>
                <w:rFonts w:cs="Arial"/>
                <w:sz w:val="18"/>
                <w:szCs w:val="18"/>
              </w:rPr>
              <w:t>c</w:t>
            </w:r>
            <w:r w:rsidRPr="00A5732C">
              <w:rPr>
                <w:rFonts w:eastAsia="Calibri" w:cs="Arial"/>
                <w:sz w:val="18"/>
                <w:szCs w:val="18"/>
              </w:rPr>
              <w:t xml:space="preserve">are/treatment  </w:t>
            </w:r>
          </w:p>
          <w:p w:rsidR="00233EFA" w:rsidRPr="00A5732C" w:rsidRDefault="00233EFA" w:rsidP="00233EFA">
            <w:pPr>
              <w:tabs>
                <w:tab w:val="left" w:pos="1830"/>
              </w:tabs>
              <w:spacing w:before="0" w:after="0"/>
              <w:rPr>
                <w:sz w:val="18"/>
                <w:szCs w:val="18"/>
              </w:rPr>
            </w:pPr>
            <w:r w:rsidRPr="00A5732C">
              <w:rPr>
                <w:rFonts w:eastAsia="Calibri" w:cs="Arial"/>
                <w:sz w:val="18"/>
                <w:szCs w:val="18"/>
              </w:rPr>
              <w:t xml:space="preserve">would normally be heard by way of Judicial Review, </w:t>
            </w:r>
            <w:r w:rsidRPr="00A5732C">
              <w:rPr>
                <w:rFonts w:cs="Arial"/>
                <w:sz w:val="18"/>
                <w:szCs w:val="18"/>
              </w:rPr>
              <w:t>Special Educational Needs and Disability Tribunal proceedings and Mental Health Review Tribunal proceedings</w:t>
            </w:r>
          </w:p>
          <w:p w:rsidR="00233EFA" w:rsidRPr="00A5732C" w:rsidRDefault="00233EFA" w:rsidP="00233EFA">
            <w:pPr>
              <w:tabs>
                <w:tab w:val="left" w:pos="1830"/>
              </w:tabs>
              <w:spacing w:before="0" w:after="0"/>
              <w:rPr>
                <w:sz w:val="18"/>
                <w:szCs w:val="18"/>
              </w:rPr>
            </w:pP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Family Court</w:t>
            </w:r>
          </w:p>
          <w:p w:rsidR="00233EFA" w:rsidRPr="00A5732C" w:rsidRDefault="00233EFA" w:rsidP="00233EFA">
            <w:pPr>
              <w:tabs>
                <w:tab w:val="left" w:pos="1830"/>
              </w:tabs>
              <w:spacing w:before="0" w:after="0"/>
              <w:rPr>
                <w:sz w:val="18"/>
                <w:szCs w:val="18"/>
              </w:rPr>
            </w:pPr>
            <w:r w:rsidRPr="00A5732C">
              <w:rPr>
                <w:sz w:val="18"/>
                <w:szCs w:val="18"/>
              </w:rPr>
              <w:t xml:space="preserve">2: </w:t>
            </w:r>
            <w:r w:rsidRPr="00A5732C">
              <w:rPr>
                <w:rFonts w:cs="Arial"/>
                <w:sz w:val="18"/>
                <w:szCs w:val="18"/>
              </w:rPr>
              <w:t>Family proceedings</w:t>
            </w:r>
          </w:p>
          <w:p w:rsidR="00233EFA" w:rsidRPr="00A5732C" w:rsidRDefault="00233EFA" w:rsidP="00233EFA">
            <w:pPr>
              <w:tabs>
                <w:tab w:val="left" w:pos="1830"/>
              </w:tabs>
              <w:spacing w:before="0" w:after="0"/>
              <w:rPr>
                <w:sz w:val="18"/>
                <w:szCs w:val="18"/>
              </w:rPr>
            </w:pP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High Court, Family Court</w:t>
            </w:r>
          </w:p>
          <w:p w:rsidR="00233EFA" w:rsidRPr="00A5732C" w:rsidRDefault="00233EFA" w:rsidP="00233EFA">
            <w:pPr>
              <w:tabs>
                <w:tab w:val="left" w:pos="1830"/>
              </w:tabs>
              <w:spacing w:before="0" w:after="0"/>
              <w:rPr>
                <w:sz w:val="18"/>
                <w:szCs w:val="18"/>
              </w:rPr>
            </w:pPr>
            <w:r w:rsidRPr="00A5732C">
              <w:rPr>
                <w:sz w:val="18"/>
                <w:szCs w:val="18"/>
              </w:rPr>
              <w:t>2:</w:t>
            </w:r>
            <w:r w:rsidRPr="00A5732C">
              <w:rPr>
                <w:rFonts w:cs="Arial"/>
                <w:sz w:val="18"/>
                <w:szCs w:val="18"/>
              </w:rPr>
              <w:t xml:space="preserve"> Judicial Review, Family proceedings</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High Court</w:t>
            </w:r>
          </w:p>
          <w:p w:rsidR="00233EFA" w:rsidRPr="00A5732C" w:rsidRDefault="00233EFA" w:rsidP="00233EFA">
            <w:pPr>
              <w:tabs>
                <w:tab w:val="left" w:pos="1830"/>
              </w:tabs>
              <w:spacing w:before="0" w:after="0"/>
              <w:rPr>
                <w:sz w:val="18"/>
                <w:szCs w:val="18"/>
              </w:rPr>
            </w:pPr>
            <w:r w:rsidRPr="00A5732C">
              <w:rPr>
                <w:sz w:val="18"/>
                <w:szCs w:val="18"/>
              </w:rPr>
              <w:t xml:space="preserve">2: </w:t>
            </w:r>
            <w:r w:rsidRPr="00A5732C">
              <w:rPr>
                <w:rFonts w:cs="Arial"/>
                <w:sz w:val="18"/>
                <w:szCs w:val="18"/>
              </w:rPr>
              <w:t>High Court Proceedings</w:t>
            </w:r>
          </w:p>
          <w:p w:rsidR="00233EFA" w:rsidRPr="00A5732C" w:rsidRDefault="00233EFA" w:rsidP="00233EFA">
            <w:pPr>
              <w:tabs>
                <w:tab w:val="left" w:pos="1830"/>
              </w:tabs>
              <w:spacing w:before="0" w:after="0"/>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810046">
            <w:pPr>
              <w:tabs>
                <w:tab w:val="left" w:pos="1830"/>
              </w:tabs>
              <w:rPr>
                <w:b/>
                <w:sz w:val="18"/>
                <w:szCs w:val="18"/>
              </w:rPr>
            </w:pPr>
            <w:r w:rsidRPr="00A5732C">
              <w:rPr>
                <w:b/>
                <w:sz w:val="18"/>
                <w:szCs w:val="18"/>
              </w:rPr>
              <w:t>UK</w:t>
            </w:r>
            <w:r>
              <w:rPr>
                <w:b/>
                <w:sz w:val="18"/>
                <w:szCs w:val="18"/>
              </w:rPr>
              <w:t>-E&amp;W</w:t>
            </w:r>
          </w:p>
        </w:tc>
        <w:tc>
          <w:tcPr>
            <w:tcW w:w="1530" w:type="dxa"/>
            <w:shd w:val="clear" w:color="auto" w:fill="B6DDE8" w:themeFill="accent5" w:themeFillTint="66"/>
          </w:tcPr>
          <w:p w:rsidR="00233EFA" w:rsidRPr="00A5732C" w:rsidRDefault="00233EFA" w:rsidP="00810046">
            <w:pPr>
              <w:tabs>
                <w:tab w:val="left" w:pos="1830"/>
              </w:tabs>
              <w:rPr>
                <w:sz w:val="18"/>
                <w:szCs w:val="18"/>
              </w:rPr>
            </w:pPr>
            <w:r w:rsidRPr="00A5732C">
              <w:rPr>
                <w:sz w:val="18"/>
                <w:szCs w:val="18"/>
              </w:rPr>
              <w:t xml:space="preserve">1: </w:t>
            </w:r>
            <w:r w:rsidRPr="00A5732C">
              <w:rPr>
                <w:rFonts w:cs="Arial"/>
                <w:sz w:val="18"/>
                <w:szCs w:val="18"/>
              </w:rPr>
              <w:t>Family court</w:t>
            </w:r>
          </w:p>
          <w:p w:rsidR="00233EFA" w:rsidRPr="00A5732C" w:rsidRDefault="00233EFA" w:rsidP="00810046">
            <w:pPr>
              <w:rPr>
                <w:rFonts w:eastAsia="Times New Roman"/>
                <w:sz w:val="18"/>
                <w:szCs w:val="18"/>
              </w:rPr>
            </w:pPr>
            <w:r w:rsidRPr="00A5732C">
              <w:rPr>
                <w:sz w:val="18"/>
                <w:szCs w:val="18"/>
              </w:rPr>
              <w:t xml:space="preserve">2: </w:t>
            </w:r>
            <w:r w:rsidRPr="00B959F4">
              <w:rPr>
                <w:sz w:val="18"/>
                <w:szCs w:val="18"/>
              </w:rPr>
              <w:t>Family proceedings</w:t>
            </w:r>
          </w:p>
          <w:p w:rsidR="00233EFA" w:rsidRPr="00B959F4" w:rsidRDefault="00233EFA" w:rsidP="00810046">
            <w:pPr>
              <w:tabs>
                <w:tab w:val="left" w:pos="1830"/>
              </w:tabs>
              <w:rPr>
                <w:sz w:val="18"/>
                <w:szCs w:val="18"/>
              </w:rPr>
            </w:pPr>
          </w:p>
        </w:tc>
        <w:tc>
          <w:tcPr>
            <w:tcW w:w="1440" w:type="dxa"/>
            <w:shd w:val="clear" w:color="auto" w:fill="B6DDE8" w:themeFill="accent5" w:themeFillTint="66"/>
          </w:tcPr>
          <w:p w:rsidR="00233EFA" w:rsidRPr="00B959F4" w:rsidRDefault="00233EFA" w:rsidP="00810046">
            <w:pPr>
              <w:tabs>
                <w:tab w:val="left" w:pos="1830"/>
              </w:tabs>
              <w:rPr>
                <w:sz w:val="18"/>
                <w:szCs w:val="18"/>
              </w:rPr>
            </w:pPr>
            <w:r w:rsidRPr="00B959F4">
              <w:rPr>
                <w:sz w:val="18"/>
                <w:szCs w:val="18"/>
              </w:rPr>
              <w:t xml:space="preserve">1: </w:t>
            </w:r>
            <w:r w:rsidRPr="00B959F4">
              <w:rPr>
                <w:rFonts w:cs="Arial"/>
                <w:sz w:val="18"/>
                <w:szCs w:val="18"/>
              </w:rPr>
              <w:t>Employment Tribunal proceedings</w:t>
            </w:r>
          </w:p>
          <w:p w:rsidR="00233EFA" w:rsidRPr="00B959F4" w:rsidRDefault="00A5732C" w:rsidP="00A5732C">
            <w:pPr>
              <w:tabs>
                <w:tab w:val="left" w:pos="1830"/>
              </w:tabs>
              <w:rPr>
                <w:sz w:val="18"/>
                <w:szCs w:val="18"/>
              </w:rPr>
            </w:pPr>
            <w:r>
              <w:rPr>
                <w:sz w:val="18"/>
                <w:szCs w:val="18"/>
              </w:rPr>
              <w:t>2</w:t>
            </w:r>
            <w:r w:rsidR="00233EFA" w:rsidRPr="00A5732C">
              <w:rPr>
                <w:sz w:val="18"/>
                <w:szCs w:val="18"/>
              </w:rPr>
              <w:t xml:space="preserve">: </w:t>
            </w:r>
            <w:r w:rsidR="00233EFA" w:rsidRPr="00A5732C">
              <w:rPr>
                <w:rFonts w:cs="Arial"/>
                <w:sz w:val="18"/>
                <w:szCs w:val="18"/>
              </w:rPr>
              <w:t>Employment tribunal</w:t>
            </w:r>
          </w:p>
        </w:tc>
        <w:tc>
          <w:tcPr>
            <w:tcW w:w="1530" w:type="dxa"/>
            <w:shd w:val="clear" w:color="auto" w:fill="DBE5F1" w:themeFill="accent1" w:themeFillTint="33"/>
          </w:tcPr>
          <w:p w:rsidR="00233EFA" w:rsidRPr="00B959F4" w:rsidRDefault="00233EFA" w:rsidP="00810046">
            <w:pPr>
              <w:tabs>
                <w:tab w:val="left" w:pos="1830"/>
              </w:tabs>
              <w:rPr>
                <w:sz w:val="18"/>
                <w:szCs w:val="18"/>
              </w:rPr>
            </w:pPr>
            <w:r w:rsidRPr="00B959F4">
              <w:rPr>
                <w:sz w:val="18"/>
                <w:szCs w:val="18"/>
              </w:rPr>
              <w:t xml:space="preserve">1: </w:t>
            </w:r>
            <w:r w:rsidRPr="00B959F4">
              <w:rPr>
                <w:rFonts w:cs="Arial"/>
                <w:sz w:val="18"/>
                <w:szCs w:val="18"/>
              </w:rPr>
              <w:t>Immigration and Asylum Chamber in the Upper Tribunal</w:t>
            </w:r>
          </w:p>
          <w:p w:rsidR="00233EFA" w:rsidRPr="00B959F4" w:rsidRDefault="00233EFA" w:rsidP="00810046">
            <w:pPr>
              <w:tabs>
                <w:tab w:val="left" w:pos="1830"/>
              </w:tabs>
              <w:rPr>
                <w:sz w:val="18"/>
                <w:szCs w:val="18"/>
              </w:rPr>
            </w:pPr>
            <w:r w:rsidRPr="00B959F4">
              <w:rPr>
                <w:sz w:val="18"/>
                <w:szCs w:val="18"/>
              </w:rPr>
              <w:t xml:space="preserve">2: </w:t>
            </w:r>
            <w:r w:rsidRPr="00B959F4">
              <w:rPr>
                <w:rFonts w:cs="Arial"/>
                <w:sz w:val="18"/>
                <w:szCs w:val="18"/>
              </w:rPr>
              <w:t>First-tier Tribunal, Immigration and Asylum proceedings</w:t>
            </w:r>
          </w:p>
          <w:p w:rsidR="00233EFA" w:rsidRPr="00B959F4" w:rsidRDefault="00233EFA" w:rsidP="00810046">
            <w:pPr>
              <w:tabs>
                <w:tab w:val="left" w:pos="1830"/>
              </w:tabs>
              <w:rPr>
                <w:sz w:val="18"/>
                <w:szCs w:val="18"/>
              </w:rPr>
            </w:pPr>
          </w:p>
        </w:tc>
        <w:tc>
          <w:tcPr>
            <w:tcW w:w="1530" w:type="dxa"/>
            <w:shd w:val="clear" w:color="auto" w:fill="DBE5F1" w:themeFill="accent1" w:themeFillTint="33"/>
          </w:tcPr>
          <w:p w:rsidR="00233EFA" w:rsidRPr="00B959F4" w:rsidRDefault="00233EFA" w:rsidP="00810046">
            <w:pPr>
              <w:tabs>
                <w:tab w:val="left" w:pos="1830"/>
              </w:tabs>
              <w:rPr>
                <w:sz w:val="18"/>
                <w:szCs w:val="18"/>
                <w:lang w:val="en-US"/>
              </w:rPr>
            </w:pPr>
            <w:r w:rsidRPr="00B959F4">
              <w:rPr>
                <w:sz w:val="18"/>
                <w:szCs w:val="18"/>
                <w:lang w:val="en-US"/>
              </w:rPr>
              <w:t xml:space="preserve">1: </w:t>
            </w:r>
            <w:r w:rsidRPr="00B959F4">
              <w:rPr>
                <w:rFonts w:cs="Arial"/>
                <w:sz w:val="18"/>
                <w:szCs w:val="18"/>
              </w:rPr>
              <w:t>Immigration and Asylum Chamber in the Upper Tribunal</w:t>
            </w:r>
          </w:p>
          <w:p w:rsidR="00233EFA" w:rsidRPr="00B959F4" w:rsidRDefault="00233EFA" w:rsidP="00810046">
            <w:pPr>
              <w:tabs>
                <w:tab w:val="left" w:pos="1830"/>
              </w:tabs>
              <w:rPr>
                <w:sz w:val="18"/>
                <w:szCs w:val="18"/>
              </w:rPr>
            </w:pPr>
            <w:r w:rsidRPr="00B959F4">
              <w:rPr>
                <w:sz w:val="18"/>
                <w:szCs w:val="18"/>
              </w:rPr>
              <w:t xml:space="preserve">2: </w:t>
            </w:r>
          </w:p>
          <w:p w:rsidR="00233EFA" w:rsidRPr="00B959F4" w:rsidRDefault="00233EFA" w:rsidP="00810046">
            <w:pPr>
              <w:tabs>
                <w:tab w:val="left" w:pos="1830"/>
              </w:tabs>
              <w:rPr>
                <w:sz w:val="18"/>
                <w:szCs w:val="18"/>
              </w:rPr>
            </w:pPr>
            <w:r w:rsidRPr="00B959F4">
              <w:rPr>
                <w:rFonts w:cs="Arial"/>
                <w:sz w:val="18"/>
                <w:szCs w:val="18"/>
              </w:rPr>
              <w:t>Immigration and Asylum Tribunal proceedings</w:t>
            </w:r>
          </w:p>
        </w:tc>
        <w:tc>
          <w:tcPr>
            <w:tcW w:w="1530" w:type="dxa"/>
            <w:shd w:val="clear" w:color="auto" w:fill="DBE5F1" w:themeFill="accent1" w:themeFillTint="33"/>
          </w:tcPr>
          <w:p w:rsidR="00233EFA" w:rsidRPr="00B959F4" w:rsidRDefault="00233EFA" w:rsidP="00810046">
            <w:pPr>
              <w:tabs>
                <w:tab w:val="left" w:pos="1830"/>
              </w:tabs>
              <w:rPr>
                <w:sz w:val="18"/>
                <w:szCs w:val="18"/>
              </w:rPr>
            </w:pPr>
            <w:r w:rsidRPr="00B959F4">
              <w:rPr>
                <w:sz w:val="18"/>
                <w:szCs w:val="18"/>
              </w:rPr>
              <w:t xml:space="preserve">1: </w:t>
            </w:r>
            <w:r w:rsidRPr="00B959F4">
              <w:rPr>
                <w:rFonts w:cs="Arial"/>
                <w:sz w:val="18"/>
                <w:szCs w:val="18"/>
              </w:rPr>
              <w:t>Admission Appeal Panels and Independent Review Panels</w:t>
            </w:r>
          </w:p>
          <w:p w:rsidR="00233EFA" w:rsidRPr="00B959F4" w:rsidRDefault="00233EFA" w:rsidP="00810046">
            <w:pPr>
              <w:tabs>
                <w:tab w:val="left" w:pos="1830"/>
              </w:tabs>
              <w:rPr>
                <w:sz w:val="18"/>
                <w:szCs w:val="18"/>
              </w:rPr>
            </w:pPr>
            <w:r w:rsidRPr="00B959F4">
              <w:rPr>
                <w:sz w:val="18"/>
                <w:szCs w:val="18"/>
              </w:rPr>
              <w:t xml:space="preserve">2: </w:t>
            </w:r>
            <w:r w:rsidRPr="00B959F4">
              <w:rPr>
                <w:rFonts w:cs="Arial"/>
                <w:sz w:val="18"/>
                <w:szCs w:val="18"/>
              </w:rPr>
              <w:t>School admissions and appeals proceedings</w:t>
            </w:r>
          </w:p>
          <w:p w:rsidR="00233EFA" w:rsidRPr="00B959F4" w:rsidRDefault="00233EFA" w:rsidP="00810046">
            <w:pPr>
              <w:tabs>
                <w:tab w:val="left" w:pos="1830"/>
              </w:tabs>
              <w:rPr>
                <w:sz w:val="18"/>
                <w:szCs w:val="18"/>
              </w:rPr>
            </w:pPr>
          </w:p>
        </w:tc>
        <w:tc>
          <w:tcPr>
            <w:tcW w:w="1346" w:type="dxa"/>
            <w:gridSpan w:val="4"/>
            <w:shd w:val="clear" w:color="auto" w:fill="DBE5F1" w:themeFill="accent1" w:themeFillTint="33"/>
          </w:tcPr>
          <w:p w:rsidR="00233EFA" w:rsidRPr="00B959F4" w:rsidRDefault="00233EFA" w:rsidP="00810046">
            <w:pPr>
              <w:tabs>
                <w:tab w:val="left" w:pos="1830"/>
              </w:tabs>
              <w:rPr>
                <w:sz w:val="18"/>
                <w:szCs w:val="18"/>
              </w:rPr>
            </w:pPr>
            <w:r w:rsidRPr="00B959F4">
              <w:rPr>
                <w:sz w:val="18"/>
                <w:szCs w:val="18"/>
              </w:rPr>
              <w:t xml:space="preserve">1: </w:t>
            </w:r>
            <w:r w:rsidRPr="00B959F4">
              <w:rPr>
                <w:rFonts w:eastAsia="Calibri" w:cs="Arial"/>
                <w:sz w:val="18"/>
                <w:szCs w:val="18"/>
              </w:rPr>
              <w:t>High Court</w:t>
            </w:r>
          </w:p>
          <w:p w:rsidR="00233EFA" w:rsidRPr="00B959F4" w:rsidRDefault="00233EFA" w:rsidP="00810046">
            <w:pPr>
              <w:spacing w:after="200" w:line="276" w:lineRule="auto"/>
              <w:contextualSpacing/>
              <w:rPr>
                <w:rFonts w:cs="Arial"/>
                <w:sz w:val="18"/>
                <w:szCs w:val="18"/>
              </w:rPr>
            </w:pPr>
            <w:r w:rsidRPr="00B959F4">
              <w:rPr>
                <w:sz w:val="18"/>
                <w:szCs w:val="18"/>
              </w:rPr>
              <w:t xml:space="preserve">2: </w:t>
            </w:r>
            <w:r w:rsidRPr="00B959F4">
              <w:rPr>
                <w:rFonts w:eastAsia="Calibri" w:cs="Arial"/>
                <w:sz w:val="18"/>
                <w:szCs w:val="18"/>
              </w:rPr>
              <w:t xml:space="preserve">Medical </w:t>
            </w:r>
            <w:r w:rsidRPr="00B959F4">
              <w:rPr>
                <w:rFonts w:cs="Arial"/>
                <w:sz w:val="18"/>
                <w:szCs w:val="18"/>
              </w:rPr>
              <w:t>c</w:t>
            </w:r>
            <w:r w:rsidRPr="00B959F4">
              <w:rPr>
                <w:rFonts w:eastAsia="Calibri" w:cs="Arial"/>
                <w:sz w:val="18"/>
                <w:szCs w:val="18"/>
              </w:rPr>
              <w:t>are/treatment</w:t>
            </w:r>
          </w:p>
          <w:p w:rsidR="00233EFA" w:rsidRPr="00B959F4" w:rsidRDefault="00233EFA" w:rsidP="00810046">
            <w:pPr>
              <w:tabs>
                <w:tab w:val="left" w:pos="1830"/>
              </w:tabs>
              <w:rPr>
                <w:rFonts w:eastAsia="Calibri" w:cs="Arial"/>
                <w:sz w:val="18"/>
                <w:szCs w:val="18"/>
              </w:rPr>
            </w:pPr>
            <w:r w:rsidRPr="00B959F4">
              <w:rPr>
                <w:rFonts w:eastAsia="Calibri" w:cs="Arial"/>
                <w:sz w:val="18"/>
                <w:szCs w:val="18"/>
              </w:rPr>
              <w:t>would normally be heard by way of Judicial Review;</w:t>
            </w:r>
          </w:p>
          <w:p w:rsidR="00233EFA" w:rsidRPr="00B959F4" w:rsidRDefault="00233EFA" w:rsidP="00233EFA">
            <w:pPr>
              <w:tabs>
                <w:tab w:val="left" w:pos="1830"/>
              </w:tabs>
              <w:rPr>
                <w:sz w:val="18"/>
                <w:szCs w:val="18"/>
              </w:rPr>
            </w:pPr>
            <w:r w:rsidRPr="00B959F4">
              <w:rPr>
                <w:rFonts w:cs="Arial"/>
                <w:sz w:val="18"/>
                <w:szCs w:val="18"/>
              </w:rPr>
              <w:t>First-tier Tribunal – Special Education Needs (SEN) and Disability proceedings, Mental Health Tribunal proceedings</w:t>
            </w:r>
          </w:p>
        </w:tc>
        <w:tc>
          <w:tcPr>
            <w:tcW w:w="1533" w:type="dxa"/>
            <w:shd w:val="clear" w:color="auto" w:fill="DBE5F1" w:themeFill="accent1" w:themeFillTint="33"/>
          </w:tcPr>
          <w:p w:rsidR="00233EFA" w:rsidRPr="00B959F4" w:rsidRDefault="00233EFA" w:rsidP="00810046">
            <w:pPr>
              <w:tabs>
                <w:tab w:val="left" w:pos="1830"/>
              </w:tabs>
              <w:rPr>
                <w:sz w:val="18"/>
                <w:szCs w:val="18"/>
              </w:rPr>
            </w:pPr>
            <w:r w:rsidRPr="00B959F4">
              <w:rPr>
                <w:sz w:val="18"/>
                <w:szCs w:val="18"/>
              </w:rPr>
              <w:t xml:space="preserve">1: </w:t>
            </w:r>
            <w:r w:rsidRPr="00B959F4">
              <w:rPr>
                <w:rFonts w:cs="Arial"/>
                <w:sz w:val="18"/>
                <w:szCs w:val="18"/>
              </w:rPr>
              <w:t>Family Court</w:t>
            </w:r>
          </w:p>
          <w:p w:rsidR="00233EFA" w:rsidRPr="00B959F4" w:rsidRDefault="00233EFA" w:rsidP="00810046">
            <w:pPr>
              <w:tabs>
                <w:tab w:val="left" w:pos="1830"/>
              </w:tabs>
              <w:rPr>
                <w:sz w:val="18"/>
                <w:szCs w:val="18"/>
              </w:rPr>
            </w:pPr>
            <w:r w:rsidRPr="00B959F4">
              <w:rPr>
                <w:sz w:val="18"/>
                <w:szCs w:val="18"/>
              </w:rPr>
              <w:t xml:space="preserve">2: </w:t>
            </w:r>
            <w:r w:rsidRPr="00B959F4">
              <w:rPr>
                <w:rFonts w:cs="Arial"/>
                <w:sz w:val="18"/>
                <w:szCs w:val="18"/>
              </w:rPr>
              <w:t>Family proceedings</w:t>
            </w:r>
          </w:p>
          <w:p w:rsidR="00233EFA" w:rsidRPr="00B959F4" w:rsidRDefault="00233EFA" w:rsidP="00810046">
            <w:pPr>
              <w:tabs>
                <w:tab w:val="left" w:pos="1830"/>
              </w:tabs>
              <w:rPr>
                <w:sz w:val="18"/>
                <w:szCs w:val="18"/>
              </w:rPr>
            </w:pPr>
          </w:p>
        </w:tc>
        <w:tc>
          <w:tcPr>
            <w:tcW w:w="1727" w:type="dxa"/>
            <w:shd w:val="clear" w:color="auto" w:fill="DBE5F1" w:themeFill="accent1" w:themeFillTint="33"/>
          </w:tcPr>
          <w:p w:rsidR="00233EFA" w:rsidRPr="00B959F4" w:rsidRDefault="00233EFA" w:rsidP="00810046">
            <w:pPr>
              <w:tabs>
                <w:tab w:val="left" w:pos="1830"/>
              </w:tabs>
              <w:rPr>
                <w:sz w:val="18"/>
                <w:szCs w:val="18"/>
              </w:rPr>
            </w:pPr>
            <w:r w:rsidRPr="00B959F4">
              <w:rPr>
                <w:sz w:val="18"/>
                <w:szCs w:val="18"/>
              </w:rPr>
              <w:t xml:space="preserve">1: </w:t>
            </w:r>
            <w:r w:rsidRPr="00B959F4">
              <w:rPr>
                <w:rFonts w:cs="Arial"/>
                <w:sz w:val="18"/>
                <w:szCs w:val="18"/>
              </w:rPr>
              <w:t>High Court, Family Court</w:t>
            </w:r>
          </w:p>
          <w:p w:rsidR="00233EFA" w:rsidRPr="00B959F4" w:rsidRDefault="00233EFA" w:rsidP="00810046">
            <w:pPr>
              <w:tabs>
                <w:tab w:val="left" w:pos="1830"/>
              </w:tabs>
              <w:rPr>
                <w:rFonts w:cs="Arial"/>
                <w:sz w:val="18"/>
                <w:szCs w:val="18"/>
              </w:rPr>
            </w:pPr>
            <w:r w:rsidRPr="00B959F4">
              <w:rPr>
                <w:sz w:val="18"/>
                <w:szCs w:val="18"/>
              </w:rPr>
              <w:t>2:</w:t>
            </w:r>
            <w:r w:rsidRPr="00B959F4">
              <w:rPr>
                <w:rFonts w:cs="Arial"/>
                <w:sz w:val="18"/>
                <w:szCs w:val="18"/>
              </w:rPr>
              <w:t xml:space="preserve"> Judicial Review, Family</w:t>
            </w:r>
            <w:r w:rsidRPr="00A5732C">
              <w:rPr>
                <w:rFonts w:cs="Arial"/>
                <w:sz w:val="18"/>
                <w:szCs w:val="18"/>
              </w:rPr>
              <w:t xml:space="preserve"> </w:t>
            </w:r>
            <w:r w:rsidRPr="00B959F4">
              <w:rPr>
                <w:rFonts w:cs="Arial"/>
                <w:sz w:val="18"/>
                <w:szCs w:val="18"/>
              </w:rPr>
              <w:t>proceedings</w:t>
            </w:r>
          </w:p>
          <w:p w:rsidR="00233EFA" w:rsidRPr="00B959F4" w:rsidRDefault="00233EFA" w:rsidP="00810046">
            <w:pPr>
              <w:tabs>
                <w:tab w:val="left" w:pos="1830"/>
              </w:tabs>
              <w:rPr>
                <w:sz w:val="18"/>
                <w:szCs w:val="18"/>
              </w:rPr>
            </w:pPr>
          </w:p>
          <w:p w:rsidR="00233EFA" w:rsidRPr="00A5732C" w:rsidRDefault="00233EFA" w:rsidP="00810046">
            <w:pPr>
              <w:tabs>
                <w:tab w:val="left" w:pos="1830"/>
              </w:tabs>
              <w:rPr>
                <w:sz w:val="18"/>
                <w:szCs w:val="18"/>
              </w:rPr>
            </w:pPr>
          </w:p>
        </w:tc>
        <w:tc>
          <w:tcPr>
            <w:tcW w:w="1604" w:type="dxa"/>
            <w:shd w:val="clear" w:color="auto" w:fill="DBE5F1" w:themeFill="accent1" w:themeFillTint="33"/>
          </w:tcPr>
          <w:p w:rsidR="00233EFA" w:rsidRPr="00B959F4" w:rsidRDefault="00233EFA" w:rsidP="00810046">
            <w:pPr>
              <w:tabs>
                <w:tab w:val="left" w:pos="1830"/>
              </w:tabs>
              <w:rPr>
                <w:sz w:val="18"/>
                <w:szCs w:val="18"/>
              </w:rPr>
            </w:pPr>
            <w:r w:rsidRPr="00B959F4">
              <w:rPr>
                <w:sz w:val="18"/>
                <w:szCs w:val="18"/>
              </w:rPr>
              <w:t xml:space="preserve">1: </w:t>
            </w:r>
            <w:r w:rsidRPr="00B959F4">
              <w:rPr>
                <w:rFonts w:cs="Arial"/>
                <w:sz w:val="18"/>
                <w:szCs w:val="18"/>
              </w:rPr>
              <w:t>High Court</w:t>
            </w:r>
          </w:p>
          <w:p w:rsidR="00233EFA" w:rsidRPr="00B959F4" w:rsidRDefault="00233EFA" w:rsidP="00810046">
            <w:pPr>
              <w:tabs>
                <w:tab w:val="left" w:pos="1830"/>
              </w:tabs>
              <w:rPr>
                <w:sz w:val="18"/>
                <w:szCs w:val="18"/>
              </w:rPr>
            </w:pPr>
            <w:r w:rsidRPr="00B959F4">
              <w:rPr>
                <w:sz w:val="18"/>
                <w:szCs w:val="18"/>
              </w:rPr>
              <w:t xml:space="preserve">2: </w:t>
            </w:r>
            <w:r w:rsidRPr="00B959F4">
              <w:rPr>
                <w:rFonts w:cs="Arial"/>
                <w:sz w:val="18"/>
                <w:szCs w:val="18"/>
              </w:rPr>
              <w:t>High Court Proceedings</w:t>
            </w:r>
          </w:p>
          <w:p w:rsidR="00233EFA" w:rsidRPr="00B959F4" w:rsidRDefault="00233EFA" w:rsidP="00810046">
            <w:pPr>
              <w:tabs>
                <w:tab w:val="left" w:pos="1830"/>
              </w:tabs>
              <w:rPr>
                <w:sz w:val="18"/>
                <w:szCs w:val="18"/>
              </w:rPr>
            </w:pPr>
          </w:p>
        </w:tc>
      </w:tr>
      <w:tr w:rsidR="00233EFA" w:rsidRPr="0081677B" w:rsidTr="00B959F4">
        <w:trPr>
          <w:cantSplit/>
        </w:trPr>
        <w:tc>
          <w:tcPr>
            <w:tcW w:w="900" w:type="dxa"/>
            <w:shd w:val="clear" w:color="auto" w:fill="DAEEF3" w:themeFill="accent5" w:themeFillTint="33"/>
          </w:tcPr>
          <w:p w:rsidR="00233EFA" w:rsidRPr="00A5732C" w:rsidRDefault="00233EFA" w:rsidP="00233EFA">
            <w:pPr>
              <w:tabs>
                <w:tab w:val="left" w:pos="1830"/>
              </w:tabs>
              <w:spacing w:before="0" w:after="0"/>
              <w:rPr>
                <w:b/>
                <w:sz w:val="18"/>
                <w:szCs w:val="18"/>
              </w:rPr>
            </w:pPr>
            <w:r w:rsidRPr="00A5732C">
              <w:rPr>
                <w:b/>
                <w:sz w:val="18"/>
                <w:szCs w:val="18"/>
              </w:rPr>
              <w:t>UK</w:t>
            </w:r>
            <w:r>
              <w:rPr>
                <w:b/>
                <w:sz w:val="18"/>
                <w:szCs w:val="18"/>
              </w:rPr>
              <w:t>-S</w:t>
            </w:r>
          </w:p>
        </w:tc>
        <w:tc>
          <w:tcPr>
            <w:tcW w:w="153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Ordinary Civil Court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440" w:type="dxa"/>
            <w:shd w:val="clear" w:color="auto" w:fill="B6DDE8" w:themeFill="accent5" w:themeFillTint="66"/>
          </w:tcPr>
          <w:p w:rsidR="00233EFA" w:rsidRPr="00A5732C" w:rsidRDefault="00233EFA" w:rsidP="00233EFA">
            <w:pPr>
              <w:tabs>
                <w:tab w:val="left" w:pos="1830"/>
              </w:tabs>
              <w:spacing w:before="0" w:after="0"/>
              <w:rPr>
                <w:sz w:val="18"/>
                <w:szCs w:val="18"/>
              </w:rPr>
            </w:pPr>
            <w:r w:rsidRPr="00A5732C">
              <w:rPr>
                <w:sz w:val="18"/>
                <w:szCs w:val="18"/>
              </w:rPr>
              <w:t xml:space="preserve">1: Ordinary Civil Court/Specialist Employment Tribunal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Immigration and Asylum Chamber/Special Immigration Appeals Commission (Superior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 Immigration and Asylum Chamber/Special Immigration Appeals Commission (Superior Court)</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530"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1: Sheriff Courts/Local Courts/Additional Support Needs Tribunal for Scotland</w:t>
            </w:r>
          </w:p>
          <w:p w:rsidR="00233EFA" w:rsidRPr="00A5732C" w:rsidRDefault="00233EFA" w:rsidP="00233EFA">
            <w:pPr>
              <w:tabs>
                <w:tab w:val="left" w:pos="1830"/>
              </w:tabs>
              <w:spacing w:before="0" w:after="0"/>
              <w:rPr>
                <w:sz w:val="18"/>
                <w:szCs w:val="18"/>
              </w:rPr>
            </w:pPr>
            <w:r w:rsidRPr="00A5732C">
              <w:rPr>
                <w:sz w:val="18"/>
                <w:szCs w:val="18"/>
              </w:rPr>
              <w:t>2: Administrative judicial proceeding</w:t>
            </w:r>
          </w:p>
        </w:tc>
        <w:tc>
          <w:tcPr>
            <w:tcW w:w="1346" w:type="dxa"/>
            <w:gridSpan w:val="4"/>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Ordinary Administrative Tribunal/Mental Health Tribunal for Scotland </w:t>
            </w:r>
          </w:p>
          <w:p w:rsidR="00233EFA" w:rsidRPr="00A5732C" w:rsidRDefault="00233EFA" w:rsidP="00233EFA">
            <w:pPr>
              <w:tabs>
                <w:tab w:val="left" w:pos="1830"/>
              </w:tabs>
              <w:spacing w:before="0" w:after="0"/>
              <w:rPr>
                <w:sz w:val="18"/>
                <w:szCs w:val="18"/>
              </w:rPr>
            </w:pPr>
            <w:r w:rsidRPr="00A5732C">
              <w:rPr>
                <w:sz w:val="18"/>
                <w:szCs w:val="18"/>
              </w:rPr>
              <w:t>2: Administrative judicial proceeding (judicial review)</w:t>
            </w:r>
          </w:p>
        </w:tc>
        <w:tc>
          <w:tcPr>
            <w:tcW w:w="1533"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Children’s hearings system-Lay Tribunal/ Court of Session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c>
          <w:tcPr>
            <w:tcW w:w="1727"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Children’s hearings system-Lay Tribunal</w:t>
            </w:r>
            <w:r w:rsidRPr="00A5732C">
              <w:rPr>
                <w:sz w:val="18"/>
                <w:szCs w:val="18"/>
              </w:rPr>
              <w:t xml:space="preserve"> </w:t>
            </w:r>
          </w:p>
          <w:p w:rsidR="00233EFA" w:rsidRPr="00A5732C" w:rsidRDefault="00233EFA" w:rsidP="00B959F4">
            <w:pPr>
              <w:tabs>
                <w:tab w:val="left" w:pos="1830"/>
              </w:tabs>
              <w:spacing w:before="0" w:after="0"/>
              <w:rPr>
                <w:sz w:val="18"/>
                <w:szCs w:val="18"/>
              </w:rPr>
            </w:pPr>
            <w:r w:rsidRPr="00A5732C">
              <w:rPr>
                <w:sz w:val="18"/>
                <w:szCs w:val="18"/>
              </w:rPr>
              <w:t>2: Civil judicial proceeding</w:t>
            </w:r>
            <w:r w:rsidR="00B959F4">
              <w:rPr>
                <w:sz w:val="18"/>
                <w:szCs w:val="18"/>
              </w:rPr>
              <w:t xml:space="preserve"> </w:t>
            </w:r>
          </w:p>
        </w:tc>
        <w:tc>
          <w:tcPr>
            <w:tcW w:w="1604" w:type="dxa"/>
            <w:shd w:val="clear" w:color="auto" w:fill="DBE5F1" w:themeFill="accent1" w:themeFillTint="33"/>
          </w:tcPr>
          <w:p w:rsidR="00233EFA" w:rsidRPr="00A5732C" w:rsidRDefault="00233EFA" w:rsidP="00233EFA">
            <w:pPr>
              <w:tabs>
                <w:tab w:val="left" w:pos="1830"/>
              </w:tabs>
              <w:spacing w:before="0" w:after="0"/>
              <w:rPr>
                <w:sz w:val="18"/>
                <w:szCs w:val="18"/>
              </w:rPr>
            </w:pPr>
            <w:r w:rsidRPr="00A5732C">
              <w:rPr>
                <w:sz w:val="18"/>
                <w:szCs w:val="18"/>
              </w:rPr>
              <w:t xml:space="preserve">1: </w:t>
            </w:r>
            <w:r w:rsidRPr="00A5732C">
              <w:rPr>
                <w:rFonts w:cs="Arial"/>
                <w:sz w:val="18"/>
                <w:szCs w:val="18"/>
              </w:rPr>
              <w:t>Children’s hearings system-Lay Tribunal</w:t>
            </w:r>
            <w:r w:rsidRPr="00A5732C">
              <w:rPr>
                <w:sz w:val="18"/>
                <w:szCs w:val="18"/>
              </w:rPr>
              <w:t xml:space="preserve"> </w:t>
            </w:r>
          </w:p>
          <w:p w:rsidR="00233EFA" w:rsidRPr="00A5732C" w:rsidRDefault="00233EFA" w:rsidP="00233EFA">
            <w:pPr>
              <w:tabs>
                <w:tab w:val="left" w:pos="1830"/>
              </w:tabs>
              <w:spacing w:before="0" w:after="0"/>
              <w:rPr>
                <w:sz w:val="18"/>
                <w:szCs w:val="18"/>
              </w:rPr>
            </w:pPr>
            <w:r w:rsidRPr="00A5732C">
              <w:rPr>
                <w:sz w:val="18"/>
                <w:szCs w:val="18"/>
              </w:rPr>
              <w:t>2: Civil judicial proceeding</w:t>
            </w:r>
          </w:p>
        </w:tc>
      </w:tr>
    </w:tbl>
    <w:p w:rsidR="00233EFA" w:rsidRDefault="00233EFA" w:rsidP="00233EFA">
      <w:pPr>
        <w:ind w:firstLine="851"/>
      </w:pPr>
    </w:p>
    <w:p w:rsidR="00233EFA" w:rsidRDefault="00233EFA" w:rsidP="00233EFA"/>
    <w:p w:rsidR="00233EFA" w:rsidRDefault="00233EFA" w:rsidP="00233EFA"/>
    <w:p w:rsidR="00546996" w:rsidRDefault="00546996" w:rsidP="00233EFA"/>
    <w:p w:rsidR="00546996" w:rsidRPr="00233EFA" w:rsidRDefault="00546996" w:rsidP="00233EFA">
      <w:pPr>
        <w:sectPr w:rsidR="00546996" w:rsidRPr="00233EFA" w:rsidSect="00E15472">
          <w:footnotePr>
            <w:numRestart w:val="eachSect"/>
          </w:footnotePr>
          <w:endnotePr>
            <w:numFmt w:val="decimal"/>
          </w:endnotePr>
          <w:type w:val="continuous"/>
          <w:pgSz w:w="16840" w:h="11907" w:orient="landscape" w:code="9"/>
          <w:pgMar w:top="1417" w:right="1417" w:bottom="1020" w:left="1417" w:header="680" w:footer="567" w:gutter="0"/>
          <w:cols w:space="708"/>
          <w:docGrid w:linePitch="360"/>
        </w:sectPr>
      </w:pPr>
    </w:p>
    <w:p w:rsidR="00E30DEB" w:rsidRDefault="00E30DEB" w:rsidP="00593AF4">
      <w:pPr>
        <w:pStyle w:val="AnnexTable"/>
        <w:tabs>
          <w:tab w:val="num" w:pos="1890"/>
        </w:tabs>
        <w:ind w:left="1890" w:hanging="1440"/>
      </w:pPr>
      <w:bookmarkStart w:id="347" w:name="_Ref397613854"/>
      <w:bookmarkStart w:id="348" w:name="_Toc408908662"/>
      <w:r>
        <w:t>Minimum age at which a child plaintiff can bring a case to court in their own right</w:t>
      </w:r>
      <w:bookmarkEnd w:id="347"/>
      <w:r w:rsidR="00A83745">
        <w:t xml:space="preserve"> (including MACR for reference)</w:t>
      </w:r>
      <w:bookmarkEnd w:id="348"/>
    </w:p>
    <w:tbl>
      <w:tblPr>
        <w:tblStyle w:val="TableGrid"/>
        <w:tblW w:w="9000" w:type="dxa"/>
        <w:tblInd w:w="447" w:type="dxa"/>
        <w:tblBorders>
          <w:top w:val="single" w:sz="2" w:space="0" w:color="0067AB"/>
          <w:left w:val="single" w:sz="2" w:space="0" w:color="0067AB"/>
          <w:bottom w:val="single" w:sz="2" w:space="0" w:color="0067AB"/>
          <w:right w:val="single" w:sz="2" w:space="0" w:color="0067AB"/>
          <w:insideH w:val="single" w:sz="2" w:space="0" w:color="0067AB"/>
          <w:insideV w:val="single" w:sz="2" w:space="0" w:color="0067AB"/>
        </w:tblBorders>
        <w:tblLayout w:type="fixed"/>
        <w:tblCellMar>
          <w:top w:w="57" w:type="dxa"/>
          <w:left w:w="0" w:type="dxa"/>
          <w:bottom w:w="28" w:type="dxa"/>
          <w:right w:w="0" w:type="dxa"/>
        </w:tblCellMar>
        <w:tblLook w:val="04A0" w:firstRow="1" w:lastRow="0" w:firstColumn="1" w:lastColumn="0" w:noHBand="0" w:noVBand="1"/>
      </w:tblPr>
      <w:tblGrid>
        <w:gridCol w:w="646"/>
        <w:gridCol w:w="1236"/>
        <w:gridCol w:w="589"/>
        <w:gridCol w:w="716"/>
        <w:gridCol w:w="656"/>
        <w:gridCol w:w="815"/>
        <w:gridCol w:w="876"/>
        <w:gridCol w:w="766"/>
        <w:gridCol w:w="990"/>
        <w:gridCol w:w="900"/>
        <w:gridCol w:w="810"/>
      </w:tblGrid>
      <w:tr w:rsidR="00593AF4" w:rsidRPr="00E30DEB" w:rsidTr="00861A9D">
        <w:trPr>
          <w:tblHeader/>
        </w:trPr>
        <w:tc>
          <w:tcPr>
            <w:tcW w:w="646" w:type="dxa"/>
            <w:vMerge w:val="restart"/>
            <w:shd w:val="clear" w:color="auto" w:fill="DBE5F1" w:themeFill="accent1" w:themeFillTint="33"/>
          </w:tcPr>
          <w:p w:rsidR="00593AF4" w:rsidRPr="00F95D37" w:rsidRDefault="00593AF4" w:rsidP="00861A9D">
            <w:pPr>
              <w:pStyle w:val="TableTextNoSpace"/>
              <w:rPr>
                <w:b/>
              </w:rPr>
            </w:pPr>
            <w:r w:rsidRPr="00F95D37">
              <w:rPr>
                <w:b/>
              </w:rPr>
              <w:t>MS</w:t>
            </w:r>
          </w:p>
        </w:tc>
        <w:tc>
          <w:tcPr>
            <w:tcW w:w="1236" w:type="dxa"/>
            <w:vMerge w:val="restart"/>
            <w:shd w:val="clear" w:color="auto" w:fill="DBE5F1" w:themeFill="accent1" w:themeFillTint="33"/>
          </w:tcPr>
          <w:p w:rsidR="00593AF4" w:rsidRPr="00F95D37" w:rsidRDefault="00593AF4" w:rsidP="00861A9D">
            <w:pPr>
              <w:pStyle w:val="TableTextNoSpace"/>
              <w:rPr>
                <w:b/>
              </w:rPr>
            </w:pPr>
            <w:r w:rsidRPr="00F95D37">
              <w:rPr>
                <w:b/>
              </w:rPr>
              <w:t>Minimum Age of Criminal Responsibility (MACR)</w:t>
            </w:r>
            <w:r w:rsidRPr="00F95D37">
              <w:rPr>
                <w:rStyle w:val="EndnoteReference"/>
                <w:rFonts w:ascii="Calibri" w:hAnsi="Calibri"/>
                <w:b/>
              </w:rPr>
              <w:endnoteReference w:id="27"/>
            </w:r>
          </w:p>
        </w:tc>
        <w:tc>
          <w:tcPr>
            <w:tcW w:w="7118" w:type="dxa"/>
            <w:gridSpan w:val="9"/>
            <w:shd w:val="clear" w:color="auto" w:fill="DBE5F1" w:themeFill="accent1" w:themeFillTint="33"/>
          </w:tcPr>
          <w:p w:rsidR="00593AF4" w:rsidRPr="00F95D37" w:rsidRDefault="00593AF4" w:rsidP="00861A9D">
            <w:pPr>
              <w:pStyle w:val="TableTextNoSpace"/>
              <w:rPr>
                <w:b/>
              </w:rPr>
            </w:pPr>
            <w:r w:rsidRPr="00F95D37">
              <w:rPr>
                <w:b/>
              </w:rPr>
              <w:t>Minimum age at which a plaintiff can bring a case to court in their own right (CivAdm045) by area of law</w:t>
            </w:r>
          </w:p>
        </w:tc>
      </w:tr>
      <w:tr w:rsidR="00593AF4" w:rsidRPr="00E30DEB" w:rsidTr="00861A9D">
        <w:trPr>
          <w:tblHeader/>
        </w:trPr>
        <w:tc>
          <w:tcPr>
            <w:tcW w:w="646" w:type="dxa"/>
            <w:vMerge/>
            <w:shd w:val="clear" w:color="auto" w:fill="DBE5F1" w:themeFill="accent1" w:themeFillTint="33"/>
          </w:tcPr>
          <w:p w:rsidR="00593AF4" w:rsidRPr="00F95D37" w:rsidRDefault="00593AF4" w:rsidP="00861A9D">
            <w:pPr>
              <w:pStyle w:val="TableTextNoSpace"/>
              <w:rPr>
                <w:b/>
              </w:rPr>
            </w:pPr>
          </w:p>
        </w:tc>
        <w:tc>
          <w:tcPr>
            <w:tcW w:w="1236" w:type="dxa"/>
            <w:vMerge/>
            <w:shd w:val="clear" w:color="auto" w:fill="DBE5F1" w:themeFill="accent1" w:themeFillTint="33"/>
          </w:tcPr>
          <w:p w:rsidR="00593AF4" w:rsidRPr="00F95D37" w:rsidRDefault="00593AF4" w:rsidP="00861A9D">
            <w:pPr>
              <w:pStyle w:val="TableTextNoSpace"/>
              <w:rPr>
                <w:b/>
              </w:rPr>
            </w:pPr>
          </w:p>
        </w:tc>
        <w:tc>
          <w:tcPr>
            <w:tcW w:w="589" w:type="dxa"/>
            <w:shd w:val="clear" w:color="auto" w:fill="DBE5F1" w:themeFill="accent1" w:themeFillTint="33"/>
          </w:tcPr>
          <w:p w:rsidR="00593AF4" w:rsidRPr="00F95D37" w:rsidRDefault="00593AF4" w:rsidP="00861A9D">
            <w:pPr>
              <w:pStyle w:val="TableTextNoSpace"/>
              <w:rPr>
                <w:b/>
              </w:rPr>
            </w:pPr>
            <w:r w:rsidRPr="00F95D37">
              <w:rPr>
                <w:b/>
              </w:rPr>
              <w:t>Family</w:t>
            </w:r>
          </w:p>
        </w:tc>
        <w:tc>
          <w:tcPr>
            <w:tcW w:w="716" w:type="dxa"/>
            <w:shd w:val="clear" w:color="auto" w:fill="DBE5F1" w:themeFill="accent1" w:themeFillTint="33"/>
          </w:tcPr>
          <w:p w:rsidR="00593AF4" w:rsidRPr="00F95D37" w:rsidRDefault="00593AF4" w:rsidP="00861A9D">
            <w:pPr>
              <w:pStyle w:val="TableTextNoSpace"/>
              <w:rPr>
                <w:b/>
              </w:rPr>
            </w:pPr>
            <w:r w:rsidRPr="00F95D37">
              <w:rPr>
                <w:b/>
              </w:rPr>
              <w:t xml:space="preserve">Employ-ment </w:t>
            </w:r>
          </w:p>
        </w:tc>
        <w:tc>
          <w:tcPr>
            <w:tcW w:w="656" w:type="dxa"/>
            <w:shd w:val="clear" w:color="auto" w:fill="DBE5F1" w:themeFill="accent1" w:themeFillTint="33"/>
          </w:tcPr>
          <w:p w:rsidR="00593AF4" w:rsidRPr="00F95D37" w:rsidRDefault="00593AF4" w:rsidP="00861A9D">
            <w:pPr>
              <w:pStyle w:val="TableTextNoSpace"/>
              <w:rPr>
                <w:b/>
              </w:rPr>
            </w:pPr>
            <w:r w:rsidRPr="00F95D37">
              <w:rPr>
                <w:b/>
              </w:rPr>
              <w:t>Asylum</w:t>
            </w:r>
          </w:p>
        </w:tc>
        <w:tc>
          <w:tcPr>
            <w:tcW w:w="815" w:type="dxa"/>
            <w:shd w:val="clear" w:color="auto" w:fill="DBE5F1" w:themeFill="accent1" w:themeFillTint="33"/>
          </w:tcPr>
          <w:p w:rsidR="00593AF4" w:rsidRPr="00F95D37" w:rsidRDefault="00593AF4" w:rsidP="00861A9D">
            <w:pPr>
              <w:pStyle w:val="TableTextNoSpace"/>
              <w:rPr>
                <w:b/>
              </w:rPr>
            </w:pPr>
            <w:r w:rsidRPr="00F95D37">
              <w:rPr>
                <w:b/>
              </w:rPr>
              <w:t>Migration</w:t>
            </w:r>
          </w:p>
        </w:tc>
        <w:tc>
          <w:tcPr>
            <w:tcW w:w="876" w:type="dxa"/>
            <w:shd w:val="clear" w:color="auto" w:fill="DBE5F1" w:themeFill="accent1" w:themeFillTint="33"/>
          </w:tcPr>
          <w:p w:rsidR="00593AF4" w:rsidRPr="00F95D37" w:rsidRDefault="00593AF4" w:rsidP="00861A9D">
            <w:pPr>
              <w:pStyle w:val="TableTextNoSpace"/>
              <w:rPr>
                <w:b/>
              </w:rPr>
            </w:pPr>
            <w:r w:rsidRPr="00F95D37">
              <w:rPr>
                <w:b/>
              </w:rPr>
              <w:t>Education</w:t>
            </w:r>
          </w:p>
        </w:tc>
        <w:tc>
          <w:tcPr>
            <w:tcW w:w="766" w:type="dxa"/>
            <w:shd w:val="clear" w:color="auto" w:fill="DBE5F1" w:themeFill="accent1" w:themeFillTint="33"/>
          </w:tcPr>
          <w:p w:rsidR="00593AF4" w:rsidRPr="00F95D37" w:rsidRDefault="00593AF4" w:rsidP="00861A9D">
            <w:pPr>
              <w:pStyle w:val="TableTextNoSpace"/>
              <w:rPr>
                <w:b/>
              </w:rPr>
            </w:pPr>
            <w:r w:rsidRPr="00F95D37">
              <w:rPr>
                <w:b/>
              </w:rPr>
              <w:t>Health</w:t>
            </w:r>
          </w:p>
        </w:tc>
        <w:tc>
          <w:tcPr>
            <w:tcW w:w="990" w:type="dxa"/>
            <w:shd w:val="clear" w:color="auto" w:fill="DBE5F1" w:themeFill="accent1" w:themeFillTint="33"/>
          </w:tcPr>
          <w:p w:rsidR="00593AF4" w:rsidRPr="00F95D37" w:rsidRDefault="00593AF4" w:rsidP="00861A9D">
            <w:pPr>
              <w:pStyle w:val="TableTextNoSpace"/>
              <w:rPr>
                <w:b/>
              </w:rPr>
            </w:pPr>
            <w:r w:rsidRPr="00F95D37">
              <w:rPr>
                <w:b/>
              </w:rPr>
              <w:t>Placement in care</w:t>
            </w:r>
          </w:p>
        </w:tc>
        <w:tc>
          <w:tcPr>
            <w:tcW w:w="900" w:type="dxa"/>
            <w:shd w:val="clear" w:color="auto" w:fill="DBE5F1" w:themeFill="accent1" w:themeFillTint="33"/>
          </w:tcPr>
          <w:p w:rsidR="00593AF4" w:rsidRPr="00F95D37" w:rsidRDefault="00593AF4" w:rsidP="00861A9D">
            <w:pPr>
              <w:pStyle w:val="TableTextNoSpace"/>
              <w:rPr>
                <w:b/>
              </w:rPr>
            </w:pPr>
            <w:r w:rsidRPr="00F95D37">
              <w:rPr>
                <w:b/>
              </w:rPr>
              <w:t>Admin sanctions</w:t>
            </w:r>
          </w:p>
        </w:tc>
        <w:tc>
          <w:tcPr>
            <w:tcW w:w="810" w:type="dxa"/>
            <w:shd w:val="clear" w:color="auto" w:fill="DBE5F1" w:themeFill="accent1" w:themeFillTint="33"/>
          </w:tcPr>
          <w:p w:rsidR="00593AF4" w:rsidRPr="00F95D37" w:rsidRDefault="00593AF4" w:rsidP="00861A9D">
            <w:pPr>
              <w:pStyle w:val="TableTextNoSpace"/>
              <w:rPr>
                <w:b/>
              </w:rPr>
            </w:pPr>
            <w:r w:rsidRPr="00F95D37">
              <w:rPr>
                <w:b/>
              </w:rPr>
              <w:t>Offences &lt; MACR</w:t>
            </w:r>
          </w:p>
        </w:tc>
      </w:tr>
      <w:tr w:rsidR="00593AF4" w:rsidRPr="00E30DEB" w:rsidTr="00861A9D">
        <w:trPr>
          <w:trHeight w:val="392"/>
        </w:trPr>
        <w:tc>
          <w:tcPr>
            <w:tcW w:w="646" w:type="dxa"/>
            <w:shd w:val="clear" w:color="auto" w:fill="auto"/>
          </w:tcPr>
          <w:p w:rsidR="00593AF4" w:rsidRPr="00E30DEB" w:rsidRDefault="00593AF4" w:rsidP="00861A9D">
            <w:pPr>
              <w:pStyle w:val="TableTextNoSpace"/>
            </w:pPr>
            <w:r w:rsidRPr="00E30DEB">
              <w:t>AT</w:t>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14</w:t>
            </w:r>
            <w:r w:rsidRPr="00E30DEB">
              <w:rPr>
                <w:vertAlign w:val="superscript"/>
              </w:rPr>
              <w:endnoteReference w:id="28"/>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16</w:t>
            </w:r>
          </w:p>
        </w:tc>
        <w:tc>
          <w:tcPr>
            <w:tcW w:w="815" w:type="dxa"/>
            <w:shd w:val="clear" w:color="auto" w:fill="auto"/>
          </w:tcPr>
          <w:p w:rsidR="00593AF4" w:rsidRPr="00E30DEB" w:rsidRDefault="00593AF4" w:rsidP="00861A9D">
            <w:pPr>
              <w:pStyle w:val="TableTextNoSpace"/>
            </w:pPr>
            <w:r w:rsidRPr="00E30DEB">
              <w:t>16</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14</w:t>
            </w:r>
            <w:r w:rsidRPr="00E30DEB">
              <w:rPr>
                <w:vertAlign w:val="superscript"/>
              </w:rPr>
              <w:endnoteReference w:id="29"/>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BE</w:t>
            </w:r>
            <w:r w:rsidRPr="00E30DEB">
              <w:rPr>
                <w:vertAlign w:val="superscript"/>
              </w:rPr>
              <w:endnoteReference w:id="30"/>
            </w:r>
          </w:p>
        </w:tc>
        <w:tc>
          <w:tcPr>
            <w:tcW w:w="1236" w:type="dxa"/>
            <w:shd w:val="clear" w:color="auto" w:fill="auto"/>
            <w:vAlign w:val="center"/>
          </w:tcPr>
          <w:p w:rsidR="00593AF4" w:rsidRPr="00E30DEB" w:rsidRDefault="00593AF4" w:rsidP="00861A9D">
            <w:pPr>
              <w:pStyle w:val="TableTextNoSpace"/>
            </w:pPr>
            <w:r w:rsidRPr="00A83745">
              <w:t>18</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BG</w:t>
            </w:r>
            <w:r w:rsidRPr="00E30DEB">
              <w:rPr>
                <w:vertAlign w:val="superscript"/>
              </w:rPr>
              <w:endnoteReference w:id="31"/>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14</w:t>
            </w:r>
          </w:p>
        </w:tc>
        <w:tc>
          <w:tcPr>
            <w:tcW w:w="716" w:type="dxa"/>
            <w:shd w:val="clear" w:color="auto" w:fill="auto"/>
          </w:tcPr>
          <w:p w:rsidR="00593AF4" w:rsidRPr="00E30DEB" w:rsidRDefault="00593AF4" w:rsidP="00861A9D">
            <w:pPr>
              <w:pStyle w:val="TableTextNoSpace"/>
            </w:pPr>
            <w:r w:rsidRPr="00E30DEB">
              <w:t>14</w:t>
            </w:r>
          </w:p>
        </w:tc>
        <w:tc>
          <w:tcPr>
            <w:tcW w:w="656" w:type="dxa"/>
            <w:shd w:val="clear" w:color="auto" w:fill="auto"/>
          </w:tcPr>
          <w:p w:rsidR="00593AF4" w:rsidRPr="00E30DEB" w:rsidRDefault="00593AF4" w:rsidP="00861A9D">
            <w:pPr>
              <w:pStyle w:val="TableTextNoSpace"/>
            </w:pPr>
            <w:r w:rsidRPr="00E30DEB">
              <w:t>14</w:t>
            </w:r>
          </w:p>
        </w:tc>
        <w:tc>
          <w:tcPr>
            <w:tcW w:w="815" w:type="dxa"/>
            <w:shd w:val="clear" w:color="auto" w:fill="auto"/>
          </w:tcPr>
          <w:p w:rsidR="00593AF4" w:rsidRPr="00E30DEB" w:rsidRDefault="00593AF4" w:rsidP="00861A9D">
            <w:pPr>
              <w:pStyle w:val="TableTextNoSpace"/>
            </w:pPr>
            <w:r w:rsidRPr="00E30DEB">
              <w:t>14</w:t>
            </w:r>
          </w:p>
        </w:tc>
        <w:tc>
          <w:tcPr>
            <w:tcW w:w="876" w:type="dxa"/>
            <w:shd w:val="clear" w:color="auto" w:fill="auto"/>
          </w:tcPr>
          <w:p w:rsidR="00593AF4" w:rsidRPr="00E30DEB" w:rsidRDefault="00593AF4" w:rsidP="00861A9D">
            <w:pPr>
              <w:pStyle w:val="TableTextNoSpace"/>
            </w:pPr>
            <w:r w:rsidRPr="00E30DEB">
              <w:t>14</w:t>
            </w:r>
          </w:p>
        </w:tc>
        <w:tc>
          <w:tcPr>
            <w:tcW w:w="766" w:type="dxa"/>
            <w:shd w:val="clear" w:color="auto" w:fill="auto"/>
          </w:tcPr>
          <w:p w:rsidR="00593AF4" w:rsidRPr="00E30DEB" w:rsidRDefault="00593AF4" w:rsidP="00861A9D">
            <w:pPr>
              <w:pStyle w:val="TableTextNoSpace"/>
            </w:pPr>
            <w:r w:rsidRPr="00E30DEB">
              <w:t>14</w:t>
            </w:r>
          </w:p>
        </w:tc>
        <w:tc>
          <w:tcPr>
            <w:tcW w:w="990" w:type="dxa"/>
            <w:shd w:val="clear" w:color="auto" w:fill="auto"/>
          </w:tcPr>
          <w:p w:rsidR="00593AF4" w:rsidRPr="00E30DEB" w:rsidRDefault="00593AF4" w:rsidP="00861A9D">
            <w:pPr>
              <w:pStyle w:val="TableTextNoSpace"/>
            </w:pPr>
            <w:r w:rsidRPr="00E30DEB">
              <w:t>14</w:t>
            </w:r>
          </w:p>
        </w:tc>
        <w:tc>
          <w:tcPr>
            <w:tcW w:w="900" w:type="dxa"/>
            <w:shd w:val="clear" w:color="auto" w:fill="auto"/>
          </w:tcPr>
          <w:p w:rsidR="00593AF4" w:rsidRPr="00E30DEB" w:rsidRDefault="00593AF4" w:rsidP="00861A9D">
            <w:pPr>
              <w:pStyle w:val="TableTextNoSpace"/>
            </w:pPr>
            <w:r w:rsidRPr="00E30DEB">
              <w:t>14</w:t>
            </w:r>
          </w:p>
        </w:tc>
        <w:tc>
          <w:tcPr>
            <w:tcW w:w="810" w:type="dxa"/>
            <w:shd w:val="clear" w:color="auto" w:fill="auto"/>
          </w:tcPr>
          <w:p w:rsidR="00593AF4" w:rsidRPr="00E30DEB" w:rsidRDefault="00593AF4" w:rsidP="00861A9D">
            <w:pPr>
              <w:pStyle w:val="TableTextNoSpace"/>
            </w:pPr>
            <w:r w:rsidRPr="00E30DEB">
              <w:t>14</w:t>
            </w:r>
          </w:p>
        </w:tc>
      </w:tr>
      <w:tr w:rsidR="00593AF4" w:rsidRPr="00E30DEB" w:rsidTr="00861A9D">
        <w:trPr>
          <w:trHeight w:val="329"/>
        </w:trPr>
        <w:tc>
          <w:tcPr>
            <w:tcW w:w="646" w:type="dxa"/>
            <w:shd w:val="clear" w:color="auto" w:fill="auto"/>
          </w:tcPr>
          <w:p w:rsidR="00593AF4" w:rsidRPr="00E30DEB" w:rsidRDefault="00593AF4" w:rsidP="00861A9D">
            <w:pPr>
              <w:pStyle w:val="TableTextNoSpace"/>
            </w:pPr>
            <w:r w:rsidRPr="00E30DEB">
              <w:t>CY</w:t>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CZ</w:t>
            </w:r>
          </w:p>
        </w:tc>
        <w:tc>
          <w:tcPr>
            <w:tcW w:w="1236" w:type="dxa"/>
            <w:shd w:val="clear" w:color="auto" w:fill="auto"/>
            <w:vAlign w:val="center"/>
          </w:tcPr>
          <w:p w:rsidR="00593AF4" w:rsidRPr="00E30DEB" w:rsidRDefault="00593AF4" w:rsidP="00861A9D">
            <w:pPr>
              <w:pStyle w:val="TableTextNoSpace"/>
            </w:pPr>
            <w:r w:rsidRPr="00A83745">
              <w:t>15</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DE</w:t>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14</w:t>
            </w:r>
          </w:p>
        </w:tc>
        <w:tc>
          <w:tcPr>
            <w:tcW w:w="716" w:type="dxa"/>
            <w:shd w:val="clear" w:color="auto" w:fill="auto"/>
          </w:tcPr>
          <w:p w:rsidR="00593AF4" w:rsidRPr="00E30DEB" w:rsidRDefault="00593AF4" w:rsidP="00861A9D">
            <w:pPr>
              <w:pStyle w:val="TableTextNoSpace"/>
            </w:pPr>
            <w:r w:rsidRPr="00E30DEB">
              <w:t>15</w:t>
            </w:r>
            <w:r w:rsidRPr="00E30DEB">
              <w:rPr>
                <w:vertAlign w:val="superscript"/>
              </w:rPr>
              <w:endnoteReference w:id="32"/>
            </w:r>
          </w:p>
        </w:tc>
        <w:tc>
          <w:tcPr>
            <w:tcW w:w="656" w:type="dxa"/>
            <w:shd w:val="clear" w:color="auto" w:fill="auto"/>
          </w:tcPr>
          <w:p w:rsidR="00593AF4" w:rsidRPr="00E30DEB" w:rsidRDefault="00593AF4" w:rsidP="00861A9D">
            <w:pPr>
              <w:pStyle w:val="TableTextNoSpace"/>
            </w:pPr>
            <w:r w:rsidRPr="00E30DEB">
              <w:t>16</w:t>
            </w:r>
          </w:p>
        </w:tc>
        <w:tc>
          <w:tcPr>
            <w:tcW w:w="815" w:type="dxa"/>
            <w:shd w:val="clear" w:color="auto" w:fill="auto"/>
          </w:tcPr>
          <w:p w:rsidR="00593AF4" w:rsidRPr="00E30DEB" w:rsidRDefault="00593AF4" w:rsidP="00861A9D">
            <w:pPr>
              <w:pStyle w:val="TableTextNoSpace"/>
            </w:pPr>
            <w:r w:rsidRPr="00E30DEB">
              <w:t>16</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14</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DK</w:t>
            </w:r>
            <w:r w:rsidRPr="00E30DEB">
              <w:rPr>
                <w:vertAlign w:val="superscript"/>
              </w:rPr>
              <w:endnoteReference w:id="33"/>
            </w:r>
          </w:p>
        </w:tc>
        <w:tc>
          <w:tcPr>
            <w:tcW w:w="1236" w:type="dxa"/>
            <w:shd w:val="clear" w:color="auto" w:fill="auto"/>
            <w:vAlign w:val="center"/>
          </w:tcPr>
          <w:p w:rsidR="00593AF4" w:rsidRPr="00E30DEB" w:rsidRDefault="00593AF4" w:rsidP="00861A9D">
            <w:pPr>
              <w:pStyle w:val="TableTextNoSpace"/>
            </w:pPr>
            <w:r w:rsidRPr="00A83745">
              <w:t>15</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EE</w:t>
            </w:r>
            <w:r w:rsidRPr="00E30DEB">
              <w:rPr>
                <w:vertAlign w:val="superscript"/>
              </w:rPr>
              <w:endnoteReference w:id="34"/>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15</w:t>
            </w:r>
          </w:p>
        </w:tc>
        <w:tc>
          <w:tcPr>
            <w:tcW w:w="716" w:type="dxa"/>
            <w:shd w:val="clear" w:color="auto" w:fill="auto"/>
          </w:tcPr>
          <w:p w:rsidR="00593AF4" w:rsidRPr="00E30DEB" w:rsidRDefault="00593AF4" w:rsidP="00861A9D">
            <w:pPr>
              <w:pStyle w:val="TableTextNoSpace"/>
            </w:pPr>
            <w:r w:rsidRPr="00E30DEB">
              <w:t>15</w:t>
            </w:r>
          </w:p>
        </w:tc>
        <w:tc>
          <w:tcPr>
            <w:tcW w:w="656" w:type="dxa"/>
            <w:shd w:val="clear" w:color="auto" w:fill="auto"/>
          </w:tcPr>
          <w:p w:rsidR="00593AF4" w:rsidRPr="00E30DEB" w:rsidRDefault="00593AF4" w:rsidP="00861A9D">
            <w:pPr>
              <w:pStyle w:val="TableTextNoSpace"/>
            </w:pPr>
            <w:r w:rsidRPr="00E30DEB">
              <w:t>15</w:t>
            </w:r>
          </w:p>
        </w:tc>
        <w:tc>
          <w:tcPr>
            <w:tcW w:w="815" w:type="dxa"/>
            <w:shd w:val="clear" w:color="auto" w:fill="auto"/>
          </w:tcPr>
          <w:p w:rsidR="00593AF4" w:rsidRPr="00E30DEB" w:rsidRDefault="00593AF4" w:rsidP="00861A9D">
            <w:pPr>
              <w:pStyle w:val="TableTextNoSpace"/>
            </w:pPr>
            <w:r w:rsidRPr="00E30DEB">
              <w:t>15</w:t>
            </w:r>
          </w:p>
        </w:tc>
        <w:tc>
          <w:tcPr>
            <w:tcW w:w="876" w:type="dxa"/>
            <w:shd w:val="clear" w:color="auto" w:fill="auto"/>
          </w:tcPr>
          <w:p w:rsidR="00593AF4" w:rsidRPr="00E30DEB" w:rsidRDefault="00593AF4" w:rsidP="00861A9D">
            <w:pPr>
              <w:pStyle w:val="TableTextNoSpace"/>
            </w:pPr>
            <w:r w:rsidRPr="00E30DEB">
              <w:t>15</w:t>
            </w:r>
          </w:p>
        </w:tc>
        <w:tc>
          <w:tcPr>
            <w:tcW w:w="766" w:type="dxa"/>
            <w:shd w:val="clear" w:color="auto" w:fill="auto"/>
          </w:tcPr>
          <w:p w:rsidR="00593AF4" w:rsidRPr="00E30DEB" w:rsidRDefault="00593AF4" w:rsidP="00861A9D">
            <w:pPr>
              <w:pStyle w:val="TableTextNoSpace"/>
            </w:pPr>
            <w:r w:rsidRPr="00E30DEB">
              <w:t>15</w:t>
            </w:r>
          </w:p>
        </w:tc>
        <w:tc>
          <w:tcPr>
            <w:tcW w:w="990" w:type="dxa"/>
            <w:shd w:val="clear" w:color="auto" w:fill="auto"/>
          </w:tcPr>
          <w:p w:rsidR="00593AF4" w:rsidRPr="00E30DEB" w:rsidRDefault="00593AF4" w:rsidP="00861A9D">
            <w:pPr>
              <w:pStyle w:val="TableTextNoSpace"/>
            </w:pPr>
            <w:r w:rsidRPr="00E30DEB">
              <w:t>15</w:t>
            </w:r>
          </w:p>
        </w:tc>
        <w:tc>
          <w:tcPr>
            <w:tcW w:w="900" w:type="dxa"/>
            <w:shd w:val="clear" w:color="auto" w:fill="auto"/>
          </w:tcPr>
          <w:p w:rsidR="00593AF4" w:rsidRPr="00E30DEB" w:rsidRDefault="00593AF4" w:rsidP="00861A9D">
            <w:pPr>
              <w:pStyle w:val="TableTextNoSpace"/>
            </w:pPr>
            <w:r w:rsidRPr="00E30DEB">
              <w:t>15</w:t>
            </w:r>
          </w:p>
        </w:tc>
        <w:tc>
          <w:tcPr>
            <w:tcW w:w="810" w:type="dxa"/>
            <w:shd w:val="clear" w:color="auto" w:fill="auto"/>
          </w:tcPr>
          <w:p w:rsidR="00593AF4" w:rsidRPr="00E30DEB" w:rsidRDefault="00593AF4" w:rsidP="00861A9D">
            <w:pPr>
              <w:pStyle w:val="TableTextNoSpace"/>
            </w:pPr>
            <w:r w:rsidRPr="00E30DEB">
              <w:t>15</w:t>
            </w:r>
          </w:p>
        </w:tc>
      </w:tr>
      <w:tr w:rsidR="00593AF4" w:rsidRPr="00E30DEB" w:rsidTr="00861A9D">
        <w:tc>
          <w:tcPr>
            <w:tcW w:w="646" w:type="dxa"/>
            <w:shd w:val="clear" w:color="auto" w:fill="auto"/>
          </w:tcPr>
          <w:p w:rsidR="00593AF4" w:rsidRPr="00E30DEB" w:rsidRDefault="00593AF4" w:rsidP="00861A9D">
            <w:pPr>
              <w:pStyle w:val="TableTextNoSpace"/>
            </w:pPr>
            <w:r w:rsidRPr="00E30DEB">
              <w:t>EL</w:t>
            </w:r>
          </w:p>
        </w:tc>
        <w:tc>
          <w:tcPr>
            <w:tcW w:w="1236" w:type="dxa"/>
            <w:shd w:val="clear" w:color="auto" w:fill="auto"/>
            <w:vAlign w:val="center"/>
          </w:tcPr>
          <w:p w:rsidR="00593AF4" w:rsidRPr="00E30DEB" w:rsidRDefault="00593AF4" w:rsidP="00861A9D">
            <w:pPr>
              <w:pStyle w:val="TableTextNoSpace"/>
            </w:pPr>
            <w:r w:rsidRPr="00A83745">
              <w:t>15</w:t>
            </w:r>
          </w:p>
        </w:tc>
        <w:tc>
          <w:tcPr>
            <w:tcW w:w="589" w:type="dxa"/>
            <w:shd w:val="clear" w:color="auto" w:fill="auto"/>
          </w:tcPr>
          <w:p w:rsidR="00593AF4" w:rsidRPr="00E30DEB" w:rsidRDefault="00593AF4" w:rsidP="00861A9D">
            <w:pPr>
              <w:pStyle w:val="TableTextNoSpace"/>
            </w:pPr>
            <w:r w:rsidRPr="00E30DEB">
              <w:t>12/16</w:t>
            </w:r>
            <w:r w:rsidRPr="00E30DEB">
              <w:rPr>
                <w:vertAlign w:val="superscript"/>
              </w:rPr>
              <w:endnoteReference w:id="35"/>
            </w:r>
          </w:p>
        </w:tc>
        <w:tc>
          <w:tcPr>
            <w:tcW w:w="716" w:type="dxa"/>
            <w:shd w:val="clear" w:color="auto" w:fill="auto"/>
          </w:tcPr>
          <w:p w:rsidR="00593AF4" w:rsidRPr="00E30DEB" w:rsidRDefault="00593AF4" w:rsidP="00861A9D">
            <w:pPr>
              <w:pStyle w:val="TableTextNoSpace"/>
            </w:pPr>
            <w:r w:rsidRPr="00E30DEB">
              <w:t>15</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16</w:t>
            </w:r>
            <w:r w:rsidRPr="00E30DEB">
              <w:rPr>
                <w:vertAlign w:val="superscript"/>
              </w:rPr>
              <w:endnoteReference w:id="36"/>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12/17</w:t>
            </w:r>
            <w:r w:rsidRPr="00E30DEB">
              <w:rPr>
                <w:vertAlign w:val="superscript"/>
              </w:rPr>
              <w:endnoteReference w:id="37"/>
            </w:r>
          </w:p>
        </w:tc>
      </w:tr>
      <w:tr w:rsidR="00593AF4" w:rsidRPr="00E30DEB" w:rsidTr="00861A9D">
        <w:tc>
          <w:tcPr>
            <w:tcW w:w="646" w:type="dxa"/>
            <w:shd w:val="clear" w:color="auto" w:fill="auto"/>
          </w:tcPr>
          <w:p w:rsidR="00593AF4" w:rsidRPr="00E30DEB" w:rsidRDefault="00593AF4" w:rsidP="00861A9D">
            <w:pPr>
              <w:pStyle w:val="TableTextNoSpace"/>
            </w:pPr>
            <w:r w:rsidRPr="00E30DEB">
              <w:t>ES</w:t>
            </w:r>
            <w:r w:rsidRPr="00E30DEB">
              <w:rPr>
                <w:vertAlign w:val="superscript"/>
              </w:rPr>
              <w:endnoteReference w:id="38"/>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r w:rsidRPr="00E30DEB">
              <w:rPr>
                <w:vertAlign w:val="superscript"/>
              </w:rPr>
              <w:endnoteReference w:id="39"/>
            </w:r>
          </w:p>
        </w:tc>
      </w:tr>
      <w:tr w:rsidR="00593AF4" w:rsidRPr="00E30DEB" w:rsidTr="00861A9D">
        <w:tc>
          <w:tcPr>
            <w:tcW w:w="646" w:type="dxa"/>
            <w:shd w:val="clear" w:color="auto" w:fill="auto"/>
          </w:tcPr>
          <w:p w:rsidR="00593AF4" w:rsidRPr="00E30DEB" w:rsidRDefault="00593AF4" w:rsidP="00861A9D">
            <w:pPr>
              <w:pStyle w:val="TableTextNoSpace"/>
            </w:pPr>
            <w:r w:rsidRPr="00E30DEB">
              <w:t>FI</w:t>
            </w:r>
          </w:p>
        </w:tc>
        <w:tc>
          <w:tcPr>
            <w:tcW w:w="1236" w:type="dxa"/>
            <w:shd w:val="clear" w:color="auto" w:fill="auto"/>
            <w:vAlign w:val="center"/>
          </w:tcPr>
          <w:p w:rsidR="00593AF4" w:rsidRPr="00E30DEB" w:rsidRDefault="00593AF4" w:rsidP="00861A9D">
            <w:pPr>
              <w:pStyle w:val="TableTextNoSpace"/>
            </w:pPr>
            <w:r w:rsidRPr="00A83745">
              <w:t>15</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15</w:t>
            </w:r>
          </w:p>
        </w:tc>
        <w:tc>
          <w:tcPr>
            <w:tcW w:w="656" w:type="dxa"/>
            <w:shd w:val="clear" w:color="auto" w:fill="auto"/>
          </w:tcPr>
          <w:p w:rsidR="00593AF4" w:rsidRPr="00E30DEB" w:rsidRDefault="00593AF4" w:rsidP="00861A9D">
            <w:pPr>
              <w:pStyle w:val="TableTextNoSpace"/>
            </w:pPr>
            <w:r w:rsidRPr="00E30DEB">
              <w:t>15</w:t>
            </w:r>
            <w:r w:rsidRPr="00E30DEB">
              <w:rPr>
                <w:vertAlign w:val="superscript"/>
              </w:rPr>
              <w:endnoteReference w:id="40"/>
            </w:r>
            <w:r w:rsidRPr="00E30DEB">
              <w:t xml:space="preserve"> </w:t>
            </w:r>
          </w:p>
        </w:tc>
        <w:tc>
          <w:tcPr>
            <w:tcW w:w="815" w:type="dxa"/>
            <w:shd w:val="clear" w:color="auto" w:fill="auto"/>
          </w:tcPr>
          <w:p w:rsidR="00593AF4" w:rsidRPr="00E30DEB" w:rsidRDefault="00593AF4" w:rsidP="00861A9D">
            <w:pPr>
              <w:pStyle w:val="TableTextNoSpace"/>
            </w:pPr>
            <w:r w:rsidRPr="00E30DEB">
              <w:t>15</w:t>
            </w:r>
            <w:r w:rsidRPr="00E30DEB">
              <w:rPr>
                <w:vertAlign w:val="superscript"/>
              </w:rPr>
              <w:endnoteReference w:id="41"/>
            </w:r>
          </w:p>
        </w:tc>
        <w:tc>
          <w:tcPr>
            <w:tcW w:w="876" w:type="dxa"/>
            <w:shd w:val="clear" w:color="auto" w:fill="auto"/>
          </w:tcPr>
          <w:p w:rsidR="00593AF4" w:rsidRPr="00E30DEB" w:rsidRDefault="00593AF4" w:rsidP="00861A9D">
            <w:pPr>
              <w:pStyle w:val="TableTextNoSpace"/>
            </w:pPr>
            <w:r w:rsidRPr="00E30DEB">
              <w:t>15</w:t>
            </w:r>
            <w:r w:rsidRPr="00E30DEB">
              <w:rPr>
                <w:vertAlign w:val="superscript"/>
              </w:rPr>
              <w:endnoteReference w:id="42"/>
            </w:r>
          </w:p>
        </w:tc>
        <w:tc>
          <w:tcPr>
            <w:tcW w:w="766" w:type="dxa"/>
            <w:shd w:val="clear" w:color="auto" w:fill="auto"/>
          </w:tcPr>
          <w:p w:rsidR="00593AF4" w:rsidRPr="00E30DEB" w:rsidRDefault="00593AF4" w:rsidP="00861A9D">
            <w:pPr>
              <w:pStyle w:val="TableTextNoSpace"/>
            </w:pPr>
            <w:r w:rsidRPr="00E30DEB">
              <w:t>12</w:t>
            </w:r>
            <w:r w:rsidRPr="00E30DEB">
              <w:rPr>
                <w:vertAlign w:val="superscript"/>
              </w:rPr>
              <w:endnoteReference w:id="43"/>
            </w:r>
          </w:p>
        </w:tc>
        <w:tc>
          <w:tcPr>
            <w:tcW w:w="990" w:type="dxa"/>
            <w:shd w:val="clear" w:color="auto" w:fill="auto"/>
          </w:tcPr>
          <w:p w:rsidR="00593AF4" w:rsidRPr="00E30DEB" w:rsidRDefault="00593AF4" w:rsidP="00861A9D">
            <w:pPr>
              <w:pStyle w:val="TableTextNoSpace"/>
            </w:pPr>
            <w:r w:rsidRPr="00E30DEB">
              <w:t>12</w:t>
            </w:r>
            <w:r w:rsidRPr="00E30DEB">
              <w:rPr>
                <w:vertAlign w:val="superscript"/>
              </w:rPr>
              <w:endnoteReference w:id="44"/>
            </w:r>
          </w:p>
        </w:tc>
        <w:tc>
          <w:tcPr>
            <w:tcW w:w="900" w:type="dxa"/>
            <w:shd w:val="clear" w:color="auto" w:fill="auto"/>
          </w:tcPr>
          <w:p w:rsidR="00593AF4" w:rsidRPr="00E30DEB" w:rsidRDefault="00593AF4" w:rsidP="00861A9D">
            <w:pPr>
              <w:pStyle w:val="TableTextNoSpace"/>
            </w:pPr>
            <w:r w:rsidRPr="00E30DEB">
              <w:t>15</w:t>
            </w:r>
            <w:r w:rsidRPr="00E30DEB">
              <w:rPr>
                <w:vertAlign w:val="superscript"/>
              </w:rPr>
              <w:endnoteReference w:id="45"/>
            </w:r>
          </w:p>
        </w:tc>
        <w:tc>
          <w:tcPr>
            <w:tcW w:w="810" w:type="dxa"/>
            <w:shd w:val="clear" w:color="auto" w:fill="auto"/>
          </w:tcPr>
          <w:p w:rsidR="00593AF4" w:rsidRPr="00E30DEB" w:rsidRDefault="00593AF4" w:rsidP="00861A9D">
            <w:pPr>
              <w:pStyle w:val="TableTextNoSpace"/>
            </w:pPr>
            <w:r w:rsidRPr="00E30DEB">
              <w:t>12</w:t>
            </w:r>
          </w:p>
        </w:tc>
      </w:tr>
      <w:tr w:rsidR="00593AF4" w:rsidRPr="00E30DEB" w:rsidTr="00861A9D">
        <w:tc>
          <w:tcPr>
            <w:tcW w:w="646" w:type="dxa"/>
            <w:shd w:val="clear" w:color="auto" w:fill="auto"/>
          </w:tcPr>
          <w:p w:rsidR="00593AF4" w:rsidRPr="00E30DEB" w:rsidRDefault="00593AF4" w:rsidP="00861A9D">
            <w:pPr>
              <w:pStyle w:val="TableTextNoSpace"/>
            </w:pPr>
            <w:r w:rsidRPr="00E30DEB">
              <w:t>FR</w:t>
            </w:r>
            <w:r w:rsidRPr="00E30DEB">
              <w:rPr>
                <w:vertAlign w:val="superscript"/>
              </w:rPr>
              <w:endnoteReference w:id="46"/>
            </w:r>
          </w:p>
        </w:tc>
        <w:tc>
          <w:tcPr>
            <w:tcW w:w="1236" w:type="dxa"/>
            <w:shd w:val="clear" w:color="auto" w:fill="auto"/>
            <w:vAlign w:val="center"/>
          </w:tcPr>
          <w:p w:rsidR="00593AF4" w:rsidRPr="00E30DEB" w:rsidRDefault="00593AF4" w:rsidP="00861A9D">
            <w:pPr>
              <w:pStyle w:val="TableTextNoSpace"/>
            </w:pPr>
            <w:r w:rsidRPr="00A83745">
              <w:t>18</w:t>
            </w:r>
            <w:r w:rsidRPr="00A83745">
              <w:endnoteReference w:id="47"/>
            </w:r>
          </w:p>
        </w:tc>
        <w:tc>
          <w:tcPr>
            <w:tcW w:w="589" w:type="dxa"/>
            <w:shd w:val="clear" w:color="auto" w:fill="auto"/>
          </w:tcPr>
          <w:p w:rsidR="00593AF4" w:rsidRPr="00E30DEB" w:rsidRDefault="00593AF4" w:rsidP="00861A9D">
            <w:pPr>
              <w:pStyle w:val="TableTextNoSpace"/>
            </w:pPr>
            <w:r w:rsidRPr="00E30DEB">
              <w:t xml:space="preserve">-- </w:t>
            </w:r>
            <w:r w:rsidRPr="00E30DEB">
              <w:rPr>
                <w:vertAlign w:val="superscript"/>
              </w:rPr>
              <w:endnoteReference w:id="48"/>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 xml:space="preserve">-- </w:t>
            </w:r>
            <w:r w:rsidRPr="00E30DEB">
              <w:rPr>
                <w:vertAlign w:val="superscript"/>
              </w:rPr>
              <w:endnoteReference w:id="49"/>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w:t>
            </w:r>
          </w:p>
        </w:tc>
      </w:tr>
      <w:tr w:rsidR="00593AF4" w:rsidRPr="00E30DEB" w:rsidTr="00861A9D">
        <w:tc>
          <w:tcPr>
            <w:tcW w:w="646" w:type="dxa"/>
            <w:shd w:val="clear" w:color="auto" w:fill="auto"/>
          </w:tcPr>
          <w:p w:rsidR="00593AF4" w:rsidRPr="00E30DEB" w:rsidRDefault="00593AF4" w:rsidP="00861A9D">
            <w:pPr>
              <w:pStyle w:val="TableTextNoSpace"/>
            </w:pPr>
            <w:r w:rsidRPr="00E30DEB">
              <w:t>HR</w:t>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18</w:t>
            </w:r>
            <w:r w:rsidRPr="00E30DEB">
              <w:rPr>
                <w:vertAlign w:val="superscript"/>
              </w:rPr>
              <w:endnoteReference w:id="50"/>
            </w:r>
          </w:p>
        </w:tc>
        <w:tc>
          <w:tcPr>
            <w:tcW w:w="716" w:type="dxa"/>
            <w:shd w:val="clear" w:color="auto" w:fill="auto"/>
          </w:tcPr>
          <w:p w:rsidR="00593AF4" w:rsidRPr="00E30DEB" w:rsidRDefault="00593AF4" w:rsidP="00861A9D">
            <w:pPr>
              <w:pStyle w:val="TableTextNoSpace"/>
            </w:pPr>
            <w:r w:rsidRPr="00E30DEB">
              <w:t>15</w:t>
            </w:r>
          </w:p>
        </w:tc>
        <w:tc>
          <w:tcPr>
            <w:tcW w:w="656" w:type="dxa"/>
            <w:shd w:val="clear" w:color="auto" w:fill="auto"/>
          </w:tcPr>
          <w:p w:rsidR="00593AF4" w:rsidRPr="00E30DEB" w:rsidRDefault="00593AF4" w:rsidP="00861A9D">
            <w:pPr>
              <w:pStyle w:val="TableTextNoSpace"/>
            </w:pPr>
            <w:r w:rsidRPr="00E30DEB">
              <w:t>16</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15</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16</w:t>
            </w:r>
          </w:p>
        </w:tc>
      </w:tr>
      <w:tr w:rsidR="00593AF4" w:rsidRPr="00E30DEB" w:rsidTr="00861A9D">
        <w:trPr>
          <w:trHeight w:val="410"/>
        </w:trPr>
        <w:tc>
          <w:tcPr>
            <w:tcW w:w="646" w:type="dxa"/>
            <w:shd w:val="clear" w:color="auto" w:fill="auto"/>
          </w:tcPr>
          <w:p w:rsidR="00593AF4" w:rsidRPr="00E30DEB" w:rsidRDefault="00593AF4" w:rsidP="00861A9D">
            <w:pPr>
              <w:pStyle w:val="TableTextNoSpace"/>
            </w:pPr>
            <w:r w:rsidRPr="00E30DEB">
              <w:t>HU</w:t>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14</w:t>
            </w:r>
          </w:p>
        </w:tc>
        <w:tc>
          <w:tcPr>
            <w:tcW w:w="716" w:type="dxa"/>
            <w:shd w:val="clear" w:color="auto" w:fill="auto"/>
          </w:tcPr>
          <w:p w:rsidR="00593AF4" w:rsidRPr="00E30DEB" w:rsidRDefault="00593AF4" w:rsidP="00861A9D">
            <w:pPr>
              <w:pStyle w:val="TableTextNoSpace"/>
            </w:pPr>
            <w:r w:rsidRPr="00E30DEB">
              <w:t>16</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14</w:t>
            </w:r>
            <w:r w:rsidRPr="00E30DEB">
              <w:rPr>
                <w:vertAlign w:val="superscript"/>
              </w:rPr>
              <w:endnoteReference w:id="51"/>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w:t>
            </w:r>
            <w:r w:rsidRPr="00E30DEB">
              <w:rPr>
                <w:vertAlign w:val="superscript"/>
              </w:rPr>
              <w:endnoteReference w:id="52"/>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IE</w:t>
            </w:r>
          </w:p>
        </w:tc>
        <w:tc>
          <w:tcPr>
            <w:tcW w:w="1236" w:type="dxa"/>
            <w:shd w:val="clear" w:color="auto" w:fill="auto"/>
            <w:vAlign w:val="center"/>
          </w:tcPr>
          <w:p w:rsidR="00593AF4" w:rsidRPr="00E30DEB" w:rsidRDefault="00593AF4" w:rsidP="00861A9D">
            <w:pPr>
              <w:pStyle w:val="TableTextNoSpace"/>
            </w:pPr>
            <w:r w:rsidRPr="00A83745">
              <w:t>12</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IT</w:t>
            </w:r>
            <w:r w:rsidRPr="00E30DEB">
              <w:rPr>
                <w:vertAlign w:val="superscript"/>
              </w:rPr>
              <w:endnoteReference w:id="53"/>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16</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LT</w:t>
            </w:r>
            <w:r w:rsidRPr="00E30DEB">
              <w:rPr>
                <w:vertAlign w:val="superscript"/>
              </w:rPr>
              <w:endnoteReference w:id="54"/>
            </w:r>
          </w:p>
        </w:tc>
        <w:tc>
          <w:tcPr>
            <w:tcW w:w="1236" w:type="dxa"/>
            <w:shd w:val="clear" w:color="auto" w:fill="auto"/>
            <w:vAlign w:val="center"/>
          </w:tcPr>
          <w:p w:rsidR="00593AF4" w:rsidRPr="00E30DEB" w:rsidRDefault="00593AF4" w:rsidP="00861A9D">
            <w:pPr>
              <w:pStyle w:val="TableTextNoSpace"/>
            </w:pPr>
            <w:r w:rsidRPr="00A83745">
              <w:t>16</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LU</w:t>
            </w:r>
            <w:r w:rsidRPr="00E30DEB">
              <w:rPr>
                <w:vertAlign w:val="superscript"/>
              </w:rPr>
              <w:endnoteReference w:id="55"/>
            </w:r>
          </w:p>
        </w:tc>
        <w:tc>
          <w:tcPr>
            <w:tcW w:w="1236" w:type="dxa"/>
            <w:shd w:val="clear" w:color="auto" w:fill="auto"/>
            <w:vAlign w:val="center"/>
          </w:tcPr>
          <w:p w:rsidR="00593AF4" w:rsidRPr="00E30DEB" w:rsidRDefault="00593AF4" w:rsidP="00861A9D">
            <w:pPr>
              <w:pStyle w:val="TableTextNoSpace"/>
            </w:pPr>
            <w:r w:rsidRPr="00A83745">
              <w:t>18</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LV</w:t>
            </w:r>
            <w:r w:rsidRPr="00E30DEB">
              <w:rPr>
                <w:vertAlign w:val="superscript"/>
              </w:rPr>
              <w:endnoteReference w:id="56"/>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MT</w:t>
            </w:r>
          </w:p>
        </w:tc>
        <w:tc>
          <w:tcPr>
            <w:tcW w:w="1236" w:type="dxa"/>
            <w:shd w:val="clear" w:color="auto" w:fill="auto"/>
            <w:vAlign w:val="center"/>
          </w:tcPr>
          <w:p w:rsidR="00593AF4" w:rsidRPr="00E30DEB" w:rsidRDefault="00593AF4" w:rsidP="00861A9D">
            <w:pPr>
              <w:pStyle w:val="TableTextNoSpace"/>
            </w:pPr>
            <w:r w:rsidRPr="00A83745">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NL</w:t>
            </w:r>
          </w:p>
        </w:tc>
        <w:tc>
          <w:tcPr>
            <w:tcW w:w="1236" w:type="dxa"/>
            <w:shd w:val="clear" w:color="auto" w:fill="auto"/>
            <w:vAlign w:val="center"/>
          </w:tcPr>
          <w:p w:rsidR="00593AF4" w:rsidRPr="00E30DEB" w:rsidRDefault="00593AF4" w:rsidP="00861A9D">
            <w:pPr>
              <w:pStyle w:val="TableTextNoSpace"/>
            </w:pPr>
            <w:r w:rsidRPr="00A83745">
              <w:t>12</w:t>
            </w:r>
          </w:p>
        </w:tc>
        <w:tc>
          <w:tcPr>
            <w:tcW w:w="589" w:type="dxa"/>
            <w:shd w:val="clear" w:color="auto" w:fill="auto"/>
          </w:tcPr>
          <w:p w:rsidR="00593AF4" w:rsidRPr="00E30DEB" w:rsidRDefault="00593AF4" w:rsidP="00861A9D">
            <w:pPr>
              <w:pStyle w:val="TableTextNoSpace"/>
            </w:pPr>
            <w:r w:rsidRPr="00E30DEB">
              <w:t>18</w:t>
            </w:r>
            <w:r w:rsidRPr="00E30DEB">
              <w:rPr>
                <w:vertAlign w:val="superscript"/>
              </w:rPr>
              <w:endnoteReference w:id="57"/>
            </w:r>
          </w:p>
        </w:tc>
        <w:tc>
          <w:tcPr>
            <w:tcW w:w="716" w:type="dxa"/>
            <w:shd w:val="clear" w:color="auto" w:fill="auto"/>
          </w:tcPr>
          <w:p w:rsidR="00593AF4" w:rsidRPr="00E30DEB" w:rsidRDefault="00593AF4" w:rsidP="00861A9D">
            <w:pPr>
              <w:pStyle w:val="TableTextNoSpace"/>
            </w:pPr>
            <w:r w:rsidRPr="00E30DEB">
              <w:t>16</w:t>
            </w:r>
          </w:p>
        </w:tc>
        <w:tc>
          <w:tcPr>
            <w:tcW w:w="656" w:type="dxa"/>
            <w:shd w:val="clear" w:color="auto" w:fill="auto"/>
          </w:tcPr>
          <w:p w:rsidR="00593AF4" w:rsidRPr="00E30DEB" w:rsidRDefault="00593AF4" w:rsidP="00861A9D">
            <w:pPr>
              <w:pStyle w:val="TableTextNoSpace"/>
            </w:pPr>
            <w:r w:rsidRPr="00E30DEB">
              <w:t>18</w:t>
            </w:r>
            <w:r w:rsidRPr="00E30DEB">
              <w:rPr>
                <w:vertAlign w:val="superscript"/>
              </w:rPr>
              <w:endnoteReference w:id="58"/>
            </w:r>
          </w:p>
        </w:tc>
        <w:tc>
          <w:tcPr>
            <w:tcW w:w="815" w:type="dxa"/>
            <w:shd w:val="clear" w:color="auto" w:fill="auto"/>
          </w:tcPr>
          <w:p w:rsidR="00593AF4" w:rsidRPr="00E30DEB" w:rsidRDefault="00593AF4" w:rsidP="00861A9D">
            <w:pPr>
              <w:pStyle w:val="TableTextNoSpace"/>
            </w:pPr>
            <w:r w:rsidRPr="00E30DEB">
              <w:t>18</w:t>
            </w:r>
            <w:r w:rsidRPr="00E30DEB">
              <w:rPr>
                <w:vertAlign w:val="superscript"/>
              </w:rPr>
              <w:endnoteReference w:id="59"/>
            </w:r>
          </w:p>
        </w:tc>
        <w:tc>
          <w:tcPr>
            <w:tcW w:w="876" w:type="dxa"/>
            <w:shd w:val="clear" w:color="auto" w:fill="auto"/>
          </w:tcPr>
          <w:p w:rsidR="00593AF4" w:rsidRPr="00E30DEB" w:rsidRDefault="00593AF4" w:rsidP="00861A9D">
            <w:pPr>
              <w:pStyle w:val="TableTextNoSpace"/>
            </w:pPr>
            <w:r w:rsidRPr="00E30DEB">
              <w:t>18</w:t>
            </w:r>
            <w:r w:rsidRPr="00E30DEB">
              <w:rPr>
                <w:vertAlign w:val="superscript"/>
              </w:rPr>
              <w:endnoteReference w:id="60"/>
            </w:r>
          </w:p>
        </w:tc>
        <w:tc>
          <w:tcPr>
            <w:tcW w:w="766" w:type="dxa"/>
            <w:shd w:val="clear" w:color="auto" w:fill="auto"/>
          </w:tcPr>
          <w:p w:rsidR="00593AF4" w:rsidRPr="00E30DEB" w:rsidRDefault="00593AF4" w:rsidP="00861A9D">
            <w:pPr>
              <w:pStyle w:val="TableTextNoSpace"/>
            </w:pPr>
            <w:r w:rsidRPr="00E30DEB">
              <w:t>18</w:t>
            </w:r>
            <w:r w:rsidRPr="00E30DEB">
              <w:rPr>
                <w:vertAlign w:val="superscript"/>
              </w:rPr>
              <w:endnoteReference w:id="61"/>
            </w:r>
          </w:p>
        </w:tc>
        <w:tc>
          <w:tcPr>
            <w:tcW w:w="990" w:type="dxa"/>
            <w:shd w:val="clear" w:color="auto" w:fill="auto"/>
          </w:tcPr>
          <w:p w:rsidR="00593AF4" w:rsidRPr="00E30DEB" w:rsidRDefault="00593AF4" w:rsidP="00861A9D">
            <w:pPr>
              <w:pStyle w:val="TableTextNoSpace"/>
            </w:pPr>
            <w:r w:rsidRPr="00E30DEB">
              <w:t>12</w:t>
            </w:r>
          </w:p>
        </w:tc>
        <w:tc>
          <w:tcPr>
            <w:tcW w:w="900" w:type="dxa"/>
            <w:shd w:val="clear" w:color="auto" w:fill="auto"/>
          </w:tcPr>
          <w:p w:rsidR="00593AF4" w:rsidRPr="00E30DEB" w:rsidRDefault="00593AF4" w:rsidP="00861A9D">
            <w:pPr>
              <w:pStyle w:val="TableTextNoSpace"/>
            </w:pPr>
            <w:r w:rsidRPr="00E30DEB">
              <w:t>18</w:t>
            </w:r>
            <w:r w:rsidRPr="00E30DEB">
              <w:rPr>
                <w:vertAlign w:val="superscript"/>
              </w:rPr>
              <w:t xml:space="preserve"> </w:t>
            </w:r>
            <w:r w:rsidRPr="00E30DEB">
              <w:rPr>
                <w:vertAlign w:val="superscript"/>
              </w:rPr>
              <w:endnoteReference w:id="62"/>
            </w:r>
          </w:p>
        </w:tc>
        <w:tc>
          <w:tcPr>
            <w:tcW w:w="810" w:type="dxa"/>
            <w:shd w:val="clear" w:color="auto" w:fill="auto"/>
          </w:tcPr>
          <w:p w:rsidR="00593AF4" w:rsidRPr="00E30DEB" w:rsidRDefault="00593AF4" w:rsidP="00861A9D">
            <w:pPr>
              <w:pStyle w:val="TableTextNoSpace"/>
            </w:pPr>
            <w:r w:rsidRPr="00E30DEB">
              <w:t>12</w:t>
            </w:r>
          </w:p>
        </w:tc>
      </w:tr>
      <w:tr w:rsidR="00593AF4" w:rsidRPr="00E30DEB" w:rsidTr="00861A9D">
        <w:tc>
          <w:tcPr>
            <w:tcW w:w="646" w:type="dxa"/>
            <w:shd w:val="clear" w:color="auto" w:fill="auto"/>
          </w:tcPr>
          <w:p w:rsidR="00593AF4" w:rsidRPr="00E30DEB" w:rsidRDefault="00593AF4" w:rsidP="00861A9D">
            <w:pPr>
              <w:pStyle w:val="TableTextNoSpace"/>
            </w:pPr>
            <w:r w:rsidRPr="00E30DEB">
              <w:t>PL</w:t>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17</w:t>
            </w:r>
          </w:p>
        </w:tc>
        <w:tc>
          <w:tcPr>
            <w:tcW w:w="589" w:type="dxa"/>
            <w:shd w:val="clear" w:color="auto" w:fill="auto"/>
          </w:tcPr>
          <w:p w:rsidR="00593AF4" w:rsidRPr="00E30DEB" w:rsidRDefault="00593AF4" w:rsidP="00861A9D">
            <w:pPr>
              <w:pStyle w:val="TableTextNoSpace"/>
            </w:pPr>
            <w:r w:rsidRPr="00E30DEB">
              <w:t>16</w:t>
            </w:r>
            <w:r w:rsidRPr="00E30DEB">
              <w:rPr>
                <w:vertAlign w:val="superscript"/>
              </w:rPr>
              <w:endnoteReference w:id="63"/>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PT</w:t>
            </w:r>
            <w:r w:rsidRPr="00E30DEB">
              <w:rPr>
                <w:vertAlign w:val="superscript"/>
              </w:rPr>
              <w:endnoteReference w:id="64"/>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16</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r w:rsidRPr="00E30DEB">
              <w:rPr>
                <w:vertAlign w:val="superscript"/>
              </w:rPr>
              <w:endnoteReference w:id="65"/>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RO</w:t>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14</w:t>
            </w:r>
          </w:p>
        </w:tc>
        <w:tc>
          <w:tcPr>
            <w:tcW w:w="589" w:type="dxa"/>
            <w:shd w:val="clear" w:color="auto" w:fill="auto"/>
          </w:tcPr>
          <w:p w:rsidR="00593AF4" w:rsidRPr="00E30DEB" w:rsidRDefault="00593AF4" w:rsidP="00861A9D">
            <w:pPr>
              <w:pStyle w:val="TableTextNoSpace"/>
            </w:pPr>
            <w:r w:rsidRPr="00E30DEB">
              <w:t>14</w:t>
            </w:r>
            <w:r w:rsidRPr="00E30DEB">
              <w:rPr>
                <w:vertAlign w:val="superscript"/>
              </w:rPr>
              <w:endnoteReference w:id="66"/>
            </w:r>
          </w:p>
        </w:tc>
        <w:tc>
          <w:tcPr>
            <w:tcW w:w="716" w:type="dxa"/>
            <w:shd w:val="clear" w:color="auto" w:fill="auto"/>
          </w:tcPr>
          <w:p w:rsidR="00593AF4" w:rsidRPr="00E30DEB" w:rsidRDefault="00593AF4" w:rsidP="00861A9D">
            <w:pPr>
              <w:pStyle w:val="TableTextNoSpace"/>
            </w:pPr>
            <w:r w:rsidRPr="00E30DEB">
              <w:t>14</w:t>
            </w:r>
            <w:r w:rsidRPr="00E30DEB">
              <w:rPr>
                <w:vertAlign w:val="superscript"/>
              </w:rPr>
              <w:endnoteReference w:id="67"/>
            </w:r>
          </w:p>
        </w:tc>
        <w:tc>
          <w:tcPr>
            <w:tcW w:w="656" w:type="dxa"/>
            <w:shd w:val="clear" w:color="auto" w:fill="auto"/>
          </w:tcPr>
          <w:p w:rsidR="00593AF4" w:rsidRPr="00E30DEB" w:rsidRDefault="00593AF4" w:rsidP="00861A9D">
            <w:pPr>
              <w:pStyle w:val="TableTextNoSpace"/>
            </w:pPr>
            <w:r w:rsidRPr="00E30DEB">
              <w:t>14</w:t>
            </w:r>
            <w:r w:rsidRPr="00E30DEB">
              <w:rPr>
                <w:vertAlign w:val="superscript"/>
              </w:rPr>
              <w:endnoteReference w:id="68"/>
            </w:r>
          </w:p>
        </w:tc>
        <w:tc>
          <w:tcPr>
            <w:tcW w:w="815" w:type="dxa"/>
            <w:shd w:val="clear" w:color="auto" w:fill="auto"/>
          </w:tcPr>
          <w:p w:rsidR="00593AF4" w:rsidRPr="00E30DEB" w:rsidRDefault="00593AF4" w:rsidP="00861A9D">
            <w:pPr>
              <w:pStyle w:val="TableTextNoSpace"/>
            </w:pPr>
            <w:r w:rsidRPr="00E30DEB">
              <w:t>14</w:t>
            </w:r>
            <w:r w:rsidRPr="00E30DEB">
              <w:rPr>
                <w:vertAlign w:val="superscript"/>
              </w:rPr>
              <w:endnoteReference w:id="69"/>
            </w:r>
          </w:p>
        </w:tc>
        <w:tc>
          <w:tcPr>
            <w:tcW w:w="876" w:type="dxa"/>
            <w:shd w:val="clear" w:color="auto" w:fill="auto"/>
          </w:tcPr>
          <w:p w:rsidR="00593AF4" w:rsidRPr="00E30DEB" w:rsidRDefault="00593AF4" w:rsidP="00861A9D">
            <w:pPr>
              <w:pStyle w:val="TableTextNoSpace"/>
            </w:pPr>
            <w:r w:rsidRPr="00E30DEB">
              <w:t>14</w:t>
            </w:r>
            <w:r w:rsidRPr="00E30DEB">
              <w:rPr>
                <w:vertAlign w:val="superscript"/>
              </w:rPr>
              <w:endnoteReference w:id="70"/>
            </w:r>
          </w:p>
        </w:tc>
        <w:tc>
          <w:tcPr>
            <w:tcW w:w="766" w:type="dxa"/>
            <w:shd w:val="clear" w:color="auto" w:fill="auto"/>
          </w:tcPr>
          <w:p w:rsidR="00593AF4" w:rsidRPr="00E30DEB" w:rsidRDefault="00593AF4" w:rsidP="00861A9D">
            <w:pPr>
              <w:pStyle w:val="TableTextNoSpace"/>
            </w:pPr>
            <w:r w:rsidRPr="00E30DEB">
              <w:t>14</w:t>
            </w:r>
            <w:r w:rsidRPr="00E30DEB">
              <w:rPr>
                <w:vertAlign w:val="superscript"/>
              </w:rPr>
              <w:endnoteReference w:id="71"/>
            </w:r>
          </w:p>
        </w:tc>
        <w:tc>
          <w:tcPr>
            <w:tcW w:w="990" w:type="dxa"/>
            <w:shd w:val="clear" w:color="auto" w:fill="auto"/>
          </w:tcPr>
          <w:p w:rsidR="00593AF4" w:rsidRPr="00E30DEB" w:rsidRDefault="00593AF4" w:rsidP="00861A9D">
            <w:pPr>
              <w:pStyle w:val="TableTextNoSpace"/>
            </w:pPr>
            <w:r w:rsidRPr="00E30DEB">
              <w:t>18</w:t>
            </w:r>
            <w:r w:rsidRPr="00E30DEB">
              <w:rPr>
                <w:vertAlign w:val="superscript"/>
              </w:rPr>
              <w:endnoteReference w:id="72"/>
            </w:r>
          </w:p>
        </w:tc>
        <w:tc>
          <w:tcPr>
            <w:tcW w:w="900" w:type="dxa"/>
            <w:shd w:val="clear" w:color="auto" w:fill="auto"/>
          </w:tcPr>
          <w:p w:rsidR="00593AF4" w:rsidRPr="00E30DEB" w:rsidRDefault="00593AF4" w:rsidP="00861A9D">
            <w:pPr>
              <w:pStyle w:val="TableTextNoSpace"/>
            </w:pPr>
            <w:r w:rsidRPr="00E30DEB">
              <w:t>14</w:t>
            </w:r>
            <w:r w:rsidRPr="00E30DEB">
              <w:rPr>
                <w:vertAlign w:val="superscript"/>
              </w:rPr>
              <w:endnoteReference w:id="73"/>
            </w:r>
          </w:p>
        </w:tc>
        <w:tc>
          <w:tcPr>
            <w:tcW w:w="810" w:type="dxa"/>
            <w:shd w:val="clear" w:color="auto" w:fill="auto"/>
          </w:tcPr>
          <w:p w:rsidR="00593AF4" w:rsidRPr="00E30DEB" w:rsidRDefault="00593AF4" w:rsidP="00861A9D">
            <w:pPr>
              <w:pStyle w:val="TableTextNoSpace"/>
            </w:pPr>
            <w:r w:rsidRPr="00E30DEB">
              <w:t>14</w:t>
            </w:r>
            <w:r w:rsidRPr="00E30DEB">
              <w:rPr>
                <w:vertAlign w:val="superscript"/>
              </w:rPr>
              <w:endnoteReference w:id="74"/>
            </w:r>
          </w:p>
        </w:tc>
      </w:tr>
      <w:tr w:rsidR="00593AF4" w:rsidRPr="00E30DEB" w:rsidTr="00861A9D">
        <w:tc>
          <w:tcPr>
            <w:tcW w:w="646" w:type="dxa"/>
            <w:shd w:val="clear" w:color="auto" w:fill="auto"/>
          </w:tcPr>
          <w:p w:rsidR="00593AF4" w:rsidRPr="00E30DEB" w:rsidRDefault="00593AF4" w:rsidP="00861A9D">
            <w:pPr>
              <w:pStyle w:val="TableTextNoSpace"/>
            </w:pPr>
            <w:r w:rsidRPr="00E30DEB">
              <w:t>SE</w:t>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15</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16</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16</w:t>
            </w:r>
          </w:p>
        </w:tc>
        <w:tc>
          <w:tcPr>
            <w:tcW w:w="766" w:type="dxa"/>
            <w:shd w:val="clear" w:color="auto" w:fill="auto"/>
          </w:tcPr>
          <w:p w:rsidR="00593AF4" w:rsidRPr="00E30DEB" w:rsidRDefault="00593AF4" w:rsidP="00861A9D">
            <w:pPr>
              <w:pStyle w:val="TableTextNoSpace"/>
            </w:pPr>
            <w:r w:rsidRPr="00E30DEB">
              <w:t>15</w:t>
            </w:r>
            <w:r w:rsidRPr="00E30DEB">
              <w:rPr>
                <w:vertAlign w:val="superscript"/>
              </w:rPr>
              <w:endnoteReference w:id="75"/>
            </w:r>
          </w:p>
        </w:tc>
        <w:tc>
          <w:tcPr>
            <w:tcW w:w="990" w:type="dxa"/>
            <w:shd w:val="clear" w:color="auto" w:fill="auto"/>
          </w:tcPr>
          <w:p w:rsidR="00593AF4" w:rsidRPr="00E30DEB" w:rsidRDefault="00593AF4" w:rsidP="00861A9D">
            <w:pPr>
              <w:pStyle w:val="TableTextNoSpace"/>
            </w:pPr>
            <w:r w:rsidRPr="00E30DEB">
              <w:t>15</w:t>
            </w:r>
            <w:r w:rsidRPr="00E30DEB">
              <w:rPr>
                <w:vertAlign w:val="superscript"/>
              </w:rPr>
              <w:endnoteReference w:id="76"/>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w:t>
            </w:r>
          </w:p>
        </w:tc>
      </w:tr>
      <w:tr w:rsidR="00593AF4" w:rsidRPr="00E30DEB" w:rsidTr="00861A9D">
        <w:tc>
          <w:tcPr>
            <w:tcW w:w="646" w:type="dxa"/>
            <w:shd w:val="clear" w:color="auto" w:fill="auto"/>
          </w:tcPr>
          <w:p w:rsidR="00593AF4" w:rsidRPr="00E30DEB" w:rsidRDefault="00593AF4" w:rsidP="00861A9D">
            <w:pPr>
              <w:pStyle w:val="TableTextNoSpace"/>
            </w:pPr>
            <w:r w:rsidRPr="00E30DEB">
              <w:t>SI</w:t>
            </w:r>
            <w:r w:rsidRPr="00E30DEB">
              <w:rPr>
                <w:vertAlign w:val="superscript"/>
              </w:rPr>
              <w:endnoteReference w:id="77"/>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SK</w:t>
            </w:r>
            <w:r w:rsidRPr="00E30DEB">
              <w:rPr>
                <w:vertAlign w:val="superscript"/>
              </w:rPr>
              <w:endnoteReference w:id="78"/>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14</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18</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UK-EW</w:t>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10</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r w:rsidRPr="00E30DEB">
              <w:rPr>
                <w:vertAlign w:val="superscript"/>
              </w:rPr>
              <w:endnoteReference w:id="79"/>
            </w:r>
          </w:p>
        </w:tc>
        <w:tc>
          <w:tcPr>
            <w:tcW w:w="815" w:type="dxa"/>
            <w:shd w:val="clear" w:color="auto" w:fill="auto"/>
          </w:tcPr>
          <w:p w:rsidR="00593AF4" w:rsidRPr="00E30DEB" w:rsidRDefault="00593AF4" w:rsidP="00861A9D">
            <w:pPr>
              <w:pStyle w:val="TableTextNoSpace"/>
            </w:pPr>
            <w:r w:rsidRPr="00E30DEB">
              <w:t>18</w:t>
            </w:r>
            <w:r w:rsidRPr="00E30DEB">
              <w:rPr>
                <w:vertAlign w:val="superscript"/>
              </w:rPr>
              <w:endnoteReference w:id="80"/>
            </w:r>
          </w:p>
        </w:tc>
        <w:tc>
          <w:tcPr>
            <w:tcW w:w="876" w:type="dxa"/>
            <w:shd w:val="clear" w:color="auto" w:fill="auto"/>
          </w:tcPr>
          <w:p w:rsidR="00593AF4" w:rsidRPr="00E30DEB" w:rsidRDefault="00593AF4" w:rsidP="00861A9D">
            <w:pPr>
              <w:pStyle w:val="TableTextNoSpace"/>
            </w:pPr>
            <w:r w:rsidRPr="00E30DEB">
              <w:t>18</w:t>
            </w:r>
            <w:r w:rsidRPr="00E30DEB">
              <w:rPr>
                <w:vertAlign w:val="superscript"/>
              </w:rPr>
              <w:endnoteReference w:id="81"/>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UK-NI</w:t>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10</w:t>
            </w:r>
          </w:p>
        </w:tc>
        <w:tc>
          <w:tcPr>
            <w:tcW w:w="589" w:type="dxa"/>
            <w:shd w:val="clear" w:color="auto" w:fill="auto"/>
          </w:tcPr>
          <w:p w:rsidR="00593AF4" w:rsidRPr="00E30DEB" w:rsidRDefault="00593AF4" w:rsidP="00861A9D">
            <w:pPr>
              <w:pStyle w:val="TableTextNoSpace"/>
            </w:pPr>
            <w:r w:rsidRPr="00E30DEB">
              <w:t>18</w:t>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r w:rsidRPr="00E30DEB">
              <w:rPr>
                <w:vertAlign w:val="superscript"/>
              </w:rPr>
              <w:endnoteReference w:id="82"/>
            </w:r>
          </w:p>
        </w:tc>
        <w:tc>
          <w:tcPr>
            <w:tcW w:w="815" w:type="dxa"/>
            <w:shd w:val="clear" w:color="auto" w:fill="auto"/>
          </w:tcPr>
          <w:p w:rsidR="00593AF4" w:rsidRPr="00E30DEB" w:rsidRDefault="00593AF4" w:rsidP="00861A9D">
            <w:pPr>
              <w:pStyle w:val="TableTextNoSpace"/>
            </w:pPr>
            <w:r w:rsidRPr="00E30DEB">
              <w:t>18</w:t>
            </w:r>
            <w:r w:rsidRPr="00E30DEB">
              <w:rPr>
                <w:vertAlign w:val="superscript"/>
              </w:rPr>
              <w:endnoteReference w:id="83"/>
            </w:r>
          </w:p>
        </w:tc>
        <w:tc>
          <w:tcPr>
            <w:tcW w:w="876" w:type="dxa"/>
            <w:shd w:val="clear" w:color="auto" w:fill="auto"/>
          </w:tcPr>
          <w:p w:rsidR="00593AF4" w:rsidRPr="00E30DEB" w:rsidRDefault="00593AF4" w:rsidP="00861A9D">
            <w:pPr>
              <w:pStyle w:val="TableTextNoSpace"/>
            </w:pPr>
            <w:r w:rsidRPr="00E30DEB">
              <w:t>18</w:t>
            </w:r>
            <w:r w:rsidRPr="00E30DEB">
              <w:rPr>
                <w:vertAlign w:val="superscript"/>
              </w:rPr>
              <w:endnoteReference w:id="84"/>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18</w:t>
            </w:r>
          </w:p>
        </w:tc>
        <w:tc>
          <w:tcPr>
            <w:tcW w:w="900" w:type="dxa"/>
            <w:shd w:val="clear" w:color="auto" w:fill="auto"/>
          </w:tcPr>
          <w:p w:rsidR="00593AF4" w:rsidRPr="00E30DEB" w:rsidRDefault="00593AF4" w:rsidP="00861A9D">
            <w:pPr>
              <w:pStyle w:val="TableTextNoSpace"/>
            </w:pPr>
            <w:r w:rsidRPr="00E30DEB">
              <w:t>18</w:t>
            </w:r>
          </w:p>
        </w:tc>
        <w:tc>
          <w:tcPr>
            <w:tcW w:w="810" w:type="dxa"/>
            <w:shd w:val="clear" w:color="auto" w:fill="auto"/>
          </w:tcPr>
          <w:p w:rsidR="00593AF4" w:rsidRPr="00E30DEB" w:rsidRDefault="00593AF4" w:rsidP="00861A9D">
            <w:pPr>
              <w:pStyle w:val="TableTextNoSpace"/>
            </w:pPr>
            <w:r w:rsidRPr="00E30DEB">
              <w:t>18</w:t>
            </w:r>
          </w:p>
        </w:tc>
      </w:tr>
      <w:tr w:rsidR="00593AF4" w:rsidRPr="00E30DEB" w:rsidTr="00861A9D">
        <w:tc>
          <w:tcPr>
            <w:tcW w:w="646" w:type="dxa"/>
            <w:shd w:val="clear" w:color="auto" w:fill="auto"/>
          </w:tcPr>
          <w:p w:rsidR="00593AF4" w:rsidRPr="00E30DEB" w:rsidRDefault="00593AF4" w:rsidP="00861A9D">
            <w:pPr>
              <w:pStyle w:val="TableTextNoSpace"/>
            </w:pPr>
            <w:r w:rsidRPr="00E30DEB">
              <w:t>UK-S</w:t>
            </w:r>
          </w:p>
        </w:tc>
        <w:tc>
          <w:tcPr>
            <w:tcW w:w="1236" w:type="dxa"/>
            <w:shd w:val="clear" w:color="auto" w:fill="auto"/>
            <w:vAlign w:val="center"/>
          </w:tcPr>
          <w:p w:rsidR="00593AF4" w:rsidRPr="00E30DEB" w:rsidRDefault="00593AF4" w:rsidP="00861A9D">
            <w:pPr>
              <w:pStyle w:val="TableTextNoSpace"/>
            </w:pPr>
            <w:r w:rsidRPr="0085036F">
              <w:rPr>
                <w:sz w:val="16"/>
                <w:szCs w:val="16"/>
                <w:lang w:eastAsia="en-GB"/>
              </w:rPr>
              <w:t>12</w:t>
            </w:r>
          </w:p>
        </w:tc>
        <w:tc>
          <w:tcPr>
            <w:tcW w:w="589" w:type="dxa"/>
            <w:shd w:val="clear" w:color="auto" w:fill="auto"/>
          </w:tcPr>
          <w:p w:rsidR="00593AF4" w:rsidRPr="00E30DEB" w:rsidRDefault="00593AF4" w:rsidP="00861A9D">
            <w:pPr>
              <w:pStyle w:val="TableTextNoSpace"/>
            </w:pPr>
            <w:r w:rsidRPr="00E30DEB">
              <w:t>16</w:t>
            </w:r>
            <w:r w:rsidRPr="00E30DEB">
              <w:rPr>
                <w:vertAlign w:val="superscript"/>
              </w:rPr>
              <w:endnoteReference w:id="85"/>
            </w:r>
          </w:p>
        </w:tc>
        <w:tc>
          <w:tcPr>
            <w:tcW w:w="716" w:type="dxa"/>
            <w:shd w:val="clear" w:color="auto" w:fill="auto"/>
          </w:tcPr>
          <w:p w:rsidR="00593AF4" w:rsidRPr="00E30DEB" w:rsidRDefault="00593AF4" w:rsidP="00861A9D">
            <w:pPr>
              <w:pStyle w:val="TableTextNoSpace"/>
            </w:pPr>
            <w:r w:rsidRPr="00E30DEB">
              <w:t>18</w:t>
            </w:r>
          </w:p>
        </w:tc>
        <w:tc>
          <w:tcPr>
            <w:tcW w:w="656" w:type="dxa"/>
            <w:shd w:val="clear" w:color="auto" w:fill="auto"/>
          </w:tcPr>
          <w:p w:rsidR="00593AF4" w:rsidRPr="00E30DEB" w:rsidRDefault="00593AF4" w:rsidP="00861A9D">
            <w:pPr>
              <w:pStyle w:val="TableTextNoSpace"/>
            </w:pPr>
            <w:r w:rsidRPr="00E30DEB">
              <w:t>18</w:t>
            </w:r>
          </w:p>
        </w:tc>
        <w:tc>
          <w:tcPr>
            <w:tcW w:w="815" w:type="dxa"/>
            <w:shd w:val="clear" w:color="auto" w:fill="auto"/>
          </w:tcPr>
          <w:p w:rsidR="00593AF4" w:rsidRPr="00E30DEB" w:rsidRDefault="00593AF4" w:rsidP="00861A9D">
            <w:pPr>
              <w:pStyle w:val="TableTextNoSpace"/>
            </w:pPr>
            <w:r w:rsidRPr="00E30DEB">
              <w:t>18</w:t>
            </w:r>
          </w:p>
        </w:tc>
        <w:tc>
          <w:tcPr>
            <w:tcW w:w="876" w:type="dxa"/>
            <w:shd w:val="clear" w:color="auto" w:fill="auto"/>
          </w:tcPr>
          <w:p w:rsidR="00593AF4" w:rsidRPr="00E30DEB" w:rsidRDefault="00593AF4" w:rsidP="00861A9D">
            <w:pPr>
              <w:pStyle w:val="TableTextNoSpace"/>
            </w:pPr>
            <w:r w:rsidRPr="00E30DEB">
              <w:t>16</w:t>
            </w:r>
          </w:p>
        </w:tc>
        <w:tc>
          <w:tcPr>
            <w:tcW w:w="766" w:type="dxa"/>
            <w:shd w:val="clear" w:color="auto" w:fill="auto"/>
          </w:tcPr>
          <w:p w:rsidR="00593AF4" w:rsidRPr="00E30DEB" w:rsidRDefault="00593AF4" w:rsidP="00861A9D">
            <w:pPr>
              <w:pStyle w:val="TableTextNoSpace"/>
            </w:pPr>
            <w:r w:rsidRPr="00E30DEB">
              <w:t>18</w:t>
            </w:r>
          </w:p>
        </w:tc>
        <w:tc>
          <w:tcPr>
            <w:tcW w:w="990" w:type="dxa"/>
            <w:shd w:val="clear" w:color="auto" w:fill="auto"/>
          </w:tcPr>
          <w:p w:rsidR="00593AF4" w:rsidRPr="00E30DEB" w:rsidRDefault="00593AF4" w:rsidP="00861A9D">
            <w:pPr>
              <w:pStyle w:val="TableTextNoSpace"/>
            </w:pPr>
            <w:r w:rsidRPr="00E30DEB">
              <w:t>16</w:t>
            </w:r>
            <w:r w:rsidRPr="00E30DEB">
              <w:rPr>
                <w:vertAlign w:val="superscript"/>
              </w:rPr>
              <w:endnoteReference w:id="86"/>
            </w:r>
          </w:p>
        </w:tc>
        <w:tc>
          <w:tcPr>
            <w:tcW w:w="900" w:type="dxa"/>
            <w:shd w:val="clear" w:color="auto" w:fill="auto"/>
          </w:tcPr>
          <w:p w:rsidR="00593AF4" w:rsidRPr="00E30DEB" w:rsidRDefault="00593AF4" w:rsidP="00861A9D">
            <w:pPr>
              <w:pStyle w:val="TableTextNoSpace"/>
            </w:pPr>
            <w:r w:rsidRPr="00E30DEB">
              <w:t xml:space="preserve">-- </w:t>
            </w:r>
            <w:r w:rsidRPr="00E30DEB">
              <w:rPr>
                <w:vertAlign w:val="superscript"/>
              </w:rPr>
              <w:endnoteReference w:id="87"/>
            </w:r>
          </w:p>
        </w:tc>
        <w:tc>
          <w:tcPr>
            <w:tcW w:w="810" w:type="dxa"/>
            <w:shd w:val="clear" w:color="auto" w:fill="auto"/>
          </w:tcPr>
          <w:p w:rsidR="00593AF4" w:rsidRPr="00E30DEB" w:rsidRDefault="00593AF4" w:rsidP="00861A9D">
            <w:pPr>
              <w:pStyle w:val="TableTextNoSpace"/>
            </w:pPr>
            <w:r w:rsidRPr="00E30DEB">
              <w:t>16</w:t>
            </w:r>
            <w:r w:rsidRPr="00E30DEB">
              <w:rPr>
                <w:vertAlign w:val="superscript"/>
              </w:rPr>
              <w:endnoteReference w:id="88"/>
            </w:r>
          </w:p>
        </w:tc>
      </w:tr>
    </w:tbl>
    <w:p w:rsidR="00E30DEB" w:rsidRDefault="00E30DEB" w:rsidP="00E30DEB">
      <w:pPr>
        <w:pStyle w:val="BodyText"/>
        <w:ind w:left="0"/>
      </w:pPr>
    </w:p>
    <w:p w:rsidR="002C3D52" w:rsidRPr="00593AF4" w:rsidRDefault="00593AF4" w:rsidP="00593AF4">
      <w:pPr>
        <w:spacing w:before="0" w:after="0" w:line="240" w:lineRule="auto"/>
        <w:rPr>
          <w:rFonts w:ascii="Calibri" w:eastAsia="Calibri" w:hAnsi="Calibri"/>
          <w:sz w:val="18"/>
        </w:rPr>
        <w:sectPr w:rsidR="002C3D52" w:rsidRPr="00593AF4" w:rsidSect="009659B8">
          <w:headerReference w:type="default" r:id="rId37"/>
          <w:footerReference w:type="default" r:id="rId38"/>
          <w:endnotePr>
            <w:numFmt w:val="decimal"/>
            <w:numStart w:val="26"/>
          </w:endnotePr>
          <w:pgSz w:w="11907" w:h="16840" w:code="9"/>
          <w:pgMar w:top="1276" w:right="1418" w:bottom="851" w:left="1418" w:header="680" w:footer="567" w:gutter="0"/>
          <w:cols w:space="708"/>
          <w:docGrid w:linePitch="360"/>
        </w:sectPr>
      </w:pPr>
      <w:r>
        <w:rPr>
          <w:rFonts w:ascii="Calibri" w:eastAsia="Calibri" w:hAnsi="Calibri"/>
          <w:sz w:val="18"/>
        </w:rPr>
        <w:tab/>
      </w:r>
    </w:p>
    <w:p w:rsidR="002C3D52" w:rsidRPr="00861A9D" w:rsidRDefault="002C3D52" w:rsidP="00861A9D">
      <w:pPr>
        <w:tabs>
          <w:tab w:val="left" w:pos="1275"/>
        </w:tabs>
        <w:spacing w:before="0" w:after="0" w:line="240" w:lineRule="auto"/>
        <w:sectPr w:rsidR="002C3D52" w:rsidRPr="00861A9D" w:rsidSect="002C3D52">
          <w:endnotePr>
            <w:numFmt w:val="decimal"/>
          </w:endnotePr>
          <w:type w:val="continuous"/>
          <w:pgSz w:w="11907" w:h="16840" w:code="9"/>
          <w:pgMar w:top="1276" w:right="1418" w:bottom="851" w:left="1418" w:header="680" w:footer="567" w:gutter="0"/>
          <w:cols w:space="708"/>
          <w:docGrid w:linePitch="360"/>
        </w:sectPr>
      </w:pPr>
    </w:p>
    <w:p w:rsidR="00593AF4" w:rsidRPr="00593AF4" w:rsidRDefault="00593AF4" w:rsidP="00593AF4">
      <w:pPr>
        <w:pStyle w:val="ListParagraph"/>
        <w:keepNext/>
        <w:numPr>
          <w:ilvl w:val="4"/>
          <w:numId w:val="19"/>
        </w:numPr>
        <w:spacing w:before="120" w:after="120" w:line="240" w:lineRule="atLeast"/>
        <w:rPr>
          <w:rFonts w:eastAsiaTheme="minorHAnsi"/>
          <w:b/>
          <w:vanish/>
          <w:color w:val="0067AC"/>
          <w:sz w:val="20"/>
          <w:szCs w:val="24"/>
        </w:rPr>
      </w:pPr>
      <w:bookmarkStart w:id="350" w:name="_Ref395829058"/>
    </w:p>
    <w:p w:rsidR="00593AF4" w:rsidRPr="00593AF4" w:rsidRDefault="00593AF4" w:rsidP="00593AF4">
      <w:pPr>
        <w:pStyle w:val="ListParagraph"/>
        <w:keepNext/>
        <w:numPr>
          <w:ilvl w:val="4"/>
          <w:numId w:val="19"/>
        </w:numPr>
        <w:spacing w:before="120" w:after="120" w:line="240" w:lineRule="atLeast"/>
        <w:rPr>
          <w:rFonts w:eastAsiaTheme="minorHAnsi"/>
          <w:b/>
          <w:vanish/>
          <w:color w:val="0067AC"/>
          <w:sz w:val="20"/>
          <w:szCs w:val="24"/>
        </w:rPr>
      </w:pPr>
    </w:p>
    <w:p w:rsidR="00104A21" w:rsidRDefault="00104A21" w:rsidP="00593AF4">
      <w:pPr>
        <w:pStyle w:val="AnnexTable"/>
        <w:ind w:left="1260" w:hanging="1260"/>
      </w:pPr>
      <w:bookmarkStart w:id="351" w:name="_Toc408908663"/>
      <w:r w:rsidRPr="00104A21">
        <w:t>Existence of a legal obligation on the part of the court to obtain a comprehensive understanding of children involved in judicial proceedings and assess his or her legal, psychological, social, emotional, physical and cognitive situation using a multidisciplinary approach</w:t>
      </w:r>
      <w:r>
        <w:t xml:space="preserve"> (CivAdm099)</w:t>
      </w:r>
      <w:bookmarkEnd w:id="350"/>
      <w:bookmarkEnd w:id="351"/>
      <w:r>
        <w:t xml:space="preserve"> </w:t>
      </w:r>
    </w:p>
    <w:p w:rsidR="00F5210B" w:rsidRDefault="00F5210B" w:rsidP="00F5210B">
      <w:pPr>
        <w:pStyle w:val="TableTitle"/>
        <w:sectPr w:rsidR="00F5210B" w:rsidSect="002C3D52">
          <w:type w:val="continuous"/>
          <w:pgSz w:w="11907" w:h="16840" w:code="9"/>
          <w:pgMar w:top="1276" w:right="1418" w:bottom="851" w:left="1418" w:header="680" w:footer="567" w:gutter="0"/>
          <w:cols w:space="708"/>
          <w:docGrid w:linePitch="360"/>
        </w:sectPr>
      </w:pPr>
    </w:p>
    <w:tbl>
      <w:tblPr>
        <w:tblStyle w:val="Tabellenraster1"/>
        <w:tblW w:w="5000" w:type="pct"/>
        <w:jc w:val="center"/>
        <w:tblCellMar>
          <w:left w:w="115" w:type="dxa"/>
          <w:right w:w="115" w:type="dxa"/>
        </w:tblCellMar>
        <w:tblLook w:val="04A0" w:firstRow="1" w:lastRow="0" w:firstColumn="1" w:lastColumn="0" w:noHBand="0" w:noVBand="1"/>
      </w:tblPr>
      <w:tblGrid>
        <w:gridCol w:w="1185"/>
        <w:gridCol w:w="902"/>
        <w:gridCol w:w="902"/>
        <w:gridCol w:w="902"/>
        <w:gridCol w:w="906"/>
        <w:gridCol w:w="906"/>
        <w:gridCol w:w="904"/>
        <w:gridCol w:w="904"/>
        <w:gridCol w:w="908"/>
        <w:gridCol w:w="882"/>
      </w:tblGrid>
      <w:tr w:rsidR="00861A9D" w:rsidRPr="00593387" w:rsidTr="00861A9D">
        <w:trPr>
          <w:trHeight w:hRule="exact" w:val="288"/>
          <w:tblHeader/>
          <w:jc w:val="center"/>
        </w:trPr>
        <w:tc>
          <w:tcPr>
            <w:tcW w:w="637" w:type="pct"/>
            <w:tcBorders>
              <w:right w:val="single" w:sz="12" w:space="0" w:color="auto"/>
            </w:tcBorders>
          </w:tcPr>
          <w:p w:rsidR="00861A9D" w:rsidRDefault="00861A9D" w:rsidP="00861A9D">
            <w:pPr>
              <w:pStyle w:val="TableTitle"/>
            </w:pPr>
            <w:r>
              <w:t>MS</w:t>
            </w:r>
          </w:p>
        </w:tc>
        <w:tc>
          <w:tcPr>
            <w:tcW w:w="4363" w:type="pct"/>
            <w:gridSpan w:val="9"/>
            <w:tcBorders>
              <w:left w:val="single" w:sz="12" w:space="0" w:color="auto"/>
              <w:right w:val="single" w:sz="12" w:space="0" w:color="auto"/>
            </w:tcBorders>
          </w:tcPr>
          <w:p w:rsidR="00861A9D" w:rsidRDefault="00861A9D" w:rsidP="00861A9D">
            <w:pPr>
              <w:pStyle w:val="TableTitle"/>
            </w:pPr>
            <w:r>
              <w:t>Areas of law</w:t>
            </w:r>
          </w:p>
        </w:tc>
      </w:tr>
      <w:tr w:rsidR="00861A9D" w:rsidTr="00861A9D">
        <w:trPr>
          <w:cantSplit/>
          <w:trHeight w:hRule="exact" w:val="975"/>
          <w:tblHeader/>
          <w:jc w:val="center"/>
        </w:trPr>
        <w:tc>
          <w:tcPr>
            <w:tcW w:w="637" w:type="pct"/>
            <w:tcBorders>
              <w:right w:val="single" w:sz="12" w:space="0" w:color="auto"/>
            </w:tcBorders>
            <w:shd w:val="clear" w:color="auto" w:fill="DBE5F1" w:themeFill="accent1" w:themeFillTint="33"/>
          </w:tcPr>
          <w:p w:rsidR="00861A9D" w:rsidRPr="00E217F3" w:rsidRDefault="00861A9D" w:rsidP="00861A9D">
            <w:pPr>
              <w:rPr>
                <w:b/>
              </w:rPr>
            </w:pPr>
          </w:p>
        </w:tc>
        <w:tc>
          <w:tcPr>
            <w:tcW w:w="485" w:type="pct"/>
            <w:tcBorders>
              <w:left w:val="single" w:sz="12" w:space="0" w:color="auto"/>
            </w:tcBorders>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Family</w:t>
            </w:r>
          </w:p>
        </w:tc>
        <w:tc>
          <w:tcPr>
            <w:tcW w:w="485"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Employment</w:t>
            </w:r>
          </w:p>
        </w:tc>
        <w:tc>
          <w:tcPr>
            <w:tcW w:w="485"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Asylum</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Migration</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Education</w:t>
            </w:r>
          </w:p>
        </w:tc>
        <w:tc>
          <w:tcPr>
            <w:tcW w:w="486"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Health</w:t>
            </w:r>
          </w:p>
        </w:tc>
        <w:tc>
          <w:tcPr>
            <w:tcW w:w="486"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Placement</w:t>
            </w:r>
          </w:p>
        </w:tc>
        <w:tc>
          <w:tcPr>
            <w:tcW w:w="488"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Admin Sanctions</w:t>
            </w:r>
          </w:p>
        </w:tc>
        <w:tc>
          <w:tcPr>
            <w:tcW w:w="475" w:type="pct"/>
            <w:tcBorders>
              <w:right w:val="single" w:sz="12" w:space="0" w:color="auto"/>
            </w:tcBorders>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Offences &lt;MACR</w:t>
            </w: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AT</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BE</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BG</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CY</w:t>
            </w:r>
          </w:p>
        </w:tc>
        <w:tc>
          <w:tcPr>
            <w:tcW w:w="485" w:type="pct"/>
            <w:tcBorders>
              <w:left w:val="single" w:sz="12" w:space="0" w:color="auto"/>
            </w:tcBorders>
            <w:vAlign w:val="center"/>
          </w:tcPr>
          <w:p w:rsidR="00861A9D" w:rsidRPr="00EF3CCD" w:rsidRDefault="00861A9D" w:rsidP="00861A9D">
            <w:pPr>
              <w:pStyle w:val="ListParagraph"/>
              <w:numPr>
                <w:ilvl w:val="0"/>
                <w:numId w:val="34"/>
              </w:numPr>
              <w:spacing w:before="120" w:after="120" w:line="240" w:lineRule="atLeast"/>
              <w:contextualSpacing/>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vAlign w:val="center"/>
          </w:tcPr>
          <w:p w:rsidR="00861A9D" w:rsidRPr="00EF3CCD" w:rsidRDefault="00861A9D" w:rsidP="00861A9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vAlign w:val="center"/>
          </w:tcPr>
          <w:p w:rsidR="00861A9D" w:rsidRPr="00EF3CCD" w:rsidRDefault="00861A9D" w:rsidP="00861A9D">
            <w:pPr>
              <w:pStyle w:val="ListParagraph"/>
              <w:numPr>
                <w:ilvl w:val="0"/>
                <w:numId w:val="34"/>
              </w:numPr>
              <w:spacing w:before="120" w:after="120" w:line="240" w:lineRule="atLeast"/>
              <w:contextualSpacing/>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CZ</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DE</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DK</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EE</w:t>
            </w:r>
          </w:p>
        </w:tc>
        <w:tc>
          <w:tcPr>
            <w:tcW w:w="485" w:type="pct"/>
            <w:tcBorders>
              <w:left w:val="single" w:sz="12" w:space="0" w:color="auto"/>
            </w:tcBorders>
            <w:vAlign w:val="center"/>
          </w:tcPr>
          <w:p w:rsidR="00861A9D" w:rsidRPr="00EF3CCD" w:rsidRDefault="00861A9D" w:rsidP="00861A9D">
            <w:pPr>
              <w:pStyle w:val="ListParagraph"/>
              <w:numPr>
                <w:ilvl w:val="0"/>
                <w:numId w:val="45"/>
              </w:numPr>
              <w:spacing w:before="120" w:after="120" w:line="240" w:lineRule="atLeast"/>
              <w:contextualSpacing/>
              <w:jc w:val="center"/>
              <w:rPr>
                <w:sz w:val="18"/>
                <w:szCs w:val="18"/>
              </w:rPr>
            </w:pPr>
          </w:p>
        </w:tc>
        <w:tc>
          <w:tcPr>
            <w:tcW w:w="485" w:type="pct"/>
            <w:vAlign w:val="center"/>
          </w:tcPr>
          <w:p w:rsidR="00861A9D" w:rsidRPr="00EF3CCD" w:rsidRDefault="00861A9D" w:rsidP="00861A9D">
            <w:pPr>
              <w:pStyle w:val="ListParagraph"/>
              <w:numPr>
                <w:ilvl w:val="0"/>
                <w:numId w:val="34"/>
              </w:numPr>
              <w:spacing w:before="120" w:after="120" w:line="240" w:lineRule="atLeast"/>
              <w:contextualSpacing/>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EL</w:t>
            </w:r>
          </w:p>
        </w:tc>
        <w:tc>
          <w:tcPr>
            <w:tcW w:w="485" w:type="pct"/>
            <w:tcBorders>
              <w:left w:val="single" w:sz="12" w:space="0" w:color="auto"/>
            </w:tcBorders>
            <w:vAlign w:val="center"/>
          </w:tcPr>
          <w:p w:rsidR="00861A9D" w:rsidRPr="00815026" w:rsidRDefault="00861A9D" w:rsidP="00861A9D">
            <w:pPr>
              <w:pStyle w:val="ListParagraph"/>
              <w:numPr>
                <w:ilvl w:val="0"/>
                <w:numId w:val="45"/>
              </w:numPr>
              <w:spacing w:before="120" w:after="120" w:line="240" w:lineRule="atLeast"/>
              <w:contextualSpacing/>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vAlign w:val="center"/>
          </w:tcPr>
          <w:p w:rsidR="00861A9D" w:rsidRPr="00815026" w:rsidRDefault="00861A9D" w:rsidP="00861A9D">
            <w:pPr>
              <w:pStyle w:val="ListParagraph"/>
              <w:numPr>
                <w:ilvl w:val="0"/>
                <w:numId w:val="34"/>
              </w:numPr>
              <w:spacing w:before="120" w:after="120" w:line="240" w:lineRule="atLeast"/>
              <w:contextualSpacing/>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34"/>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ES</w:t>
            </w:r>
          </w:p>
        </w:tc>
        <w:tc>
          <w:tcPr>
            <w:tcW w:w="485" w:type="pct"/>
            <w:tcBorders>
              <w:left w:val="single" w:sz="12" w:space="0" w:color="auto"/>
            </w:tcBorders>
            <w:vAlign w:val="center"/>
          </w:tcPr>
          <w:p w:rsidR="00861A9D" w:rsidRPr="00815026" w:rsidRDefault="00861A9D" w:rsidP="00861A9D">
            <w:pPr>
              <w:pStyle w:val="ListParagraph"/>
              <w:numPr>
                <w:ilvl w:val="0"/>
                <w:numId w:val="45"/>
              </w:numPr>
              <w:spacing w:before="120" w:after="120" w:line="240" w:lineRule="atLeast"/>
              <w:contextualSpacing/>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vAlign w:val="center"/>
          </w:tcPr>
          <w:p w:rsidR="00861A9D" w:rsidRPr="00815026" w:rsidRDefault="00861A9D" w:rsidP="00861A9D">
            <w:pPr>
              <w:pStyle w:val="ListParagraph"/>
              <w:numPr>
                <w:ilvl w:val="0"/>
                <w:numId w:val="44"/>
              </w:numPr>
              <w:spacing w:before="120" w:after="120" w:line="240" w:lineRule="atLeast"/>
              <w:contextualSpacing/>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44"/>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FI</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FR</w:t>
            </w:r>
          </w:p>
        </w:tc>
        <w:tc>
          <w:tcPr>
            <w:tcW w:w="485" w:type="pct"/>
            <w:tcBorders>
              <w:left w:val="single" w:sz="12" w:space="0" w:color="auto"/>
            </w:tcBorders>
            <w:vAlign w:val="center"/>
          </w:tcPr>
          <w:p w:rsidR="00861A9D" w:rsidRPr="00815026" w:rsidRDefault="00861A9D" w:rsidP="00861A9D">
            <w:pPr>
              <w:pStyle w:val="ListParagraph"/>
              <w:numPr>
                <w:ilvl w:val="0"/>
                <w:numId w:val="44"/>
              </w:numPr>
              <w:spacing w:before="120" w:after="120" w:line="240" w:lineRule="atLeast"/>
              <w:contextualSpacing/>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vAlign w:val="center"/>
          </w:tcPr>
          <w:p w:rsidR="00861A9D" w:rsidRPr="00815026" w:rsidRDefault="00861A9D" w:rsidP="00861A9D">
            <w:pPr>
              <w:pStyle w:val="ListParagraph"/>
              <w:numPr>
                <w:ilvl w:val="0"/>
                <w:numId w:val="34"/>
              </w:numPr>
              <w:spacing w:before="120" w:after="120" w:line="240" w:lineRule="atLeast"/>
              <w:contextualSpacing/>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HR</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HU</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IE</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IT</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vAlign w:val="center"/>
          </w:tcPr>
          <w:p w:rsidR="00861A9D" w:rsidRPr="00815026" w:rsidRDefault="00861A9D" w:rsidP="00861A9D">
            <w:pPr>
              <w:pStyle w:val="ListParagraph"/>
              <w:numPr>
                <w:ilvl w:val="0"/>
                <w:numId w:val="43"/>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3"/>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3"/>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43"/>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43"/>
              </w:numPr>
              <w:spacing w:before="120" w:after="120" w:line="240" w:lineRule="atLeast"/>
              <w:contextualSpacing/>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41"/>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LT</w:t>
            </w:r>
          </w:p>
        </w:tc>
        <w:tc>
          <w:tcPr>
            <w:tcW w:w="485" w:type="pct"/>
            <w:tcBorders>
              <w:left w:val="single" w:sz="12" w:space="0" w:color="auto"/>
            </w:tcBorders>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8"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41"/>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LU</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41"/>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LV</w:t>
            </w:r>
          </w:p>
        </w:tc>
        <w:tc>
          <w:tcPr>
            <w:tcW w:w="485" w:type="pct"/>
            <w:tcBorders>
              <w:left w:val="single" w:sz="12" w:space="0" w:color="auto"/>
            </w:tcBorders>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8"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MT</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NL</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PL</w:t>
            </w:r>
          </w:p>
        </w:tc>
        <w:tc>
          <w:tcPr>
            <w:tcW w:w="485" w:type="pct"/>
            <w:tcBorders>
              <w:left w:val="single" w:sz="12" w:space="0" w:color="auto"/>
            </w:tcBorders>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88" w:type="pct"/>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39"/>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PT</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RO</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SE</w:t>
            </w:r>
          </w:p>
        </w:tc>
        <w:tc>
          <w:tcPr>
            <w:tcW w:w="485" w:type="pct"/>
            <w:tcBorders>
              <w:left w:val="single" w:sz="12" w:space="0" w:color="auto"/>
            </w:tcBorders>
            <w:vAlign w:val="center"/>
          </w:tcPr>
          <w:p w:rsidR="00861A9D" w:rsidRPr="00815026" w:rsidRDefault="00861A9D" w:rsidP="00861A9D">
            <w:pPr>
              <w:pStyle w:val="ListParagraph"/>
              <w:numPr>
                <w:ilvl w:val="0"/>
                <w:numId w:val="38"/>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8"/>
              </w:numPr>
              <w:spacing w:before="120" w:after="120" w:line="240" w:lineRule="atLeast"/>
              <w:contextualSpacing/>
              <w:jc w:val="center"/>
              <w:rPr>
                <w:sz w:val="18"/>
                <w:szCs w:val="18"/>
              </w:rPr>
            </w:pPr>
          </w:p>
        </w:tc>
        <w:tc>
          <w:tcPr>
            <w:tcW w:w="485"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7" w:type="pct"/>
            <w:shd w:val="clear" w:color="auto" w:fill="D9D9D9" w:themeFill="background1" w:themeFillShade="D9"/>
            <w:vAlign w:val="center"/>
          </w:tcPr>
          <w:p w:rsidR="00861A9D" w:rsidRPr="00815026" w:rsidRDefault="00861A9D" w:rsidP="00861A9D">
            <w:pPr>
              <w:ind w:left="360"/>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6"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6"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8"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75" w:type="pct"/>
            <w:tcBorders>
              <w:right w:val="single" w:sz="12" w:space="0" w:color="auto"/>
            </w:tcBorders>
            <w:shd w:val="clear" w:color="auto" w:fill="D9D9D9" w:themeFill="background1" w:themeFillShade="D9"/>
            <w:vAlign w:val="center"/>
          </w:tcPr>
          <w:p w:rsidR="00861A9D" w:rsidRPr="00815026" w:rsidRDefault="00861A9D" w:rsidP="00861A9D">
            <w:pPr>
              <w:pStyle w:val="ListParagraph"/>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SI</w:t>
            </w:r>
          </w:p>
        </w:tc>
        <w:tc>
          <w:tcPr>
            <w:tcW w:w="485" w:type="pct"/>
            <w:tcBorders>
              <w:left w:val="single" w:sz="12" w:space="0" w:color="auto"/>
            </w:tcBorders>
            <w:shd w:val="clear" w:color="auto" w:fill="D9D9D9" w:themeFill="background1" w:themeFillShade="D9"/>
            <w:vAlign w:val="center"/>
          </w:tcPr>
          <w:p w:rsidR="00861A9D" w:rsidRPr="00815026" w:rsidRDefault="00861A9D" w:rsidP="00861A9D">
            <w:pPr>
              <w:pStyle w:val="ListParagraph"/>
              <w:rPr>
                <w:sz w:val="18"/>
                <w:szCs w:val="18"/>
              </w:rPr>
            </w:pPr>
          </w:p>
        </w:tc>
        <w:tc>
          <w:tcPr>
            <w:tcW w:w="485"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5" w:type="pct"/>
            <w:vAlign w:val="center"/>
          </w:tcPr>
          <w:p w:rsidR="00861A9D" w:rsidRPr="00815026" w:rsidRDefault="00861A9D" w:rsidP="00861A9D">
            <w:pPr>
              <w:pStyle w:val="ListParagraph"/>
              <w:numPr>
                <w:ilvl w:val="0"/>
                <w:numId w:val="37"/>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6"/>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6" w:type="pct"/>
            <w:shd w:val="clear" w:color="auto" w:fill="D9D9D9" w:themeFill="background1" w:themeFillShade="D9"/>
            <w:vAlign w:val="center"/>
          </w:tcPr>
          <w:p w:rsidR="00861A9D" w:rsidRPr="00815026" w:rsidRDefault="00861A9D" w:rsidP="00861A9D">
            <w:pPr>
              <w:pStyle w:val="ListParagraph"/>
              <w:rPr>
                <w:sz w:val="18"/>
                <w:szCs w:val="18"/>
              </w:rPr>
            </w:pPr>
          </w:p>
        </w:tc>
        <w:tc>
          <w:tcPr>
            <w:tcW w:w="486" w:type="pct"/>
            <w:vAlign w:val="center"/>
          </w:tcPr>
          <w:p w:rsidR="00861A9D" w:rsidRPr="00815026" w:rsidRDefault="00861A9D" w:rsidP="00861A9D">
            <w:pPr>
              <w:pStyle w:val="ListParagraph"/>
              <w:numPr>
                <w:ilvl w:val="0"/>
                <w:numId w:val="36"/>
              </w:numPr>
              <w:spacing w:before="120" w:after="120" w:line="240" w:lineRule="atLeast"/>
              <w:contextualSpacing/>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264"/>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SK</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UK-E&amp;W</w:t>
            </w:r>
          </w:p>
        </w:tc>
        <w:tc>
          <w:tcPr>
            <w:tcW w:w="485" w:type="pct"/>
            <w:tcBorders>
              <w:left w:val="single" w:sz="12" w:space="0" w:color="auto"/>
            </w:tcBorders>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8"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r>
      <w:tr w:rsidR="00861A9D" w:rsidTr="00861A9D">
        <w:trPr>
          <w:cantSplit/>
          <w:trHeight w:hRule="exact" w:val="360"/>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UK-NI</w:t>
            </w:r>
          </w:p>
        </w:tc>
        <w:tc>
          <w:tcPr>
            <w:tcW w:w="485" w:type="pct"/>
            <w:tcBorders>
              <w:left w:val="single" w:sz="12" w:space="0" w:color="auto"/>
            </w:tcBorders>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5"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6"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88" w:type="pct"/>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c>
          <w:tcPr>
            <w:tcW w:w="475" w:type="pct"/>
            <w:tcBorders>
              <w:right w:val="single" w:sz="12" w:space="0" w:color="auto"/>
            </w:tcBorders>
            <w:vAlign w:val="center"/>
          </w:tcPr>
          <w:p w:rsidR="00861A9D" w:rsidRPr="00815026" w:rsidRDefault="00861A9D" w:rsidP="00861A9D">
            <w:pPr>
              <w:pStyle w:val="ListParagraph"/>
              <w:numPr>
                <w:ilvl w:val="0"/>
                <w:numId w:val="35"/>
              </w:numPr>
              <w:spacing w:before="120" w:after="120" w:line="240" w:lineRule="atLeast"/>
              <w:contextualSpacing/>
              <w:jc w:val="center"/>
              <w:rPr>
                <w:sz w:val="18"/>
                <w:szCs w:val="18"/>
              </w:rPr>
            </w:pPr>
          </w:p>
        </w:tc>
      </w:tr>
      <w:tr w:rsidR="00861A9D" w:rsidTr="00861A9D">
        <w:trPr>
          <w:cantSplit/>
          <w:trHeight w:hRule="exact" w:val="264"/>
          <w:jc w:val="center"/>
        </w:trPr>
        <w:tc>
          <w:tcPr>
            <w:tcW w:w="63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UK-S</w:t>
            </w:r>
          </w:p>
        </w:tc>
        <w:tc>
          <w:tcPr>
            <w:tcW w:w="485"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5"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6" w:type="pct"/>
            <w:shd w:val="clear" w:color="auto" w:fill="D9D9D9" w:themeFill="background1" w:themeFillShade="D9"/>
            <w:vAlign w:val="center"/>
          </w:tcPr>
          <w:p w:rsidR="00861A9D" w:rsidRPr="00E217F3" w:rsidRDefault="00861A9D" w:rsidP="00861A9D">
            <w:pPr>
              <w:jc w:val="center"/>
              <w:rPr>
                <w:sz w:val="18"/>
                <w:szCs w:val="18"/>
              </w:rPr>
            </w:pPr>
          </w:p>
        </w:tc>
        <w:tc>
          <w:tcPr>
            <w:tcW w:w="488" w:type="pct"/>
            <w:shd w:val="clear" w:color="auto" w:fill="D9D9D9" w:themeFill="background1" w:themeFillShade="D9"/>
            <w:vAlign w:val="center"/>
          </w:tcPr>
          <w:p w:rsidR="00861A9D" w:rsidRPr="00E217F3" w:rsidRDefault="00861A9D" w:rsidP="00861A9D">
            <w:pPr>
              <w:jc w:val="center"/>
              <w:rPr>
                <w:sz w:val="18"/>
                <w:szCs w:val="18"/>
              </w:rPr>
            </w:pPr>
          </w:p>
        </w:tc>
        <w:tc>
          <w:tcPr>
            <w:tcW w:w="475"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54"/>
          <w:jc w:val="center"/>
        </w:trPr>
        <w:tc>
          <w:tcPr>
            <w:tcW w:w="637" w:type="pct"/>
            <w:tcBorders>
              <w:right w:val="single" w:sz="12" w:space="0" w:color="auto"/>
            </w:tcBorders>
            <w:shd w:val="clear" w:color="auto" w:fill="FFFFFF" w:themeFill="background1"/>
          </w:tcPr>
          <w:p w:rsidR="00861A9D" w:rsidRPr="00173CAC" w:rsidRDefault="00861A9D" w:rsidP="00861A9D">
            <w:pPr>
              <w:pStyle w:val="BTBullet1"/>
              <w:numPr>
                <w:ilvl w:val="0"/>
                <w:numId w:val="0"/>
              </w:numPr>
              <w:rPr>
                <w:b/>
                <w:sz w:val="18"/>
                <w:szCs w:val="18"/>
              </w:rPr>
            </w:pPr>
            <w:r w:rsidRPr="00173CAC">
              <w:rPr>
                <w:b/>
                <w:sz w:val="18"/>
                <w:szCs w:val="18"/>
              </w:rPr>
              <w:t>Total yes</w:t>
            </w:r>
          </w:p>
        </w:tc>
        <w:tc>
          <w:tcPr>
            <w:tcW w:w="485" w:type="pct"/>
            <w:tcBorders>
              <w:left w:val="single" w:sz="12" w:space="0" w:color="auto"/>
            </w:tcBorders>
            <w:shd w:val="clear" w:color="auto" w:fill="FFFFFF" w:themeFill="background1"/>
          </w:tcPr>
          <w:p w:rsidR="00861A9D" w:rsidRPr="00DC52FD" w:rsidRDefault="00861A9D" w:rsidP="00861A9D">
            <w:pPr>
              <w:jc w:val="center"/>
              <w:rPr>
                <w:b/>
                <w:sz w:val="18"/>
                <w:szCs w:val="18"/>
              </w:rPr>
            </w:pPr>
            <w:r w:rsidRPr="00DC52FD">
              <w:rPr>
                <w:b/>
                <w:sz w:val="18"/>
                <w:szCs w:val="18"/>
              </w:rPr>
              <w:t>11</w:t>
            </w:r>
          </w:p>
        </w:tc>
        <w:tc>
          <w:tcPr>
            <w:tcW w:w="485" w:type="pct"/>
            <w:shd w:val="clear" w:color="auto" w:fill="FFFFFF" w:themeFill="background1"/>
          </w:tcPr>
          <w:p w:rsidR="00861A9D" w:rsidRPr="00DC52FD" w:rsidRDefault="00861A9D" w:rsidP="00861A9D">
            <w:pPr>
              <w:jc w:val="center"/>
              <w:rPr>
                <w:b/>
                <w:sz w:val="18"/>
                <w:szCs w:val="18"/>
              </w:rPr>
            </w:pPr>
            <w:r w:rsidRPr="00DC52FD">
              <w:rPr>
                <w:b/>
                <w:sz w:val="18"/>
                <w:szCs w:val="18"/>
              </w:rPr>
              <w:t>7</w:t>
            </w:r>
          </w:p>
        </w:tc>
        <w:tc>
          <w:tcPr>
            <w:tcW w:w="485" w:type="pct"/>
            <w:shd w:val="clear" w:color="auto" w:fill="FFFFFF" w:themeFill="background1"/>
          </w:tcPr>
          <w:p w:rsidR="00861A9D" w:rsidRPr="00DC52FD" w:rsidRDefault="00861A9D" w:rsidP="00861A9D">
            <w:pPr>
              <w:jc w:val="center"/>
              <w:rPr>
                <w:b/>
                <w:sz w:val="18"/>
                <w:szCs w:val="18"/>
              </w:rPr>
            </w:pPr>
            <w:r w:rsidRPr="00DC52FD">
              <w:rPr>
                <w:b/>
                <w:sz w:val="18"/>
                <w:szCs w:val="18"/>
              </w:rPr>
              <w:t>8</w:t>
            </w:r>
          </w:p>
        </w:tc>
        <w:tc>
          <w:tcPr>
            <w:tcW w:w="487" w:type="pct"/>
            <w:shd w:val="clear" w:color="auto" w:fill="FFFFFF" w:themeFill="background1"/>
          </w:tcPr>
          <w:p w:rsidR="00861A9D" w:rsidRPr="00DC52FD" w:rsidRDefault="00861A9D" w:rsidP="00861A9D">
            <w:pPr>
              <w:jc w:val="center"/>
              <w:rPr>
                <w:b/>
                <w:sz w:val="18"/>
                <w:szCs w:val="18"/>
              </w:rPr>
            </w:pPr>
            <w:r w:rsidRPr="00DC52FD">
              <w:rPr>
                <w:b/>
                <w:sz w:val="18"/>
                <w:szCs w:val="18"/>
              </w:rPr>
              <w:t>7</w:t>
            </w:r>
          </w:p>
        </w:tc>
        <w:tc>
          <w:tcPr>
            <w:tcW w:w="487" w:type="pct"/>
            <w:shd w:val="clear" w:color="auto" w:fill="FFFFFF" w:themeFill="background1"/>
          </w:tcPr>
          <w:p w:rsidR="00861A9D" w:rsidRPr="00DC52FD" w:rsidRDefault="00861A9D" w:rsidP="00861A9D">
            <w:pPr>
              <w:jc w:val="center"/>
              <w:rPr>
                <w:b/>
                <w:sz w:val="18"/>
                <w:szCs w:val="18"/>
              </w:rPr>
            </w:pPr>
            <w:r w:rsidRPr="00DC52FD">
              <w:rPr>
                <w:b/>
                <w:sz w:val="18"/>
                <w:szCs w:val="18"/>
              </w:rPr>
              <w:t>6</w:t>
            </w:r>
          </w:p>
        </w:tc>
        <w:tc>
          <w:tcPr>
            <w:tcW w:w="486" w:type="pct"/>
            <w:shd w:val="clear" w:color="auto" w:fill="FFFFFF" w:themeFill="background1"/>
          </w:tcPr>
          <w:p w:rsidR="00861A9D" w:rsidRPr="00DC52FD" w:rsidRDefault="00861A9D" w:rsidP="00861A9D">
            <w:pPr>
              <w:jc w:val="center"/>
              <w:rPr>
                <w:b/>
                <w:sz w:val="18"/>
                <w:szCs w:val="18"/>
              </w:rPr>
            </w:pPr>
            <w:r w:rsidRPr="00DC52FD">
              <w:rPr>
                <w:b/>
                <w:sz w:val="18"/>
                <w:szCs w:val="18"/>
              </w:rPr>
              <w:t>6</w:t>
            </w:r>
          </w:p>
        </w:tc>
        <w:tc>
          <w:tcPr>
            <w:tcW w:w="486" w:type="pct"/>
            <w:shd w:val="clear" w:color="auto" w:fill="FFFFFF" w:themeFill="background1"/>
          </w:tcPr>
          <w:p w:rsidR="00861A9D" w:rsidRPr="00DC52FD" w:rsidRDefault="00861A9D" w:rsidP="00861A9D">
            <w:pPr>
              <w:jc w:val="center"/>
              <w:rPr>
                <w:b/>
                <w:sz w:val="18"/>
                <w:szCs w:val="18"/>
              </w:rPr>
            </w:pPr>
            <w:r w:rsidRPr="00DC52FD">
              <w:rPr>
                <w:b/>
                <w:sz w:val="18"/>
                <w:szCs w:val="18"/>
              </w:rPr>
              <w:t>10</w:t>
            </w:r>
          </w:p>
        </w:tc>
        <w:tc>
          <w:tcPr>
            <w:tcW w:w="488" w:type="pct"/>
            <w:shd w:val="clear" w:color="auto" w:fill="FFFFFF" w:themeFill="background1"/>
          </w:tcPr>
          <w:p w:rsidR="00861A9D" w:rsidRPr="00DC52FD" w:rsidRDefault="00861A9D" w:rsidP="00861A9D">
            <w:pPr>
              <w:jc w:val="center"/>
              <w:rPr>
                <w:b/>
                <w:sz w:val="18"/>
                <w:szCs w:val="18"/>
              </w:rPr>
            </w:pPr>
            <w:r w:rsidRPr="00DC52FD">
              <w:rPr>
                <w:b/>
                <w:sz w:val="18"/>
                <w:szCs w:val="18"/>
              </w:rPr>
              <w:t>6</w:t>
            </w:r>
          </w:p>
        </w:tc>
        <w:tc>
          <w:tcPr>
            <w:tcW w:w="475" w:type="pct"/>
            <w:tcBorders>
              <w:right w:val="single" w:sz="12" w:space="0" w:color="auto"/>
            </w:tcBorders>
            <w:shd w:val="clear" w:color="auto" w:fill="FFFFFF" w:themeFill="background1"/>
          </w:tcPr>
          <w:p w:rsidR="00861A9D" w:rsidRPr="00DC52FD" w:rsidRDefault="00861A9D" w:rsidP="00861A9D">
            <w:pPr>
              <w:jc w:val="center"/>
              <w:rPr>
                <w:b/>
                <w:sz w:val="18"/>
                <w:szCs w:val="18"/>
              </w:rPr>
            </w:pPr>
            <w:r w:rsidRPr="00DC52FD">
              <w:rPr>
                <w:b/>
                <w:sz w:val="18"/>
                <w:szCs w:val="18"/>
              </w:rPr>
              <w:t>9</w:t>
            </w:r>
          </w:p>
        </w:tc>
      </w:tr>
      <w:tr w:rsidR="00861A9D" w:rsidTr="00A5732C">
        <w:trPr>
          <w:cantSplit/>
          <w:trHeight w:hRule="exact" w:val="899"/>
          <w:jc w:val="center"/>
        </w:trPr>
        <w:tc>
          <w:tcPr>
            <w:tcW w:w="5000" w:type="pct"/>
            <w:gridSpan w:val="10"/>
            <w:tcBorders>
              <w:right w:val="single" w:sz="12" w:space="0" w:color="auto"/>
            </w:tcBorders>
            <w:shd w:val="clear" w:color="auto" w:fill="FFFFFF" w:themeFill="background1"/>
          </w:tcPr>
          <w:p w:rsidR="00861A9D" w:rsidRPr="00DC52FD" w:rsidRDefault="00861A9D" w:rsidP="00861A9D">
            <w:pPr>
              <w:rPr>
                <w:b/>
                <w:sz w:val="18"/>
                <w:szCs w:val="18"/>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F5210B" w:rsidRDefault="00F5210B" w:rsidP="00546D75">
      <w:pPr>
        <w:sectPr w:rsidR="00F5210B"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173CAC" w:rsidRPr="00731E82" w:rsidRDefault="00173CAC" w:rsidP="00593AF4">
      <w:pPr>
        <w:pStyle w:val="AnnexTable"/>
        <w:tabs>
          <w:tab w:val="num" w:pos="1350"/>
        </w:tabs>
        <w:ind w:left="1350" w:hanging="1350"/>
      </w:pPr>
      <w:bookmarkStart w:id="352" w:name="_Ref397955751"/>
      <w:bookmarkStart w:id="353" w:name="_Toc408908664"/>
      <w:r w:rsidRPr="00731E82">
        <w:t>Existence of legal obligation to provide multidisciplinary training (as part of capacity building programme) to all professionals who work for and with children on the rights and needs of children of different age groups as well as on proceedings that are adapted to them (CivAdm94a)</w:t>
      </w:r>
      <w:bookmarkEnd w:id="352"/>
      <w:bookmarkEnd w:id="353"/>
    </w:p>
    <w:tbl>
      <w:tblPr>
        <w:tblStyle w:val="Tabellenraster1"/>
        <w:tblW w:w="5000" w:type="pct"/>
        <w:jc w:val="center"/>
        <w:tblCellMar>
          <w:left w:w="115" w:type="dxa"/>
          <w:right w:w="115" w:type="dxa"/>
        </w:tblCellMar>
        <w:tblLook w:val="04A0" w:firstRow="1" w:lastRow="0" w:firstColumn="1" w:lastColumn="0" w:noHBand="0" w:noVBand="1"/>
      </w:tblPr>
      <w:tblGrid>
        <w:gridCol w:w="1147"/>
        <w:gridCol w:w="906"/>
        <w:gridCol w:w="906"/>
        <w:gridCol w:w="906"/>
        <w:gridCol w:w="906"/>
        <w:gridCol w:w="906"/>
        <w:gridCol w:w="906"/>
        <w:gridCol w:w="906"/>
        <w:gridCol w:w="906"/>
        <w:gridCol w:w="906"/>
      </w:tblGrid>
      <w:tr w:rsidR="00861A9D" w:rsidRPr="00593387" w:rsidTr="00861A9D">
        <w:trPr>
          <w:trHeight w:hRule="exact" w:val="288"/>
          <w:tblHeader/>
          <w:jc w:val="center"/>
        </w:trPr>
        <w:tc>
          <w:tcPr>
            <w:tcW w:w="617" w:type="pct"/>
            <w:tcBorders>
              <w:right w:val="single" w:sz="12" w:space="0" w:color="auto"/>
            </w:tcBorders>
          </w:tcPr>
          <w:p w:rsidR="00861A9D" w:rsidRDefault="00861A9D" w:rsidP="00861A9D">
            <w:pPr>
              <w:pStyle w:val="TableTitle"/>
            </w:pPr>
            <w:r>
              <w:t>MS</w:t>
            </w:r>
          </w:p>
        </w:tc>
        <w:tc>
          <w:tcPr>
            <w:tcW w:w="4383" w:type="pct"/>
            <w:gridSpan w:val="9"/>
            <w:tcBorders>
              <w:left w:val="single" w:sz="12" w:space="0" w:color="auto"/>
              <w:right w:val="single" w:sz="12" w:space="0" w:color="auto"/>
            </w:tcBorders>
          </w:tcPr>
          <w:p w:rsidR="00861A9D" w:rsidRDefault="00861A9D" w:rsidP="00861A9D">
            <w:pPr>
              <w:pStyle w:val="TableTitle"/>
            </w:pPr>
            <w:r>
              <w:t>Areas of law</w:t>
            </w:r>
          </w:p>
        </w:tc>
      </w:tr>
      <w:tr w:rsidR="00861A9D" w:rsidTr="00861A9D">
        <w:trPr>
          <w:cantSplit/>
          <w:trHeight w:hRule="exact" w:val="1047"/>
          <w:tblHeader/>
          <w:jc w:val="center"/>
        </w:trPr>
        <w:tc>
          <w:tcPr>
            <w:tcW w:w="617" w:type="pct"/>
            <w:tcBorders>
              <w:right w:val="single" w:sz="12" w:space="0" w:color="auto"/>
            </w:tcBorders>
            <w:shd w:val="clear" w:color="auto" w:fill="DBE5F1" w:themeFill="accent1" w:themeFillTint="33"/>
          </w:tcPr>
          <w:p w:rsidR="00861A9D" w:rsidRPr="00E217F3" w:rsidRDefault="00861A9D" w:rsidP="00861A9D">
            <w:pPr>
              <w:rPr>
                <w:b/>
              </w:rPr>
            </w:pPr>
          </w:p>
        </w:tc>
        <w:tc>
          <w:tcPr>
            <w:tcW w:w="487" w:type="pct"/>
            <w:tcBorders>
              <w:left w:val="single" w:sz="12" w:space="0" w:color="auto"/>
            </w:tcBorders>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Family</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Employment</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Asylum</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Migration</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Education</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Health</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Placement</w:t>
            </w:r>
          </w:p>
        </w:tc>
        <w:tc>
          <w:tcPr>
            <w:tcW w:w="487" w:type="pct"/>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Admin Sanctions</w:t>
            </w:r>
          </w:p>
        </w:tc>
        <w:tc>
          <w:tcPr>
            <w:tcW w:w="487" w:type="pct"/>
            <w:tcBorders>
              <w:right w:val="single" w:sz="12" w:space="0" w:color="auto"/>
            </w:tcBorders>
            <w:shd w:val="clear" w:color="auto" w:fill="DBE5F1" w:themeFill="accent1" w:themeFillTint="33"/>
            <w:textDirection w:val="btLr"/>
          </w:tcPr>
          <w:p w:rsidR="00861A9D" w:rsidRPr="00173CAC" w:rsidRDefault="00861A9D" w:rsidP="00861A9D">
            <w:pPr>
              <w:ind w:left="113" w:right="113"/>
              <w:rPr>
                <w:b/>
                <w:sz w:val="12"/>
                <w:szCs w:val="12"/>
              </w:rPr>
            </w:pPr>
            <w:r w:rsidRPr="00173CAC">
              <w:rPr>
                <w:b/>
                <w:sz w:val="12"/>
                <w:szCs w:val="12"/>
              </w:rPr>
              <w:t>Offences &lt;MACR</w:t>
            </w: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AT</w:t>
            </w:r>
          </w:p>
        </w:tc>
        <w:tc>
          <w:tcPr>
            <w:tcW w:w="487" w:type="pct"/>
            <w:tcBorders>
              <w:left w:val="single" w:sz="12" w:space="0" w:color="auto"/>
            </w:tcBorders>
            <w:shd w:val="clear" w:color="auto" w:fill="D9D9D9" w:themeFill="background1" w:themeFillShade="D9"/>
            <w:vAlign w:val="center"/>
          </w:tcPr>
          <w:p w:rsidR="00861A9D" w:rsidRPr="0059458D" w:rsidRDefault="00861A9D" w:rsidP="00861A9D">
            <w:pPr>
              <w:ind w:left="360"/>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tcBorders>
              <w:right w:val="single" w:sz="12" w:space="0" w:color="auto"/>
            </w:tcBorders>
            <w:shd w:val="clear" w:color="auto" w:fill="D9D9D9" w:themeFill="background1" w:themeFillShade="D9"/>
            <w:vAlign w:val="center"/>
          </w:tcPr>
          <w:p w:rsidR="00861A9D" w:rsidRPr="0059458D" w:rsidRDefault="00861A9D" w:rsidP="00861A9D">
            <w:pPr>
              <w:jc w:val="center"/>
              <w:rPr>
                <w:sz w:val="18"/>
                <w:szCs w:val="18"/>
                <w:highlight w:val="lightGray"/>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BE</w:t>
            </w:r>
          </w:p>
        </w:tc>
        <w:tc>
          <w:tcPr>
            <w:tcW w:w="487" w:type="pct"/>
            <w:tcBorders>
              <w:left w:val="single" w:sz="12" w:space="0" w:color="auto"/>
            </w:tcBorders>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shd w:val="clear" w:color="auto" w:fill="D9D9D9" w:themeFill="background1" w:themeFillShade="D9"/>
            <w:vAlign w:val="center"/>
          </w:tcPr>
          <w:p w:rsidR="00861A9D" w:rsidRPr="0059458D" w:rsidRDefault="00861A9D" w:rsidP="00861A9D">
            <w:pPr>
              <w:jc w:val="center"/>
              <w:rPr>
                <w:sz w:val="18"/>
                <w:szCs w:val="18"/>
                <w:highlight w:val="lightGray"/>
              </w:rPr>
            </w:pPr>
          </w:p>
        </w:tc>
        <w:tc>
          <w:tcPr>
            <w:tcW w:w="487" w:type="pct"/>
            <w:tcBorders>
              <w:right w:val="single" w:sz="12" w:space="0" w:color="auto"/>
            </w:tcBorders>
            <w:shd w:val="clear" w:color="auto" w:fill="D9D9D9" w:themeFill="background1" w:themeFillShade="D9"/>
            <w:vAlign w:val="center"/>
          </w:tcPr>
          <w:p w:rsidR="00861A9D" w:rsidRPr="0059458D" w:rsidRDefault="00861A9D" w:rsidP="00861A9D">
            <w:pPr>
              <w:jc w:val="center"/>
              <w:rPr>
                <w:sz w:val="18"/>
                <w:szCs w:val="18"/>
                <w:highlight w:val="lightGray"/>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BG</w:t>
            </w:r>
          </w:p>
        </w:tc>
        <w:tc>
          <w:tcPr>
            <w:tcW w:w="487" w:type="pct"/>
            <w:tcBorders>
              <w:left w:val="single" w:sz="12" w:space="0" w:color="auto"/>
            </w:tcBorders>
            <w:shd w:val="clear" w:color="auto" w:fill="FFFFFF" w:themeFill="background1"/>
            <w:vAlign w:val="center"/>
          </w:tcPr>
          <w:p w:rsidR="00861A9D" w:rsidRPr="0059458D" w:rsidRDefault="00861A9D" w:rsidP="00861A9D">
            <w:pPr>
              <w:pStyle w:val="ListParagraph"/>
              <w:numPr>
                <w:ilvl w:val="0"/>
                <w:numId w:val="35"/>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FFFFFF" w:themeFill="background1"/>
            <w:vAlign w:val="center"/>
          </w:tcPr>
          <w:p w:rsidR="00861A9D" w:rsidRPr="00EC7495" w:rsidRDefault="00861A9D" w:rsidP="00861A9D">
            <w:pPr>
              <w:pStyle w:val="ListParagraph"/>
              <w:numPr>
                <w:ilvl w:val="0"/>
                <w:numId w:val="35"/>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5"/>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CY</w:t>
            </w:r>
          </w:p>
        </w:tc>
        <w:tc>
          <w:tcPr>
            <w:tcW w:w="487" w:type="pct"/>
            <w:tcBorders>
              <w:left w:val="single" w:sz="12" w:space="0" w:color="auto"/>
            </w:tcBorders>
            <w:vAlign w:val="center"/>
          </w:tcPr>
          <w:p w:rsidR="00861A9D" w:rsidRPr="00EF3CCD" w:rsidRDefault="00861A9D" w:rsidP="00861A9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F3CCD"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vAlign w:val="center"/>
          </w:tcPr>
          <w:p w:rsidR="00861A9D" w:rsidRPr="00EF3CCD" w:rsidRDefault="00861A9D" w:rsidP="00861A9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CZ</w:t>
            </w:r>
          </w:p>
        </w:tc>
        <w:tc>
          <w:tcPr>
            <w:tcW w:w="487" w:type="pct"/>
            <w:tcBorders>
              <w:lef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tcBorders>
              <w:righ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DE</w:t>
            </w:r>
          </w:p>
        </w:tc>
        <w:tc>
          <w:tcPr>
            <w:tcW w:w="487" w:type="pct"/>
            <w:tcBorders>
              <w:lef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tcBorders>
              <w:righ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DK</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EE</w:t>
            </w:r>
          </w:p>
        </w:tc>
        <w:tc>
          <w:tcPr>
            <w:tcW w:w="487" w:type="pct"/>
            <w:tcBorders>
              <w:left w:val="single" w:sz="12" w:space="0" w:color="auto"/>
            </w:tcBorders>
            <w:vAlign w:val="center"/>
          </w:tcPr>
          <w:p w:rsidR="00861A9D" w:rsidRPr="00EF3CCD" w:rsidRDefault="00861A9D" w:rsidP="00861A9D">
            <w:pPr>
              <w:pStyle w:val="ListParagraph"/>
              <w:numPr>
                <w:ilvl w:val="0"/>
                <w:numId w:val="45"/>
              </w:numPr>
              <w:spacing w:before="120" w:after="120" w:line="240" w:lineRule="atLeast"/>
              <w:contextualSpacing/>
              <w:jc w:val="center"/>
              <w:rPr>
                <w:sz w:val="18"/>
                <w:szCs w:val="18"/>
              </w:rPr>
            </w:pPr>
          </w:p>
        </w:tc>
        <w:tc>
          <w:tcPr>
            <w:tcW w:w="487" w:type="pct"/>
            <w:vAlign w:val="center"/>
          </w:tcPr>
          <w:p w:rsidR="00861A9D" w:rsidRPr="00EF3CCD" w:rsidRDefault="00861A9D" w:rsidP="00861A9D">
            <w:pPr>
              <w:pStyle w:val="ListParagraph"/>
              <w:numPr>
                <w:ilvl w:val="0"/>
                <w:numId w:val="45"/>
              </w:numPr>
              <w:spacing w:before="120" w:after="120" w:line="240" w:lineRule="atLeast"/>
              <w:contextualSpacing/>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c>
          <w:tcPr>
            <w:tcW w:w="487" w:type="pct"/>
            <w:tcBorders>
              <w:right w:val="single" w:sz="12" w:space="0" w:color="auto"/>
            </w:tcBorders>
            <w:shd w:val="clear" w:color="auto" w:fill="FFFFFF" w:themeFill="background1"/>
            <w:vAlign w:val="center"/>
          </w:tcPr>
          <w:p w:rsidR="00861A9D" w:rsidRPr="003B2243" w:rsidRDefault="00861A9D" w:rsidP="00861A9D">
            <w:pPr>
              <w:pStyle w:val="ListParagraph"/>
              <w:numPr>
                <w:ilvl w:val="0"/>
                <w:numId w:val="45"/>
              </w:num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EL</w:t>
            </w:r>
          </w:p>
        </w:tc>
        <w:tc>
          <w:tcPr>
            <w:tcW w:w="487" w:type="pct"/>
            <w:tcBorders>
              <w:left w:val="single" w:sz="12" w:space="0" w:color="auto"/>
            </w:tcBorders>
            <w:vAlign w:val="center"/>
          </w:tcPr>
          <w:p w:rsidR="00861A9D" w:rsidRPr="00815026" w:rsidRDefault="00861A9D" w:rsidP="00861A9D">
            <w:pPr>
              <w:pStyle w:val="ListParagraph"/>
              <w:numPr>
                <w:ilvl w:val="0"/>
                <w:numId w:val="45"/>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vAlign w:val="center"/>
          </w:tcPr>
          <w:p w:rsidR="00861A9D" w:rsidRPr="00815026" w:rsidRDefault="00861A9D" w:rsidP="00861A9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vAlign w:val="center"/>
          </w:tcPr>
          <w:p w:rsidR="00861A9D" w:rsidRPr="00815026" w:rsidRDefault="00861A9D" w:rsidP="00861A9D">
            <w:pPr>
              <w:pStyle w:val="ListParagraph"/>
              <w:numPr>
                <w:ilvl w:val="0"/>
                <w:numId w:val="34"/>
              </w:numPr>
              <w:spacing w:before="120" w:after="120" w:line="240" w:lineRule="atLeast"/>
              <w:contextualSpacing/>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ES</w:t>
            </w:r>
          </w:p>
        </w:tc>
        <w:tc>
          <w:tcPr>
            <w:tcW w:w="487" w:type="pct"/>
            <w:tcBorders>
              <w:lef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tcBorders>
              <w:right w:val="single" w:sz="12" w:space="0" w:color="auto"/>
            </w:tcBorders>
            <w:shd w:val="clear" w:color="auto" w:fill="D9D9D9" w:themeFill="background1" w:themeFillShade="D9"/>
            <w:vAlign w:val="center"/>
          </w:tcPr>
          <w:p w:rsidR="00861A9D" w:rsidRPr="003B2243" w:rsidRDefault="00861A9D" w:rsidP="00861A9D">
            <w:pPr>
              <w:ind w:left="360"/>
              <w:contextualSpacing/>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FI</w:t>
            </w:r>
          </w:p>
        </w:tc>
        <w:tc>
          <w:tcPr>
            <w:tcW w:w="487" w:type="pct"/>
            <w:tcBorders>
              <w:lef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auto"/>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FR</w:t>
            </w:r>
          </w:p>
        </w:tc>
        <w:tc>
          <w:tcPr>
            <w:tcW w:w="487" w:type="pct"/>
            <w:tcBorders>
              <w:lef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HR</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HU</w:t>
            </w:r>
          </w:p>
        </w:tc>
        <w:tc>
          <w:tcPr>
            <w:tcW w:w="487" w:type="pct"/>
            <w:tcBorders>
              <w:lef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c>
          <w:tcPr>
            <w:tcW w:w="487" w:type="pct"/>
            <w:tcBorders>
              <w:right w:val="single" w:sz="12" w:space="0" w:color="auto"/>
            </w:tcBorders>
            <w:shd w:val="clear" w:color="auto" w:fill="FFFFFF" w:themeFill="background1"/>
            <w:vAlign w:val="center"/>
          </w:tcPr>
          <w:p w:rsidR="00861A9D" w:rsidRPr="003B2243" w:rsidRDefault="00861A9D" w:rsidP="00861A9D">
            <w:pPr>
              <w:pStyle w:val="ListParagraph"/>
              <w:numPr>
                <w:ilvl w:val="0"/>
                <w:numId w:val="34"/>
              </w:num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IE</w:t>
            </w:r>
          </w:p>
        </w:tc>
        <w:tc>
          <w:tcPr>
            <w:tcW w:w="487" w:type="pct"/>
            <w:tcBorders>
              <w:left w:val="single" w:sz="12" w:space="0" w:color="auto"/>
            </w:tcBorders>
            <w:shd w:val="clear" w:color="auto" w:fill="auto"/>
            <w:vAlign w:val="center"/>
          </w:tcPr>
          <w:p w:rsidR="00861A9D" w:rsidRPr="00725D70" w:rsidRDefault="00861A9D" w:rsidP="00861A9D">
            <w:pPr>
              <w:pStyle w:val="ListParagraph"/>
              <w:numPr>
                <w:ilvl w:val="0"/>
                <w:numId w:val="34"/>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auto"/>
            <w:vAlign w:val="center"/>
          </w:tcPr>
          <w:p w:rsidR="00861A9D" w:rsidRPr="00725D70" w:rsidRDefault="00861A9D" w:rsidP="00861A9D">
            <w:pPr>
              <w:pStyle w:val="ListParagraph"/>
              <w:numPr>
                <w:ilvl w:val="0"/>
                <w:numId w:val="34"/>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auto"/>
            <w:vAlign w:val="center"/>
          </w:tcPr>
          <w:p w:rsidR="00861A9D" w:rsidRPr="00725D70" w:rsidRDefault="00861A9D" w:rsidP="00861A9D">
            <w:pPr>
              <w:pStyle w:val="ListParagraph"/>
              <w:numPr>
                <w:ilvl w:val="0"/>
                <w:numId w:val="34"/>
              </w:numPr>
              <w:jc w:val="center"/>
              <w:rPr>
                <w:sz w:val="18"/>
                <w:szCs w:val="18"/>
              </w:rPr>
            </w:pPr>
          </w:p>
        </w:tc>
        <w:tc>
          <w:tcPr>
            <w:tcW w:w="487" w:type="pct"/>
            <w:shd w:val="clear" w:color="auto" w:fill="auto"/>
            <w:vAlign w:val="center"/>
          </w:tcPr>
          <w:p w:rsidR="00861A9D" w:rsidRPr="00725D70" w:rsidRDefault="00861A9D" w:rsidP="00861A9D">
            <w:pPr>
              <w:pStyle w:val="ListParagraph"/>
              <w:numPr>
                <w:ilvl w:val="0"/>
                <w:numId w:val="34"/>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IT</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725D70" w:rsidRDefault="00861A9D" w:rsidP="00861A9D">
            <w:pPr>
              <w:ind w:left="360"/>
              <w:contextualSpacing/>
              <w:jc w:val="center"/>
              <w:rPr>
                <w:sz w:val="18"/>
                <w:szCs w:val="18"/>
              </w:rPr>
            </w:pPr>
          </w:p>
        </w:tc>
        <w:tc>
          <w:tcPr>
            <w:tcW w:w="487" w:type="pct"/>
            <w:shd w:val="clear" w:color="auto" w:fill="D9D9D9" w:themeFill="background1" w:themeFillShade="D9"/>
            <w:vAlign w:val="center"/>
          </w:tcPr>
          <w:p w:rsidR="00861A9D" w:rsidRPr="00725D70" w:rsidRDefault="00861A9D" w:rsidP="00861A9D">
            <w:pPr>
              <w:ind w:left="360"/>
              <w:contextualSpacing/>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LT</w:t>
            </w:r>
          </w:p>
        </w:tc>
        <w:tc>
          <w:tcPr>
            <w:tcW w:w="487" w:type="pct"/>
            <w:tcBorders>
              <w:left w:val="single" w:sz="12" w:space="0" w:color="auto"/>
            </w:tcBorders>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2"/>
              </w:numPr>
              <w:spacing w:before="120" w:after="120" w:line="240" w:lineRule="atLeast"/>
              <w:contextualSpacing/>
              <w:jc w:val="center"/>
              <w:rPr>
                <w:sz w:val="18"/>
                <w:szCs w:val="18"/>
              </w:rPr>
            </w:pPr>
          </w:p>
        </w:tc>
        <w:tc>
          <w:tcPr>
            <w:tcW w:w="487" w:type="pct"/>
            <w:tcBorders>
              <w:right w:val="single" w:sz="12" w:space="0" w:color="auto"/>
            </w:tcBorders>
            <w:vAlign w:val="center"/>
          </w:tcPr>
          <w:p w:rsidR="00861A9D" w:rsidRPr="00815026" w:rsidRDefault="00861A9D" w:rsidP="00861A9D">
            <w:pPr>
              <w:pStyle w:val="ListParagraph"/>
              <w:numPr>
                <w:ilvl w:val="0"/>
                <w:numId w:val="41"/>
              </w:numPr>
              <w:spacing w:before="120" w:after="120" w:line="240" w:lineRule="atLeast"/>
              <w:contextualSpacing/>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LU</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LV</w:t>
            </w:r>
          </w:p>
        </w:tc>
        <w:tc>
          <w:tcPr>
            <w:tcW w:w="487" w:type="pct"/>
            <w:tcBorders>
              <w:left w:val="single" w:sz="12" w:space="0" w:color="auto"/>
            </w:tcBorders>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c>
          <w:tcPr>
            <w:tcW w:w="487" w:type="pct"/>
            <w:tcBorders>
              <w:right w:val="single" w:sz="12" w:space="0" w:color="auto"/>
            </w:tcBorders>
            <w:vAlign w:val="center"/>
          </w:tcPr>
          <w:p w:rsidR="00861A9D" w:rsidRPr="00815026" w:rsidRDefault="00861A9D" w:rsidP="00861A9D">
            <w:pPr>
              <w:pStyle w:val="ListParagraph"/>
              <w:numPr>
                <w:ilvl w:val="0"/>
                <w:numId w:val="40"/>
              </w:numPr>
              <w:spacing w:before="120" w:after="120" w:line="240" w:lineRule="atLeast"/>
              <w:contextualSpacing/>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MT</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NL</w:t>
            </w:r>
          </w:p>
        </w:tc>
        <w:tc>
          <w:tcPr>
            <w:tcW w:w="487" w:type="pct"/>
            <w:tcBorders>
              <w:left w:val="single" w:sz="12" w:space="0" w:color="auto"/>
            </w:tcBorders>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PL</w:t>
            </w:r>
          </w:p>
        </w:tc>
        <w:tc>
          <w:tcPr>
            <w:tcW w:w="487" w:type="pct"/>
            <w:tcBorders>
              <w:lef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725D70" w:rsidRDefault="00861A9D" w:rsidP="00861A9D">
            <w:pPr>
              <w:ind w:left="360"/>
              <w:contextualSpacing/>
              <w:jc w:val="center"/>
              <w:rPr>
                <w:sz w:val="18"/>
                <w:szCs w:val="18"/>
              </w:rPr>
            </w:pPr>
          </w:p>
        </w:tc>
        <w:tc>
          <w:tcPr>
            <w:tcW w:w="487" w:type="pct"/>
            <w:shd w:val="clear" w:color="auto" w:fill="D9D9D9" w:themeFill="background1" w:themeFillShade="D9"/>
            <w:vAlign w:val="center"/>
          </w:tcPr>
          <w:p w:rsidR="00861A9D" w:rsidRPr="00725D70" w:rsidRDefault="00861A9D" w:rsidP="00861A9D">
            <w:pPr>
              <w:ind w:left="360"/>
              <w:contextualSpacing/>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725D70" w:rsidRDefault="00861A9D" w:rsidP="00861A9D">
            <w:pPr>
              <w:ind w:left="360"/>
              <w:contextualSpacing/>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725D70" w:rsidRDefault="00861A9D" w:rsidP="00861A9D">
            <w:pPr>
              <w:ind w:left="360"/>
              <w:contextualSpacing/>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PT</w:t>
            </w:r>
          </w:p>
        </w:tc>
        <w:tc>
          <w:tcPr>
            <w:tcW w:w="487" w:type="pct"/>
            <w:tcBorders>
              <w:left w:val="single" w:sz="12" w:space="0" w:color="auto"/>
            </w:tcBorders>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c>
          <w:tcPr>
            <w:tcW w:w="487" w:type="pct"/>
            <w:tcBorders>
              <w:right w:val="single" w:sz="12" w:space="0" w:color="auto"/>
            </w:tcBorders>
            <w:shd w:val="clear" w:color="auto" w:fill="FFFFFF" w:themeFill="background1"/>
            <w:vAlign w:val="center"/>
          </w:tcPr>
          <w:p w:rsidR="00861A9D" w:rsidRPr="00725D70" w:rsidRDefault="00861A9D" w:rsidP="00861A9D">
            <w:pPr>
              <w:pStyle w:val="ListParagraph"/>
              <w:numPr>
                <w:ilvl w:val="0"/>
                <w:numId w:val="40"/>
              </w:num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RO</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SE</w:t>
            </w:r>
          </w:p>
        </w:tc>
        <w:tc>
          <w:tcPr>
            <w:tcW w:w="487" w:type="pct"/>
            <w:tcBorders>
              <w:left w:val="single" w:sz="12" w:space="0" w:color="auto"/>
            </w:tcBorders>
            <w:vAlign w:val="center"/>
          </w:tcPr>
          <w:p w:rsidR="00861A9D" w:rsidRPr="00815026" w:rsidRDefault="00861A9D" w:rsidP="00861A9D">
            <w:pPr>
              <w:pStyle w:val="ListParagraph"/>
              <w:numPr>
                <w:ilvl w:val="0"/>
                <w:numId w:val="38"/>
              </w:numPr>
              <w:spacing w:before="120" w:after="120" w:line="240" w:lineRule="atLeast"/>
              <w:contextualSpacing/>
              <w:jc w:val="center"/>
              <w:rPr>
                <w:sz w:val="18"/>
                <w:szCs w:val="18"/>
              </w:rPr>
            </w:pPr>
          </w:p>
        </w:tc>
        <w:tc>
          <w:tcPr>
            <w:tcW w:w="487" w:type="pct"/>
            <w:vAlign w:val="center"/>
          </w:tcPr>
          <w:p w:rsidR="00861A9D" w:rsidRPr="00815026" w:rsidRDefault="00861A9D" w:rsidP="00861A9D">
            <w:pPr>
              <w:pStyle w:val="ListParagraph"/>
              <w:numPr>
                <w:ilvl w:val="0"/>
                <w:numId w:val="38"/>
              </w:numPr>
              <w:spacing w:before="120" w:after="120" w:line="240" w:lineRule="atLeast"/>
              <w:contextualSpacing/>
              <w:jc w:val="cente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8"/>
              </w:numPr>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38"/>
              </w:numPr>
              <w:jc w:val="cente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8"/>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8"/>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8"/>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8"/>
              </w:numPr>
              <w:rPr>
                <w:sz w:val="18"/>
                <w:szCs w:val="18"/>
              </w:rPr>
            </w:pPr>
          </w:p>
        </w:tc>
        <w:tc>
          <w:tcPr>
            <w:tcW w:w="487" w:type="pct"/>
            <w:tcBorders>
              <w:right w:val="single" w:sz="12" w:space="0" w:color="auto"/>
            </w:tcBorders>
            <w:shd w:val="clear" w:color="auto" w:fill="D9D9D9" w:themeFill="background1" w:themeFillShade="D9"/>
            <w:vAlign w:val="center"/>
          </w:tcPr>
          <w:p w:rsidR="00861A9D" w:rsidRPr="00815026" w:rsidRDefault="00861A9D" w:rsidP="00861A9D">
            <w:pPr>
              <w:pStyle w:val="ListParagraph"/>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SI</w:t>
            </w:r>
          </w:p>
        </w:tc>
        <w:tc>
          <w:tcPr>
            <w:tcW w:w="487" w:type="pct"/>
            <w:tcBorders>
              <w:left w:val="single" w:sz="12" w:space="0" w:color="auto"/>
            </w:tcBorders>
            <w:shd w:val="clear" w:color="auto" w:fill="FFFFFF" w:themeFill="background1"/>
            <w:vAlign w:val="center"/>
          </w:tcPr>
          <w:p w:rsidR="00861A9D" w:rsidRPr="00815026" w:rsidRDefault="00861A9D" w:rsidP="00861A9D">
            <w:pPr>
              <w:pStyle w:val="ListParagraph"/>
              <w:numPr>
                <w:ilvl w:val="0"/>
                <w:numId w:val="38"/>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8"/>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7"/>
              </w:numPr>
              <w:spacing w:before="120" w:after="120" w:line="240" w:lineRule="atLeast"/>
              <w:contextualSpacing/>
              <w:jc w:val="cente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6"/>
              </w:numPr>
              <w:spacing w:before="120" w:after="120" w:line="240" w:lineRule="atLeast"/>
              <w:contextualSpacing/>
              <w:jc w:val="cente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6"/>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6"/>
              </w:numPr>
              <w:rPr>
                <w:sz w:val="18"/>
                <w:szCs w:val="18"/>
              </w:rPr>
            </w:pPr>
          </w:p>
        </w:tc>
        <w:tc>
          <w:tcPr>
            <w:tcW w:w="487" w:type="pct"/>
            <w:shd w:val="clear" w:color="auto" w:fill="FFFFFF" w:themeFill="background1"/>
            <w:vAlign w:val="center"/>
          </w:tcPr>
          <w:p w:rsidR="00861A9D" w:rsidRPr="00815026" w:rsidRDefault="00861A9D" w:rsidP="00861A9D">
            <w:pPr>
              <w:pStyle w:val="ListParagraph"/>
              <w:numPr>
                <w:ilvl w:val="0"/>
                <w:numId w:val="36"/>
              </w:numPr>
              <w:spacing w:before="120" w:after="120" w:line="240" w:lineRule="atLeast"/>
              <w:contextualSpacing/>
              <w:jc w:val="center"/>
              <w:rPr>
                <w:sz w:val="18"/>
                <w:szCs w:val="18"/>
              </w:rPr>
            </w:pPr>
          </w:p>
        </w:tc>
        <w:tc>
          <w:tcPr>
            <w:tcW w:w="487" w:type="pct"/>
            <w:shd w:val="clear" w:color="auto" w:fill="FFFFFF" w:themeFill="background1"/>
            <w:vAlign w:val="center"/>
          </w:tcPr>
          <w:p w:rsidR="00861A9D" w:rsidRPr="00725D70" w:rsidRDefault="00861A9D" w:rsidP="00861A9D">
            <w:pPr>
              <w:pStyle w:val="ListParagraph"/>
              <w:numPr>
                <w:ilvl w:val="0"/>
                <w:numId w:val="36"/>
              </w:num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415"/>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SK</w:t>
            </w:r>
          </w:p>
        </w:tc>
        <w:tc>
          <w:tcPr>
            <w:tcW w:w="487" w:type="pct"/>
            <w:tcBorders>
              <w:left w:val="single" w:sz="12" w:space="0" w:color="auto"/>
            </w:tcBorders>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c>
          <w:tcPr>
            <w:tcW w:w="487" w:type="pct"/>
            <w:tcBorders>
              <w:right w:val="single" w:sz="12" w:space="0" w:color="auto"/>
            </w:tcBorders>
            <w:shd w:val="clear" w:color="auto" w:fill="FFFFFF" w:themeFill="background1"/>
            <w:vAlign w:val="center"/>
          </w:tcPr>
          <w:p w:rsidR="00861A9D" w:rsidRPr="00481FE4" w:rsidRDefault="00861A9D" w:rsidP="00861A9D">
            <w:pPr>
              <w:pStyle w:val="ListParagraph"/>
              <w:numPr>
                <w:ilvl w:val="0"/>
                <w:numId w:val="36"/>
              </w:numPr>
              <w:jc w:val="center"/>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UK-E&amp;W</w:t>
            </w:r>
          </w:p>
        </w:tc>
        <w:tc>
          <w:tcPr>
            <w:tcW w:w="487" w:type="pct"/>
            <w:tcBorders>
              <w:lef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481FE4" w:rsidRDefault="00861A9D" w:rsidP="00861A9D">
            <w:pPr>
              <w:ind w:left="360"/>
              <w:contextualSpacing/>
              <w:jc w:val="center"/>
              <w:rPr>
                <w:sz w:val="18"/>
                <w:szCs w:val="18"/>
              </w:rPr>
            </w:pPr>
          </w:p>
        </w:tc>
        <w:tc>
          <w:tcPr>
            <w:tcW w:w="487" w:type="pct"/>
            <w:shd w:val="clear" w:color="auto" w:fill="D9D9D9" w:themeFill="background1" w:themeFillShade="D9"/>
            <w:vAlign w:val="center"/>
          </w:tcPr>
          <w:p w:rsidR="00861A9D" w:rsidRPr="00481FE4" w:rsidRDefault="00861A9D" w:rsidP="00861A9D">
            <w:pPr>
              <w:ind w:left="360"/>
              <w:contextualSpacing/>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r>
      <w:tr w:rsidR="00861A9D" w:rsidTr="00861A9D">
        <w:trPr>
          <w:cantSplit/>
          <w:trHeight w:hRule="exact" w:val="360"/>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UK-NI</w:t>
            </w:r>
          </w:p>
        </w:tc>
        <w:tc>
          <w:tcPr>
            <w:tcW w:w="487" w:type="pct"/>
            <w:tcBorders>
              <w:left w:val="single" w:sz="12" w:space="0" w:color="auto"/>
            </w:tcBorders>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861A9D" w:rsidRPr="00481FE4" w:rsidRDefault="00861A9D" w:rsidP="00861A9D">
            <w:pPr>
              <w:ind w:left="360"/>
              <w:contextualSpacing/>
              <w:jc w:val="center"/>
              <w:rPr>
                <w:sz w:val="18"/>
                <w:szCs w:val="18"/>
              </w:rPr>
            </w:pPr>
          </w:p>
        </w:tc>
        <w:tc>
          <w:tcPr>
            <w:tcW w:w="487" w:type="pct"/>
            <w:shd w:val="clear" w:color="auto" w:fill="D9D9D9" w:themeFill="background1" w:themeFillShade="D9"/>
            <w:vAlign w:val="center"/>
          </w:tcPr>
          <w:p w:rsidR="00861A9D" w:rsidRPr="00815026" w:rsidRDefault="00861A9D" w:rsidP="00861A9D">
            <w:pPr>
              <w:pStyle w:val="ListParagraph"/>
              <w:spacing w:before="120" w:after="120" w:line="240" w:lineRule="atLeast"/>
              <w:contextualSpacing/>
              <w:rPr>
                <w:sz w:val="18"/>
                <w:szCs w:val="18"/>
              </w:rPr>
            </w:pPr>
          </w:p>
        </w:tc>
        <w:tc>
          <w:tcPr>
            <w:tcW w:w="487" w:type="pct"/>
            <w:tcBorders>
              <w:right w:val="single" w:sz="12" w:space="0" w:color="auto"/>
            </w:tcBorders>
            <w:shd w:val="clear" w:color="auto" w:fill="D9D9D9" w:themeFill="background1" w:themeFillShade="D9"/>
            <w:vAlign w:val="center"/>
          </w:tcPr>
          <w:p w:rsidR="00861A9D" w:rsidRPr="00481FE4" w:rsidRDefault="00861A9D" w:rsidP="00861A9D">
            <w:pPr>
              <w:ind w:left="360"/>
              <w:contextualSpacing/>
              <w:jc w:val="center"/>
              <w:rPr>
                <w:sz w:val="18"/>
                <w:szCs w:val="18"/>
              </w:rPr>
            </w:pPr>
          </w:p>
        </w:tc>
      </w:tr>
      <w:tr w:rsidR="00861A9D" w:rsidTr="00861A9D">
        <w:trPr>
          <w:cantSplit/>
          <w:trHeight w:hRule="exact" w:val="411"/>
          <w:jc w:val="center"/>
        </w:trPr>
        <w:tc>
          <w:tcPr>
            <w:tcW w:w="617" w:type="pct"/>
            <w:tcBorders>
              <w:right w:val="single" w:sz="12" w:space="0" w:color="auto"/>
            </w:tcBorders>
            <w:shd w:val="clear" w:color="auto" w:fill="DBE5F1" w:themeFill="accent1" w:themeFillTint="33"/>
          </w:tcPr>
          <w:p w:rsidR="00861A9D" w:rsidRPr="00173CAC" w:rsidRDefault="00861A9D" w:rsidP="00861A9D">
            <w:pPr>
              <w:pStyle w:val="BTBullet1"/>
              <w:numPr>
                <w:ilvl w:val="0"/>
                <w:numId w:val="0"/>
              </w:numPr>
              <w:rPr>
                <w:sz w:val="18"/>
                <w:szCs w:val="18"/>
              </w:rPr>
            </w:pPr>
            <w:r w:rsidRPr="00173CAC">
              <w:rPr>
                <w:sz w:val="18"/>
                <w:szCs w:val="18"/>
              </w:rPr>
              <w:t>UK-S</w:t>
            </w:r>
          </w:p>
        </w:tc>
        <w:tc>
          <w:tcPr>
            <w:tcW w:w="487" w:type="pct"/>
            <w:tcBorders>
              <w:lef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shd w:val="clear" w:color="auto" w:fill="D9D9D9" w:themeFill="background1" w:themeFillShade="D9"/>
            <w:vAlign w:val="center"/>
          </w:tcPr>
          <w:p w:rsidR="00861A9D" w:rsidRPr="00E217F3" w:rsidRDefault="00861A9D" w:rsidP="00861A9D">
            <w:pPr>
              <w:jc w:val="center"/>
              <w:rPr>
                <w:sz w:val="18"/>
                <w:szCs w:val="18"/>
              </w:rPr>
            </w:pPr>
          </w:p>
        </w:tc>
        <w:tc>
          <w:tcPr>
            <w:tcW w:w="487" w:type="pct"/>
            <w:tcBorders>
              <w:right w:val="single" w:sz="12" w:space="0" w:color="auto"/>
            </w:tcBorders>
            <w:shd w:val="clear" w:color="auto" w:fill="D9D9D9" w:themeFill="background1" w:themeFillShade="D9"/>
            <w:vAlign w:val="center"/>
          </w:tcPr>
          <w:p w:rsidR="00861A9D" w:rsidRPr="00E217F3" w:rsidRDefault="00861A9D" w:rsidP="00861A9D">
            <w:pPr>
              <w:jc w:val="center"/>
              <w:rPr>
                <w:sz w:val="18"/>
                <w:szCs w:val="18"/>
              </w:rPr>
            </w:pPr>
          </w:p>
        </w:tc>
      </w:tr>
      <w:tr w:rsidR="00861A9D" w:rsidTr="00861A9D">
        <w:trPr>
          <w:cantSplit/>
          <w:trHeight w:hRule="exact" w:val="354"/>
          <w:jc w:val="center"/>
        </w:trPr>
        <w:tc>
          <w:tcPr>
            <w:tcW w:w="617" w:type="pct"/>
            <w:tcBorders>
              <w:right w:val="single" w:sz="12" w:space="0" w:color="auto"/>
            </w:tcBorders>
            <w:shd w:val="clear" w:color="auto" w:fill="FFFFFF" w:themeFill="background1"/>
          </w:tcPr>
          <w:p w:rsidR="00861A9D" w:rsidRPr="00173CAC" w:rsidRDefault="00861A9D" w:rsidP="00861A9D">
            <w:pPr>
              <w:pStyle w:val="BTBullet1"/>
              <w:numPr>
                <w:ilvl w:val="0"/>
                <w:numId w:val="0"/>
              </w:numPr>
              <w:rPr>
                <w:b/>
                <w:sz w:val="18"/>
                <w:szCs w:val="18"/>
              </w:rPr>
            </w:pPr>
            <w:r w:rsidRPr="00173CAC">
              <w:rPr>
                <w:b/>
                <w:sz w:val="18"/>
                <w:szCs w:val="18"/>
              </w:rPr>
              <w:t>Total yes</w:t>
            </w:r>
          </w:p>
        </w:tc>
        <w:tc>
          <w:tcPr>
            <w:tcW w:w="487" w:type="pct"/>
            <w:tcBorders>
              <w:left w:val="single" w:sz="12" w:space="0" w:color="auto"/>
            </w:tcBorders>
            <w:shd w:val="clear" w:color="auto" w:fill="FFFFFF" w:themeFill="background1"/>
          </w:tcPr>
          <w:p w:rsidR="00861A9D" w:rsidRPr="00DC52FD" w:rsidRDefault="00861A9D" w:rsidP="00861A9D">
            <w:pPr>
              <w:jc w:val="center"/>
              <w:rPr>
                <w:b/>
                <w:sz w:val="18"/>
                <w:szCs w:val="18"/>
              </w:rPr>
            </w:pPr>
            <w:r>
              <w:rPr>
                <w:b/>
                <w:sz w:val="18"/>
                <w:szCs w:val="18"/>
              </w:rPr>
              <w:t>16</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10</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14</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13</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10</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11</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14</w:t>
            </w:r>
          </w:p>
        </w:tc>
        <w:tc>
          <w:tcPr>
            <w:tcW w:w="487" w:type="pct"/>
            <w:shd w:val="clear" w:color="auto" w:fill="FFFFFF" w:themeFill="background1"/>
          </w:tcPr>
          <w:p w:rsidR="00861A9D" w:rsidRPr="00DC52FD" w:rsidRDefault="00861A9D" w:rsidP="00861A9D">
            <w:pPr>
              <w:jc w:val="center"/>
              <w:rPr>
                <w:b/>
                <w:sz w:val="18"/>
                <w:szCs w:val="18"/>
              </w:rPr>
            </w:pPr>
            <w:r>
              <w:rPr>
                <w:b/>
                <w:sz w:val="18"/>
                <w:szCs w:val="18"/>
              </w:rPr>
              <w:t>10</w:t>
            </w:r>
          </w:p>
        </w:tc>
        <w:tc>
          <w:tcPr>
            <w:tcW w:w="487" w:type="pct"/>
            <w:tcBorders>
              <w:right w:val="single" w:sz="12" w:space="0" w:color="auto"/>
            </w:tcBorders>
            <w:shd w:val="clear" w:color="auto" w:fill="FFFFFF" w:themeFill="background1"/>
          </w:tcPr>
          <w:p w:rsidR="00861A9D" w:rsidRPr="00DC52FD" w:rsidRDefault="00861A9D" w:rsidP="00861A9D">
            <w:pPr>
              <w:jc w:val="center"/>
              <w:rPr>
                <w:b/>
                <w:sz w:val="18"/>
                <w:szCs w:val="18"/>
              </w:rPr>
            </w:pPr>
            <w:r w:rsidRPr="00DC52FD">
              <w:rPr>
                <w:b/>
                <w:sz w:val="18"/>
                <w:szCs w:val="18"/>
              </w:rPr>
              <w:t>9</w:t>
            </w:r>
          </w:p>
        </w:tc>
      </w:tr>
      <w:tr w:rsidR="00861A9D" w:rsidTr="00861A9D">
        <w:trPr>
          <w:cantSplit/>
          <w:trHeight w:hRule="exact" w:val="444"/>
          <w:jc w:val="center"/>
        </w:trPr>
        <w:tc>
          <w:tcPr>
            <w:tcW w:w="5000" w:type="pct"/>
            <w:gridSpan w:val="10"/>
            <w:tcBorders>
              <w:right w:val="single" w:sz="12" w:space="0" w:color="auto"/>
            </w:tcBorders>
            <w:shd w:val="clear" w:color="auto" w:fill="FFFFFF" w:themeFill="background1"/>
          </w:tcPr>
          <w:p w:rsidR="00861A9D" w:rsidRPr="00DC52FD" w:rsidRDefault="00861A9D" w:rsidP="00861A9D">
            <w:pPr>
              <w:rPr>
                <w:b/>
                <w:sz w:val="18"/>
                <w:szCs w:val="18"/>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593AF4" w:rsidRDefault="00593AF4" w:rsidP="009F78A6">
      <w:pPr>
        <w:pStyle w:val="TableTitle"/>
        <w:sectPr w:rsidR="00593AF4" w:rsidSect="002C3D52">
          <w:type w:val="continuous"/>
          <w:pgSz w:w="11907" w:h="16840" w:code="9"/>
          <w:pgMar w:top="1276" w:right="1418" w:bottom="851" w:left="1418" w:header="680" w:footer="567" w:gutter="0"/>
          <w:cols w:space="708"/>
          <w:docGrid w:linePitch="360"/>
        </w:sectPr>
      </w:pPr>
    </w:p>
    <w:p w:rsidR="00861A9D" w:rsidRDefault="00861A9D">
      <w:pPr>
        <w:spacing w:before="0" w:after="0" w:line="240" w:lineRule="auto"/>
        <w:rPr>
          <w:rFonts w:cs="Arial"/>
          <w:sz w:val="22"/>
          <w:szCs w:val="22"/>
        </w:rPr>
        <w:sectPr w:rsidR="00861A9D"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E72BE2" w:rsidRPr="000A70D8" w:rsidRDefault="0085362B" w:rsidP="00861A9D">
      <w:pPr>
        <w:pStyle w:val="AnnexTable"/>
        <w:tabs>
          <w:tab w:val="num" w:pos="1260"/>
        </w:tabs>
        <w:ind w:left="1531" w:hanging="1531"/>
      </w:pPr>
      <w:bookmarkStart w:id="354" w:name="_Ref401247190"/>
      <w:bookmarkStart w:id="355" w:name="_Toc408908665"/>
      <w:r w:rsidRPr="004E39FE">
        <w:t>Multidisciplinary training is available but not mandatory</w:t>
      </w:r>
      <w:r>
        <w:t xml:space="preserve"> (CivAdm094b</w:t>
      </w:r>
      <w:r w:rsidR="00E72BE2">
        <w:t>)</w:t>
      </w:r>
      <w:bookmarkEnd w:id="354"/>
      <w:bookmarkEnd w:id="355"/>
    </w:p>
    <w:tbl>
      <w:tblPr>
        <w:tblStyle w:val="Tabellenraster1"/>
        <w:tblW w:w="5000" w:type="pct"/>
        <w:jc w:val="center"/>
        <w:tblCellMar>
          <w:left w:w="115" w:type="dxa"/>
          <w:right w:w="115" w:type="dxa"/>
        </w:tblCellMar>
        <w:tblLook w:val="04A0" w:firstRow="1" w:lastRow="0" w:firstColumn="1" w:lastColumn="0" w:noHBand="0" w:noVBand="1"/>
      </w:tblPr>
      <w:tblGrid>
        <w:gridCol w:w="1147"/>
        <w:gridCol w:w="906"/>
        <w:gridCol w:w="906"/>
        <w:gridCol w:w="906"/>
        <w:gridCol w:w="906"/>
        <w:gridCol w:w="906"/>
        <w:gridCol w:w="906"/>
        <w:gridCol w:w="906"/>
        <w:gridCol w:w="906"/>
        <w:gridCol w:w="906"/>
      </w:tblGrid>
      <w:tr w:rsidR="00E72BE2" w:rsidRPr="00593387" w:rsidTr="00861A9D">
        <w:trPr>
          <w:trHeight w:hRule="exact" w:val="288"/>
          <w:tblHeader/>
          <w:jc w:val="center"/>
        </w:trPr>
        <w:tc>
          <w:tcPr>
            <w:tcW w:w="617" w:type="pct"/>
            <w:tcBorders>
              <w:right w:val="single" w:sz="12" w:space="0" w:color="auto"/>
            </w:tcBorders>
          </w:tcPr>
          <w:p w:rsidR="00E72BE2" w:rsidRDefault="00E72BE2" w:rsidP="000279A2">
            <w:pPr>
              <w:pStyle w:val="TableTitle"/>
            </w:pPr>
            <w:r>
              <w:t>MS</w:t>
            </w:r>
          </w:p>
        </w:tc>
        <w:tc>
          <w:tcPr>
            <w:tcW w:w="4383" w:type="pct"/>
            <w:gridSpan w:val="9"/>
            <w:tcBorders>
              <w:left w:val="single" w:sz="12" w:space="0" w:color="auto"/>
              <w:right w:val="single" w:sz="12" w:space="0" w:color="auto"/>
            </w:tcBorders>
          </w:tcPr>
          <w:p w:rsidR="00E72BE2" w:rsidRDefault="00E72BE2" w:rsidP="000279A2">
            <w:pPr>
              <w:pStyle w:val="TableTitle"/>
            </w:pPr>
            <w:r>
              <w:t>Areas of law</w:t>
            </w:r>
          </w:p>
        </w:tc>
      </w:tr>
      <w:tr w:rsidR="00E72BE2" w:rsidTr="00861A9D">
        <w:trPr>
          <w:cantSplit/>
          <w:trHeight w:hRule="exact" w:val="1002"/>
          <w:tblHeader/>
          <w:jc w:val="center"/>
        </w:trPr>
        <w:tc>
          <w:tcPr>
            <w:tcW w:w="617" w:type="pct"/>
            <w:tcBorders>
              <w:right w:val="single" w:sz="12" w:space="0" w:color="auto"/>
            </w:tcBorders>
            <w:shd w:val="clear" w:color="auto" w:fill="DBE5F1" w:themeFill="accent1" w:themeFillTint="33"/>
          </w:tcPr>
          <w:p w:rsidR="00E72BE2" w:rsidRPr="00E217F3" w:rsidRDefault="00E72BE2" w:rsidP="000279A2">
            <w:pPr>
              <w:rPr>
                <w:b/>
              </w:rPr>
            </w:pPr>
          </w:p>
        </w:tc>
        <w:tc>
          <w:tcPr>
            <w:tcW w:w="487" w:type="pct"/>
            <w:tcBorders>
              <w:left w:val="single" w:sz="12" w:space="0" w:color="auto"/>
            </w:tcBorders>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Family</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Employment</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Asylum</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Migration</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Education</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Health</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Placement</w:t>
            </w:r>
          </w:p>
        </w:tc>
        <w:tc>
          <w:tcPr>
            <w:tcW w:w="487" w:type="pct"/>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Admin Sanctions</w:t>
            </w:r>
          </w:p>
        </w:tc>
        <w:tc>
          <w:tcPr>
            <w:tcW w:w="487" w:type="pct"/>
            <w:tcBorders>
              <w:right w:val="single" w:sz="12" w:space="0" w:color="auto"/>
            </w:tcBorders>
            <w:shd w:val="clear" w:color="auto" w:fill="DBE5F1" w:themeFill="accent1" w:themeFillTint="33"/>
            <w:textDirection w:val="btLr"/>
          </w:tcPr>
          <w:p w:rsidR="00E72BE2" w:rsidRPr="00173CAC" w:rsidRDefault="00E72BE2" w:rsidP="000279A2">
            <w:pPr>
              <w:ind w:left="113" w:right="113"/>
              <w:rPr>
                <w:b/>
                <w:sz w:val="12"/>
                <w:szCs w:val="12"/>
              </w:rPr>
            </w:pPr>
            <w:r w:rsidRPr="00173CAC">
              <w:rPr>
                <w:b/>
                <w:sz w:val="12"/>
                <w:szCs w:val="12"/>
              </w:rPr>
              <w:t>Offences &lt;MACR</w:t>
            </w: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AT</w:t>
            </w:r>
          </w:p>
        </w:tc>
        <w:tc>
          <w:tcPr>
            <w:tcW w:w="487" w:type="pct"/>
            <w:tcBorders>
              <w:left w:val="single" w:sz="12" w:space="0" w:color="auto"/>
            </w:tcBorders>
            <w:shd w:val="clear" w:color="auto" w:fill="D9D9D9" w:themeFill="background1" w:themeFillShade="D9"/>
            <w:vAlign w:val="center"/>
          </w:tcPr>
          <w:p w:rsidR="0059458D" w:rsidRPr="0059458D" w:rsidRDefault="0059458D" w:rsidP="0059458D">
            <w:pPr>
              <w:ind w:left="360"/>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tcBorders>
              <w:right w:val="single" w:sz="12" w:space="0" w:color="auto"/>
            </w:tcBorders>
            <w:shd w:val="clear" w:color="auto" w:fill="D9D9D9" w:themeFill="background1" w:themeFillShade="D9"/>
            <w:vAlign w:val="center"/>
          </w:tcPr>
          <w:p w:rsidR="0059458D" w:rsidRPr="0059458D" w:rsidRDefault="0059458D" w:rsidP="0059458D">
            <w:pPr>
              <w:jc w:val="center"/>
              <w:rPr>
                <w:sz w:val="18"/>
                <w:szCs w:val="18"/>
                <w:highlight w:val="lightGray"/>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BE</w:t>
            </w:r>
          </w:p>
        </w:tc>
        <w:tc>
          <w:tcPr>
            <w:tcW w:w="487" w:type="pct"/>
            <w:tcBorders>
              <w:left w:val="single" w:sz="12" w:space="0" w:color="auto"/>
            </w:tcBorders>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shd w:val="clear" w:color="auto" w:fill="D9D9D9" w:themeFill="background1" w:themeFillShade="D9"/>
            <w:vAlign w:val="center"/>
          </w:tcPr>
          <w:p w:rsidR="0059458D" w:rsidRPr="0059458D" w:rsidRDefault="0059458D" w:rsidP="0059458D">
            <w:pPr>
              <w:jc w:val="center"/>
              <w:rPr>
                <w:sz w:val="18"/>
                <w:szCs w:val="18"/>
                <w:highlight w:val="lightGray"/>
              </w:rPr>
            </w:pPr>
          </w:p>
        </w:tc>
        <w:tc>
          <w:tcPr>
            <w:tcW w:w="487" w:type="pct"/>
            <w:tcBorders>
              <w:right w:val="single" w:sz="12" w:space="0" w:color="auto"/>
            </w:tcBorders>
            <w:shd w:val="clear" w:color="auto" w:fill="D9D9D9" w:themeFill="background1" w:themeFillShade="D9"/>
            <w:vAlign w:val="center"/>
          </w:tcPr>
          <w:p w:rsidR="0059458D" w:rsidRPr="0059458D" w:rsidRDefault="0059458D" w:rsidP="0059458D">
            <w:pPr>
              <w:jc w:val="center"/>
              <w:rPr>
                <w:sz w:val="18"/>
                <w:szCs w:val="18"/>
                <w:highlight w:val="lightGray"/>
              </w:rPr>
            </w:pPr>
          </w:p>
        </w:tc>
      </w:tr>
      <w:tr w:rsidR="00EC7495"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BG</w:t>
            </w:r>
          </w:p>
        </w:tc>
        <w:tc>
          <w:tcPr>
            <w:tcW w:w="487" w:type="pct"/>
            <w:tcBorders>
              <w:left w:val="single" w:sz="12" w:space="0" w:color="auto"/>
            </w:tcBorders>
            <w:shd w:val="clear" w:color="auto" w:fill="FFFFFF" w:themeFill="background1"/>
            <w:vAlign w:val="center"/>
          </w:tcPr>
          <w:p w:rsidR="0059458D" w:rsidRPr="0059458D" w:rsidRDefault="0059458D" w:rsidP="0059458D">
            <w:pPr>
              <w:pStyle w:val="ListParagraph"/>
              <w:numPr>
                <w:ilvl w:val="0"/>
                <w:numId w:val="35"/>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FFFFFF" w:themeFill="background1"/>
            <w:vAlign w:val="center"/>
          </w:tcPr>
          <w:p w:rsidR="0059458D" w:rsidRPr="00EC7495" w:rsidRDefault="0059458D" w:rsidP="00EC7495">
            <w:pPr>
              <w:pStyle w:val="ListParagraph"/>
              <w:numPr>
                <w:ilvl w:val="0"/>
                <w:numId w:val="35"/>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5"/>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CY</w:t>
            </w:r>
          </w:p>
        </w:tc>
        <w:tc>
          <w:tcPr>
            <w:tcW w:w="487" w:type="pct"/>
            <w:tcBorders>
              <w:left w:val="single" w:sz="12" w:space="0" w:color="auto"/>
            </w:tcBorders>
            <w:vAlign w:val="center"/>
          </w:tcPr>
          <w:p w:rsidR="0059458D" w:rsidRPr="00EF3CCD" w:rsidRDefault="0059458D" w:rsidP="0059458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F3CCD" w:rsidRDefault="0059458D" w:rsidP="003B2243">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vAlign w:val="center"/>
          </w:tcPr>
          <w:p w:rsidR="0059458D" w:rsidRPr="00EF3CCD" w:rsidRDefault="0059458D" w:rsidP="0059458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3B2243">
            <w:pPr>
              <w:pStyle w:val="BTBullet1"/>
              <w:numPr>
                <w:ilvl w:val="0"/>
                <w:numId w:val="0"/>
              </w:numPr>
              <w:rPr>
                <w:sz w:val="18"/>
                <w:szCs w:val="18"/>
              </w:rPr>
            </w:pPr>
            <w:r w:rsidRPr="00173CAC">
              <w:rPr>
                <w:sz w:val="18"/>
                <w:szCs w:val="18"/>
              </w:rPr>
              <w:t>CZ</w:t>
            </w:r>
          </w:p>
        </w:tc>
        <w:tc>
          <w:tcPr>
            <w:tcW w:w="487" w:type="pct"/>
            <w:tcBorders>
              <w:lef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tcBorders>
              <w:righ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DE</w:t>
            </w:r>
          </w:p>
        </w:tc>
        <w:tc>
          <w:tcPr>
            <w:tcW w:w="487" w:type="pct"/>
            <w:tcBorders>
              <w:lef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tcBorders>
              <w:righ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DK</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EE</w:t>
            </w:r>
          </w:p>
        </w:tc>
        <w:tc>
          <w:tcPr>
            <w:tcW w:w="487" w:type="pct"/>
            <w:tcBorders>
              <w:left w:val="single" w:sz="12" w:space="0" w:color="auto"/>
            </w:tcBorders>
            <w:vAlign w:val="center"/>
          </w:tcPr>
          <w:p w:rsidR="0059458D" w:rsidRPr="00EF3CCD" w:rsidRDefault="0059458D" w:rsidP="0059458D">
            <w:pPr>
              <w:pStyle w:val="ListParagraph"/>
              <w:numPr>
                <w:ilvl w:val="0"/>
                <w:numId w:val="45"/>
              </w:numPr>
              <w:spacing w:before="120" w:after="120" w:line="240" w:lineRule="atLeast"/>
              <w:contextualSpacing/>
              <w:jc w:val="center"/>
              <w:rPr>
                <w:sz w:val="18"/>
                <w:szCs w:val="18"/>
              </w:rPr>
            </w:pPr>
          </w:p>
        </w:tc>
        <w:tc>
          <w:tcPr>
            <w:tcW w:w="487" w:type="pct"/>
            <w:vAlign w:val="center"/>
          </w:tcPr>
          <w:p w:rsidR="0059458D" w:rsidRPr="00EF3CCD" w:rsidRDefault="0059458D" w:rsidP="003B2243">
            <w:pPr>
              <w:pStyle w:val="ListParagraph"/>
              <w:numPr>
                <w:ilvl w:val="0"/>
                <w:numId w:val="45"/>
              </w:numPr>
              <w:spacing w:before="120" w:after="120" w:line="240" w:lineRule="atLeast"/>
              <w:contextualSpacing/>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c>
          <w:tcPr>
            <w:tcW w:w="487" w:type="pct"/>
            <w:tcBorders>
              <w:right w:val="single" w:sz="12" w:space="0" w:color="auto"/>
            </w:tcBorders>
            <w:shd w:val="clear" w:color="auto" w:fill="FFFFFF" w:themeFill="background1"/>
            <w:vAlign w:val="center"/>
          </w:tcPr>
          <w:p w:rsidR="0059458D" w:rsidRPr="003B2243" w:rsidRDefault="0059458D" w:rsidP="003B2243">
            <w:pPr>
              <w:pStyle w:val="ListParagraph"/>
              <w:numPr>
                <w:ilvl w:val="0"/>
                <w:numId w:val="45"/>
              </w:numPr>
              <w:jc w:val="center"/>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EL</w:t>
            </w:r>
          </w:p>
        </w:tc>
        <w:tc>
          <w:tcPr>
            <w:tcW w:w="487" w:type="pct"/>
            <w:tcBorders>
              <w:left w:val="single" w:sz="12" w:space="0" w:color="auto"/>
            </w:tcBorders>
            <w:vAlign w:val="center"/>
          </w:tcPr>
          <w:p w:rsidR="0059458D" w:rsidRPr="00815026" w:rsidRDefault="0059458D" w:rsidP="0059458D">
            <w:pPr>
              <w:pStyle w:val="ListParagraph"/>
              <w:numPr>
                <w:ilvl w:val="0"/>
                <w:numId w:val="45"/>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vAlign w:val="center"/>
          </w:tcPr>
          <w:p w:rsidR="0059458D" w:rsidRPr="00815026" w:rsidRDefault="0059458D" w:rsidP="0059458D">
            <w:pPr>
              <w:pStyle w:val="ListParagraph"/>
              <w:numPr>
                <w:ilvl w:val="0"/>
                <w:numId w:val="34"/>
              </w:numPr>
              <w:spacing w:before="120" w:after="120" w:line="240" w:lineRule="atLeast"/>
              <w:contextualSpacing/>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vAlign w:val="center"/>
          </w:tcPr>
          <w:p w:rsidR="0059458D" w:rsidRPr="00815026" w:rsidRDefault="0059458D" w:rsidP="0059458D">
            <w:pPr>
              <w:pStyle w:val="ListParagraph"/>
              <w:numPr>
                <w:ilvl w:val="0"/>
                <w:numId w:val="34"/>
              </w:numPr>
              <w:spacing w:before="120" w:after="120" w:line="240" w:lineRule="atLeast"/>
              <w:contextualSpacing/>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ES</w:t>
            </w:r>
          </w:p>
        </w:tc>
        <w:tc>
          <w:tcPr>
            <w:tcW w:w="487" w:type="pct"/>
            <w:tcBorders>
              <w:left w:val="single" w:sz="12" w:space="0" w:color="auto"/>
            </w:tcBorders>
            <w:shd w:val="clear" w:color="auto" w:fill="D9D9D9" w:themeFill="background1" w:themeFillShade="D9"/>
            <w:vAlign w:val="center"/>
          </w:tcPr>
          <w:p w:rsidR="0059458D" w:rsidRPr="00815026" w:rsidRDefault="0059458D" w:rsidP="003B2243">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D9D9D9" w:themeFill="background1" w:themeFillShade="D9"/>
            <w:vAlign w:val="center"/>
          </w:tcPr>
          <w:p w:rsidR="0059458D" w:rsidRPr="00815026" w:rsidRDefault="0059458D" w:rsidP="003B2243">
            <w:pPr>
              <w:pStyle w:val="ListParagraph"/>
              <w:spacing w:before="120" w:after="120" w:line="240" w:lineRule="atLeast"/>
              <w:contextualSpacing/>
              <w:rPr>
                <w:sz w:val="18"/>
                <w:szCs w:val="18"/>
              </w:rPr>
            </w:pPr>
          </w:p>
        </w:tc>
        <w:tc>
          <w:tcPr>
            <w:tcW w:w="487" w:type="pct"/>
            <w:tcBorders>
              <w:right w:val="single" w:sz="12" w:space="0" w:color="auto"/>
            </w:tcBorders>
            <w:shd w:val="clear" w:color="auto" w:fill="D9D9D9" w:themeFill="background1" w:themeFillShade="D9"/>
            <w:vAlign w:val="center"/>
          </w:tcPr>
          <w:p w:rsidR="0059458D" w:rsidRPr="003B2243" w:rsidRDefault="0059458D" w:rsidP="003B2243">
            <w:pPr>
              <w:ind w:left="360"/>
              <w:contextualSpacing/>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FI</w:t>
            </w:r>
          </w:p>
        </w:tc>
        <w:tc>
          <w:tcPr>
            <w:tcW w:w="487" w:type="pct"/>
            <w:tcBorders>
              <w:lef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auto"/>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FR</w:t>
            </w:r>
          </w:p>
        </w:tc>
        <w:tc>
          <w:tcPr>
            <w:tcW w:w="487" w:type="pct"/>
            <w:tcBorders>
              <w:left w:val="single" w:sz="12" w:space="0" w:color="auto"/>
            </w:tcBorders>
            <w:shd w:val="clear" w:color="auto" w:fill="D9D9D9" w:themeFill="background1" w:themeFillShade="D9"/>
            <w:vAlign w:val="center"/>
          </w:tcPr>
          <w:p w:rsidR="0059458D" w:rsidRPr="00815026" w:rsidRDefault="0059458D" w:rsidP="003B2243">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815026" w:rsidRDefault="0059458D" w:rsidP="003B2243">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HR</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3B2243"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HU</w:t>
            </w:r>
          </w:p>
        </w:tc>
        <w:tc>
          <w:tcPr>
            <w:tcW w:w="487" w:type="pct"/>
            <w:tcBorders>
              <w:lef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c>
          <w:tcPr>
            <w:tcW w:w="487" w:type="pct"/>
            <w:tcBorders>
              <w:right w:val="single" w:sz="12" w:space="0" w:color="auto"/>
            </w:tcBorders>
            <w:shd w:val="clear" w:color="auto" w:fill="FFFFFF" w:themeFill="background1"/>
            <w:vAlign w:val="center"/>
          </w:tcPr>
          <w:p w:rsidR="0059458D" w:rsidRPr="003B2243" w:rsidRDefault="0059458D" w:rsidP="003B2243">
            <w:pPr>
              <w:pStyle w:val="ListParagraph"/>
              <w:numPr>
                <w:ilvl w:val="0"/>
                <w:numId w:val="34"/>
              </w:numPr>
              <w:jc w:val="center"/>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IE</w:t>
            </w:r>
          </w:p>
        </w:tc>
        <w:tc>
          <w:tcPr>
            <w:tcW w:w="487" w:type="pct"/>
            <w:tcBorders>
              <w:left w:val="single" w:sz="12" w:space="0" w:color="auto"/>
            </w:tcBorders>
            <w:shd w:val="clear" w:color="auto" w:fill="auto"/>
            <w:vAlign w:val="center"/>
          </w:tcPr>
          <w:p w:rsidR="0059458D" w:rsidRPr="00725D70" w:rsidRDefault="0059458D" w:rsidP="00725D70">
            <w:pPr>
              <w:pStyle w:val="ListParagraph"/>
              <w:numPr>
                <w:ilvl w:val="0"/>
                <w:numId w:val="34"/>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auto"/>
            <w:vAlign w:val="center"/>
          </w:tcPr>
          <w:p w:rsidR="0059458D" w:rsidRPr="00725D70" w:rsidRDefault="0059458D" w:rsidP="00725D70">
            <w:pPr>
              <w:pStyle w:val="ListParagraph"/>
              <w:numPr>
                <w:ilvl w:val="0"/>
                <w:numId w:val="34"/>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auto"/>
            <w:vAlign w:val="center"/>
          </w:tcPr>
          <w:p w:rsidR="0059458D" w:rsidRPr="00725D70" w:rsidRDefault="0059458D" w:rsidP="00725D70">
            <w:pPr>
              <w:pStyle w:val="ListParagraph"/>
              <w:numPr>
                <w:ilvl w:val="0"/>
                <w:numId w:val="34"/>
              </w:numPr>
              <w:jc w:val="center"/>
              <w:rPr>
                <w:sz w:val="18"/>
                <w:szCs w:val="18"/>
              </w:rPr>
            </w:pPr>
          </w:p>
        </w:tc>
        <w:tc>
          <w:tcPr>
            <w:tcW w:w="487" w:type="pct"/>
            <w:shd w:val="clear" w:color="auto" w:fill="auto"/>
            <w:vAlign w:val="center"/>
          </w:tcPr>
          <w:p w:rsidR="0059458D" w:rsidRPr="00725D70" w:rsidRDefault="0059458D" w:rsidP="00725D70">
            <w:pPr>
              <w:pStyle w:val="ListParagraph"/>
              <w:numPr>
                <w:ilvl w:val="0"/>
                <w:numId w:val="34"/>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IT</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725D70" w:rsidRDefault="0059458D" w:rsidP="00725D70">
            <w:pPr>
              <w:ind w:left="360"/>
              <w:contextualSpacing/>
              <w:jc w:val="center"/>
              <w:rPr>
                <w:sz w:val="18"/>
                <w:szCs w:val="18"/>
              </w:rPr>
            </w:pPr>
          </w:p>
        </w:tc>
        <w:tc>
          <w:tcPr>
            <w:tcW w:w="487" w:type="pct"/>
            <w:shd w:val="clear" w:color="auto" w:fill="D9D9D9" w:themeFill="background1" w:themeFillShade="D9"/>
            <w:vAlign w:val="center"/>
          </w:tcPr>
          <w:p w:rsidR="0059458D" w:rsidRPr="00725D70" w:rsidRDefault="0059458D" w:rsidP="00725D70">
            <w:pPr>
              <w:ind w:left="360"/>
              <w:contextualSpacing/>
              <w:jc w:val="center"/>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LT</w:t>
            </w:r>
          </w:p>
        </w:tc>
        <w:tc>
          <w:tcPr>
            <w:tcW w:w="487" w:type="pct"/>
            <w:tcBorders>
              <w:left w:val="single" w:sz="12" w:space="0" w:color="auto"/>
            </w:tcBorders>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2"/>
              </w:numPr>
              <w:spacing w:before="120" w:after="120" w:line="240" w:lineRule="atLeast"/>
              <w:contextualSpacing/>
              <w:jc w:val="center"/>
              <w:rPr>
                <w:sz w:val="18"/>
                <w:szCs w:val="18"/>
              </w:rPr>
            </w:pPr>
          </w:p>
        </w:tc>
        <w:tc>
          <w:tcPr>
            <w:tcW w:w="487" w:type="pct"/>
            <w:tcBorders>
              <w:right w:val="single" w:sz="12" w:space="0" w:color="auto"/>
            </w:tcBorders>
            <w:vAlign w:val="center"/>
          </w:tcPr>
          <w:p w:rsidR="0059458D" w:rsidRPr="00815026" w:rsidRDefault="0059458D" w:rsidP="0059458D">
            <w:pPr>
              <w:pStyle w:val="ListParagraph"/>
              <w:numPr>
                <w:ilvl w:val="0"/>
                <w:numId w:val="41"/>
              </w:numPr>
              <w:spacing w:before="120" w:after="120" w:line="240" w:lineRule="atLeast"/>
              <w:contextualSpacing/>
              <w:jc w:val="center"/>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LU</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LV</w:t>
            </w:r>
          </w:p>
        </w:tc>
        <w:tc>
          <w:tcPr>
            <w:tcW w:w="487" w:type="pct"/>
            <w:tcBorders>
              <w:left w:val="single" w:sz="12" w:space="0" w:color="auto"/>
            </w:tcBorders>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c>
          <w:tcPr>
            <w:tcW w:w="487" w:type="pct"/>
            <w:tcBorders>
              <w:right w:val="single" w:sz="12" w:space="0" w:color="auto"/>
            </w:tcBorders>
            <w:vAlign w:val="center"/>
          </w:tcPr>
          <w:p w:rsidR="0059458D" w:rsidRPr="00815026" w:rsidRDefault="0059458D" w:rsidP="0059458D">
            <w:pPr>
              <w:pStyle w:val="ListParagraph"/>
              <w:numPr>
                <w:ilvl w:val="0"/>
                <w:numId w:val="40"/>
              </w:numPr>
              <w:spacing w:before="120" w:after="120" w:line="240" w:lineRule="atLeast"/>
              <w:contextualSpacing/>
              <w:jc w:val="center"/>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MT</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NL</w:t>
            </w:r>
          </w:p>
        </w:tc>
        <w:tc>
          <w:tcPr>
            <w:tcW w:w="487" w:type="pct"/>
            <w:tcBorders>
              <w:left w:val="single" w:sz="12" w:space="0" w:color="auto"/>
            </w:tcBorders>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PL</w:t>
            </w:r>
          </w:p>
        </w:tc>
        <w:tc>
          <w:tcPr>
            <w:tcW w:w="487" w:type="pct"/>
            <w:tcBorders>
              <w:left w:val="single" w:sz="12" w:space="0" w:color="auto"/>
            </w:tcBorders>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725D70" w:rsidRDefault="0059458D" w:rsidP="00725D70">
            <w:pPr>
              <w:ind w:left="360"/>
              <w:contextualSpacing/>
              <w:jc w:val="center"/>
              <w:rPr>
                <w:sz w:val="18"/>
                <w:szCs w:val="18"/>
              </w:rPr>
            </w:pPr>
          </w:p>
        </w:tc>
        <w:tc>
          <w:tcPr>
            <w:tcW w:w="487" w:type="pct"/>
            <w:shd w:val="clear" w:color="auto" w:fill="D9D9D9" w:themeFill="background1" w:themeFillShade="D9"/>
            <w:vAlign w:val="center"/>
          </w:tcPr>
          <w:p w:rsidR="0059458D" w:rsidRPr="00725D70" w:rsidRDefault="0059458D" w:rsidP="00725D70">
            <w:pPr>
              <w:ind w:left="360"/>
              <w:contextualSpacing/>
              <w:jc w:val="center"/>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725D70">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725D70" w:rsidRDefault="0059458D" w:rsidP="00725D70">
            <w:pPr>
              <w:ind w:left="360"/>
              <w:contextualSpacing/>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725D70" w:rsidRDefault="0059458D" w:rsidP="00725D70">
            <w:pPr>
              <w:ind w:left="360"/>
              <w:contextualSpacing/>
              <w:jc w:val="center"/>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PT</w:t>
            </w:r>
          </w:p>
        </w:tc>
        <w:tc>
          <w:tcPr>
            <w:tcW w:w="487" w:type="pct"/>
            <w:tcBorders>
              <w:left w:val="single" w:sz="12" w:space="0" w:color="auto"/>
            </w:tcBorders>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c>
          <w:tcPr>
            <w:tcW w:w="487" w:type="pct"/>
            <w:tcBorders>
              <w:right w:val="single" w:sz="12" w:space="0" w:color="auto"/>
            </w:tcBorders>
            <w:shd w:val="clear" w:color="auto" w:fill="FFFFFF" w:themeFill="background1"/>
            <w:vAlign w:val="center"/>
          </w:tcPr>
          <w:p w:rsidR="0059458D" w:rsidRPr="00725D70" w:rsidRDefault="0059458D" w:rsidP="00725D70">
            <w:pPr>
              <w:pStyle w:val="ListParagraph"/>
              <w:numPr>
                <w:ilvl w:val="0"/>
                <w:numId w:val="40"/>
              </w:numPr>
              <w:jc w:val="center"/>
              <w:rPr>
                <w:sz w:val="18"/>
                <w:szCs w:val="18"/>
              </w:rPr>
            </w:pPr>
          </w:p>
        </w:tc>
      </w:tr>
      <w:tr w:rsidR="0059458D"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RO</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SE</w:t>
            </w:r>
          </w:p>
        </w:tc>
        <w:tc>
          <w:tcPr>
            <w:tcW w:w="487" w:type="pct"/>
            <w:tcBorders>
              <w:left w:val="single" w:sz="12" w:space="0" w:color="auto"/>
            </w:tcBorders>
            <w:vAlign w:val="center"/>
          </w:tcPr>
          <w:p w:rsidR="0059458D" w:rsidRPr="00815026" w:rsidRDefault="0059458D" w:rsidP="0059458D">
            <w:pPr>
              <w:pStyle w:val="ListParagraph"/>
              <w:numPr>
                <w:ilvl w:val="0"/>
                <w:numId w:val="38"/>
              </w:numPr>
              <w:spacing w:before="120" w:after="120" w:line="240" w:lineRule="atLeast"/>
              <w:contextualSpacing/>
              <w:jc w:val="center"/>
              <w:rPr>
                <w:sz w:val="18"/>
                <w:szCs w:val="18"/>
              </w:rPr>
            </w:pPr>
          </w:p>
        </w:tc>
        <w:tc>
          <w:tcPr>
            <w:tcW w:w="487" w:type="pct"/>
            <w:vAlign w:val="center"/>
          </w:tcPr>
          <w:p w:rsidR="0059458D" w:rsidRPr="00815026" w:rsidRDefault="0059458D" w:rsidP="0059458D">
            <w:pPr>
              <w:pStyle w:val="ListParagraph"/>
              <w:numPr>
                <w:ilvl w:val="0"/>
                <w:numId w:val="38"/>
              </w:numPr>
              <w:spacing w:before="120" w:after="120" w:line="240" w:lineRule="atLeast"/>
              <w:contextualSpacing/>
              <w:jc w:val="cente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8"/>
              </w:numPr>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38"/>
              </w:numPr>
              <w:jc w:val="cente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8"/>
              </w:numP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8"/>
              </w:numP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8"/>
              </w:numP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8"/>
              </w:numPr>
              <w:rPr>
                <w:sz w:val="18"/>
                <w:szCs w:val="18"/>
              </w:rPr>
            </w:pPr>
          </w:p>
        </w:tc>
        <w:tc>
          <w:tcPr>
            <w:tcW w:w="487" w:type="pct"/>
            <w:tcBorders>
              <w:right w:val="single" w:sz="12" w:space="0" w:color="auto"/>
            </w:tcBorders>
            <w:shd w:val="clear" w:color="auto" w:fill="D9D9D9" w:themeFill="background1" w:themeFillShade="D9"/>
            <w:vAlign w:val="center"/>
          </w:tcPr>
          <w:p w:rsidR="0059458D" w:rsidRPr="00815026" w:rsidRDefault="0059458D" w:rsidP="0059458D">
            <w:pPr>
              <w:pStyle w:val="ListParagraph"/>
              <w:rPr>
                <w:sz w:val="18"/>
                <w:szCs w:val="18"/>
              </w:rPr>
            </w:pPr>
          </w:p>
        </w:tc>
      </w:tr>
      <w:tr w:rsidR="00725D70"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SI</w:t>
            </w:r>
          </w:p>
        </w:tc>
        <w:tc>
          <w:tcPr>
            <w:tcW w:w="487" w:type="pct"/>
            <w:tcBorders>
              <w:left w:val="single" w:sz="12" w:space="0" w:color="auto"/>
            </w:tcBorders>
            <w:shd w:val="clear" w:color="auto" w:fill="FFFFFF" w:themeFill="background1"/>
            <w:vAlign w:val="center"/>
          </w:tcPr>
          <w:p w:rsidR="0059458D" w:rsidRPr="00815026" w:rsidRDefault="0059458D" w:rsidP="00725D70">
            <w:pPr>
              <w:pStyle w:val="ListParagraph"/>
              <w:numPr>
                <w:ilvl w:val="0"/>
                <w:numId w:val="38"/>
              </w:numP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8"/>
              </w:numPr>
              <w:rPr>
                <w:sz w:val="18"/>
                <w:szCs w:val="18"/>
              </w:rPr>
            </w:pPr>
          </w:p>
        </w:tc>
        <w:tc>
          <w:tcPr>
            <w:tcW w:w="487" w:type="pct"/>
            <w:shd w:val="clear" w:color="auto" w:fill="FFFFFF" w:themeFill="background1"/>
            <w:vAlign w:val="center"/>
          </w:tcPr>
          <w:p w:rsidR="0059458D" w:rsidRPr="00815026" w:rsidRDefault="0059458D" w:rsidP="0059458D">
            <w:pPr>
              <w:pStyle w:val="ListParagraph"/>
              <w:numPr>
                <w:ilvl w:val="0"/>
                <w:numId w:val="37"/>
              </w:numPr>
              <w:spacing w:before="120" w:after="120" w:line="240" w:lineRule="atLeast"/>
              <w:contextualSpacing/>
              <w:jc w:val="center"/>
              <w:rPr>
                <w:sz w:val="18"/>
                <w:szCs w:val="18"/>
              </w:rPr>
            </w:pPr>
          </w:p>
        </w:tc>
        <w:tc>
          <w:tcPr>
            <w:tcW w:w="487" w:type="pct"/>
            <w:shd w:val="clear" w:color="auto" w:fill="FFFFFF" w:themeFill="background1"/>
            <w:vAlign w:val="center"/>
          </w:tcPr>
          <w:p w:rsidR="0059458D" w:rsidRPr="00815026" w:rsidRDefault="0059458D" w:rsidP="0059458D">
            <w:pPr>
              <w:pStyle w:val="ListParagraph"/>
              <w:numPr>
                <w:ilvl w:val="0"/>
                <w:numId w:val="36"/>
              </w:numPr>
              <w:spacing w:before="120" w:after="120" w:line="240" w:lineRule="atLeast"/>
              <w:contextualSpacing/>
              <w:jc w:val="cente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6"/>
              </w:numPr>
              <w:rPr>
                <w:sz w:val="18"/>
                <w:szCs w:val="18"/>
              </w:rPr>
            </w:pPr>
          </w:p>
        </w:tc>
        <w:tc>
          <w:tcPr>
            <w:tcW w:w="487" w:type="pct"/>
            <w:shd w:val="clear" w:color="auto" w:fill="FFFFFF" w:themeFill="background1"/>
            <w:vAlign w:val="center"/>
          </w:tcPr>
          <w:p w:rsidR="0059458D" w:rsidRPr="00815026" w:rsidRDefault="0059458D" w:rsidP="00725D70">
            <w:pPr>
              <w:pStyle w:val="ListParagraph"/>
              <w:numPr>
                <w:ilvl w:val="0"/>
                <w:numId w:val="36"/>
              </w:numPr>
              <w:rPr>
                <w:sz w:val="18"/>
                <w:szCs w:val="18"/>
              </w:rPr>
            </w:pPr>
          </w:p>
        </w:tc>
        <w:tc>
          <w:tcPr>
            <w:tcW w:w="487" w:type="pct"/>
            <w:shd w:val="clear" w:color="auto" w:fill="FFFFFF" w:themeFill="background1"/>
            <w:vAlign w:val="center"/>
          </w:tcPr>
          <w:p w:rsidR="0059458D" w:rsidRPr="00815026" w:rsidRDefault="0059458D" w:rsidP="0059458D">
            <w:pPr>
              <w:pStyle w:val="ListParagraph"/>
              <w:numPr>
                <w:ilvl w:val="0"/>
                <w:numId w:val="36"/>
              </w:numPr>
              <w:spacing w:before="120" w:after="120" w:line="240" w:lineRule="atLeast"/>
              <w:contextualSpacing/>
              <w:jc w:val="center"/>
              <w:rPr>
                <w:sz w:val="18"/>
                <w:szCs w:val="18"/>
              </w:rPr>
            </w:pPr>
          </w:p>
        </w:tc>
        <w:tc>
          <w:tcPr>
            <w:tcW w:w="487" w:type="pct"/>
            <w:shd w:val="clear" w:color="auto" w:fill="FFFFFF" w:themeFill="background1"/>
            <w:vAlign w:val="center"/>
          </w:tcPr>
          <w:p w:rsidR="0059458D" w:rsidRPr="00725D70" w:rsidRDefault="0059458D" w:rsidP="00725D70">
            <w:pPr>
              <w:pStyle w:val="ListParagraph"/>
              <w:numPr>
                <w:ilvl w:val="0"/>
                <w:numId w:val="36"/>
              </w:num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481FE4" w:rsidTr="00861A9D">
        <w:trPr>
          <w:cantSplit/>
          <w:trHeight w:hRule="exact" w:val="415"/>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SK</w:t>
            </w:r>
          </w:p>
        </w:tc>
        <w:tc>
          <w:tcPr>
            <w:tcW w:w="487" w:type="pct"/>
            <w:tcBorders>
              <w:left w:val="single" w:sz="12" w:space="0" w:color="auto"/>
            </w:tcBorders>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c>
          <w:tcPr>
            <w:tcW w:w="487" w:type="pct"/>
            <w:tcBorders>
              <w:right w:val="single" w:sz="12" w:space="0" w:color="auto"/>
            </w:tcBorders>
            <w:shd w:val="clear" w:color="auto" w:fill="FFFFFF" w:themeFill="background1"/>
            <w:vAlign w:val="center"/>
          </w:tcPr>
          <w:p w:rsidR="0059458D" w:rsidRPr="00481FE4" w:rsidRDefault="0059458D" w:rsidP="00481FE4">
            <w:pPr>
              <w:pStyle w:val="ListParagraph"/>
              <w:numPr>
                <w:ilvl w:val="0"/>
                <w:numId w:val="36"/>
              </w:numPr>
              <w:jc w:val="center"/>
              <w:rPr>
                <w:sz w:val="18"/>
                <w:szCs w:val="18"/>
              </w:rPr>
            </w:pPr>
          </w:p>
        </w:tc>
      </w:tr>
      <w:tr w:rsidR="00481FE4"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UK-E&amp;W</w:t>
            </w:r>
          </w:p>
        </w:tc>
        <w:tc>
          <w:tcPr>
            <w:tcW w:w="487" w:type="pct"/>
            <w:tcBorders>
              <w:left w:val="single" w:sz="12" w:space="0" w:color="auto"/>
            </w:tcBorders>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481FE4" w:rsidRDefault="0059458D" w:rsidP="00481FE4">
            <w:pPr>
              <w:ind w:left="360"/>
              <w:contextualSpacing/>
              <w:jc w:val="center"/>
              <w:rPr>
                <w:sz w:val="18"/>
                <w:szCs w:val="18"/>
              </w:rPr>
            </w:pPr>
          </w:p>
        </w:tc>
        <w:tc>
          <w:tcPr>
            <w:tcW w:w="487" w:type="pct"/>
            <w:shd w:val="clear" w:color="auto" w:fill="D9D9D9" w:themeFill="background1" w:themeFillShade="D9"/>
            <w:vAlign w:val="center"/>
          </w:tcPr>
          <w:p w:rsidR="0059458D" w:rsidRPr="00481FE4" w:rsidRDefault="0059458D" w:rsidP="00481FE4">
            <w:pPr>
              <w:ind w:left="360"/>
              <w:contextualSpacing/>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r>
      <w:tr w:rsidR="00481FE4" w:rsidTr="00861A9D">
        <w:trPr>
          <w:cantSplit/>
          <w:trHeight w:hRule="exact" w:val="360"/>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UK-NI</w:t>
            </w:r>
          </w:p>
        </w:tc>
        <w:tc>
          <w:tcPr>
            <w:tcW w:w="487" w:type="pct"/>
            <w:tcBorders>
              <w:left w:val="single" w:sz="12" w:space="0" w:color="auto"/>
            </w:tcBorders>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shd w:val="clear" w:color="auto" w:fill="D9D9D9" w:themeFill="background1" w:themeFillShade="D9"/>
            <w:vAlign w:val="center"/>
          </w:tcPr>
          <w:p w:rsidR="0059458D" w:rsidRPr="00481FE4" w:rsidRDefault="0059458D" w:rsidP="00481FE4">
            <w:pPr>
              <w:ind w:left="360"/>
              <w:contextualSpacing/>
              <w:jc w:val="center"/>
              <w:rPr>
                <w:sz w:val="18"/>
                <w:szCs w:val="18"/>
              </w:rPr>
            </w:pPr>
          </w:p>
        </w:tc>
        <w:tc>
          <w:tcPr>
            <w:tcW w:w="487" w:type="pct"/>
            <w:shd w:val="clear" w:color="auto" w:fill="D9D9D9" w:themeFill="background1" w:themeFillShade="D9"/>
            <w:vAlign w:val="center"/>
          </w:tcPr>
          <w:p w:rsidR="0059458D" w:rsidRPr="00815026" w:rsidRDefault="0059458D" w:rsidP="00481FE4">
            <w:pPr>
              <w:pStyle w:val="ListParagraph"/>
              <w:spacing w:before="120" w:after="120" w:line="240" w:lineRule="atLeast"/>
              <w:contextualSpacing/>
              <w:rPr>
                <w:sz w:val="18"/>
                <w:szCs w:val="18"/>
              </w:rPr>
            </w:pPr>
          </w:p>
        </w:tc>
        <w:tc>
          <w:tcPr>
            <w:tcW w:w="487" w:type="pct"/>
            <w:tcBorders>
              <w:right w:val="single" w:sz="12" w:space="0" w:color="auto"/>
            </w:tcBorders>
            <w:shd w:val="clear" w:color="auto" w:fill="D9D9D9" w:themeFill="background1" w:themeFillShade="D9"/>
            <w:vAlign w:val="center"/>
          </w:tcPr>
          <w:p w:rsidR="0059458D" w:rsidRPr="00481FE4" w:rsidRDefault="0059458D" w:rsidP="00481FE4">
            <w:pPr>
              <w:ind w:left="360"/>
              <w:contextualSpacing/>
              <w:jc w:val="center"/>
              <w:rPr>
                <w:sz w:val="18"/>
                <w:szCs w:val="18"/>
              </w:rPr>
            </w:pPr>
          </w:p>
        </w:tc>
      </w:tr>
      <w:tr w:rsidR="0059458D" w:rsidTr="00861A9D">
        <w:trPr>
          <w:cantSplit/>
          <w:trHeight w:hRule="exact" w:val="255"/>
          <w:jc w:val="center"/>
        </w:trPr>
        <w:tc>
          <w:tcPr>
            <w:tcW w:w="617" w:type="pct"/>
            <w:tcBorders>
              <w:right w:val="single" w:sz="12" w:space="0" w:color="auto"/>
            </w:tcBorders>
            <w:shd w:val="clear" w:color="auto" w:fill="DBE5F1" w:themeFill="accent1" w:themeFillTint="33"/>
          </w:tcPr>
          <w:p w:rsidR="0059458D" w:rsidRPr="00173CAC" w:rsidRDefault="0059458D" w:rsidP="0059458D">
            <w:pPr>
              <w:pStyle w:val="BTBullet1"/>
              <w:numPr>
                <w:ilvl w:val="0"/>
                <w:numId w:val="0"/>
              </w:numPr>
              <w:rPr>
                <w:sz w:val="18"/>
                <w:szCs w:val="18"/>
              </w:rPr>
            </w:pPr>
            <w:r w:rsidRPr="00173CAC">
              <w:rPr>
                <w:sz w:val="18"/>
                <w:szCs w:val="18"/>
              </w:rPr>
              <w:t>UK-S</w:t>
            </w:r>
          </w:p>
        </w:tc>
        <w:tc>
          <w:tcPr>
            <w:tcW w:w="487" w:type="pct"/>
            <w:tcBorders>
              <w:lef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shd w:val="clear" w:color="auto" w:fill="D9D9D9" w:themeFill="background1" w:themeFillShade="D9"/>
            <w:vAlign w:val="center"/>
          </w:tcPr>
          <w:p w:rsidR="0059458D" w:rsidRPr="00E217F3" w:rsidRDefault="0059458D" w:rsidP="0059458D">
            <w:pPr>
              <w:jc w:val="center"/>
              <w:rPr>
                <w:sz w:val="18"/>
                <w:szCs w:val="18"/>
              </w:rPr>
            </w:pPr>
          </w:p>
        </w:tc>
        <w:tc>
          <w:tcPr>
            <w:tcW w:w="487" w:type="pct"/>
            <w:tcBorders>
              <w:right w:val="single" w:sz="12" w:space="0" w:color="auto"/>
            </w:tcBorders>
            <w:shd w:val="clear" w:color="auto" w:fill="D9D9D9" w:themeFill="background1" w:themeFillShade="D9"/>
            <w:vAlign w:val="center"/>
          </w:tcPr>
          <w:p w:rsidR="0059458D" w:rsidRPr="00E217F3" w:rsidRDefault="0059458D" w:rsidP="0059458D">
            <w:pPr>
              <w:jc w:val="center"/>
              <w:rPr>
                <w:sz w:val="18"/>
                <w:szCs w:val="18"/>
              </w:rPr>
            </w:pPr>
          </w:p>
        </w:tc>
      </w:tr>
      <w:tr w:rsidR="0059458D" w:rsidTr="00861A9D">
        <w:trPr>
          <w:cantSplit/>
          <w:trHeight w:hRule="exact" w:val="354"/>
          <w:jc w:val="center"/>
        </w:trPr>
        <w:tc>
          <w:tcPr>
            <w:tcW w:w="617" w:type="pct"/>
            <w:tcBorders>
              <w:right w:val="single" w:sz="12" w:space="0" w:color="auto"/>
            </w:tcBorders>
            <w:shd w:val="clear" w:color="auto" w:fill="FFFFFF" w:themeFill="background1"/>
          </w:tcPr>
          <w:p w:rsidR="0059458D" w:rsidRPr="00173CAC" w:rsidRDefault="0059458D" w:rsidP="0059458D">
            <w:pPr>
              <w:pStyle w:val="BTBullet1"/>
              <w:numPr>
                <w:ilvl w:val="0"/>
                <w:numId w:val="0"/>
              </w:numPr>
              <w:rPr>
                <w:b/>
                <w:sz w:val="18"/>
                <w:szCs w:val="18"/>
              </w:rPr>
            </w:pPr>
            <w:r w:rsidRPr="00173CAC">
              <w:rPr>
                <w:b/>
                <w:sz w:val="18"/>
                <w:szCs w:val="18"/>
              </w:rPr>
              <w:t>Total yes</w:t>
            </w:r>
          </w:p>
        </w:tc>
        <w:tc>
          <w:tcPr>
            <w:tcW w:w="487" w:type="pct"/>
            <w:tcBorders>
              <w:left w:val="single" w:sz="12" w:space="0" w:color="auto"/>
            </w:tcBorders>
            <w:shd w:val="clear" w:color="auto" w:fill="FFFFFF" w:themeFill="background1"/>
          </w:tcPr>
          <w:p w:rsidR="0059458D" w:rsidRPr="00DC52FD" w:rsidRDefault="00481FE4" w:rsidP="0059458D">
            <w:pPr>
              <w:jc w:val="center"/>
              <w:rPr>
                <w:b/>
                <w:sz w:val="18"/>
                <w:szCs w:val="18"/>
              </w:rPr>
            </w:pPr>
            <w:r>
              <w:rPr>
                <w:b/>
                <w:sz w:val="18"/>
                <w:szCs w:val="18"/>
              </w:rPr>
              <w:t>16</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10</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14</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13</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10</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11</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14</w:t>
            </w:r>
          </w:p>
        </w:tc>
        <w:tc>
          <w:tcPr>
            <w:tcW w:w="487" w:type="pct"/>
            <w:shd w:val="clear" w:color="auto" w:fill="FFFFFF" w:themeFill="background1"/>
          </w:tcPr>
          <w:p w:rsidR="0059458D" w:rsidRPr="00DC52FD" w:rsidRDefault="00481FE4" w:rsidP="0059458D">
            <w:pPr>
              <w:jc w:val="center"/>
              <w:rPr>
                <w:b/>
                <w:sz w:val="18"/>
                <w:szCs w:val="18"/>
              </w:rPr>
            </w:pPr>
            <w:r>
              <w:rPr>
                <w:b/>
                <w:sz w:val="18"/>
                <w:szCs w:val="18"/>
              </w:rPr>
              <w:t>10</w:t>
            </w:r>
          </w:p>
        </w:tc>
        <w:tc>
          <w:tcPr>
            <w:tcW w:w="487" w:type="pct"/>
            <w:tcBorders>
              <w:right w:val="single" w:sz="12" w:space="0" w:color="auto"/>
            </w:tcBorders>
            <w:shd w:val="clear" w:color="auto" w:fill="FFFFFF" w:themeFill="background1"/>
          </w:tcPr>
          <w:p w:rsidR="0059458D" w:rsidRPr="00DC52FD" w:rsidRDefault="0059458D" w:rsidP="0059458D">
            <w:pPr>
              <w:jc w:val="center"/>
              <w:rPr>
                <w:b/>
                <w:sz w:val="18"/>
                <w:szCs w:val="18"/>
              </w:rPr>
            </w:pPr>
            <w:r w:rsidRPr="00DC52FD">
              <w:rPr>
                <w:b/>
                <w:sz w:val="18"/>
                <w:szCs w:val="18"/>
              </w:rPr>
              <w:t>9</w:t>
            </w:r>
          </w:p>
        </w:tc>
      </w:tr>
      <w:tr w:rsidR="0059458D" w:rsidTr="00861A9D">
        <w:trPr>
          <w:cantSplit/>
          <w:trHeight w:hRule="exact" w:val="642"/>
          <w:jc w:val="center"/>
        </w:trPr>
        <w:tc>
          <w:tcPr>
            <w:tcW w:w="5000" w:type="pct"/>
            <w:gridSpan w:val="10"/>
            <w:tcBorders>
              <w:right w:val="single" w:sz="12" w:space="0" w:color="auto"/>
            </w:tcBorders>
            <w:shd w:val="clear" w:color="auto" w:fill="FFFFFF" w:themeFill="background1"/>
          </w:tcPr>
          <w:p w:rsidR="0059458D" w:rsidRPr="00DC52FD" w:rsidRDefault="0059458D" w:rsidP="0059458D">
            <w:pPr>
              <w:rPr>
                <w:b/>
                <w:sz w:val="18"/>
                <w:szCs w:val="18"/>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E72BE2" w:rsidRDefault="00E72BE2" w:rsidP="00E72BE2">
      <w:pPr>
        <w:spacing w:before="0" w:after="0" w:line="240" w:lineRule="auto"/>
        <w:rPr>
          <w:rFonts w:cs="Arial"/>
          <w:sz w:val="22"/>
          <w:szCs w:val="22"/>
        </w:rPr>
        <w:sectPr w:rsidR="00E72BE2"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2838AC" w:rsidRDefault="002838AC">
      <w:pPr>
        <w:spacing w:before="0" w:after="0" w:line="240" w:lineRule="auto"/>
        <w:rPr>
          <w:rFonts w:cs="Arial"/>
          <w:sz w:val="22"/>
          <w:szCs w:val="22"/>
        </w:rPr>
      </w:pPr>
    </w:p>
    <w:p w:rsidR="0085362B" w:rsidRPr="000A70D8" w:rsidRDefault="0085362B" w:rsidP="00CD5321">
      <w:pPr>
        <w:pStyle w:val="AnnexTable"/>
        <w:tabs>
          <w:tab w:val="num" w:pos="1531"/>
        </w:tabs>
        <w:ind w:left="1531"/>
      </w:pPr>
      <w:bookmarkStart w:id="356" w:name="_Ref401248703"/>
      <w:bookmarkStart w:id="357" w:name="_Toc408908666"/>
      <w:r w:rsidRPr="004E39FE">
        <w:t xml:space="preserve">Existence of procedures to ensure that the records of children are kept strictly confidential and closed to third parties </w:t>
      </w:r>
      <w:r>
        <w:t>(CivAdm086a)</w:t>
      </w:r>
      <w:bookmarkEnd w:id="356"/>
      <w:bookmarkEnd w:id="357"/>
    </w:p>
    <w:tbl>
      <w:tblPr>
        <w:tblStyle w:val="Tabellenraster1"/>
        <w:tblW w:w="5000" w:type="pct"/>
        <w:jc w:val="center"/>
        <w:tblCellMar>
          <w:left w:w="115" w:type="dxa"/>
          <w:right w:w="115" w:type="dxa"/>
        </w:tblCellMar>
        <w:tblLook w:val="04A0" w:firstRow="1" w:lastRow="0" w:firstColumn="1" w:lastColumn="0" w:noHBand="0" w:noVBand="1"/>
      </w:tblPr>
      <w:tblGrid>
        <w:gridCol w:w="1147"/>
        <w:gridCol w:w="938"/>
        <w:gridCol w:w="833"/>
        <w:gridCol w:w="975"/>
        <w:gridCol w:w="837"/>
        <w:gridCol w:w="975"/>
        <w:gridCol w:w="835"/>
        <w:gridCol w:w="973"/>
        <w:gridCol w:w="947"/>
        <w:gridCol w:w="841"/>
      </w:tblGrid>
      <w:tr w:rsidR="0085362B" w:rsidRPr="00593387" w:rsidTr="00861A9D">
        <w:trPr>
          <w:trHeight w:hRule="exact" w:val="288"/>
          <w:tblHeader/>
          <w:jc w:val="center"/>
        </w:trPr>
        <w:tc>
          <w:tcPr>
            <w:tcW w:w="617" w:type="pct"/>
            <w:tcBorders>
              <w:right w:val="single" w:sz="12" w:space="0" w:color="auto"/>
            </w:tcBorders>
          </w:tcPr>
          <w:p w:rsidR="0085362B" w:rsidRDefault="0085362B" w:rsidP="00A5732C">
            <w:pPr>
              <w:pStyle w:val="TableTitle"/>
              <w:keepNext/>
            </w:pPr>
            <w:r>
              <w:t>MS</w:t>
            </w:r>
          </w:p>
        </w:tc>
        <w:tc>
          <w:tcPr>
            <w:tcW w:w="4383" w:type="pct"/>
            <w:gridSpan w:val="9"/>
            <w:tcBorders>
              <w:left w:val="single" w:sz="12" w:space="0" w:color="auto"/>
              <w:right w:val="single" w:sz="12" w:space="0" w:color="auto"/>
            </w:tcBorders>
          </w:tcPr>
          <w:p w:rsidR="0085362B" w:rsidRDefault="0085362B" w:rsidP="00A5732C">
            <w:pPr>
              <w:pStyle w:val="TableTitle"/>
              <w:keepNext/>
            </w:pPr>
            <w:r>
              <w:t>Areas of law</w:t>
            </w:r>
          </w:p>
        </w:tc>
      </w:tr>
      <w:tr w:rsidR="004B2A8D" w:rsidTr="00731E82">
        <w:trPr>
          <w:cantSplit/>
          <w:trHeight w:hRule="exact" w:val="1002"/>
          <w:tblHeader/>
          <w:jc w:val="center"/>
        </w:trPr>
        <w:tc>
          <w:tcPr>
            <w:tcW w:w="617" w:type="pct"/>
            <w:tcBorders>
              <w:right w:val="single" w:sz="12" w:space="0" w:color="auto"/>
            </w:tcBorders>
            <w:shd w:val="clear" w:color="auto" w:fill="DBE5F1" w:themeFill="accent1" w:themeFillTint="33"/>
            <w:vAlign w:val="center"/>
          </w:tcPr>
          <w:p w:rsidR="0085362B" w:rsidRPr="00E217F3" w:rsidRDefault="0085362B" w:rsidP="00A5732C">
            <w:pPr>
              <w:keepNext/>
              <w:rPr>
                <w:b/>
              </w:rPr>
            </w:pPr>
          </w:p>
        </w:tc>
        <w:tc>
          <w:tcPr>
            <w:tcW w:w="504" w:type="pct"/>
            <w:tcBorders>
              <w:left w:val="single" w:sz="12" w:space="0" w:color="auto"/>
            </w:tcBorders>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Family</w:t>
            </w:r>
          </w:p>
        </w:tc>
        <w:tc>
          <w:tcPr>
            <w:tcW w:w="448"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Employment</w:t>
            </w:r>
          </w:p>
        </w:tc>
        <w:tc>
          <w:tcPr>
            <w:tcW w:w="524"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Asylum</w:t>
            </w:r>
          </w:p>
        </w:tc>
        <w:tc>
          <w:tcPr>
            <w:tcW w:w="450"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Migration</w:t>
            </w:r>
          </w:p>
        </w:tc>
        <w:tc>
          <w:tcPr>
            <w:tcW w:w="524"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Education</w:t>
            </w:r>
          </w:p>
        </w:tc>
        <w:tc>
          <w:tcPr>
            <w:tcW w:w="449"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Health</w:t>
            </w:r>
          </w:p>
        </w:tc>
        <w:tc>
          <w:tcPr>
            <w:tcW w:w="523"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Placement</w:t>
            </w:r>
          </w:p>
        </w:tc>
        <w:tc>
          <w:tcPr>
            <w:tcW w:w="509" w:type="pct"/>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Admin Sanctions</w:t>
            </w:r>
          </w:p>
        </w:tc>
        <w:tc>
          <w:tcPr>
            <w:tcW w:w="452" w:type="pct"/>
            <w:tcBorders>
              <w:right w:val="single" w:sz="12" w:space="0" w:color="auto"/>
            </w:tcBorders>
            <w:shd w:val="clear" w:color="auto" w:fill="DBE5F1" w:themeFill="accent1" w:themeFillTint="33"/>
            <w:textDirection w:val="btLr"/>
            <w:vAlign w:val="center"/>
          </w:tcPr>
          <w:p w:rsidR="0085362B" w:rsidRPr="00173CAC" w:rsidRDefault="0085362B" w:rsidP="00A5732C">
            <w:pPr>
              <w:keepNext/>
              <w:ind w:left="113" w:right="113"/>
              <w:rPr>
                <w:b/>
                <w:sz w:val="12"/>
                <w:szCs w:val="12"/>
              </w:rPr>
            </w:pPr>
            <w:r w:rsidRPr="00173CAC">
              <w:rPr>
                <w:b/>
                <w:sz w:val="12"/>
                <w:szCs w:val="12"/>
              </w:rPr>
              <w:t>Offences &lt;MACR</w:t>
            </w:r>
          </w:p>
        </w:tc>
      </w:tr>
      <w:tr w:rsidR="0003298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A5732C">
            <w:pPr>
              <w:pStyle w:val="BTBullet1"/>
              <w:keepNext/>
              <w:numPr>
                <w:ilvl w:val="0"/>
                <w:numId w:val="0"/>
              </w:numPr>
              <w:rPr>
                <w:sz w:val="18"/>
                <w:szCs w:val="18"/>
              </w:rPr>
            </w:pPr>
            <w:r w:rsidRPr="00173CAC">
              <w:rPr>
                <w:sz w:val="18"/>
                <w:szCs w:val="18"/>
              </w:rPr>
              <w:t>AT</w:t>
            </w:r>
          </w:p>
        </w:tc>
        <w:tc>
          <w:tcPr>
            <w:tcW w:w="504" w:type="pct"/>
            <w:tcBorders>
              <w:left w:val="single" w:sz="12" w:space="0" w:color="auto"/>
            </w:tcBorders>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48"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24"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50"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24"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49"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23"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09"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52" w:type="pct"/>
            <w:tcBorders>
              <w:right w:val="single" w:sz="12" w:space="0" w:color="auto"/>
            </w:tcBorders>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r>
      <w:tr w:rsidR="0003298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A5732C">
            <w:pPr>
              <w:pStyle w:val="BTBullet1"/>
              <w:keepNext/>
              <w:numPr>
                <w:ilvl w:val="0"/>
                <w:numId w:val="0"/>
              </w:numPr>
              <w:rPr>
                <w:sz w:val="18"/>
                <w:szCs w:val="18"/>
              </w:rPr>
            </w:pPr>
            <w:r w:rsidRPr="00173CAC">
              <w:rPr>
                <w:sz w:val="18"/>
                <w:szCs w:val="18"/>
              </w:rPr>
              <w:t>BE</w:t>
            </w:r>
          </w:p>
        </w:tc>
        <w:tc>
          <w:tcPr>
            <w:tcW w:w="504" w:type="pct"/>
            <w:tcBorders>
              <w:left w:val="single" w:sz="12" w:space="0" w:color="auto"/>
            </w:tcBorders>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48"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24"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50"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24"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449"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23" w:type="pct"/>
            <w:shd w:val="clear" w:color="auto" w:fill="FFFFFF" w:themeFill="background1"/>
            <w:vAlign w:val="center"/>
          </w:tcPr>
          <w:p w:rsidR="0085362B" w:rsidRPr="00032985" w:rsidRDefault="0085362B" w:rsidP="00A5732C">
            <w:pPr>
              <w:pStyle w:val="ListParagraph"/>
              <w:keepNext/>
              <w:numPr>
                <w:ilvl w:val="0"/>
                <w:numId w:val="36"/>
              </w:numPr>
              <w:jc w:val="center"/>
              <w:rPr>
                <w:sz w:val="18"/>
                <w:szCs w:val="18"/>
              </w:rPr>
            </w:pPr>
          </w:p>
        </w:tc>
        <w:tc>
          <w:tcPr>
            <w:tcW w:w="509"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452" w:type="pct"/>
            <w:tcBorders>
              <w:right w:val="single" w:sz="12" w:space="0" w:color="auto"/>
            </w:tcBorders>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r>
      <w:tr w:rsidR="0003298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A5732C">
            <w:pPr>
              <w:pStyle w:val="BTBullet1"/>
              <w:keepNext/>
              <w:numPr>
                <w:ilvl w:val="0"/>
                <w:numId w:val="0"/>
              </w:numPr>
              <w:rPr>
                <w:sz w:val="18"/>
                <w:szCs w:val="18"/>
              </w:rPr>
            </w:pPr>
            <w:r w:rsidRPr="00173CAC">
              <w:rPr>
                <w:sz w:val="18"/>
                <w:szCs w:val="18"/>
              </w:rPr>
              <w:t>BG</w:t>
            </w:r>
          </w:p>
        </w:tc>
        <w:tc>
          <w:tcPr>
            <w:tcW w:w="504" w:type="pct"/>
            <w:tcBorders>
              <w:left w:val="single" w:sz="12" w:space="0" w:color="auto"/>
            </w:tcBorders>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448"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524"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450"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524"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449"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523"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509" w:type="pct"/>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c>
          <w:tcPr>
            <w:tcW w:w="452" w:type="pct"/>
            <w:tcBorders>
              <w:right w:val="single" w:sz="12" w:space="0" w:color="auto"/>
            </w:tcBorders>
            <w:shd w:val="clear" w:color="auto" w:fill="FFFFFF" w:themeFill="background1"/>
            <w:vAlign w:val="center"/>
          </w:tcPr>
          <w:p w:rsidR="0085362B" w:rsidRPr="004C43AE" w:rsidRDefault="0085362B" w:rsidP="00A5732C">
            <w:pPr>
              <w:pStyle w:val="ListParagraph"/>
              <w:keepNext/>
              <w:numPr>
                <w:ilvl w:val="0"/>
                <w:numId w:val="36"/>
              </w:num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CY</w:t>
            </w:r>
          </w:p>
        </w:tc>
        <w:tc>
          <w:tcPr>
            <w:tcW w:w="504" w:type="pct"/>
            <w:tcBorders>
              <w:left w:val="single" w:sz="12" w:space="0" w:color="auto"/>
            </w:tcBorders>
            <w:vAlign w:val="center"/>
          </w:tcPr>
          <w:p w:rsidR="0085362B" w:rsidRPr="00EF3CCD" w:rsidRDefault="0085362B" w:rsidP="000279A2">
            <w:pPr>
              <w:pStyle w:val="ListParagraph"/>
              <w:numPr>
                <w:ilvl w:val="0"/>
                <w:numId w:val="34"/>
              </w:numPr>
              <w:spacing w:before="120" w:after="120" w:line="240" w:lineRule="atLeast"/>
              <w:contextualSpacing/>
              <w:jc w:val="center"/>
              <w:rPr>
                <w:sz w:val="18"/>
                <w:szCs w:val="18"/>
              </w:rPr>
            </w:pPr>
          </w:p>
        </w:tc>
        <w:tc>
          <w:tcPr>
            <w:tcW w:w="448"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4" w:type="pct"/>
            <w:shd w:val="clear" w:color="auto" w:fill="FFFFFF" w:themeFill="background1"/>
            <w:vAlign w:val="center"/>
          </w:tcPr>
          <w:p w:rsidR="0085362B" w:rsidRPr="00EF3CCD" w:rsidRDefault="0085362B" w:rsidP="000279A2">
            <w:pPr>
              <w:pStyle w:val="ListParagraph"/>
              <w:numPr>
                <w:ilvl w:val="0"/>
                <w:numId w:val="34"/>
              </w:numPr>
              <w:spacing w:before="120" w:after="120" w:line="240" w:lineRule="atLeast"/>
              <w:contextualSpacing/>
              <w:jc w:val="center"/>
              <w:rPr>
                <w:sz w:val="18"/>
                <w:szCs w:val="18"/>
              </w:rPr>
            </w:pPr>
          </w:p>
        </w:tc>
        <w:tc>
          <w:tcPr>
            <w:tcW w:w="450"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4"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49"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3" w:type="pct"/>
            <w:shd w:val="clear" w:color="auto" w:fill="FFFFFF" w:themeFill="background1"/>
            <w:vAlign w:val="center"/>
          </w:tcPr>
          <w:p w:rsidR="0085362B" w:rsidRPr="00EF3CCD" w:rsidRDefault="0085362B" w:rsidP="000279A2">
            <w:pPr>
              <w:pStyle w:val="ListParagraph"/>
              <w:numPr>
                <w:ilvl w:val="0"/>
                <w:numId w:val="34"/>
              </w:numPr>
              <w:spacing w:before="120" w:after="120" w:line="240" w:lineRule="atLeast"/>
              <w:contextualSpacing/>
              <w:jc w:val="center"/>
              <w:rPr>
                <w:sz w:val="18"/>
                <w:szCs w:val="18"/>
              </w:rPr>
            </w:pPr>
          </w:p>
        </w:tc>
        <w:tc>
          <w:tcPr>
            <w:tcW w:w="509"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4C43AE">
            <w:pPr>
              <w:pStyle w:val="BTBullet1"/>
              <w:numPr>
                <w:ilvl w:val="0"/>
                <w:numId w:val="0"/>
              </w:numPr>
              <w:rPr>
                <w:sz w:val="18"/>
                <w:szCs w:val="18"/>
              </w:rPr>
            </w:pPr>
            <w:r w:rsidRPr="00173CAC">
              <w:rPr>
                <w:sz w:val="18"/>
                <w:szCs w:val="18"/>
              </w:rPr>
              <w:t>CZ</w:t>
            </w:r>
          </w:p>
        </w:tc>
        <w:tc>
          <w:tcPr>
            <w:tcW w:w="504" w:type="pct"/>
            <w:tcBorders>
              <w:lef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D9D9D9" w:themeFill="background1" w:themeFillShade="D9"/>
            <w:vAlign w:val="center"/>
          </w:tcPr>
          <w:p w:rsidR="0085362B" w:rsidRPr="00E217F3" w:rsidRDefault="0085362B" w:rsidP="000279A2">
            <w:pPr>
              <w:jc w:val="center"/>
              <w:rPr>
                <w:sz w:val="18"/>
                <w:szCs w:val="18"/>
              </w:rPr>
            </w:pPr>
          </w:p>
        </w:tc>
        <w:tc>
          <w:tcPr>
            <w:tcW w:w="523" w:type="pct"/>
            <w:shd w:val="clear" w:color="auto" w:fill="D9D9D9" w:themeFill="background1" w:themeFillShade="D9"/>
            <w:vAlign w:val="center"/>
          </w:tcPr>
          <w:p w:rsidR="0085362B" w:rsidRPr="00E217F3" w:rsidRDefault="0085362B" w:rsidP="000279A2">
            <w:pPr>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4C43A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DE</w:t>
            </w:r>
          </w:p>
        </w:tc>
        <w:tc>
          <w:tcPr>
            <w:tcW w:w="504" w:type="pct"/>
            <w:tcBorders>
              <w:left w:val="single" w:sz="12" w:space="0" w:color="auto"/>
            </w:tcBorders>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48"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4"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50"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4"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49"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3"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09"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r>
      <w:tr w:rsidR="004C43A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DK</w:t>
            </w:r>
          </w:p>
        </w:tc>
        <w:tc>
          <w:tcPr>
            <w:tcW w:w="504" w:type="pct"/>
            <w:tcBorders>
              <w:left w:val="single" w:sz="12" w:space="0" w:color="auto"/>
            </w:tcBorders>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48"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4"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50"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4"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49"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23"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509" w:type="pct"/>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4C43AE" w:rsidRDefault="0085362B" w:rsidP="004C43AE">
            <w:pPr>
              <w:pStyle w:val="ListParagraph"/>
              <w:numPr>
                <w:ilvl w:val="0"/>
                <w:numId w:val="34"/>
              </w:numPr>
              <w:jc w:val="center"/>
              <w:rPr>
                <w:sz w:val="18"/>
                <w:szCs w:val="18"/>
              </w:rPr>
            </w:pPr>
          </w:p>
        </w:tc>
      </w:tr>
      <w:tr w:rsidR="004C43A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EE</w:t>
            </w:r>
          </w:p>
        </w:tc>
        <w:tc>
          <w:tcPr>
            <w:tcW w:w="504" w:type="pct"/>
            <w:tcBorders>
              <w:left w:val="single" w:sz="12" w:space="0" w:color="auto"/>
            </w:tcBorders>
            <w:shd w:val="clear" w:color="auto" w:fill="FFFFFF" w:themeFill="background1"/>
            <w:vAlign w:val="center"/>
          </w:tcPr>
          <w:p w:rsidR="0085362B" w:rsidRPr="00EF3CCD" w:rsidRDefault="0085362B" w:rsidP="000279A2">
            <w:pPr>
              <w:pStyle w:val="ListParagraph"/>
              <w:numPr>
                <w:ilvl w:val="0"/>
                <w:numId w:val="45"/>
              </w:numPr>
              <w:spacing w:before="120" w:after="120" w:line="240" w:lineRule="atLeast"/>
              <w:contextualSpacing/>
              <w:jc w:val="center"/>
              <w:rPr>
                <w:sz w:val="18"/>
                <w:szCs w:val="18"/>
              </w:rPr>
            </w:pPr>
          </w:p>
        </w:tc>
        <w:tc>
          <w:tcPr>
            <w:tcW w:w="448" w:type="pct"/>
            <w:shd w:val="clear" w:color="auto" w:fill="FFFFFF" w:themeFill="background1"/>
            <w:vAlign w:val="center"/>
          </w:tcPr>
          <w:p w:rsidR="0085362B" w:rsidRPr="00EF3CCD" w:rsidRDefault="0085362B" w:rsidP="000279A2">
            <w:pPr>
              <w:pStyle w:val="ListParagraph"/>
              <w:numPr>
                <w:ilvl w:val="0"/>
                <w:numId w:val="34"/>
              </w:numPr>
              <w:spacing w:before="120" w:after="120" w:line="240" w:lineRule="atLeast"/>
              <w:contextualSpacing/>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0"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3"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0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r>
      <w:tr w:rsidR="00AD387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EL</w:t>
            </w:r>
          </w:p>
        </w:tc>
        <w:tc>
          <w:tcPr>
            <w:tcW w:w="504" w:type="pct"/>
            <w:tcBorders>
              <w:left w:val="single" w:sz="12" w:space="0" w:color="auto"/>
            </w:tcBorders>
            <w:shd w:val="clear" w:color="auto" w:fill="FFFFFF" w:themeFill="background1"/>
            <w:vAlign w:val="center"/>
          </w:tcPr>
          <w:p w:rsidR="0085362B" w:rsidRPr="00815026" w:rsidRDefault="0085362B" w:rsidP="000279A2">
            <w:pPr>
              <w:pStyle w:val="ListParagraph"/>
              <w:numPr>
                <w:ilvl w:val="0"/>
                <w:numId w:val="45"/>
              </w:numPr>
              <w:spacing w:before="120" w:after="120" w:line="240" w:lineRule="atLeast"/>
              <w:contextualSpacing/>
              <w:jc w:val="center"/>
              <w:rPr>
                <w:sz w:val="18"/>
                <w:szCs w:val="18"/>
              </w:rPr>
            </w:pPr>
          </w:p>
        </w:tc>
        <w:tc>
          <w:tcPr>
            <w:tcW w:w="448" w:type="pct"/>
            <w:shd w:val="clear" w:color="auto" w:fill="FFFFFF" w:themeFill="background1"/>
            <w:vAlign w:val="center"/>
          </w:tcPr>
          <w:p w:rsidR="0085362B" w:rsidRPr="00AD3875" w:rsidRDefault="0085362B" w:rsidP="00AD3875">
            <w:pPr>
              <w:pStyle w:val="ListParagraph"/>
              <w:numPr>
                <w:ilvl w:val="0"/>
                <w:numId w:val="45"/>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45"/>
              </w:numPr>
              <w:jc w:val="center"/>
              <w:rPr>
                <w:sz w:val="18"/>
                <w:szCs w:val="18"/>
              </w:rPr>
            </w:pPr>
          </w:p>
        </w:tc>
        <w:tc>
          <w:tcPr>
            <w:tcW w:w="450" w:type="pct"/>
            <w:shd w:val="clear" w:color="auto" w:fill="FFFFFF" w:themeFill="background1"/>
            <w:vAlign w:val="center"/>
          </w:tcPr>
          <w:p w:rsidR="0085362B" w:rsidRPr="00AD3875" w:rsidRDefault="0085362B" w:rsidP="00AD3875">
            <w:pPr>
              <w:pStyle w:val="ListParagraph"/>
              <w:numPr>
                <w:ilvl w:val="0"/>
                <w:numId w:val="45"/>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45"/>
              </w:numPr>
              <w:jc w:val="center"/>
              <w:rPr>
                <w:sz w:val="18"/>
                <w:szCs w:val="18"/>
              </w:rPr>
            </w:pPr>
          </w:p>
        </w:tc>
        <w:tc>
          <w:tcPr>
            <w:tcW w:w="449" w:type="pct"/>
            <w:shd w:val="clear" w:color="auto" w:fill="FFFFFF" w:themeFill="background1"/>
            <w:vAlign w:val="center"/>
          </w:tcPr>
          <w:p w:rsidR="0085362B" w:rsidRPr="00AD3875" w:rsidRDefault="0085362B" w:rsidP="00AD3875">
            <w:pPr>
              <w:pStyle w:val="ListParagraph"/>
              <w:numPr>
                <w:ilvl w:val="0"/>
                <w:numId w:val="45"/>
              </w:numPr>
              <w:jc w:val="center"/>
              <w:rPr>
                <w:sz w:val="18"/>
                <w:szCs w:val="18"/>
              </w:rPr>
            </w:pPr>
          </w:p>
        </w:tc>
        <w:tc>
          <w:tcPr>
            <w:tcW w:w="523" w:type="pct"/>
            <w:shd w:val="clear" w:color="auto" w:fill="FFFFFF" w:themeFill="background1"/>
            <w:vAlign w:val="center"/>
          </w:tcPr>
          <w:p w:rsidR="0085362B" w:rsidRPr="00815026" w:rsidRDefault="0085362B" w:rsidP="000279A2">
            <w:pPr>
              <w:pStyle w:val="ListParagraph"/>
              <w:numPr>
                <w:ilvl w:val="0"/>
                <w:numId w:val="34"/>
              </w:numPr>
              <w:spacing w:before="120" w:after="120" w:line="240" w:lineRule="atLeast"/>
              <w:contextualSpacing/>
              <w:jc w:val="center"/>
              <w:rPr>
                <w:sz w:val="18"/>
                <w:szCs w:val="18"/>
              </w:rPr>
            </w:pPr>
          </w:p>
        </w:tc>
        <w:tc>
          <w:tcPr>
            <w:tcW w:w="50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815026" w:rsidRDefault="0085362B" w:rsidP="000279A2">
            <w:pPr>
              <w:pStyle w:val="ListParagraph"/>
              <w:numPr>
                <w:ilvl w:val="0"/>
                <w:numId w:val="34"/>
              </w:numPr>
              <w:spacing w:before="120" w:after="120" w:line="240" w:lineRule="atLeast"/>
              <w:contextualSpacing/>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ES</w:t>
            </w:r>
          </w:p>
        </w:tc>
        <w:tc>
          <w:tcPr>
            <w:tcW w:w="504" w:type="pct"/>
            <w:tcBorders>
              <w:left w:val="single" w:sz="12" w:space="0" w:color="auto"/>
            </w:tcBorders>
            <w:shd w:val="clear" w:color="auto" w:fill="D9D9D9" w:themeFill="background1" w:themeFillShade="D9"/>
            <w:vAlign w:val="center"/>
          </w:tcPr>
          <w:p w:rsidR="0085362B" w:rsidRPr="00AD3875" w:rsidRDefault="0085362B" w:rsidP="00AD3875">
            <w:pPr>
              <w:ind w:left="360"/>
              <w:contextualSpacing/>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D9D9D9" w:themeFill="background1" w:themeFillShade="D9"/>
            <w:vAlign w:val="center"/>
          </w:tcPr>
          <w:p w:rsidR="0085362B" w:rsidRPr="00E217F3" w:rsidRDefault="0085362B" w:rsidP="000279A2">
            <w:pPr>
              <w:jc w:val="center"/>
              <w:rPr>
                <w:sz w:val="18"/>
                <w:szCs w:val="18"/>
              </w:rPr>
            </w:pPr>
          </w:p>
        </w:tc>
        <w:tc>
          <w:tcPr>
            <w:tcW w:w="523" w:type="pct"/>
            <w:shd w:val="clear" w:color="auto" w:fill="D9D9D9" w:themeFill="background1" w:themeFillShade="D9"/>
            <w:vAlign w:val="center"/>
          </w:tcPr>
          <w:p w:rsidR="0085362B" w:rsidRPr="00E217F3" w:rsidRDefault="0085362B" w:rsidP="000279A2">
            <w:pPr>
              <w:jc w:val="center"/>
              <w:rPr>
                <w:sz w:val="18"/>
                <w:szCs w:val="18"/>
              </w:rPr>
            </w:pPr>
          </w:p>
        </w:tc>
        <w:tc>
          <w:tcPr>
            <w:tcW w:w="509" w:type="pct"/>
            <w:shd w:val="clear" w:color="auto" w:fill="D9D9D9" w:themeFill="background1" w:themeFillShade="D9"/>
            <w:vAlign w:val="center"/>
          </w:tcPr>
          <w:p w:rsidR="0085362B" w:rsidRPr="00815026" w:rsidRDefault="0085362B" w:rsidP="00AD3875">
            <w:pPr>
              <w:pStyle w:val="ListParagraph"/>
              <w:spacing w:before="120" w:after="120" w:line="240" w:lineRule="atLeast"/>
              <w:contextualSpacing/>
              <w:rPr>
                <w:sz w:val="18"/>
                <w:szCs w:val="18"/>
              </w:rPr>
            </w:pPr>
          </w:p>
        </w:tc>
        <w:tc>
          <w:tcPr>
            <w:tcW w:w="452" w:type="pct"/>
            <w:tcBorders>
              <w:right w:val="single" w:sz="12" w:space="0" w:color="auto"/>
            </w:tcBorders>
            <w:shd w:val="clear" w:color="auto" w:fill="D9D9D9" w:themeFill="background1" w:themeFillShade="D9"/>
            <w:vAlign w:val="center"/>
          </w:tcPr>
          <w:p w:rsidR="0085362B" w:rsidRPr="00815026" w:rsidRDefault="0085362B" w:rsidP="00AD3875">
            <w:pPr>
              <w:pStyle w:val="ListParagraph"/>
              <w:spacing w:before="120" w:after="120" w:line="240" w:lineRule="atLeast"/>
              <w:contextualSpacing/>
              <w:rPr>
                <w:sz w:val="18"/>
                <w:szCs w:val="18"/>
              </w:rPr>
            </w:pPr>
          </w:p>
        </w:tc>
      </w:tr>
      <w:tr w:rsidR="00AD387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FI</w:t>
            </w:r>
          </w:p>
        </w:tc>
        <w:tc>
          <w:tcPr>
            <w:tcW w:w="504" w:type="pct"/>
            <w:tcBorders>
              <w:lef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8"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0"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3"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0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FR</w:t>
            </w:r>
          </w:p>
        </w:tc>
        <w:tc>
          <w:tcPr>
            <w:tcW w:w="504" w:type="pct"/>
            <w:tcBorders>
              <w:left w:val="single" w:sz="12" w:space="0" w:color="auto"/>
            </w:tcBorders>
            <w:vAlign w:val="center"/>
          </w:tcPr>
          <w:p w:rsidR="0085362B" w:rsidRPr="00815026" w:rsidRDefault="0085362B" w:rsidP="000279A2">
            <w:pPr>
              <w:pStyle w:val="ListParagraph"/>
              <w:numPr>
                <w:ilvl w:val="0"/>
                <w:numId w:val="44"/>
              </w:numPr>
              <w:spacing w:before="120" w:after="120" w:line="240" w:lineRule="atLeast"/>
              <w:contextualSpacing/>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D9D9D9" w:themeFill="background1" w:themeFillShade="D9"/>
            <w:vAlign w:val="center"/>
          </w:tcPr>
          <w:p w:rsidR="0085362B" w:rsidRPr="00E217F3" w:rsidRDefault="0085362B" w:rsidP="000279A2">
            <w:pPr>
              <w:jc w:val="center"/>
              <w:rPr>
                <w:sz w:val="18"/>
                <w:szCs w:val="18"/>
              </w:rPr>
            </w:pPr>
          </w:p>
        </w:tc>
        <w:tc>
          <w:tcPr>
            <w:tcW w:w="523" w:type="pct"/>
            <w:vAlign w:val="center"/>
          </w:tcPr>
          <w:p w:rsidR="0085362B" w:rsidRPr="00815026" w:rsidRDefault="0085362B" w:rsidP="000279A2">
            <w:pPr>
              <w:pStyle w:val="ListParagraph"/>
              <w:numPr>
                <w:ilvl w:val="0"/>
                <w:numId w:val="34"/>
              </w:numPr>
              <w:spacing w:before="120" w:after="120" w:line="240" w:lineRule="atLeast"/>
              <w:contextualSpacing/>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AD387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HR</w:t>
            </w:r>
          </w:p>
        </w:tc>
        <w:tc>
          <w:tcPr>
            <w:tcW w:w="504" w:type="pct"/>
            <w:tcBorders>
              <w:lef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8"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0"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3"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0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r>
      <w:tr w:rsidR="00AD3875"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HU</w:t>
            </w:r>
          </w:p>
        </w:tc>
        <w:tc>
          <w:tcPr>
            <w:tcW w:w="504" w:type="pct"/>
            <w:tcBorders>
              <w:lef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8"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0"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3"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0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52" w:type="pct"/>
            <w:tcBorders>
              <w:righ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IE</w:t>
            </w:r>
          </w:p>
        </w:tc>
        <w:tc>
          <w:tcPr>
            <w:tcW w:w="504" w:type="pct"/>
            <w:tcBorders>
              <w:left w:val="single" w:sz="12" w:space="0" w:color="auto"/>
            </w:tcBorders>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23" w:type="pct"/>
            <w:shd w:val="clear" w:color="auto" w:fill="FFFFFF" w:themeFill="background1"/>
            <w:vAlign w:val="center"/>
          </w:tcPr>
          <w:p w:rsidR="0085362B" w:rsidRPr="00AD3875" w:rsidRDefault="0085362B" w:rsidP="00AD3875">
            <w:pPr>
              <w:pStyle w:val="ListParagraph"/>
              <w:numPr>
                <w:ilvl w:val="0"/>
                <w:numId w:val="34"/>
              </w:numPr>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IT</w:t>
            </w:r>
          </w:p>
        </w:tc>
        <w:tc>
          <w:tcPr>
            <w:tcW w:w="504" w:type="pct"/>
            <w:tcBorders>
              <w:lef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vAlign w:val="center"/>
          </w:tcPr>
          <w:p w:rsidR="0085362B" w:rsidRPr="00815026" w:rsidRDefault="0085362B" w:rsidP="000279A2">
            <w:pPr>
              <w:pStyle w:val="ListParagraph"/>
              <w:numPr>
                <w:ilvl w:val="0"/>
                <w:numId w:val="43"/>
              </w:numPr>
              <w:spacing w:before="120" w:after="120" w:line="240" w:lineRule="atLeast"/>
              <w:contextualSpacing/>
              <w:jc w:val="center"/>
              <w:rPr>
                <w:sz w:val="18"/>
                <w:szCs w:val="18"/>
              </w:rPr>
            </w:pPr>
          </w:p>
        </w:tc>
        <w:tc>
          <w:tcPr>
            <w:tcW w:w="450" w:type="pct"/>
            <w:vAlign w:val="center"/>
          </w:tcPr>
          <w:p w:rsidR="0085362B" w:rsidRPr="00815026" w:rsidRDefault="0085362B" w:rsidP="000279A2">
            <w:pPr>
              <w:pStyle w:val="ListParagraph"/>
              <w:numPr>
                <w:ilvl w:val="0"/>
                <w:numId w:val="43"/>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43"/>
              </w:numPr>
              <w:spacing w:before="120" w:after="120" w:line="240" w:lineRule="atLeast"/>
              <w:contextualSpacing/>
              <w:jc w:val="center"/>
              <w:rPr>
                <w:sz w:val="18"/>
                <w:szCs w:val="18"/>
              </w:rPr>
            </w:pPr>
          </w:p>
        </w:tc>
        <w:tc>
          <w:tcPr>
            <w:tcW w:w="449" w:type="pct"/>
            <w:vAlign w:val="center"/>
          </w:tcPr>
          <w:p w:rsidR="0085362B" w:rsidRPr="00815026" w:rsidRDefault="0085362B" w:rsidP="000279A2">
            <w:pPr>
              <w:pStyle w:val="ListParagraph"/>
              <w:numPr>
                <w:ilvl w:val="0"/>
                <w:numId w:val="43"/>
              </w:numPr>
              <w:spacing w:before="120" w:after="120" w:line="240" w:lineRule="atLeast"/>
              <w:contextualSpacing/>
              <w:jc w:val="center"/>
              <w:rPr>
                <w:sz w:val="18"/>
                <w:szCs w:val="18"/>
              </w:rPr>
            </w:pPr>
          </w:p>
        </w:tc>
        <w:tc>
          <w:tcPr>
            <w:tcW w:w="523" w:type="pct"/>
            <w:vAlign w:val="center"/>
          </w:tcPr>
          <w:p w:rsidR="0085362B" w:rsidRPr="00815026" w:rsidRDefault="0085362B" w:rsidP="000279A2">
            <w:pPr>
              <w:pStyle w:val="ListParagraph"/>
              <w:numPr>
                <w:ilvl w:val="0"/>
                <w:numId w:val="43"/>
              </w:numPr>
              <w:spacing w:before="120" w:after="120" w:line="240" w:lineRule="atLeast"/>
              <w:contextualSpacing/>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vAlign w:val="center"/>
          </w:tcPr>
          <w:p w:rsidR="0085362B" w:rsidRPr="00815026" w:rsidRDefault="0085362B" w:rsidP="000279A2">
            <w:pPr>
              <w:pStyle w:val="ListParagraph"/>
              <w:numPr>
                <w:ilvl w:val="0"/>
                <w:numId w:val="41"/>
              </w:numPr>
              <w:spacing w:before="120" w:after="120" w:line="240" w:lineRule="atLeast"/>
              <w:contextualSpacing/>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LT</w:t>
            </w:r>
          </w:p>
        </w:tc>
        <w:tc>
          <w:tcPr>
            <w:tcW w:w="504" w:type="pct"/>
            <w:tcBorders>
              <w:left w:val="single" w:sz="12" w:space="0" w:color="auto"/>
            </w:tcBorders>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448"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450"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449"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523"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509" w:type="pct"/>
            <w:vAlign w:val="center"/>
          </w:tcPr>
          <w:p w:rsidR="0085362B" w:rsidRPr="00815026" w:rsidRDefault="0085362B" w:rsidP="000279A2">
            <w:pPr>
              <w:pStyle w:val="ListParagraph"/>
              <w:numPr>
                <w:ilvl w:val="0"/>
                <w:numId w:val="42"/>
              </w:numPr>
              <w:spacing w:before="120" w:after="120" w:line="240" w:lineRule="atLeast"/>
              <w:contextualSpacing/>
              <w:jc w:val="center"/>
              <w:rPr>
                <w:sz w:val="18"/>
                <w:szCs w:val="18"/>
              </w:rPr>
            </w:pPr>
          </w:p>
        </w:tc>
        <w:tc>
          <w:tcPr>
            <w:tcW w:w="452" w:type="pct"/>
            <w:tcBorders>
              <w:right w:val="single" w:sz="12" w:space="0" w:color="auto"/>
            </w:tcBorders>
            <w:vAlign w:val="center"/>
          </w:tcPr>
          <w:p w:rsidR="0085362B" w:rsidRPr="00815026" w:rsidRDefault="0085362B" w:rsidP="000279A2">
            <w:pPr>
              <w:pStyle w:val="ListParagraph"/>
              <w:numPr>
                <w:ilvl w:val="0"/>
                <w:numId w:val="41"/>
              </w:numPr>
              <w:spacing w:before="120" w:after="120" w:line="240" w:lineRule="atLeast"/>
              <w:contextualSpacing/>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LU</w:t>
            </w:r>
          </w:p>
        </w:tc>
        <w:tc>
          <w:tcPr>
            <w:tcW w:w="504" w:type="pct"/>
            <w:tcBorders>
              <w:lef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D9D9D9" w:themeFill="background1" w:themeFillShade="D9"/>
            <w:vAlign w:val="center"/>
          </w:tcPr>
          <w:p w:rsidR="0085362B" w:rsidRPr="00E217F3" w:rsidRDefault="0085362B" w:rsidP="000279A2">
            <w:pPr>
              <w:jc w:val="center"/>
              <w:rPr>
                <w:sz w:val="18"/>
                <w:szCs w:val="18"/>
              </w:rPr>
            </w:pPr>
          </w:p>
        </w:tc>
        <w:tc>
          <w:tcPr>
            <w:tcW w:w="523" w:type="pct"/>
            <w:shd w:val="clear" w:color="auto" w:fill="D9D9D9" w:themeFill="background1" w:themeFillShade="D9"/>
            <w:vAlign w:val="center"/>
          </w:tcPr>
          <w:p w:rsidR="0085362B" w:rsidRPr="00E217F3" w:rsidRDefault="0085362B" w:rsidP="000279A2">
            <w:pPr>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815026" w:rsidRDefault="0085362B" w:rsidP="00AD3875">
            <w:pPr>
              <w:pStyle w:val="ListParagraph"/>
              <w:spacing w:before="120" w:after="120" w:line="240" w:lineRule="atLeast"/>
              <w:contextualSpacing/>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LV</w:t>
            </w:r>
          </w:p>
        </w:tc>
        <w:tc>
          <w:tcPr>
            <w:tcW w:w="504" w:type="pct"/>
            <w:tcBorders>
              <w:left w:val="single" w:sz="12" w:space="0" w:color="auto"/>
            </w:tcBorders>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448"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450"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449"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523"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509" w:type="pct"/>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c>
          <w:tcPr>
            <w:tcW w:w="452" w:type="pct"/>
            <w:tcBorders>
              <w:right w:val="single" w:sz="12" w:space="0" w:color="auto"/>
            </w:tcBorders>
            <w:vAlign w:val="center"/>
          </w:tcPr>
          <w:p w:rsidR="0085362B" w:rsidRPr="00815026" w:rsidRDefault="0085362B" w:rsidP="000279A2">
            <w:pPr>
              <w:pStyle w:val="ListParagraph"/>
              <w:numPr>
                <w:ilvl w:val="0"/>
                <w:numId w:val="40"/>
              </w:numPr>
              <w:spacing w:before="120" w:after="120" w:line="240" w:lineRule="atLeast"/>
              <w:contextualSpacing/>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MT</w:t>
            </w:r>
          </w:p>
        </w:tc>
        <w:tc>
          <w:tcPr>
            <w:tcW w:w="504" w:type="pct"/>
            <w:tcBorders>
              <w:left w:val="single" w:sz="12" w:space="0" w:color="auto"/>
            </w:tcBorders>
            <w:shd w:val="clear" w:color="auto" w:fill="FFFFFF" w:themeFill="background1"/>
            <w:vAlign w:val="center"/>
          </w:tcPr>
          <w:p w:rsidR="0085362B" w:rsidRPr="00AD3875" w:rsidRDefault="0085362B" w:rsidP="00AD3875">
            <w:pPr>
              <w:pStyle w:val="ListParagraph"/>
              <w:numPr>
                <w:ilvl w:val="0"/>
                <w:numId w:val="40"/>
              </w:numPr>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FFFFFF" w:themeFill="background1"/>
            <w:vAlign w:val="center"/>
          </w:tcPr>
          <w:p w:rsidR="0085362B" w:rsidRPr="00AD3875" w:rsidRDefault="0085362B" w:rsidP="00AD3875">
            <w:pPr>
              <w:pStyle w:val="ListParagraph"/>
              <w:numPr>
                <w:ilvl w:val="0"/>
                <w:numId w:val="40"/>
              </w:num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D9D9D9" w:themeFill="background1" w:themeFillShade="D9"/>
            <w:vAlign w:val="center"/>
          </w:tcPr>
          <w:p w:rsidR="0085362B" w:rsidRPr="00E217F3" w:rsidRDefault="0085362B" w:rsidP="000279A2">
            <w:pPr>
              <w:jc w:val="center"/>
              <w:rPr>
                <w:sz w:val="18"/>
                <w:szCs w:val="18"/>
              </w:rPr>
            </w:pPr>
          </w:p>
        </w:tc>
        <w:tc>
          <w:tcPr>
            <w:tcW w:w="523" w:type="pct"/>
            <w:shd w:val="clear" w:color="auto" w:fill="D9D9D9" w:themeFill="background1" w:themeFillShade="D9"/>
            <w:vAlign w:val="center"/>
          </w:tcPr>
          <w:p w:rsidR="0085362B" w:rsidRPr="00E217F3" w:rsidRDefault="0085362B" w:rsidP="000279A2">
            <w:pPr>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NL</w:t>
            </w:r>
          </w:p>
        </w:tc>
        <w:tc>
          <w:tcPr>
            <w:tcW w:w="504" w:type="pct"/>
            <w:tcBorders>
              <w:left w:val="single" w:sz="12" w:space="0" w:color="auto"/>
            </w:tcBorders>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448" w:type="pct"/>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450" w:type="pct"/>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449" w:type="pct"/>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523" w:type="pct"/>
            <w:shd w:val="clear" w:color="auto" w:fill="FFFFFF" w:themeFill="background1"/>
            <w:vAlign w:val="center"/>
          </w:tcPr>
          <w:p w:rsidR="0085362B" w:rsidRPr="006B62EE" w:rsidRDefault="0085362B" w:rsidP="006B62EE">
            <w:pPr>
              <w:pStyle w:val="ListParagraph"/>
              <w:numPr>
                <w:ilvl w:val="0"/>
                <w:numId w:val="40"/>
              </w:numPr>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PL</w:t>
            </w:r>
          </w:p>
        </w:tc>
        <w:tc>
          <w:tcPr>
            <w:tcW w:w="504" w:type="pct"/>
            <w:tcBorders>
              <w:left w:val="single" w:sz="12" w:space="0" w:color="auto"/>
            </w:tcBorders>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448"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450"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449"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523"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509" w:type="pct"/>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c>
          <w:tcPr>
            <w:tcW w:w="452" w:type="pct"/>
            <w:tcBorders>
              <w:right w:val="single" w:sz="12" w:space="0" w:color="auto"/>
            </w:tcBorders>
            <w:vAlign w:val="center"/>
          </w:tcPr>
          <w:p w:rsidR="0085362B" w:rsidRPr="00815026" w:rsidRDefault="0085362B" w:rsidP="000279A2">
            <w:pPr>
              <w:pStyle w:val="ListParagraph"/>
              <w:numPr>
                <w:ilvl w:val="0"/>
                <w:numId w:val="39"/>
              </w:numPr>
              <w:spacing w:before="120" w:after="120" w:line="240" w:lineRule="atLeast"/>
              <w:contextualSpacing/>
              <w:jc w:val="center"/>
              <w:rPr>
                <w:sz w:val="18"/>
                <w:szCs w:val="18"/>
              </w:rPr>
            </w:pPr>
          </w:p>
        </w:tc>
      </w:tr>
      <w:tr w:rsidR="006B62E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PT</w:t>
            </w:r>
          </w:p>
        </w:tc>
        <w:tc>
          <w:tcPr>
            <w:tcW w:w="504" w:type="pct"/>
            <w:tcBorders>
              <w:left w:val="single" w:sz="12" w:space="0" w:color="auto"/>
            </w:tcBorders>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48"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50"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49"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3"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09"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52" w:type="pct"/>
            <w:tcBorders>
              <w:right w:val="single" w:sz="12" w:space="0" w:color="auto"/>
            </w:tcBorders>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r>
      <w:tr w:rsidR="006B62E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RO</w:t>
            </w:r>
          </w:p>
        </w:tc>
        <w:tc>
          <w:tcPr>
            <w:tcW w:w="504" w:type="pct"/>
            <w:tcBorders>
              <w:left w:val="single" w:sz="12" w:space="0" w:color="auto"/>
            </w:tcBorders>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48"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50"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49"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3"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09"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452" w:type="pct"/>
            <w:tcBorders>
              <w:right w:val="single" w:sz="12" w:space="0" w:color="auto"/>
            </w:tcBorders>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r>
      <w:tr w:rsidR="006B62E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SE</w:t>
            </w:r>
          </w:p>
        </w:tc>
        <w:tc>
          <w:tcPr>
            <w:tcW w:w="504" w:type="pct"/>
            <w:tcBorders>
              <w:left w:val="single" w:sz="12" w:space="0" w:color="auto"/>
            </w:tcBorders>
            <w:shd w:val="clear" w:color="auto" w:fill="D9D9D9" w:themeFill="background1" w:themeFillShade="D9"/>
            <w:vAlign w:val="center"/>
          </w:tcPr>
          <w:p w:rsidR="0085362B" w:rsidRPr="00815026" w:rsidRDefault="0085362B" w:rsidP="006B62EE">
            <w:pPr>
              <w:pStyle w:val="ListParagraph"/>
              <w:spacing w:before="120" w:after="120" w:line="240" w:lineRule="atLeast"/>
              <w:contextualSpacing/>
              <w:rPr>
                <w:sz w:val="18"/>
                <w:szCs w:val="18"/>
              </w:rPr>
            </w:pPr>
          </w:p>
        </w:tc>
        <w:tc>
          <w:tcPr>
            <w:tcW w:w="448" w:type="pct"/>
            <w:shd w:val="clear" w:color="auto" w:fill="D9D9D9" w:themeFill="background1" w:themeFillShade="D9"/>
            <w:vAlign w:val="center"/>
          </w:tcPr>
          <w:p w:rsidR="0085362B" w:rsidRPr="00815026" w:rsidRDefault="0085362B" w:rsidP="006B62EE">
            <w:pPr>
              <w:pStyle w:val="ListParagraph"/>
              <w:spacing w:before="120" w:after="120" w:line="240" w:lineRule="atLeast"/>
              <w:contextualSpacing/>
              <w:rPr>
                <w:sz w:val="18"/>
                <w:szCs w:val="18"/>
              </w:rPr>
            </w:pPr>
          </w:p>
        </w:tc>
        <w:tc>
          <w:tcPr>
            <w:tcW w:w="524" w:type="pct"/>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450" w:type="pct"/>
            <w:shd w:val="clear" w:color="auto" w:fill="FFFFFF" w:themeFill="background1"/>
            <w:vAlign w:val="center"/>
          </w:tcPr>
          <w:p w:rsidR="0085362B" w:rsidRPr="006B62EE" w:rsidRDefault="0085362B" w:rsidP="006B62EE">
            <w:pPr>
              <w:pStyle w:val="ListParagraph"/>
              <w:numPr>
                <w:ilvl w:val="0"/>
                <w:numId w:val="39"/>
              </w:numPr>
              <w:jc w:val="center"/>
              <w:rPr>
                <w:sz w:val="18"/>
                <w:szCs w:val="18"/>
              </w:rPr>
            </w:pPr>
          </w:p>
        </w:tc>
        <w:tc>
          <w:tcPr>
            <w:tcW w:w="524" w:type="pct"/>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449" w:type="pct"/>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523" w:type="pct"/>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509" w:type="pct"/>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452" w:type="pct"/>
            <w:tcBorders>
              <w:right w:val="single" w:sz="12" w:space="0" w:color="auto"/>
            </w:tcBorders>
            <w:shd w:val="clear" w:color="auto" w:fill="D9D9D9" w:themeFill="background1" w:themeFillShade="D9"/>
            <w:vAlign w:val="center"/>
          </w:tcPr>
          <w:p w:rsidR="0085362B" w:rsidRPr="00815026" w:rsidRDefault="0085362B" w:rsidP="006B62EE">
            <w:pPr>
              <w:pStyle w:val="ListParagraph"/>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SI</w:t>
            </w:r>
          </w:p>
        </w:tc>
        <w:tc>
          <w:tcPr>
            <w:tcW w:w="504" w:type="pct"/>
            <w:tcBorders>
              <w:left w:val="single" w:sz="12" w:space="0" w:color="auto"/>
            </w:tcBorders>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448" w:type="pct"/>
            <w:shd w:val="clear" w:color="auto" w:fill="FFFFFF" w:themeFill="background1"/>
            <w:vAlign w:val="center"/>
          </w:tcPr>
          <w:p w:rsidR="0085362B" w:rsidRPr="00815026" w:rsidRDefault="0085362B" w:rsidP="006B62EE">
            <w:pPr>
              <w:pStyle w:val="ListParagraph"/>
              <w:numPr>
                <w:ilvl w:val="0"/>
                <w:numId w:val="39"/>
              </w:numPr>
              <w:rPr>
                <w:sz w:val="18"/>
                <w:szCs w:val="18"/>
              </w:rPr>
            </w:pPr>
          </w:p>
        </w:tc>
        <w:tc>
          <w:tcPr>
            <w:tcW w:w="524" w:type="pct"/>
            <w:shd w:val="clear" w:color="auto" w:fill="FFFFFF" w:themeFill="background1"/>
            <w:vAlign w:val="center"/>
          </w:tcPr>
          <w:p w:rsidR="0085362B" w:rsidRPr="00815026" w:rsidRDefault="0085362B" w:rsidP="000279A2">
            <w:pPr>
              <w:pStyle w:val="ListParagraph"/>
              <w:numPr>
                <w:ilvl w:val="0"/>
                <w:numId w:val="37"/>
              </w:numPr>
              <w:spacing w:before="120" w:after="120" w:line="240" w:lineRule="atLeast"/>
              <w:contextualSpacing/>
              <w:jc w:val="center"/>
              <w:rPr>
                <w:sz w:val="18"/>
                <w:szCs w:val="18"/>
              </w:rPr>
            </w:pPr>
          </w:p>
        </w:tc>
        <w:tc>
          <w:tcPr>
            <w:tcW w:w="450" w:type="pct"/>
            <w:shd w:val="clear" w:color="auto" w:fill="FFFFFF" w:themeFill="background1"/>
            <w:vAlign w:val="center"/>
          </w:tcPr>
          <w:p w:rsidR="0085362B" w:rsidRPr="00815026" w:rsidRDefault="0085362B" w:rsidP="000279A2">
            <w:pPr>
              <w:pStyle w:val="ListParagraph"/>
              <w:numPr>
                <w:ilvl w:val="0"/>
                <w:numId w:val="36"/>
              </w:numPr>
              <w:spacing w:before="120" w:after="120" w:line="240" w:lineRule="atLeast"/>
              <w:contextualSpacing/>
              <w:jc w:val="center"/>
              <w:rPr>
                <w:sz w:val="18"/>
                <w:szCs w:val="18"/>
              </w:rPr>
            </w:pPr>
          </w:p>
        </w:tc>
        <w:tc>
          <w:tcPr>
            <w:tcW w:w="524" w:type="pct"/>
            <w:shd w:val="clear" w:color="auto" w:fill="FFFFFF" w:themeFill="background1"/>
            <w:vAlign w:val="center"/>
          </w:tcPr>
          <w:p w:rsidR="0085362B" w:rsidRPr="00815026" w:rsidRDefault="0085362B" w:rsidP="006B62EE">
            <w:pPr>
              <w:pStyle w:val="ListParagraph"/>
              <w:numPr>
                <w:ilvl w:val="0"/>
                <w:numId w:val="36"/>
              </w:numPr>
              <w:rPr>
                <w:sz w:val="18"/>
                <w:szCs w:val="18"/>
              </w:rPr>
            </w:pPr>
          </w:p>
        </w:tc>
        <w:tc>
          <w:tcPr>
            <w:tcW w:w="449" w:type="pct"/>
            <w:shd w:val="clear" w:color="auto" w:fill="FFFFFF" w:themeFill="background1"/>
            <w:vAlign w:val="center"/>
          </w:tcPr>
          <w:p w:rsidR="0085362B" w:rsidRPr="00815026" w:rsidRDefault="0085362B" w:rsidP="006B62EE">
            <w:pPr>
              <w:pStyle w:val="ListParagraph"/>
              <w:numPr>
                <w:ilvl w:val="0"/>
                <w:numId w:val="36"/>
              </w:numPr>
              <w:rPr>
                <w:sz w:val="18"/>
                <w:szCs w:val="18"/>
              </w:rPr>
            </w:pPr>
          </w:p>
        </w:tc>
        <w:tc>
          <w:tcPr>
            <w:tcW w:w="523" w:type="pct"/>
            <w:shd w:val="clear" w:color="auto" w:fill="FFFFFF" w:themeFill="background1"/>
            <w:vAlign w:val="center"/>
          </w:tcPr>
          <w:p w:rsidR="0085362B" w:rsidRPr="00815026" w:rsidRDefault="0085362B" w:rsidP="000279A2">
            <w:pPr>
              <w:pStyle w:val="ListParagraph"/>
              <w:numPr>
                <w:ilvl w:val="0"/>
                <w:numId w:val="36"/>
              </w:numPr>
              <w:spacing w:before="120" w:after="120" w:line="240" w:lineRule="atLeast"/>
              <w:contextualSpacing/>
              <w:jc w:val="center"/>
              <w:rPr>
                <w:sz w:val="18"/>
                <w:szCs w:val="18"/>
              </w:rPr>
            </w:pPr>
          </w:p>
        </w:tc>
        <w:tc>
          <w:tcPr>
            <w:tcW w:w="509"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6B62EE"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SK</w:t>
            </w:r>
          </w:p>
        </w:tc>
        <w:tc>
          <w:tcPr>
            <w:tcW w:w="504" w:type="pct"/>
            <w:tcBorders>
              <w:left w:val="single" w:sz="12" w:space="0" w:color="auto"/>
            </w:tcBorders>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448"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450"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524"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449"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523"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509" w:type="pct"/>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c>
          <w:tcPr>
            <w:tcW w:w="452" w:type="pct"/>
            <w:tcBorders>
              <w:right w:val="single" w:sz="12" w:space="0" w:color="auto"/>
            </w:tcBorders>
            <w:shd w:val="clear" w:color="auto" w:fill="FFFFFF" w:themeFill="background1"/>
            <w:vAlign w:val="center"/>
          </w:tcPr>
          <w:p w:rsidR="0085362B" w:rsidRPr="006B62EE" w:rsidRDefault="0085362B" w:rsidP="006B62EE">
            <w:pPr>
              <w:pStyle w:val="ListParagraph"/>
              <w:numPr>
                <w:ilvl w:val="0"/>
                <w:numId w:val="36"/>
              </w:numPr>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UK-E&amp;W</w:t>
            </w:r>
          </w:p>
        </w:tc>
        <w:tc>
          <w:tcPr>
            <w:tcW w:w="504" w:type="pct"/>
            <w:tcBorders>
              <w:left w:val="single" w:sz="12" w:space="0" w:color="auto"/>
            </w:tcBorders>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48"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50"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49"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23"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09"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52" w:type="pct"/>
            <w:tcBorders>
              <w:right w:val="single" w:sz="12" w:space="0" w:color="auto"/>
            </w:tcBorders>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85362B" w:rsidP="000279A2">
            <w:pPr>
              <w:pStyle w:val="BTBullet1"/>
              <w:numPr>
                <w:ilvl w:val="0"/>
                <w:numId w:val="0"/>
              </w:numPr>
              <w:rPr>
                <w:sz w:val="18"/>
                <w:szCs w:val="18"/>
              </w:rPr>
            </w:pPr>
            <w:r w:rsidRPr="00173CAC">
              <w:rPr>
                <w:sz w:val="18"/>
                <w:szCs w:val="18"/>
              </w:rPr>
              <w:t>UK-NI</w:t>
            </w:r>
          </w:p>
        </w:tc>
        <w:tc>
          <w:tcPr>
            <w:tcW w:w="504" w:type="pct"/>
            <w:tcBorders>
              <w:left w:val="single" w:sz="12" w:space="0" w:color="auto"/>
            </w:tcBorders>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48"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50"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24"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49"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23"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509" w:type="pct"/>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c>
          <w:tcPr>
            <w:tcW w:w="452" w:type="pct"/>
            <w:tcBorders>
              <w:right w:val="single" w:sz="12" w:space="0" w:color="auto"/>
            </w:tcBorders>
            <w:vAlign w:val="center"/>
          </w:tcPr>
          <w:p w:rsidR="0085362B" w:rsidRPr="00815026" w:rsidRDefault="0085362B" w:rsidP="000279A2">
            <w:pPr>
              <w:pStyle w:val="ListParagraph"/>
              <w:numPr>
                <w:ilvl w:val="0"/>
                <w:numId w:val="35"/>
              </w:numPr>
              <w:spacing w:before="120" w:after="120" w:line="240" w:lineRule="atLeast"/>
              <w:contextualSpacing/>
              <w:jc w:val="center"/>
              <w:rPr>
                <w:sz w:val="18"/>
                <w:szCs w:val="18"/>
              </w:rPr>
            </w:pPr>
          </w:p>
        </w:tc>
      </w:tr>
      <w:tr w:rsidR="004B2A8D" w:rsidTr="00731E82">
        <w:trPr>
          <w:cantSplit/>
          <w:trHeight w:hRule="exact" w:val="288"/>
          <w:jc w:val="center"/>
        </w:trPr>
        <w:tc>
          <w:tcPr>
            <w:tcW w:w="617" w:type="pct"/>
            <w:tcBorders>
              <w:right w:val="single" w:sz="12" w:space="0" w:color="auto"/>
            </w:tcBorders>
            <w:shd w:val="clear" w:color="auto" w:fill="DBE5F1" w:themeFill="accent1" w:themeFillTint="33"/>
            <w:vAlign w:val="center"/>
          </w:tcPr>
          <w:p w:rsidR="0085362B" w:rsidRPr="00173CAC" w:rsidRDefault="00CD7610" w:rsidP="000279A2">
            <w:pPr>
              <w:pStyle w:val="BTBullet1"/>
              <w:numPr>
                <w:ilvl w:val="0"/>
                <w:numId w:val="0"/>
              </w:numPr>
              <w:rPr>
                <w:sz w:val="18"/>
                <w:szCs w:val="18"/>
              </w:rPr>
            </w:pPr>
            <w:r>
              <w:rPr>
                <w:sz w:val="18"/>
                <w:szCs w:val="18"/>
              </w:rPr>
              <w:t>UK-S</w:t>
            </w:r>
          </w:p>
        </w:tc>
        <w:tc>
          <w:tcPr>
            <w:tcW w:w="504" w:type="pct"/>
            <w:tcBorders>
              <w:lef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c>
          <w:tcPr>
            <w:tcW w:w="448"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50" w:type="pct"/>
            <w:shd w:val="clear" w:color="auto" w:fill="D9D9D9" w:themeFill="background1" w:themeFillShade="D9"/>
            <w:vAlign w:val="center"/>
          </w:tcPr>
          <w:p w:rsidR="0085362B" w:rsidRPr="00E217F3" w:rsidRDefault="0085362B" w:rsidP="000279A2">
            <w:pPr>
              <w:jc w:val="center"/>
              <w:rPr>
                <w:sz w:val="18"/>
                <w:szCs w:val="18"/>
              </w:rPr>
            </w:pPr>
          </w:p>
        </w:tc>
        <w:tc>
          <w:tcPr>
            <w:tcW w:w="524" w:type="pct"/>
            <w:shd w:val="clear" w:color="auto" w:fill="D9D9D9" w:themeFill="background1" w:themeFillShade="D9"/>
            <w:vAlign w:val="center"/>
          </w:tcPr>
          <w:p w:rsidR="0085362B" w:rsidRPr="00E217F3" w:rsidRDefault="0085362B" w:rsidP="000279A2">
            <w:pPr>
              <w:jc w:val="center"/>
              <w:rPr>
                <w:sz w:val="18"/>
                <w:szCs w:val="18"/>
              </w:rPr>
            </w:pPr>
          </w:p>
        </w:tc>
        <w:tc>
          <w:tcPr>
            <w:tcW w:w="449" w:type="pct"/>
            <w:shd w:val="clear" w:color="auto" w:fill="D9D9D9" w:themeFill="background1" w:themeFillShade="D9"/>
            <w:vAlign w:val="center"/>
          </w:tcPr>
          <w:p w:rsidR="0085362B" w:rsidRPr="00E217F3" w:rsidRDefault="0085362B" w:rsidP="000279A2">
            <w:pPr>
              <w:jc w:val="center"/>
              <w:rPr>
                <w:sz w:val="18"/>
                <w:szCs w:val="18"/>
              </w:rPr>
            </w:pPr>
          </w:p>
        </w:tc>
        <w:tc>
          <w:tcPr>
            <w:tcW w:w="523" w:type="pct"/>
            <w:shd w:val="clear" w:color="auto" w:fill="D9D9D9" w:themeFill="background1" w:themeFillShade="D9"/>
            <w:vAlign w:val="center"/>
          </w:tcPr>
          <w:p w:rsidR="0085362B" w:rsidRPr="00E217F3" w:rsidRDefault="0085362B" w:rsidP="000279A2">
            <w:pPr>
              <w:jc w:val="center"/>
              <w:rPr>
                <w:sz w:val="18"/>
                <w:szCs w:val="18"/>
              </w:rPr>
            </w:pPr>
          </w:p>
        </w:tc>
        <w:tc>
          <w:tcPr>
            <w:tcW w:w="509" w:type="pct"/>
            <w:shd w:val="clear" w:color="auto" w:fill="D9D9D9" w:themeFill="background1" w:themeFillShade="D9"/>
            <w:vAlign w:val="center"/>
          </w:tcPr>
          <w:p w:rsidR="0085362B" w:rsidRPr="00E217F3" w:rsidRDefault="0085362B" w:rsidP="000279A2">
            <w:pPr>
              <w:jc w:val="center"/>
              <w:rPr>
                <w:sz w:val="18"/>
                <w:szCs w:val="18"/>
              </w:rPr>
            </w:pPr>
          </w:p>
        </w:tc>
        <w:tc>
          <w:tcPr>
            <w:tcW w:w="452" w:type="pct"/>
            <w:tcBorders>
              <w:right w:val="single" w:sz="12" w:space="0" w:color="auto"/>
            </w:tcBorders>
            <w:shd w:val="clear" w:color="auto" w:fill="D9D9D9" w:themeFill="background1" w:themeFillShade="D9"/>
            <w:vAlign w:val="center"/>
          </w:tcPr>
          <w:p w:rsidR="0085362B" w:rsidRPr="00E217F3" w:rsidRDefault="0085362B" w:rsidP="000279A2">
            <w:pPr>
              <w:jc w:val="center"/>
              <w:rPr>
                <w:sz w:val="18"/>
                <w:szCs w:val="18"/>
              </w:rPr>
            </w:pPr>
          </w:p>
        </w:tc>
      </w:tr>
      <w:tr w:rsidR="004B2A8D" w:rsidTr="00731E82">
        <w:trPr>
          <w:cantSplit/>
          <w:trHeight w:hRule="exact" w:val="444"/>
          <w:jc w:val="center"/>
        </w:trPr>
        <w:tc>
          <w:tcPr>
            <w:tcW w:w="617" w:type="pct"/>
            <w:tcBorders>
              <w:right w:val="single" w:sz="12" w:space="0" w:color="auto"/>
            </w:tcBorders>
            <w:shd w:val="clear" w:color="auto" w:fill="FFFFFF" w:themeFill="background1"/>
            <w:vAlign w:val="center"/>
          </w:tcPr>
          <w:p w:rsidR="0085362B" w:rsidRPr="00173CAC" w:rsidRDefault="0085362B" w:rsidP="000279A2">
            <w:pPr>
              <w:pStyle w:val="BTBullet1"/>
              <w:numPr>
                <w:ilvl w:val="0"/>
                <w:numId w:val="0"/>
              </w:numPr>
              <w:rPr>
                <w:b/>
                <w:sz w:val="18"/>
                <w:szCs w:val="18"/>
              </w:rPr>
            </w:pPr>
            <w:r w:rsidRPr="00173CAC">
              <w:rPr>
                <w:b/>
                <w:sz w:val="18"/>
                <w:szCs w:val="18"/>
              </w:rPr>
              <w:t>Total yes</w:t>
            </w:r>
          </w:p>
        </w:tc>
        <w:tc>
          <w:tcPr>
            <w:tcW w:w="504" w:type="pct"/>
            <w:tcBorders>
              <w:left w:val="single" w:sz="12" w:space="0" w:color="auto"/>
            </w:tcBorders>
            <w:shd w:val="clear" w:color="auto" w:fill="FFFFFF" w:themeFill="background1"/>
            <w:vAlign w:val="center"/>
          </w:tcPr>
          <w:p w:rsidR="0085362B" w:rsidRPr="00DC52FD" w:rsidRDefault="006B62EE" w:rsidP="000279A2">
            <w:pPr>
              <w:jc w:val="center"/>
              <w:rPr>
                <w:b/>
                <w:sz w:val="18"/>
                <w:szCs w:val="18"/>
              </w:rPr>
            </w:pPr>
            <w:r>
              <w:rPr>
                <w:b/>
                <w:sz w:val="18"/>
                <w:szCs w:val="18"/>
              </w:rPr>
              <w:t>24</w:t>
            </w:r>
          </w:p>
        </w:tc>
        <w:tc>
          <w:tcPr>
            <w:tcW w:w="448" w:type="pct"/>
            <w:shd w:val="clear" w:color="auto" w:fill="FFFFFF" w:themeFill="background1"/>
            <w:vAlign w:val="center"/>
          </w:tcPr>
          <w:p w:rsidR="0085362B" w:rsidRPr="00DC52FD" w:rsidRDefault="006B62EE" w:rsidP="000279A2">
            <w:pPr>
              <w:jc w:val="center"/>
              <w:rPr>
                <w:b/>
                <w:sz w:val="18"/>
                <w:szCs w:val="18"/>
              </w:rPr>
            </w:pPr>
            <w:r>
              <w:rPr>
                <w:b/>
                <w:sz w:val="18"/>
                <w:szCs w:val="18"/>
              </w:rPr>
              <w:t>21</w:t>
            </w:r>
          </w:p>
        </w:tc>
        <w:tc>
          <w:tcPr>
            <w:tcW w:w="524" w:type="pct"/>
            <w:shd w:val="clear" w:color="auto" w:fill="FFFFFF" w:themeFill="background1"/>
            <w:vAlign w:val="center"/>
          </w:tcPr>
          <w:p w:rsidR="0085362B" w:rsidRPr="00DC52FD" w:rsidRDefault="004B2A8D" w:rsidP="000279A2">
            <w:pPr>
              <w:jc w:val="center"/>
              <w:rPr>
                <w:b/>
                <w:sz w:val="18"/>
                <w:szCs w:val="18"/>
              </w:rPr>
            </w:pPr>
            <w:r>
              <w:rPr>
                <w:b/>
                <w:sz w:val="18"/>
                <w:szCs w:val="18"/>
              </w:rPr>
              <w:t>24</w:t>
            </w:r>
          </w:p>
        </w:tc>
        <w:tc>
          <w:tcPr>
            <w:tcW w:w="450" w:type="pct"/>
            <w:shd w:val="clear" w:color="auto" w:fill="FFFFFF" w:themeFill="background1"/>
            <w:vAlign w:val="center"/>
          </w:tcPr>
          <w:p w:rsidR="0085362B" w:rsidRPr="00DC52FD" w:rsidRDefault="004B2A8D" w:rsidP="000279A2">
            <w:pPr>
              <w:jc w:val="center"/>
              <w:rPr>
                <w:b/>
                <w:sz w:val="18"/>
                <w:szCs w:val="18"/>
              </w:rPr>
            </w:pPr>
            <w:r>
              <w:rPr>
                <w:b/>
                <w:sz w:val="18"/>
                <w:szCs w:val="18"/>
              </w:rPr>
              <w:t>23</w:t>
            </w:r>
          </w:p>
        </w:tc>
        <w:tc>
          <w:tcPr>
            <w:tcW w:w="524" w:type="pct"/>
            <w:shd w:val="clear" w:color="auto" w:fill="FFFFFF" w:themeFill="background1"/>
            <w:vAlign w:val="center"/>
          </w:tcPr>
          <w:p w:rsidR="0085362B" w:rsidRPr="00DC52FD" w:rsidRDefault="004B2A8D" w:rsidP="000279A2">
            <w:pPr>
              <w:jc w:val="center"/>
              <w:rPr>
                <w:b/>
                <w:sz w:val="18"/>
                <w:szCs w:val="18"/>
              </w:rPr>
            </w:pPr>
            <w:r>
              <w:rPr>
                <w:b/>
                <w:sz w:val="18"/>
                <w:szCs w:val="18"/>
              </w:rPr>
              <w:t>23</w:t>
            </w:r>
          </w:p>
        </w:tc>
        <w:tc>
          <w:tcPr>
            <w:tcW w:w="449" w:type="pct"/>
            <w:shd w:val="clear" w:color="auto" w:fill="FFFFFF" w:themeFill="background1"/>
            <w:vAlign w:val="center"/>
          </w:tcPr>
          <w:p w:rsidR="0085362B" w:rsidRPr="00DC52FD" w:rsidRDefault="004B2A8D" w:rsidP="000279A2">
            <w:pPr>
              <w:jc w:val="center"/>
              <w:rPr>
                <w:b/>
                <w:sz w:val="18"/>
                <w:szCs w:val="18"/>
              </w:rPr>
            </w:pPr>
            <w:r>
              <w:rPr>
                <w:b/>
                <w:sz w:val="18"/>
                <w:szCs w:val="18"/>
              </w:rPr>
              <w:t>24</w:t>
            </w:r>
          </w:p>
        </w:tc>
        <w:tc>
          <w:tcPr>
            <w:tcW w:w="523" w:type="pct"/>
            <w:shd w:val="clear" w:color="auto" w:fill="FFFFFF" w:themeFill="background1"/>
            <w:vAlign w:val="center"/>
          </w:tcPr>
          <w:p w:rsidR="0085362B" w:rsidRPr="00DC52FD" w:rsidRDefault="004B2A8D" w:rsidP="000279A2">
            <w:pPr>
              <w:jc w:val="center"/>
              <w:rPr>
                <w:b/>
                <w:sz w:val="18"/>
                <w:szCs w:val="18"/>
              </w:rPr>
            </w:pPr>
            <w:r>
              <w:rPr>
                <w:b/>
                <w:sz w:val="18"/>
                <w:szCs w:val="18"/>
              </w:rPr>
              <w:t>25</w:t>
            </w:r>
          </w:p>
        </w:tc>
        <w:tc>
          <w:tcPr>
            <w:tcW w:w="509" w:type="pct"/>
            <w:shd w:val="clear" w:color="auto" w:fill="FFFFFF" w:themeFill="background1"/>
            <w:vAlign w:val="center"/>
          </w:tcPr>
          <w:p w:rsidR="0085362B" w:rsidRPr="00DC52FD" w:rsidRDefault="004B2A8D" w:rsidP="000279A2">
            <w:pPr>
              <w:jc w:val="center"/>
              <w:rPr>
                <w:b/>
                <w:sz w:val="18"/>
                <w:szCs w:val="18"/>
              </w:rPr>
            </w:pPr>
            <w:r>
              <w:rPr>
                <w:b/>
                <w:sz w:val="18"/>
                <w:szCs w:val="18"/>
              </w:rPr>
              <w:t>21</w:t>
            </w:r>
          </w:p>
        </w:tc>
        <w:tc>
          <w:tcPr>
            <w:tcW w:w="452" w:type="pct"/>
            <w:tcBorders>
              <w:right w:val="single" w:sz="12" w:space="0" w:color="auto"/>
            </w:tcBorders>
            <w:shd w:val="clear" w:color="auto" w:fill="FFFFFF" w:themeFill="background1"/>
            <w:vAlign w:val="center"/>
          </w:tcPr>
          <w:p w:rsidR="0085362B" w:rsidRPr="00DC52FD" w:rsidRDefault="004B2A8D" w:rsidP="000279A2">
            <w:pPr>
              <w:jc w:val="center"/>
              <w:rPr>
                <w:b/>
                <w:sz w:val="18"/>
                <w:szCs w:val="18"/>
              </w:rPr>
            </w:pPr>
            <w:r>
              <w:rPr>
                <w:b/>
                <w:sz w:val="18"/>
                <w:szCs w:val="18"/>
              </w:rPr>
              <w:t>1</w:t>
            </w:r>
            <w:r w:rsidR="0085362B" w:rsidRPr="00DC52FD">
              <w:rPr>
                <w:b/>
                <w:sz w:val="18"/>
                <w:szCs w:val="18"/>
              </w:rPr>
              <w:t>9</w:t>
            </w:r>
          </w:p>
        </w:tc>
      </w:tr>
      <w:tr w:rsidR="0085362B" w:rsidTr="00A5732C">
        <w:trPr>
          <w:cantSplit/>
          <w:trHeight w:hRule="exact" w:val="795"/>
          <w:jc w:val="center"/>
        </w:trPr>
        <w:tc>
          <w:tcPr>
            <w:tcW w:w="5000" w:type="pct"/>
            <w:gridSpan w:val="10"/>
            <w:tcBorders>
              <w:right w:val="single" w:sz="12" w:space="0" w:color="auto"/>
            </w:tcBorders>
            <w:shd w:val="clear" w:color="auto" w:fill="FFFFFF" w:themeFill="background1"/>
          </w:tcPr>
          <w:p w:rsidR="0085362B" w:rsidRPr="00DC52FD" w:rsidRDefault="0085362B" w:rsidP="00CD0C73">
            <w:pPr>
              <w:rPr>
                <w:b/>
                <w:sz w:val="18"/>
                <w:szCs w:val="18"/>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w:t>
            </w:r>
            <w:r w:rsidR="00CD0C73">
              <w:rPr>
                <w:rFonts w:cs="Arial"/>
                <w:sz w:val="16"/>
                <w:szCs w:val="16"/>
              </w:rPr>
              <w:t xml:space="preserve"> </w:t>
            </w:r>
            <w:r>
              <w:rPr>
                <w:rFonts w:cs="Arial"/>
                <w:sz w:val="16"/>
                <w:szCs w:val="16"/>
              </w:rPr>
              <w:t>applicable.</w:t>
            </w:r>
          </w:p>
        </w:tc>
      </w:tr>
    </w:tbl>
    <w:p w:rsidR="0085362B" w:rsidRDefault="0085362B" w:rsidP="0085362B">
      <w:pPr>
        <w:spacing w:before="0" w:after="0" w:line="240" w:lineRule="auto"/>
        <w:rPr>
          <w:rFonts w:cs="Arial"/>
          <w:sz w:val="22"/>
          <w:szCs w:val="22"/>
        </w:rPr>
        <w:sectPr w:rsidR="0085362B"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85362B" w:rsidRPr="00CF3E18" w:rsidRDefault="0085362B" w:rsidP="0085362B">
      <w:pPr>
        <w:spacing w:before="0" w:after="0" w:line="240" w:lineRule="auto"/>
        <w:rPr>
          <w:rFonts w:cs="Arial"/>
          <w:sz w:val="22"/>
          <w:szCs w:val="22"/>
        </w:rPr>
      </w:pPr>
    </w:p>
    <w:p w:rsidR="002838AC" w:rsidRPr="00CF3E18" w:rsidRDefault="002838AC">
      <w:pPr>
        <w:spacing w:before="0" w:after="0" w:line="240" w:lineRule="auto"/>
        <w:rPr>
          <w:rFonts w:cs="Arial"/>
          <w:sz w:val="22"/>
          <w:szCs w:val="22"/>
        </w:rPr>
      </w:pPr>
    </w:p>
    <w:p w:rsidR="003D7B3A" w:rsidRDefault="00C617EF" w:rsidP="00C617EF">
      <w:pPr>
        <w:pStyle w:val="AnnexHeading"/>
      </w:pPr>
      <w:bookmarkStart w:id="358" w:name="_Toc406590174"/>
      <w:bookmarkStart w:id="359" w:name="_Toc408908768"/>
      <w:r w:rsidRPr="00D9432A">
        <w:t xml:space="preserve">Tables </w:t>
      </w:r>
      <w:r w:rsidR="00326F24">
        <w:t>accompanying</w:t>
      </w:r>
      <w:r w:rsidR="00385EFA">
        <w:t xml:space="preserve"> S</w:t>
      </w:r>
      <w:r w:rsidRPr="00D9432A">
        <w:t>ection 4</w:t>
      </w:r>
      <w:bookmarkEnd w:id="358"/>
      <w:bookmarkEnd w:id="359"/>
    </w:p>
    <w:p w:rsidR="001A1974" w:rsidRDefault="001A1974" w:rsidP="00546996">
      <w:pPr>
        <w:pStyle w:val="AnnexTable"/>
        <w:tabs>
          <w:tab w:val="clear" w:pos="2687"/>
          <w:tab w:val="num" w:pos="1440"/>
        </w:tabs>
        <w:ind w:left="1440" w:hanging="1350"/>
      </w:pPr>
      <w:bookmarkStart w:id="360" w:name="_Ref395829637"/>
      <w:bookmarkStart w:id="361" w:name="_Toc408908667"/>
      <w:r w:rsidRPr="001A1974">
        <w:t>Existence of statutory provision on the right of children involved in civil and administrative proceedings to receive information on rights and procedures involved</w:t>
      </w:r>
      <w:r>
        <w:t xml:space="preserve"> (CivAdm068a)</w:t>
      </w:r>
      <w:bookmarkEnd w:id="360"/>
      <w:bookmarkEnd w:id="361"/>
      <w:r>
        <w:t xml:space="preserve"> </w:t>
      </w:r>
    </w:p>
    <w:p w:rsidR="00083AA5" w:rsidRDefault="00083AA5" w:rsidP="00F343E9">
      <w:pPr>
        <w:pStyle w:val="TableTitle"/>
        <w:sectPr w:rsidR="00083AA5" w:rsidSect="002C3D52">
          <w:type w:val="continuous"/>
          <w:pgSz w:w="11907" w:h="16840" w:code="9"/>
          <w:pgMar w:top="1276" w:right="1418" w:bottom="851" w:left="1418" w:header="680" w:footer="567" w:gutter="0"/>
          <w:cols w:space="708"/>
          <w:docGrid w:linePitch="360"/>
        </w:sectPr>
      </w:pPr>
    </w:p>
    <w:tbl>
      <w:tblPr>
        <w:tblStyle w:val="Tabellenraster1"/>
        <w:tblW w:w="11190" w:type="dxa"/>
        <w:jc w:val="center"/>
        <w:tblLayout w:type="fixed"/>
        <w:tblLook w:val="04A0" w:firstRow="1" w:lastRow="0" w:firstColumn="1" w:lastColumn="0" w:noHBand="0" w:noVBand="1"/>
      </w:tblPr>
      <w:tblGrid>
        <w:gridCol w:w="930"/>
        <w:gridCol w:w="478"/>
        <w:gridCol w:w="644"/>
        <w:gridCol w:w="644"/>
        <w:gridCol w:w="643"/>
        <w:gridCol w:w="644"/>
        <w:gridCol w:w="644"/>
        <w:gridCol w:w="644"/>
        <w:gridCol w:w="643"/>
        <w:gridCol w:w="644"/>
        <w:gridCol w:w="7"/>
        <w:gridCol w:w="637"/>
        <w:gridCol w:w="644"/>
        <w:gridCol w:w="643"/>
        <w:gridCol w:w="596"/>
        <w:gridCol w:w="7"/>
        <w:gridCol w:w="685"/>
        <w:gridCol w:w="644"/>
        <w:gridCol w:w="741"/>
        <w:gridCol w:w="28"/>
      </w:tblGrid>
      <w:tr w:rsidR="00083AA5" w:rsidTr="00083AA5">
        <w:trPr>
          <w:trHeight w:hRule="exact" w:val="346"/>
          <w:jc w:val="center"/>
        </w:trPr>
        <w:tc>
          <w:tcPr>
            <w:tcW w:w="930" w:type="dxa"/>
          </w:tcPr>
          <w:p w:rsidR="00083AA5" w:rsidRDefault="00083AA5" w:rsidP="00F343E9">
            <w:pPr>
              <w:pStyle w:val="TableTitle"/>
            </w:pPr>
            <w:r>
              <w:t>MS</w:t>
            </w:r>
          </w:p>
        </w:tc>
        <w:tc>
          <w:tcPr>
            <w:tcW w:w="5635" w:type="dxa"/>
            <w:gridSpan w:val="10"/>
          </w:tcPr>
          <w:p w:rsidR="00083AA5" w:rsidRDefault="00083AA5" w:rsidP="00F343E9">
            <w:pPr>
              <w:pStyle w:val="TableTitle"/>
            </w:pPr>
            <w:r>
              <w:t>Areas of law</w:t>
            </w:r>
          </w:p>
        </w:tc>
        <w:tc>
          <w:tcPr>
            <w:tcW w:w="2520" w:type="dxa"/>
            <w:gridSpan w:val="4"/>
          </w:tcPr>
          <w:p w:rsidR="00083AA5" w:rsidRDefault="00083AA5" w:rsidP="00F343E9">
            <w:pPr>
              <w:pStyle w:val="TableTitle"/>
            </w:pPr>
            <w:r>
              <w:t>Roles of the child</w:t>
            </w:r>
          </w:p>
        </w:tc>
        <w:tc>
          <w:tcPr>
            <w:tcW w:w="2105" w:type="dxa"/>
            <w:gridSpan w:val="5"/>
          </w:tcPr>
          <w:p w:rsidR="00083AA5" w:rsidRDefault="00083AA5" w:rsidP="00F343E9">
            <w:pPr>
              <w:pStyle w:val="TableTitle"/>
            </w:pPr>
            <w:r>
              <w:t>Stages of the proceeding</w:t>
            </w:r>
          </w:p>
        </w:tc>
      </w:tr>
      <w:tr w:rsidR="00A1222C" w:rsidTr="00861A9D">
        <w:trPr>
          <w:gridAfter w:val="1"/>
          <w:wAfter w:w="28" w:type="dxa"/>
          <w:cantSplit/>
          <w:trHeight w:hRule="exact" w:val="867"/>
          <w:jc w:val="center"/>
        </w:trPr>
        <w:tc>
          <w:tcPr>
            <w:tcW w:w="930" w:type="dxa"/>
            <w:shd w:val="clear" w:color="auto" w:fill="DBE5F1" w:themeFill="accent1" w:themeFillTint="33"/>
          </w:tcPr>
          <w:p w:rsidR="00083AA5" w:rsidRPr="00E217F3" w:rsidRDefault="00083AA5" w:rsidP="00F343E9">
            <w:pPr>
              <w:rPr>
                <w:b/>
              </w:rPr>
            </w:pPr>
          </w:p>
        </w:tc>
        <w:tc>
          <w:tcPr>
            <w:tcW w:w="478"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Family</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Employment</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Asylum</w:t>
            </w:r>
          </w:p>
        </w:tc>
        <w:tc>
          <w:tcPr>
            <w:tcW w:w="643"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Migration</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Education</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Health</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Placement</w:t>
            </w:r>
          </w:p>
        </w:tc>
        <w:tc>
          <w:tcPr>
            <w:tcW w:w="643"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Admin Sanctions</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Offences &lt;MACR</w:t>
            </w:r>
          </w:p>
        </w:tc>
        <w:tc>
          <w:tcPr>
            <w:tcW w:w="644" w:type="dxa"/>
            <w:gridSpan w:val="2"/>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Witnesses</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Plaintiffs</w:t>
            </w:r>
          </w:p>
        </w:tc>
        <w:tc>
          <w:tcPr>
            <w:tcW w:w="643"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Defendants</w:t>
            </w:r>
          </w:p>
        </w:tc>
        <w:tc>
          <w:tcPr>
            <w:tcW w:w="603" w:type="dxa"/>
            <w:gridSpan w:val="2"/>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Subjects</w:t>
            </w:r>
          </w:p>
        </w:tc>
        <w:tc>
          <w:tcPr>
            <w:tcW w:w="685"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Before</w:t>
            </w:r>
          </w:p>
        </w:tc>
        <w:tc>
          <w:tcPr>
            <w:tcW w:w="644"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During</w:t>
            </w:r>
          </w:p>
        </w:tc>
        <w:tc>
          <w:tcPr>
            <w:tcW w:w="741" w:type="dxa"/>
            <w:shd w:val="clear" w:color="auto" w:fill="DBE5F1" w:themeFill="accent1" w:themeFillTint="33"/>
            <w:textDirection w:val="btLr"/>
            <w:vAlign w:val="center"/>
          </w:tcPr>
          <w:p w:rsidR="00083AA5" w:rsidRPr="00083AA5" w:rsidRDefault="00083AA5" w:rsidP="00861A9D">
            <w:pPr>
              <w:spacing w:line="240" w:lineRule="auto"/>
              <w:ind w:left="113" w:right="113"/>
              <w:rPr>
                <w:b/>
                <w:sz w:val="12"/>
                <w:szCs w:val="12"/>
              </w:rPr>
            </w:pPr>
            <w:r w:rsidRPr="00083AA5">
              <w:rPr>
                <w:b/>
                <w:sz w:val="12"/>
                <w:szCs w:val="12"/>
              </w:rPr>
              <w:t>After</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AT</w:t>
            </w:r>
          </w:p>
        </w:tc>
        <w:tc>
          <w:tcPr>
            <w:tcW w:w="478" w:type="dxa"/>
            <w:shd w:val="clear" w:color="auto" w:fill="FFFFFF" w:themeFill="background1"/>
          </w:tcPr>
          <w:p w:rsidR="00083AA5" w:rsidRPr="00E217F3" w:rsidRDefault="00083AA5" w:rsidP="00F343E9">
            <w:pPr>
              <w:rPr>
                <w:sz w:val="18"/>
                <w:szCs w:val="18"/>
              </w:rPr>
            </w:pPr>
            <w:r>
              <w:rPr>
                <w:rFonts w:cs="Arial"/>
                <w:sz w:val="18"/>
                <w:szCs w:val="18"/>
              </w:rPr>
              <w:t>√</w:t>
            </w:r>
          </w:p>
        </w:tc>
        <w:tc>
          <w:tcPr>
            <w:tcW w:w="644" w:type="dxa"/>
            <w:shd w:val="clear" w:color="auto" w:fill="FFFFFF" w:themeFill="background1"/>
          </w:tcPr>
          <w:p w:rsidR="00083AA5" w:rsidRDefault="00083AA5" w:rsidP="00F343E9">
            <w:r w:rsidRPr="00FB67FD">
              <w:rPr>
                <w:rFonts w:cs="Arial"/>
                <w:sz w:val="18"/>
                <w:szCs w:val="18"/>
              </w:rPr>
              <w:t>√</w:t>
            </w:r>
          </w:p>
        </w:tc>
        <w:tc>
          <w:tcPr>
            <w:tcW w:w="644" w:type="dxa"/>
            <w:shd w:val="clear" w:color="auto" w:fill="FFFFFF" w:themeFill="background1"/>
          </w:tcPr>
          <w:p w:rsidR="00083AA5" w:rsidRDefault="00083AA5" w:rsidP="00F343E9">
            <w:r w:rsidRPr="00FB67FD">
              <w:rPr>
                <w:rFonts w:cs="Arial"/>
                <w:sz w:val="18"/>
                <w:szCs w:val="18"/>
              </w:rPr>
              <w:t>√</w:t>
            </w:r>
          </w:p>
        </w:tc>
        <w:tc>
          <w:tcPr>
            <w:tcW w:w="643" w:type="dxa"/>
            <w:shd w:val="clear" w:color="auto" w:fill="FFFFFF" w:themeFill="background1"/>
          </w:tcPr>
          <w:p w:rsidR="00083AA5" w:rsidRDefault="00083AA5" w:rsidP="00F343E9">
            <w:r w:rsidRPr="00FB67FD">
              <w:rPr>
                <w:rFonts w:cs="Arial"/>
                <w:sz w:val="18"/>
                <w:szCs w:val="18"/>
              </w:rPr>
              <w:t>√</w:t>
            </w:r>
          </w:p>
        </w:tc>
        <w:tc>
          <w:tcPr>
            <w:tcW w:w="644" w:type="dxa"/>
            <w:shd w:val="clear" w:color="auto" w:fill="FFFFFF" w:themeFill="background1"/>
          </w:tcPr>
          <w:p w:rsidR="00083AA5" w:rsidRDefault="00083AA5" w:rsidP="00F343E9">
            <w:r w:rsidRPr="00FB67FD">
              <w:rPr>
                <w:rFonts w:cs="Arial"/>
                <w:sz w:val="18"/>
                <w:szCs w:val="18"/>
              </w:rPr>
              <w:t>√</w:t>
            </w:r>
          </w:p>
        </w:tc>
        <w:tc>
          <w:tcPr>
            <w:tcW w:w="644" w:type="dxa"/>
            <w:shd w:val="clear" w:color="auto" w:fill="FFFFFF" w:themeFill="background1"/>
          </w:tcPr>
          <w:p w:rsidR="00083AA5" w:rsidRDefault="00083AA5" w:rsidP="00F343E9">
            <w:r w:rsidRPr="00FB67FD">
              <w:rPr>
                <w:rFonts w:cs="Arial"/>
                <w:sz w:val="18"/>
                <w:szCs w:val="18"/>
              </w:rPr>
              <w:t>√</w:t>
            </w:r>
          </w:p>
        </w:tc>
        <w:tc>
          <w:tcPr>
            <w:tcW w:w="644" w:type="dxa"/>
            <w:shd w:val="clear" w:color="auto" w:fill="FFFFFF" w:themeFill="background1"/>
          </w:tcPr>
          <w:p w:rsidR="00083AA5" w:rsidRDefault="00083AA5" w:rsidP="00F343E9">
            <w:r w:rsidRPr="00FB67FD">
              <w:rPr>
                <w:rFonts w:cs="Arial"/>
                <w:sz w:val="18"/>
                <w:szCs w:val="18"/>
              </w:rPr>
              <w:t>√</w:t>
            </w:r>
          </w:p>
        </w:tc>
        <w:tc>
          <w:tcPr>
            <w:tcW w:w="643" w:type="dxa"/>
            <w:shd w:val="clear" w:color="auto" w:fill="FFFFFF" w:themeFill="background1"/>
          </w:tcPr>
          <w:p w:rsidR="00083AA5" w:rsidRDefault="00083AA5" w:rsidP="00F343E9">
            <w:r w:rsidRPr="00FB67FD">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FFFFFF" w:themeFill="background1"/>
          </w:tcPr>
          <w:p w:rsidR="00083AA5" w:rsidRDefault="00083AA5" w:rsidP="00F343E9">
            <w:r w:rsidRPr="00982DE4">
              <w:rPr>
                <w:rFonts w:cs="Arial"/>
                <w:sz w:val="18"/>
                <w:szCs w:val="18"/>
              </w:rPr>
              <w:t>√</w:t>
            </w:r>
          </w:p>
        </w:tc>
        <w:tc>
          <w:tcPr>
            <w:tcW w:w="644" w:type="dxa"/>
            <w:shd w:val="clear" w:color="auto" w:fill="FFFFFF" w:themeFill="background1"/>
          </w:tcPr>
          <w:p w:rsidR="00083AA5" w:rsidRDefault="00083AA5" w:rsidP="00F343E9">
            <w:r w:rsidRPr="00982DE4">
              <w:rPr>
                <w:rFonts w:cs="Arial"/>
                <w:sz w:val="18"/>
                <w:szCs w:val="18"/>
              </w:rPr>
              <w:t>√</w:t>
            </w:r>
          </w:p>
        </w:tc>
        <w:tc>
          <w:tcPr>
            <w:tcW w:w="643" w:type="dxa"/>
            <w:shd w:val="clear" w:color="auto" w:fill="FFFFFF" w:themeFill="background1"/>
          </w:tcPr>
          <w:p w:rsidR="00083AA5" w:rsidRDefault="00083AA5" w:rsidP="00F343E9">
            <w:r w:rsidRPr="00982DE4">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0B0231">
              <w:rPr>
                <w:rFonts w:cs="Arial"/>
                <w:sz w:val="18"/>
                <w:szCs w:val="18"/>
              </w:rPr>
              <w:t>√</w:t>
            </w:r>
          </w:p>
        </w:tc>
        <w:tc>
          <w:tcPr>
            <w:tcW w:w="644" w:type="dxa"/>
            <w:shd w:val="clear" w:color="auto" w:fill="FFFFFF" w:themeFill="background1"/>
          </w:tcPr>
          <w:p w:rsidR="00083AA5" w:rsidRDefault="00083AA5" w:rsidP="00F343E9">
            <w:r w:rsidRPr="000B0231">
              <w:rPr>
                <w:rFonts w:cs="Arial"/>
                <w:sz w:val="18"/>
                <w:szCs w:val="18"/>
              </w:rPr>
              <w:t>√</w:t>
            </w:r>
          </w:p>
        </w:tc>
        <w:tc>
          <w:tcPr>
            <w:tcW w:w="741" w:type="dxa"/>
            <w:shd w:val="clear" w:color="auto" w:fill="FFFFFF" w:themeFill="background1"/>
          </w:tcPr>
          <w:p w:rsidR="00083AA5" w:rsidRDefault="00083AA5" w:rsidP="00F343E9">
            <w:r w:rsidRPr="000B0231">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BE</w:t>
            </w:r>
          </w:p>
        </w:tc>
        <w:tc>
          <w:tcPr>
            <w:tcW w:w="478" w:type="dxa"/>
            <w:shd w:val="clear" w:color="auto" w:fill="FFFFFF" w:themeFill="background1"/>
          </w:tcPr>
          <w:p w:rsidR="00083AA5" w:rsidRDefault="00083AA5" w:rsidP="00F343E9">
            <w:r w:rsidRPr="008B759B">
              <w:rPr>
                <w:rFonts w:cs="Arial"/>
                <w:sz w:val="18"/>
                <w:szCs w:val="18"/>
              </w:rPr>
              <w:t>√</w:t>
            </w:r>
          </w:p>
        </w:tc>
        <w:tc>
          <w:tcPr>
            <w:tcW w:w="644" w:type="dxa"/>
            <w:shd w:val="clear" w:color="auto" w:fill="FFFFFF" w:themeFill="background1"/>
          </w:tcPr>
          <w:p w:rsidR="00083AA5" w:rsidRDefault="00083AA5" w:rsidP="00F343E9">
            <w:r w:rsidRPr="008B759B">
              <w:rPr>
                <w:rFonts w:cs="Arial"/>
                <w:sz w:val="18"/>
                <w:szCs w:val="18"/>
              </w:rPr>
              <w:t>√</w:t>
            </w:r>
          </w:p>
        </w:tc>
        <w:tc>
          <w:tcPr>
            <w:tcW w:w="644" w:type="dxa"/>
            <w:shd w:val="clear" w:color="auto" w:fill="FFFFFF" w:themeFill="background1"/>
          </w:tcPr>
          <w:p w:rsidR="00083AA5" w:rsidRDefault="00083AA5" w:rsidP="00F343E9">
            <w:r w:rsidRPr="008B759B">
              <w:rPr>
                <w:rFonts w:cs="Arial"/>
                <w:sz w:val="18"/>
                <w:szCs w:val="18"/>
              </w:rPr>
              <w:t>√</w:t>
            </w:r>
          </w:p>
        </w:tc>
        <w:tc>
          <w:tcPr>
            <w:tcW w:w="643" w:type="dxa"/>
            <w:shd w:val="clear" w:color="auto" w:fill="FFFFFF" w:themeFill="background1"/>
          </w:tcPr>
          <w:p w:rsidR="00083AA5" w:rsidRDefault="00083AA5" w:rsidP="00F343E9">
            <w:r w:rsidRPr="008B759B">
              <w:rPr>
                <w:rFonts w:cs="Arial"/>
                <w:sz w:val="18"/>
                <w:szCs w:val="18"/>
              </w:rPr>
              <w:t>√</w:t>
            </w:r>
          </w:p>
        </w:tc>
        <w:tc>
          <w:tcPr>
            <w:tcW w:w="644" w:type="dxa"/>
            <w:shd w:val="clear" w:color="auto" w:fill="FFFFFF" w:themeFill="background1"/>
          </w:tcPr>
          <w:p w:rsidR="00083AA5" w:rsidRDefault="00083AA5" w:rsidP="00F343E9">
            <w:r w:rsidRPr="008B759B">
              <w:rPr>
                <w:rFonts w:cs="Arial"/>
                <w:sz w:val="18"/>
                <w:szCs w:val="18"/>
              </w:rPr>
              <w:t>√</w:t>
            </w:r>
          </w:p>
        </w:tc>
        <w:tc>
          <w:tcPr>
            <w:tcW w:w="644" w:type="dxa"/>
            <w:shd w:val="clear" w:color="auto" w:fill="FFFFFF" w:themeFill="background1"/>
          </w:tcPr>
          <w:p w:rsidR="00083AA5" w:rsidRDefault="00083AA5" w:rsidP="00F343E9">
            <w:r w:rsidRPr="008B759B">
              <w:rPr>
                <w:rFonts w:cs="Arial"/>
                <w:sz w:val="18"/>
                <w:szCs w:val="18"/>
              </w:rPr>
              <w:t>√</w:t>
            </w:r>
          </w:p>
        </w:tc>
        <w:tc>
          <w:tcPr>
            <w:tcW w:w="644" w:type="dxa"/>
            <w:shd w:val="clear" w:color="auto" w:fill="FFFFFF" w:themeFill="background1"/>
          </w:tcPr>
          <w:p w:rsidR="00083AA5" w:rsidRDefault="00083AA5" w:rsidP="00F343E9">
            <w:r w:rsidRPr="008B759B">
              <w:rPr>
                <w:rFonts w:cs="Arial"/>
                <w:sz w:val="18"/>
                <w:szCs w:val="18"/>
              </w:rPr>
              <w:t>√</w:t>
            </w:r>
          </w:p>
        </w:tc>
        <w:tc>
          <w:tcPr>
            <w:tcW w:w="643" w:type="dxa"/>
            <w:shd w:val="clear" w:color="auto" w:fill="FFFFFF" w:themeFill="background1"/>
          </w:tcPr>
          <w:p w:rsidR="00083AA5" w:rsidRDefault="00083AA5" w:rsidP="00F343E9">
            <w:r w:rsidRPr="008B759B">
              <w:rPr>
                <w:rFonts w:cs="Arial"/>
                <w:sz w:val="18"/>
                <w:szCs w:val="18"/>
              </w:rPr>
              <w:t>√</w:t>
            </w:r>
          </w:p>
        </w:tc>
        <w:tc>
          <w:tcPr>
            <w:tcW w:w="644" w:type="dxa"/>
            <w:shd w:val="clear" w:color="auto" w:fill="FFFFFF" w:themeFill="background1"/>
          </w:tcPr>
          <w:p w:rsidR="00083AA5" w:rsidRDefault="00083AA5" w:rsidP="00F343E9">
            <w:r w:rsidRPr="008B759B">
              <w:rPr>
                <w:rFonts w:cs="Arial"/>
                <w:sz w:val="18"/>
                <w:szCs w:val="18"/>
              </w:rPr>
              <w:t>√</w:t>
            </w:r>
          </w:p>
        </w:tc>
        <w:tc>
          <w:tcPr>
            <w:tcW w:w="644" w:type="dxa"/>
            <w:gridSpan w:val="2"/>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EB6F89">
              <w:rPr>
                <w:rFonts w:cs="Arial"/>
                <w:sz w:val="18"/>
                <w:szCs w:val="18"/>
              </w:rPr>
              <w:t>√</w:t>
            </w:r>
          </w:p>
        </w:tc>
        <w:tc>
          <w:tcPr>
            <w:tcW w:w="643" w:type="dxa"/>
            <w:shd w:val="clear" w:color="auto" w:fill="FFFFFF" w:themeFill="background1"/>
          </w:tcPr>
          <w:p w:rsidR="00083AA5" w:rsidRDefault="00083AA5" w:rsidP="00F343E9">
            <w:r w:rsidRPr="00EB6F89">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0B0231">
              <w:rPr>
                <w:rFonts w:cs="Arial"/>
                <w:sz w:val="18"/>
                <w:szCs w:val="18"/>
              </w:rPr>
              <w:t>√</w:t>
            </w:r>
          </w:p>
        </w:tc>
        <w:tc>
          <w:tcPr>
            <w:tcW w:w="644" w:type="dxa"/>
            <w:shd w:val="clear" w:color="auto" w:fill="FFFFFF" w:themeFill="background1"/>
          </w:tcPr>
          <w:p w:rsidR="00083AA5" w:rsidRDefault="00083AA5" w:rsidP="00F343E9">
            <w:r w:rsidRPr="000B0231">
              <w:rPr>
                <w:rFonts w:cs="Arial"/>
                <w:sz w:val="18"/>
                <w:szCs w:val="18"/>
              </w:rPr>
              <w:t>√</w:t>
            </w:r>
          </w:p>
        </w:tc>
        <w:tc>
          <w:tcPr>
            <w:tcW w:w="741" w:type="dxa"/>
            <w:shd w:val="clear" w:color="auto" w:fill="FFFFFF" w:themeFill="background1"/>
          </w:tcPr>
          <w:p w:rsidR="00083AA5" w:rsidRDefault="00083AA5" w:rsidP="00F343E9">
            <w:r w:rsidRPr="000B0231">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BG</w:t>
            </w:r>
          </w:p>
        </w:tc>
        <w:tc>
          <w:tcPr>
            <w:tcW w:w="478" w:type="dxa"/>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3" w:type="dxa"/>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3" w:type="dxa"/>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4" w:type="dxa"/>
            <w:gridSpan w:val="2"/>
            <w:shd w:val="clear" w:color="auto" w:fill="FFFFFF" w:themeFill="background1"/>
          </w:tcPr>
          <w:p w:rsidR="00083AA5" w:rsidRDefault="00083AA5" w:rsidP="00F343E9">
            <w:r w:rsidRPr="00954D27">
              <w:rPr>
                <w:rFonts w:cs="Arial"/>
                <w:sz w:val="18"/>
                <w:szCs w:val="18"/>
              </w:rPr>
              <w:t>√</w:t>
            </w:r>
          </w:p>
        </w:tc>
        <w:tc>
          <w:tcPr>
            <w:tcW w:w="644" w:type="dxa"/>
            <w:shd w:val="clear" w:color="auto" w:fill="FFFFFF" w:themeFill="background1"/>
          </w:tcPr>
          <w:p w:rsidR="00083AA5" w:rsidRDefault="00083AA5" w:rsidP="00F343E9">
            <w:r w:rsidRPr="00954D27">
              <w:rPr>
                <w:rFonts w:cs="Arial"/>
                <w:sz w:val="18"/>
                <w:szCs w:val="18"/>
              </w:rPr>
              <w:t>√</w:t>
            </w:r>
          </w:p>
        </w:tc>
        <w:tc>
          <w:tcPr>
            <w:tcW w:w="643" w:type="dxa"/>
            <w:shd w:val="clear" w:color="auto" w:fill="FFFFFF" w:themeFill="background1"/>
          </w:tcPr>
          <w:p w:rsidR="00083AA5" w:rsidRDefault="00083AA5" w:rsidP="00F343E9">
            <w:r w:rsidRPr="00954D27">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Pr>
                <w:rFonts w:cs="Arial"/>
                <w:sz w:val="18"/>
                <w:szCs w:val="18"/>
              </w:rPr>
              <w:t>√</w:t>
            </w:r>
          </w:p>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CY</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CZ</w:t>
            </w:r>
          </w:p>
        </w:tc>
        <w:tc>
          <w:tcPr>
            <w:tcW w:w="478"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3"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3"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gridSpan w:val="2"/>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3" w:type="dxa"/>
            <w:shd w:val="clear" w:color="auto" w:fill="FFFFFF" w:themeFill="background1"/>
          </w:tcPr>
          <w:p w:rsidR="00083AA5" w:rsidRDefault="00083AA5" w:rsidP="00F343E9">
            <w:r w:rsidRPr="00D72164">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C941FA">
              <w:rPr>
                <w:rFonts w:cs="Arial"/>
                <w:sz w:val="18"/>
                <w:szCs w:val="18"/>
              </w:rPr>
              <w:t>√</w:t>
            </w:r>
          </w:p>
        </w:tc>
        <w:tc>
          <w:tcPr>
            <w:tcW w:w="644" w:type="dxa"/>
            <w:shd w:val="clear" w:color="auto" w:fill="FFFFFF" w:themeFill="background1"/>
          </w:tcPr>
          <w:p w:rsidR="00083AA5" w:rsidRDefault="00083AA5" w:rsidP="00F343E9">
            <w:r w:rsidRPr="00C941FA">
              <w:rPr>
                <w:rFonts w:cs="Arial"/>
                <w:sz w:val="18"/>
                <w:szCs w:val="18"/>
              </w:rPr>
              <w:t>√</w:t>
            </w:r>
          </w:p>
        </w:tc>
        <w:tc>
          <w:tcPr>
            <w:tcW w:w="741" w:type="dxa"/>
            <w:shd w:val="clear" w:color="auto" w:fill="FFFFFF" w:themeFill="background1"/>
          </w:tcPr>
          <w:p w:rsidR="00083AA5" w:rsidRDefault="00083AA5" w:rsidP="00F343E9">
            <w:r w:rsidRPr="00C941FA">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DE</w:t>
            </w:r>
          </w:p>
        </w:tc>
        <w:tc>
          <w:tcPr>
            <w:tcW w:w="478"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3"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3" w:type="dxa"/>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4" w:type="dxa"/>
            <w:gridSpan w:val="2"/>
            <w:shd w:val="clear" w:color="auto" w:fill="FFFFFF" w:themeFill="background1"/>
          </w:tcPr>
          <w:p w:rsidR="00083AA5" w:rsidRDefault="00083AA5" w:rsidP="00F343E9">
            <w:r w:rsidRPr="00D72164">
              <w:rPr>
                <w:rFonts w:cs="Arial"/>
                <w:sz w:val="18"/>
                <w:szCs w:val="18"/>
              </w:rPr>
              <w:t>√</w:t>
            </w:r>
          </w:p>
        </w:tc>
        <w:tc>
          <w:tcPr>
            <w:tcW w:w="644" w:type="dxa"/>
            <w:shd w:val="clear" w:color="auto" w:fill="FFFFFF" w:themeFill="background1"/>
          </w:tcPr>
          <w:p w:rsidR="00083AA5" w:rsidRDefault="00083AA5" w:rsidP="00F343E9">
            <w:r w:rsidRPr="00D72164">
              <w:rPr>
                <w:rFonts w:cs="Arial"/>
                <w:sz w:val="18"/>
                <w:szCs w:val="18"/>
              </w:rPr>
              <w:t>√</w:t>
            </w:r>
          </w:p>
        </w:tc>
        <w:tc>
          <w:tcPr>
            <w:tcW w:w="643" w:type="dxa"/>
            <w:shd w:val="clear" w:color="auto" w:fill="FFFFFF" w:themeFill="background1"/>
          </w:tcPr>
          <w:p w:rsidR="00083AA5" w:rsidRDefault="00083AA5" w:rsidP="00F343E9">
            <w:r w:rsidRPr="00D72164">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Pr>
                <w:rFonts w:cs="Arial"/>
                <w:sz w:val="18"/>
                <w:szCs w:val="18"/>
              </w:rPr>
              <w:t>√</w:t>
            </w:r>
          </w:p>
        </w:tc>
        <w:tc>
          <w:tcPr>
            <w:tcW w:w="644" w:type="dxa"/>
            <w:shd w:val="clear" w:color="auto" w:fill="D9D9D9" w:themeFill="background1" w:themeFillShade="D9"/>
          </w:tcPr>
          <w:p w:rsidR="00083AA5" w:rsidRDefault="00083AA5" w:rsidP="00F343E9"/>
        </w:tc>
        <w:tc>
          <w:tcPr>
            <w:tcW w:w="741" w:type="dxa"/>
            <w:shd w:val="clear" w:color="auto" w:fill="FFFFFF" w:themeFill="background1"/>
          </w:tcPr>
          <w:p w:rsidR="00083AA5" w:rsidRDefault="00083AA5" w:rsidP="00F343E9">
            <w:r>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DK</w:t>
            </w:r>
          </w:p>
        </w:tc>
        <w:tc>
          <w:tcPr>
            <w:tcW w:w="478" w:type="dxa"/>
            <w:shd w:val="clear" w:color="auto" w:fill="FFFFFF" w:themeFill="background1"/>
          </w:tcPr>
          <w:p w:rsidR="00083AA5" w:rsidRDefault="00083AA5" w:rsidP="00F343E9">
            <w:r w:rsidRPr="005427D4">
              <w:rPr>
                <w:rFonts w:cs="Arial"/>
                <w:sz w:val="18"/>
                <w:szCs w:val="18"/>
              </w:rPr>
              <w:t>√</w:t>
            </w:r>
          </w:p>
        </w:tc>
        <w:tc>
          <w:tcPr>
            <w:tcW w:w="644" w:type="dxa"/>
            <w:shd w:val="clear" w:color="auto" w:fill="FFFFFF" w:themeFill="background1"/>
          </w:tcPr>
          <w:p w:rsidR="00083AA5" w:rsidRDefault="00083AA5" w:rsidP="00F343E9">
            <w:r w:rsidRPr="005427D4">
              <w:rPr>
                <w:rFonts w:cs="Arial"/>
                <w:sz w:val="18"/>
                <w:szCs w:val="18"/>
              </w:rPr>
              <w:t>√</w:t>
            </w:r>
          </w:p>
        </w:tc>
        <w:tc>
          <w:tcPr>
            <w:tcW w:w="644" w:type="dxa"/>
            <w:shd w:val="clear" w:color="auto" w:fill="FFFFFF" w:themeFill="background1"/>
          </w:tcPr>
          <w:p w:rsidR="00083AA5" w:rsidRDefault="00083AA5" w:rsidP="00F343E9">
            <w:r w:rsidRPr="005427D4">
              <w:rPr>
                <w:rFonts w:cs="Arial"/>
                <w:sz w:val="18"/>
                <w:szCs w:val="18"/>
              </w:rPr>
              <w:t>√</w:t>
            </w:r>
          </w:p>
        </w:tc>
        <w:tc>
          <w:tcPr>
            <w:tcW w:w="643" w:type="dxa"/>
            <w:shd w:val="clear" w:color="auto" w:fill="FFFFFF" w:themeFill="background1"/>
          </w:tcPr>
          <w:p w:rsidR="00083AA5" w:rsidRDefault="00083AA5" w:rsidP="00F343E9">
            <w:r w:rsidRPr="005427D4">
              <w:rPr>
                <w:rFonts w:cs="Arial"/>
                <w:sz w:val="18"/>
                <w:szCs w:val="18"/>
              </w:rPr>
              <w:t>√</w:t>
            </w:r>
          </w:p>
        </w:tc>
        <w:tc>
          <w:tcPr>
            <w:tcW w:w="644" w:type="dxa"/>
            <w:shd w:val="clear" w:color="auto" w:fill="FFFFFF" w:themeFill="background1"/>
          </w:tcPr>
          <w:p w:rsidR="00083AA5" w:rsidRDefault="00083AA5" w:rsidP="00F343E9">
            <w:r w:rsidRPr="005427D4">
              <w:rPr>
                <w:rFonts w:cs="Arial"/>
                <w:sz w:val="18"/>
                <w:szCs w:val="18"/>
              </w:rPr>
              <w:t>√</w:t>
            </w:r>
          </w:p>
        </w:tc>
        <w:tc>
          <w:tcPr>
            <w:tcW w:w="644" w:type="dxa"/>
            <w:shd w:val="clear" w:color="auto" w:fill="FFFFFF" w:themeFill="background1"/>
          </w:tcPr>
          <w:p w:rsidR="00083AA5" w:rsidRDefault="00083AA5" w:rsidP="00F343E9">
            <w:r w:rsidRPr="005427D4">
              <w:rPr>
                <w:rFonts w:cs="Arial"/>
                <w:sz w:val="18"/>
                <w:szCs w:val="18"/>
              </w:rPr>
              <w:t>√</w:t>
            </w:r>
          </w:p>
        </w:tc>
        <w:tc>
          <w:tcPr>
            <w:tcW w:w="644" w:type="dxa"/>
            <w:shd w:val="clear" w:color="auto" w:fill="FFFFFF" w:themeFill="background1"/>
          </w:tcPr>
          <w:p w:rsidR="00083AA5" w:rsidRDefault="00083AA5" w:rsidP="00F343E9">
            <w:r w:rsidRPr="005427D4">
              <w:rPr>
                <w:rFonts w:cs="Arial"/>
                <w:sz w:val="18"/>
                <w:szCs w:val="18"/>
              </w:rPr>
              <w:t>√</w:t>
            </w:r>
          </w:p>
        </w:tc>
        <w:tc>
          <w:tcPr>
            <w:tcW w:w="643" w:type="dxa"/>
            <w:shd w:val="clear" w:color="auto" w:fill="FFFFFF" w:themeFill="background1"/>
          </w:tcPr>
          <w:p w:rsidR="00083AA5" w:rsidRDefault="00083AA5" w:rsidP="00F343E9">
            <w:r w:rsidRPr="005427D4">
              <w:rPr>
                <w:rFonts w:cs="Arial"/>
                <w:sz w:val="18"/>
                <w:szCs w:val="18"/>
              </w:rPr>
              <w:t>√</w:t>
            </w:r>
          </w:p>
        </w:tc>
        <w:tc>
          <w:tcPr>
            <w:tcW w:w="644" w:type="dxa"/>
            <w:shd w:val="clear" w:color="auto" w:fill="FFFFFF" w:themeFill="background1"/>
          </w:tcPr>
          <w:p w:rsidR="00083AA5" w:rsidRDefault="00083AA5" w:rsidP="00F343E9">
            <w:r w:rsidRPr="005427D4">
              <w:rPr>
                <w:rFonts w:cs="Arial"/>
                <w:sz w:val="18"/>
                <w:szCs w:val="18"/>
              </w:rPr>
              <w:t>√</w:t>
            </w:r>
          </w:p>
        </w:tc>
        <w:tc>
          <w:tcPr>
            <w:tcW w:w="644" w:type="dxa"/>
            <w:gridSpan w:val="2"/>
            <w:shd w:val="clear" w:color="auto" w:fill="FFFFFF" w:themeFill="background1"/>
          </w:tcPr>
          <w:p w:rsidR="00083AA5" w:rsidRDefault="00083AA5" w:rsidP="00F343E9">
            <w:r w:rsidRPr="005427D4">
              <w:rPr>
                <w:rFonts w:cs="Arial"/>
                <w:sz w:val="18"/>
                <w:szCs w:val="18"/>
              </w:rPr>
              <w:t>√</w:t>
            </w:r>
          </w:p>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F72505">
              <w:rPr>
                <w:rFonts w:cs="Arial"/>
                <w:sz w:val="18"/>
                <w:szCs w:val="18"/>
              </w:rPr>
              <w:t>√</w:t>
            </w:r>
          </w:p>
        </w:tc>
        <w:tc>
          <w:tcPr>
            <w:tcW w:w="644" w:type="dxa"/>
            <w:shd w:val="clear" w:color="auto" w:fill="FFFFFF" w:themeFill="background1"/>
          </w:tcPr>
          <w:p w:rsidR="00083AA5" w:rsidRDefault="00083AA5" w:rsidP="00F343E9">
            <w:r w:rsidRPr="00F72505">
              <w:rPr>
                <w:rFonts w:cs="Arial"/>
                <w:sz w:val="18"/>
                <w:szCs w:val="18"/>
              </w:rPr>
              <w:t>√</w:t>
            </w:r>
          </w:p>
        </w:tc>
        <w:tc>
          <w:tcPr>
            <w:tcW w:w="741" w:type="dxa"/>
            <w:shd w:val="clear" w:color="auto" w:fill="FFFFFF" w:themeFill="background1"/>
          </w:tcPr>
          <w:p w:rsidR="00083AA5" w:rsidRDefault="00083AA5" w:rsidP="00F343E9">
            <w:r w:rsidRPr="00F72505">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EE</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EL</w:t>
            </w:r>
          </w:p>
        </w:tc>
        <w:tc>
          <w:tcPr>
            <w:tcW w:w="478" w:type="dxa"/>
            <w:shd w:val="clear" w:color="auto" w:fill="FFFFFF" w:themeFill="background1"/>
          </w:tcPr>
          <w:p w:rsidR="00083AA5" w:rsidRDefault="00083AA5" w:rsidP="00F343E9">
            <w:r w:rsidRPr="004B6F13">
              <w:rPr>
                <w:rFonts w:cs="Arial"/>
                <w:sz w:val="18"/>
                <w:szCs w:val="18"/>
              </w:rPr>
              <w:t>√</w:t>
            </w:r>
          </w:p>
        </w:tc>
        <w:tc>
          <w:tcPr>
            <w:tcW w:w="644" w:type="dxa"/>
            <w:shd w:val="clear" w:color="auto" w:fill="FFFFFF" w:themeFill="background1"/>
          </w:tcPr>
          <w:p w:rsidR="00083AA5" w:rsidRDefault="00083AA5" w:rsidP="00F343E9">
            <w:r w:rsidRPr="004B6F13">
              <w:rPr>
                <w:rFonts w:cs="Arial"/>
                <w:sz w:val="18"/>
                <w:szCs w:val="18"/>
              </w:rPr>
              <w:t>√</w:t>
            </w:r>
          </w:p>
        </w:tc>
        <w:tc>
          <w:tcPr>
            <w:tcW w:w="644" w:type="dxa"/>
            <w:shd w:val="clear" w:color="auto" w:fill="FFFFFF" w:themeFill="background1"/>
          </w:tcPr>
          <w:p w:rsidR="00083AA5" w:rsidRDefault="00083AA5" w:rsidP="00F343E9">
            <w:r w:rsidRPr="004B6F13">
              <w:rPr>
                <w:rFonts w:cs="Arial"/>
                <w:sz w:val="18"/>
                <w:szCs w:val="18"/>
              </w:rPr>
              <w:t>√</w:t>
            </w:r>
          </w:p>
        </w:tc>
        <w:tc>
          <w:tcPr>
            <w:tcW w:w="643" w:type="dxa"/>
            <w:shd w:val="clear" w:color="auto" w:fill="FFFFFF" w:themeFill="background1"/>
          </w:tcPr>
          <w:p w:rsidR="00083AA5" w:rsidRDefault="00083AA5" w:rsidP="00F343E9">
            <w:r w:rsidRPr="004B6F13">
              <w:rPr>
                <w:rFonts w:cs="Arial"/>
                <w:sz w:val="18"/>
                <w:szCs w:val="18"/>
              </w:rPr>
              <w:t>√</w:t>
            </w:r>
          </w:p>
        </w:tc>
        <w:tc>
          <w:tcPr>
            <w:tcW w:w="644" w:type="dxa"/>
            <w:shd w:val="clear" w:color="auto" w:fill="FFFFFF" w:themeFill="background1"/>
          </w:tcPr>
          <w:p w:rsidR="00083AA5" w:rsidRDefault="00083AA5" w:rsidP="00F343E9">
            <w:r w:rsidRPr="004B6F13">
              <w:rPr>
                <w:rFonts w:cs="Arial"/>
                <w:sz w:val="18"/>
                <w:szCs w:val="18"/>
              </w:rPr>
              <w:t>√</w:t>
            </w:r>
          </w:p>
        </w:tc>
        <w:tc>
          <w:tcPr>
            <w:tcW w:w="644" w:type="dxa"/>
            <w:shd w:val="clear" w:color="auto" w:fill="FFFFFF" w:themeFill="background1"/>
          </w:tcPr>
          <w:p w:rsidR="00083AA5" w:rsidRDefault="00083AA5" w:rsidP="00F343E9">
            <w:r w:rsidRPr="004B6F13">
              <w:rPr>
                <w:rFonts w:cs="Arial"/>
                <w:sz w:val="18"/>
                <w:szCs w:val="18"/>
              </w:rPr>
              <w:t>√</w:t>
            </w:r>
          </w:p>
        </w:tc>
        <w:tc>
          <w:tcPr>
            <w:tcW w:w="644" w:type="dxa"/>
            <w:shd w:val="clear" w:color="auto" w:fill="FFFFFF" w:themeFill="background1"/>
          </w:tcPr>
          <w:p w:rsidR="00083AA5" w:rsidRDefault="00083AA5" w:rsidP="00F343E9">
            <w:r w:rsidRPr="004B6F13">
              <w:rPr>
                <w:rFonts w:cs="Arial"/>
                <w:sz w:val="18"/>
                <w:szCs w:val="18"/>
              </w:rPr>
              <w:t>√</w:t>
            </w:r>
          </w:p>
        </w:tc>
        <w:tc>
          <w:tcPr>
            <w:tcW w:w="643" w:type="dxa"/>
            <w:shd w:val="clear" w:color="auto" w:fill="FFFFFF" w:themeFill="background1"/>
          </w:tcPr>
          <w:p w:rsidR="00083AA5" w:rsidRDefault="00083AA5" w:rsidP="00F343E9">
            <w:r w:rsidRPr="004B6F13">
              <w:rPr>
                <w:rFonts w:cs="Arial"/>
                <w:sz w:val="18"/>
                <w:szCs w:val="18"/>
              </w:rPr>
              <w:t>√</w:t>
            </w:r>
          </w:p>
        </w:tc>
        <w:tc>
          <w:tcPr>
            <w:tcW w:w="644" w:type="dxa"/>
            <w:shd w:val="clear" w:color="auto" w:fill="FFFFFF" w:themeFill="background1"/>
          </w:tcPr>
          <w:p w:rsidR="00083AA5" w:rsidRDefault="00083AA5" w:rsidP="00F343E9">
            <w:r w:rsidRPr="004B6F13">
              <w:rPr>
                <w:rFonts w:cs="Arial"/>
                <w:sz w:val="18"/>
                <w:szCs w:val="18"/>
              </w:rPr>
              <w:t>√</w:t>
            </w:r>
          </w:p>
        </w:tc>
        <w:tc>
          <w:tcPr>
            <w:tcW w:w="644" w:type="dxa"/>
            <w:gridSpan w:val="2"/>
            <w:shd w:val="clear" w:color="auto" w:fill="FFFFFF" w:themeFill="background1"/>
          </w:tcPr>
          <w:p w:rsidR="00083AA5" w:rsidRDefault="00083AA5" w:rsidP="00F343E9">
            <w:r>
              <w:rPr>
                <w:rFonts w:cs="Arial"/>
                <w:sz w:val="18"/>
                <w:szCs w:val="18"/>
              </w:rPr>
              <w:t>√</w:t>
            </w:r>
            <w:r>
              <w:rPr>
                <w:rStyle w:val="EndnoteReference"/>
              </w:rPr>
              <w:endnoteReference w:id="89"/>
            </w:r>
          </w:p>
        </w:tc>
        <w:tc>
          <w:tcPr>
            <w:tcW w:w="644" w:type="dxa"/>
            <w:shd w:val="clear" w:color="auto" w:fill="FFFFFF" w:themeFill="background1"/>
          </w:tcPr>
          <w:p w:rsidR="00083AA5" w:rsidRDefault="00083AA5" w:rsidP="00F343E9">
            <w:r>
              <w:rPr>
                <w:rFonts w:cs="Arial"/>
                <w:sz w:val="18"/>
                <w:szCs w:val="18"/>
              </w:rPr>
              <w:t>√</w:t>
            </w:r>
            <w:r>
              <w:rPr>
                <w:rStyle w:val="EndnoteReference"/>
              </w:rPr>
              <w:endnoteReference w:id="90"/>
            </w:r>
          </w:p>
        </w:tc>
        <w:tc>
          <w:tcPr>
            <w:tcW w:w="643" w:type="dxa"/>
            <w:shd w:val="clear" w:color="auto" w:fill="FFFFFF" w:themeFill="background1"/>
          </w:tcPr>
          <w:p w:rsidR="00083AA5" w:rsidRDefault="00083AA5" w:rsidP="00F343E9">
            <w:r>
              <w:rPr>
                <w:rFonts w:cs="Arial"/>
                <w:sz w:val="18"/>
                <w:szCs w:val="18"/>
              </w:rPr>
              <w:t>√</w:t>
            </w:r>
            <w:r>
              <w:rPr>
                <w:rStyle w:val="EndnoteReference"/>
              </w:rPr>
              <w:endnoteReference w:id="91"/>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92"/>
            </w:r>
          </w:p>
        </w:tc>
        <w:tc>
          <w:tcPr>
            <w:tcW w:w="685" w:type="dxa"/>
            <w:shd w:val="clear" w:color="auto" w:fill="FFFFFF" w:themeFill="background1"/>
          </w:tcPr>
          <w:p w:rsidR="00083AA5" w:rsidRDefault="00083AA5" w:rsidP="00F343E9">
            <w:r w:rsidRPr="00474069">
              <w:rPr>
                <w:rFonts w:cs="Arial"/>
                <w:sz w:val="18"/>
                <w:szCs w:val="18"/>
              </w:rPr>
              <w:t>√</w:t>
            </w:r>
          </w:p>
        </w:tc>
        <w:tc>
          <w:tcPr>
            <w:tcW w:w="644" w:type="dxa"/>
            <w:shd w:val="clear" w:color="auto" w:fill="FFFFFF" w:themeFill="background1"/>
          </w:tcPr>
          <w:p w:rsidR="00083AA5" w:rsidRDefault="00083AA5" w:rsidP="00F343E9">
            <w:r w:rsidRPr="00474069">
              <w:rPr>
                <w:rFonts w:cs="Arial"/>
                <w:sz w:val="18"/>
                <w:szCs w:val="18"/>
              </w:rPr>
              <w:t>√</w:t>
            </w:r>
          </w:p>
        </w:tc>
        <w:tc>
          <w:tcPr>
            <w:tcW w:w="741" w:type="dxa"/>
            <w:shd w:val="clear" w:color="auto" w:fill="FFFFFF" w:themeFill="background1"/>
          </w:tcPr>
          <w:p w:rsidR="00083AA5" w:rsidRDefault="00083AA5" w:rsidP="00F343E9">
            <w:r w:rsidRPr="00474069">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ES</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FI</w:t>
            </w:r>
          </w:p>
        </w:tc>
        <w:tc>
          <w:tcPr>
            <w:tcW w:w="478" w:type="dxa"/>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3" w:type="dxa"/>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3" w:type="dxa"/>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4" w:type="dxa"/>
            <w:gridSpan w:val="2"/>
            <w:shd w:val="clear" w:color="auto" w:fill="FFFFFF" w:themeFill="background1"/>
          </w:tcPr>
          <w:p w:rsidR="00083AA5" w:rsidRDefault="00083AA5" w:rsidP="00F343E9">
            <w:r w:rsidRPr="00AD19C4">
              <w:rPr>
                <w:rFonts w:cs="Arial"/>
                <w:sz w:val="18"/>
                <w:szCs w:val="18"/>
              </w:rPr>
              <w:t>√</w:t>
            </w:r>
          </w:p>
        </w:tc>
        <w:tc>
          <w:tcPr>
            <w:tcW w:w="644" w:type="dxa"/>
            <w:shd w:val="clear" w:color="auto" w:fill="FFFFFF" w:themeFill="background1"/>
          </w:tcPr>
          <w:p w:rsidR="00083AA5" w:rsidRDefault="00083AA5" w:rsidP="00F343E9">
            <w:r w:rsidRPr="00AD19C4">
              <w:rPr>
                <w:rFonts w:cs="Arial"/>
                <w:sz w:val="18"/>
                <w:szCs w:val="18"/>
              </w:rPr>
              <w:t>√</w:t>
            </w:r>
          </w:p>
        </w:tc>
        <w:tc>
          <w:tcPr>
            <w:tcW w:w="643" w:type="dxa"/>
            <w:shd w:val="clear" w:color="auto" w:fill="FFFFFF" w:themeFill="background1"/>
          </w:tcPr>
          <w:p w:rsidR="00083AA5" w:rsidRDefault="00083AA5" w:rsidP="00F343E9">
            <w:r>
              <w:rPr>
                <w:rFonts w:cs="Arial"/>
                <w:sz w:val="18"/>
                <w:szCs w:val="18"/>
              </w:rPr>
              <w:t>√</w:t>
            </w:r>
            <w:r>
              <w:rPr>
                <w:rStyle w:val="EndnoteReference"/>
              </w:rPr>
              <w:endnoteReference w:id="93"/>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94"/>
            </w:r>
          </w:p>
        </w:tc>
        <w:tc>
          <w:tcPr>
            <w:tcW w:w="685" w:type="dxa"/>
            <w:shd w:val="clear" w:color="auto" w:fill="FFFFFF" w:themeFill="background1"/>
          </w:tcPr>
          <w:p w:rsidR="00083AA5" w:rsidRDefault="00083AA5" w:rsidP="00F343E9">
            <w:r w:rsidRPr="002806E6">
              <w:rPr>
                <w:rFonts w:cs="Arial"/>
                <w:sz w:val="18"/>
                <w:szCs w:val="18"/>
              </w:rPr>
              <w:t>√</w:t>
            </w:r>
          </w:p>
        </w:tc>
        <w:tc>
          <w:tcPr>
            <w:tcW w:w="644" w:type="dxa"/>
            <w:shd w:val="clear" w:color="auto" w:fill="FFFFFF" w:themeFill="background1"/>
          </w:tcPr>
          <w:p w:rsidR="00083AA5" w:rsidRDefault="00083AA5" w:rsidP="00F343E9">
            <w:r w:rsidRPr="002806E6">
              <w:rPr>
                <w:rFonts w:cs="Arial"/>
                <w:sz w:val="18"/>
                <w:szCs w:val="18"/>
              </w:rPr>
              <w:t>√</w:t>
            </w:r>
          </w:p>
        </w:tc>
        <w:tc>
          <w:tcPr>
            <w:tcW w:w="741" w:type="dxa"/>
            <w:shd w:val="clear" w:color="auto" w:fill="FFFFFF" w:themeFill="background1"/>
          </w:tcPr>
          <w:p w:rsidR="00083AA5" w:rsidRDefault="00083AA5" w:rsidP="00F343E9">
            <w:r w:rsidRPr="002806E6">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FR</w:t>
            </w:r>
          </w:p>
        </w:tc>
        <w:tc>
          <w:tcPr>
            <w:tcW w:w="478"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3"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3" w:type="dxa"/>
            <w:shd w:val="clear" w:color="auto" w:fill="FFFFFF" w:themeFill="background1"/>
          </w:tcPr>
          <w:p w:rsidR="00083AA5" w:rsidRDefault="00083AA5" w:rsidP="00F343E9">
            <w:r w:rsidRPr="00F734E3">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FFFFFF" w:themeFill="background1"/>
          </w:tcPr>
          <w:p w:rsidR="00083AA5" w:rsidRDefault="00083AA5" w:rsidP="00F343E9">
            <w:r w:rsidRPr="00E50405">
              <w:rPr>
                <w:rFonts w:cs="Arial"/>
                <w:sz w:val="18"/>
                <w:szCs w:val="18"/>
              </w:rPr>
              <w:t>√</w:t>
            </w:r>
          </w:p>
        </w:tc>
        <w:tc>
          <w:tcPr>
            <w:tcW w:w="644" w:type="dxa"/>
            <w:shd w:val="clear" w:color="auto" w:fill="FFFFFF" w:themeFill="background1"/>
          </w:tcPr>
          <w:p w:rsidR="00083AA5" w:rsidRDefault="00083AA5" w:rsidP="00F343E9">
            <w:r w:rsidRPr="00E50405">
              <w:rPr>
                <w:rFonts w:cs="Arial"/>
                <w:sz w:val="18"/>
                <w:szCs w:val="18"/>
              </w:rPr>
              <w:t>√</w:t>
            </w:r>
          </w:p>
        </w:tc>
        <w:tc>
          <w:tcPr>
            <w:tcW w:w="643" w:type="dxa"/>
            <w:shd w:val="clear" w:color="auto" w:fill="FFFFFF" w:themeFill="background1"/>
          </w:tcPr>
          <w:p w:rsidR="00083AA5" w:rsidRDefault="00083AA5" w:rsidP="00F343E9">
            <w:r w:rsidRPr="00E50405">
              <w:rPr>
                <w:rFonts w:cs="Arial"/>
                <w:sz w:val="18"/>
                <w:szCs w:val="18"/>
              </w:rPr>
              <w:t>√</w:t>
            </w:r>
          </w:p>
        </w:tc>
        <w:tc>
          <w:tcPr>
            <w:tcW w:w="603" w:type="dxa"/>
            <w:gridSpan w:val="2"/>
            <w:shd w:val="clear" w:color="auto" w:fill="FFFFFF" w:themeFill="background1"/>
          </w:tcPr>
          <w:p w:rsidR="00083AA5" w:rsidRDefault="00083AA5" w:rsidP="00F343E9">
            <w:r w:rsidRPr="00E50405">
              <w:rPr>
                <w:rFonts w:cs="Arial"/>
                <w:sz w:val="18"/>
                <w:szCs w:val="18"/>
              </w:rPr>
              <w:t>√</w:t>
            </w:r>
          </w:p>
        </w:tc>
        <w:tc>
          <w:tcPr>
            <w:tcW w:w="685" w:type="dxa"/>
            <w:shd w:val="clear" w:color="auto" w:fill="FFFFFF" w:themeFill="background1"/>
          </w:tcPr>
          <w:p w:rsidR="00083AA5" w:rsidRDefault="00083AA5" w:rsidP="00F343E9">
            <w:r w:rsidRPr="00E50405">
              <w:rPr>
                <w:rFonts w:cs="Arial"/>
                <w:sz w:val="18"/>
                <w:szCs w:val="18"/>
              </w:rPr>
              <w:t>√</w:t>
            </w:r>
          </w:p>
        </w:tc>
        <w:tc>
          <w:tcPr>
            <w:tcW w:w="644" w:type="dxa"/>
            <w:shd w:val="clear" w:color="auto" w:fill="FFFFFF" w:themeFill="background1"/>
          </w:tcPr>
          <w:p w:rsidR="00083AA5" w:rsidRDefault="00083AA5" w:rsidP="00F343E9">
            <w:r w:rsidRPr="00E50405">
              <w:rPr>
                <w:rFonts w:cs="Arial"/>
                <w:sz w:val="18"/>
                <w:szCs w:val="18"/>
              </w:rPr>
              <w:t>√</w:t>
            </w:r>
          </w:p>
        </w:tc>
        <w:tc>
          <w:tcPr>
            <w:tcW w:w="741" w:type="dxa"/>
            <w:shd w:val="clear" w:color="auto" w:fill="FFFFFF" w:themeFill="background1"/>
          </w:tcPr>
          <w:p w:rsidR="00083AA5" w:rsidRDefault="00083AA5" w:rsidP="00F343E9">
            <w:r w:rsidRPr="00E50405">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HR</w:t>
            </w:r>
          </w:p>
        </w:tc>
        <w:tc>
          <w:tcPr>
            <w:tcW w:w="478"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3"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3"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B17A46">
              <w:rPr>
                <w:rFonts w:cs="Arial"/>
                <w:sz w:val="18"/>
                <w:szCs w:val="18"/>
              </w:rPr>
              <w:t>√</w:t>
            </w:r>
          </w:p>
        </w:tc>
        <w:tc>
          <w:tcPr>
            <w:tcW w:w="644" w:type="dxa"/>
            <w:gridSpan w:val="2"/>
            <w:shd w:val="clear" w:color="auto" w:fill="FFFFFF" w:themeFill="background1"/>
          </w:tcPr>
          <w:p w:rsidR="00083AA5" w:rsidRDefault="00083AA5" w:rsidP="00F343E9">
            <w:r w:rsidRPr="00B17A46">
              <w:rPr>
                <w:rFonts w:cs="Arial"/>
                <w:sz w:val="18"/>
                <w:szCs w:val="18"/>
              </w:rPr>
              <w:t>√</w:t>
            </w:r>
          </w:p>
        </w:tc>
        <w:tc>
          <w:tcPr>
            <w:tcW w:w="644" w:type="dxa"/>
            <w:shd w:val="clear" w:color="auto" w:fill="FFFFFF" w:themeFill="background1"/>
          </w:tcPr>
          <w:p w:rsidR="00083AA5" w:rsidRDefault="00083AA5" w:rsidP="00F343E9">
            <w:r w:rsidRPr="00B17A46">
              <w:rPr>
                <w:rFonts w:cs="Arial"/>
                <w:sz w:val="18"/>
                <w:szCs w:val="18"/>
              </w:rPr>
              <w:t>√</w:t>
            </w:r>
          </w:p>
        </w:tc>
        <w:tc>
          <w:tcPr>
            <w:tcW w:w="643" w:type="dxa"/>
            <w:shd w:val="clear" w:color="auto" w:fill="FFFFFF" w:themeFill="background1"/>
          </w:tcPr>
          <w:p w:rsidR="00083AA5" w:rsidRDefault="00083AA5" w:rsidP="00F343E9">
            <w:r>
              <w:rPr>
                <w:rFonts w:cs="Arial"/>
                <w:sz w:val="18"/>
                <w:szCs w:val="18"/>
              </w:rPr>
              <w:t>√</w:t>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95"/>
            </w:r>
          </w:p>
        </w:tc>
        <w:tc>
          <w:tcPr>
            <w:tcW w:w="685" w:type="dxa"/>
            <w:shd w:val="clear" w:color="auto" w:fill="FFFFFF" w:themeFill="background1"/>
          </w:tcPr>
          <w:p w:rsidR="00083AA5" w:rsidRDefault="00083AA5" w:rsidP="00F343E9">
            <w:r w:rsidRPr="00F30713">
              <w:rPr>
                <w:rFonts w:cs="Arial"/>
                <w:sz w:val="18"/>
                <w:szCs w:val="18"/>
              </w:rPr>
              <w:t>√</w:t>
            </w:r>
          </w:p>
        </w:tc>
        <w:tc>
          <w:tcPr>
            <w:tcW w:w="644" w:type="dxa"/>
            <w:shd w:val="clear" w:color="auto" w:fill="FFFFFF" w:themeFill="background1"/>
          </w:tcPr>
          <w:p w:rsidR="00083AA5" w:rsidRDefault="00083AA5" w:rsidP="00F343E9">
            <w:r w:rsidRPr="00F30713">
              <w:rPr>
                <w:rFonts w:cs="Arial"/>
                <w:sz w:val="18"/>
                <w:szCs w:val="18"/>
              </w:rPr>
              <w:t>√</w:t>
            </w:r>
          </w:p>
        </w:tc>
        <w:tc>
          <w:tcPr>
            <w:tcW w:w="741" w:type="dxa"/>
            <w:shd w:val="clear" w:color="auto" w:fill="FFFFFF" w:themeFill="background1"/>
          </w:tcPr>
          <w:p w:rsidR="00083AA5" w:rsidRDefault="00083AA5" w:rsidP="00F343E9">
            <w:r w:rsidRPr="00F3071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HU</w:t>
            </w:r>
          </w:p>
        </w:tc>
        <w:tc>
          <w:tcPr>
            <w:tcW w:w="478"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3"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F734E3">
              <w:rPr>
                <w:rFonts w:cs="Arial"/>
                <w:sz w:val="18"/>
                <w:szCs w:val="18"/>
              </w:rPr>
              <w:t>√</w:t>
            </w:r>
          </w:p>
        </w:tc>
        <w:tc>
          <w:tcPr>
            <w:tcW w:w="643" w:type="dxa"/>
            <w:shd w:val="clear" w:color="auto" w:fill="FFFFFF" w:themeFill="background1"/>
          </w:tcPr>
          <w:p w:rsidR="00083AA5" w:rsidRDefault="00083AA5" w:rsidP="00F343E9">
            <w:r w:rsidRPr="00F734E3">
              <w:rPr>
                <w:rFonts w:cs="Arial"/>
                <w:sz w:val="18"/>
                <w:szCs w:val="18"/>
              </w:rPr>
              <w:t>√</w:t>
            </w:r>
          </w:p>
        </w:tc>
        <w:tc>
          <w:tcPr>
            <w:tcW w:w="644" w:type="dxa"/>
            <w:shd w:val="clear" w:color="auto" w:fill="FFFFFF" w:themeFill="background1"/>
          </w:tcPr>
          <w:p w:rsidR="00083AA5" w:rsidRDefault="00083AA5" w:rsidP="00F343E9">
            <w:r w:rsidRPr="00B17A46">
              <w:rPr>
                <w:rFonts w:cs="Arial"/>
                <w:sz w:val="18"/>
                <w:szCs w:val="18"/>
              </w:rPr>
              <w:t>√</w:t>
            </w:r>
          </w:p>
        </w:tc>
        <w:tc>
          <w:tcPr>
            <w:tcW w:w="644" w:type="dxa"/>
            <w:gridSpan w:val="2"/>
            <w:shd w:val="clear" w:color="auto" w:fill="FFFFFF" w:themeFill="background1"/>
          </w:tcPr>
          <w:p w:rsidR="00083AA5" w:rsidRDefault="00083AA5" w:rsidP="00F343E9">
            <w:r w:rsidRPr="00B17A46">
              <w:rPr>
                <w:rFonts w:cs="Arial"/>
                <w:sz w:val="18"/>
                <w:szCs w:val="18"/>
              </w:rPr>
              <w:t>√</w:t>
            </w:r>
          </w:p>
        </w:tc>
        <w:tc>
          <w:tcPr>
            <w:tcW w:w="644" w:type="dxa"/>
            <w:shd w:val="clear" w:color="auto" w:fill="FFFFFF" w:themeFill="background1"/>
          </w:tcPr>
          <w:p w:rsidR="00083AA5" w:rsidRDefault="00083AA5" w:rsidP="00F343E9">
            <w:r w:rsidRPr="00B17A46">
              <w:rPr>
                <w:rFonts w:cs="Arial"/>
                <w:sz w:val="18"/>
                <w:szCs w:val="18"/>
              </w:rPr>
              <w:t>√</w:t>
            </w:r>
          </w:p>
        </w:tc>
        <w:tc>
          <w:tcPr>
            <w:tcW w:w="643" w:type="dxa"/>
            <w:shd w:val="clear" w:color="auto" w:fill="FFFFFF" w:themeFill="background1"/>
          </w:tcPr>
          <w:p w:rsidR="00083AA5" w:rsidRDefault="00083AA5" w:rsidP="00F343E9">
            <w:r>
              <w:rPr>
                <w:rFonts w:cs="Arial"/>
                <w:sz w:val="18"/>
                <w:szCs w:val="18"/>
              </w:rPr>
              <w:t>√</w:t>
            </w:r>
            <w:r>
              <w:rPr>
                <w:rStyle w:val="EndnoteReference"/>
              </w:rPr>
              <w:endnoteReference w:id="96"/>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97"/>
            </w:r>
          </w:p>
        </w:tc>
        <w:tc>
          <w:tcPr>
            <w:tcW w:w="685" w:type="dxa"/>
            <w:shd w:val="clear" w:color="auto" w:fill="FFFFFF" w:themeFill="background1"/>
          </w:tcPr>
          <w:p w:rsidR="00083AA5" w:rsidRDefault="00083AA5" w:rsidP="00F343E9">
            <w:r w:rsidRPr="00F30713">
              <w:rPr>
                <w:rFonts w:cs="Arial"/>
                <w:sz w:val="18"/>
                <w:szCs w:val="18"/>
              </w:rPr>
              <w:t>√</w:t>
            </w:r>
          </w:p>
        </w:tc>
        <w:tc>
          <w:tcPr>
            <w:tcW w:w="644" w:type="dxa"/>
            <w:shd w:val="clear" w:color="auto" w:fill="FFFFFF" w:themeFill="background1"/>
          </w:tcPr>
          <w:p w:rsidR="00083AA5" w:rsidRDefault="00083AA5" w:rsidP="00F343E9">
            <w:r w:rsidRPr="00F30713">
              <w:rPr>
                <w:rFonts w:cs="Arial"/>
                <w:sz w:val="18"/>
                <w:szCs w:val="18"/>
              </w:rPr>
              <w:t>√</w:t>
            </w:r>
          </w:p>
        </w:tc>
        <w:tc>
          <w:tcPr>
            <w:tcW w:w="741" w:type="dxa"/>
            <w:shd w:val="clear" w:color="auto" w:fill="FFFFFF" w:themeFill="background1"/>
          </w:tcPr>
          <w:p w:rsidR="00083AA5" w:rsidRDefault="00083AA5" w:rsidP="00F343E9">
            <w:r w:rsidRPr="00F3071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IE</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IT</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LT</w:t>
            </w:r>
          </w:p>
        </w:tc>
        <w:tc>
          <w:tcPr>
            <w:tcW w:w="478"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3"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3"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gridSpan w:val="2"/>
            <w:shd w:val="clear" w:color="auto" w:fill="FFFFFF" w:themeFill="background1"/>
          </w:tcPr>
          <w:p w:rsidR="00083AA5" w:rsidRDefault="00083AA5" w:rsidP="00F343E9">
            <w:r w:rsidRPr="00581BB9">
              <w:rPr>
                <w:rFonts w:cs="Arial"/>
                <w:sz w:val="18"/>
                <w:szCs w:val="18"/>
              </w:rPr>
              <w:t>√</w:t>
            </w:r>
          </w:p>
        </w:tc>
        <w:tc>
          <w:tcPr>
            <w:tcW w:w="644" w:type="dxa"/>
            <w:shd w:val="clear" w:color="auto" w:fill="FFFFFF" w:themeFill="background1"/>
          </w:tcPr>
          <w:p w:rsidR="00083AA5" w:rsidRDefault="00083AA5" w:rsidP="00F343E9">
            <w:r w:rsidRPr="00581BB9">
              <w:rPr>
                <w:rFonts w:cs="Arial"/>
                <w:sz w:val="18"/>
                <w:szCs w:val="18"/>
              </w:rPr>
              <w:t>√</w:t>
            </w:r>
          </w:p>
        </w:tc>
        <w:tc>
          <w:tcPr>
            <w:tcW w:w="643" w:type="dxa"/>
            <w:shd w:val="clear" w:color="auto" w:fill="FFFFFF" w:themeFill="background1"/>
          </w:tcPr>
          <w:p w:rsidR="00083AA5" w:rsidRDefault="00083AA5" w:rsidP="00F343E9">
            <w:r w:rsidRPr="00581BB9">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E31187">
              <w:rPr>
                <w:rFonts w:cs="Arial"/>
                <w:sz w:val="18"/>
                <w:szCs w:val="18"/>
              </w:rPr>
              <w:t>√</w:t>
            </w:r>
          </w:p>
        </w:tc>
        <w:tc>
          <w:tcPr>
            <w:tcW w:w="644" w:type="dxa"/>
            <w:shd w:val="clear" w:color="auto" w:fill="FFFFFF" w:themeFill="background1"/>
          </w:tcPr>
          <w:p w:rsidR="00083AA5" w:rsidRDefault="00083AA5" w:rsidP="00F343E9">
            <w:r w:rsidRPr="00E31187">
              <w:rPr>
                <w:rFonts w:cs="Arial"/>
                <w:sz w:val="18"/>
                <w:szCs w:val="18"/>
              </w:rPr>
              <w:t>√</w:t>
            </w:r>
          </w:p>
        </w:tc>
        <w:tc>
          <w:tcPr>
            <w:tcW w:w="741" w:type="dxa"/>
            <w:shd w:val="clear" w:color="auto" w:fill="FFFFFF" w:themeFill="background1"/>
          </w:tcPr>
          <w:p w:rsidR="00083AA5" w:rsidRDefault="00083AA5" w:rsidP="00F343E9">
            <w:r w:rsidRPr="00E31187">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LU</w:t>
            </w:r>
          </w:p>
        </w:tc>
        <w:tc>
          <w:tcPr>
            <w:tcW w:w="478"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3"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3"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gridSpan w:val="2"/>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F52409">
              <w:rPr>
                <w:rFonts w:cs="Arial"/>
                <w:sz w:val="18"/>
                <w:szCs w:val="18"/>
              </w:rPr>
              <w:t>√</w:t>
            </w:r>
          </w:p>
        </w:tc>
        <w:tc>
          <w:tcPr>
            <w:tcW w:w="643" w:type="dxa"/>
            <w:shd w:val="clear" w:color="auto" w:fill="FFFFFF" w:themeFill="background1"/>
          </w:tcPr>
          <w:p w:rsidR="00083AA5" w:rsidRDefault="00083AA5" w:rsidP="00F343E9">
            <w:r w:rsidRPr="00F52409">
              <w:rPr>
                <w:rFonts w:cs="Arial"/>
                <w:sz w:val="18"/>
                <w:szCs w:val="18"/>
              </w:rPr>
              <w:t>√</w:t>
            </w:r>
          </w:p>
        </w:tc>
        <w:tc>
          <w:tcPr>
            <w:tcW w:w="603" w:type="dxa"/>
            <w:gridSpan w:val="2"/>
            <w:shd w:val="clear" w:color="auto" w:fill="FFFFFF" w:themeFill="background1"/>
          </w:tcPr>
          <w:p w:rsidR="00083AA5" w:rsidRDefault="00083AA5" w:rsidP="00F343E9">
            <w:r w:rsidRPr="00F52409">
              <w:rPr>
                <w:rFonts w:cs="Arial"/>
                <w:sz w:val="18"/>
                <w:szCs w:val="18"/>
              </w:rPr>
              <w:t>√</w:t>
            </w:r>
          </w:p>
        </w:tc>
        <w:tc>
          <w:tcPr>
            <w:tcW w:w="685" w:type="dxa"/>
            <w:shd w:val="clear" w:color="auto" w:fill="FFFFFF" w:themeFill="background1"/>
          </w:tcPr>
          <w:p w:rsidR="00083AA5" w:rsidRDefault="00083AA5" w:rsidP="00F343E9">
            <w:r w:rsidRPr="00F52409">
              <w:rPr>
                <w:rFonts w:cs="Arial"/>
                <w:sz w:val="18"/>
                <w:szCs w:val="18"/>
              </w:rPr>
              <w:t>√</w:t>
            </w:r>
          </w:p>
        </w:tc>
        <w:tc>
          <w:tcPr>
            <w:tcW w:w="644" w:type="dxa"/>
            <w:shd w:val="clear" w:color="auto" w:fill="FFFFFF" w:themeFill="background1"/>
          </w:tcPr>
          <w:p w:rsidR="00083AA5" w:rsidRDefault="00083AA5" w:rsidP="00F343E9">
            <w:r w:rsidRPr="00F52409">
              <w:rPr>
                <w:rFonts w:cs="Arial"/>
                <w:sz w:val="18"/>
                <w:szCs w:val="18"/>
              </w:rPr>
              <w:t>√</w:t>
            </w:r>
          </w:p>
        </w:tc>
        <w:tc>
          <w:tcPr>
            <w:tcW w:w="741" w:type="dxa"/>
            <w:shd w:val="clear" w:color="auto" w:fill="FFFFFF" w:themeFill="background1"/>
          </w:tcPr>
          <w:p w:rsidR="00083AA5" w:rsidRDefault="00083AA5" w:rsidP="00F343E9">
            <w:r w:rsidRPr="00F52409">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LV</w:t>
            </w:r>
          </w:p>
        </w:tc>
        <w:tc>
          <w:tcPr>
            <w:tcW w:w="478"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3"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3" w:type="dxa"/>
            <w:shd w:val="clear" w:color="auto" w:fill="FFFFFF" w:themeFill="background1"/>
          </w:tcPr>
          <w:p w:rsidR="00083AA5" w:rsidRDefault="00083AA5" w:rsidP="00F343E9">
            <w:r w:rsidRPr="00343C3C">
              <w:rPr>
                <w:rFonts w:cs="Arial"/>
                <w:sz w:val="18"/>
                <w:szCs w:val="18"/>
              </w:rPr>
              <w:t>√</w:t>
            </w:r>
          </w:p>
        </w:tc>
        <w:tc>
          <w:tcPr>
            <w:tcW w:w="644" w:type="dxa"/>
            <w:shd w:val="clear" w:color="auto" w:fill="FFFFFF" w:themeFill="background1"/>
          </w:tcPr>
          <w:p w:rsidR="00083AA5" w:rsidRDefault="00083AA5" w:rsidP="00F343E9">
            <w:r w:rsidRPr="00343C3C">
              <w:rPr>
                <w:rFonts w:cs="Arial"/>
                <w:sz w:val="18"/>
                <w:szCs w:val="18"/>
              </w:rPr>
              <w:t>√</w:t>
            </w:r>
          </w:p>
        </w:tc>
        <w:tc>
          <w:tcPr>
            <w:tcW w:w="644" w:type="dxa"/>
            <w:gridSpan w:val="2"/>
            <w:shd w:val="clear" w:color="auto" w:fill="FFFFFF" w:themeFill="background1"/>
          </w:tcPr>
          <w:p w:rsidR="00083AA5" w:rsidRDefault="00083AA5" w:rsidP="00F343E9">
            <w:r w:rsidRPr="00026313">
              <w:rPr>
                <w:rFonts w:cs="Arial"/>
                <w:sz w:val="18"/>
                <w:szCs w:val="18"/>
              </w:rPr>
              <w:t>√</w:t>
            </w:r>
          </w:p>
        </w:tc>
        <w:tc>
          <w:tcPr>
            <w:tcW w:w="644" w:type="dxa"/>
            <w:shd w:val="clear" w:color="auto" w:fill="FFFFFF" w:themeFill="background1"/>
          </w:tcPr>
          <w:p w:rsidR="00083AA5" w:rsidRDefault="00083AA5" w:rsidP="00F343E9">
            <w:r w:rsidRPr="00026313">
              <w:rPr>
                <w:rFonts w:cs="Arial"/>
                <w:sz w:val="18"/>
                <w:szCs w:val="18"/>
              </w:rPr>
              <w:t>√</w:t>
            </w:r>
          </w:p>
        </w:tc>
        <w:tc>
          <w:tcPr>
            <w:tcW w:w="643" w:type="dxa"/>
            <w:shd w:val="clear" w:color="auto" w:fill="FFFFFF" w:themeFill="background1"/>
          </w:tcPr>
          <w:p w:rsidR="00083AA5" w:rsidRDefault="00083AA5" w:rsidP="00F343E9">
            <w:r w:rsidRPr="00026313">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DE12CE">
              <w:rPr>
                <w:rFonts w:cs="Arial"/>
                <w:sz w:val="18"/>
                <w:szCs w:val="18"/>
              </w:rPr>
              <w:t>√</w:t>
            </w:r>
          </w:p>
        </w:tc>
        <w:tc>
          <w:tcPr>
            <w:tcW w:w="644" w:type="dxa"/>
            <w:shd w:val="clear" w:color="auto" w:fill="FFFFFF" w:themeFill="background1"/>
          </w:tcPr>
          <w:p w:rsidR="00083AA5" w:rsidRDefault="00083AA5" w:rsidP="00F343E9">
            <w:r w:rsidRPr="00DE12CE">
              <w:rPr>
                <w:rFonts w:cs="Arial"/>
                <w:sz w:val="18"/>
                <w:szCs w:val="18"/>
              </w:rPr>
              <w:t>√</w:t>
            </w:r>
          </w:p>
        </w:tc>
        <w:tc>
          <w:tcPr>
            <w:tcW w:w="741" w:type="dxa"/>
            <w:shd w:val="clear" w:color="auto" w:fill="FFFFFF" w:themeFill="background1"/>
          </w:tcPr>
          <w:p w:rsidR="00083AA5" w:rsidRDefault="00083AA5" w:rsidP="00F343E9">
            <w:r w:rsidRPr="00DE12CE">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MT</w:t>
            </w:r>
          </w:p>
        </w:tc>
        <w:tc>
          <w:tcPr>
            <w:tcW w:w="478"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FFFFFF" w:themeFill="background1"/>
          </w:tcPr>
          <w:p w:rsidR="00083AA5" w:rsidRDefault="00083AA5" w:rsidP="00F343E9">
            <w:r w:rsidRPr="00026313">
              <w:rPr>
                <w:rFonts w:cs="Arial"/>
                <w:sz w:val="18"/>
                <w:szCs w:val="18"/>
              </w:rPr>
              <w:t>√</w:t>
            </w:r>
          </w:p>
        </w:tc>
        <w:tc>
          <w:tcPr>
            <w:tcW w:w="644" w:type="dxa"/>
            <w:shd w:val="clear" w:color="auto" w:fill="FFFFFF" w:themeFill="background1"/>
          </w:tcPr>
          <w:p w:rsidR="00083AA5" w:rsidRDefault="00083AA5" w:rsidP="00F343E9">
            <w:r w:rsidRPr="00026313">
              <w:rPr>
                <w:rFonts w:cs="Arial"/>
                <w:sz w:val="18"/>
                <w:szCs w:val="18"/>
              </w:rPr>
              <w:t>√</w:t>
            </w:r>
          </w:p>
        </w:tc>
        <w:tc>
          <w:tcPr>
            <w:tcW w:w="643" w:type="dxa"/>
            <w:shd w:val="clear" w:color="auto" w:fill="FFFFFF" w:themeFill="background1"/>
          </w:tcPr>
          <w:p w:rsidR="00083AA5" w:rsidRDefault="00083AA5" w:rsidP="00F343E9">
            <w:r w:rsidRPr="00026313">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E953F6">
              <w:rPr>
                <w:rFonts w:cs="Arial"/>
                <w:sz w:val="18"/>
                <w:szCs w:val="18"/>
              </w:rPr>
              <w:t>√</w:t>
            </w:r>
          </w:p>
        </w:tc>
        <w:tc>
          <w:tcPr>
            <w:tcW w:w="644" w:type="dxa"/>
            <w:shd w:val="clear" w:color="auto" w:fill="FFFFFF" w:themeFill="background1"/>
          </w:tcPr>
          <w:p w:rsidR="00083AA5" w:rsidRDefault="00083AA5" w:rsidP="00F343E9">
            <w:r w:rsidRPr="00E953F6">
              <w:rPr>
                <w:rFonts w:cs="Arial"/>
                <w:sz w:val="18"/>
                <w:szCs w:val="18"/>
              </w:rPr>
              <w:t>√</w:t>
            </w:r>
          </w:p>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NL</w:t>
            </w:r>
          </w:p>
        </w:tc>
        <w:tc>
          <w:tcPr>
            <w:tcW w:w="478"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FFFFFF" w:themeFill="background1"/>
          </w:tcPr>
          <w:p w:rsidR="00083AA5" w:rsidRDefault="00083AA5" w:rsidP="00F343E9">
            <w:r>
              <w:rPr>
                <w:rFonts w:cs="Arial"/>
                <w:sz w:val="18"/>
                <w:szCs w:val="18"/>
              </w:rPr>
              <w:t>√</w:t>
            </w:r>
            <w:r>
              <w:rPr>
                <w:rStyle w:val="EndnoteReference"/>
              </w:rPr>
              <w:endnoteReference w:id="98"/>
            </w:r>
          </w:p>
        </w:tc>
        <w:tc>
          <w:tcPr>
            <w:tcW w:w="644" w:type="dxa"/>
            <w:shd w:val="clear" w:color="auto" w:fill="FFFFFF" w:themeFill="background1"/>
          </w:tcPr>
          <w:p w:rsidR="00083AA5" w:rsidRDefault="00083AA5" w:rsidP="00F343E9">
            <w:r>
              <w:rPr>
                <w:rFonts w:cs="Arial"/>
                <w:sz w:val="18"/>
                <w:szCs w:val="18"/>
              </w:rPr>
              <w:t>√</w:t>
            </w:r>
          </w:p>
        </w:tc>
        <w:tc>
          <w:tcPr>
            <w:tcW w:w="643" w:type="dxa"/>
            <w:shd w:val="clear" w:color="auto" w:fill="FFFFFF" w:themeFill="background1"/>
          </w:tcPr>
          <w:p w:rsidR="00083AA5" w:rsidRDefault="00083AA5" w:rsidP="00F343E9">
            <w:r>
              <w:rPr>
                <w:rFonts w:cs="Arial"/>
                <w:sz w:val="18"/>
                <w:szCs w:val="18"/>
              </w:rPr>
              <w:t>√</w:t>
            </w:r>
            <w:r>
              <w:rPr>
                <w:rStyle w:val="EndnoteReference"/>
              </w:rPr>
              <w:endnoteReference w:id="99"/>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100"/>
            </w:r>
          </w:p>
        </w:tc>
        <w:tc>
          <w:tcPr>
            <w:tcW w:w="685" w:type="dxa"/>
            <w:shd w:val="clear" w:color="auto" w:fill="FFFFFF" w:themeFill="background1"/>
          </w:tcPr>
          <w:p w:rsidR="00083AA5" w:rsidRDefault="00083AA5" w:rsidP="00F343E9">
            <w:r>
              <w:rPr>
                <w:rFonts w:cs="Arial"/>
                <w:sz w:val="18"/>
                <w:szCs w:val="18"/>
              </w:rPr>
              <w:t>√</w:t>
            </w:r>
          </w:p>
        </w:tc>
        <w:tc>
          <w:tcPr>
            <w:tcW w:w="644" w:type="dxa"/>
            <w:shd w:val="clear" w:color="auto" w:fill="FFFFFF" w:themeFill="background1"/>
          </w:tcPr>
          <w:p w:rsidR="00083AA5" w:rsidRDefault="00083AA5" w:rsidP="00F343E9">
            <w:r w:rsidRPr="00714C27">
              <w:rPr>
                <w:rFonts w:cs="Arial"/>
                <w:sz w:val="18"/>
                <w:szCs w:val="18"/>
              </w:rPr>
              <w:t>√</w:t>
            </w:r>
          </w:p>
        </w:tc>
        <w:tc>
          <w:tcPr>
            <w:tcW w:w="741" w:type="dxa"/>
            <w:shd w:val="clear" w:color="auto" w:fill="FFFFFF" w:themeFill="background1"/>
          </w:tcPr>
          <w:p w:rsidR="00083AA5" w:rsidRDefault="00083AA5" w:rsidP="00F343E9">
            <w:r w:rsidRPr="0059489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PL</w:t>
            </w:r>
          </w:p>
        </w:tc>
        <w:tc>
          <w:tcPr>
            <w:tcW w:w="478"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7F61CB">
              <w:rPr>
                <w:rFonts w:cs="Arial"/>
                <w:sz w:val="18"/>
                <w:szCs w:val="18"/>
              </w:rPr>
              <w:t>√</w:t>
            </w:r>
          </w:p>
        </w:tc>
        <w:tc>
          <w:tcPr>
            <w:tcW w:w="644" w:type="dxa"/>
            <w:shd w:val="clear" w:color="auto" w:fill="FFFFFF" w:themeFill="background1"/>
          </w:tcPr>
          <w:p w:rsidR="00083AA5" w:rsidRDefault="00083AA5" w:rsidP="00F343E9">
            <w:r w:rsidRPr="007F61CB">
              <w:rPr>
                <w:rFonts w:cs="Arial"/>
                <w:sz w:val="18"/>
                <w:szCs w:val="18"/>
              </w:rPr>
              <w:t>√</w:t>
            </w:r>
          </w:p>
        </w:tc>
        <w:tc>
          <w:tcPr>
            <w:tcW w:w="644" w:type="dxa"/>
            <w:gridSpan w:val="2"/>
            <w:shd w:val="clear" w:color="auto" w:fill="FFFFFF" w:themeFill="background1"/>
          </w:tcPr>
          <w:p w:rsidR="00083AA5" w:rsidRDefault="00083AA5" w:rsidP="00F343E9">
            <w:r w:rsidRPr="007F61CB">
              <w:rPr>
                <w:rFonts w:cs="Arial"/>
                <w:sz w:val="18"/>
                <w:szCs w:val="18"/>
              </w:rPr>
              <w:t>√</w:t>
            </w:r>
          </w:p>
        </w:tc>
        <w:tc>
          <w:tcPr>
            <w:tcW w:w="644" w:type="dxa"/>
            <w:shd w:val="clear" w:color="auto" w:fill="FFFFFF" w:themeFill="background1"/>
          </w:tcPr>
          <w:p w:rsidR="00083AA5" w:rsidRDefault="00083AA5" w:rsidP="00F343E9">
            <w:r>
              <w:rPr>
                <w:rFonts w:cs="Arial"/>
                <w:sz w:val="18"/>
                <w:szCs w:val="18"/>
              </w:rPr>
              <w:t>√</w:t>
            </w:r>
            <w:r>
              <w:rPr>
                <w:rStyle w:val="EndnoteReference"/>
              </w:rPr>
              <w:endnoteReference w:id="101"/>
            </w:r>
          </w:p>
        </w:tc>
        <w:tc>
          <w:tcPr>
            <w:tcW w:w="643" w:type="dxa"/>
            <w:shd w:val="clear" w:color="auto" w:fill="FFFFFF" w:themeFill="background1"/>
          </w:tcPr>
          <w:p w:rsidR="00083AA5" w:rsidRDefault="00083AA5" w:rsidP="00F343E9">
            <w:r>
              <w:rPr>
                <w:rFonts w:cs="Arial"/>
                <w:sz w:val="18"/>
                <w:szCs w:val="18"/>
              </w:rPr>
              <w:t>√</w:t>
            </w:r>
            <w:r>
              <w:rPr>
                <w:rStyle w:val="EndnoteReference"/>
              </w:rPr>
              <w:endnoteReference w:id="102"/>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103"/>
            </w:r>
          </w:p>
        </w:tc>
        <w:tc>
          <w:tcPr>
            <w:tcW w:w="685" w:type="dxa"/>
            <w:shd w:val="clear" w:color="auto" w:fill="FFFFFF" w:themeFill="background1"/>
          </w:tcPr>
          <w:p w:rsidR="00083AA5" w:rsidRDefault="00083AA5" w:rsidP="00F343E9">
            <w:r>
              <w:rPr>
                <w:rFonts w:cs="Arial"/>
                <w:sz w:val="18"/>
                <w:szCs w:val="18"/>
              </w:rPr>
              <w:t>√</w:t>
            </w:r>
            <w:r>
              <w:rPr>
                <w:rStyle w:val="EndnoteReference"/>
              </w:rPr>
              <w:endnoteReference w:id="104"/>
            </w:r>
          </w:p>
        </w:tc>
        <w:tc>
          <w:tcPr>
            <w:tcW w:w="644" w:type="dxa"/>
            <w:shd w:val="clear" w:color="auto" w:fill="FFFFFF" w:themeFill="background1"/>
          </w:tcPr>
          <w:p w:rsidR="00083AA5" w:rsidRDefault="00083AA5" w:rsidP="00F343E9">
            <w:r w:rsidRPr="00714C27">
              <w:rPr>
                <w:rFonts w:cs="Arial"/>
                <w:sz w:val="18"/>
                <w:szCs w:val="18"/>
              </w:rPr>
              <w:t>√</w:t>
            </w:r>
          </w:p>
        </w:tc>
        <w:tc>
          <w:tcPr>
            <w:tcW w:w="741" w:type="dxa"/>
            <w:shd w:val="clear" w:color="auto" w:fill="FFFFFF" w:themeFill="background1"/>
          </w:tcPr>
          <w:p w:rsidR="00083AA5" w:rsidRDefault="00083AA5" w:rsidP="00F343E9">
            <w:r w:rsidRPr="0059489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PT</w:t>
            </w:r>
          </w:p>
        </w:tc>
        <w:tc>
          <w:tcPr>
            <w:tcW w:w="478"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7F61CB">
              <w:rPr>
                <w:rFonts w:cs="Arial"/>
                <w:sz w:val="18"/>
                <w:szCs w:val="18"/>
              </w:rPr>
              <w:t>√</w:t>
            </w:r>
          </w:p>
        </w:tc>
        <w:tc>
          <w:tcPr>
            <w:tcW w:w="644" w:type="dxa"/>
            <w:shd w:val="clear" w:color="auto" w:fill="FFFFFF" w:themeFill="background1"/>
          </w:tcPr>
          <w:p w:rsidR="00083AA5" w:rsidRDefault="00083AA5" w:rsidP="00F343E9">
            <w:r w:rsidRPr="007F61CB">
              <w:rPr>
                <w:rFonts w:cs="Arial"/>
                <w:sz w:val="18"/>
                <w:szCs w:val="18"/>
              </w:rPr>
              <w:t>√</w:t>
            </w:r>
          </w:p>
        </w:tc>
        <w:tc>
          <w:tcPr>
            <w:tcW w:w="644" w:type="dxa"/>
            <w:gridSpan w:val="2"/>
            <w:shd w:val="clear" w:color="auto" w:fill="FFFFFF" w:themeFill="background1"/>
          </w:tcPr>
          <w:p w:rsidR="00083AA5" w:rsidRDefault="00083AA5" w:rsidP="00F343E9">
            <w:r w:rsidRPr="007F61CB">
              <w:rPr>
                <w:rFonts w:cs="Arial"/>
                <w:sz w:val="18"/>
                <w:szCs w:val="18"/>
              </w:rPr>
              <w:t>√</w:t>
            </w:r>
          </w:p>
        </w:tc>
        <w:tc>
          <w:tcPr>
            <w:tcW w:w="644" w:type="dxa"/>
            <w:shd w:val="clear" w:color="auto" w:fill="FFFFFF" w:themeFill="background1"/>
          </w:tcPr>
          <w:p w:rsidR="00083AA5" w:rsidRDefault="00083AA5" w:rsidP="00F343E9">
            <w:r>
              <w:rPr>
                <w:rFonts w:cs="Arial"/>
                <w:sz w:val="18"/>
                <w:szCs w:val="18"/>
              </w:rPr>
              <w:t>√</w:t>
            </w:r>
            <w:r>
              <w:rPr>
                <w:rStyle w:val="EndnoteReference"/>
              </w:rPr>
              <w:endnoteReference w:id="105"/>
            </w:r>
          </w:p>
        </w:tc>
        <w:tc>
          <w:tcPr>
            <w:tcW w:w="643" w:type="dxa"/>
            <w:shd w:val="clear" w:color="auto" w:fill="FFFFFF" w:themeFill="background1"/>
          </w:tcPr>
          <w:p w:rsidR="00083AA5" w:rsidRDefault="00083AA5" w:rsidP="00F343E9">
            <w:r>
              <w:rPr>
                <w:rFonts w:cs="Arial"/>
                <w:sz w:val="18"/>
                <w:szCs w:val="18"/>
              </w:rPr>
              <w:t>√</w:t>
            </w:r>
            <w:r>
              <w:rPr>
                <w:rStyle w:val="EndnoteReference"/>
              </w:rPr>
              <w:endnoteReference w:id="106"/>
            </w:r>
          </w:p>
        </w:tc>
        <w:tc>
          <w:tcPr>
            <w:tcW w:w="603" w:type="dxa"/>
            <w:gridSpan w:val="2"/>
            <w:shd w:val="clear" w:color="auto" w:fill="FFFFFF" w:themeFill="background1"/>
          </w:tcPr>
          <w:p w:rsidR="00083AA5" w:rsidRDefault="00083AA5" w:rsidP="00F343E9">
            <w:r>
              <w:rPr>
                <w:rFonts w:cs="Arial"/>
                <w:sz w:val="18"/>
                <w:szCs w:val="18"/>
              </w:rPr>
              <w:t>√</w:t>
            </w:r>
            <w:r>
              <w:rPr>
                <w:rStyle w:val="EndnoteReference"/>
              </w:rPr>
              <w:endnoteReference w:id="107"/>
            </w:r>
          </w:p>
        </w:tc>
        <w:tc>
          <w:tcPr>
            <w:tcW w:w="685" w:type="dxa"/>
            <w:shd w:val="clear" w:color="auto" w:fill="FFFFFF" w:themeFill="background1"/>
          </w:tcPr>
          <w:p w:rsidR="00083AA5" w:rsidRDefault="00083AA5" w:rsidP="00F343E9">
            <w:r w:rsidRPr="00BA6253">
              <w:rPr>
                <w:rFonts w:cs="Arial"/>
                <w:sz w:val="18"/>
                <w:szCs w:val="18"/>
              </w:rPr>
              <w:t>√</w:t>
            </w:r>
          </w:p>
        </w:tc>
        <w:tc>
          <w:tcPr>
            <w:tcW w:w="644" w:type="dxa"/>
            <w:shd w:val="clear" w:color="auto" w:fill="FFFFFF" w:themeFill="background1"/>
          </w:tcPr>
          <w:p w:rsidR="00083AA5" w:rsidRDefault="00083AA5" w:rsidP="00F343E9">
            <w:r w:rsidRPr="00714C27">
              <w:rPr>
                <w:rFonts w:cs="Arial"/>
                <w:sz w:val="18"/>
                <w:szCs w:val="18"/>
              </w:rPr>
              <w:t>√</w:t>
            </w:r>
          </w:p>
        </w:tc>
        <w:tc>
          <w:tcPr>
            <w:tcW w:w="741" w:type="dxa"/>
            <w:shd w:val="clear" w:color="auto" w:fill="FFFFFF" w:themeFill="background1"/>
          </w:tcPr>
          <w:p w:rsidR="00083AA5" w:rsidRDefault="00083AA5" w:rsidP="00F343E9">
            <w:r w:rsidRPr="0059489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RO</w:t>
            </w:r>
          </w:p>
        </w:tc>
        <w:tc>
          <w:tcPr>
            <w:tcW w:w="478"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4" w:type="dxa"/>
            <w:shd w:val="clear" w:color="auto" w:fill="FFFFFF" w:themeFill="background1"/>
          </w:tcPr>
          <w:p w:rsidR="00083AA5" w:rsidRDefault="00083AA5" w:rsidP="00F343E9">
            <w:r w:rsidRPr="00205E72">
              <w:rPr>
                <w:rFonts w:cs="Arial"/>
                <w:sz w:val="18"/>
                <w:szCs w:val="18"/>
              </w:rPr>
              <w:t>√</w:t>
            </w:r>
          </w:p>
        </w:tc>
        <w:tc>
          <w:tcPr>
            <w:tcW w:w="643" w:type="dxa"/>
            <w:shd w:val="clear" w:color="auto" w:fill="FFFFFF" w:themeFill="background1"/>
          </w:tcPr>
          <w:p w:rsidR="00083AA5" w:rsidRDefault="00083AA5" w:rsidP="00F343E9">
            <w:r w:rsidRPr="007F61CB">
              <w:rPr>
                <w:rFonts w:cs="Arial"/>
                <w:sz w:val="18"/>
                <w:szCs w:val="18"/>
              </w:rPr>
              <w:t>√</w:t>
            </w:r>
          </w:p>
        </w:tc>
        <w:tc>
          <w:tcPr>
            <w:tcW w:w="644" w:type="dxa"/>
            <w:shd w:val="clear" w:color="auto" w:fill="FFFFFF" w:themeFill="background1"/>
          </w:tcPr>
          <w:p w:rsidR="00083AA5" w:rsidRDefault="00083AA5" w:rsidP="00F343E9">
            <w:r w:rsidRPr="007F61CB">
              <w:rPr>
                <w:rFonts w:cs="Arial"/>
                <w:sz w:val="18"/>
                <w:szCs w:val="18"/>
              </w:rPr>
              <w:t>√</w:t>
            </w:r>
          </w:p>
        </w:tc>
        <w:tc>
          <w:tcPr>
            <w:tcW w:w="644" w:type="dxa"/>
            <w:gridSpan w:val="2"/>
            <w:shd w:val="clear" w:color="auto" w:fill="FFFFFF" w:themeFill="background1"/>
          </w:tcPr>
          <w:p w:rsidR="00083AA5" w:rsidRDefault="00083AA5" w:rsidP="00F343E9">
            <w:r w:rsidRPr="007F61CB">
              <w:rPr>
                <w:rFonts w:cs="Arial"/>
                <w:sz w:val="18"/>
                <w:szCs w:val="18"/>
              </w:rPr>
              <w:t>√</w:t>
            </w:r>
          </w:p>
        </w:tc>
        <w:tc>
          <w:tcPr>
            <w:tcW w:w="644" w:type="dxa"/>
            <w:shd w:val="clear" w:color="auto" w:fill="FFFFFF" w:themeFill="background1"/>
          </w:tcPr>
          <w:p w:rsidR="00083AA5" w:rsidRDefault="00083AA5" w:rsidP="00F343E9">
            <w:r w:rsidRPr="00BE7BB9">
              <w:rPr>
                <w:rFonts w:cs="Arial"/>
                <w:sz w:val="18"/>
                <w:szCs w:val="18"/>
              </w:rPr>
              <w:t>√</w:t>
            </w:r>
          </w:p>
        </w:tc>
        <w:tc>
          <w:tcPr>
            <w:tcW w:w="643" w:type="dxa"/>
            <w:shd w:val="clear" w:color="auto" w:fill="FFFFFF" w:themeFill="background1"/>
          </w:tcPr>
          <w:p w:rsidR="00083AA5" w:rsidRDefault="00083AA5" w:rsidP="00F343E9">
            <w:r w:rsidRPr="00BE7BB9">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BA6253">
              <w:rPr>
                <w:rFonts w:cs="Arial"/>
                <w:sz w:val="18"/>
                <w:szCs w:val="18"/>
              </w:rPr>
              <w:t>√</w:t>
            </w:r>
          </w:p>
        </w:tc>
        <w:tc>
          <w:tcPr>
            <w:tcW w:w="644" w:type="dxa"/>
            <w:shd w:val="clear" w:color="auto" w:fill="FFFFFF" w:themeFill="background1"/>
          </w:tcPr>
          <w:p w:rsidR="00083AA5" w:rsidRDefault="00083AA5" w:rsidP="00F343E9">
            <w:r w:rsidRPr="00714C27">
              <w:rPr>
                <w:rFonts w:cs="Arial"/>
                <w:sz w:val="18"/>
                <w:szCs w:val="18"/>
              </w:rPr>
              <w:t>√</w:t>
            </w:r>
          </w:p>
        </w:tc>
        <w:tc>
          <w:tcPr>
            <w:tcW w:w="741" w:type="dxa"/>
            <w:shd w:val="clear" w:color="auto" w:fill="FFFFFF" w:themeFill="background1"/>
          </w:tcPr>
          <w:p w:rsidR="00083AA5" w:rsidRDefault="00083AA5" w:rsidP="00F343E9">
            <w:r w:rsidRPr="0059489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SE</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FFFFFF" w:themeFill="background1"/>
          </w:tcPr>
          <w:p w:rsidR="00083AA5" w:rsidRDefault="00083AA5" w:rsidP="00F343E9">
            <w:r w:rsidRPr="001348AE">
              <w:rPr>
                <w:rFonts w:cs="Arial"/>
                <w:sz w:val="18"/>
                <w:szCs w:val="18"/>
              </w:rPr>
              <w:t>√</w:t>
            </w:r>
          </w:p>
        </w:tc>
        <w:tc>
          <w:tcPr>
            <w:tcW w:w="643" w:type="dxa"/>
            <w:shd w:val="clear" w:color="auto" w:fill="FFFFFF" w:themeFill="background1"/>
          </w:tcPr>
          <w:p w:rsidR="00083AA5" w:rsidRDefault="00083AA5" w:rsidP="00F343E9">
            <w:r w:rsidRPr="001348AE">
              <w:rPr>
                <w:rFonts w:cs="Arial"/>
                <w:sz w:val="18"/>
                <w:szCs w:val="18"/>
              </w:rPr>
              <w:t>√</w:t>
            </w:r>
          </w:p>
        </w:tc>
        <w:tc>
          <w:tcPr>
            <w:tcW w:w="644" w:type="dxa"/>
            <w:shd w:val="clear" w:color="auto" w:fill="FFFFFF" w:themeFill="background1"/>
          </w:tcPr>
          <w:p w:rsidR="00083AA5" w:rsidRDefault="00083AA5" w:rsidP="00F343E9">
            <w:r w:rsidRPr="001348AE">
              <w:rPr>
                <w:rFonts w:cs="Arial"/>
                <w:sz w:val="18"/>
                <w:szCs w:val="18"/>
              </w:rPr>
              <w:t>√</w:t>
            </w:r>
          </w:p>
        </w:tc>
        <w:tc>
          <w:tcPr>
            <w:tcW w:w="644" w:type="dxa"/>
            <w:shd w:val="clear" w:color="auto" w:fill="FFFFFF" w:themeFill="background1"/>
          </w:tcPr>
          <w:p w:rsidR="00083AA5" w:rsidRDefault="00083AA5" w:rsidP="00F343E9">
            <w:r w:rsidRPr="001348AE">
              <w:rPr>
                <w:rFonts w:cs="Arial"/>
                <w:sz w:val="18"/>
                <w:szCs w:val="18"/>
              </w:rPr>
              <w:t>√</w:t>
            </w:r>
          </w:p>
        </w:tc>
        <w:tc>
          <w:tcPr>
            <w:tcW w:w="644" w:type="dxa"/>
            <w:shd w:val="clear" w:color="auto" w:fill="FFFFFF" w:themeFill="background1"/>
          </w:tcPr>
          <w:p w:rsidR="00083AA5" w:rsidRDefault="00083AA5" w:rsidP="00F343E9">
            <w:r w:rsidRPr="001348AE">
              <w:rPr>
                <w:rFonts w:cs="Arial"/>
                <w:sz w:val="18"/>
                <w:szCs w:val="18"/>
              </w:rPr>
              <w:t>√</w:t>
            </w:r>
          </w:p>
        </w:tc>
        <w:tc>
          <w:tcPr>
            <w:tcW w:w="643" w:type="dxa"/>
            <w:shd w:val="clear" w:color="auto" w:fill="FFFFFF" w:themeFill="background1"/>
          </w:tcPr>
          <w:p w:rsidR="00083AA5" w:rsidRDefault="00083AA5" w:rsidP="00F343E9">
            <w:r w:rsidRPr="001348AE">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FFFFFF" w:themeFill="background1"/>
          </w:tcPr>
          <w:p w:rsidR="00083AA5" w:rsidRDefault="00083AA5" w:rsidP="00F343E9">
            <w:r>
              <w:rPr>
                <w:rFonts w:cs="Arial"/>
                <w:sz w:val="18"/>
                <w:szCs w:val="18"/>
              </w:rPr>
              <w:t>√</w:t>
            </w:r>
          </w:p>
        </w:tc>
        <w:tc>
          <w:tcPr>
            <w:tcW w:w="644" w:type="dxa"/>
            <w:shd w:val="clear" w:color="auto" w:fill="FFFFFF" w:themeFill="background1"/>
          </w:tcPr>
          <w:p w:rsidR="00083AA5" w:rsidRDefault="00083AA5" w:rsidP="00F343E9">
            <w:r w:rsidRPr="00BE7BB9">
              <w:rPr>
                <w:rFonts w:cs="Arial"/>
                <w:sz w:val="18"/>
                <w:szCs w:val="18"/>
              </w:rPr>
              <w:t>√</w:t>
            </w:r>
          </w:p>
        </w:tc>
        <w:tc>
          <w:tcPr>
            <w:tcW w:w="643" w:type="dxa"/>
            <w:shd w:val="clear" w:color="auto" w:fill="FFFFFF" w:themeFill="background1"/>
          </w:tcPr>
          <w:p w:rsidR="00083AA5" w:rsidRDefault="00083AA5" w:rsidP="00F343E9">
            <w:r w:rsidRPr="00BE7BB9">
              <w:rPr>
                <w:rFonts w:cs="Arial"/>
                <w:sz w:val="18"/>
                <w:szCs w:val="18"/>
              </w:rPr>
              <w:t>√</w:t>
            </w:r>
          </w:p>
        </w:tc>
        <w:tc>
          <w:tcPr>
            <w:tcW w:w="603" w:type="dxa"/>
            <w:gridSpan w:val="2"/>
            <w:shd w:val="clear" w:color="auto" w:fill="D9D9D9" w:themeFill="background1" w:themeFillShade="D9"/>
          </w:tcPr>
          <w:p w:rsidR="00083AA5" w:rsidRDefault="00083AA5" w:rsidP="00F343E9"/>
        </w:tc>
        <w:tc>
          <w:tcPr>
            <w:tcW w:w="685" w:type="dxa"/>
            <w:shd w:val="clear" w:color="auto" w:fill="FFFFFF" w:themeFill="background1"/>
          </w:tcPr>
          <w:p w:rsidR="00083AA5" w:rsidRDefault="00083AA5" w:rsidP="00F343E9">
            <w:r w:rsidRPr="00BA6253">
              <w:rPr>
                <w:rFonts w:cs="Arial"/>
                <w:sz w:val="18"/>
                <w:szCs w:val="18"/>
              </w:rPr>
              <w:t>√</w:t>
            </w:r>
          </w:p>
        </w:tc>
        <w:tc>
          <w:tcPr>
            <w:tcW w:w="644" w:type="dxa"/>
            <w:shd w:val="clear" w:color="auto" w:fill="FFFFFF" w:themeFill="background1"/>
          </w:tcPr>
          <w:p w:rsidR="00083AA5" w:rsidRDefault="00083AA5" w:rsidP="00F343E9">
            <w:r w:rsidRPr="00714C27">
              <w:rPr>
                <w:rFonts w:cs="Arial"/>
                <w:sz w:val="18"/>
                <w:szCs w:val="18"/>
              </w:rPr>
              <w:t>√</w:t>
            </w:r>
          </w:p>
        </w:tc>
        <w:tc>
          <w:tcPr>
            <w:tcW w:w="741" w:type="dxa"/>
            <w:shd w:val="clear" w:color="auto" w:fill="FFFFFF" w:themeFill="background1"/>
          </w:tcPr>
          <w:p w:rsidR="00083AA5" w:rsidRDefault="00083AA5" w:rsidP="00F343E9">
            <w:r w:rsidRPr="00594893">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SI</w:t>
            </w:r>
          </w:p>
        </w:tc>
        <w:tc>
          <w:tcPr>
            <w:tcW w:w="478" w:type="dxa"/>
            <w:shd w:val="clear" w:color="auto" w:fill="FFFFFF" w:themeFill="background1"/>
          </w:tcPr>
          <w:p w:rsidR="00083AA5" w:rsidRPr="00E217F3" w:rsidRDefault="00083AA5" w:rsidP="00F343E9">
            <w:pPr>
              <w:rPr>
                <w:sz w:val="18"/>
                <w:szCs w:val="18"/>
              </w:rPr>
            </w:pPr>
            <w:r>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BE7BB9">
              <w:rPr>
                <w:rFonts w:cs="Arial"/>
                <w:sz w:val="18"/>
                <w:szCs w:val="18"/>
              </w:rPr>
              <w:t>√</w:t>
            </w:r>
          </w:p>
        </w:tc>
        <w:tc>
          <w:tcPr>
            <w:tcW w:w="643" w:type="dxa"/>
            <w:shd w:val="clear" w:color="auto" w:fill="FFFFFF" w:themeFill="background1"/>
          </w:tcPr>
          <w:p w:rsidR="00083AA5" w:rsidRDefault="00083AA5" w:rsidP="00F343E9">
            <w:r w:rsidRPr="00BE7BB9">
              <w:rPr>
                <w:rFonts w:cs="Arial"/>
                <w:sz w:val="18"/>
                <w:szCs w:val="18"/>
              </w:rPr>
              <w:t>√</w:t>
            </w:r>
          </w:p>
        </w:tc>
        <w:tc>
          <w:tcPr>
            <w:tcW w:w="603" w:type="dxa"/>
            <w:gridSpan w:val="2"/>
            <w:shd w:val="clear" w:color="auto" w:fill="FFFFFF" w:themeFill="background1"/>
          </w:tcPr>
          <w:p w:rsidR="00083AA5" w:rsidRDefault="00083AA5" w:rsidP="00F343E9">
            <w:r>
              <w:rPr>
                <w:rFonts w:cs="Arial"/>
                <w:sz w:val="18"/>
                <w:szCs w:val="18"/>
              </w:rPr>
              <w:t>√</w:t>
            </w:r>
          </w:p>
        </w:tc>
        <w:tc>
          <w:tcPr>
            <w:tcW w:w="685" w:type="dxa"/>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714C27">
              <w:rPr>
                <w:rFonts w:cs="Arial"/>
                <w:sz w:val="18"/>
                <w:szCs w:val="18"/>
              </w:rPr>
              <w:t>√</w:t>
            </w:r>
          </w:p>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SK</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643" w:type="dxa"/>
            <w:shd w:val="clear" w:color="auto" w:fill="D9D9D9" w:themeFill="background1" w:themeFillShade="D9"/>
          </w:tcPr>
          <w:p w:rsidR="00083AA5" w:rsidRDefault="00083AA5" w:rsidP="00F343E9"/>
        </w:tc>
        <w:tc>
          <w:tcPr>
            <w:tcW w:w="603" w:type="dxa"/>
            <w:gridSpan w:val="2"/>
            <w:shd w:val="clear" w:color="auto" w:fill="D9D9D9" w:themeFill="background1" w:themeFillShade="D9"/>
          </w:tcPr>
          <w:p w:rsidR="00083AA5" w:rsidRDefault="00083AA5" w:rsidP="00F343E9"/>
        </w:tc>
        <w:tc>
          <w:tcPr>
            <w:tcW w:w="685" w:type="dxa"/>
            <w:shd w:val="clear" w:color="auto" w:fill="D9D9D9" w:themeFill="background1" w:themeFillShade="D9"/>
          </w:tcPr>
          <w:p w:rsidR="00083AA5" w:rsidRDefault="00083AA5" w:rsidP="00F343E9"/>
        </w:tc>
        <w:tc>
          <w:tcPr>
            <w:tcW w:w="644" w:type="dxa"/>
            <w:shd w:val="clear" w:color="auto" w:fill="D9D9D9" w:themeFill="background1" w:themeFillShade="D9"/>
          </w:tcPr>
          <w:p w:rsidR="00083AA5" w:rsidRDefault="00083AA5" w:rsidP="00F343E9"/>
        </w:tc>
        <w:tc>
          <w:tcPr>
            <w:tcW w:w="741" w:type="dxa"/>
            <w:shd w:val="clear" w:color="auto" w:fill="D9D9D9" w:themeFill="background1" w:themeFillShade="D9"/>
          </w:tcPr>
          <w:p w:rsidR="00083AA5" w:rsidRDefault="00083AA5" w:rsidP="00F343E9"/>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UK-E&amp;W</w:t>
            </w:r>
          </w:p>
        </w:tc>
        <w:tc>
          <w:tcPr>
            <w:tcW w:w="478" w:type="dxa"/>
            <w:shd w:val="clear" w:color="auto" w:fill="FFFFFF" w:themeFill="background1"/>
          </w:tcPr>
          <w:p w:rsidR="00083AA5" w:rsidRDefault="00083AA5" w:rsidP="00F343E9">
            <w:r w:rsidRPr="001A29A4">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FFFFFF" w:themeFill="background1"/>
          </w:tcPr>
          <w:p w:rsidR="00083AA5" w:rsidRDefault="00083AA5" w:rsidP="00F343E9">
            <w:r w:rsidRPr="00015B07">
              <w:rPr>
                <w:rFonts w:cs="Arial"/>
                <w:sz w:val="18"/>
                <w:szCs w:val="18"/>
              </w:rPr>
              <w:t>√</w:t>
            </w: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1C668F">
              <w:rPr>
                <w:rFonts w:cs="Arial"/>
                <w:sz w:val="18"/>
                <w:szCs w:val="18"/>
              </w:rPr>
              <w:t>√</w:t>
            </w:r>
          </w:p>
        </w:tc>
        <w:tc>
          <w:tcPr>
            <w:tcW w:w="643" w:type="dxa"/>
            <w:shd w:val="clear" w:color="auto" w:fill="FFFFFF" w:themeFill="background1"/>
          </w:tcPr>
          <w:p w:rsidR="00083AA5" w:rsidRDefault="00083AA5" w:rsidP="00F343E9">
            <w:r w:rsidRPr="001C668F">
              <w:rPr>
                <w:rFonts w:cs="Arial"/>
                <w:sz w:val="18"/>
                <w:szCs w:val="18"/>
              </w:rPr>
              <w:t>√</w:t>
            </w:r>
          </w:p>
        </w:tc>
        <w:tc>
          <w:tcPr>
            <w:tcW w:w="603" w:type="dxa"/>
            <w:gridSpan w:val="2"/>
            <w:shd w:val="clear" w:color="auto" w:fill="FFFFFF" w:themeFill="background1"/>
          </w:tcPr>
          <w:p w:rsidR="00083AA5" w:rsidRDefault="00083AA5" w:rsidP="00F343E9">
            <w:r w:rsidRPr="001C668F">
              <w:rPr>
                <w:rFonts w:cs="Arial"/>
                <w:sz w:val="18"/>
                <w:szCs w:val="18"/>
              </w:rPr>
              <w:t>√</w:t>
            </w:r>
          </w:p>
        </w:tc>
        <w:tc>
          <w:tcPr>
            <w:tcW w:w="685" w:type="dxa"/>
            <w:shd w:val="clear" w:color="auto" w:fill="FFFFFF" w:themeFill="background1"/>
          </w:tcPr>
          <w:p w:rsidR="00083AA5" w:rsidRDefault="00083AA5" w:rsidP="00F343E9">
            <w:r w:rsidRPr="001C668F">
              <w:rPr>
                <w:rFonts w:cs="Arial"/>
                <w:sz w:val="18"/>
                <w:szCs w:val="18"/>
              </w:rPr>
              <w:t>√</w:t>
            </w:r>
          </w:p>
        </w:tc>
        <w:tc>
          <w:tcPr>
            <w:tcW w:w="644" w:type="dxa"/>
            <w:shd w:val="clear" w:color="auto" w:fill="FFFFFF" w:themeFill="background1"/>
          </w:tcPr>
          <w:p w:rsidR="00083AA5" w:rsidRDefault="00083AA5" w:rsidP="00F343E9">
            <w:r w:rsidRPr="001C668F">
              <w:rPr>
                <w:rFonts w:cs="Arial"/>
                <w:sz w:val="18"/>
                <w:szCs w:val="18"/>
              </w:rPr>
              <w:t>√</w:t>
            </w:r>
          </w:p>
        </w:tc>
        <w:tc>
          <w:tcPr>
            <w:tcW w:w="741" w:type="dxa"/>
            <w:shd w:val="clear" w:color="auto" w:fill="FFFFFF" w:themeFill="background1"/>
          </w:tcPr>
          <w:p w:rsidR="00083AA5" w:rsidRDefault="00083AA5" w:rsidP="00F343E9">
            <w:r w:rsidRPr="001C668F">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731E82" w:rsidRDefault="00083AA5" w:rsidP="00F343E9">
            <w:pPr>
              <w:pStyle w:val="BTBullet1"/>
              <w:numPr>
                <w:ilvl w:val="0"/>
                <w:numId w:val="0"/>
              </w:numPr>
              <w:rPr>
                <w:b/>
                <w:sz w:val="16"/>
                <w:szCs w:val="16"/>
              </w:rPr>
            </w:pPr>
            <w:r w:rsidRPr="00731E82">
              <w:rPr>
                <w:b/>
                <w:sz w:val="16"/>
                <w:szCs w:val="16"/>
              </w:rPr>
              <w:t>UK-NI</w:t>
            </w:r>
          </w:p>
        </w:tc>
        <w:tc>
          <w:tcPr>
            <w:tcW w:w="478" w:type="dxa"/>
            <w:shd w:val="clear" w:color="auto" w:fill="FFFFFF" w:themeFill="background1"/>
          </w:tcPr>
          <w:p w:rsidR="00083AA5" w:rsidRDefault="00083AA5" w:rsidP="00F343E9">
            <w:r w:rsidRPr="001A29A4">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FFFFFF" w:themeFill="background1"/>
          </w:tcPr>
          <w:p w:rsidR="00083AA5" w:rsidRDefault="00083AA5" w:rsidP="00F343E9">
            <w:r w:rsidRPr="00015B07">
              <w:rPr>
                <w:rFonts w:cs="Arial"/>
                <w:sz w:val="18"/>
                <w:szCs w:val="18"/>
              </w:rPr>
              <w:t>√</w:t>
            </w: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1C668F">
              <w:rPr>
                <w:rFonts w:cs="Arial"/>
                <w:sz w:val="18"/>
                <w:szCs w:val="18"/>
              </w:rPr>
              <w:t>√</w:t>
            </w:r>
          </w:p>
        </w:tc>
        <w:tc>
          <w:tcPr>
            <w:tcW w:w="643" w:type="dxa"/>
            <w:shd w:val="clear" w:color="auto" w:fill="FFFFFF" w:themeFill="background1"/>
          </w:tcPr>
          <w:p w:rsidR="00083AA5" w:rsidRDefault="00083AA5" w:rsidP="00F343E9">
            <w:r w:rsidRPr="001C668F">
              <w:rPr>
                <w:rFonts w:cs="Arial"/>
                <w:sz w:val="18"/>
                <w:szCs w:val="18"/>
              </w:rPr>
              <w:t>√</w:t>
            </w:r>
          </w:p>
        </w:tc>
        <w:tc>
          <w:tcPr>
            <w:tcW w:w="603" w:type="dxa"/>
            <w:gridSpan w:val="2"/>
            <w:shd w:val="clear" w:color="auto" w:fill="FFFFFF" w:themeFill="background1"/>
          </w:tcPr>
          <w:p w:rsidR="00083AA5" w:rsidRDefault="00083AA5" w:rsidP="00F343E9">
            <w:r w:rsidRPr="001C668F">
              <w:rPr>
                <w:rFonts w:cs="Arial"/>
                <w:sz w:val="18"/>
                <w:szCs w:val="18"/>
              </w:rPr>
              <w:t>√</w:t>
            </w:r>
          </w:p>
        </w:tc>
        <w:tc>
          <w:tcPr>
            <w:tcW w:w="685" w:type="dxa"/>
            <w:shd w:val="clear" w:color="auto" w:fill="FFFFFF" w:themeFill="background1"/>
          </w:tcPr>
          <w:p w:rsidR="00083AA5" w:rsidRDefault="00083AA5" w:rsidP="00F343E9">
            <w:r w:rsidRPr="001C668F">
              <w:rPr>
                <w:rFonts w:cs="Arial"/>
                <w:sz w:val="18"/>
                <w:szCs w:val="18"/>
              </w:rPr>
              <w:t>√</w:t>
            </w:r>
          </w:p>
        </w:tc>
        <w:tc>
          <w:tcPr>
            <w:tcW w:w="644" w:type="dxa"/>
            <w:shd w:val="clear" w:color="auto" w:fill="FFFFFF" w:themeFill="background1"/>
          </w:tcPr>
          <w:p w:rsidR="00083AA5" w:rsidRDefault="00083AA5" w:rsidP="00F343E9">
            <w:r w:rsidRPr="001C668F">
              <w:rPr>
                <w:rFonts w:cs="Arial"/>
                <w:sz w:val="18"/>
                <w:szCs w:val="18"/>
              </w:rPr>
              <w:t>√</w:t>
            </w:r>
          </w:p>
        </w:tc>
        <w:tc>
          <w:tcPr>
            <w:tcW w:w="741" w:type="dxa"/>
            <w:shd w:val="clear" w:color="auto" w:fill="FFFFFF" w:themeFill="background1"/>
          </w:tcPr>
          <w:p w:rsidR="00083AA5" w:rsidRDefault="00083AA5" w:rsidP="00F343E9">
            <w:r w:rsidRPr="001C668F">
              <w:rPr>
                <w:rFonts w:cs="Arial"/>
                <w:sz w:val="18"/>
                <w:szCs w:val="18"/>
              </w:rPr>
              <w:t>√</w:t>
            </w:r>
          </w:p>
        </w:tc>
      </w:tr>
      <w:tr w:rsidR="00083AA5" w:rsidTr="00731E82">
        <w:trPr>
          <w:gridAfter w:val="1"/>
          <w:wAfter w:w="28" w:type="dxa"/>
          <w:trHeight w:hRule="exact" w:val="288"/>
          <w:jc w:val="center"/>
        </w:trPr>
        <w:tc>
          <w:tcPr>
            <w:tcW w:w="930" w:type="dxa"/>
            <w:shd w:val="clear" w:color="auto" w:fill="DBE5F1" w:themeFill="accent1" w:themeFillTint="33"/>
          </w:tcPr>
          <w:p w:rsidR="00083AA5" w:rsidRPr="005C1607" w:rsidRDefault="00CD7610" w:rsidP="00F343E9">
            <w:pPr>
              <w:pStyle w:val="BTBullet1"/>
              <w:numPr>
                <w:ilvl w:val="0"/>
                <w:numId w:val="0"/>
              </w:numPr>
              <w:rPr>
                <w:sz w:val="16"/>
                <w:szCs w:val="16"/>
              </w:rPr>
            </w:pPr>
            <w:r>
              <w:rPr>
                <w:sz w:val="16"/>
                <w:szCs w:val="16"/>
              </w:rPr>
              <w:t>UK-S</w:t>
            </w:r>
          </w:p>
        </w:tc>
        <w:tc>
          <w:tcPr>
            <w:tcW w:w="478"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FFFFFF" w:themeFill="background1"/>
          </w:tcPr>
          <w:p w:rsidR="00083AA5" w:rsidRDefault="00083AA5" w:rsidP="00F343E9">
            <w:r w:rsidRPr="002B6FE0">
              <w:rPr>
                <w:rFonts w:cs="Arial"/>
                <w:sz w:val="18"/>
                <w:szCs w:val="18"/>
              </w:rPr>
              <w:t>√</w:t>
            </w:r>
          </w:p>
        </w:tc>
        <w:tc>
          <w:tcPr>
            <w:tcW w:w="644" w:type="dxa"/>
            <w:shd w:val="clear" w:color="auto" w:fill="FFFFFF" w:themeFill="background1"/>
          </w:tcPr>
          <w:p w:rsidR="00083AA5" w:rsidRDefault="00083AA5" w:rsidP="00F343E9">
            <w:r w:rsidRPr="002B6FE0">
              <w:rPr>
                <w:rFonts w:cs="Arial"/>
                <w:sz w:val="18"/>
                <w:szCs w:val="18"/>
              </w:rPr>
              <w:t>√</w:t>
            </w:r>
          </w:p>
        </w:tc>
        <w:tc>
          <w:tcPr>
            <w:tcW w:w="644" w:type="dxa"/>
            <w:shd w:val="clear" w:color="auto" w:fill="D9D9D9" w:themeFill="background1" w:themeFillShade="D9"/>
          </w:tcPr>
          <w:p w:rsidR="00083AA5" w:rsidRPr="00E217F3" w:rsidRDefault="00083AA5" w:rsidP="00F343E9">
            <w:pPr>
              <w:rPr>
                <w:sz w:val="18"/>
                <w:szCs w:val="18"/>
              </w:rPr>
            </w:pPr>
          </w:p>
        </w:tc>
        <w:tc>
          <w:tcPr>
            <w:tcW w:w="643" w:type="dxa"/>
            <w:shd w:val="clear" w:color="auto" w:fill="D9D9D9" w:themeFill="background1" w:themeFillShade="D9"/>
          </w:tcPr>
          <w:p w:rsidR="00083AA5" w:rsidRPr="00E217F3" w:rsidRDefault="00083AA5" w:rsidP="00F343E9">
            <w:pPr>
              <w:rPr>
                <w:sz w:val="18"/>
                <w:szCs w:val="18"/>
              </w:rPr>
            </w:pPr>
          </w:p>
        </w:tc>
        <w:tc>
          <w:tcPr>
            <w:tcW w:w="644" w:type="dxa"/>
            <w:shd w:val="clear" w:color="auto" w:fill="D9D9D9" w:themeFill="background1" w:themeFillShade="D9"/>
          </w:tcPr>
          <w:p w:rsidR="00083AA5" w:rsidRPr="00E217F3" w:rsidRDefault="00083AA5" w:rsidP="00F343E9">
            <w:pPr>
              <w:rPr>
                <w:sz w:val="18"/>
                <w:szCs w:val="18"/>
              </w:rPr>
            </w:pPr>
          </w:p>
        </w:tc>
        <w:tc>
          <w:tcPr>
            <w:tcW w:w="644" w:type="dxa"/>
            <w:gridSpan w:val="2"/>
            <w:shd w:val="clear" w:color="auto" w:fill="D9D9D9" w:themeFill="background1" w:themeFillShade="D9"/>
          </w:tcPr>
          <w:p w:rsidR="00083AA5" w:rsidRDefault="00083AA5" w:rsidP="00F343E9"/>
        </w:tc>
        <w:tc>
          <w:tcPr>
            <w:tcW w:w="644" w:type="dxa"/>
            <w:shd w:val="clear" w:color="auto" w:fill="FFFFFF" w:themeFill="background1"/>
          </w:tcPr>
          <w:p w:rsidR="00083AA5" w:rsidRDefault="00083AA5" w:rsidP="00F343E9">
            <w:r w:rsidRPr="001C668F">
              <w:rPr>
                <w:rFonts w:cs="Arial"/>
                <w:sz w:val="18"/>
                <w:szCs w:val="18"/>
              </w:rPr>
              <w:t>√</w:t>
            </w:r>
          </w:p>
        </w:tc>
        <w:tc>
          <w:tcPr>
            <w:tcW w:w="643" w:type="dxa"/>
            <w:shd w:val="clear" w:color="auto" w:fill="FFFFFF" w:themeFill="background1"/>
          </w:tcPr>
          <w:p w:rsidR="00083AA5" w:rsidRDefault="00083AA5" w:rsidP="00F343E9">
            <w:r w:rsidRPr="001C668F">
              <w:rPr>
                <w:rFonts w:cs="Arial"/>
                <w:sz w:val="18"/>
                <w:szCs w:val="18"/>
              </w:rPr>
              <w:t>√</w:t>
            </w:r>
          </w:p>
        </w:tc>
        <w:tc>
          <w:tcPr>
            <w:tcW w:w="603" w:type="dxa"/>
            <w:gridSpan w:val="2"/>
            <w:shd w:val="clear" w:color="auto" w:fill="FFFFFF" w:themeFill="background1"/>
          </w:tcPr>
          <w:p w:rsidR="00083AA5" w:rsidRDefault="00083AA5" w:rsidP="00F343E9">
            <w:r w:rsidRPr="001C668F">
              <w:rPr>
                <w:rFonts w:cs="Arial"/>
                <w:sz w:val="18"/>
                <w:szCs w:val="18"/>
              </w:rPr>
              <w:t>√</w:t>
            </w:r>
          </w:p>
        </w:tc>
        <w:tc>
          <w:tcPr>
            <w:tcW w:w="685" w:type="dxa"/>
            <w:shd w:val="clear" w:color="auto" w:fill="FFFFFF" w:themeFill="background1"/>
          </w:tcPr>
          <w:p w:rsidR="00083AA5" w:rsidRDefault="00083AA5" w:rsidP="00F343E9">
            <w:r w:rsidRPr="001C668F">
              <w:rPr>
                <w:rFonts w:cs="Arial"/>
                <w:sz w:val="18"/>
                <w:szCs w:val="18"/>
              </w:rPr>
              <w:t>√</w:t>
            </w:r>
          </w:p>
        </w:tc>
        <w:tc>
          <w:tcPr>
            <w:tcW w:w="644" w:type="dxa"/>
            <w:shd w:val="clear" w:color="auto" w:fill="FFFFFF" w:themeFill="background1"/>
          </w:tcPr>
          <w:p w:rsidR="00083AA5" w:rsidRDefault="00083AA5" w:rsidP="00F343E9">
            <w:r w:rsidRPr="001C668F">
              <w:rPr>
                <w:rFonts w:cs="Arial"/>
                <w:sz w:val="18"/>
                <w:szCs w:val="18"/>
              </w:rPr>
              <w:t>√</w:t>
            </w:r>
          </w:p>
        </w:tc>
        <w:tc>
          <w:tcPr>
            <w:tcW w:w="741" w:type="dxa"/>
            <w:shd w:val="clear" w:color="auto" w:fill="FFFFFF" w:themeFill="background1"/>
          </w:tcPr>
          <w:p w:rsidR="00083AA5" w:rsidRDefault="00083AA5" w:rsidP="00F343E9">
            <w:r w:rsidRPr="001C668F">
              <w:rPr>
                <w:rFonts w:cs="Arial"/>
                <w:sz w:val="18"/>
                <w:szCs w:val="18"/>
              </w:rPr>
              <w:t>√</w:t>
            </w:r>
          </w:p>
        </w:tc>
      </w:tr>
      <w:tr w:rsidR="00083AA5" w:rsidTr="00731E82">
        <w:trPr>
          <w:gridAfter w:val="1"/>
          <w:wAfter w:w="28" w:type="dxa"/>
          <w:trHeight w:hRule="exact" w:val="444"/>
          <w:jc w:val="center"/>
        </w:trPr>
        <w:tc>
          <w:tcPr>
            <w:tcW w:w="930" w:type="dxa"/>
            <w:shd w:val="clear" w:color="auto" w:fill="FFFFFF" w:themeFill="background1"/>
          </w:tcPr>
          <w:p w:rsidR="00083AA5" w:rsidRPr="00BB5F2C" w:rsidRDefault="00083AA5" w:rsidP="00F343E9">
            <w:pPr>
              <w:pStyle w:val="BTBullet1"/>
              <w:numPr>
                <w:ilvl w:val="0"/>
                <w:numId w:val="0"/>
              </w:numPr>
              <w:rPr>
                <w:b/>
                <w:sz w:val="16"/>
                <w:szCs w:val="16"/>
              </w:rPr>
            </w:pPr>
            <w:r w:rsidRPr="00BB5F2C">
              <w:rPr>
                <w:b/>
                <w:sz w:val="16"/>
                <w:szCs w:val="16"/>
              </w:rPr>
              <w:t>Total Yes</w:t>
            </w:r>
          </w:p>
        </w:tc>
        <w:tc>
          <w:tcPr>
            <w:tcW w:w="478" w:type="dxa"/>
            <w:shd w:val="clear" w:color="auto" w:fill="auto"/>
            <w:vAlign w:val="center"/>
          </w:tcPr>
          <w:p w:rsidR="00083AA5" w:rsidRPr="00BB5F2C" w:rsidRDefault="00083AA5" w:rsidP="00F343E9">
            <w:pPr>
              <w:rPr>
                <w:b/>
                <w:sz w:val="16"/>
                <w:szCs w:val="16"/>
              </w:rPr>
            </w:pPr>
            <w:r w:rsidRPr="00BB5F2C">
              <w:rPr>
                <w:b/>
                <w:sz w:val="16"/>
                <w:szCs w:val="16"/>
              </w:rPr>
              <w:t>22</w:t>
            </w:r>
          </w:p>
        </w:tc>
        <w:tc>
          <w:tcPr>
            <w:tcW w:w="644" w:type="dxa"/>
            <w:shd w:val="clear" w:color="auto" w:fill="auto"/>
            <w:vAlign w:val="center"/>
          </w:tcPr>
          <w:p w:rsidR="00083AA5" w:rsidRPr="00BB5F2C" w:rsidRDefault="00083AA5" w:rsidP="00F343E9">
            <w:pPr>
              <w:rPr>
                <w:b/>
                <w:sz w:val="16"/>
                <w:szCs w:val="16"/>
              </w:rPr>
            </w:pPr>
            <w:r w:rsidRPr="00BB5F2C">
              <w:rPr>
                <w:b/>
                <w:sz w:val="16"/>
                <w:szCs w:val="16"/>
              </w:rPr>
              <w:t>19</w:t>
            </w:r>
          </w:p>
        </w:tc>
        <w:tc>
          <w:tcPr>
            <w:tcW w:w="644" w:type="dxa"/>
            <w:shd w:val="clear" w:color="auto" w:fill="auto"/>
            <w:vAlign w:val="center"/>
          </w:tcPr>
          <w:p w:rsidR="00083AA5" w:rsidRPr="00BB5F2C" w:rsidRDefault="00083AA5" w:rsidP="00F343E9">
            <w:pPr>
              <w:rPr>
                <w:b/>
                <w:sz w:val="16"/>
                <w:szCs w:val="16"/>
              </w:rPr>
            </w:pPr>
            <w:r w:rsidRPr="00BB5F2C">
              <w:rPr>
                <w:b/>
                <w:sz w:val="16"/>
                <w:szCs w:val="16"/>
              </w:rPr>
              <w:t>20</w:t>
            </w:r>
          </w:p>
        </w:tc>
        <w:tc>
          <w:tcPr>
            <w:tcW w:w="643" w:type="dxa"/>
            <w:shd w:val="clear" w:color="auto" w:fill="auto"/>
            <w:vAlign w:val="center"/>
          </w:tcPr>
          <w:p w:rsidR="00083AA5" w:rsidRPr="00BB5F2C" w:rsidRDefault="00083AA5" w:rsidP="00F343E9">
            <w:pPr>
              <w:rPr>
                <w:b/>
                <w:sz w:val="16"/>
                <w:szCs w:val="16"/>
              </w:rPr>
            </w:pPr>
            <w:r w:rsidRPr="00BB5F2C">
              <w:rPr>
                <w:b/>
                <w:sz w:val="16"/>
                <w:szCs w:val="16"/>
              </w:rPr>
              <w:t>20</w:t>
            </w:r>
          </w:p>
        </w:tc>
        <w:tc>
          <w:tcPr>
            <w:tcW w:w="644"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21</w:t>
            </w:r>
          </w:p>
        </w:tc>
        <w:tc>
          <w:tcPr>
            <w:tcW w:w="644"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21</w:t>
            </w:r>
          </w:p>
        </w:tc>
        <w:tc>
          <w:tcPr>
            <w:tcW w:w="644" w:type="dxa"/>
            <w:shd w:val="clear" w:color="auto" w:fill="auto"/>
            <w:vAlign w:val="center"/>
          </w:tcPr>
          <w:p w:rsidR="00083AA5" w:rsidRPr="00BB5F2C" w:rsidRDefault="00083AA5" w:rsidP="00F343E9">
            <w:pPr>
              <w:rPr>
                <w:b/>
                <w:sz w:val="16"/>
                <w:szCs w:val="16"/>
              </w:rPr>
            </w:pPr>
            <w:r w:rsidRPr="00BB5F2C">
              <w:rPr>
                <w:b/>
                <w:sz w:val="16"/>
                <w:szCs w:val="16"/>
              </w:rPr>
              <w:t>22</w:t>
            </w:r>
          </w:p>
        </w:tc>
        <w:tc>
          <w:tcPr>
            <w:tcW w:w="643" w:type="dxa"/>
            <w:shd w:val="clear" w:color="auto" w:fill="auto"/>
            <w:vAlign w:val="center"/>
          </w:tcPr>
          <w:p w:rsidR="00083AA5" w:rsidRPr="00BB5F2C" w:rsidRDefault="00083AA5" w:rsidP="00F343E9">
            <w:pPr>
              <w:rPr>
                <w:b/>
                <w:sz w:val="16"/>
                <w:szCs w:val="16"/>
              </w:rPr>
            </w:pPr>
            <w:r w:rsidRPr="00BB5F2C">
              <w:rPr>
                <w:b/>
                <w:sz w:val="16"/>
                <w:szCs w:val="16"/>
              </w:rPr>
              <w:t>18</w:t>
            </w:r>
          </w:p>
        </w:tc>
        <w:tc>
          <w:tcPr>
            <w:tcW w:w="644" w:type="dxa"/>
            <w:shd w:val="clear" w:color="auto" w:fill="auto"/>
            <w:vAlign w:val="center"/>
          </w:tcPr>
          <w:p w:rsidR="00083AA5" w:rsidRPr="00BB5F2C" w:rsidRDefault="00083AA5" w:rsidP="00F343E9">
            <w:pPr>
              <w:rPr>
                <w:b/>
                <w:sz w:val="16"/>
                <w:szCs w:val="16"/>
              </w:rPr>
            </w:pPr>
            <w:r w:rsidRPr="00BB5F2C">
              <w:rPr>
                <w:b/>
                <w:sz w:val="16"/>
                <w:szCs w:val="16"/>
              </w:rPr>
              <w:t>15</w:t>
            </w:r>
          </w:p>
        </w:tc>
        <w:tc>
          <w:tcPr>
            <w:tcW w:w="644" w:type="dxa"/>
            <w:gridSpan w:val="2"/>
            <w:shd w:val="clear" w:color="auto" w:fill="auto"/>
            <w:vAlign w:val="center"/>
          </w:tcPr>
          <w:p w:rsidR="00083AA5" w:rsidRPr="00BB5F2C" w:rsidRDefault="00083AA5" w:rsidP="00F343E9">
            <w:pPr>
              <w:rPr>
                <w:b/>
                <w:sz w:val="16"/>
                <w:szCs w:val="16"/>
              </w:rPr>
            </w:pPr>
            <w:r w:rsidRPr="00BB5F2C">
              <w:rPr>
                <w:b/>
                <w:sz w:val="16"/>
                <w:szCs w:val="16"/>
              </w:rPr>
              <w:t>18</w:t>
            </w:r>
          </w:p>
        </w:tc>
        <w:tc>
          <w:tcPr>
            <w:tcW w:w="644"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23</w:t>
            </w:r>
          </w:p>
        </w:tc>
        <w:tc>
          <w:tcPr>
            <w:tcW w:w="643"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23</w:t>
            </w:r>
          </w:p>
        </w:tc>
        <w:tc>
          <w:tcPr>
            <w:tcW w:w="603" w:type="dxa"/>
            <w:gridSpan w:val="2"/>
            <w:shd w:val="clear" w:color="auto" w:fill="auto"/>
            <w:vAlign w:val="center"/>
          </w:tcPr>
          <w:p w:rsidR="00083AA5" w:rsidRPr="00BB5F2C" w:rsidRDefault="00083AA5" w:rsidP="00F343E9">
            <w:pPr>
              <w:rPr>
                <w:rFonts w:cs="Arial"/>
                <w:b/>
                <w:sz w:val="16"/>
                <w:szCs w:val="16"/>
              </w:rPr>
            </w:pPr>
            <w:r w:rsidRPr="00BB5F2C">
              <w:rPr>
                <w:rFonts w:cs="Arial"/>
                <w:b/>
                <w:sz w:val="16"/>
                <w:szCs w:val="16"/>
              </w:rPr>
              <w:t>13</w:t>
            </w:r>
          </w:p>
        </w:tc>
        <w:tc>
          <w:tcPr>
            <w:tcW w:w="685"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22</w:t>
            </w:r>
          </w:p>
        </w:tc>
        <w:tc>
          <w:tcPr>
            <w:tcW w:w="644"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23</w:t>
            </w:r>
          </w:p>
        </w:tc>
        <w:tc>
          <w:tcPr>
            <w:tcW w:w="741" w:type="dxa"/>
            <w:shd w:val="clear" w:color="auto" w:fill="auto"/>
            <w:vAlign w:val="center"/>
          </w:tcPr>
          <w:p w:rsidR="00083AA5" w:rsidRPr="00BB5F2C" w:rsidRDefault="00083AA5" w:rsidP="00F343E9">
            <w:pPr>
              <w:rPr>
                <w:rFonts w:cs="Arial"/>
                <w:b/>
                <w:sz w:val="16"/>
                <w:szCs w:val="16"/>
              </w:rPr>
            </w:pPr>
            <w:r w:rsidRPr="00BB5F2C">
              <w:rPr>
                <w:rFonts w:cs="Arial"/>
                <w:b/>
                <w:sz w:val="16"/>
                <w:szCs w:val="16"/>
              </w:rPr>
              <w:t>21</w:t>
            </w:r>
          </w:p>
        </w:tc>
      </w:tr>
      <w:tr w:rsidR="00083AA5" w:rsidTr="004D603A">
        <w:trPr>
          <w:gridAfter w:val="1"/>
          <w:wAfter w:w="28" w:type="dxa"/>
          <w:trHeight w:hRule="exact" w:val="435"/>
          <w:jc w:val="center"/>
        </w:trPr>
        <w:tc>
          <w:tcPr>
            <w:tcW w:w="11162" w:type="dxa"/>
            <w:gridSpan w:val="19"/>
            <w:shd w:val="clear" w:color="auto" w:fill="FFFFFF" w:themeFill="background1"/>
          </w:tcPr>
          <w:p w:rsidR="00083AA5" w:rsidRPr="00BB5F2C" w:rsidRDefault="004D603A" w:rsidP="00861A9D">
            <w:pPr>
              <w:spacing w:before="0" w:after="0"/>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083AA5" w:rsidRDefault="00083AA5">
      <w:pPr>
        <w:spacing w:before="0" w:after="0" w:line="240" w:lineRule="auto"/>
        <w:rPr>
          <w:rFonts w:cs="Arial"/>
          <w:szCs w:val="18"/>
        </w:rPr>
        <w:sectPr w:rsidR="00083AA5"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546D75" w:rsidRDefault="00546D75">
      <w:pPr>
        <w:spacing w:before="0" w:after="0" w:line="240" w:lineRule="auto"/>
        <w:rPr>
          <w:rFonts w:cs="Arial"/>
          <w:szCs w:val="18"/>
        </w:rPr>
      </w:pPr>
      <w:r>
        <w:rPr>
          <w:rFonts w:cs="Arial"/>
          <w:szCs w:val="18"/>
        </w:rPr>
        <w:br w:type="page"/>
      </w:r>
    </w:p>
    <w:p w:rsidR="00A47740" w:rsidRDefault="000165DC" w:rsidP="00861A9D">
      <w:pPr>
        <w:pStyle w:val="AnnexTable"/>
        <w:tabs>
          <w:tab w:val="clear" w:pos="2687"/>
        </w:tabs>
        <w:ind w:left="1350" w:hanging="1350"/>
      </w:pPr>
      <w:bookmarkStart w:id="362" w:name="_Ref395829784"/>
      <w:bookmarkStart w:id="363" w:name="_Toc408908668"/>
      <w:r w:rsidRPr="000165DC">
        <w:t xml:space="preserve">Existence of statutory provision on the right of children involved in judicial proceedings to privacy </w:t>
      </w:r>
      <w:r>
        <w:t>(CivAdm080a)</w:t>
      </w:r>
      <w:bookmarkEnd w:id="362"/>
      <w:bookmarkEnd w:id="363"/>
      <w:r>
        <w:t xml:space="preserve"> </w:t>
      </w:r>
    </w:p>
    <w:p w:rsidR="00CE4EEF" w:rsidRDefault="00CE4EEF" w:rsidP="00F343E9">
      <w:pPr>
        <w:pStyle w:val="TableTitle"/>
        <w:sectPr w:rsidR="00CE4EEF" w:rsidSect="002C3D52">
          <w:type w:val="continuous"/>
          <w:pgSz w:w="11907" w:h="16840" w:code="9"/>
          <w:pgMar w:top="1276" w:right="1418" w:bottom="851" w:left="1418" w:header="680" w:footer="567" w:gutter="0"/>
          <w:cols w:space="708"/>
          <w:docGrid w:linePitch="360"/>
        </w:sectPr>
      </w:pPr>
    </w:p>
    <w:tbl>
      <w:tblPr>
        <w:tblStyle w:val="Tabellenraster1"/>
        <w:tblW w:w="11082" w:type="dxa"/>
        <w:jc w:val="center"/>
        <w:tblLayout w:type="fixed"/>
        <w:tblLook w:val="04A0" w:firstRow="1" w:lastRow="0" w:firstColumn="1" w:lastColumn="0" w:noHBand="0" w:noVBand="1"/>
      </w:tblPr>
      <w:tblGrid>
        <w:gridCol w:w="938"/>
        <w:gridCol w:w="733"/>
        <w:gridCol w:w="784"/>
        <w:gridCol w:w="784"/>
        <w:gridCol w:w="785"/>
        <w:gridCol w:w="784"/>
        <w:gridCol w:w="784"/>
        <w:gridCol w:w="784"/>
        <w:gridCol w:w="784"/>
        <w:gridCol w:w="760"/>
        <w:gridCol w:w="25"/>
        <w:gridCol w:w="784"/>
        <w:gridCol w:w="784"/>
        <w:gridCol w:w="784"/>
        <w:gridCol w:w="785"/>
      </w:tblGrid>
      <w:tr w:rsidR="00CE4EEF" w:rsidRPr="00593387" w:rsidTr="00F343E9">
        <w:trPr>
          <w:trHeight w:val="350"/>
          <w:tblHeader/>
          <w:jc w:val="center"/>
        </w:trPr>
        <w:tc>
          <w:tcPr>
            <w:tcW w:w="938" w:type="dxa"/>
            <w:tcBorders>
              <w:right w:val="single" w:sz="12" w:space="0" w:color="auto"/>
            </w:tcBorders>
          </w:tcPr>
          <w:p w:rsidR="00CE4EEF" w:rsidRDefault="00CE4EEF" w:rsidP="00F343E9">
            <w:pPr>
              <w:pStyle w:val="TableTitle"/>
            </w:pPr>
            <w:r>
              <w:t>MS</w:t>
            </w:r>
          </w:p>
        </w:tc>
        <w:tc>
          <w:tcPr>
            <w:tcW w:w="6982" w:type="dxa"/>
            <w:gridSpan w:val="9"/>
            <w:tcBorders>
              <w:left w:val="single" w:sz="12" w:space="0" w:color="auto"/>
              <w:right w:val="single" w:sz="12" w:space="0" w:color="auto"/>
            </w:tcBorders>
          </w:tcPr>
          <w:p w:rsidR="00CE4EEF" w:rsidRDefault="00CE4EEF" w:rsidP="00F343E9">
            <w:pPr>
              <w:pStyle w:val="TableTitle"/>
            </w:pPr>
            <w:r>
              <w:t>Areas of law</w:t>
            </w:r>
          </w:p>
        </w:tc>
        <w:tc>
          <w:tcPr>
            <w:tcW w:w="3162" w:type="dxa"/>
            <w:gridSpan w:val="5"/>
            <w:tcBorders>
              <w:left w:val="single" w:sz="12" w:space="0" w:color="auto"/>
            </w:tcBorders>
          </w:tcPr>
          <w:p w:rsidR="00CE4EEF" w:rsidRDefault="00CE4EEF" w:rsidP="00F343E9">
            <w:pPr>
              <w:pStyle w:val="TableTitle"/>
            </w:pPr>
            <w:r>
              <w:t>Roles of the child</w:t>
            </w:r>
          </w:p>
        </w:tc>
      </w:tr>
      <w:tr w:rsidR="00A1222C" w:rsidRPr="00CE4EEF" w:rsidTr="00861A9D">
        <w:trPr>
          <w:cantSplit/>
          <w:trHeight w:val="1009"/>
          <w:tblHeader/>
          <w:jc w:val="center"/>
        </w:trPr>
        <w:tc>
          <w:tcPr>
            <w:tcW w:w="938" w:type="dxa"/>
            <w:tcBorders>
              <w:right w:val="single" w:sz="12" w:space="0" w:color="auto"/>
            </w:tcBorders>
            <w:shd w:val="clear" w:color="auto" w:fill="DBE5F1" w:themeFill="accent1" w:themeFillTint="33"/>
          </w:tcPr>
          <w:p w:rsidR="00CE4EEF" w:rsidRPr="00E217F3" w:rsidRDefault="00CE4EEF" w:rsidP="00F343E9">
            <w:pPr>
              <w:rPr>
                <w:b/>
              </w:rPr>
            </w:pPr>
          </w:p>
        </w:tc>
        <w:tc>
          <w:tcPr>
            <w:tcW w:w="733" w:type="dxa"/>
            <w:tcBorders>
              <w:left w:val="single" w:sz="12" w:space="0" w:color="auto"/>
            </w:tcBorders>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Family</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Employment</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Asylum</w:t>
            </w:r>
          </w:p>
        </w:tc>
        <w:tc>
          <w:tcPr>
            <w:tcW w:w="785"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Migration</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Education</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Health</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Placement</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Admin Sanctions</w:t>
            </w:r>
          </w:p>
        </w:tc>
        <w:tc>
          <w:tcPr>
            <w:tcW w:w="785" w:type="dxa"/>
            <w:gridSpan w:val="2"/>
            <w:tcBorders>
              <w:right w:val="single" w:sz="12" w:space="0" w:color="auto"/>
            </w:tcBorders>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Offences &lt;MACR</w:t>
            </w:r>
          </w:p>
        </w:tc>
        <w:tc>
          <w:tcPr>
            <w:tcW w:w="784" w:type="dxa"/>
            <w:tcBorders>
              <w:left w:val="single" w:sz="12" w:space="0" w:color="auto"/>
            </w:tcBorders>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Witnesses</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Plaintiffs</w:t>
            </w:r>
          </w:p>
        </w:tc>
        <w:tc>
          <w:tcPr>
            <w:tcW w:w="784"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Defendants</w:t>
            </w:r>
          </w:p>
        </w:tc>
        <w:tc>
          <w:tcPr>
            <w:tcW w:w="785"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Subjects</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AT</w:t>
            </w:r>
          </w:p>
        </w:tc>
        <w:tc>
          <w:tcPr>
            <w:tcW w:w="733" w:type="dxa"/>
            <w:tcBorders>
              <w:left w:val="single" w:sz="12" w:space="0" w:color="auto"/>
            </w:tcBorders>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405BCC">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vAlign w:val="center"/>
          </w:tcPr>
          <w:p w:rsidR="00CE4EEF" w:rsidRDefault="00CE4EEF" w:rsidP="00F343E9">
            <w:r w:rsidRPr="00DD19D3">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vAlign w:val="center"/>
          </w:tcPr>
          <w:p w:rsidR="00CE4EEF" w:rsidRDefault="00CE4EEF" w:rsidP="00F343E9">
            <w:r w:rsidRPr="005A7227">
              <w:rPr>
                <w:rFonts w:cs="Arial"/>
                <w:sz w:val="18"/>
                <w:szCs w:val="18"/>
              </w:rPr>
              <w:t>√</w:t>
            </w:r>
          </w:p>
        </w:tc>
        <w:tc>
          <w:tcPr>
            <w:tcW w:w="784" w:type="dxa"/>
            <w:tcBorders>
              <w:left w:val="single" w:sz="12" w:space="0" w:color="auto"/>
            </w:tcBorders>
            <w:vAlign w:val="center"/>
          </w:tcPr>
          <w:p w:rsidR="00CE4EEF" w:rsidRDefault="00CE4EEF" w:rsidP="00F343E9">
            <w:r w:rsidRPr="00C77D81">
              <w:rPr>
                <w:rFonts w:cs="Arial"/>
                <w:sz w:val="18"/>
                <w:szCs w:val="18"/>
              </w:rPr>
              <w:t>√</w:t>
            </w:r>
          </w:p>
        </w:tc>
        <w:tc>
          <w:tcPr>
            <w:tcW w:w="784" w:type="dxa"/>
            <w:vAlign w:val="center"/>
          </w:tcPr>
          <w:p w:rsidR="00CE4EEF" w:rsidRDefault="00CE4EEF" w:rsidP="00F343E9">
            <w:r w:rsidRPr="00B70C46">
              <w:rPr>
                <w:rFonts w:cs="Arial"/>
                <w:sz w:val="18"/>
                <w:szCs w:val="18"/>
              </w:rPr>
              <w:t>√</w:t>
            </w:r>
          </w:p>
        </w:tc>
        <w:tc>
          <w:tcPr>
            <w:tcW w:w="784" w:type="dxa"/>
            <w:vAlign w:val="center"/>
          </w:tcPr>
          <w:p w:rsidR="00CE4EEF" w:rsidRDefault="00CE4EEF" w:rsidP="00F343E9">
            <w:r w:rsidRPr="00043065">
              <w:rPr>
                <w:rFonts w:cs="Arial"/>
                <w:sz w:val="18"/>
                <w:szCs w:val="18"/>
              </w:rPr>
              <w:t>√</w:t>
            </w:r>
          </w:p>
        </w:tc>
        <w:tc>
          <w:tcPr>
            <w:tcW w:w="785"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BE</w:t>
            </w:r>
          </w:p>
        </w:tc>
        <w:tc>
          <w:tcPr>
            <w:tcW w:w="733" w:type="dxa"/>
            <w:tcBorders>
              <w:left w:val="single" w:sz="12" w:space="0" w:color="auto"/>
            </w:tcBorders>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C02AE6">
              <w:rPr>
                <w:rFonts w:cs="Arial"/>
                <w:sz w:val="18"/>
                <w:szCs w:val="18"/>
              </w:rPr>
              <w:t>√</w:t>
            </w:r>
          </w:p>
        </w:tc>
        <w:tc>
          <w:tcPr>
            <w:tcW w:w="785" w:type="dxa"/>
            <w:vAlign w:val="center"/>
          </w:tcPr>
          <w:p w:rsidR="00CE4EEF" w:rsidRDefault="00CE4EEF" w:rsidP="00F343E9">
            <w:r w:rsidRPr="00C02AE6">
              <w:rPr>
                <w:rFonts w:cs="Arial"/>
                <w:sz w:val="18"/>
                <w:szCs w:val="18"/>
              </w:rPr>
              <w:t>√</w:t>
            </w:r>
          </w:p>
        </w:tc>
        <w:tc>
          <w:tcPr>
            <w:tcW w:w="784" w:type="dxa"/>
            <w:vAlign w:val="center"/>
          </w:tcPr>
          <w:p w:rsidR="00CE4EEF" w:rsidRDefault="00CE4EEF" w:rsidP="00F343E9">
            <w:r w:rsidRPr="0059790F">
              <w:rPr>
                <w:rFonts w:cs="Arial"/>
                <w:sz w:val="18"/>
                <w:szCs w:val="18"/>
              </w:rPr>
              <w:t>√</w:t>
            </w:r>
          </w:p>
        </w:tc>
        <w:tc>
          <w:tcPr>
            <w:tcW w:w="784" w:type="dxa"/>
            <w:vAlign w:val="center"/>
          </w:tcPr>
          <w:p w:rsidR="00CE4EEF" w:rsidRDefault="00CE4EEF" w:rsidP="00F343E9">
            <w:r w:rsidRPr="0059790F">
              <w:rPr>
                <w:rFonts w:cs="Arial"/>
                <w:sz w:val="18"/>
                <w:szCs w:val="18"/>
              </w:rPr>
              <w:t>√</w:t>
            </w:r>
          </w:p>
        </w:tc>
        <w:tc>
          <w:tcPr>
            <w:tcW w:w="784" w:type="dxa"/>
            <w:vAlign w:val="center"/>
          </w:tcPr>
          <w:p w:rsidR="00CE4EEF" w:rsidRDefault="00CE4EEF" w:rsidP="00F343E9">
            <w:r w:rsidRPr="00DD19D3">
              <w:rPr>
                <w:rFonts w:cs="Arial"/>
                <w:sz w:val="18"/>
                <w:szCs w:val="18"/>
              </w:rPr>
              <w:t>√</w:t>
            </w:r>
          </w:p>
        </w:tc>
        <w:tc>
          <w:tcPr>
            <w:tcW w:w="784" w:type="dxa"/>
            <w:vAlign w:val="center"/>
          </w:tcPr>
          <w:p w:rsidR="00CE4EEF" w:rsidRDefault="00CE4EEF" w:rsidP="00F343E9">
            <w:r w:rsidRPr="0040074A">
              <w:rPr>
                <w:rFonts w:cs="Arial"/>
                <w:sz w:val="18"/>
                <w:szCs w:val="18"/>
              </w:rPr>
              <w:t>√</w:t>
            </w:r>
          </w:p>
        </w:tc>
        <w:tc>
          <w:tcPr>
            <w:tcW w:w="785" w:type="dxa"/>
            <w:gridSpan w:val="2"/>
            <w:tcBorders>
              <w:right w:val="single" w:sz="12" w:space="0" w:color="auto"/>
            </w:tcBorders>
            <w:vAlign w:val="center"/>
          </w:tcPr>
          <w:p w:rsidR="00CE4EEF" w:rsidRDefault="00CE4EEF" w:rsidP="00F343E9">
            <w:r w:rsidRPr="005A7227">
              <w:rPr>
                <w:rFonts w:cs="Arial"/>
                <w:sz w:val="18"/>
                <w:szCs w:val="18"/>
              </w:rPr>
              <w:t>√</w:t>
            </w:r>
          </w:p>
        </w:tc>
        <w:tc>
          <w:tcPr>
            <w:tcW w:w="784" w:type="dxa"/>
            <w:tcBorders>
              <w:left w:val="single" w:sz="12" w:space="0" w:color="auto"/>
            </w:tcBorders>
            <w:vAlign w:val="center"/>
          </w:tcPr>
          <w:p w:rsidR="00CE4EEF" w:rsidRDefault="00CE4EEF" w:rsidP="00F343E9">
            <w:r w:rsidRPr="00C77D81">
              <w:rPr>
                <w:rFonts w:cs="Arial"/>
                <w:sz w:val="18"/>
                <w:szCs w:val="18"/>
              </w:rPr>
              <w:t>√</w:t>
            </w:r>
          </w:p>
        </w:tc>
        <w:tc>
          <w:tcPr>
            <w:tcW w:w="784" w:type="dxa"/>
            <w:vAlign w:val="center"/>
          </w:tcPr>
          <w:p w:rsidR="00CE4EEF" w:rsidRDefault="00CE4EEF" w:rsidP="00F343E9">
            <w:r w:rsidRPr="00B70C46">
              <w:rPr>
                <w:rFonts w:cs="Arial"/>
                <w:sz w:val="18"/>
                <w:szCs w:val="18"/>
              </w:rPr>
              <w:t>√</w:t>
            </w:r>
          </w:p>
        </w:tc>
        <w:tc>
          <w:tcPr>
            <w:tcW w:w="784" w:type="dxa"/>
            <w:vAlign w:val="center"/>
          </w:tcPr>
          <w:p w:rsidR="00CE4EEF" w:rsidRDefault="00CE4EEF" w:rsidP="00F343E9">
            <w:r w:rsidRPr="00043065">
              <w:rPr>
                <w:rFonts w:cs="Arial"/>
                <w:sz w:val="18"/>
                <w:szCs w:val="18"/>
              </w:rPr>
              <w:t>√</w:t>
            </w:r>
          </w:p>
        </w:tc>
        <w:tc>
          <w:tcPr>
            <w:tcW w:w="785" w:type="dxa"/>
            <w:vAlign w:val="center"/>
          </w:tcPr>
          <w:p w:rsidR="00CE4EEF" w:rsidRDefault="00CE4EEF" w:rsidP="00F343E9">
            <w:r>
              <w:rPr>
                <w:rFonts w:cs="Arial"/>
                <w:sz w:val="18"/>
                <w:szCs w:val="18"/>
              </w:rPr>
              <w:t>√</w:t>
            </w:r>
            <w:r>
              <w:rPr>
                <w:rStyle w:val="EndnoteReference"/>
              </w:rPr>
              <w:endnoteReference w:id="108"/>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BG</w:t>
            </w:r>
          </w:p>
        </w:tc>
        <w:tc>
          <w:tcPr>
            <w:tcW w:w="733" w:type="dxa"/>
            <w:tcBorders>
              <w:left w:val="single" w:sz="12" w:space="0" w:color="auto"/>
            </w:tcBorders>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C02AE6">
              <w:rPr>
                <w:rFonts w:cs="Arial"/>
                <w:sz w:val="18"/>
                <w:szCs w:val="18"/>
              </w:rPr>
              <w:t>√</w:t>
            </w:r>
          </w:p>
        </w:tc>
        <w:tc>
          <w:tcPr>
            <w:tcW w:w="785" w:type="dxa"/>
            <w:vAlign w:val="center"/>
          </w:tcPr>
          <w:p w:rsidR="00CE4EEF" w:rsidRDefault="00CE4EEF" w:rsidP="00F343E9">
            <w:r w:rsidRPr="00C02AE6">
              <w:rPr>
                <w:rFonts w:cs="Arial"/>
                <w:sz w:val="18"/>
                <w:szCs w:val="18"/>
              </w:rPr>
              <w:t>√</w:t>
            </w:r>
          </w:p>
        </w:tc>
        <w:tc>
          <w:tcPr>
            <w:tcW w:w="784" w:type="dxa"/>
            <w:vAlign w:val="center"/>
          </w:tcPr>
          <w:p w:rsidR="00CE4EEF" w:rsidRDefault="00CE4EEF" w:rsidP="00F343E9">
            <w:r w:rsidRPr="0059790F">
              <w:rPr>
                <w:rFonts w:cs="Arial"/>
                <w:sz w:val="18"/>
                <w:szCs w:val="18"/>
              </w:rPr>
              <w:t>√</w:t>
            </w:r>
          </w:p>
        </w:tc>
        <w:tc>
          <w:tcPr>
            <w:tcW w:w="784" w:type="dxa"/>
            <w:vAlign w:val="center"/>
          </w:tcPr>
          <w:p w:rsidR="00CE4EEF" w:rsidRDefault="00CE4EEF" w:rsidP="00F343E9">
            <w:r w:rsidRPr="0059790F">
              <w:rPr>
                <w:rFonts w:cs="Arial"/>
                <w:sz w:val="18"/>
                <w:szCs w:val="18"/>
              </w:rPr>
              <w:t>√</w:t>
            </w:r>
          </w:p>
        </w:tc>
        <w:tc>
          <w:tcPr>
            <w:tcW w:w="784" w:type="dxa"/>
            <w:vAlign w:val="center"/>
          </w:tcPr>
          <w:p w:rsidR="00CE4EEF" w:rsidRDefault="00CE4EEF" w:rsidP="00F343E9">
            <w:r w:rsidRPr="00DD19D3">
              <w:rPr>
                <w:rFonts w:cs="Arial"/>
                <w:sz w:val="18"/>
                <w:szCs w:val="18"/>
              </w:rPr>
              <w:t>√</w:t>
            </w:r>
          </w:p>
        </w:tc>
        <w:tc>
          <w:tcPr>
            <w:tcW w:w="784" w:type="dxa"/>
            <w:vAlign w:val="center"/>
          </w:tcPr>
          <w:p w:rsidR="00CE4EEF" w:rsidRDefault="00CE4EEF" w:rsidP="00F343E9">
            <w:r w:rsidRPr="0040074A">
              <w:rPr>
                <w:rFonts w:cs="Arial"/>
                <w:sz w:val="18"/>
                <w:szCs w:val="18"/>
              </w:rPr>
              <w:t>√</w:t>
            </w:r>
          </w:p>
        </w:tc>
        <w:tc>
          <w:tcPr>
            <w:tcW w:w="785" w:type="dxa"/>
            <w:gridSpan w:val="2"/>
            <w:tcBorders>
              <w:right w:val="single" w:sz="12" w:space="0" w:color="auto"/>
            </w:tcBorders>
            <w:vAlign w:val="center"/>
          </w:tcPr>
          <w:p w:rsidR="00CE4EEF" w:rsidRDefault="00CE4EEF" w:rsidP="00F343E9">
            <w:r w:rsidRPr="005A7227">
              <w:rPr>
                <w:rFonts w:cs="Arial"/>
                <w:sz w:val="18"/>
                <w:szCs w:val="18"/>
              </w:rPr>
              <w:t>√</w:t>
            </w:r>
          </w:p>
        </w:tc>
        <w:tc>
          <w:tcPr>
            <w:tcW w:w="784" w:type="dxa"/>
            <w:tcBorders>
              <w:left w:val="single" w:sz="12" w:space="0" w:color="auto"/>
            </w:tcBorders>
            <w:vAlign w:val="center"/>
          </w:tcPr>
          <w:p w:rsidR="00CE4EEF" w:rsidRDefault="00CE4EEF" w:rsidP="00F343E9">
            <w:r w:rsidRPr="00C77D81">
              <w:rPr>
                <w:rFonts w:cs="Arial"/>
                <w:sz w:val="18"/>
                <w:szCs w:val="18"/>
              </w:rPr>
              <w:t>√</w:t>
            </w:r>
          </w:p>
        </w:tc>
        <w:tc>
          <w:tcPr>
            <w:tcW w:w="784" w:type="dxa"/>
            <w:vAlign w:val="center"/>
          </w:tcPr>
          <w:p w:rsidR="00CE4EEF" w:rsidRDefault="00CE4EEF" w:rsidP="00F343E9">
            <w:r w:rsidRPr="00B70C46">
              <w:rPr>
                <w:rFonts w:cs="Arial"/>
                <w:sz w:val="18"/>
                <w:szCs w:val="18"/>
              </w:rPr>
              <w:t>√</w:t>
            </w:r>
          </w:p>
        </w:tc>
        <w:tc>
          <w:tcPr>
            <w:tcW w:w="784" w:type="dxa"/>
            <w:vAlign w:val="center"/>
          </w:tcPr>
          <w:p w:rsidR="00CE4EEF" w:rsidRDefault="00CE4EEF" w:rsidP="00F343E9">
            <w:r w:rsidRPr="00043065">
              <w:rPr>
                <w:rFonts w:cs="Arial"/>
                <w:sz w:val="18"/>
                <w:szCs w:val="18"/>
              </w:rPr>
              <w:t>√</w:t>
            </w:r>
          </w:p>
        </w:tc>
        <w:tc>
          <w:tcPr>
            <w:tcW w:w="785" w:type="dxa"/>
            <w:vAlign w:val="center"/>
          </w:tcPr>
          <w:p w:rsidR="00CE4EEF" w:rsidRDefault="00CE4EEF" w:rsidP="00F343E9">
            <w:r>
              <w:rPr>
                <w:rFonts w:cs="Arial"/>
                <w:sz w:val="18"/>
                <w:szCs w:val="18"/>
              </w:rPr>
              <w:t>√</w:t>
            </w:r>
            <w:r>
              <w:rPr>
                <w:rStyle w:val="EndnoteReference"/>
              </w:rPr>
              <w:endnoteReference w:id="109"/>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CY</w:t>
            </w:r>
          </w:p>
        </w:tc>
        <w:tc>
          <w:tcPr>
            <w:tcW w:w="733" w:type="dxa"/>
            <w:tcBorders>
              <w:left w:val="single" w:sz="12" w:space="0" w:color="auto"/>
            </w:tcBorders>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405BCC">
              <w:rPr>
                <w:rFonts w:cs="Arial"/>
                <w:sz w:val="18"/>
                <w:szCs w:val="18"/>
              </w:rPr>
              <w:t>√</w:t>
            </w:r>
          </w:p>
        </w:tc>
        <w:tc>
          <w:tcPr>
            <w:tcW w:w="784" w:type="dxa"/>
            <w:vAlign w:val="center"/>
          </w:tcPr>
          <w:p w:rsidR="00CE4EEF" w:rsidRDefault="00CE4EEF" w:rsidP="00F343E9">
            <w:r w:rsidRPr="00C02AE6">
              <w:rPr>
                <w:rFonts w:cs="Arial"/>
                <w:sz w:val="18"/>
                <w:szCs w:val="18"/>
              </w:rPr>
              <w:t>√</w:t>
            </w:r>
          </w:p>
        </w:tc>
        <w:tc>
          <w:tcPr>
            <w:tcW w:w="785" w:type="dxa"/>
            <w:vAlign w:val="center"/>
          </w:tcPr>
          <w:p w:rsidR="00CE4EEF" w:rsidRDefault="00CE4EEF" w:rsidP="00F343E9">
            <w:r w:rsidRPr="00C02AE6">
              <w:rPr>
                <w:rFonts w:cs="Arial"/>
                <w:sz w:val="18"/>
                <w:szCs w:val="18"/>
              </w:rPr>
              <w:t>√</w:t>
            </w:r>
          </w:p>
        </w:tc>
        <w:tc>
          <w:tcPr>
            <w:tcW w:w="784" w:type="dxa"/>
            <w:vAlign w:val="center"/>
          </w:tcPr>
          <w:p w:rsidR="00CE4EEF" w:rsidRDefault="00CE4EEF" w:rsidP="00F343E9">
            <w:r w:rsidRPr="0059790F">
              <w:rPr>
                <w:rFonts w:cs="Arial"/>
                <w:sz w:val="18"/>
                <w:szCs w:val="18"/>
              </w:rPr>
              <w:t>√</w:t>
            </w:r>
          </w:p>
        </w:tc>
        <w:tc>
          <w:tcPr>
            <w:tcW w:w="784" w:type="dxa"/>
            <w:vAlign w:val="center"/>
          </w:tcPr>
          <w:p w:rsidR="00CE4EEF" w:rsidRDefault="00CE4EEF" w:rsidP="00F343E9">
            <w:r w:rsidRPr="0059790F">
              <w:rPr>
                <w:rFonts w:cs="Arial"/>
                <w:sz w:val="18"/>
                <w:szCs w:val="18"/>
              </w:rPr>
              <w:t>√</w:t>
            </w:r>
          </w:p>
        </w:tc>
        <w:tc>
          <w:tcPr>
            <w:tcW w:w="784" w:type="dxa"/>
            <w:vAlign w:val="center"/>
          </w:tcPr>
          <w:p w:rsidR="00CE4EEF" w:rsidRDefault="00CE4EEF" w:rsidP="00F343E9">
            <w:r w:rsidRPr="00DD19D3">
              <w:rPr>
                <w:rFonts w:cs="Arial"/>
                <w:sz w:val="18"/>
                <w:szCs w:val="18"/>
              </w:rPr>
              <w:t>√</w:t>
            </w:r>
          </w:p>
        </w:tc>
        <w:tc>
          <w:tcPr>
            <w:tcW w:w="784" w:type="dxa"/>
            <w:vAlign w:val="center"/>
          </w:tcPr>
          <w:p w:rsidR="00CE4EEF" w:rsidRDefault="00CE4EEF" w:rsidP="00F343E9">
            <w:r w:rsidRPr="0040074A">
              <w:rPr>
                <w:rFonts w:cs="Arial"/>
                <w:sz w:val="18"/>
                <w:szCs w:val="18"/>
              </w:rPr>
              <w:t>√</w:t>
            </w: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vAlign w:val="center"/>
          </w:tcPr>
          <w:p w:rsidR="00CE4EEF" w:rsidRDefault="00CE4EEF" w:rsidP="00F343E9">
            <w:r w:rsidRPr="00C77D81">
              <w:rPr>
                <w:rFonts w:cs="Arial"/>
                <w:sz w:val="18"/>
                <w:szCs w:val="18"/>
              </w:rPr>
              <w:t>√</w:t>
            </w:r>
          </w:p>
        </w:tc>
        <w:tc>
          <w:tcPr>
            <w:tcW w:w="784" w:type="dxa"/>
            <w:vAlign w:val="center"/>
          </w:tcPr>
          <w:p w:rsidR="00CE4EEF" w:rsidRDefault="00CE4EEF" w:rsidP="00F343E9">
            <w:r w:rsidRPr="00B70C46">
              <w:rPr>
                <w:rFonts w:cs="Arial"/>
                <w:sz w:val="18"/>
                <w:szCs w:val="18"/>
              </w:rPr>
              <w:t>√</w:t>
            </w:r>
          </w:p>
        </w:tc>
        <w:tc>
          <w:tcPr>
            <w:tcW w:w="784" w:type="dxa"/>
            <w:vAlign w:val="center"/>
          </w:tcPr>
          <w:p w:rsidR="00CE4EEF" w:rsidRDefault="00CE4EEF" w:rsidP="00F343E9">
            <w:r w:rsidRPr="00043065">
              <w:rPr>
                <w:rFonts w:cs="Arial"/>
                <w:sz w:val="18"/>
                <w:szCs w:val="18"/>
              </w:rPr>
              <w:t>√</w:t>
            </w:r>
          </w:p>
        </w:tc>
        <w:tc>
          <w:tcPr>
            <w:tcW w:w="785" w:type="dxa"/>
            <w:vAlign w:val="center"/>
          </w:tcPr>
          <w:p w:rsidR="00CE4EEF" w:rsidRDefault="00CE4EEF" w:rsidP="00F343E9">
            <w:r>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CZ</w:t>
            </w:r>
          </w:p>
        </w:tc>
        <w:tc>
          <w:tcPr>
            <w:tcW w:w="733"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shd w:val="clear" w:color="auto" w:fill="D9D9D9" w:themeFill="background1" w:themeFillShade="D9"/>
            <w:vAlign w:val="center"/>
          </w:tcPr>
          <w:p w:rsidR="00CE4EEF" w:rsidRDefault="00CE4EEF" w:rsidP="00F343E9"/>
        </w:tc>
        <w:tc>
          <w:tcPr>
            <w:tcW w:w="784" w:type="dxa"/>
            <w:shd w:val="clear" w:color="auto" w:fill="D9D9D9" w:themeFill="background1" w:themeFillShade="D9"/>
            <w:vAlign w:val="center"/>
          </w:tcPr>
          <w:p w:rsidR="00CE4EEF" w:rsidRDefault="00CE4EEF" w:rsidP="00F343E9"/>
        </w:tc>
        <w:tc>
          <w:tcPr>
            <w:tcW w:w="784" w:type="dxa"/>
            <w:shd w:val="clear" w:color="auto" w:fill="D9D9D9" w:themeFill="background1" w:themeFillShade="D9"/>
            <w:vAlign w:val="center"/>
          </w:tcPr>
          <w:p w:rsidR="00CE4EEF" w:rsidRDefault="00CE4EEF" w:rsidP="00F343E9"/>
        </w:tc>
        <w:tc>
          <w:tcPr>
            <w:tcW w:w="785"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DE</w:t>
            </w:r>
          </w:p>
        </w:tc>
        <w:tc>
          <w:tcPr>
            <w:tcW w:w="733" w:type="dxa"/>
            <w:tcBorders>
              <w:left w:val="single" w:sz="12" w:space="0" w:color="auto"/>
            </w:tcBorders>
            <w:vAlign w:val="center"/>
          </w:tcPr>
          <w:p w:rsidR="00CE4EEF" w:rsidRDefault="00CE4EEF" w:rsidP="00F343E9">
            <w:r w:rsidRPr="001444AB">
              <w:rPr>
                <w:rFonts w:cs="Arial"/>
                <w:sz w:val="18"/>
                <w:szCs w:val="18"/>
              </w:rPr>
              <w:t>√</w:t>
            </w:r>
          </w:p>
        </w:tc>
        <w:tc>
          <w:tcPr>
            <w:tcW w:w="784" w:type="dxa"/>
            <w:vAlign w:val="center"/>
          </w:tcPr>
          <w:p w:rsidR="00CE4EEF" w:rsidRDefault="00CE4EEF" w:rsidP="00F343E9">
            <w:r w:rsidRPr="001444AB">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vAlign w:val="center"/>
          </w:tcPr>
          <w:p w:rsidR="00CE4EEF" w:rsidRDefault="00CE4EEF" w:rsidP="00F343E9">
            <w:r w:rsidRPr="00204D01">
              <w:rPr>
                <w:rFonts w:cs="Arial"/>
                <w:sz w:val="18"/>
                <w:szCs w:val="18"/>
              </w:rPr>
              <w:t>√</w:t>
            </w:r>
          </w:p>
        </w:tc>
        <w:tc>
          <w:tcPr>
            <w:tcW w:w="784" w:type="dxa"/>
            <w:vAlign w:val="center"/>
          </w:tcPr>
          <w:p w:rsidR="00CE4EEF" w:rsidRDefault="00CE4EEF" w:rsidP="00F343E9">
            <w:r w:rsidRPr="00204D01">
              <w:rPr>
                <w:rFonts w:cs="Arial"/>
                <w:sz w:val="18"/>
                <w:szCs w:val="18"/>
              </w:rPr>
              <w:t>√</w:t>
            </w:r>
          </w:p>
        </w:tc>
        <w:tc>
          <w:tcPr>
            <w:tcW w:w="785" w:type="dxa"/>
            <w:gridSpan w:val="2"/>
            <w:tcBorders>
              <w:right w:val="single" w:sz="12" w:space="0" w:color="auto"/>
            </w:tcBorders>
            <w:vAlign w:val="center"/>
          </w:tcPr>
          <w:p w:rsidR="00CE4EEF" w:rsidRDefault="00CE4EEF" w:rsidP="00F343E9">
            <w:r w:rsidRPr="00204D01">
              <w:rPr>
                <w:rFonts w:cs="Arial"/>
                <w:sz w:val="18"/>
                <w:szCs w:val="18"/>
              </w:rPr>
              <w:t>√</w:t>
            </w:r>
          </w:p>
        </w:tc>
        <w:tc>
          <w:tcPr>
            <w:tcW w:w="784" w:type="dxa"/>
            <w:tcBorders>
              <w:left w:val="single" w:sz="12" w:space="0" w:color="auto"/>
            </w:tcBorders>
            <w:vAlign w:val="center"/>
          </w:tcPr>
          <w:p w:rsidR="00CE4EEF" w:rsidRDefault="00CE4EEF" w:rsidP="00F343E9">
            <w:r w:rsidRPr="00204D01">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10"/>
            </w:r>
          </w:p>
        </w:tc>
        <w:tc>
          <w:tcPr>
            <w:tcW w:w="784" w:type="dxa"/>
            <w:vAlign w:val="center"/>
          </w:tcPr>
          <w:p w:rsidR="00CE4EEF" w:rsidRDefault="00CE4EEF" w:rsidP="00F343E9">
            <w:r>
              <w:rPr>
                <w:rFonts w:cs="Arial"/>
                <w:sz w:val="18"/>
                <w:szCs w:val="18"/>
              </w:rPr>
              <w:t>√</w:t>
            </w:r>
          </w:p>
        </w:tc>
        <w:tc>
          <w:tcPr>
            <w:tcW w:w="785"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DK</w:t>
            </w:r>
          </w:p>
        </w:tc>
        <w:tc>
          <w:tcPr>
            <w:tcW w:w="733"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shd w:val="clear" w:color="auto" w:fill="D9D9D9" w:themeFill="background1" w:themeFillShade="D9"/>
            <w:vAlign w:val="center"/>
          </w:tcPr>
          <w:p w:rsidR="00CE4EEF" w:rsidRDefault="00CE4EEF" w:rsidP="00F343E9"/>
        </w:tc>
        <w:tc>
          <w:tcPr>
            <w:tcW w:w="784" w:type="dxa"/>
            <w:shd w:val="clear" w:color="auto" w:fill="D9D9D9" w:themeFill="background1" w:themeFillShade="D9"/>
            <w:vAlign w:val="center"/>
          </w:tcPr>
          <w:p w:rsidR="00CE4EEF" w:rsidRDefault="00CE4EEF" w:rsidP="00F343E9"/>
        </w:tc>
        <w:tc>
          <w:tcPr>
            <w:tcW w:w="784" w:type="dxa"/>
            <w:shd w:val="clear" w:color="auto" w:fill="D9D9D9" w:themeFill="background1" w:themeFillShade="D9"/>
            <w:vAlign w:val="center"/>
          </w:tcPr>
          <w:p w:rsidR="00CE4EEF" w:rsidRDefault="00CE4EEF" w:rsidP="00F343E9"/>
        </w:tc>
        <w:tc>
          <w:tcPr>
            <w:tcW w:w="785"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EE</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vAlign w:val="center"/>
          </w:tcPr>
          <w:p w:rsidR="00CE4EEF" w:rsidRDefault="00CE4EEF" w:rsidP="00F343E9">
            <w:r w:rsidRPr="00C81CDD">
              <w:rPr>
                <w:rFonts w:cs="Arial"/>
                <w:sz w:val="18"/>
                <w:szCs w:val="18"/>
              </w:rPr>
              <w:t>√</w:t>
            </w:r>
          </w:p>
        </w:tc>
        <w:tc>
          <w:tcPr>
            <w:tcW w:w="784" w:type="dxa"/>
            <w:tcBorders>
              <w:left w:val="single" w:sz="12" w:space="0" w:color="auto"/>
            </w:tcBorders>
            <w:vAlign w:val="center"/>
          </w:tcPr>
          <w:p w:rsidR="00CE4EEF" w:rsidRDefault="00CE4EEF" w:rsidP="00F343E9">
            <w:r w:rsidRPr="002A04B4">
              <w:rPr>
                <w:rFonts w:cs="Arial"/>
                <w:sz w:val="18"/>
                <w:szCs w:val="18"/>
              </w:rPr>
              <w:t>√</w:t>
            </w:r>
          </w:p>
        </w:tc>
        <w:tc>
          <w:tcPr>
            <w:tcW w:w="784" w:type="dxa"/>
            <w:vAlign w:val="center"/>
          </w:tcPr>
          <w:p w:rsidR="00CE4EEF" w:rsidRDefault="00CE4EEF" w:rsidP="00F343E9">
            <w:r w:rsidRPr="002A04B4">
              <w:rPr>
                <w:rFonts w:cs="Arial"/>
                <w:sz w:val="18"/>
                <w:szCs w:val="18"/>
              </w:rPr>
              <w:t>√</w:t>
            </w:r>
          </w:p>
        </w:tc>
        <w:tc>
          <w:tcPr>
            <w:tcW w:w="784" w:type="dxa"/>
            <w:vAlign w:val="center"/>
          </w:tcPr>
          <w:p w:rsidR="00CE4EEF" w:rsidRDefault="00CE4EEF" w:rsidP="00F343E9">
            <w:r w:rsidRPr="002A04B4">
              <w:rPr>
                <w:rFonts w:cs="Arial"/>
                <w:sz w:val="18"/>
                <w:szCs w:val="18"/>
              </w:rPr>
              <w:t>√</w:t>
            </w:r>
          </w:p>
        </w:tc>
        <w:tc>
          <w:tcPr>
            <w:tcW w:w="785" w:type="dxa"/>
            <w:vAlign w:val="center"/>
          </w:tcPr>
          <w:p w:rsidR="00CE4EEF" w:rsidRDefault="00CE4EEF" w:rsidP="00F343E9">
            <w:r w:rsidRPr="002A04B4">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EL</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vAlign w:val="center"/>
          </w:tcPr>
          <w:p w:rsidR="00CE4EEF" w:rsidRDefault="00CE4EEF" w:rsidP="00F343E9">
            <w:r w:rsidRPr="00C81CDD">
              <w:rPr>
                <w:rFonts w:cs="Arial"/>
                <w:sz w:val="18"/>
                <w:szCs w:val="18"/>
              </w:rPr>
              <w:t>√</w:t>
            </w:r>
          </w:p>
        </w:tc>
        <w:tc>
          <w:tcPr>
            <w:tcW w:w="784" w:type="dxa"/>
            <w:tcBorders>
              <w:left w:val="single" w:sz="12" w:space="0" w:color="auto"/>
            </w:tcBorders>
            <w:vAlign w:val="center"/>
          </w:tcPr>
          <w:p w:rsidR="00CE4EEF" w:rsidRDefault="00CE4EEF" w:rsidP="00F343E9">
            <w:r>
              <w:rPr>
                <w:rFonts w:cs="Arial"/>
                <w:sz w:val="18"/>
                <w:szCs w:val="18"/>
              </w:rPr>
              <w:t>√</w:t>
            </w:r>
            <w:r>
              <w:rPr>
                <w:rStyle w:val="EndnoteReference"/>
              </w:rPr>
              <w:endnoteReference w:id="111"/>
            </w:r>
          </w:p>
        </w:tc>
        <w:tc>
          <w:tcPr>
            <w:tcW w:w="784" w:type="dxa"/>
            <w:vAlign w:val="center"/>
          </w:tcPr>
          <w:p w:rsidR="00CE4EEF" w:rsidRDefault="00CE4EEF" w:rsidP="00F343E9">
            <w:r>
              <w:rPr>
                <w:rFonts w:cs="Arial"/>
                <w:sz w:val="18"/>
                <w:szCs w:val="18"/>
              </w:rPr>
              <w:t>√</w:t>
            </w:r>
            <w:r>
              <w:rPr>
                <w:rStyle w:val="EndnoteReference"/>
              </w:rPr>
              <w:endnoteReference w:id="112"/>
            </w:r>
          </w:p>
        </w:tc>
        <w:tc>
          <w:tcPr>
            <w:tcW w:w="784" w:type="dxa"/>
            <w:vAlign w:val="center"/>
          </w:tcPr>
          <w:p w:rsidR="00CE4EEF" w:rsidRDefault="00CE4EEF" w:rsidP="00F343E9">
            <w:r>
              <w:rPr>
                <w:rFonts w:cs="Arial"/>
                <w:sz w:val="18"/>
                <w:szCs w:val="18"/>
              </w:rPr>
              <w:t>√</w:t>
            </w:r>
            <w:r>
              <w:rPr>
                <w:rStyle w:val="EndnoteReference"/>
              </w:rPr>
              <w:endnoteReference w:id="113"/>
            </w:r>
          </w:p>
        </w:tc>
        <w:tc>
          <w:tcPr>
            <w:tcW w:w="785" w:type="dxa"/>
            <w:vAlign w:val="center"/>
          </w:tcPr>
          <w:p w:rsidR="00CE4EEF" w:rsidRDefault="00CE4EEF" w:rsidP="00F343E9">
            <w:r>
              <w:rPr>
                <w:rFonts w:cs="Arial"/>
                <w:sz w:val="18"/>
                <w:szCs w:val="18"/>
              </w:rPr>
              <w:t>√</w:t>
            </w:r>
            <w:r>
              <w:rPr>
                <w:rStyle w:val="EndnoteReference"/>
              </w:rPr>
              <w:endnoteReference w:id="114"/>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ES</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vAlign w:val="center"/>
          </w:tcPr>
          <w:p w:rsidR="00CE4EEF" w:rsidRDefault="00CE4EEF" w:rsidP="00F343E9">
            <w:r w:rsidRPr="00E3579A">
              <w:rPr>
                <w:rFonts w:cs="Arial"/>
                <w:sz w:val="18"/>
                <w:szCs w:val="18"/>
              </w:rPr>
              <w:t>√</w:t>
            </w:r>
          </w:p>
        </w:tc>
        <w:tc>
          <w:tcPr>
            <w:tcW w:w="784" w:type="dxa"/>
            <w:vAlign w:val="center"/>
          </w:tcPr>
          <w:p w:rsidR="00CE4EEF" w:rsidRDefault="00CE4EEF" w:rsidP="00F343E9">
            <w:r w:rsidRPr="00E3579A">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15"/>
            </w:r>
          </w:p>
        </w:tc>
        <w:tc>
          <w:tcPr>
            <w:tcW w:w="785" w:type="dxa"/>
            <w:vAlign w:val="center"/>
          </w:tcPr>
          <w:p w:rsidR="00CE4EEF" w:rsidRDefault="00CE4EEF" w:rsidP="00F343E9">
            <w:r>
              <w:rPr>
                <w:rFonts w:cs="Arial"/>
                <w:sz w:val="18"/>
                <w:szCs w:val="18"/>
              </w:rPr>
              <w:t>√</w:t>
            </w:r>
            <w:r>
              <w:rPr>
                <w:rStyle w:val="EndnoteReference"/>
              </w:rPr>
              <w:endnoteReference w:id="116"/>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FI</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vAlign w:val="center"/>
          </w:tcPr>
          <w:p w:rsidR="00CE4EEF" w:rsidRPr="00E217F3" w:rsidRDefault="00CE4EEF" w:rsidP="00F343E9">
            <w:pPr>
              <w:rPr>
                <w:sz w:val="18"/>
                <w:szCs w:val="18"/>
              </w:rPr>
            </w:pPr>
            <w:r>
              <w:rPr>
                <w:rFonts w:cs="Arial"/>
                <w:sz w:val="18"/>
                <w:szCs w:val="18"/>
              </w:rPr>
              <w:t>√</w:t>
            </w:r>
          </w:p>
        </w:tc>
        <w:tc>
          <w:tcPr>
            <w:tcW w:w="784" w:type="dxa"/>
            <w:tcBorders>
              <w:left w:val="single" w:sz="12" w:space="0" w:color="auto"/>
            </w:tcBorders>
            <w:vAlign w:val="center"/>
          </w:tcPr>
          <w:p w:rsidR="00CE4EEF" w:rsidRDefault="00CE4EEF" w:rsidP="00F343E9">
            <w:r w:rsidRPr="000A52A6">
              <w:rPr>
                <w:rFonts w:cs="Arial"/>
                <w:sz w:val="18"/>
                <w:szCs w:val="18"/>
              </w:rPr>
              <w:t>√</w:t>
            </w:r>
          </w:p>
        </w:tc>
        <w:tc>
          <w:tcPr>
            <w:tcW w:w="784" w:type="dxa"/>
            <w:vAlign w:val="center"/>
          </w:tcPr>
          <w:p w:rsidR="00CE4EEF" w:rsidRDefault="00CE4EEF" w:rsidP="00F343E9">
            <w:r w:rsidRPr="000A52A6">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17"/>
            </w:r>
          </w:p>
        </w:tc>
        <w:tc>
          <w:tcPr>
            <w:tcW w:w="785" w:type="dxa"/>
            <w:vAlign w:val="center"/>
          </w:tcPr>
          <w:p w:rsidR="00CE4EEF" w:rsidRDefault="00CE4EEF" w:rsidP="00F343E9">
            <w:r>
              <w:rPr>
                <w:rFonts w:cs="Arial"/>
                <w:sz w:val="18"/>
                <w:szCs w:val="18"/>
              </w:rPr>
              <w:t>√</w:t>
            </w:r>
            <w:r>
              <w:rPr>
                <w:rStyle w:val="EndnoteReference"/>
              </w:rPr>
              <w:endnoteReference w:id="118"/>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FR</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vAlign w:val="center"/>
          </w:tcPr>
          <w:p w:rsidR="00CE4EEF" w:rsidRDefault="00CE4EEF" w:rsidP="00F343E9">
            <w:r>
              <w:rPr>
                <w:rFonts w:cs="Arial"/>
                <w:sz w:val="18"/>
                <w:szCs w:val="18"/>
              </w:rPr>
              <w:t>√</w:t>
            </w:r>
            <w:r>
              <w:rPr>
                <w:rStyle w:val="EndnoteReference"/>
              </w:rPr>
              <w:endnoteReference w:id="119"/>
            </w:r>
          </w:p>
        </w:tc>
        <w:tc>
          <w:tcPr>
            <w:tcW w:w="784" w:type="dxa"/>
            <w:vAlign w:val="center"/>
          </w:tcPr>
          <w:p w:rsidR="00CE4EEF" w:rsidRDefault="00CE4EEF" w:rsidP="00F343E9">
            <w:r w:rsidRPr="002A2F8B">
              <w:rPr>
                <w:rFonts w:cs="Arial"/>
                <w:sz w:val="18"/>
                <w:szCs w:val="18"/>
              </w:rPr>
              <w:t>√</w:t>
            </w:r>
          </w:p>
        </w:tc>
        <w:tc>
          <w:tcPr>
            <w:tcW w:w="784" w:type="dxa"/>
            <w:vAlign w:val="center"/>
          </w:tcPr>
          <w:p w:rsidR="00CE4EEF" w:rsidRDefault="00CE4EEF" w:rsidP="00F343E9">
            <w:r w:rsidRPr="002A2F8B">
              <w:rPr>
                <w:rFonts w:cs="Arial"/>
                <w:sz w:val="18"/>
                <w:szCs w:val="18"/>
              </w:rPr>
              <w:t>√</w:t>
            </w:r>
          </w:p>
        </w:tc>
        <w:tc>
          <w:tcPr>
            <w:tcW w:w="785" w:type="dxa"/>
            <w:vAlign w:val="center"/>
          </w:tcPr>
          <w:p w:rsidR="00CE4EEF" w:rsidRDefault="00CE4EEF" w:rsidP="00F343E9">
            <w:r>
              <w:rPr>
                <w:rFonts w:cs="Arial"/>
                <w:sz w:val="18"/>
                <w:szCs w:val="18"/>
              </w:rPr>
              <w:t>√</w:t>
            </w:r>
            <w:r>
              <w:rPr>
                <w:rStyle w:val="EndnoteReference"/>
              </w:rPr>
              <w:endnoteReference w:id="120"/>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HR</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vAlign w:val="center"/>
          </w:tcPr>
          <w:p w:rsidR="00CE4EEF" w:rsidRDefault="00CE4EEF" w:rsidP="00F343E9">
            <w:r w:rsidRPr="00F461DB">
              <w:rPr>
                <w:rFonts w:cs="Arial"/>
                <w:sz w:val="18"/>
                <w:szCs w:val="18"/>
              </w:rPr>
              <w:t>√</w:t>
            </w:r>
          </w:p>
        </w:tc>
        <w:tc>
          <w:tcPr>
            <w:tcW w:w="784" w:type="dxa"/>
            <w:tcBorders>
              <w:left w:val="single" w:sz="12" w:space="0" w:color="auto"/>
            </w:tcBorders>
            <w:vAlign w:val="center"/>
          </w:tcPr>
          <w:p w:rsidR="00CE4EEF" w:rsidRDefault="00CE4EEF" w:rsidP="00F343E9">
            <w:r w:rsidRPr="005D6FFF">
              <w:rPr>
                <w:rFonts w:cs="Arial"/>
                <w:sz w:val="18"/>
                <w:szCs w:val="18"/>
              </w:rPr>
              <w:t>√</w:t>
            </w:r>
          </w:p>
        </w:tc>
        <w:tc>
          <w:tcPr>
            <w:tcW w:w="784" w:type="dxa"/>
            <w:vAlign w:val="center"/>
          </w:tcPr>
          <w:p w:rsidR="00CE4EEF" w:rsidRDefault="00CE4EEF" w:rsidP="00F343E9">
            <w:r w:rsidRPr="005D6FFF">
              <w:rPr>
                <w:rFonts w:cs="Arial"/>
                <w:sz w:val="18"/>
                <w:szCs w:val="18"/>
              </w:rPr>
              <w:t>√</w:t>
            </w:r>
          </w:p>
        </w:tc>
        <w:tc>
          <w:tcPr>
            <w:tcW w:w="784" w:type="dxa"/>
            <w:vAlign w:val="center"/>
          </w:tcPr>
          <w:p w:rsidR="00CE4EEF" w:rsidRDefault="00CE4EEF" w:rsidP="00F343E9">
            <w:r w:rsidRPr="005D6FFF">
              <w:rPr>
                <w:rFonts w:cs="Arial"/>
                <w:sz w:val="18"/>
                <w:szCs w:val="18"/>
              </w:rPr>
              <w:t>√</w:t>
            </w:r>
          </w:p>
        </w:tc>
        <w:tc>
          <w:tcPr>
            <w:tcW w:w="785" w:type="dxa"/>
            <w:vAlign w:val="center"/>
          </w:tcPr>
          <w:p w:rsidR="00CE4EEF" w:rsidRDefault="00CE4EEF" w:rsidP="00F343E9">
            <w:r w:rsidRPr="005D6FFF">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HU</w:t>
            </w:r>
          </w:p>
        </w:tc>
        <w:tc>
          <w:tcPr>
            <w:tcW w:w="733" w:type="dxa"/>
            <w:tcBorders>
              <w:left w:val="single" w:sz="12" w:space="0" w:color="auto"/>
            </w:tcBorders>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5"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D1553F">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4" w:type="dxa"/>
            <w:vAlign w:val="center"/>
          </w:tcPr>
          <w:p w:rsidR="00CE4EEF" w:rsidRDefault="00CE4EEF" w:rsidP="00F343E9">
            <w:r w:rsidRPr="00E4017C">
              <w:rPr>
                <w:rFonts w:cs="Arial"/>
                <w:sz w:val="18"/>
                <w:szCs w:val="18"/>
              </w:rPr>
              <w:t>√</w:t>
            </w:r>
          </w:p>
        </w:tc>
        <w:tc>
          <w:tcPr>
            <w:tcW w:w="785" w:type="dxa"/>
            <w:gridSpan w:val="2"/>
            <w:tcBorders>
              <w:right w:val="single" w:sz="12" w:space="0" w:color="auto"/>
            </w:tcBorders>
            <w:vAlign w:val="center"/>
          </w:tcPr>
          <w:p w:rsidR="00CE4EEF" w:rsidRDefault="00CE4EEF" w:rsidP="00F343E9">
            <w:r w:rsidRPr="00F461DB">
              <w:rPr>
                <w:rFonts w:cs="Arial"/>
                <w:sz w:val="18"/>
                <w:szCs w:val="18"/>
              </w:rPr>
              <w:t>√</w:t>
            </w:r>
          </w:p>
        </w:tc>
        <w:tc>
          <w:tcPr>
            <w:tcW w:w="784" w:type="dxa"/>
            <w:tcBorders>
              <w:left w:val="single" w:sz="12" w:space="0" w:color="auto"/>
            </w:tcBorders>
            <w:vAlign w:val="center"/>
          </w:tcPr>
          <w:p w:rsidR="00CE4EEF" w:rsidRDefault="00CE4EEF" w:rsidP="00F343E9">
            <w:r w:rsidRPr="002C0088">
              <w:rPr>
                <w:rFonts w:cs="Arial"/>
                <w:sz w:val="18"/>
                <w:szCs w:val="18"/>
              </w:rPr>
              <w:t>√</w:t>
            </w:r>
          </w:p>
        </w:tc>
        <w:tc>
          <w:tcPr>
            <w:tcW w:w="784" w:type="dxa"/>
            <w:vAlign w:val="center"/>
          </w:tcPr>
          <w:p w:rsidR="00CE4EEF" w:rsidRDefault="00CE4EEF" w:rsidP="00F343E9">
            <w:r w:rsidRPr="002C0088">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21"/>
            </w:r>
          </w:p>
        </w:tc>
        <w:tc>
          <w:tcPr>
            <w:tcW w:w="785" w:type="dxa"/>
            <w:vAlign w:val="center"/>
          </w:tcPr>
          <w:p w:rsidR="00CE4EEF" w:rsidRDefault="00CE4EEF" w:rsidP="00F343E9">
            <w:r>
              <w:rPr>
                <w:rFonts w:cs="Arial"/>
                <w:sz w:val="18"/>
                <w:szCs w:val="18"/>
              </w:rPr>
              <w:t>√</w:t>
            </w:r>
            <w:r>
              <w:rPr>
                <w:rStyle w:val="EndnoteReference"/>
              </w:rPr>
              <w:endnoteReference w:id="122"/>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IE</w:t>
            </w:r>
          </w:p>
        </w:tc>
        <w:tc>
          <w:tcPr>
            <w:tcW w:w="733" w:type="dxa"/>
            <w:tcBorders>
              <w:left w:val="single" w:sz="12" w:space="0" w:color="auto"/>
            </w:tcBorders>
            <w:vAlign w:val="center"/>
          </w:tcPr>
          <w:p w:rsidR="00CE4EEF" w:rsidRPr="00E217F3" w:rsidRDefault="00CE4EEF" w:rsidP="00F343E9">
            <w:pPr>
              <w:rPr>
                <w:sz w:val="18"/>
                <w:szCs w:val="18"/>
              </w:rPr>
            </w:pPr>
            <w:r>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vAlign w:val="center"/>
          </w:tcPr>
          <w:p w:rsidR="00CE4EEF" w:rsidRDefault="00CE4EEF" w:rsidP="00F343E9">
            <w:r w:rsidRPr="00D05282">
              <w:rPr>
                <w:rFonts w:cs="Arial"/>
                <w:sz w:val="18"/>
                <w:szCs w:val="18"/>
              </w:rPr>
              <w:t>√</w:t>
            </w:r>
          </w:p>
        </w:tc>
        <w:tc>
          <w:tcPr>
            <w:tcW w:w="785" w:type="dxa"/>
            <w:vAlign w:val="center"/>
          </w:tcPr>
          <w:p w:rsidR="00CE4EEF" w:rsidRDefault="00CE4EEF" w:rsidP="00F343E9">
            <w:r w:rsidRPr="00D05282">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vAlign w:val="center"/>
          </w:tcPr>
          <w:p w:rsidR="00CE4EEF" w:rsidRDefault="00CE4EEF" w:rsidP="00F343E9">
            <w:r w:rsidRPr="00843685">
              <w:rPr>
                <w:rFonts w:cs="Arial"/>
                <w:sz w:val="18"/>
                <w:szCs w:val="18"/>
              </w:rPr>
              <w:t>√</w:t>
            </w:r>
          </w:p>
        </w:tc>
        <w:tc>
          <w:tcPr>
            <w:tcW w:w="784" w:type="dxa"/>
            <w:vAlign w:val="center"/>
          </w:tcPr>
          <w:p w:rsidR="00CE4EEF" w:rsidRDefault="00CE4EEF" w:rsidP="00F343E9">
            <w:r w:rsidRPr="00843685">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vAlign w:val="center"/>
          </w:tcPr>
          <w:p w:rsidR="00CE4EEF" w:rsidRDefault="00CE4EEF" w:rsidP="00F343E9">
            <w:r w:rsidRPr="00780F40">
              <w:rPr>
                <w:rFonts w:cs="Arial"/>
                <w:sz w:val="18"/>
                <w:szCs w:val="18"/>
              </w:rPr>
              <w:t>√</w:t>
            </w:r>
          </w:p>
        </w:tc>
        <w:tc>
          <w:tcPr>
            <w:tcW w:w="784" w:type="dxa"/>
            <w:vAlign w:val="center"/>
          </w:tcPr>
          <w:p w:rsidR="00CE4EEF" w:rsidRDefault="00CE4EEF" w:rsidP="00F343E9">
            <w:r w:rsidRPr="00780F40">
              <w:rPr>
                <w:rFonts w:cs="Arial"/>
                <w:sz w:val="18"/>
                <w:szCs w:val="18"/>
              </w:rPr>
              <w:t>√</w:t>
            </w:r>
          </w:p>
        </w:tc>
        <w:tc>
          <w:tcPr>
            <w:tcW w:w="784" w:type="dxa"/>
            <w:vAlign w:val="center"/>
          </w:tcPr>
          <w:p w:rsidR="00CE4EEF" w:rsidRDefault="00CE4EEF" w:rsidP="00F343E9">
            <w:r w:rsidRPr="00780F40">
              <w:rPr>
                <w:rFonts w:cs="Arial"/>
                <w:sz w:val="18"/>
                <w:szCs w:val="18"/>
              </w:rPr>
              <w:t>√</w:t>
            </w:r>
          </w:p>
        </w:tc>
        <w:tc>
          <w:tcPr>
            <w:tcW w:w="785" w:type="dxa"/>
            <w:vAlign w:val="center"/>
          </w:tcPr>
          <w:p w:rsidR="00CE4EEF" w:rsidRDefault="00CE4EEF" w:rsidP="00F343E9">
            <w:r w:rsidRPr="00780F40">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IT</w:t>
            </w:r>
          </w:p>
        </w:tc>
        <w:tc>
          <w:tcPr>
            <w:tcW w:w="733" w:type="dxa"/>
            <w:tcBorders>
              <w:left w:val="single" w:sz="12" w:space="0" w:color="auto"/>
            </w:tcBorders>
          </w:tcPr>
          <w:p w:rsidR="00CE4EEF" w:rsidRDefault="00CE4EEF" w:rsidP="00F343E9">
            <w:r w:rsidRPr="00ED6ED6">
              <w:rPr>
                <w:rFonts w:cs="Arial"/>
                <w:sz w:val="18"/>
                <w:szCs w:val="18"/>
              </w:rPr>
              <w:t>√</w:t>
            </w:r>
          </w:p>
        </w:tc>
        <w:tc>
          <w:tcPr>
            <w:tcW w:w="784" w:type="dxa"/>
          </w:tcPr>
          <w:p w:rsidR="00CE4EEF" w:rsidRDefault="00CE4EEF" w:rsidP="00F343E9">
            <w:r w:rsidRPr="00ED6ED6">
              <w:rPr>
                <w:rFonts w:cs="Arial"/>
                <w:sz w:val="18"/>
                <w:szCs w:val="18"/>
              </w:rPr>
              <w:t>√</w:t>
            </w:r>
          </w:p>
        </w:tc>
        <w:tc>
          <w:tcPr>
            <w:tcW w:w="784" w:type="dxa"/>
          </w:tcPr>
          <w:p w:rsidR="00CE4EEF" w:rsidRDefault="00CE4EEF" w:rsidP="00F343E9">
            <w:r w:rsidRPr="00ED6ED6">
              <w:rPr>
                <w:rFonts w:cs="Arial"/>
                <w:sz w:val="18"/>
                <w:szCs w:val="18"/>
              </w:rPr>
              <w:t>√</w:t>
            </w:r>
          </w:p>
        </w:tc>
        <w:tc>
          <w:tcPr>
            <w:tcW w:w="785" w:type="dxa"/>
          </w:tcPr>
          <w:p w:rsidR="00CE4EEF" w:rsidRDefault="00CE4EEF" w:rsidP="00F343E9">
            <w:r w:rsidRPr="00ED6ED6">
              <w:rPr>
                <w:rFonts w:cs="Arial"/>
                <w:sz w:val="18"/>
                <w:szCs w:val="18"/>
              </w:rPr>
              <w:t>√</w:t>
            </w:r>
          </w:p>
        </w:tc>
        <w:tc>
          <w:tcPr>
            <w:tcW w:w="784" w:type="dxa"/>
          </w:tcPr>
          <w:p w:rsidR="00CE4EEF" w:rsidRDefault="00CE4EEF" w:rsidP="00F343E9">
            <w:r w:rsidRPr="00ED6ED6">
              <w:rPr>
                <w:rFonts w:cs="Arial"/>
                <w:sz w:val="18"/>
                <w:szCs w:val="18"/>
              </w:rPr>
              <w:t>√</w:t>
            </w:r>
          </w:p>
        </w:tc>
        <w:tc>
          <w:tcPr>
            <w:tcW w:w="784" w:type="dxa"/>
          </w:tcPr>
          <w:p w:rsidR="00CE4EEF" w:rsidRDefault="00CE4EEF" w:rsidP="00F343E9">
            <w:r w:rsidRPr="00ED6ED6">
              <w:rPr>
                <w:rFonts w:cs="Arial"/>
                <w:sz w:val="18"/>
                <w:szCs w:val="18"/>
              </w:rPr>
              <w:t>√</w:t>
            </w:r>
          </w:p>
        </w:tc>
        <w:tc>
          <w:tcPr>
            <w:tcW w:w="784" w:type="dxa"/>
          </w:tcPr>
          <w:p w:rsidR="00CE4EEF" w:rsidRDefault="00CE4EEF" w:rsidP="00F343E9">
            <w:r w:rsidRPr="00ED6ED6">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vAlign w:val="center"/>
          </w:tcPr>
          <w:p w:rsidR="00CE4EEF" w:rsidRPr="00E217F3" w:rsidRDefault="00CE4EEF" w:rsidP="00F343E9">
            <w:pPr>
              <w:rPr>
                <w:sz w:val="18"/>
                <w:szCs w:val="18"/>
              </w:rPr>
            </w:pPr>
            <w:r>
              <w:rPr>
                <w:rFonts w:cs="Arial"/>
                <w:sz w:val="18"/>
                <w:szCs w:val="18"/>
              </w:rPr>
              <w:t>√</w:t>
            </w:r>
          </w:p>
        </w:tc>
        <w:tc>
          <w:tcPr>
            <w:tcW w:w="784" w:type="dxa"/>
            <w:tcBorders>
              <w:left w:val="single" w:sz="12" w:space="0" w:color="auto"/>
            </w:tcBorders>
          </w:tcPr>
          <w:p w:rsidR="00CE4EEF" w:rsidRDefault="00CE4EEF" w:rsidP="00F343E9">
            <w:r w:rsidRPr="00074DFB">
              <w:rPr>
                <w:rFonts w:cs="Arial"/>
                <w:sz w:val="18"/>
                <w:szCs w:val="18"/>
              </w:rPr>
              <w:t>√</w:t>
            </w:r>
          </w:p>
        </w:tc>
        <w:tc>
          <w:tcPr>
            <w:tcW w:w="784" w:type="dxa"/>
          </w:tcPr>
          <w:p w:rsidR="00CE4EEF" w:rsidRDefault="00CE4EEF" w:rsidP="00F343E9">
            <w:r w:rsidRPr="003131AD">
              <w:rPr>
                <w:rFonts w:cs="Arial"/>
                <w:sz w:val="18"/>
                <w:szCs w:val="18"/>
              </w:rPr>
              <w:t>√</w:t>
            </w:r>
          </w:p>
        </w:tc>
        <w:tc>
          <w:tcPr>
            <w:tcW w:w="784" w:type="dxa"/>
          </w:tcPr>
          <w:p w:rsidR="00CE4EEF" w:rsidRDefault="00CE4EEF" w:rsidP="00F343E9">
            <w:r w:rsidRPr="00061A65">
              <w:rPr>
                <w:rFonts w:cs="Arial"/>
                <w:sz w:val="18"/>
                <w:szCs w:val="18"/>
              </w:rPr>
              <w:t>√</w:t>
            </w:r>
          </w:p>
        </w:tc>
        <w:tc>
          <w:tcPr>
            <w:tcW w:w="785" w:type="dxa"/>
            <w:vAlign w:val="center"/>
          </w:tcPr>
          <w:p w:rsidR="00CE4EEF" w:rsidRDefault="00CE4EEF" w:rsidP="00F343E9">
            <w:r>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LT</w:t>
            </w:r>
          </w:p>
        </w:tc>
        <w:tc>
          <w:tcPr>
            <w:tcW w:w="733" w:type="dxa"/>
            <w:tcBorders>
              <w:left w:val="single" w:sz="12" w:space="0" w:color="auto"/>
            </w:tcBorders>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5"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5" w:type="dxa"/>
            <w:gridSpan w:val="2"/>
            <w:tcBorders>
              <w:right w:val="single" w:sz="12" w:space="0" w:color="auto"/>
            </w:tcBorders>
          </w:tcPr>
          <w:p w:rsidR="00CE4EEF" w:rsidRDefault="00CE4EEF" w:rsidP="00F343E9">
            <w:r w:rsidRPr="00EF4A55">
              <w:rPr>
                <w:rFonts w:cs="Arial"/>
                <w:sz w:val="18"/>
                <w:szCs w:val="18"/>
              </w:rPr>
              <w:t>√</w:t>
            </w:r>
          </w:p>
        </w:tc>
        <w:tc>
          <w:tcPr>
            <w:tcW w:w="784" w:type="dxa"/>
            <w:tcBorders>
              <w:left w:val="single" w:sz="12" w:space="0" w:color="auto"/>
            </w:tcBorders>
          </w:tcPr>
          <w:p w:rsidR="00CE4EEF" w:rsidRDefault="00CE4EEF" w:rsidP="00F343E9">
            <w:r w:rsidRPr="00074DFB">
              <w:rPr>
                <w:rFonts w:cs="Arial"/>
                <w:sz w:val="18"/>
                <w:szCs w:val="18"/>
              </w:rPr>
              <w:t>√</w:t>
            </w:r>
          </w:p>
        </w:tc>
        <w:tc>
          <w:tcPr>
            <w:tcW w:w="784" w:type="dxa"/>
          </w:tcPr>
          <w:p w:rsidR="00CE4EEF" w:rsidRDefault="00CE4EEF" w:rsidP="00F343E9">
            <w:r w:rsidRPr="003131AD">
              <w:rPr>
                <w:rFonts w:cs="Arial"/>
                <w:sz w:val="18"/>
                <w:szCs w:val="18"/>
              </w:rPr>
              <w:t>√</w:t>
            </w:r>
          </w:p>
        </w:tc>
        <w:tc>
          <w:tcPr>
            <w:tcW w:w="784" w:type="dxa"/>
          </w:tcPr>
          <w:p w:rsidR="00CE4EEF" w:rsidRDefault="00CE4EEF" w:rsidP="00F343E9">
            <w:r w:rsidRPr="00061A65">
              <w:rPr>
                <w:rFonts w:cs="Arial"/>
                <w:sz w:val="18"/>
                <w:szCs w:val="18"/>
              </w:rPr>
              <w:t>√</w:t>
            </w:r>
          </w:p>
        </w:tc>
        <w:tc>
          <w:tcPr>
            <w:tcW w:w="785"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LU</w:t>
            </w:r>
          </w:p>
        </w:tc>
        <w:tc>
          <w:tcPr>
            <w:tcW w:w="733" w:type="dxa"/>
            <w:tcBorders>
              <w:left w:val="single" w:sz="12" w:space="0" w:color="auto"/>
            </w:tcBorders>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5"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5" w:type="dxa"/>
            <w:gridSpan w:val="2"/>
            <w:tcBorders>
              <w:right w:val="single" w:sz="12" w:space="0" w:color="auto"/>
            </w:tcBorders>
          </w:tcPr>
          <w:p w:rsidR="00CE4EEF" w:rsidRDefault="00CE4EEF" w:rsidP="00F343E9">
            <w:r w:rsidRPr="00EF4A55">
              <w:rPr>
                <w:rFonts w:cs="Arial"/>
                <w:sz w:val="18"/>
                <w:szCs w:val="18"/>
              </w:rPr>
              <w:t>√</w:t>
            </w:r>
          </w:p>
        </w:tc>
        <w:tc>
          <w:tcPr>
            <w:tcW w:w="784" w:type="dxa"/>
            <w:tcBorders>
              <w:left w:val="single" w:sz="12" w:space="0" w:color="auto"/>
            </w:tcBorders>
          </w:tcPr>
          <w:p w:rsidR="00CE4EEF" w:rsidRDefault="00CE4EEF" w:rsidP="00F343E9">
            <w:r w:rsidRPr="00074DFB">
              <w:rPr>
                <w:rFonts w:cs="Arial"/>
                <w:sz w:val="18"/>
                <w:szCs w:val="18"/>
              </w:rPr>
              <w:t>√</w:t>
            </w:r>
          </w:p>
        </w:tc>
        <w:tc>
          <w:tcPr>
            <w:tcW w:w="784" w:type="dxa"/>
          </w:tcPr>
          <w:p w:rsidR="00CE4EEF" w:rsidRDefault="00CE4EEF" w:rsidP="00F343E9">
            <w:r w:rsidRPr="003131AD">
              <w:rPr>
                <w:rFonts w:cs="Arial"/>
                <w:sz w:val="18"/>
                <w:szCs w:val="18"/>
              </w:rPr>
              <w:t>√</w:t>
            </w:r>
          </w:p>
        </w:tc>
        <w:tc>
          <w:tcPr>
            <w:tcW w:w="784" w:type="dxa"/>
          </w:tcPr>
          <w:p w:rsidR="00CE4EEF" w:rsidRDefault="00CE4EEF" w:rsidP="00F343E9">
            <w:r w:rsidRPr="00061A65">
              <w:rPr>
                <w:rFonts w:cs="Arial"/>
                <w:sz w:val="18"/>
                <w:szCs w:val="18"/>
              </w:rPr>
              <w:t>√</w:t>
            </w:r>
          </w:p>
        </w:tc>
        <w:tc>
          <w:tcPr>
            <w:tcW w:w="785" w:type="dxa"/>
            <w:vAlign w:val="center"/>
          </w:tcPr>
          <w:p w:rsidR="00CE4EEF" w:rsidRDefault="00CE4EEF" w:rsidP="00F343E9">
            <w:r>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LV</w:t>
            </w:r>
          </w:p>
        </w:tc>
        <w:tc>
          <w:tcPr>
            <w:tcW w:w="733" w:type="dxa"/>
            <w:tcBorders>
              <w:left w:val="single" w:sz="12" w:space="0" w:color="auto"/>
            </w:tcBorders>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5"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4" w:type="dxa"/>
          </w:tcPr>
          <w:p w:rsidR="00CE4EEF" w:rsidRDefault="00CE4EEF" w:rsidP="00F343E9">
            <w:r w:rsidRPr="00EF4A55">
              <w:rPr>
                <w:rFonts w:cs="Arial"/>
                <w:sz w:val="18"/>
                <w:szCs w:val="18"/>
              </w:rPr>
              <w:t>√</w:t>
            </w:r>
          </w:p>
        </w:tc>
        <w:tc>
          <w:tcPr>
            <w:tcW w:w="785" w:type="dxa"/>
            <w:gridSpan w:val="2"/>
            <w:tcBorders>
              <w:right w:val="single" w:sz="12" w:space="0" w:color="auto"/>
            </w:tcBorders>
          </w:tcPr>
          <w:p w:rsidR="00CE4EEF" w:rsidRDefault="00CE4EEF" w:rsidP="00F343E9">
            <w:r w:rsidRPr="00EF4A55">
              <w:rPr>
                <w:rFonts w:cs="Arial"/>
                <w:sz w:val="18"/>
                <w:szCs w:val="18"/>
              </w:rPr>
              <w:t>√</w:t>
            </w:r>
          </w:p>
        </w:tc>
        <w:tc>
          <w:tcPr>
            <w:tcW w:w="784" w:type="dxa"/>
            <w:tcBorders>
              <w:left w:val="single" w:sz="12" w:space="0" w:color="auto"/>
            </w:tcBorders>
          </w:tcPr>
          <w:p w:rsidR="00CE4EEF" w:rsidRDefault="00CE4EEF" w:rsidP="00F343E9">
            <w:r w:rsidRPr="00074DFB">
              <w:rPr>
                <w:rFonts w:cs="Arial"/>
                <w:sz w:val="18"/>
                <w:szCs w:val="18"/>
              </w:rPr>
              <w:t>√</w:t>
            </w:r>
          </w:p>
        </w:tc>
        <w:tc>
          <w:tcPr>
            <w:tcW w:w="784" w:type="dxa"/>
          </w:tcPr>
          <w:p w:rsidR="00CE4EEF" w:rsidRDefault="00CE4EEF" w:rsidP="00F343E9">
            <w:r w:rsidRPr="003131AD">
              <w:rPr>
                <w:rFonts w:cs="Arial"/>
                <w:sz w:val="18"/>
                <w:szCs w:val="18"/>
              </w:rPr>
              <w:t>√</w:t>
            </w:r>
          </w:p>
        </w:tc>
        <w:tc>
          <w:tcPr>
            <w:tcW w:w="784" w:type="dxa"/>
          </w:tcPr>
          <w:p w:rsidR="00CE4EEF" w:rsidRDefault="00CE4EEF" w:rsidP="00F343E9">
            <w:r w:rsidRPr="00061A65">
              <w:rPr>
                <w:rFonts w:cs="Arial"/>
                <w:sz w:val="18"/>
                <w:szCs w:val="18"/>
              </w:rPr>
              <w:t>√</w:t>
            </w:r>
          </w:p>
        </w:tc>
        <w:tc>
          <w:tcPr>
            <w:tcW w:w="785" w:type="dxa"/>
            <w:shd w:val="clear" w:color="auto" w:fill="D9D9D9" w:themeFill="background1" w:themeFillShade="D9"/>
            <w:vAlign w:val="center"/>
          </w:tcPr>
          <w:p w:rsidR="00CE4EEF" w:rsidRDefault="00CE4EEF" w:rsidP="00F343E9"/>
        </w:tc>
      </w:tr>
      <w:tr w:rsidR="00A1222C"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MT</w:t>
            </w:r>
          </w:p>
        </w:tc>
        <w:tc>
          <w:tcPr>
            <w:tcW w:w="733"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212766">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tcPr>
          <w:p w:rsidR="00CE4EEF" w:rsidRDefault="00CE4EEF" w:rsidP="00F343E9">
            <w:r w:rsidRPr="00074DFB">
              <w:rPr>
                <w:rFonts w:cs="Arial"/>
                <w:sz w:val="18"/>
                <w:szCs w:val="18"/>
              </w:rPr>
              <w:t>√</w:t>
            </w:r>
          </w:p>
        </w:tc>
        <w:tc>
          <w:tcPr>
            <w:tcW w:w="784" w:type="dxa"/>
          </w:tcPr>
          <w:p w:rsidR="00CE4EEF" w:rsidRDefault="00CE4EEF" w:rsidP="00F343E9">
            <w:r w:rsidRPr="003131AD">
              <w:rPr>
                <w:rFonts w:cs="Arial"/>
                <w:sz w:val="18"/>
                <w:szCs w:val="18"/>
              </w:rPr>
              <w:t>√</w:t>
            </w:r>
          </w:p>
        </w:tc>
        <w:tc>
          <w:tcPr>
            <w:tcW w:w="784" w:type="dxa"/>
          </w:tcPr>
          <w:p w:rsidR="00CE4EEF" w:rsidRDefault="00CE4EEF" w:rsidP="00F343E9">
            <w:r w:rsidRPr="00061A65">
              <w:rPr>
                <w:rFonts w:cs="Arial"/>
                <w:sz w:val="18"/>
                <w:szCs w:val="18"/>
              </w:rPr>
              <w:t>√</w:t>
            </w:r>
          </w:p>
        </w:tc>
        <w:tc>
          <w:tcPr>
            <w:tcW w:w="785" w:type="dxa"/>
            <w:vAlign w:val="center"/>
          </w:tcPr>
          <w:p w:rsidR="00CE4EEF" w:rsidRDefault="00CE4EEF" w:rsidP="00F343E9">
            <w:r>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NL</w:t>
            </w:r>
          </w:p>
        </w:tc>
        <w:tc>
          <w:tcPr>
            <w:tcW w:w="733" w:type="dxa"/>
            <w:tcBorders>
              <w:left w:val="single" w:sz="12" w:space="0" w:color="auto"/>
            </w:tcBorders>
          </w:tcPr>
          <w:p w:rsidR="00CE4EEF" w:rsidRDefault="00CE4EEF" w:rsidP="00F343E9">
            <w:r w:rsidRPr="00C5263A">
              <w:rPr>
                <w:rFonts w:cs="Arial"/>
                <w:sz w:val="18"/>
                <w:szCs w:val="18"/>
              </w:rPr>
              <w:t>√</w:t>
            </w:r>
          </w:p>
        </w:tc>
        <w:tc>
          <w:tcPr>
            <w:tcW w:w="784" w:type="dxa"/>
          </w:tcPr>
          <w:p w:rsidR="00CE4EEF" w:rsidRDefault="00CE4EEF" w:rsidP="00F343E9">
            <w:r w:rsidRPr="00C5263A">
              <w:rPr>
                <w:rFonts w:cs="Arial"/>
                <w:sz w:val="18"/>
                <w:szCs w:val="18"/>
              </w:rPr>
              <w:t>√</w:t>
            </w:r>
          </w:p>
        </w:tc>
        <w:tc>
          <w:tcPr>
            <w:tcW w:w="784" w:type="dxa"/>
          </w:tcPr>
          <w:p w:rsidR="00CE4EEF" w:rsidRDefault="00CE4EEF" w:rsidP="00F343E9">
            <w:r w:rsidRPr="00C5263A">
              <w:rPr>
                <w:rFonts w:cs="Arial"/>
                <w:sz w:val="18"/>
                <w:szCs w:val="18"/>
              </w:rPr>
              <w:t>√</w:t>
            </w:r>
          </w:p>
        </w:tc>
        <w:tc>
          <w:tcPr>
            <w:tcW w:w="785" w:type="dxa"/>
          </w:tcPr>
          <w:p w:rsidR="00CE4EEF" w:rsidRDefault="00CE4EEF" w:rsidP="00F343E9">
            <w:r w:rsidRPr="00C5263A">
              <w:rPr>
                <w:rFonts w:cs="Arial"/>
                <w:sz w:val="18"/>
                <w:szCs w:val="18"/>
              </w:rPr>
              <w:t>√</w:t>
            </w:r>
          </w:p>
        </w:tc>
        <w:tc>
          <w:tcPr>
            <w:tcW w:w="784" w:type="dxa"/>
          </w:tcPr>
          <w:p w:rsidR="00CE4EEF" w:rsidRDefault="00CE4EEF" w:rsidP="00F343E9">
            <w:r w:rsidRPr="00212766">
              <w:rPr>
                <w:rFonts w:cs="Arial"/>
                <w:sz w:val="18"/>
                <w:szCs w:val="18"/>
              </w:rPr>
              <w:t>√</w:t>
            </w:r>
          </w:p>
        </w:tc>
        <w:tc>
          <w:tcPr>
            <w:tcW w:w="784" w:type="dxa"/>
          </w:tcPr>
          <w:p w:rsidR="00CE4EEF" w:rsidRDefault="00CE4EEF" w:rsidP="00F343E9">
            <w:r w:rsidRPr="00863559">
              <w:rPr>
                <w:rFonts w:cs="Arial"/>
                <w:sz w:val="18"/>
                <w:szCs w:val="18"/>
              </w:rPr>
              <w:t>√</w:t>
            </w:r>
          </w:p>
        </w:tc>
        <w:tc>
          <w:tcPr>
            <w:tcW w:w="784" w:type="dxa"/>
          </w:tcPr>
          <w:p w:rsidR="00CE4EEF" w:rsidRDefault="00CE4EEF" w:rsidP="00F343E9">
            <w:r w:rsidRPr="00863559">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vAlign w:val="center"/>
          </w:tcPr>
          <w:p w:rsidR="00CE4EEF" w:rsidRDefault="00CE4EEF" w:rsidP="00F343E9">
            <w:r>
              <w:rPr>
                <w:rFonts w:cs="Arial"/>
                <w:sz w:val="18"/>
                <w:szCs w:val="18"/>
              </w:rPr>
              <w:t>√</w:t>
            </w:r>
            <w:r>
              <w:rPr>
                <w:rStyle w:val="EndnoteReference"/>
              </w:rPr>
              <w:endnoteReference w:id="123"/>
            </w:r>
          </w:p>
        </w:tc>
        <w:tc>
          <w:tcPr>
            <w:tcW w:w="784" w:type="dxa"/>
          </w:tcPr>
          <w:p w:rsidR="00CE4EEF" w:rsidRDefault="00CE4EEF" w:rsidP="00F343E9">
            <w:r w:rsidRPr="003131AD">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24"/>
            </w:r>
          </w:p>
        </w:tc>
        <w:tc>
          <w:tcPr>
            <w:tcW w:w="785" w:type="dxa"/>
            <w:vAlign w:val="center"/>
          </w:tcPr>
          <w:p w:rsidR="00CE4EEF" w:rsidRDefault="00CE4EEF" w:rsidP="00F343E9">
            <w:r>
              <w:rPr>
                <w:rFonts w:cs="Arial"/>
                <w:sz w:val="18"/>
                <w:szCs w:val="18"/>
              </w:rPr>
              <w:t>√</w:t>
            </w:r>
            <w:r>
              <w:rPr>
                <w:rStyle w:val="EndnoteReference"/>
              </w:rPr>
              <w:endnoteReference w:id="125"/>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PL</w:t>
            </w:r>
          </w:p>
        </w:tc>
        <w:tc>
          <w:tcPr>
            <w:tcW w:w="733" w:type="dxa"/>
            <w:tcBorders>
              <w:left w:val="single" w:sz="12" w:space="0" w:color="auto"/>
            </w:tcBorders>
          </w:tcPr>
          <w:p w:rsidR="00CE4EEF" w:rsidRDefault="00CE4EEF" w:rsidP="00F343E9">
            <w:r w:rsidRPr="00C5263A">
              <w:rPr>
                <w:rFonts w:cs="Arial"/>
                <w:sz w:val="18"/>
                <w:szCs w:val="18"/>
              </w:rPr>
              <w:t>√</w:t>
            </w:r>
          </w:p>
        </w:tc>
        <w:tc>
          <w:tcPr>
            <w:tcW w:w="784" w:type="dxa"/>
          </w:tcPr>
          <w:p w:rsidR="00CE4EEF" w:rsidRDefault="00CE4EEF" w:rsidP="00F343E9">
            <w:r w:rsidRPr="00C5263A">
              <w:rPr>
                <w:rFonts w:cs="Arial"/>
                <w:sz w:val="18"/>
                <w:szCs w:val="18"/>
              </w:rPr>
              <w:t>√</w:t>
            </w:r>
          </w:p>
        </w:tc>
        <w:tc>
          <w:tcPr>
            <w:tcW w:w="784" w:type="dxa"/>
          </w:tcPr>
          <w:p w:rsidR="00CE4EEF" w:rsidRDefault="00CE4EEF" w:rsidP="00F343E9">
            <w:r w:rsidRPr="00C5263A">
              <w:rPr>
                <w:rFonts w:cs="Arial"/>
                <w:sz w:val="18"/>
                <w:szCs w:val="18"/>
              </w:rPr>
              <w:t>√</w:t>
            </w:r>
          </w:p>
        </w:tc>
        <w:tc>
          <w:tcPr>
            <w:tcW w:w="785" w:type="dxa"/>
          </w:tcPr>
          <w:p w:rsidR="00CE4EEF" w:rsidRDefault="00CE4EEF" w:rsidP="00F343E9">
            <w:r w:rsidRPr="00C5263A">
              <w:rPr>
                <w:rFonts w:cs="Arial"/>
                <w:sz w:val="18"/>
                <w:szCs w:val="18"/>
              </w:rPr>
              <w:t>√</w:t>
            </w:r>
          </w:p>
        </w:tc>
        <w:tc>
          <w:tcPr>
            <w:tcW w:w="784" w:type="dxa"/>
          </w:tcPr>
          <w:p w:rsidR="00CE4EEF" w:rsidRDefault="00CE4EEF" w:rsidP="00F343E9">
            <w:r w:rsidRPr="00212766">
              <w:rPr>
                <w:rFonts w:cs="Arial"/>
                <w:sz w:val="18"/>
                <w:szCs w:val="18"/>
              </w:rPr>
              <w:t>√</w:t>
            </w:r>
          </w:p>
        </w:tc>
        <w:tc>
          <w:tcPr>
            <w:tcW w:w="784" w:type="dxa"/>
          </w:tcPr>
          <w:p w:rsidR="00CE4EEF" w:rsidRDefault="00CE4EEF" w:rsidP="00F343E9">
            <w:r w:rsidRPr="00863559">
              <w:rPr>
                <w:rFonts w:cs="Arial"/>
                <w:sz w:val="18"/>
                <w:szCs w:val="18"/>
              </w:rPr>
              <w:t>√</w:t>
            </w:r>
          </w:p>
        </w:tc>
        <w:tc>
          <w:tcPr>
            <w:tcW w:w="784" w:type="dxa"/>
          </w:tcPr>
          <w:p w:rsidR="00CE4EEF" w:rsidRDefault="00CE4EEF" w:rsidP="00F343E9">
            <w:r w:rsidRPr="00863559">
              <w:rPr>
                <w:rFonts w:cs="Arial"/>
                <w:sz w:val="18"/>
                <w:szCs w:val="18"/>
              </w:rPr>
              <w:t>√</w:t>
            </w:r>
          </w:p>
        </w:tc>
        <w:tc>
          <w:tcPr>
            <w:tcW w:w="784" w:type="dxa"/>
          </w:tcPr>
          <w:p w:rsidR="00CE4EEF" w:rsidRDefault="00CE4EEF" w:rsidP="00F343E9">
            <w:r w:rsidRPr="00542DAD">
              <w:rPr>
                <w:rFonts w:cs="Arial"/>
                <w:sz w:val="18"/>
                <w:szCs w:val="18"/>
              </w:rPr>
              <w:t>√</w:t>
            </w:r>
          </w:p>
        </w:tc>
        <w:tc>
          <w:tcPr>
            <w:tcW w:w="785" w:type="dxa"/>
            <w:gridSpan w:val="2"/>
            <w:tcBorders>
              <w:right w:val="single" w:sz="12" w:space="0" w:color="auto"/>
            </w:tcBorders>
          </w:tcPr>
          <w:p w:rsidR="00CE4EEF" w:rsidRDefault="00CE4EEF" w:rsidP="00F343E9">
            <w:r w:rsidRPr="00542DAD">
              <w:rPr>
                <w:rFonts w:cs="Arial"/>
                <w:sz w:val="18"/>
                <w:szCs w:val="18"/>
              </w:rPr>
              <w:t>√</w:t>
            </w:r>
          </w:p>
        </w:tc>
        <w:tc>
          <w:tcPr>
            <w:tcW w:w="784" w:type="dxa"/>
            <w:tcBorders>
              <w:left w:val="single" w:sz="12" w:space="0" w:color="auto"/>
            </w:tcBorders>
            <w:vAlign w:val="center"/>
          </w:tcPr>
          <w:p w:rsidR="00CE4EEF" w:rsidRDefault="00CE4EEF" w:rsidP="00F343E9">
            <w:r>
              <w:rPr>
                <w:rFonts w:cs="Arial"/>
                <w:sz w:val="18"/>
                <w:szCs w:val="18"/>
              </w:rPr>
              <w:t>√</w:t>
            </w:r>
            <w:r>
              <w:rPr>
                <w:rStyle w:val="EndnoteReference"/>
              </w:rPr>
              <w:endnoteReference w:id="126"/>
            </w:r>
          </w:p>
        </w:tc>
        <w:tc>
          <w:tcPr>
            <w:tcW w:w="784" w:type="dxa"/>
            <w:vAlign w:val="center"/>
          </w:tcPr>
          <w:p w:rsidR="00CE4EEF" w:rsidRDefault="00CE4EEF" w:rsidP="00F343E9">
            <w:r>
              <w:rPr>
                <w:rFonts w:cs="Arial"/>
                <w:sz w:val="18"/>
                <w:szCs w:val="18"/>
              </w:rPr>
              <w:t>√</w:t>
            </w:r>
            <w:r>
              <w:rPr>
                <w:rStyle w:val="EndnoteReference"/>
              </w:rPr>
              <w:endnoteReference w:id="127"/>
            </w:r>
          </w:p>
        </w:tc>
        <w:tc>
          <w:tcPr>
            <w:tcW w:w="784" w:type="dxa"/>
            <w:vAlign w:val="center"/>
          </w:tcPr>
          <w:p w:rsidR="00CE4EEF" w:rsidRDefault="00CE4EEF" w:rsidP="00F343E9">
            <w:r>
              <w:rPr>
                <w:rFonts w:cs="Arial"/>
                <w:sz w:val="18"/>
                <w:szCs w:val="18"/>
              </w:rPr>
              <w:t>√</w:t>
            </w:r>
            <w:r>
              <w:rPr>
                <w:rStyle w:val="EndnoteReference"/>
              </w:rPr>
              <w:endnoteReference w:id="128"/>
            </w:r>
          </w:p>
        </w:tc>
        <w:tc>
          <w:tcPr>
            <w:tcW w:w="785" w:type="dxa"/>
            <w:vAlign w:val="center"/>
          </w:tcPr>
          <w:p w:rsidR="00CE4EEF" w:rsidRDefault="00CE4EEF" w:rsidP="00F343E9">
            <w:r>
              <w:rPr>
                <w:rFonts w:cs="Arial"/>
                <w:sz w:val="18"/>
                <w:szCs w:val="18"/>
              </w:rPr>
              <w:t>√</w:t>
            </w:r>
            <w:r>
              <w:rPr>
                <w:rStyle w:val="EndnoteReference"/>
              </w:rPr>
              <w:endnoteReference w:id="129"/>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PT</w:t>
            </w:r>
          </w:p>
        </w:tc>
        <w:tc>
          <w:tcPr>
            <w:tcW w:w="733" w:type="dxa"/>
            <w:tcBorders>
              <w:left w:val="single" w:sz="12" w:space="0" w:color="auto"/>
            </w:tcBorders>
          </w:tcPr>
          <w:p w:rsidR="00CE4EEF" w:rsidRDefault="00CE4EEF" w:rsidP="00F343E9">
            <w:r w:rsidRPr="004C6160">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10288A">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tcPr>
          <w:p w:rsidR="00CE4EEF" w:rsidRDefault="00CE4EEF" w:rsidP="00F343E9">
            <w:r w:rsidRPr="00011C5A">
              <w:rPr>
                <w:rFonts w:cs="Arial"/>
                <w:sz w:val="18"/>
                <w:szCs w:val="18"/>
              </w:rPr>
              <w:t>√</w:t>
            </w:r>
          </w:p>
        </w:tc>
        <w:tc>
          <w:tcPr>
            <w:tcW w:w="784" w:type="dxa"/>
            <w:tcBorders>
              <w:left w:val="single" w:sz="12" w:space="0" w:color="auto"/>
            </w:tcBorders>
          </w:tcPr>
          <w:p w:rsidR="00CE4EEF" w:rsidRDefault="00CE4EEF" w:rsidP="00F343E9">
            <w:r w:rsidRPr="0057135A">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30"/>
            </w:r>
          </w:p>
        </w:tc>
        <w:tc>
          <w:tcPr>
            <w:tcW w:w="784" w:type="dxa"/>
            <w:vAlign w:val="center"/>
          </w:tcPr>
          <w:p w:rsidR="00CE4EEF" w:rsidRDefault="00CE4EEF" w:rsidP="00F343E9">
            <w:r>
              <w:rPr>
                <w:rFonts w:cs="Arial"/>
                <w:sz w:val="18"/>
                <w:szCs w:val="18"/>
              </w:rPr>
              <w:t>√</w:t>
            </w:r>
            <w:r>
              <w:rPr>
                <w:rStyle w:val="EndnoteReference"/>
              </w:rPr>
              <w:endnoteReference w:id="131"/>
            </w:r>
          </w:p>
        </w:tc>
        <w:tc>
          <w:tcPr>
            <w:tcW w:w="785" w:type="dxa"/>
            <w:vAlign w:val="center"/>
          </w:tcPr>
          <w:p w:rsidR="00CE4EEF" w:rsidRDefault="00CE4EEF" w:rsidP="00F343E9">
            <w:r>
              <w:rPr>
                <w:rFonts w:cs="Arial"/>
                <w:sz w:val="18"/>
                <w:szCs w:val="18"/>
              </w:rPr>
              <w:t>√</w:t>
            </w:r>
            <w:r>
              <w:rPr>
                <w:rStyle w:val="EndnoteReference"/>
              </w:rPr>
              <w:endnoteReference w:id="132"/>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RO</w:t>
            </w:r>
          </w:p>
        </w:tc>
        <w:tc>
          <w:tcPr>
            <w:tcW w:w="733" w:type="dxa"/>
            <w:tcBorders>
              <w:left w:val="single" w:sz="12" w:space="0" w:color="auto"/>
            </w:tcBorders>
          </w:tcPr>
          <w:p w:rsidR="00CE4EEF" w:rsidRDefault="00CE4EEF" w:rsidP="00F343E9">
            <w:r w:rsidRPr="004C6160">
              <w:rPr>
                <w:rFonts w:cs="Arial"/>
                <w:sz w:val="18"/>
                <w:szCs w:val="18"/>
              </w:rPr>
              <w:t>√</w:t>
            </w:r>
          </w:p>
        </w:tc>
        <w:tc>
          <w:tcPr>
            <w:tcW w:w="784" w:type="dxa"/>
          </w:tcPr>
          <w:p w:rsidR="00CE4EEF" w:rsidRDefault="00CE4EEF" w:rsidP="00F343E9">
            <w:r w:rsidRPr="005969A9">
              <w:rPr>
                <w:rFonts w:cs="Arial"/>
                <w:sz w:val="18"/>
                <w:szCs w:val="18"/>
              </w:rPr>
              <w:t>√</w:t>
            </w:r>
          </w:p>
        </w:tc>
        <w:tc>
          <w:tcPr>
            <w:tcW w:w="784" w:type="dxa"/>
          </w:tcPr>
          <w:p w:rsidR="00CE4EEF" w:rsidRDefault="00CE4EEF" w:rsidP="00F343E9">
            <w:r w:rsidRPr="005969A9">
              <w:rPr>
                <w:rFonts w:cs="Arial"/>
                <w:sz w:val="18"/>
                <w:szCs w:val="18"/>
              </w:rPr>
              <w:t>√</w:t>
            </w:r>
          </w:p>
        </w:tc>
        <w:tc>
          <w:tcPr>
            <w:tcW w:w="785" w:type="dxa"/>
          </w:tcPr>
          <w:p w:rsidR="00CE4EEF" w:rsidRDefault="00CE4EEF" w:rsidP="00F343E9">
            <w:r w:rsidRPr="005969A9">
              <w:rPr>
                <w:rFonts w:cs="Arial"/>
                <w:sz w:val="18"/>
                <w:szCs w:val="18"/>
              </w:rPr>
              <w:t>√</w:t>
            </w:r>
          </w:p>
        </w:tc>
        <w:tc>
          <w:tcPr>
            <w:tcW w:w="784" w:type="dxa"/>
          </w:tcPr>
          <w:p w:rsidR="00CE4EEF" w:rsidRDefault="00CE4EEF" w:rsidP="00F343E9">
            <w:r w:rsidRPr="005969A9">
              <w:rPr>
                <w:rFonts w:cs="Arial"/>
                <w:sz w:val="18"/>
                <w:szCs w:val="18"/>
              </w:rPr>
              <w:t>√</w:t>
            </w:r>
          </w:p>
        </w:tc>
        <w:tc>
          <w:tcPr>
            <w:tcW w:w="784" w:type="dxa"/>
          </w:tcPr>
          <w:p w:rsidR="00CE4EEF" w:rsidRDefault="00CE4EEF" w:rsidP="00F343E9">
            <w:r w:rsidRPr="00300B36">
              <w:rPr>
                <w:rFonts w:cs="Arial"/>
                <w:sz w:val="18"/>
                <w:szCs w:val="18"/>
              </w:rPr>
              <w:t>√</w:t>
            </w:r>
          </w:p>
        </w:tc>
        <w:tc>
          <w:tcPr>
            <w:tcW w:w="784" w:type="dxa"/>
          </w:tcPr>
          <w:p w:rsidR="00CE4EEF" w:rsidRDefault="00CE4EEF" w:rsidP="00F343E9">
            <w:r w:rsidRPr="0010288A">
              <w:rPr>
                <w:rFonts w:cs="Arial"/>
                <w:sz w:val="18"/>
                <w:szCs w:val="18"/>
              </w:rPr>
              <w:t>√</w:t>
            </w:r>
          </w:p>
        </w:tc>
        <w:tc>
          <w:tcPr>
            <w:tcW w:w="784" w:type="dxa"/>
          </w:tcPr>
          <w:p w:rsidR="00CE4EEF" w:rsidRDefault="00CE4EEF" w:rsidP="00F343E9">
            <w:r w:rsidRPr="0056411A">
              <w:rPr>
                <w:rFonts w:cs="Arial"/>
                <w:sz w:val="18"/>
                <w:szCs w:val="18"/>
              </w:rPr>
              <w:t>√</w:t>
            </w:r>
          </w:p>
        </w:tc>
        <w:tc>
          <w:tcPr>
            <w:tcW w:w="785" w:type="dxa"/>
            <w:gridSpan w:val="2"/>
            <w:tcBorders>
              <w:right w:val="single" w:sz="12" w:space="0" w:color="auto"/>
            </w:tcBorders>
          </w:tcPr>
          <w:p w:rsidR="00CE4EEF" w:rsidRDefault="00CE4EEF" w:rsidP="00F343E9">
            <w:r w:rsidRPr="00011C5A">
              <w:rPr>
                <w:rFonts w:cs="Arial"/>
                <w:sz w:val="18"/>
                <w:szCs w:val="18"/>
              </w:rPr>
              <w:t>√</w:t>
            </w:r>
          </w:p>
        </w:tc>
        <w:tc>
          <w:tcPr>
            <w:tcW w:w="784" w:type="dxa"/>
            <w:tcBorders>
              <w:left w:val="single" w:sz="12" w:space="0" w:color="auto"/>
            </w:tcBorders>
          </w:tcPr>
          <w:p w:rsidR="00CE4EEF" w:rsidRDefault="00CE4EEF" w:rsidP="00F343E9">
            <w:r w:rsidRPr="0057135A">
              <w:rPr>
                <w:rFonts w:cs="Arial"/>
                <w:sz w:val="18"/>
                <w:szCs w:val="18"/>
              </w:rPr>
              <w:t>√</w:t>
            </w:r>
          </w:p>
        </w:tc>
        <w:tc>
          <w:tcPr>
            <w:tcW w:w="784" w:type="dxa"/>
          </w:tcPr>
          <w:p w:rsidR="00CE4EEF" w:rsidRDefault="00CE4EEF" w:rsidP="00F343E9">
            <w:r w:rsidRPr="00A73734">
              <w:rPr>
                <w:rFonts w:cs="Arial"/>
                <w:sz w:val="18"/>
                <w:szCs w:val="18"/>
              </w:rPr>
              <w:t>√</w:t>
            </w:r>
          </w:p>
        </w:tc>
        <w:tc>
          <w:tcPr>
            <w:tcW w:w="784" w:type="dxa"/>
          </w:tcPr>
          <w:p w:rsidR="00CE4EEF" w:rsidRDefault="00CE4EEF" w:rsidP="00F343E9">
            <w:r w:rsidRPr="00A73734">
              <w:rPr>
                <w:rFonts w:cs="Arial"/>
                <w:sz w:val="18"/>
                <w:szCs w:val="18"/>
              </w:rPr>
              <w:t>√</w:t>
            </w:r>
          </w:p>
        </w:tc>
        <w:tc>
          <w:tcPr>
            <w:tcW w:w="785" w:type="dxa"/>
            <w:vAlign w:val="center"/>
          </w:tcPr>
          <w:p w:rsidR="00CE4EEF" w:rsidRDefault="00CE4EEF" w:rsidP="00F343E9">
            <w:r>
              <w:rPr>
                <w:rFonts w:cs="Arial"/>
                <w:sz w:val="18"/>
                <w:szCs w:val="18"/>
              </w:rPr>
              <w:t>√</w:t>
            </w:r>
            <w:r>
              <w:rPr>
                <w:rStyle w:val="EndnoteReference"/>
              </w:rPr>
              <w:endnoteReference w:id="133"/>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SE</w:t>
            </w:r>
          </w:p>
        </w:tc>
        <w:tc>
          <w:tcPr>
            <w:tcW w:w="733" w:type="dxa"/>
            <w:tcBorders>
              <w:left w:val="single" w:sz="12" w:space="0" w:color="auto"/>
            </w:tcBorders>
          </w:tcPr>
          <w:p w:rsidR="00CE4EEF" w:rsidRDefault="00CE4EEF" w:rsidP="00F343E9">
            <w:r w:rsidRPr="004C6160">
              <w:rPr>
                <w:rFonts w:cs="Arial"/>
                <w:sz w:val="18"/>
                <w:szCs w:val="18"/>
              </w:rPr>
              <w:t>√</w:t>
            </w:r>
          </w:p>
        </w:tc>
        <w:tc>
          <w:tcPr>
            <w:tcW w:w="784" w:type="dxa"/>
          </w:tcPr>
          <w:p w:rsidR="00CE4EEF" w:rsidRDefault="00CE4EEF" w:rsidP="00F343E9">
            <w:r w:rsidRPr="005969A9">
              <w:rPr>
                <w:rFonts w:cs="Arial"/>
                <w:sz w:val="18"/>
                <w:szCs w:val="18"/>
              </w:rPr>
              <w:t>√</w:t>
            </w:r>
          </w:p>
        </w:tc>
        <w:tc>
          <w:tcPr>
            <w:tcW w:w="784" w:type="dxa"/>
          </w:tcPr>
          <w:p w:rsidR="00CE4EEF" w:rsidRDefault="00CE4EEF" w:rsidP="00F343E9">
            <w:r w:rsidRPr="005969A9">
              <w:rPr>
                <w:rFonts w:cs="Arial"/>
                <w:sz w:val="18"/>
                <w:szCs w:val="18"/>
              </w:rPr>
              <w:t>√</w:t>
            </w:r>
          </w:p>
        </w:tc>
        <w:tc>
          <w:tcPr>
            <w:tcW w:w="785" w:type="dxa"/>
          </w:tcPr>
          <w:p w:rsidR="00CE4EEF" w:rsidRDefault="00CE4EEF" w:rsidP="00F343E9">
            <w:r w:rsidRPr="005969A9">
              <w:rPr>
                <w:rFonts w:cs="Arial"/>
                <w:sz w:val="18"/>
                <w:szCs w:val="18"/>
              </w:rPr>
              <w:t>√</w:t>
            </w:r>
          </w:p>
        </w:tc>
        <w:tc>
          <w:tcPr>
            <w:tcW w:w="784" w:type="dxa"/>
          </w:tcPr>
          <w:p w:rsidR="00CE4EEF" w:rsidRDefault="00CE4EEF" w:rsidP="00F343E9">
            <w:r w:rsidRPr="005969A9">
              <w:rPr>
                <w:rFonts w:cs="Arial"/>
                <w:sz w:val="18"/>
                <w:szCs w:val="18"/>
              </w:rPr>
              <w:t>√</w:t>
            </w:r>
          </w:p>
        </w:tc>
        <w:tc>
          <w:tcPr>
            <w:tcW w:w="784" w:type="dxa"/>
          </w:tcPr>
          <w:p w:rsidR="00CE4EEF" w:rsidRDefault="00CE4EEF" w:rsidP="00F343E9">
            <w:r w:rsidRPr="00300B36">
              <w:rPr>
                <w:rFonts w:cs="Arial"/>
                <w:sz w:val="18"/>
                <w:szCs w:val="18"/>
              </w:rPr>
              <w:t>√</w:t>
            </w:r>
          </w:p>
        </w:tc>
        <w:tc>
          <w:tcPr>
            <w:tcW w:w="784" w:type="dxa"/>
          </w:tcPr>
          <w:p w:rsidR="00CE4EEF" w:rsidRDefault="00CE4EEF" w:rsidP="00F343E9">
            <w:r w:rsidRPr="0010288A">
              <w:rPr>
                <w:rFonts w:cs="Arial"/>
                <w:sz w:val="18"/>
                <w:szCs w:val="18"/>
              </w:rPr>
              <w:t>√</w:t>
            </w:r>
          </w:p>
        </w:tc>
        <w:tc>
          <w:tcPr>
            <w:tcW w:w="784" w:type="dxa"/>
          </w:tcPr>
          <w:p w:rsidR="00CE4EEF" w:rsidRDefault="00CE4EEF" w:rsidP="00F343E9">
            <w:r w:rsidRPr="0056411A">
              <w:rPr>
                <w:rFonts w:cs="Arial"/>
                <w:sz w:val="18"/>
                <w:szCs w:val="18"/>
              </w:rPr>
              <w:t>√</w:t>
            </w: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tcPr>
          <w:p w:rsidR="00CE4EEF" w:rsidRDefault="00CE4EEF" w:rsidP="00F343E9">
            <w:r w:rsidRPr="0057135A">
              <w:rPr>
                <w:rFonts w:cs="Arial"/>
                <w:sz w:val="18"/>
                <w:szCs w:val="18"/>
              </w:rPr>
              <w:t>√</w:t>
            </w:r>
          </w:p>
        </w:tc>
        <w:tc>
          <w:tcPr>
            <w:tcW w:w="784" w:type="dxa"/>
            <w:vAlign w:val="center"/>
          </w:tcPr>
          <w:p w:rsidR="00CE4EEF" w:rsidRDefault="00CE4EEF" w:rsidP="00F343E9">
            <w:r>
              <w:rPr>
                <w:rFonts w:cs="Arial"/>
                <w:sz w:val="18"/>
                <w:szCs w:val="18"/>
              </w:rPr>
              <w:t>√</w:t>
            </w:r>
            <w:r>
              <w:rPr>
                <w:rStyle w:val="EndnoteReference"/>
              </w:rPr>
              <w:endnoteReference w:id="134"/>
            </w:r>
          </w:p>
        </w:tc>
        <w:tc>
          <w:tcPr>
            <w:tcW w:w="784" w:type="dxa"/>
            <w:vAlign w:val="center"/>
          </w:tcPr>
          <w:p w:rsidR="00CE4EEF" w:rsidRDefault="00CE4EEF" w:rsidP="00F343E9">
            <w:r>
              <w:rPr>
                <w:rFonts w:cs="Arial"/>
                <w:sz w:val="18"/>
                <w:szCs w:val="18"/>
              </w:rPr>
              <w:t>√</w:t>
            </w:r>
            <w:r>
              <w:rPr>
                <w:rStyle w:val="EndnoteReference"/>
              </w:rPr>
              <w:endnoteReference w:id="135"/>
            </w:r>
          </w:p>
        </w:tc>
        <w:tc>
          <w:tcPr>
            <w:tcW w:w="785" w:type="dxa"/>
            <w:vAlign w:val="center"/>
          </w:tcPr>
          <w:p w:rsidR="00CE4EEF" w:rsidRDefault="00CE4EEF" w:rsidP="00F343E9">
            <w:r>
              <w:rPr>
                <w:rFonts w:cs="Arial"/>
                <w:sz w:val="18"/>
                <w:szCs w:val="18"/>
              </w:rPr>
              <w:t>√</w:t>
            </w:r>
            <w:r>
              <w:rPr>
                <w:rStyle w:val="EndnoteReference"/>
              </w:rPr>
              <w:endnoteReference w:id="136"/>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SI</w:t>
            </w:r>
          </w:p>
        </w:tc>
        <w:tc>
          <w:tcPr>
            <w:tcW w:w="733" w:type="dxa"/>
            <w:tcBorders>
              <w:left w:val="single" w:sz="12" w:space="0" w:color="auto"/>
            </w:tcBorders>
          </w:tcPr>
          <w:p w:rsidR="00CE4EEF" w:rsidRDefault="00CE4EEF" w:rsidP="00F343E9">
            <w:r w:rsidRPr="004C6160">
              <w:rPr>
                <w:rFonts w:cs="Arial"/>
                <w:sz w:val="18"/>
                <w:szCs w:val="18"/>
              </w:rPr>
              <w:t>√</w:t>
            </w:r>
          </w:p>
        </w:tc>
        <w:tc>
          <w:tcPr>
            <w:tcW w:w="784" w:type="dxa"/>
          </w:tcPr>
          <w:p w:rsidR="00CE4EEF" w:rsidRDefault="00CE4EEF" w:rsidP="00F343E9">
            <w:r w:rsidRPr="005969A9">
              <w:rPr>
                <w:rFonts w:cs="Arial"/>
                <w:sz w:val="18"/>
                <w:szCs w:val="18"/>
              </w:rPr>
              <w:t>√</w:t>
            </w:r>
          </w:p>
        </w:tc>
        <w:tc>
          <w:tcPr>
            <w:tcW w:w="784" w:type="dxa"/>
          </w:tcPr>
          <w:p w:rsidR="00CE4EEF" w:rsidRDefault="00CE4EEF" w:rsidP="00F343E9">
            <w:r w:rsidRPr="005969A9">
              <w:rPr>
                <w:rFonts w:cs="Arial"/>
                <w:sz w:val="18"/>
                <w:szCs w:val="18"/>
              </w:rPr>
              <w:t>√</w:t>
            </w:r>
          </w:p>
        </w:tc>
        <w:tc>
          <w:tcPr>
            <w:tcW w:w="785" w:type="dxa"/>
          </w:tcPr>
          <w:p w:rsidR="00CE4EEF" w:rsidRDefault="00CE4EEF" w:rsidP="00F343E9">
            <w:r w:rsidRPr="005969A9">
              <w:rPr>
                <w:rFonts w:cs="Arial"/>
                <w:sz w:val="18"/>
                <w:szCs w:val="18"/>
              </w:rPr>
              <w:t>√</w:t>
            </w:r>
          </w:p>
        </w:tc>
        <w:tc>
          <w:tcPr>
            <w:tcW w:w="784" w:type="dxa"/>
          </w:tcPr>
          <w:p w:rsidR="00CE4EEF" w:rsidRDefault="00CE4EEF" w:rsidP="00F343E9">
            <w:r w:rsidRPr="005969A9">
              <w:rPr>
                <w:rFonts w:cs="Arial"/>
                <w:sz w:val="18"/>
                <w:szCs w:val="18"/>
              </w:rPr>
              <w:t>√</w:t>
            </w:r>
          </w:p>
        </w:tc>
        <w:tc>
          <w:tcPr>
            <w:tcW w:w="784" w:type="dxa"/>
          </w:tcPr>
          <w:p w:rsidR="00CE4EEF" w:rsidRDefault="00CE4EEF" w:rsidP="00F343E9">
            <w:r w:rsidRPr="00300B36">
              <w:rPr>
                <w:rFonts w:cs="Arial"/>
                <w:sz w:val="18"/>
                <w:szCs w:val="18"/>
              </w:rPr>
              <w:t>√</w:t>
            </w:r>
          </w:p>
        </w:tc>
        <w:tc>
          <w:tcPr>
            <w:tcW w:w="784" w:type="dxa"/>
          </w:tcPr>
          <w:p w:rsidR="00CE4EEF" w:rsidRDefault="00CE4EEF" w:rsidP="00F343E9">
            <w:r w:rsidRPr="0010288A">
              <w:rPr>
                <w:rFonts w:cs="Arial"/>
                <w:sz w:val="18"/>
                <w:szCs w:val="18"/>
              </w:rPr>
              <w:t>√</w:t>
            </w:r>
          </w:p>
        </w:tc>
        <w:tc>
          <w:tcPr>
            <w:tcW w:w="784" w:type="dxa"/>
          </w:tcPr>
          <w:p w:rsidR="00CE4EEF" w:rsidRDefault="00CE4EEF" w:rsidP="00F343E9">
            <w:r w:rsidRPr="0056411A">
              <w:rPr>
                <w:rFonts w:cs="Arial"/>
                <w:sz w:val="18"/>
                <w:szCs w:val="18"/>
              </w:rPr>
              <w:t>√</w:t>
            </w: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tcPr>
          <w:p w:rsidR="00CE4EEF" w:rsidRDefault="00CE4EEF" w:rsidP="00F343E9">
            <w:r w:rsidRPr="00763874">
              <w:rPr>
                <w:rFonts w:cs="Arial"/>
                <w:sz w:val="18"/>
                <w:szCs w:val="18"/>
              </w:rPr>
              <w:t>√</w:t>
            </w:r>
          </w:p>
        </w:tc>
        <w:tc>
          <w:tcPr>
            <w:tcW w:w="784" w:type="dxa"/>
          </w:tcPr>
          <w:p w:rsidR="00CE4EEF" w:rsidRDefault="00CE4EEF" w:rsidP="00F343E9">
            <w:r w:rsidRPr="00763874">
              <w:rPr>
                <w:rFonts w:cs="Arial"/>
                <w:sz w:val="18"/>
                <w:szCs w:val="18"/>
              </w:rPr>
              <w:t>√</w:t>
            </w:r>
          </w:p>
        </w:tc>
        <w:tc>
          <w:tcPr>
            <w:tcW w:w="784" w:type="dxa"/>
          </w:tcPr>
          <w:p w:rsidR="00CE4EEF" w:rsidRDefault="00CE4EEF" w:rsidP="00F343E9">
            <w:r w:rsidRPr="00763874">
              <w:rPr>
                <w:rFonts w:cs="Arial"/>
                <w:sz w:val="18"/>
                <w:szCs w:val="18"/>
              </w:rPr>
              <w:t>√</w:t>
            </w:r>
          </w:p>
        </w:tc>
        <w:tc>
          <w:tcPr>
            <w:tcW w:w="785" w:type="dxa"/>
            <w:vAlign w:val="center"/>
          </w:tcPr>
          <w:p w:rsidR="00CE4EEF" w:rsidRDefault="00CE4EEF" w:rsidP="00F343E9">
            <w:r>
              <w:rPr>
                <w:rFonts w:cs="Arial"/>
                <w:sz w:val="18"/>
                <w:szCs w:val="18"/>
              </w:rPr>
              <w:t>√</w:t>
            </w:r>
            <w:r>
              <w:rPr>
                <w:rStyle w:val="EndnoteReference"/>
              </w:rPr>
              <w:endnoteReference w:id="137"/>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SK</w:t>
            </w:r>
          </w:p>
        </w:tc>
        <w:tc>
          <w:tcPr>
            <w:tcW w:w="733"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shd w:val="clear" w:color="auto" w:fill="D9D9D9" w:themeFill="background1" w:themeFillShade="D9"/>
            <w:vAlign w:val="center"/>
          </w:tcPr>
          <w:p w:rsidR="00CE4EEF" w:rsidRDefault="00CE4EEF" w:rsidP="00F343E9"/>
        </w:tc>
        <w:tc>
          <w:tcPr>
            <w:tcW w:w="784" w:type="dxa"/>
            <w:shd w:val="clear" w:color="auto" w:fill="D9D9D9" w:themeFill="background1" w:themeFillShade="D9"/>
            <w:vAlign w:val="center"/>
          </w:tcPr>
          <w:p w:rsidR="00CE4EEF" w:rsidRDefault="00CE4EEF" w:rsidP="00F343E9"/>
        </w:tc>
        <w:tc>
          <w:tcPr>
            <w:tcW w:w="784" w:type="dxa"/>
            <w:shd w:val="clear" w:color="auto" w:fill="D9D9D9" w:themeFill="background1" w:themeFillShade="D9"/>
            <w:vAlign w:val="center"/>
          </w:tcPr>
          <w:p w:rsidR="00CE4EEF" w:rsidRDefault="00CE4EEF" w:rsidP="00F343E9"/>
        </w:tc>
        <w:tc>
          <w:tcPr>
            <w:tcW w:w="785"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UK-E&amp;W</w:t>
            </w:r>
          </w:p>
        </w:tc>
        <w:tc>
          <w:tcPr>
            <w:tcW w:w="733" w:type="dxa"/>
            <w:tcBorders>
              <w:left w:val="single" w:sz="12" w:space="0" w:color="auto"/>
            </w:tcBorders>
          </w:tcPr>
          <w:p w:rsidR="00CE4EEF" w:rsidRDefault="00CE4EEF" w:rsidP="00F343E9">
            <w:r w:rsidRPr="007963D0">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F5081D">
              <w:rPr>
                <w:rFonts w:cs="Arial"/>
                <w:sz w:val="18"/>
                <w:szCs w:val="18"/>
              </w:rPr>
              <w:t>√</w:t>
            </w:r>
          </w:p>
        </w:tc>
        <w:tc>
          <w:tcPr>
            <w:tcW w:w="785" w:type="dxa"/>
          </w:tcPr>
          <w:p w:rsidR="00CE4EEF" w:rsidRDefault="00CE4EEF" w:rsidP="00F343E9">
            <w:r w:rsidRPr="00F5081D">
              <w:rPr>
                <w:rFonts w:cs="Arial"/>
                <w:sz w:val="18"/>
                <w:szCs w:val="18"/>
              </w:rPr>
              <w:t>√</w:t>
            </w:r>
          </w:p>
        </w:tc>
        <w:tc>
          <w:tcPr>
            <w:tcW w:w="784" w:type="dxa"/>
          </w:tcPr>
          <w:p w:rsidR="00CE4EEF" w:rsidRDefault="00CE4EEF" w:rsidP="00F343E9">
            <w:r w:rsidRPr="00F5081D">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A66860">
              <w:rPr>
                <w:rFonts w:cs="Arial"/>
                <w:sz w:val="18"/>
                <w:szCs w:val="18"/>
              </w:rPr>
              <w:t>√</w:t>
            </w:r>
          </w:p>
        </w:tc>
        <w:tc>
          <w:tcPr>
            <w:tcW w:w="784" w:type="dxa"/>
          </w:tcPr>
          <w:p w:rsidR="00CE4EEF" w:rsidRDefault="00CE4EEF" w:rsidP="00F343E9">
            <w:r w:rsidRPr="00A66860">
              <w:rPr>
                <w:rFonts w:cs="Arial"/>
                <w:sz w:val="18"/>
                <w:szCs w:val="18"/>
              </w:rPr>
              <w:t>√</w:t>
            </w:r>
          </w:p>
        </w:tc>
        <w:tc>
          <w:tcPr>
            <w:tcW w:w="785" w:type="dxa"/>
            <w:gridSpan w:val="2"/>
            <w:tcBorders>
              <w:right w:val="single" w:sz="12" w:space="0" w:color="auto"/>
            </w:tcBorders>
            <w:vAlign w:val="center"/>
          </w:tcPr>
          <w:p w:rsidR="00CE4EEF" w:rsidRPr="00E217F3" w:rsidRDefault="00CE4EEF" w:rsidP="00F343E9">
            <w:pPr>
              <w:rPr>
                <w:sz w:val="18"/>
                <w:szCs w:val="18"/>
              </w:rPr>
            </w:pPr>
            <w:r>
              <w:rPr>
                <w:rFonts w:cs="Arial"/>
                <w:sz w:val="18"/>
                <w:szCs w:val="18"/>
              </w:rPr>
              <w:t>√</w:t>
            </w:r>
          </w:p>
        </w:tc>
        <w:tc>
          <w:tcPr>
            <w:tcW w:w="784" w:type="dxa"/>
            <w:tcBorders>
              <w:left w:val="single" w:sz="12" w:space="0" w:color="auto"/>
            </w:tcBorders>
          </w:tcPr>
          <w:p w:rsidR="00CE4EEF" w:rsidRDefault="00CE4EEF" w:rsidP="00F343E9">
            <w:r w:rsidRPr="00021593">
              <w:rPr>
                <w:rFonts w:cs="Arial"/>
                <w:sz w:val="18"/>
                <w:szCs w:val="18"/>
              </w:rPr>
              <w:t>√</w:t>
            </w:r>
          </w:p>
        </w:tc>
        <w:tc>
          <w:tcPr>
            <w:tcW w:w="784" w:type="dxa"/>
          </w:tcPr>
          <w:p w:rsidR="00CE4EEF" w:rsidRDefault="00CE4EEF" w:rsidP="00F343E9">
            <w:r w:rsidRPr="00021593">
              <w:rPr>
                <w:rFonts w:cs="Arial"/>
                <w:sz w:val="18"/>
                <w:szCs w:val="18"/>
              </w:rPr>
              <w:t>√</w:t>
            </w:r>
          </w:p>
        </w:tc>
        <w:tc>
          <w:tcPr>
            <w:tcW w:w="784" w:type="dxa"/>
          </w:tcPr>
          <w:p w:rsidR="00CE4EEF" w:rsidRDefault="00CE4EEF" w:rsidP="00F343E9">
            <w:r w:rsidRPr="00021593">
              <w:rPr>
                <w:rFonts w:cs="Arial"/>
                <w:sz w:val="18"/>
                <w:szCs w:val="18"/>
              </w:rPr>
              <w:t>√</w:t>
            </w:r>
          </w:p>
        </w:tc>
        <w:tc>
          <w:tcPr>
            <w:tcW w:w="785" w:type="dxa"/>
          </w:tcPr>
          <w:p w:rsidR="00CE4EEF" w:rsidRDefault="00CE4EEF" w:rsidP="00F343E9">
            <w:r w:rsidRPr="00021593">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E4EEF" w:rsidP="00F343E9">
            <w:pPr>
              <w:pStyle w:val="BTBullet1"/>
              <w:numPr>
                <w:ilvl w:val="0"/>
                <w:numId w:val="0"/>
              </w:numPr>
              <w:rPr>
                <w:b/>
                <w:sz w:val="16"/>
                <w:szCs w:val="16"/>
              </w:rPr>
            </w:pPr>
            <w:r w:rsidRPr="009A4898">
              <w:rPr>
                <w:b/>
                <w:sz w:val="16"/>
                <w:szCs w:val="16"/>
              </w:rPr>
              <w:t>UK-NI</w:t>
            </w:r>
          </w:p>
        </w:tc>
        <w:tc>
          <w:tcPr>
            <w:tcW w:w="733" w:type="dxa"/>
            <w:tcBorders>
              <w:left w:val="single" w:sz="12" w:space="0" w:color="auto"/>
            </w:tcBorders>
          </w:tcPr>
          <w:p w:rsidR="00CE4EEF" w:rsidRDefault="00CE4EEF" w:rsidP="00F343E9">
            <w:r w:rsidRPr="007963D0">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F5081D">
              <w:rPr>
                <w:rFonts w:cs="Arial"/>
                <w:sz w:val="18"/>
                <w:szCs w:val="18"/>
              </w:rPr>
              <w:t>√</w:t>
            </w:r>
          </w:p>
        </w:tc>
        <w:tc>
          <w:tcPr>
            <w:tcW w:w="785" w:type="dxa"/>
          </w:tcPr>
          <w:p w:rsidR="00CE4EEF" w:rsidRDefault="00CE4EEF" w:rsidP="00F343E9">
            <w:r w:rsidRPr="00F5081D">
              <w:rPr>
                <w:rFonts w:cs="Arial"/>
                <w:sz w:val="18"/>
                <w:szCs w:val="18"/>
              </w:rPr>
              <w:t>√</w:t>
            </w:r>
          </w:p>
        </w:tc>
        <w:tc>
          <w:tcPr>
            <w:tcW w:w="784" w:type="dxa"/>
          </w:tcPr>
          <w:p w:rsidR="00CE4EEF" w:rsidRDefault="00CE4EEF" w:rsidP="00F343E9">
            <w:r w:rsidRPr="00F5081D">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A66860">
              <w:rPr>
                <w:rFonts w:cs="Arial"/>
                <w:sz w:val="18"/>
                <w:szCs w:val="18"/>
              </w:rPr>
              <w:t>√</w:t>
            </w:r>
          </w:p>
        </w:tc>
        <w:tc>
          <w:tcPr>
            <w:tcW w:w="784" w:type="dxa"/>
          </w:tcPr>
          <w:p w:rsidR="00CE4EEF" w:rsidRDefault="00CE4EEF" w:rsidP="00F343E9">
            <w:r w:rsidRPr="00A66860">
              <w:rPr>
                <w:rFonts w:cs="Arial"/>
                <w:sz w:val="18"/>
                <w:szCs w:val="18"/>
              </w:rPr>
              <w:t>√</w:t>
            </w:r>
          </w:p>
        </w:tc>
        <w:tc>
          <w:tcPr>
            <w:tcW w:w="785" w:type="dxa"/>
            <w:gridSpan w:val="2"/>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tcBorders>
              <w:left w:val="single" w:sz="12" w:space="0" w:color="auto"/>
            </w:tcBorders>
          </w:tcPr>
          <w:p w:rsidR="00CE4EEF" w:rsidRDefault="00CE4EEF" w:rsidP="00F343E9">
            <w:r w:rsidRPr="00021593">
              <w:rPr>
                <w:rFonts w:cs="Arial"/>
                <w:sz w:val="18"/>
                <w:szCs w:val="18"/>
              </w:rPr>
              <w:t>√</w:t>
            </w:r>
          </w:p>
        </w:tc>
        <w:tc>
          <w:tcPr>
            <w:tcW w:w="784" w:type="dxa"/>
          </w:tcPr>
          <w:p w:rsidR="00CE4EEF" w:rsidRDefault="00CE4EEF" w:rsidP="00F343E9">
            <w:r w:rsidRPr="00021593">
              <w:rPr>
                <w:rFonts w:cs="Arial"/>
                <w:sz w:val="18"/>
                <w:szCs w:val="18"/>
              </w:rPr>
              <w:t>√</w:t>
            </w:r>
          </w:p>
        </w:tc>
        <w:tc>
          <w:tcPr>
            <w:tcW w:w="784" w:type="dxa"/>
          </w:tcPr>
          <w:p w:rsidR="00CE4EEF" w:rsidRDefault="00CE4EEF" w:rsidP="00F343E9">
            <w:r w:rsidRPr="00021593">
              <w:rPr>
                <w:rFonts w:cs="Arial"/>
                <w:sz w:val="18"/>
                <w:szCs w:val="18"/>
              </w:rPr>
              <w:t>√</w:t>
            </w:r>
          </w:p>
        </w:tc>
        <w:tc>
          <w:tcPr>
            <w:tcW w:w="785" w:type="dxa"/>
          </w:tcPr>
          <w:p w:rsidR="00CE4EEF" w:rsidRDefault="00CE4EEF" w:rsidP="00F343E9">
            <w:r w:rsidRPr="00021593">
              <w:rPr>
                <w:rFonts w:cs="Arial"/>
                <w:sz w:val="18"/>
                <w:szCs w:val="18"/>
              </w:rPr>
              <w:t>√</w:t>
            </w:r>
          </w:p>
        </w:tc>
      </w:tr>
      <w:tr w:rsidR="00CE4EEF" w:rsidTr="00546996">
        <w:trPr>
          <w:cantSplit/>
          <w:trHeight w:hRule="exact" w:val="288"/>
          <w:jc w:val="center"/>
        </w:trPr>
        <w:tc>
          <w:tcPr>
            <w:tcW w:w="938" w:type="dxa"/>
            <w:tcBorders>
              <w:right w:val="single" w:sz="12" w:space="0" w:color="auto"/>
            </w:tcBorders>
            <w:shd w:val="clear" w:color="auto" w:fill="DBE5F1" w:themeFill="accent1" w:themeFillTint="33"/>
            <w:vAlign w:val="center"/>
          </w:tcPr>
          <w:p w:rsidR="00CE4EEF" w:rsidRPr="009A4898" w:rsidRDefault="00CD7610" w:rsidP="00F343E9">
            <w:pPr>
              <w:pStyle w:val="BTBullet1"/>
              <w:numPr>
                <w:ilvl w:val="0"/>
                <w:numId w:val="0"/>
              </w:numPr>
              <w:rPr>
                <w:b/>
                <w:sz w:val="16"/>
                <w:szCs w:val="16"/>
              </w:rPr>
            </w:pPr>
            <w:r>
              <w:rPr>
                <w:b/>
                <w:sz w:val="16"/>
                <w:szCs w:val="16"/>
              </w:rPr>
              <w:t>UK-S</w:t>
            </w:r>
          </w:p>
        </w:tc>
        <w:tc>
          <w:tcPr>
            <w:tcW w:w="733"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shd w:val="clear" w:color="auto" w:fill="D9D9D9" w:themeFill="background1" w:themeFillShade="D9"/>
            <w:vAlign w:val="center"/>
          </w:tcPr>
          <w:p w:rsidR="00CE4EEF" w:rsidRPr="00E217F3" w:rsidRDefault="00CE4EEF" w:rsidP="00F343E9">
            <w:pPr>
              <w:rPr>
                <w:sz w:val="18"/>
                <w:szCs w:val="18"/>
              </w:rPr>
            </w:pPr>
          </w:p>
        </w:tc>
        <w:tc>
          <w:tcPr>
            <w:tcW w:w="784" w:type="dxa"/>
          </w:tcPr>
          <w:p w:rsidR="00CE4EEF" w:rsidRDefault="00CE4EEF" w:rsidP="00F343E9">
            <w:r w:rsidRPr="006236F6">
              <w:rPr>
                <w:rFonts w:cs="Arial"/>
                <w:sz w:val="18"/>
                <w:szCs w:val="18"/>
              </w:rPr>
              <w:t>√</w:t>
            </w:r>
          </w:p>
        </w:tc>
        <w:tc>
          <w:tcPr>
            <w:tcW w:w="784" w:type="dxa"/>
          </w:tcPr>
          <w:p w:rsidR="00CE4EEF" w:rsidRDefault="00CE4EEF" w:rsidP="00F343E9">
            <w:r w:rsidRPr="006236F6">
              <w:rPr>
                <w:rFonts w:cs="Arial"/>
                <w:sz w:val="18"/>
                <w:szCs w:val="18"/>
              </w:rPr>
              <w:t>√</w:t>
            </w:r>
          </w:p>
        </w:tc>
        <w:tc>
          <w:tcPr>
            <w:tcW w:w="784" w:type="dxa"/>
          </w:tcPr>
          <w:p w:rsidR="00CE4EEF" w:rsidRDefault="00CE4EEF" w:rsidP="00F343E9">
            <w:r w:rsidRPr="006236F6">
              <w:rPr>
                <w:rFonts w:cs="Arial"/>
                <w:sz w:val="18"/>
                <w:szCs w:val="18"/>
              </w:rPr>
              <w:t>√</w:t>
            </w:r>
          </w:p>
        </w:tc>
        <w:tc>
          <w:tcPr>
            <w:tcW w:w="784" w:type="dxa"/>
            <w:shd w:val="clear" w:color="auto" w:fill="D9D9D9" w:themeFill="background1" w:themeFillShade="D9"/>
            <w:vAlign w:val="center"/>
          </w:tcPr>
          <w:p w:rsidR="00CE4EEF" w:rsidRPr="00E217F3" w:rsidRDefault="00CE4EEF" w:rsidP="00F343E9">
            <w:pPr>
              <w:rPr>
                <w:sz w:val="18"/>
                <w:szCs w:val="18"/>
              </w:rPr>
            </w:pPr>
          </w:p>
        </w:tc>
        <w:tc>
          <w:tcPr>
            <w:tcW w:w="785" w:type="dxa"/>
            <w:gridSpan w:val="2"/>
            <w:tcBorders>
              <w:right w:val="single" w:sz="12" w:space="0" w:color="auto"/>
            </w:tcBorders>
            <w:vAlign w:val="center"/>
          </w:tcPr>
          <w:p w:rsidR="00CE4EEF" w:rsidRPr="00E217F3" w:rsidRDefault="00CE4EEF" w:rsidP="00F343E9">
            <w:pPr>
              <w:rPr>
                <w:sz w:val="18"/>
                <w:szCs w:val="18"/>
              </w:rPr>
            </w:pPr>
            <w:r>
              <w:rPr>
                <w:rFonts w:cs="Arial"/>
                <w:sz w:val="18"/>
                <w:szCs w:val="18"/>
              </w:rPr>
              <w:t>√</w:t>
            </w:r>
          </w:p>
        </w:tc>
        <w:tc>
          <w:tcPr>
            <w:tcW w:w="784" w:type="dxa"/>
            <w:tcBorders>
              <w:left w:val="single" w:sz="12" w:space="0" w:color="auto"/>
            </w:tcBorders>
            <w:vAlign w:val="center"/>
          </w:tcPr>
          <w:p w:rsidR="00CE4EEF" w:rsidRDefault="00CE4EEF" w:rsidP="00F343E9">
            <w:r>
              <w:rPr>
                <w:rFonts w:cs="Arial"/>
                <w:sz w:val="18"/>
                <w:szCs w:val="18"/>
              </w:rPr>
              <w:t>√</w:t>
            </w:r>
            <w:r>
              <w:rPr>
                <w:rStyle w:val="EndnoteReference"/>
              </w:rPr>
              <w:endnoteReference w:id="138"/>
            </w:r>
          </w:p>
        </w:tc>
        <w:tc>
          <w:tcPr>
            <w:tcW w:w="784" w:type="dxa"/>
            <w:vAlign w:val="center"/>
          </w:tcPr>
          <w:p w:rsidR="00CE4EEF" w:rsidRDefault="00CE4EEF" w:rsidP="00F343E9">
            <w:r>
              <w:rPr>
                <w:rFonts w:cs="Arial"/>
                <w:sz w:val="18"/>
                <w:szCs w:val="18"/>
              </w:rPr>
              <w:t>√</w:t>
            </w:r>
            <w:r>
              <w:rPr>
                <w:rStyle w:val="EndnoteReference"/>
              </w:rPr>
              <w:endnoteReference w:id="139"/>
            </w:r>
          </w:p>
        </w:tc>
        <w:tc>
          <w:tcPr>
            <w:tcW w:w="784" w:type="dxa"/>
            <w:vAlign w:val="center"/>
          </w:tcPr>
          <w:p w:rsidR="00CE4EEF" w:rsidRDefault="00CE4EEF" w:rsidP="00F343E9">
            <w:r>
              <w:rPr>
                <w:rFonts w:cs="Arial"/>
                <w:sz w:val="18"/>
                <w:szCs w:val="18"/>
              </w:rPr>
              <w:t>√</w:t>
            </w:r>
            <w:r>
              <w:rPr>
                <w:rStyle w:val="EndnoteReference"/>
              </w:rPr>
              <w:endnoteReference w:id="140"/>
            </w:r>
          </w:p>
        </w:tc>
        <w:tc>
          <w:tcPr>
            <w:tcW w:w="785" w:type="dxa"/>
            <w:vAlign w:val="center"/>
          </w:tcPr>
          <w:p w:rsidR="00CE4EEF" w:rsidRDefault="00CE4EEF" w:rsidP="00F343E9">
            <w:r>
              <w:rPr>
                <w:rFonts w:cs="Arial"/>
                <w:sz w:val="18"/>
                <w:szCs w:val="18"/>
              </w:rPr>
              <w:t>√</w:t>
            </w:r>
          </w:p>
        </w:tc>
      </w:tr>
      <w:tr w:rsidR="00CE4EEF" w:rsidTr="00546996">
        <w:trPr>
          <w:cantSplit/>
          <w:trHeight w:hRule="exact" w:val="462"/>
          <w:jc w:val="center"/>
        </w:trPr>
        <w:tc>
          <w:tcPr>
            <w:tcW w:w="938" w:type="dxa"/>
            <w:tcBorders>
              <w:right w:val="single" w:sz="12" w:space="0" w:color="auto"/>
            </w:tcBorders>
            <w:shd w:val="clear" w:color="auto" w:fill="FFFFFF" w:themeFill="background1"/>
            <w:vAlign w:val="center"/>
          </w:tcPr>
          <w:p w:rsidR="00CE4EEF" w:rsidRPr="009A4898" w:rsidRDefault="00CE4EEF" w:rsidP="00F343E9">
            <w:pPr>
              <w:pStyle w:val="BTBullet1"/>
              <w:numPr>
                <w:ilvl w:val="0"/>
                <w:numId w:val="0"/>
              </w:numPr>
              <w:rPr>
                <w:b/>
                <w:sz w:val="16"/>
                <w:szCs w:val="16"/>
              </w:rPr>
            </w:pPr>
            <w:r>
              <w:rPr>
                <w:b/>
                <w:sz w:val="16"/>
                <w:szCs w:val="16"/>
              </w:rPr>
              <w:t>Total Yes</w:t>
            </w:r>
          </w:p>
        </w:tc>
        <w:tc>
          <w:tcPr>
            <w:tcW w:w="733" w:type="dxa"/>
            <w:tcBorders>
              <w:left w:val="single" w:sz="12" w:space="0" w:color="auto"/>
            </w:tcBorders>
            <w:shd w:val="clear" w:color="auto" w:fill="auto"/>
            <w:vAlign w:val="center"/>
          </w:tcPr>
          <w:p w:rsidR="00CE4EEF" w:rsidRPr="00744462" w:rsidRDefault="00CE4EEF" w:rsidP="00F343E9">
            <w:pPr>
              <w:rPr>
                <w:b/>
                <w:sz w:val="16"/>
                <w:szCs w:val="16"/>
              </w:rPr>
            </w:pPr>
            <w:r>
              <w:rPr>
                <w:b/>
                <w:sz w:val="16"/>
                <w:szCs w:val="16"/>
              </w:rPr>
              <w:t>25</w:t>
            </w:r>
          </w:p>
        </w:tc>
        <w:tc>
          <w:tcPr>
            <w:tcW w:w="784" w:type="dxa"/>
            <w:shd w:val="clear" w:color="auto" w:fill="auto"/>
            <w:vAlign w:val="center"/>
          </w:tcPr>
          <w:p w:rsidR="00CE4EEF" w:rsidRPr="00744462" w:rsidRDefault="00CE4EEF" w:rsidP="00F343E9">
            <w:pPr>
              <w:rPr>
                <w:b/>
                <w:sz w:val="16"/>
                <w:szCs w:val="16"/>
              </w:rPr>
            </w:pPr>
            <w:r>
              <w:rPr>
                <w:b/>
                <w:sz w:val="16"/>
                <w:szCs w:val="16"/>
              </w:rPr>
              <w:t>21</w:t>
            </w:r>
          </w:p>
        </w:tc>
        <w:tc>
          <w:tcPr>
            <w:tcW w:w="784" w:type="dxa"/>
            <w:shd w:val="clear" w:color="auto" w:fill="auto"/>
            <w:vAlign w:val="center"/>
          </w:tcPr>
          <w:p w:rsidR="00CE4EEF" w:rsidRPr="00744462" w:rsidRDefault="00CE4EEF" w:rsidP="00F343E9">
            <w:pPr>
              <w:rPr>
                <w:b/>
                <w:sz w:val="16"/>
                <w:szCs w:val="16"/>
              </w:rPr>
            </w:pPr>
            <w:r>
              <w:rPr>
                <w:b/>
                <w:sz w:val="16"/>
                <w:szCs w:val="16"/>
              </w:rPr>
              <w:t>22</w:t>
            </w:r>
          </w:p>
        </w:tc>
        <w:tc>
          <w:tcPr>
            <w:tcW w:w="785" w:type="dxa"/>
            <w:shd w:val="clear" w:color="auto" w:fill="auto"/>
            <w:vAlign w:val="center"/>
          </w:tcPr>
          <w:p w:rsidR="00CE4EEF" w:rsidRPr="00744462" w:rsidRDefault="00CE4EEF" w:rsidP="00F343E9">
            <w:pPr>
              <w:rPr>
                <w:b/>
                <w:sz w:val="16"/>
                <w:szCs w:val="16"/>
              </w:rPr>
            </w:pPr>
            <w:r>
              <w:rPr>
                <w:b/>
                <w:sz w:val="16"/>
                <w:szCs w:val="16"/>
              </w:rPr>
              <w:t>22</w:t>
            </w:r>
          </w:p>
        </w:tc>
        <w:tc>
          <w:tcPr>
            <w:tcW w:w="784" w:type="dxa"/>
            <w:shd w:val="clear" w:color="auto" w:fill="auto"/>
          </w:tcPr>
          <w:p w:rsidR="00CE4EEF" w:rsidRPr="00744462" w:rsidRDefault="00CE4EEF" w:rsidP="00F343E9">
            <w:pPr>
              <w:rPr>
                <w:rFonts w:cs="Arial"/>
                <w:b/>
                <w:sz w:val="16"/>
                <w:szCs w:val="16"/>
              </w:rPr>
            </w:pPr>
            <w:r>
              <w:rPr>
                <w:rFonts w:cs="Arial"/>
                <w:b/>
                <w:sz w:val="16"/>
                <w:szCs w:val="16"/>
              </w:rPr>
              <w:t>23</w:t>
            </w:r>
          </w:p>
        </w:tc>
        <w:tc>
          <w:tcPr>
            <w:tcW w:w="784" w:type="dxa"/>
            <w:shd w:val="clear" w:color="auto" w:fill="auto"/>
          </w:tcPr>
          <w:p w:rsidR="00CE4EEF" w:rsidRPr="00744462" w:rsidRDefault="00CE4EEF" w:rsidP="00F343E9">
            <w:pPr>
              <w:rPr>
                <w:rFonts w:cs="Arial"/>
                <w:b/>
                <w:sz w:val="16"/>
                <w:szCs w:val="16"/>
              </w:rPr>
            </w:pPr>
            <w:r>
              <w:rPr>
                <w:rFonts w:cs="Arial"/>
                <w:b/>
                <w:sz w:val="16"/>
                <w:szCs w:val="16"/>
              </w:rPr>
              <w:t>21</w:t>
            </w:r>
          </w:p>
        </w:tc>
        <w:tc>
          <w:tcPr>
            <w:tcW w:w="784" w:type="dxa"/>
            <w:shd w:val="clear" w:color="auto" w:fill="auto"/>
          </w:tcPr>
          <w:p w:rsidR="00CE4EEF" w:rsidRPr="00744462" w:rsidRDefault="00CE4EEF" w:rsidP="00F343E9">
            <w:pPr>
              <w:rPr>
                <w:rFonts w:cs="Arial"/>
                <w:b/>
                <w:sz w:val="16"/>
                <w:szCs w:val="16"/>
              </w:rPr>
            </w:pPr>
            <w:r>
              <w:rPr>
                <w:rFonts w:cs="Arial"/>
                <w:b/>
                <w:sz w:val="16"/>
                <w:szCs w:val="16"/>
              </w:rPr>
              <w:t>26</w:t>
            </w:r>
          </w:p>
        </w:tc>
        <w:tc>
          <w:tcPr>
            <w:tcW w:w="784" w:type="dxa"/>
            <w:shd w:val="clear" w:color="auto" w:fill="auto"/>
            <w:vAlign w:val="center"/>
          </w:tcPr>
          <w:p w:rsidR="00CE4EEF" w:rsidRPr="00744462" w:rsidRDefault="00CE4EEF" w:rsidP="00F343E9">
            <w:pPr>
              <w:rPr>
                <w:b/>
                <w:sz w:val="16"/>
                <w:szCs w:val="16"/>
              </w:rPr>
            </w:pPr>
            <w:r>
              <w:rPr>
                <w:b/>
                <w:sz w:val="16"/>
                <w:szCs w:val="16"/>
              </w:rPr>
              <w:t>20</w:t>
            </w:r>
          </w:p>
        </w:tc>
        <w:tc>
          <w:tcPr>
            <w:tcW w:w="785" w:type="dxa"/>
            <w:gridSpan w:val="2"/>
            <w:tcBorders>
              <w:right w:val="single" w:sz="12" w:space="0" w:color="auto"/>
            </w:tcBorders>
            <w:shd w:val="clear" w:color="auto" w:fill="auto"/>
            <w:vAlign w:val="center"/>
          </w:tcPr>
          <w:p w:rsidR="00CE4EEF" w:rsidRPr="00744462" w:rsidRDefault="00CE4EEF" w:rsidP="00F343E9">
            <w:pPr>
              <w:rPr>
                <w:rFonts w:cs="Arial"/>
                <w:b/>
                <w:sz w:val="16"/>
                <w:szCs w:val="16"/>
              </w:rPr>
            </w:pPr>
            <w:r>
              <w:rPr>
                <w:rFonts w:cs="Arial"/>
                <w:b/>
                <w:sz w:val="16"/>
                <w:szCs w:val="16"/>
              </w:rPr>
              <w:t>18</w:t>
            </w:r>
          </w:p>
        </w:tc>
        <w:tc>
          <w:tcPr>
            <w:tcW w:w="784" w:type="dxa"/>
            <w:tcBorders>
              <w:left w:val="single" w:sz="12" w:space="0" w:color="auto"/>
            </w:tcBorders>
            <w:shd w:val="clear" w:color="auto" w:fill="auto"/>
            <w:vAlign w:val="center"/>
          </w:tcPr>
          <w:p w:rsidR="00CE4EEF" w:rsidRPr="00744462" w:rsidRDefault="00CE4EEF" w:rsidP="00F343E9">
            <w:pPr>
              <w:rPr>
                <w:rFonts w:cs="Arial"/>
                <w:b/>
                <w:sz w:val="16"/>
                <w:szCs w:val="16"/>
              </w:rPr>
            </w:pPr>
            <w:r>
              <w:rPr>
                <w:rFonts w:cs="Arial"/>
                <w:b/>
                <w:sz w:val="16"/>
                <w:szCs w:val="16"/>
              </w:rPr>
              <w:t>27</w:t>
            </w:r>
          </w:p>
        </w:tc>
        <w:tc>
          <w:tcPr>
            <w:tcW w:w="784" w:type="dxa"/>
            <w:shd w:val="clear" w:color="auto" w:fill="auto"/>
            <w:vAlign w:val="center"/>
          </w:tcPr>
          <w:p w:rsidR="00CE4EEF" w:rsidRPr="00744462" w:rsidRDefault="00CE4EEF" w:rsidP="00F343E9">
            <w:pPr>
              <w:rPr>
                <w:rFonts w:cs="Arial"/>
                <w:b/>
                <w:sz w:val="16"/>
                <w:szCs w:val="16"/>
              </w:rPr>
            </w:pPr>
            <w:r>
              <w:rPr>
                <w:rFonts w:cs="Arial"/>
                <w:b/>
                <w:sz w:val="16"/>
                <w:szCs w:val="16"/>
              </w:rPr>
              <w:t>27</w:t>
            </w:r>
          </w:p>
        </w:tc>
        <w:tc>
          <w:tcPr>
            <w:tcW w:w="784" w:type="dxa"/>
            <w:shd w:val="clear" w:color="auto" w:fill="auto"/>
            <w:vAlign w:val="center"/>
          </w:tcPr>
          <w:p w:rsidR="00CE4EEF" w:rsidRPr="00744462" w:rsidRDefault="00CE4EEF" w:rsidP="00F343E9">
            <w:pPr>
              <w:rPr>
                <w:rFonts w:cs="Arial"/>
                <w:b/>
                <w:sz w:val="16"/>
                <w:szCs w:val="16"/>
              </w:rPr>
            </w:pPr>
            <w:r>
              <w:rPr>
                <w:rFonts w:cs="Arial"/>
                <w:b/>
                <w:sz w:val="16"/>
                <w:szCs w:val="16"/>
              </w:rPr>
              <w:t>27</w:t>
            </w:r>
          </w:p>
        </w:tc>
        <w:tc>
          <w:tcPr>
            <w:tcW w:w="785" w:type="dxa"/>
            <w:shd w:val="clear" w:color="auto" w:fill="auto"/>
            <w:vAlign w:val="center"/>
          </w:tcPr>
          <w:p w:rsidR="00CE4EEF" w:rsidRPr="00744462" w:rsidRDefault="00CE4EEF" w:rsidP="00F343E9">
            <w:pPr>
              <w:rPr>
                <w:rFonts w:cs="Arial"/>
                <w:b/>
                <w:sz w:val="16"/>
                <w:szCs w:val="16"/>
              </w:rPr>
            </w:pPr>
            <w:r>
              <w:rPr>
                <w:rFonts w:cs="Arial"/>
                <w:b/>
                <w:sz w:val="16"/>
                <w:szCs w:val="16"/>
              </w:rPr>
              <w:t>23</w:t>
            </w:r>
          </w:p>
        </w:tc>
      </w:tr>
      <w:tr w:rsidR="00CE4EEF" w:rsidTr="00F343E9">
        <w:trPr>
          <w:cantSplit/>
          <w:trHeight w:hRule="exact" w:val="460"/>
          <w:jc w:val="center"/>
        </w:trPr>
        <w:tc>
          <w:tcPr>
            <w:tcW w:w="11082" w:type="dxa"/>
            <w:gridSpan w:val="15"/>
            <w:vAlign w:val="center"/>
          </w:tcPr>
          <w:p w:rsidR="00CE4EEF" w:rsidRDefault="004D603A" w:rsidP="00F343E9">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CE4EEF" w:rsidRDefault="00CE4EEF" w:rsidP="00546D75">
      <w:pPr>
        <w:sectPr w:rsidR="00CE4EEF"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546D75" w:rsidRDefault="00546D75" w:rsidP="00546D75"/>
    <w:p w:rsidR="00546D75" w:rsidRDefault="00546D75">
      <w:pPr>
        <w:spacing w:before="0" w:after="0" w:line="240" w:lineRule="auto"/>
      </w:pPr>
      <w:r>
        <w:br w:type="page"/>
      </w:r>
    </w:p>
    <w:p w:rsidR="000165DC" w:rsidRDefault="000165DC" w:rsidP="00861A9D">
      <w:pPr>
        <w:pStyle w:val="AnnexTable"/>
        <w:tabs>
          <w:tab w:val="clear" w:pos="2687"/>
          <w:tab w:val="num" w:pos="1440"/>
        </w:tabs>
        <w:ind w:left="1440" w:hanging="1440"/>
      </w:pPr>
      <w:bookmarkStart w:id="364" w:name="_Ref395829851"/>
      <w:bookmarkStart w:id="365" w:name="_Ref406711860"/>
      <w:bookmarkStart w:id="366" w:name="_Toc408908669"/>
      <w:r w:rsidRPr="000165DC">
        <w:t>Existence of legislative measures to prevent violations of the privacy rights of children by the media at all stages of the proceedings</w:t>
      </w:r>
      <w:r>
        <w:t xml:space="preserve"> (CivAdm089)</w:t>
      </w:r>
      <w:bookmarkEnd w:id="364"/>
      <w:r>
        <w:t xml:space="preserve"> </w:t>
      </w:r>
      <w:bookmarkEnd w:id="365"/>
      <w:bookmarkEnd w:id="366"/>
    </w:p>
    <w:p w:rsidR="00CE4EEF" w:rsidRDefault="00CE4EEF" w:rsidP="00F343E9">
      <w:pPr>
        <w:pStyle w:val="TableTitle"/>
        <w:sectPr w:rsidR="00CE4EEF" w:rsidSect="002C3D52">
          <w:type w:val="continuous"/>
          <w:pgSz w:w="11907" w:h="16840" w:code="9"/>
          <w:pgMar w:top="1276" w:right="1418" w:bottom="851" w:left="1418" w:header="680" w:footer="567" w:gutter="0"/>
          <w:cols w:space="708"/>
          <w:docGrid w:linePitch="360"/>
        </w:sectPr>
      </w:pPr>
    </w:p>
    <w:tbl>
      <w:tblPr>
        <w:tblStyle w:val="Tabellenraster1"/>
        <w:tblW w:w="10947" w:type="dxa"/>
        <w:jc w:val="center"/>
        <w:tblLayout w:type="fixed"/>
        <w:tblLook w:val="04A0" w:firstRow="1" w:lastRow="0" w:firstColumn="1" w:lastColumn="0" w:noHBand="0" w:noVBand="1"/>
      </w:tblPr>
      <w:tblGrid>
        <w:gridCol w:w="990"/>
        <w:gridCol w:w="726"/>
        <w:gridCol w:w="768"/>
        <w:gridCol w:w="769"/>
        <w:gridCol w:w="768"/>
        <w:gridCol w:w="770"/>
        <w:gridCol w:w="769"/>
        <w:gridCol w:w="770"/>
        <w:gridCol w:w="769"/>
        <w:gridCol w:w="770"/>
        <w:gridCol w:w="9"/>
        <w:gridCol w:w="760"/>
        <w:gridCol w:w="770"/>
        <w:gridCol w:w="769"/>
        <w:gridCol w:w="770"/>
      </w:tblGrid>
      <w:tr w:rsidR="00CE4EEF" w:rsidRPr="00593387" w:rsidTr="00F343E9">
        <w:trPr>
          <w:trHeight w:val="350"/>
          <w:tblHeader/>
          <w:jc w:val="center"/>
        </w:trPr>
        <w:tc>
          <w:tcPr>
            <w:tcW w:w="990" w:type="dxa"/>
            <w:tcBorders>
              <w:right w:val="single" w:sz="12" w:space="0" w:color="auto"/>
            </w:tcBorders>
          </w:tcPr>
          <w:p w:rsidR="00CE4EEF" w:rsidRDefault="00CE4EEF" w:rsidP="00F343E9">
            <w:pPr>
              <w:pStyle w:val="TableTitle"/>
            </w:pPr>
            <w:r>
              <w:t>MS</w:t>
            </w:r>
          </w:p>
        </w:tc>
        <w:tc>
          <w:tcPr>
            <w:tcW w:w="6888" w:type="dxa"/>
            <w:gridSpan w:val="10"/>
            <w:tcBorders>
              <w:left w:val="single" w:sz="12" w:space="0" w:color="auto"/>
              <w:right w:val="single" w:sz="12" w:space="0" w:color="auto"/>
            </w:tcBorders>
          </w:tcPr>
          <w:p w:rsidR="00CE4EEF" w:rsidRDefault="00CE4EEF" w:rsidP="00F343E9">
            <w:pPr>
              <w:pStyle w:val="TableTitle"/>
            </w:pPr>
            <w:r>
              <w:t>Areas of law</w:t>
            </w:r>
          </w:p>
        </w:tc>
        <w:tc>
          <w:tcPr>
            <w:tcW w:w="3069" w:type="dxa"/>
            <w:gridSpan w:val="4"/>
            <w:tcBorders>
              <w:left w:val="single" w:sz="12" w:space="0" w:color="auto"/>
            </w:tcBorders>
          </w:tcPr>
          <w:p w:rsidR="00CE4EEF" w:rsidRDefault="00CE4EEF" w:rsidP="00F343E9">
            <w:pPr>
              <w:pStyle w:val="TableTitle"/>
            </w:pPr>
            <w:r>
              <w:t>Roles of the child</w:t>
            </w:r>
          </w:p>
        </w:tc>
      </w:tr>
      <w:tr w:rsidR="00A1222C" w:rsidTr="00861A9D">
        <w:trPr>
          <w:cantSplit/>
          <w:trHeight w:val="1009"/>
          <w:tblHeader/>
          <w:jc w:val="center"/>
        </w:trPr>
        <w:tc>
          <w:tcPr>
            <w:tcW w:w="990" w:type="dxa"/>
            <w:tcBorders>
              <w:right w:val="single" w:sz="12" w:space="0" w:color="auto"/>
            </w:tcBorders>
            <w:shd w:val="clear" w:color="auto" w:fill="DBE5F1" w:themeFill="accent1" w:themeFillTint="33"/>
          </w:tcPr>
          <w:p w:rsidR="00CE4EEF" w:rsidRPr="00E217F3" w:rsidRDefault="00CE4EEF" w:rsidP="00F343E9">
            <w:pPr>
              <w:rPr>
                <w:b/>
              </w:rPr>
            </w:pPr>
          </w:p>
        </w:tc>
        <w:tc>
          <w:tcPr>
            <w:tcW w:w="726" w:type="dxa"/>
            <w:tcBorders>
              <w:left w:val="single" w:sz="12" w:space="0" w:color="auto"/>
            </w:tcBorders>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Family</w:t>
            </w:r>
          </w:p>
        </w:tc>
        <w:tc>
          <w:tcPr>
            <w:tcW w:w="768"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Employment</w:t>
            </w:r>
          </w:p>
        </w:tc>
        <w:tc>
          <w:tcPr>
            <w:tcW w:w="769"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Asylum</w:t>
            </w:r>
          </w:p>
        </w:tc>
        <w:tc>
          <w:tcPr>
            <w:tcW w:w="768"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Migration</w:t>
            </w:r>
          </w:p>
        </w:tc>
        <w:tc>
          <w:tcPr>
            <w:tcW w:w="770"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Education</w:t>
            </w:r>
          </w:p>
        </w:tc>
        <w:tc>
          <w:tcPr>
            <w:tcW w:w="769"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Health</w:t>
            </w:r>
          </w:p>
        </w:tc>
        <w:tc>
          <w:tcPr>
            <w:tcW w:w="770"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Placement</w:t>
            </w:r>
          </w:p>
        </w:tc>
        <w:tc>
          <w:tcPr>
            <w:tcW w:w="769"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Admin Sanctions</w:t>
            </w:r>
          </w:p>
        </w:tc>
        <w:tc>
          <w:tcPr>
            <w:tcW w:w="770" w:type="dxa"/>
            <w:tcBorders>
              <w:right w:val="single" w:sz="12" w:space="0" w:color="auto"/>
            </w:tcBorders>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Offences &lt;MACR</w:t>
            </w:r>
          </w:p>
        </w:tc>
        <w:tc>
          <w:tcPr>
            <w:tcW w:w="769" w:type="dxa"/>
            <w:gridSpan w:val="2"/>
            <w:tcBorders>
              <w:left w:val="single" w:sz="12" w:space="0" w:color="auto"/>
            </w:tcBorders>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Witnesses</w:t>
            </w:r>
          </w:p>
        </w:tc>
        <w:tc>
          <w:tcPr>
            <w:tcW w:w="770"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Plaintiffs</w:t>
            </w:r>
          </w:p>
        </w:tc>
        <w:tc>
          <w:tcPr>
            <w:tcW w:w="769"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Defendants</w:t>
            </w:r>
          </w:p>
        </w:tc>
        <w:tc>
          <w:tcPr>
            <w:tcW w:w="770" w:type="dxa"/>
            <w:shd w:val="clear" w:color="auto" w:fill="DBE5F1" w:themeFill="accent1" w:themeFillTint="33"/>
            <w:textDirection w:val="btLr"/>
          </w:tcPr>
          <w:p w:rsidR="00CE4EEF" w:rsidRPr="00CE4EEF" w:rsidRDefault="00CE4EEF" w:rsidP="00F343E9">
            <w:pPr>
              <w:ind w:left="113" w:right="113"/>
              <w:rPr>
                <w:b/>
                <w:sz w:val="12"/>
                <w:szCs w:val="12"/>
              </w:rPr>
            </w:pPr>
            <w:r w:rsidRPr="00CE4EEF">
              <w:rPr>
                <w:b/>
                <w:sz w:val="12"/>
                <w:szCs w:val="12"/>
              </w:rPr>
              <w:t>Subjects</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AT</w:t>
            </w:r>
          </w:p>
        </w:tc>
        <w:tc>
          <w:tcPr>
            <w:tcW w:w="726" w:type="dxa"/>
            <w:tcBorders>
              <w:left w:val="single" w:sz="12" w:space="0" w:color="auto"/>
            </w:tcBorders>
            <w:vAlign w:val="center"/>
          </w:tcPr>
          <w:p w:rsidR="00CE4EEF" w:rsidRDefault="00CE4EEF" w:rsidP="00F343E9">
            <w:r w:rsidRPr="0068321E">
              <w:rPr>
                <w:rFonts w:cs="Arial"/>
                <w:sz w:val="18"/>
                <w:szCs w:val="18"/>
              </w:rPr>
              <w:t>√</w:t>
            </w:r>
          </w:p>
        </w:tc>
        <w:tc>
          <w:tcPr>
            <w:tcW w:w="768" w:type="dxa"/>
            <w:vAlign w:val="center"/>
          </w:tcPr>
          <w:p w:rsidR="00CE4EEF" w:rsidRDefault="00CE4EEF" w:rsidP="00F343E9">
            <w:r w:rsidRPr="00476085">
              <w:rPr>
                <w:rFonts w:cs="Arial"/>
                <w:sz w:val="18"/>
                <w:szCs w:val="18"/>
              </w:rPr>
              <w:t>√</w:t>
            </w:r>
          </w:p>
        </w:tc>
        <w:tc>
          <w:tcPr>
            <w:tcW w:w="769" w:type="dxa"/>
            <w:vAlign w:val="center"/>
          </w:tcPr>
          <w:p w:rsidR="00CE4EEF" w:rsidRDefault="00CE4EEF" w:rsidP="00F343E9">
            <w:r w:rsidRPr="00476085">
              <w:rPr>
                <w:rFonts w:cs="Arial"/>
                <w:sz w:val="18"/>
                <w:szCs w:val="18"/>
              </w:rPr>
              <w:t>√</w:t>
            </w:r>
          </w:p>
        </w:tc>
        <w:tc>
          <w:tcPr>
            <w:tcW w:w="768" w:type="dxa"/>
            <w:vAlign w:val="center"/>
          </w:tcPr>
          <w:p w:rsidR="00CE4EEF" w:rsidRDefault="00CE4EEF" w:rsidP="00F343E9">
            <w:r w:rsidRPr="00476085">
              <w:rPr>
                <w:rFonts w:cs="Arial"/>
                <w:sz w:val="18"/>
                <w:szCs w:val="18"/>
              </w:rPr>
              <w:t>√</w:t>
            </w:r>
          </w:p>
        </w:tc>
        <w:tc>
          <w:tcPr>
            <w:tcW w:w="770" w:type="dxa"/>
            <w:vAlign w:val="center"/>
          </w:tcPr>
          <w:p w:rsidR="00CE4EEF" w:rsidRDefault="00CE4EEF" w:rsidP="00F343E9">
            <w:r w:rsidRPr="00476085">
              <w:rPr>
                <w:rFonts w:cs="Arial"/>
                <w:sz w:val="18"/>
                <w:szCs w:val="18"/>
              </w:rPr>
              <w:t>√</w:t>
            </w:r>
          </w:p>
        </w:tc>
        <w:tc>
          <w:tcPr>
            <w:tcW w:w="769" w:type="dxa"/>
            <w:vAlign w:val="center"/>
          </w:tcPr>
          <w:p w:rsidR="00CE4EEF" w:rsidRDefault="00CE4EEF" w:rsidP="00F343E9">
            <w:r w:rsidRPr="00476085">
              <w:rPr>
                <w:rFonts w:cs="Arial"/>
                <w:sz w:val="18"/>
                <w:szCs w:val="18"/>
              </w:rPr>
              <w:t>√</w:t>
            </w:r>
          </w:p>
        </w:tc>
        <w:tc>
          <w:tcPr>
            <w:tcW w:w="770" w:type="dxa"/>
            <w:vAlign w:val="center"/>
          </w:tcPr>
          <w:p w:rsidR="00CE4EEF" w:rsidRDefault="00CE4EEF" w:rsidP="00F343E9">
            <w:r w:rsidRPr="00476085">
              <w:rPr>
                <w:rFonts w:cs="Arial"/>
                <w:sz w:val="18"/>
                <w:szCs w:val="18"/>
              </w:rPr>
              <w:t>√</w:t>
            </w:r>
          </w:p>
        </w:tc>
        <w:tc>
          <w:tcPr>
            <w:tcW w:w="769" w:type="dxa"/>
            <w:vAlign w:val="center"/>
          </w:tcPr>
          <w:p w:rsidR="00CE4EEF" w:rsidRDefault="00CE4EEF" w:rsidP="00F343E9">
            <w:r w:rsidRPr="00476085">
              <w:rPr>
                <w:rFonts w:cs="Arial"/>
                <w:sz w:val="18"/>
                <w:szCs w:val="18"/>
              </w:rPr>
              <w:t>√</w:t>
            </w:r>
          </w:p>
        </w:tc>
        <w:tc>
          <w:tcPr>
            <w:tcW w:w="770" w:type="dxa"/>
            <w:tcBorders>
              <w:right w:val="single" w:sz="12" w:space="0" w:color="auto"/>
            </w:tcBorders>
            <w:vAlign w:val="center"/>
          </w:tcPr>
          <w:p w:rsidR="00CE4EEF" w:rsidRDefault="00CE4EEF" w:rsidP="00F343E9">
            <w:r w:rsidRPr="00476085">
              <w:rPr>
                <w:rFonts w:cs="Arial"/>
                <w:sz w:val="18"/>
                <w:szCs w:val="18"/>
              </w:rPr>
              <w:t>√</w:t>
            </w:r>
          </w:p>
        </w:tc>
        <w:tc>
          <w:tcPr>
            <w:tcW w:w="769" w:type="dxa"/>
            <w:gridSpan w:val="2"/>
            <w:tcBorders>
              <w:left w:val="single" w:sz="12" w:space="0" w:color="auto"/>
            </w:tcBorders>
            <w:vAlign w:val="center"/>
          </w:tcPr>
          <w:p w:rsidR="00CE4EEF" w:rsidRDefault="00CE4EEF" w:rsidP="00F343E9">
            <w:r w:rsidRPr="00476085">
              <w:rPr>
                <w:rFonts w:cs="Arial"/>
                <w:sz w:val="18"/>
                <w:szCs w:val="18"/>
              </w:rPr>
              <w:t>√</w:t>
            </w:r>
          </w:p>
        </w:tc>
        <w:tc>
          <w:tcPr>
            <w:tcW w:w="770" w:type="dxa"/>
            <w:vAlign w:val="center"/>
          </w:tcPr>
          <w:p w:rsidR="00CE4EEF" w:rsidRDefault="00CE4EEF" w:rsidP="00F343E9">
            <w:r w:rsidRPr="00476085">
              <w:rPr>
                <w:rFonts w:cs="Arial"/>
                <w:sz w:val="18"/>
                <w:szCs w:val="18"/>
              </w:rPr>
              <w:t>√</w:t>
            </w:r>
          </w:p>
        </w:tc>
        <w:tc>
          <w:tcPr>
            <w:tcW w:w="769" w:type="dxa"/>
            <w:vAlign w:val="center"/>
          </w:tcPr>
          <w:p w:rsidR="00CE4EEF" w:rsidRDefault="00CE4EEF" w:rsidP="00F343E9">
            <w:r w:rsidRPr="00476085">
              <w:rPr>
                <w:rFonts w:cs="Arial"/>
                <w:sz w:val="18"/>
                <w:szCs w:val="18"/>
              </w:rPr>
              <w:t>√</w:t>
            </w:r>
          </w:p>
        </w:tc>
        <w:tc>
          <w:tcPr>
            <w:tcW w:w="770" w:type="dxa"/>
            <w:shd w:val="clear" w:color="auto" w:fill="D9D9D9" w:themeFill="background1" w:themeFillShade="D9"/>
            <w:vAlign w:val="center"/>
          </w:tcPr>
          <w:p w:rsidR="00CE4EEF" w:rsidRDefault="00CE4EEF" w:rsidP="00F343E9"/>
        </w:tc>
      </w:tr>
      <w:tr w:rsidR="0068321E"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68321E" w:rsidRPr="007E5315" w:rsidRDefault="0068321E" w:rsidP="0068321E">
            <w:pPr>
              <w:pStyle w:val="BTBullet1"/>
              <w:numPr>
                <w:ilvl w:val="0"/>
                <w:numId w:val="0"/>
              </w:numPr>
              <w:rPr>
                <w:b/>
                <w:sz w:val="16"/>
                <w:szCs w:val="16"/>
              </w:rPr>
            </w:pPr>
            <w:r w:rsidRPr="007E5315">
              <w:rPr>
                <w:b/>
                <w:sz w:val="16"/>
                <w:szCs w:val="16"/>
              </w:rPr>
              <w:t>BE</w:t>
            </w:r>
          </w:p>
        </w:tc>
        <w:tc>
          <w:tcPr>
            <w:tcW w:w="726" w:type="dxa"/>
            <w:tcBorders>
              <w:left w:val="single" w:sz="12" w:space="0" w:color="auto"/>
            </w:tcBorders>
            <w:shd w:val="clear" w:color="auto" w:fill="auto"/>
            <w:vAlign w:val="center"/>
          </w:tcPr>
          <w:p w:rsidR="0068321E" w:rsidRPr="00007D34" w:rsidRDefault="0068321E" w:rsidP="0068321E">
            <w:pPr>
              <w:rPr>
                <w:rFonts w:cs="Arial"/>
                <w:sz w:val="18"/>
                <w:szCs w:val="18"/>
              </w:rPr>
            </w:pPr>
            <w:r w:rsidRPr="00007D34">
              <w:rPr>
                <w:rFonts w:cs="Arial"/>
                <w:sz w:val="18"/>
                <w:szCs w:val="18"/>
              </w:rPr>
              <w:t>√</w:t>
            </w:r>
          </w:p>
        </w:tc>
        <w:tc>
          <w:tcPr>
            <w:tcW w:w="768" w:type="dxa"/>
            <w:shd w:val="clear" w:color="auto" w:fill="D9D9D9" w:themeFill="background1" w:themeFillShade="D9"/>
            <w:vAlign w:val="center"/>
          </w:tcPr>
          <w:p w:rsidR="0068321E" w:rsidRPr="00E217F3" w:rsidRDefault="0068321E" w:rsidP="0068321E">
            <w:pPr>
              <w:rPr>
                <w:sz w:val="18"/>
                <w:szCs w:val="18"/>
              </w:rPr>
            </w:pPr>
          </w:p>
        </w:tc>
        <w:tc>
          <w:tcPr>
            <w:tcW w:w="769" w:type="dxa"/>
            <w:shd w:val="clear" w:color="auto" w:fill="D9D9D9" w:themeFill="background1" w:themeFillShade="D9"/>
            <w:vAlign w:val="center"/>
          </w:tcPr>
          <w:p w:rsidR="0068321E" w:rsidRPr="00E217F3" w:rsidRDefault="0068321E" w:rsidP="0068321E">
            <w:pPr>
              <w:rPr>
                <w:sz w:val="18"/>
                <w:szCs w:val="18"/>
              </w:rPr>
            </w:pPr>
          </w:p>
        </w:tc>
        <w:tc>
          <w:tcPr>
            <w:tcW w:w="768" w:type="dxa"/>
            <w:shd w:val="clear" w:color="auto" w:fill="D9D9D9" w:themeFill="background1" w:themeFillShade="D9"/>
            <w:vAlign w:val="center"/>
          </w:tcPr>
          <w:p w:rsidR="0068321E" w:rsidRPr="00E217F3" w:rsidRDefault="0068321E" w:rsidP="0068321E">
            <w:pPr>
              <w:rPr>
                <w:sz w:val="18"/>
                <w:szCs w:val="18"/>
              </w:rPr>
            </w:pPr>
          </w:p>
        </w:tc>
        <w:tc>
          <w:tcPr>
            <w:tcW w:w="770" w:type="dxa"/>
            <w:shd w:val="clear" w:color="auto" w:fill="D9D9D9" w:themeFill="background1" w:themeFillShade="D9"/>
            <w:vAlign w:val="center"/>
          </w:tcPr>
          <w:p w:rsidR="0068321E" w:rsidRPr="00E217F3" w:rsidRDefault="0068321E" w:rsidP="0068321E">
            <w:pPr>
              <w:rPr>
                <w:sz w:val="18"/>
                <w:szCs w:val="18"/>
              </w:rPr>
            </w:pPr>
          </w:p>
        </w:tc>
        <w:tc>
          <w:tcPr>
            <w:tcW w:w="769" w:type="dxa"/>
            <w:shd w:val="clear" w:color="auto" w:fill="D9D9D9" w:themeFill="background1" w:themeFillShade="D9"/>
            <w:vAlign w:val="center"/>
          </w:tcPr>
          <w:p w:rsidR="0068321E" w:rsidRPr="00E217F3" w:rsidRDefault="0068321E" w:rsidP="0068321E">
            <w:pPr>
              <w:rPr>
                <w:sz w:val="18"/>
                <w:szCs w:val="18"/>
              </w:rPr>
            </w:pPr>
          </w:p>
        </w:tc>
        <w:tc>
          <w:tcPr>
            <w:tcW w:w="770" w:type="dxa"/>
            <w:shd w:val="clear" w:color="auto" w:fill="auto"/>
            <w:vAlign w:val="center"/>
          </w:tcPr>
          <w:p w:rsidR="0068321E" w:rsidRPr="0068321E" w:rsidRDefault="0068321E" w:rsidP="0068321E">
            <w:pPr>
              <w:rPr>
                <w:sz w:val="18"/>
                <w:szCs w:val="18"/>
              </w:rPr>
            </w:pPr>
            <w:r w:rsidRPr="0068321E">
              <w:rPr>
                <w:rFonts w:cs="Arial"/>
                <w:sz w:val="18"/>
                <w:szCs w:val="18"/>
              </w:rPr>
              <w:t>√</w:t>
            </w:r>
          </w:p>
        </w:tc>
        <w:tc>
          <w:tcPr>
            <w:tcW w:w="769" w:type="dxa"/>
            <w:shd w:val="clear" w:color="auto" w:fill="D9D9D9" w:themeFill="background1" w:themeFillShade="D9"/>
            <w:vAlign w:val="center"/>
          </w:tcPr>
          <w:p w:rsidR="0068321E" w:rsidRPr="00E217F3" w:rsidRDefault="0068321E" w:rsidP="0068321E">
            <w:pPr>
              <w:rPr>
                <w:sz w:val="18"/>
                <w:szCs w:val="18"/>
              </w:rPr>
            </w:pPr>
          </w:p>
        </w:tc>
        <w:tc>
          <w:tcPr>
            <w:tcW w:w="770" w:type="dxa"/>
            <w:tcBorders>
              <w:right w:val="single" w:sz="12" w:space="0" w:color="auto"/>
            </w:tcBorders>
            <w:shd w:val="clear" w:color="auto" w:fill="auto"/>
            <w:vAlign w:val="center"/>
          </w:tcPr>
          <w:p w:rsidR="0068321E" w:rsidRPr="00E217F3" w:rsidRDefault="0068321E" w:rsidP="0068321E">
            <w:pPr>
              <w:rPr>
                <w:sz w:val="18"/>
                <w:szCs w:val="18"/>
              </w:rPr>
            </w:pPr>
            <w:r w:rsidRPr="00476085">
              <w:rPr>
                <w:rFonts w:cs="Arial"/>
                <w:sz w:val="18"/>
                <w:szCs w:val="18"/>
              </w:rPr>
              <w:t>√</w:t>
            </w:r>
          </w:p>
        </w:tc>
        <w:tc>
          <w:tcPr>
            <w:tcW w:w="769" w:type="dxa"/>
            <w:gridSpan w:val="2"/>
            <w:tcBorders>
              <w:left w:val="single" w:sz="12" w:space="0" w:color="auto"/>
            </w:tcBorders>
            <w:shd w:val="clear" w:color="auto" w:fill="auto"/>
            <w:vAlign w:val="center"/>
          </w:tcPr>
          <w:p w:rsidR="0068321E" w:rsidRDefault="0068321E" w:rsidP="0068321E">
            <w:r w:rsidRPr="003D75CC">
              <w:rPr>
                <w:rFonts w:cs="Arial"/>
                <w:sz w:val="18"/>
                <w:szCs w:val="18"/>
              </w:rPr>
              <w:t>√</w:t>
            </w:r>
          </w:p>
        </w:tc>
        <w:tc>
          <w:tcPr>
            <w:tcW w:w="770" w:type="dxa"/>
            <w:shd w:val="clear" w:color="auto" w:fill="auto"/>
            <w:vAlign w:val="center"/>
          </w:tcPr>
          <w:p w:rsidR="0068321E" w:rsidRDefault="0068321E" w:rsidP="0068321E">
            <w:r w:rsidRPr="003D75CC">
              <w:rPr>
                <w:rFonts w:cs="Arial"/>
                <w:sz w:val="18"/>
                <w:szCs w:val="18"/>
              </w:rPr>
              <w:t>√</w:t>
            </w:r>
          </w:p>
        </w:tc>
        <w:tc>
          <w:tcPr>
            <w:tcW w:w="769" w:type="dxa"/>
            <w:shd w:val="clear" w:color="auto" w:fill="auto"/>
            <w:vAlign w:val="center"/>
          </w:tcPr>
          <w:p w:rsidR="0068321E" w:rsidRDefault="0068321E" w:rsidP="0068321E">
            <w:r w:rsidRPr="003D75CC">
              <w:rPr>
                <w:rFonts w:cs="Arial"/>
                <w:sz w:val="18"/>
                <w:szCs w:val="18"/>
              </w:rPr>
              <w:t>√</w:t>
            </w:r>
          </w:p>
        </w:tc>
        <w:tc>
          <w:tcPr>
            <w:tcW w:w="770" w:type="dxa"/>
            <w:shd w:val="clear" w:color="auto" w:fill="auto"/>
            <w:vAlign w:val="center"/>
          </w:tcPr>
          <w:p w:rsidR="0068321E" w:rsidRDefault="0068321E" w:rsidP="0068321E">
            <w:r w:rsidRPr="003D75CC">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BG</w:t>
            </w:r>
          </w:p>
        </w:tc>
        <w:tc>
          <w:tcPr>
            <w:tcW w:w="726" w:type="dxa"/>
            <w:tcBorders>
              <w:left w:val="single" w:sz="12" w:space="0" w:color="auto"/>
            </w:tcBorders>
            <w:vAlign w:val="center"/>
          </w:tcPr>
          <w:p w:rsidR="00CE4EEF" w:rsidRDefault="00CE4EEF" w:rsidP="00F343E9">
            <w:r w:rsidRPr="00196600">
              <w:rPr>
                <w:rFonts w:cs="Arial"/>
                <w:sz w:val="18"/>
                <w:szCs w:val="18"/>
              </w:rPr>
              <w:t>√</w:t>
            </w:r>
          </w:p>
        </w:tc>
        <w:tc>
          <w:tcPr>
            <w:tcW w:w="768" w:type="dxa"/>
            <w:vAlign w:val="center"/>
          </w:tcPr>
          <w:p w:rsidR="00CE4EEF" w:rsidRDefault="00CE4EEF" w:rsidP="00F343E9">
            <w:r w:rsidRPr="00196600">
              <w:rPr>
                <w:rFonts w:cs="Arial"/>
                <w:sz w:val="18"/>
                <w:szCs w:val="18"/>
              </w:rPr>
              <w:t>√</w:t>
            </w:r>
          </w:p>
        </w:tc>
        <w:tc>
          <w:tcPr>
            <w:tcW w:w="769" w:type="dxa"/>
            <w:vAlign w:val="center"/>
          </w:tcPr>
          <w:p w:rsidR="00CE4EEF" w:rsidRDefault="00CE4EEF" w:rsidP="00F343E9">
            <w:r w:rsidRPr="00196600">
              <w:rPr>
                <w:rFonts w:cs="Arial"/>
                <w:sz w:val="18"/>
                <w:szCs w:val="18"/>
              </w:rPr>
              <w:t>√</w:t>
            </w:r>
          </w:p>
        </w:tc>
        <w:tc>
          <w:tcPr>
            <w:tcW w:w="768" w:type="dxa"/>
            <w:vAlign w:val="center"/>
          </w:tcPr>
          <w:p w:rsidR="00CE4EEF" w:rsidRDefault="00CE4EEF" w:rsidP="00F343E9">
            <w:r w:rsidRPr="00196600">
              <w:rPr>
                <w:rFonts w:cs="Arial"/>
                <w:sz w:val="18"/>
                <w:szCs w:val="18"/>
              </w:rPr>
              <w:t>√</w:t>
            </w:r>
          </w:p>
        </w:tc>
        <w:tc>
          <w:tcPr>
            <w:tcW w:w="770" w:type="dxa"/>
            <w:vAlign w:val="center"/>
          </w:tcPr>
          <w:p w:rsidR="00CE4EEF" w:rsidRDefault="00CE4EEF" w:rsidP="00F343E9">
            <w:r w:rsidRPr="00196600">
              <w:rPr>
                <w:rFonts w:cs="Arial"/>
                <w:sz w:val="18"/>
                <w:szCs w:val="18"/>
              </w:rPr>
              <w:t>√</w:t>
            </w:r>
          </w:p>
        </w:tc>
        <w:tc>
          <w:tcPr>
            <w:tcW w:w="769" w:type="dxa"/>
            <w:vAlign w:val="center"/>
          </w:tcPr>
          <w:p w:rsidR="00CE4EEF" w:rsidRDefault="00CE4EEF" w:rsidP="00F343E9">
            <w:r w:rsidRPr="00196600">
              <w:rPr>
                <w:rFonts w:cs="Arial"/>
                <w:sz w:val="18"/>
                <w:szCs w:val="18"/>
              </w:rPr>
              <w:t>√</w:t>
            </w:r>
          </w:p>
        </w:tc>
        <w:tc>
          <w:tcPr>
            <w:tcW w:w="770" w:type="dxa"/>
            <w:vAlign w:val="center"/>
          </w:tcPr>
          <w:p w:rsidR="00CE4EEF" w:rsidRDefault="00CE4EEF" w:rsidP="00F343E9">
            <w:r w:rsidRPr="00196600">
              <w:rPr>
                <w:rFonts w:cs="Arial"/>
                <w:sz w:val="18"/>
                <w:szCs w:val="18"/>
              </w:rPr>
              <w:t>√</w:t>
            </w:r>
          </w:p>
        </w:tc>
        <w:tc>
          <w:tcPr>
            <w:tcW w:w="769" w:type="dxa"/>
            <w:vAlign w:val="center"/>
          </w:tcPr>
          <w:p w:rsidR="00CE4EEF" w:rsidRDefault="00CE4EEF" w:rsidP="00F343E9">
            <w:r w:rsidRPr="00196600">
              <w:rPr>
                <w:rFonts w:cs="Arial"/>
                <w:sz w:val="18"/>
                <w:szCs w:val="18"/>
              </w:rPr>
              <w:t>√</w:t>
            </w:r>
          </w:p>
        </w:tc>
        <w:tc>
          <w:tcPr>
            <w:tcW w:w="770" w:type="dxa"/>
            <w:tcBorders>
              <w:right w:val="single" w:sz="12" w:space="0" w:color="auto"/>
            </w:tcBorders>
            <w:vAlign w:val="center"/>
          </w:tcPr>
          <w:p w:rsidR="00CE4EEF" w:rsidRDefault="00CE4EEF" w:rsidP="00F343E9">
            <w:r w:rsidRPr="00196600">
              <w:rPr>
                <w:rFonts w:cs="Arial"/>
                <w:sz w:val="18"/>
                <w:szCs w:val="18"/>
              </w:rPr>
              <w:t>√</w:t>
            </w:r>
          </w:p>
        </w:tc>
        <w:tc>
          <w:tcPr>
            <w:tcW w:w="769" w:type="dxa"/>
            <w:gridSpan w:val="2"/>
            <w:tcBorders>
              <w:left w:val="single" w:sz="12" w:space="0" w:color="auto"/>
            </w:tcBorders>
            <w:vAlign w:val="center"/>
          </w:tcPr>
          <w:p w:rsidR="00CE4EEF" w:rsidRDefault="00CE4EEF" w:rsidP="00F343E9">
            <w:r w:rsidRPr="00CA44DF">
              <w:rPr>
                <w:rFonts w:cs="Arial"/>
                <w:sz w:val="18"/>
                <w:szCs w:val="18"/>
              </w:rPr>
              <w:t>√</w:t>
            </w:r>
          </w:p>
        </w:tc>
        <w:tc>
          <w:tcPr>
            <w:tcW w:w="770" w:type="dxa"/>
            <w:vAlign w:val="center"/>
          </w:tcPr>
          <w:p w:rsidR="00CE4EEF" w:rsidRDefault="00CE4EEF" w:rsidP="00F343E9">
            <w:r w:rsidRPr="00CA44DF">
              <w:rPr>
                <w:rFonts w:cs="Arial"/>
                <w:sz w:val="18"/>
                <w:szCs w:val="18"/>
              </w:rPr>
              <w:t>√</w:t>
            </w:r>
          </w:p>
        </w:tc>
        <w:tc>
          <w:tcPr>
            <w:tcW w:w="769" w:type="dxa"/>
            <w:vAlign w:val="center"/>
          </w:tcPr>
          <w:p w:rsidR="00CE4EEF" w:rsidRDefault="00CE4EEF" w:rsidP="00F343E9">
            <w:r w:rsidRPr="00CA44DF">
              <w:rPr>
                <w:rFonts w:cs="Arial"/>
                <w:sz w:val="18"/>
                <w:szCs w:val="18"/>
              </w:rPr>
              <w:t>√</w:t>
            </w:r>
          </w:p>
        </w:tc>
        <w:tc>
          <w:tcPr>
            <w:tcW w:w="770" w:type="dxa"/>
            <w:vAlign w:val="center"/>
          </w:tcPr>
          <w:p w:rsidR="00CE4EEF" w:rsidRDefault="00CE4EEF" w:rsidP="00F343E9">
            <w:r w:rsidRPr="00476085">
              <w:rPr>
                <w:rFonts w:cs="Arial"/>
                <w:sz w:val="18"/>
                <w:szCs w:val="18"/>
              </w:rPr>
              <w:t>√</w:t>
            </w:r>
            <w:r>
              <w:rPr>
                <w:rStyle w:val="EndnoteReference"/>
              </w:rPr>
              <w:endnoteReference w:id="141"/>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CY</w:t>
            </w:r>
          </w:p>
        </w:tc>
        <w:tc>
          <w:tcPr>
            <w:tcW w:w="726" w:type="dxa"/>
            <w:tcBorders>
              <w:left w:val="single" w:sz="12" w:space="0" w:color="auto"/>
            </w:tcBorders>
            <w:vAlign w:val="center"/>
          </w:tcPr>
          <w:p w:rsidR="00CE4EEF" w:rsidRDefault="00CE4EEF" w:rsidP="00F343E9">
            <w:r w:rsidRPr="000F63E4">
              <w:rPr>
                <w:rFonts w:cs="Arial"/>
                <w:sz w:val="18"/>
                <w:szCs w:val="18"/>
              </w:rPr>
              <w:t>√</w:t>
            </w:r>
          </w:p>
        </w:tc>
        <w:tc>
          <w:tcPr>
            <w:tcW w:w="768" w:type="dxa"/>
            <w:vAlign w:val="center"/>
          </w:tcPr>
          <w:p w:rsidR="00CE4EEF" w:rsidRDefault="00CE4EEF" w:rsidP="00F343E9">
            <w:r w:rsidRPr="000F63E4">
              <w:rPr>
                <w:rFonts w:cs="Arial"/>
                <w:sz w:val="18"/>
                <w:szCs w:val="18"/>
              </w:rPr>
              <w:t>√</w:t>
            </w:r>
          </w:p>
        </w:tc>
        <w:tc>
          <w:tcPr>
            <w:tcW w:w="769" w:type="dxa"/>
            <w:vAlign w:val="center"/>
          </w:tcPr>
          <w:p w:rsidR="00CE4EEF" w:rsidRDefault="00CE4EEF" w:rsidP="00F343E9">
            <w:r w:rsidRPr="000F63E4">
              <w:rPr>
                <w:rFonts w:cs="Arial"/>
                <w:sz w:val="18"/>
                <w:szCs w:val="18"/>
              </w:rPr>
              <w:t>√</w:t>
            </w:r>
          </w:p>
        </w:tc>
        <w:tc>
          <w:tcPr>
            <w:tcW w:w="768" w:type="dxa"/>
            <w:vAlign w:val="center"/>
          </w:tcPr>
          <w:p w:rsidR="00CE4EEF" w:rsidRDefault="00CE4EEF" w:rsidP="00F343E9">
            <w:r w:rsidRPr="000F63E4">
              <w:rPr>
                <w:rFonts w:cs="Arial"/>
                <w:sz w:val="18"/>
                <w:szCs w:val="18"/>
              </w:rPr>
              <w:t>√</w:t>
            </w:r>
          </w:p>
        </w:tc>
        <w:tc>
          <w:tcPr>
            <w:tcW w:w="770" w:type="dxa"/>
            <w:vAlign w:val="center"/>
          </w:tcPr>
          <w:p w:rsidR="00CE4EEF" w:rsidRDefault="00CE4EEF" w:rsidP="00F343E9">
            <w:r w:rsidRPr="000F63E4">
              <w:rPr>
                <w:rFonts w:cs="Arial"/>
                <w:sz w:val="18"/>
                <w:szCs w:val="18"/>
              </w:rPr>
              <w:t>√</w:t>
            </w:r>
          </w:p>
        </w:tc>
        <w:tc>
          <w:tcPr>
            <w:tcW w:w="769" w:type="dxa"/>
            <w:vAlign w:val="center"/>
          </w:tcPr>
          <w:p w:rsidR="00CE4EEF" w:rsidRDefault="00CE4EEF" w:rsidP="00F343E9">
            <w:r w:rsidRPr="000F63E4">
              <w:rPr>
                <w:rFonts w:cs="Arial"/>
                <w:sz w:val="18"/>
                <w:szCs w:val="18"/>
              </w:rPr>
              <w:t>√</w:t>
            </w:r>
          </w:p>
        </w:tc>
        <w:tc>
          <w:tcPr>
            <w:tcW w:w="770" w:type="dxa"/>
            <w:vAlign w:val="center"/>
          </w:tcPr>
          <w:p w:rsidR="00CE4EEF" w:rsidRDefault="00CE4EEF" w:rsidP="00F343E9">
            <w:r w:rsidRPr="000F63E4">
              <w:rPr>
                <w:rFonts w:cs="Arial"/>
                <w:sz w:val="18"/>
                <w:szCs w:val="18"/>
              </w:rPr>
              <w:t>√</w:t>
            </w:r>
          </w:p>
        </w:tc>
        <w:tc>
          <w:tcPr>
            <w:tcW w:w="769" w:type="dxa"/>
            <w:vAlign w:val="center"/>
          </w:tcPr>
          <w:p w:rsidR="00CE4EEF" w:rsidRDefault="00CE4EEF" w:rsidP="00F343E9">
            <w:r w:rsidRPr="000F63E4">
              <w:rPr>
                <w:rFonts w:cs="Arial"/>
                <w:sz w:val="18"/>
                <w:szCs w:val="18"/>
              </w:rPr>
              <w:t>√</w:t>
            </w: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vAlign w:val="center"/>
          </w:tcPr>
          <w:p w:rsidR="00CE4EEF" w:rsidRDefault="00CE4EEF" w:rsidP="00F343E9">
            <w:r w:rsidRPr="003D75CC">
              <w:rPr>
                <w:rFonts w:cs="Arial"/>
                <w:sz w:val="18"/>
                <w:szCs w:val="18"/>
              </w:rPr>
              <w:t>√</w:t>
            </w:r>
          </w:p>
        </w:tc>
        <w:tc>
          <w:tcPr>
            <w:tcW w:w="770" w:type="dxa"/>
            <w:vAlign w:val="center"/>
          </w:tcPr>
          <w:p w:rsidR="00CE4EEF" w:rsidRDefault="00CE4EEF" w:rsidP="00F343E9">
            <w:r w:rsidRPr="003D75CC">
              <w:rPr>
                <w:rFonts w:cs="Arial"/>
                <w:sz w:val="18"/>
                <w:szCs w:val="18"/>
              </w:rPr>
              <w:t>√</w:t>
            </w:r>
          </w:p>
        </w:tc>
        <w:tc>
          <w:tcPr>
            <w:tcW w:w="769" w:type="dxa"/>
            <w:vAlign w:val="center"/>
          </w:tcPr>
          <w:p w:rsidR="00CE4EEF" w:rsidRDefault="00CE4EEF" w:rsidP="00F343E9">
            <w:r w:rsidRPr="003D75CC">
              <w:rPr>
                <w:rFonts w:cs="Arial"/>
                <w:sz w:val="18"/>
                <w:szCs w:val="18"/>
              </w:rPr>
              <w:t>√</w:t>
            </w:r>
          </w:p>
        </w:tc>
        <w:tc>
          <w:tcPr>
            <w:tcW w:w="770" w:type="dxa"/>
            <w:vAlign w:val="center"/>
          </w:tcPr>
          <w:p w:rsidR="00CE4EEF" w:rsidRDefault="00CE4EEF" w:rsidP="00F343E9">
            <w:r w:rsidRPr="003D75CC">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CZ</w:t>
            </w:r>
          </w:p>
        </w:tc>
        <w:tc>
          <w:tcPr>
            <w:tcW w:w="726"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c>
          <w:tcPr>
            <w:tcW w:w="769" w:type="dxa"/>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DE</w:t>
            </w:r>
          </w:p>
        </w:tc>
        <w:tc>
          <w:tcPr>
            <w:tcW w:w="726"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c>
          <w:tcPr>
            <w:tcW w:w="769" w:type="dxa"/>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DK</w:t>
            </w:r>
          </w:p>
        </w:tc>
        <w:tc>
          <w:tcPr>
            <w:tcW w:w="726" w:type="dxa"/>
            <w:tcBorders>
              <w:left w:val="single" w:sz="12" w:space="0" w:color="auto"/>
            </w:tcBorders>
            <w:vAlign w:val="center"/>
          </w:tcPr>
          <w:p w:rsidR="00CE4EEF" w:rsidRDefault="00CE4EEF" w:rsidP="00F343E9">
            <w:r w:rsidRPr="009E6D58">
              <w:rPr>
                <w:rFonts w:cs="Arial"/>
                <w:sz w:val="18"/>
                <w:szCs w:val="18"/>
              </w:rPr>
              <w:t>√</w:t>
            </w:r>
          </w:p>
        </w:tc>
        <w:tc>
          <w:tcPr>
            <w:tcW w:w="768" w:type="dxa"/>
            <w:vAlign w:val="center"/>
          </w:tcPr>
          <w:p w:rsidR="00CE4EEF" w:rsidRDefault="00CE4EEF" w:rsidP="00F343E9">
            <w:r w:rsidRPr="009E6D58">
              <w:rPr>
                <w:rFonts w:cs="Arial"/>
                <w:sz w:val="18"/>
                <w:szCs w:val="18"/>
              </w:rPr>
              <w:t>√</w:t>
            </w:r>
          </w:p>
        </w:tc>
        <w:tc>
          <w:tcPr>
            <w:tcW w:w="769" w:type="dxa"/>
            <w:vAlign w:val="center"/>
          </w:tcPr>
          <w:p w:rsidR="00CE4EEF" w:rsidRDefault="00CE4EEF" w:rsidP="00F343E9">
            <w:r w:rsidRPr="009E6D58">
              <w:rPr>
                <w:rFonts w:cs="Arial"/>
                <w:sz w:val="18"/>
                <w:szCs w:val="18"/>
              </w:rPr>
              <w:t>√</w:t>
            </w:r>
          </w:p>
        </w:tc>
        <w:tc>
          <w:tcPr>
            <w:tcW w:w="768" w:type="dxa"/>
            <w:vAlign w:val="center"/>
          </w:tcPr>
          <w:p w:rsidR="00CE4EEF" w:rsidRDefault="00CE4EEF" w:rsidP="00F343E9">
            <w:r w:rsidRPr="009E6D58">
              <w:rPr>
                <w:rFonts w:cs="Arial"/>
                <w:sz w:val="18"/>
                <w:szCs w:val="18"/>
              </w:rPr>
              <w:t>√</w:t>
            </w:r>
          </w:p>
        </w:tc>
        <w:tc>
          <w:tcPr>
            <w:tcW w:w="770" w:type="dxa"/>
            <w:vAlign w:val="center"/>
          </w:tcPr>
          <w:p w:rsidR="00CE4EEF" w:rsidRDefault="00CE4EEF" w:rsidP="00F343E9">
            <w:r w:rsidRPr="009E6D58">
              <w:rPr>
                <w:rFonts w:cs="Arial"/>
                <w:sz w:val="18"/>
                <w:szCs w:val="18"/>
              </w:rPr>
              <w:t>√</w:t>
            </w:r>
          </w:p>
        </w:tc>
        <w:tc>
          <w:tcPr>
            <w:tcW w:w="769" w:type="dxa"/>
            <w:vAlign w:val="center"/>
          </w:tcPr>
          <w:p w:rsidR="00CE4EEF" w:rsidRDefault="00CE4EEF" w:rsidP="00F343E9">
            <w:r w:rsidRPr="009E6D58">
              <w:rPr>
                <w:rFonts w:cs="Arial"/>
                <w:sz w:val="18"/>
                <w:szCs w:val="18"/>
              </w:rPr>
              <w:t>√</w:t>
            </w:r>
          </w:p>
        </w:tc>
        <w:tc>
          <w:tcPr>
            <w:tcW w:w="770" w:type="dxa"/>
            <w:vAlign w:val="center"/>
          </w:tcPr>
          <w:p w:rsidR="00CE4EEF" w:rsidRDefault="00CE4EEF" w:rsidP="00F343E9">
            <w:r w:rsidRPr="009E6D58">
              <w:rPr>
                <w:rFonts w:cs="Arial"/>
                <w:sz w:val="18"/>
                <w:szCs w:val="18"/>
              </w:rPr>
              <w:t>√</w:t>
            </w:r>
          </w:p>
        </w:tc>
        <w:tc>
          <w:tcPr>
            <w:tcW w:w="769" w:type="dxa"/>
            <w:vAlign w:val="center"/>
          </w:tcPr>
          <w:p w:rsidR="00CE4EEF" w:rsidRDefault="00CE4EEF" w:rsidP="00F343E9">
            <w:r w:rsidRPr="009E6D58">
              <w:rPr>
                <w:rFonts w:cs="Arial"/>
                <w:sz w:val="18"/>
                <w:szCs w:val="18"/>
              </w:rPr>
              <w:t>√</w:t>
            </w:r>
          </w:p>
        </w:tc>
        <w:tc>
          <w:tcPr>
            <w:tcW w:w="770" w:type="dxa"/>
            <w:tcBorders>
              <w:right w:val="single" w:sz="12" w:space="0" w:color="auto"/>
            </w:tcBorders>
            <w:vAlign w:val="center"/>
          </w:tcPr>
          <w:p w:rsidR="00CE4EEF" w:rsidRDefault="00CE4EEF" w:rsidP="00F343E9">
            <w:r w:rsidRPr="009E6D58">
              <w:rPr>
                <w:rFonts w:cs="Arial"/>
                <w:sz w:val="18"/>
                <w:szCs w:val="18"/>
              </w:rPr>
              <w:t>√</w:t>
            </w:r>
          </w:p>
        </w:tc>
        <w:tc>
          <w:tcPr>
            <w:tcW w:w="769" w:type="dxa"/>
            <w:gridSpan w:val="2"/>
            <w:tcBorders>
              <w:left w:val="single" w:sz="12" w:space="0" w:color="auto"/>
            </w:tcBorders>
            <w:vAlign w:val="center"/>
          </w:tcPr>
          <w:p w:rsidR="00CE4EEF" w:rsidRDefault="00CE4EEF" w:rsidP="00F343E9">
            <w:r w:rsidRPr="009E6D58">
              <w:rPr>
                <w:rFonts w:cs="Arial"/>
                <w:sz w:val="18"/>
                <w:szCs w:val="18"/>
              </w:rPr>
              <w:t>√</w:t>
            </w:r>
          </w:p>
        </w:tc>
        <w:tc>
          <w:tcPr>
            <w:tcW w:w="770" w:type="dxa"/>
            <w:vAlign w:val="center"/>
          </w:tcPr>
          <w:p w:rsidR="00CE4EEF" w:rsidRDefault="00CE4EEF" w:rsidP="00F343E9">
            <w:r w:rsidRPr="009E6D58">
              <w:rPr>
                <w:rFonts w:cs="Arial"/>
                <w:sz w:val="18"/>
                <w:szCs w:val="18"/>
              </w:rPr>
              <w:t>√</w:t>
            </w:r>
          </w:p>
        </w:tc>
        <w:tc>
          <w:tcPr>
            <w:tcW w:w="769" w:type="dxa"/>
            <w:vAlign w:val="center"/>
          </w:tcPr>
          <w:p w:rsidR="00CE4EEF" w:rsidRDefault="00CE4EEF" w:rsidP="00F343E9">
            <w:r w:rsidRPr="009E6D58">
              <w:rPr>
                <w:rFonts w:cs="Arial"/>
                <w:sz w:val="18"/>
                <w:szCs w:val="18"/>
              </w:rPr>
              <w:t>√</w:t>
            </w:r>
          </w:p>
        </w:tc>
        <w:tc>
          <w:tcPr>
            <w:tcW w:w="770" w:type="dxa"/>
            <w:vAlign w:val="center"/>
          </w:tcPr>
          <w:p w:rsidR="00CE4EEF" w:rsidRDefault="00CE4EEF" w:rsidP="00F343E9">
            <w:r w:rsidRPr="009E6D58">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EE</w:t>
            </w:r>
          </w:p>
        </w:tc>
        <w:tc>
          <w:tcPr>
            <w:tcW w:w="726"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c>
          <w:tcPr>
            <w:tcW w:w="769" w:type="dxa"/>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EL</w:t>
            </w:r>
          </w:p>
        </w:tc>
        <w:tc>
          <w:tcPr>
            <w:tcW w:w="726" w:type="dxa"/>
            <w:tcBorders>
              <w:left w:val="single" w:sz="12" w:space="0" w:color="auto"/>
            </w:tcBorders>
            <w:vAlign w:val="center"/>
          </w:tcPr>
          <w:p w:rsidR="00CE4EEF" w:rsidRDefault="00CE4EEF" w:rsidP="00F343E9">
            <w:r w:rsidRPr="008E2B18">
              <w:rPr>
                <w:rFonts w:cs="Arial"/>
                <w:sz w:val="18"/>
                <w:szCs w:val="18"/>
              </w:rPr>
              <w:t>√</w:t>
            </w:r>
          </w:p>
        </w:tc>
        <w:tc>
          <w:tcPr>
            <w:tcW w:w="768" w:type="dxa"/>
            <w:vAlign w:val="center"/>
          </w:tcPr>
          <w:p w:rsidR="00CE4EEF" w:rsidRDefault="00CE4EEF" w:rsidP="00F343E9">
            <w:r w:rsidRPr="008E2B18">
              <w:rPr>
                <w:rFonts w:cs="Arial"/>
                <w:sz w:val="18"/>
                <w:szCs w:val="18"/>
              </w:rPr>
              <w:t>√</w:t>
            </w:r>
          </w:p>
        </w:tc>
        <w:tc>
          <w:tcPr>
            <w:tcW w:w="769" w:type="dxa"/>
            <w:vAlign w:val="center"/>
          </w:tcPr>
          <w:p w:rsidR="00CE4EEF" w:rsidRDefault="00CE4EEF" w:rsidP="00F343E9">
            <w:r w:rsidRPr="008E2B18">
              <w:rPr>
                <w:rFonts w:cs="Arial"/>
                <w:sz w:val="18"/>
                <w:szCs w:val="18"/>
              </w:rPr>
              <w:t>√</w:t>
            </w:r>
          </w:p>
        </w:tc>
        <w:tc>
          <w:tcPr>
            <w:tcW w:w="768" w:type="dxa"/>
            <w:vAlign w:val="center"/>
          </w:tcPr>
          <w:p w:rsidR="00CE4EEF" w:rsidRDefault="00CE4EEF" w:rsidP="00F343E9">
            <w:r w:rsidRPr="008E2B18">
              <w:rPr>
                <w:rFonts w:cs="Arial"/>
                <w:sz w:val="18"/>
                <w:szCs w:val="18"/>
              </w:rPr>
              <w:t>√</w:t>
            </w:r>
          </w:p>
        </w:tc>
        <w:tc>
          <w:tcPr>
            <w:tcW w:w="770" w:type="dxa"/>
            <w:vAlign w:val="center"/>
          </w:tcPr>
          <w:p w:rsidR="00CE4EEF" w:rsidRDefault="00CE4EEF" w:rsidP="00F343E9">
            <w:r w:rsidRPr="008E2B18">
              <w:rPr>
                <w:rFonts w:cs="Arial"/>
                <w:sz w:val="18"/>
                <w:szCs w:val="18"/>
              </w:rPr>
              <w:t>√</w:t>
            </w:r>
          </w:p>
        </w:tc>
        <w:tc>
          <w:tcPr>
            <w:tcW w:w="769" w:type="dxa"/>
            <w:vAlign w:val="center"/>
          </w:tcPr>
          <w:p w:rsidR="00CE4EEF" w:rsidRDefault="00CE4EEF" w:rsidP="00F343E9">
            <w:r w:rsidRPr="008E2B18">
              <w:rPr>
                <w:rFonts w:cs="Arial"/>
                <w:sz w:val="18"/>
                <w:szCs w:val="18"/>
              </w:rPr>
              <w:t>√</w:t>
            </w:r>
          </w:p>
        </w:tc>
        <w:tc>
          <w:tcPr>
            <w:tcW w:w="770" w:type="dxa"/>
            <w:vAlign w:val="center"/>
          </w:tcPr>
          <w:p w:rsidR="00CE4EEF" w:rsidRDefault="00CE4EEF" w:rsidP="00F343E9">
            <w:r w:rsidRPr="008E2B18">
              <w:rPr>
                <w:rFonts w:cs="Arial"/>
                <w:sz w:val="18"/>
                <w:szCs w:val="18"/>
              </w:rPr>
              <w:t>√</w:t>
            </w:r>
          </w:p>
        </w:tc>
        <w:tc>
          <w:tcPr>
            <w:tcW w:w="769" w:type="dxa"/>
            <w:vAlign w:val="center"/>
          </w:tcPr>
          <w:p w:rsidR="00CE4EEF" w:rsidRDefault="00CE4EEF" w:rsidP="00F343E9">
            <w:r w:rsidRPr="008E2B18">
              <w:rPr>
                <w:rFonts w:cs="Arial"/>
                <w:sz w:val="18"/>
                <w:szCs w:val="18"/>
              </w:rPr>
              <w:t>√</w:t>
            </w:r>
          </w:p>
        </w:tc>
        <w:tc>
          <w:tcPr>
            <w:tcW w:w="770" w:type="dxa"/>
            <w:tcBorders>
              <w:right w:val="single" w:sz="12" w:space="0" w:color="auto"/>
            </w:tcBorders>
            <w:vAlign w:val="center"/>
          </w:tcPr>
          <w:p w:rsidR="00CE4EEF" w:rsidRDefault="00CE4EEF" w:rsidP="00F343E9">
            <w:r w:rsidRPr="008E2B18">
              <w:rPr>
                <w:rFonts w:cs="Arial"/>
                <w:sz w:val="18"/>
                <w:szCs w:val="18"/>
              </w:rPr>
              <w:t>√</w:t>
            </w:r>
          </w:p>
        </w:tc>
        <w:tc>
          <w:tcPr>
            <w:tcW w:w="769" w:type="dxa"/>
            <w:gridSpan w:val="2"/>
            <w:tcBorders>
              <w:left w:val="single" w:sz="12" w:space="0" w:color="auto"/>
            </w:tcBorders>
            <w:vAlign w:val="center"/>
          </w:tcPr>
          <w:p w:rsidR="00CE4EEF" w:rsidRDefault="00CE4EEF" w:rsidP="00F343E9">
            <w:r w:rsidRPr="00476085">
              <w:rPr>
                <w:rFonts w:cs="Arial"/>
                <w:sz w:val="18"/>
                <w:szCs w:val="18"/>
              </w:rPr>
              <w:t>√</w:t>
            </w:r>
            <w:r>
              <w:rPr>
                <w:rStyle w:val="EndnoteReference"/>
              </w:rPr>
              <w:endnoteReference w:id="142"/>
            </w:r>
          </w:p>
        </w:tc>
        <w:tc>
          <w:tcPr>
            <w:tcW w:w="770" w:type="dxa"/>
            <w:vAlign w:val="center"/>
          </w:tcPr>
          <w:p w:rsidR="00CE4EEF" w:rsidRDefault="00CE4EEF" w:rsidP="00F343E9">
            <w:r w:rsidRPr="00476085">
              <w:rPr>
                <w:rFonts w:cs="Arial"/>
                <w:sz w:val="18"/>
                <w:szCs w:val="18"/>
              </w:rPr>
              <w:t>√</w:t>
            </w:r>
            <w:r>
              <w:rPr>
                <w:rStyle w:val="EndnoteReference"/>
              </w:rPr>
              <w:endnoteReference w:id="143"/>
            </w:r>
          </w:p>
        </w:tc>
        <w:tc>
          <w:tcPr>
            <w:tcW w:w="769" w:type="dxa"/>
            <w:vAlign w:val="center"/>
          </w:tcPr>
          <w:p w:rsidR="00CE4EEF" w:rsidRDefault="00CE4EEF" w:rsidP="00F343E9">
            <w:r w:rsidRPr="00476085">
              <w:rPr>
                <w:rFonts w:cs="Arial"/>
                <w:sz w:val="18"/>
                <w:szCs w:val="18"/>
              </w:rPr>
              <w:t>√</w:t>
            </w:r>
            <w:r>
              <w:rPr>
                <w:rStyle w:val="EndnoteReference"/>
              </w:rPr>
              <w:endnoteReference w:id="144"/>
            </w:r>
          </w:p>
        </w:tc>
        <w:tc>
          <w:tcPr>
            <w:tcW w:w="770" w:type="dxa"/>
            <w:vAlign w:val="center"/>
          </w:tcPr>
          <w:p w:rsidR="00CE4EEF" w:rsidRDefault="00CE4EEF" w:rsidP="00F343E9">
            <w:r w:rsidRPr="00476085">
              <w:rPr>
                <w:rFonts w:cs="Arial"/>
                <w:sz w:val="18"/>
                <w:szCs w:val="18"/>
              </w:rPr>
              <w:t>√</w:t>
            </w:r>
            <w:r>
              <w:rPr>
                <w:rStyle w:val="EndnoteReference"/>
              </w:rPr>
              <w:endnoteReference w:id="145"/>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ES</w:t>
            </w:r>
          </w:p>
        </w:tc>
        <w:tc>
          <w:tcPr>
            <w:tcW w:w="726" w:type="dxa"/>
            <w:tcBorders>
              <w:left w:val="single" w:sz="12" w:space="0" w:color="auto"/>
            </w:tcBorders>
            <w:vAlign w:val="center"/>
          </w:tcPr>
          <w:p w:rsidR="00CE4EEF" w:rsidRDefault="00CE4EEF" w:rsidP="00F343E9">
            <w:r w:rsidRPr="006152FD">
              <w:rPr>
                <w:rFonts w:cs="Arial"/>
                <w:sz w:val="18"/>
                <w:szCs w:val="18"/>
              </w:rPr>
              <w:t>√</w:t>
            </w:r>
          </w:p>
        </w:tc>
        <w:tc>
          <w:tcPr>
            <w:tcW w:w="768" w:type="dxa"/>
            <w:vAlign w:val="center"/>
          </w:tcPr>
          <w:p w:rsidR="00CE4EEF" w:rsidRDefault="00CE4EEF" w:rsidP="00F343E9">
            <w:r w:rsidRPr="006152FD">
              <w:rPr>
                <w:rFonts w:cs="Arial"/>
                <w:sz w:val="18"/>
                <w:szCs w:val="18"/>
              </w:rPr>
              <w:t>√</w:t>
            </w:r>
          </w:p>
        </w:tc>
        <w:tc>
          <w:tcPr>
            <w:tcW w:w="769" w:type="dxa"/>
            <w:vAlign w:val="center"/>
          </w:tcPr>
          <w:p w:rsidR="00CE4EEF" w:rsidRDefault="00CE4EEF" w:rsidP="00F343E9">
            <w:r w:rsidRPr="006152FD">
              <w:rPr>
                <w:rFonts w:cs="Arial"/>
                <w:sz w:val="18"/>
                <w:szCs w:val="18"/>
              </w:rPr>
              <w:t>√</w:t>
            </w:r>
          </w:p>
        </w:tc>
        <w:tc>
          <w:tcPr>
            <w:tcW w:w="768" w:type="dxa"/>
            <w:vAlign w:val="center"/>
          </w:tcPr>
          <w:p w:rsidR="00CE4EEF" w:rsidRDefault="00CE4EEF" w:rsidP="00F343E9">
            <w:r w:rsidRPr="006152FD">
              <w:rPr>
                <w:rFonts w:cs="Arial"/>
                <w:sz w:val="18"/>
                <w:szCs w:val="18"/>
              </w:rPr>
              <w:t>√</w:t>
            </w:r>
          </w:p>
        </w:tc>
        <w:tc>
          <w:tcPr>
            <w:tcW w:w="770" w:type="dxa"/>
            <w:vAlign w:val="center"/>
          </w:tcPr>
          <w:p w:rsidR="00CE4EEF" w:rsidRDefault="00CE4EEF" w:rsidP="00F343E9">
            <w:r w:rsidRPr="006152FD">
              <w:rPr>
                <w:rFonts w:cs="Arial"/>
                <w:sz w:val="18"/>
                <w:szCs w:val="18"/>
              </w:rPr>
              <w:t>√</w:t>
            </w:r>
          </w:p>
        </w:tc>
        <w:tc>
          <w:tcPr>
            <w:tcW w:w="769" w:type="dxa"/>
            <w:vAlign w:val="center"/>
          </w:tcPr>
          <w:p w:rsidR="00CE4EEF" w:rsidRDefault="00CE4EEF" w:rsidP="00F343E9">
            <w:r w:rsidRPr="006152FD">
              <w:rPr>
                <w:rFonts w:cs="Arial"/>
                <w:sz w:val="18"/>
                <w:szCs w:val="18"/>
              </w:rPr>
              <w:t>√</w:t>
            </w:r>
          </w:p>
        </w:tc>
        <w:tc>
          <w:tcPr>
            <w:tcW w:w="770" w:type="dxa"/>
            <w:vAlign w:val="center"/>
          </w:tcPr>
          <w:p w:rsidR="00CE4EEF" w:rsidRDefault="00CE4EEF" w:rsidP="00F343E9">
            <w:r w:rsidRPr="006152FD">
              <w:rPr>
                <w:rFonts w:cs="Arial"/>
                <w:sz w:val="18"/>
                <w:szCs w:val="18"/>
              </w:rPr>
              <w:t>√</w:t>
            </w:r>
          </w:p>
        </w:tc>
        <w:tc>
          <w:tcPr>
            <w:tcW w:w="769" w:type="dxa"/>
            <w:vAlign w:val="center"/>
          </w:tcPr>
          <w:p w:rsidR="00CE4EEF" w:rsidRDefault="00CE4EEF" w:rsidP="00F343E9">
            <w:r w:rsidRPr="006152FD">
              <w:rPr>
                <w:rFonts w:cs="Arial"/>
                <w:sz w:val="18"/>
                <w:szCs w:val="18"/>
              </w:rPr>
              <w:t>√</w:t>
            </w: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vAlign w:val="center"/>
          </w:tcPr>
          <w:p w:rsidR="00CE4EEF" w:rsidRDefault="00CE4EEF" w:rsidP="00F343E9">
            <w:r w:rsidRPr="00E37460">
              <w:rPr>
                <w:rFonts w:cs="Arial"/>
                <w:sz w:val="18"/>
                <w:szCs w:val="18"/>
              </w:rPr>
              <w:t>√</w:t>
            </w:r>
          </w:p>
        </w:tc>
        <w:tc>
          <w:tcPr>
            <w:tcW w:w="770" w:type="dxa"/>
            <w:vAlign w:val="center"/>
          </w:tcPr>
          <w:p w:rsidR="00CE4EEF" w:rsidRDefault="00CE4EEF" w:rsidP="00F343E9">
            <w:r w:rsidRPr="00E37460">
              <w:rPr>
                <w:rFonts w:cs="Arial"/>
                <w:sz w:val="18"/>
                <w:szCs w:val="18"/>
              </w:rPr>
              <w:t>√</w:t>
            </w:r>
          </w:p>
        </w:tc>
        <w:tc>
          <w:tcPr>
            <w:tcW w:w="769" w:type="dxa"/>
            <w:vAlign w:val="center"/>
          </w:tcPr>
          <w:p w:rsidR="00CE4EEF" w:rsidRDefault="00CE4EEF" w:rsidP="00F343E9">
            <w:r w:rsidRPr="00476085">
              <w:rPr>
                <w:rFonts w:cs="Arial"/>
                <w:sz w:val="18"/>
                <w:szCs w:val="18"/>
              </w:rPr>
              <w:t>√</w:t>
            </w:r>
            <w:r>
              <w:rPr>
                <w:rStyle w:val="EndnoteReference"/>
              </w:rPr>
              <w:endnoteReference w:id="146"/>
            </w:r>
          </w:p>
        </w:tc>
        <w:tc>
          <w:tcPr>
            <w:tcW w:w="770" w:type="dxa"/>
            <w:vAlign w:val="center"/>
          </w:tcPr>
          <w:p w:rsidR="00CE4EEF" w:rsidRDefault="00CE4EEF" w:rsidP="00F343E9">
            <w:r w:rsidRPr="00476085">
              <w:rPr>
                <w:rFonts w:cs="Arial"/>
                <w:sz w:val="18"/>
                <w:szCs w:val="18"/>
              </w:rPr>
              <w:t>√</w:t>
            </w:r>
            <w:r>
              <w:rPr>
                <w:rStyle w:val="EndnoteReference"/>
              </w:rPr>
              <w:endnoteReference w:id="147"/>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FI</w:t>
            </w:r>
          </w:p>
        </w:tc>
        <w:tc>
          <w:tcPr>
            <w:tcW w:w="726" w:type="dxa"/>
            <w:tcBorders>
              <w:left w:val="single" w:sz="12" w:space="0" w:color="auto"/>
            </w:tcBorders>
            <w:vAlign w:val="center"/>
          </w:tcPr>
          <w:p w:rsidR="00CE4EEF" w:rsidRDefault="00CE4EEF" w:rsidP="00F343E9">
            <w:r w:rsidRPr="00F445D5">
              <w:rPr>
                <w:rFonts w:cs="Arial"/>
                <w:sz w:val="18"/>
                <w:szCs w:val="18"/>
              </w:rPr>
              <w:t>√</w:t>
            </w:r>
          </w:p>
        </w:tc>
        <w:tc>
          <w:tcPr>
            <w:tcW w:w="768" w:type="dxa"/>
            <w:vAlign w:val="center"/>
          </w:tcPr>
          <w:p w:rsidR="00CE4EEF" w:rsidRDefault="00CE4EEF" w:rsidP="00F343E9">
            <w:r w:rsidRPr="00F445D5">
              <w:rPr>
                <w:rFonts w:cs="Arial"/>
                <w:sz w:val="18"/>
                <w:szCs w:val="18"/>
              </w:rPr>
              <w:t>√</w:t>
            </w:r>
          </w:p>
        </w:tc>
        <w:tc>
          <w:tcPr>
            <w:tcW w:w="769" w:type="dxa"/>
            <w:vAlign w:val="center"/>
          </w:tcPr>
          <w:p w:rsidR="00CE4EEF" w:rsidRDefault="00CE4EEF" w:rsidP="00F343E9">
            <w:r w:rsidRPr="00F445D5">
              <w:rPr>
                <w:rFonts w:cs="Arial"/>
                <w:sz w:val="18"/>
                <w:szCs w:val="18"/>
              </w:rPr>
              <w:t>√</w:t>
            </w:r>
          </w:p>
        </w:tc>
        <w:tc>
          <w:tcPr>
            <w:tcW w:w="768" w:type="dxa"/>
            <w:vAlign w:val="center"/>
          </w:tcPr>
          <w:p w:rsidR="00CE4EEF" w:rsidRDefault="00CE4EEF" w:rsidP="00F343E9">
            <w:r w:rsidRPr="00F445D5">
              <w:rPr>
                <w:rFonts w:cs="Arial"/>
                <w:sz w:val="18"/>
                <w:szCs w:val="18"/>
              </w:rPr>
              <w:t>√</w:t>
            </w:r>
          </w:p>
        </w:tc>
        <w:tc>
          <w:tcPr>
            <w:tcW w:w="770" w:type="dxa"/>
            <w:vAlign w:val="center"/>
          </w:tcPr>
          <w:p w:rsidR="00CE4EEF" w:rsidRDefault="00CE4EEF" w:rsidP="00F343E9">
            <w:r w:rsidRPr="00F445D5">
              <w:rPr>
                <w:rFonts w:cs="Arial"/>
                <w:sz w:val="18"/>
                <w:szCs w:val="18"/>
              </w:rPr>
              <w:t>√</w:t>
            </w:r>
          </w:p>
        </w:tc>
        <w:tc>
          <w:tcPr>
            <w:tcW w:w="769" w:type="dxa"/>
            <w:vAlign w:val="center"/>
          </w:tcPr>
          <w:p w:rsidR="00CE4EEF" w:rsidRDefault="00CE4EEF" w:rsidP="00F343E9">
            <w:r w:rsidRPr="00F445D5">
              <w:rPr>
                <w:rFonts w:cs="Arial"/>
                <w:sz w:val="18"/>
                <w:szCs w:val="18"/>
              </w:rPr>
              <w:t>√</w:t>
            </w:r>
          </w:p>
        </w:tc>
        <w:tc>
          <w:tcPr>
            <w:tcW w:w="770" w:type="dxa"/>
            <w:vAlign w:val="center"/>
          </w:tcPr>
          <w:p w:rsidR="00CE4EEF" w:rsidRDefault="00CE4EEF" w:rsidP="00F343E9">
            <w:r w:rsidRPr="00F445D5">
              <w:rPr>
                <w:rFonts w:cs="Arial"/>
                <w:sz w:val="18"/>
                <w:szCs w:val="18"/>
              </w:rPr>
              <w:t>√</w:t>
            </w:r>
          </w:p>
        </w:tc>
        <w:tc>
          <w:tcPr>
            <w:tcW w:w="769" w:type="dxa"/>
            <w:vAlign w:val="center"/>
          </w:tcPr>
          <w:p w:rsidR="00CE4EEF" w:rsidRDefault="00CE4EEF" w:rsidP="00F343E9">
            <w:r w:rsidRPr="00F445D5">
              <w:rPr>
                <w:rFonts w:cs="Arial"/>
                <w:sz w:val="18"/>
                <w:szCs w:val="18"/>
              </w:rPr>
              <w:t>√</w:t>
            </w:r>
          </w:p>
        </w:tc>
        <w:tc>
          <w:tcPr>
            <w:tcW w:w="770" w:type="dxa"/>
            <w:tcBorders>
              <w:right w:val="single" w:sz="12" w:space="0" w:color="auto"/>
            </w:tcBorders>
            <w:vAlign w:val="center"/>
          </w:tcPr>
          <w:p w:rsidR="00CE4EEF" w:rsidRDefault="00CE4EEF" w:rsidP="00F343E9">
            <w:r w:rsidRPr="00F445D5">
              <w:rPr>
                <w:rFonts w:cs="Arial"/>
                <w:sz w:val="18"/>
                <w:szCs w:val="18"/>
              </w:rPr>
              <w:t>√</w:t>
            </w:r>
          </w:p>
        </w:tc>
        <w:tc>
          <w:tcPr>
            <w:tcW w:w="769" w:type="dxa"/>
            <w:gridSpan w:val="2"/>
            <w:tcBorders>
              <w:left w:val="single" w:sz="12" w:space="0" w:color="auto"/>
            </w:tcBorders>
            <w:vAlign w:val="center"/>
          </w:tcPr>
          <w:p w:rsidR="00CE4EEF" w:rsidRDefault="00CE4EEF" w:rsidP="00F343E9">
            <w:r w:rsidRPr="00E37460">
              <w:rPr>
                <w:rFonts w:cs="Arial"/>
                <w:sz w:val="18"/>
                <w:szCs w:val="18"/>
              </w:rPr>
              <w:t>√</w:t>
            </w:r>
          </w:p>
        </w:tc>
        <w:tc>
          <w:tcPr>
            <w:tcW w:w="770" w:type="dxa"/>
            <w:vAlign w:val="center"/>
          </w:tcPr>
          <w:p w:rsidR="00CE4EEF" w:rsidRDefault="00CE4EEF" w:rsidP="00F343E9">
            <w:r w:rsidRPr="00E37460">
              <w:rPr>
                <w:rFonts w:cs="Arial"/>
                <w:sz w:val="18"/>
                <w:szCs w:val="18"/>
              </w:rPr>
              <w:t>√</w:t>
            </w:r>
          </w:p>
        </w:tc>
        <w:tc>
          <w:tcPr>
            <w:tcW w:w="769" w:type="dxa"/>
            <w:vAlign w:val="center"/>
          </w:tcPr>
          <w:p w:rsidR="00CE4EEF" w:rsidRDefault="00CE4EEF" w:rsidP="00F343E9">
            <w:r w:rsidRPr="00476085">
              <w:rPr>
                <w:rFonts w:cs="Arial"/>
                <w:sz w:val="18"/>
                <w:szCs w:val="18"/>
              </w:rPr>
              <w:t>√</w:t>
            </w:r>
            <w:r>
              <w:rPr>
                <w:rStyle w:val="EndnoteReference"/>
              </w:rPr>
              <w:endnoteReference w:id="148"/>
            </w:r>
          </w:p>
        </w:tc>
        <w:tc>
          <w:tcPr>
            <w:tcW w:w="770" w:type="dxa"/>
            <w:vAlign w:val="center"/>
          </w:tcPr>
          <w:p w:rsidR="00CE4EEF" w:rsidRDefault="00CE4EEF" w:rsidP="00F343E9">
            <w:r w:rsidRPr="00476085">
              <w:rPr>
                <w:rFonts w:cs="Arial"/>
                <w:sz w:val="18"/>
                <w:szCs w:val="18"/>
              </w:rPr>
              <w:t>√</w:t>
            </w:r>
            <w:r>
              <w:rPr>
                <w:rStyle w:val="EndnoteReference"/>
              </w:rPr>
              <w:endnoteReference w:id="149"/>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FR</w:t>
            </w:r>
          </w:p>
        </w:tc>
        <w:tc>
          <w:tcPr>
            <w:tcW w:w="726" w:type="dxa"/>
            <w:tcBorders>
              <w:left w:val="single" w:sz="12" w:space="0" w:color="auto"/>
            </w:tcBorders>
            <w:vAlign w:val="center"/>
          </w:tcPr>
          <w:p w:rsidR="00CE4EEF" w:rsidRDefault="00CE4EEF" w:rsidP="00F343E9">
            <w:r w:rsidRPr="00D33FA9">
              <w:rPr>
                <w:rFonts w:cs="Arial"/>
                <w:sz w:val="18"/>
                <w:szCs w:val="18"/>
              </w:rPr>
              <w:t>√</w:t>
            </w:r>
          </w:p>
        </w:tc>
        <w:tc>
          <w:tcPr>
            <w:tcW w:w="768" w:type="dxa"/>
            <w:vAlign w:val="center"/>
          </w:tcPr>
          <w:p w:rsidR="00CE4EEF" w:rsidRDefault="00CE4EEF" w:rsidP="00F343E9">
            <w:r w:rsidRPr="00D33FA9">
              <w:rPr>
                <w:rFonts w:cs="Arial"/>
                <w:sz w:val="18"/>
                <w:szCs w:val="18"/>
              </w:rPr>
              <w:t>√</w:t>
            </w:r>
          </w:p>
        </w:tc>
        <w:tc>
          <w:tcPr>
            <w:tcW w:w="769" w:type="dxa"/>
            <w:vAlign w:val="center"/>
          </w:tcPr>
          <w:p w:rsidR="00CE4EEF" w:rsidRDefault="00CE4EEF" w:rsidP="00F343E9">
            <w:r w:rsidRPr="00D33FA9">
              <w:rPr>
                <w:rFonts w:cs="Arial"/>
                <w:sz w:val="18"/>
                <w:szCs w:val="18"/>
              </w:rPr>
              <w:t>√</w:t>
            </w:r>
          </w:p>
        </w:tc>
        <w:tc>
          <w:tcPr>
            <w:tcW w:w="768" w:type="dxa"/>
            <w:vAlign w:val="center"/>
          </w:tcPr>
          <w:p w:rsidR="00CE4EEF" w:rsidRDefault="00CE4EEF" w:rsidP="00F343E9">
            <w:r w:rsidRPr="00D33FA9">
              <w:rPr>
                <w:rFonts w:cs="Arial"/>
                <w:sz w:val="18"/>
                <w:szCs w:val="18"/>
              </w:rPr>
              <w:t>√</w:t>
            </w:r>
          </w:p>
        </w:tc>
        <w:tc>
          <w:tcPr>
            <w:tcW w:w="770" w:type="dxa"/>
            <w:vAlign w:val="center"/>
          </w:tcPr>
          <w:p w:rsidR="00CE4EEF" w:rsidRDefault="00CE4EEF" w:rsidP="00F343E9">
            <w:r w:rsidRPr="00D33FA9">
              <w:rPr>
                <w:rFonts w:cs="Arial"/>
                <w:sz w:val="18"/>
                <w:szCs w:val="18"/>
              </w:rPr>
              <w:t>√</w:t>
            </w:r>
          </w:p>
        </w:tc>
        <w:tc>
          <w:tcPr>
            <w:tcW w:w="769" w:type="dxa"/>
            <w:vAlign w:val="center"/>
          </w:tcPr>
          <w:p w:rsidR="00CE4EEF" w:rsidRDefault="00CE4EEF" w:rsidP="00F343E9">
            <w:r w:rsidRPr="00D33FA9">
              <w:rPr>
                <w:rFonts w:cs="Arial"/>
                <w:sz w:val="18"/>
                <w:szCs w:val="18"/>
              </w:rPr>
              <w:t>√</w:t>
            </w:r>
          </w:p>
        </w:tc>
        <w:tc>
          <w:tcPr>
            <w:tcW w:w="770" w:type="dxa"/>
            <w:vAlign w:val="center"/>
          </w:tcPr>
          <w:p w:rsidR="00CE4EEF" w:rsidRDefault="00CE4EEF" w:rsidP="00F343E9">
            <w:r w:rsidRPr="00D33FA9">
              <w:rPr>
                <w:rFonts w:cs="Arial"/>
                <w:sz w:val="18"/>
                <w:szCs w:val="18"/>
              </w:rPr>
              <w:t>√</w:t>
            </w:r>
          </w:p>
        </w:tc>
        <w:tc>
          <w:tcPr>
            <w:tcW w:w="769" w:type="dxa"/>
            <w:vAlign w:val="center"/>
          </w:tcPr>
          <w:p w:rsidR="00CE4EEF" w:rsidRDefault="00CE4EEF" w:rsidP="00F343E9">
            <w:r w:rsidRPr="00D33FA9">
              <w:rPr>
                <w:rFonts w:cs="Arial"/>
                <w:sz w:val="18"/>
                <w:szCs w:val="18"/>
              </w:rPr>
              <w:t>√</w:t>
            </w: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vAlign w:val="center"/>
          </w:tcPr>
          <w:p w:rsidR="00CE4EEF" w:rsidRDefault="00CE4EEF" w:rsidP="00F343E9">
            <w:r w:rsidRPr="00476085">
              <w:rPr>
                <w:rFonts w:cs="Arial"/>
                <w:sz w:val="18"/>
                <w:szCs w:val="18"/>
              </w:rPr>
              <w:t>√</w:t>
            </w:r>
            <w:r>
              <w:rPr>
                <w:rStyle w:val="EndnoteReference"/>
              </w:rPr>
              <w:endnoteReference w:id="150"/>
            </w:r>
          </w:p>
        </w:tc>
        <w:tc>
          <w:tcPr>
            <w:tcW w:w="770" w:type="dxa"/>
            <w:vAlign w:val="center"/>
          </w:tcPr>
          <w:p w:rsidR="00CE4EEF" w:rsidRDefault="00CE4EEF" w:rsidP="00F343E9">
            <w:r w:rsidRPr="004817DF">
              <w:rPr>
                <w:rFonts w:cs="Arial"/>
                <w:sz w:val="18"/>
                <w:szCs w:val="18"/>
              </w:rPr>
              <w:t>√</w:t>
            </w:r>
          </w:p>
        </w:tc>
        <w:tc>
          <w:tcPr>
            <w:tcW w:w="769" w:type="dxa"/>
            <w:vAlign w:val="center"/>
          </w:tcPr>
          <w:p w:rsidR="00CE4EEF" w:rsidRDefault="00CE4EEF" w:rsidP="00F343E9">
            <w:r w:rsidRPr="004817DF">
              <w:rPr>
                <w:rFonts w:cs="Arial"/>
                <w:sz w:val="18"/>
                <w:szCs w:val="18"/>
              </w:rPr>
              <w:t>√</w:t>
            </w:r>
          </w:p>
        </w:tc>
        <w:tc>
          <w:tcPr>
            <w:tcW w:w="770" w:type="dxa"/>
            <w:vAlign w:val="center"/>
          </w:tcPr>
          <w:p w:rsidR="00CE4EEF" w:rsidRDefault="00CE4EEF" w:rsidP="00F343E9">
            <w:r w:rsidRPr="004817DF">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HR</w:t>
            </w:r>
          </w:p>
        </w:tc>
        <w:tc>
          <w:tcPr>
            <w:tcW w:w="726" w:type="dxa"/>
            <w:tcBorders>
              <w:left w:val="single" w:sz="12" w:space="0" w:color="auto"/>
            </w:tcBorders>
            <w:vAlign w:val="center"/>
          </w:tcPr>
          <w:p w:rsidR="00CE4EEF" w:rsidRDefault="00CE4EEF" w:rsidP="00F343E9">
            <w:r w:rsidRPr="00D771C4">
              <w:rPr>
                <w:rFonts w:cs="Arial"/>
                <w:sz w:val="18"/>
                <w:szCs w:val="18"/>
              </w:rPr>
              <w:t>√</w:t>
            </w:r>
          </w:p>
        </w:tc>
        <w:tc>
          <w:tcPr>
            <w:tcW w:w="768" w:type="dxa"/>
            <w:vAlign w:val="center"/>
          </w:tcPr>
          <w:p w:rsidR="00CE4EEF" w:rsidRDefault="00CE4EEF" w:rsidP="00F343E9">
            <w:r w:rsidRPr="00D771C4">
              <w:rPr>
                <w:rFonts w:cs="Arial"/>
                <w:sz w:val="18"/>
                <w:szCs w:val="18"/>
              </w:rPr>
              <w:t>√</w:t>
            </w:r>
          </w:p>
        </w:tc>
        <w:tc>
          <w:tcPr>
            <w:tcW w:w="769" w:type="dxa"/>
            <w:vAlign w:val="center"/>
          </w:tcPr>
          <w:p w:rsidR="00CE4EEF" w:rsidRDefault="00CE4EEF" w:rsidP="00F343E9">
            <w:r w:rsidRPr="00D771C4">
              <w:rPr>
                <w:rFonts w:cs="Arial"/>
                <w:sz w:val="18"/>
                <w:szCs w:val="18"/>
              </w:rPr>
              <w:t>√</w:t>
            </w:r>
          </w:p>
        </w:tc>
        <w:tc>
          <w:tcPr>
            <w:tcW w:w="768" w:type="dxa"/>
            <w:vAlign w:val="center"/>
          </w:tcPr>
          <w:p w:rsidR="00CE4EEF" w:rsidRDefault="00CE4EEF" w:rsidP="00F343E9">
            <w:r w:rsidRPr="00D771C4">
              <w:rPr>
                <w:rFonts w:cs="Arial"/>
                <w:sz w:val="18"/>
                <w:szCs w:val="18"/>
              </w:rPr>
              <w:t>√</w:t>
            </w:r>
          </w:p>
        </w:tc>
        <w:tc>
          <w:tcPr>
            <w:tcW w:w="770" w:type="dxa"/>
            <w:vAlign w:val="center"/>
          </w:tcPr>
          <w:p w:rsidR="00CE4EEF" w:rsidRDefault="00CE4EEF" w:rsidP="00F343E9">
            <w:r w:rsidRPr="00D771C4">
              <w:rPr>
                <w:rFonts w:cs="Arial"/>
                <w:sz w:val="18"/>
                <w:szCs w:val="18"/>
              </w:rPr>
              <w:t>√</w:t>
            </w:r>
          </w:p>
        </w:tc>
        <w:tc>
          <w:tcPr>
            <w:tcW w:w="769" w:type="dxa"/>
            <w:vAlign w:val="center"/>
          </w:tcPr>
          <w:p w:rsidR="00CE4EEF" w:rsidRDefault="00CE4EEF" w:rsidP="00F343E9">
            <w:r w:rsidRPr="00D771C4">
              <w:rPr>
                <w:rFonts w:cs="Arial"/>
                <w:sz w:val="18"/>
                <w:szCs w:val="18"/>
              </w:rPr>
              <w:t>√</w:t>
            </w:r>
          </w:p>
        </w:tc>
        <w:tc>
          <w:tcPr>
            <w:tcW w:w="770" w:type="dxa"/>
            <w:vAlign w:val="center"/>
          </w:tcPr>
          <w:p w:rsidR="00CE4EEF" w:rsidRDefault="00CE4EEF" w:rsidP="00F343E9">
            <w:r w:rsidRPr="00D771C4">
              <w:rPr>
                <w:rFonts w:cs="Arial"/>
                <w:sz w:val="18"/>
                <w:szCs w:val="18"/>
              </w:rPr>
              <w:t>√</w:t>
            </w:r>
          </w:p>
        </w:tc>
        <w:tc>
          <w:tcPr>
            <w:tcW w:w="769" w:type="dxa"/>
            <w:vAlign w:val="center"/>
          </w:tcPr>
          <w:p w:rsidR="00CE4EEF" w:rsidRDefault="00CE4EEF" w:rsidP="00F343E9">
            <w:r w:rsidRPr="00D771C4">
              <w:rPr>
                <w:rFonts w:cs="Arial"/>
                <w:sz w:val="18"/>
                <w:szCs w:val="18"/>
              </w:rPr>
              <w:t>√</w:t>
            </w:r>
          </w:p>
        </w:tc>
        <w:tc>
          <w:tcPr>
            <w:tcW w:w="770" w:type="dxa"/>
            <w:tcBorders>
              <w:right w:val="single" w:sz="12" w:space="0" w:color="auto"/>
            </w:tcBorders>
            <w:vAlign w:val="center"/>
          </w:tcPr>
          <w:p w:rsidR="00CE4EEF" w:rsidRDefault="00CE4EEF" w:rsidP="00F343E9">
            <w:r w:rsidRPr="00D771C4">
              <w:rPr>
                <w:rFonts w:cs="Arial"/>
                <w:sz w:val="18"/>
                <w:szCs w:val="18"/>
              </w:rPr>
              <w:t>√</w:t>
            </w:r>
          </w:p>
        </w:tc>
        <w:tc>
          <w:tcPr>
            <w:tcW w:w="769" w:type="dxa"/>
            <w:gridSpan w:val="2"/>
            <w:tcBorders>
              <w:left w:val="single" w:sz="12" w:space="0" w:color="auto"/>
            </w:tcBorders>
            <w:vAlign w:val="center"/>
          </w:tcPr>
          <w:p w:rsidR="00CE4EEF" w:rsidRDefault="00CE4EEF" w:rsidP="00F343E9">
            <w:r w:rsidRPr="00CD7E00">
              <w:rPr>
                <w:rFonts w:cs="Arial"/>
                <w:sz w:val="18"/>
                <w:szCs w:val="18"/>
              </w:rPr>
              <w:t>√</w:t>
            </w:r>
          </w:p>
        </w:tc>
        <w:tc>
          <w:tcPr>
            <w:tcW w:w="770" w:type="dxa"/>
            <w:vAlign w:val="center"/>
          </w:tcPr>
          <w:p w:rsidR="00CE4EEF" w:rsidRDefault="00CE4EEF" w:rsidP="00F343E9">
            <w:r w:rsidRPr="00CD7E00">
              <w:rPr>
                <w:rFonts w:cs="Arial"/>
                <w:sz w:val="18"/>
                <w:szCs w:val="18"/>
              </w:rPr>
              <w:t>√</w:t>
            </w:r>
          </w:p>
        </w:tc>
        <w:tc>
          <w:tcPr>
            <w:tcW w:w="769" w:type="dxa"/>
            <w:vAlign w:val="center"/>
          </w:tcPr>
          <w:p w:rsidR="00CE4EEF" w:rsidRDefault="00CE4EEF" w:rsidP="00F343E9">
            <w:r w:rsidRPr="004817DF">
              <w:rPr>
                <w:rFonts w:cs="Arial"/>
                <w:sz w:val="18"/>
                <w:szCs w:val="18"/>
              </w:rPr>
              <w:t>√</w:t>
            </w:r>
          </w:p>
        </w:tc>
        <w:tc>
          <w:tcPr>
            <w:tcW w:w="770" w:type="dxa"/>
            <w:vAlign w:val="center"/>
          </w:tcPr>
          <w:p w:rsidR="00CE4EEF" w:rsidRDefault="00CE4EEF" w:rsidP="00F343E9">
            <w:r w:rsidRPr="004817DF">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HU</w:t>
            </w:r>
          </w:p>
        </w:tc>
        <w:tc>
          <w:tcPr>
            <w:tcW w:w="726" w:type="dxa"/>
            <w:tcBorders>
              <w:left w:val="single" w:sz="12" w:space="0" w:color="auto"/>
            </w:tcBorders>
            <w:vAlign w:val="center"/>
          </w:tcPr>
          <w:p w:rsidR="00CE4EEF" w:rsidRDefault="00CE4EEF" w:rsidP="00F343E9">
            <w:r w:rsidRPr="00B239A6">
              <w:rPr>
                <w:rFonts w:cs="Arial"/>
                <w:sz w:val="18"/>
                <w:szCs w:val="18"/>
              </w:rPr>
              <w:t>√</w:t>
            </w:r>
          </w:p>
        </w:tc>
        <w:tc>
          <w:tcPr>
            <w:tcW w:w="768" w:type="dxa"/>
            <w:vAlign w:val="center"/>
          </w:tcPr>
          <w:p w:rsidR="00CE4EEF" w:rsidRDefault="00CE4EEF" w:rsidP="00F343E9">
            <w:r w:rsidRPr="00B239A6">
              <w:rPr>
                <w:rFonts w:cs="Arial"/>
                <w:sz w:val="18"/>
                <w:szCs w:val="18"/>
              </w:rPr>
              <w:t>√</w:t>
            </w:r>
          </w:p>
        </w:tc>
        <w:tc>
          <w:tcPr>
            <w:tcW w:w="769" w:type="dxa"/>
            <w:vAlign w:val="center"/>
          </w:tcPr>
          <w:p w:rsidR="00CE4EEF" w:rsidRDefault="00CE4EEF" w:rsidP="00F343E9">
            <w:r w:rsidRPr="00B239A6">
              <w:rPr>
                <w:rFonts w:cs="Arial"/>
                <w:sz w:val="18"/>
                <w:szCs w:val="18"/>
              </w:rPr>
              <w:t>√</w:t>
            </w:r>
          </w:p>
        </w:tc>
        <w:tc>
          <w:tcPr>
            <w:tcW w:w="768" w:type="dxa"/>
            <w:vAlign w:val="center"/>
          </w:tcPr>
          <w:p w:rsidR="00CE4EEF" w:rsidRDefault="00CE4EEF" w:rsidP="00F343E9">
            <w:r w:rsidRPr="00B239A6">
              <w:rPr>
                <w:rFonts w:cs="Arial"/>
                <w:sz w:val="18"/>
                <w:szCs w:val="18"/>
              </w:rPr>
              <w:t>√</w:t>
            </w:r>
          </w:p>
        </w:tc>
        <w:tc>
          <w:tcPr>
            <w:tcW w:w="770" w:type="dxa"/>
            <w:vAlign w:val="center"/>
          </w:tcPr>
          <w:p w:rsidR="00CE4EEF" w:rsidRDefault="00CE4EEF" w:rsidP="00F343E9">
            <w:r w:rsidRPr="00B239A6">
              <w:rPr>
                <w:rFonts w:cs="Arial"/>
                <w:sz w:val="18"/>
                <w:szCs w:val="18"/>
              </w:rPr>
              <w:t>√</w:t>
            </w:r>
          </w:p>
        </w:tc>
        <w:tc>
          <w:tcPr>
            <w:tcW w:w="769" w:type="dxa"/>
            <w:vAlign w:val="center"/>
          </w:tcPr>
          <w:p w:rsidR="00CE4EEF" w:rsidRDefault="00CE4EEF" w:rsidP="00F343E9">
            <w:r w:rsidRPr="00B239A6">
              <w:rPr>
                <w:rFonts w:cs="Arial"/>
                <w:sz w:val="18"/>
                <w:szCs w:val="18"/>
              </w:rPr>
              <w:t>√</w:t>
            </w:r>
          </w:p>
        </w:tc>
        <w:tc>
          <w:tcPr>
            <w:tcW w:w="770" w:type="dxa"/>
            <w:vAlign w:val="center"/>
          </w:tcPr>
          <w:p w:rsidR="00CE4EEF" w:rsidRDefault="00CE4EEF" w:rsidP="00F343E9">
            <w:r w:rsidRPr="00B239A6">
              <w:rPr>
                <w:rFonts w:cs="Arial"/>
                <w:sz w:val="18"/>
                <w:szCs w:val="18"/>
              </w:rPr>
              <w:t>√</w:t>
            </w:r>
          </w:p>
        </w:tc>
        <w:tc>
          <w:tcPr>
            <w:tcW w:w="769" w:type="dxa"/>
            <w:vAlign w:val="center"/>
          </w:tcPr>
          <w:p w:rsidR="00CE4EEF" w:rsidRDefault="00CE4EEF" w:rsidP="00F343E9">
            <w:r w:rsidRPr="00B239A6">
              <w:rPr>
                <w:rFonts w:cs="Arial"/>
                <w:sz w:val="18"/>
                <w:szCs w:val="18"/>
              </w:rPr>
              <w:t>√</w:t>
            </w:r>
          </w:p>
        </w:tc>
        <w:tc>
          <w:tcPr>
            <w:tcW w:w="770" w:type="dxa"/>
            <w:tcBorders>
              <w:right w:val="single" w:sz="12" w:space="0" w:color="auto"/>
            </w:tcBorders>
            <w:vAlign w:val="center"/>
          </w:tcPr>
          <w:p w:rsidR="00CE4EEF" w:rsidRDefault="00CE4EEF" w:rsidP="00F343E9">
            <w:r w:rsidRPr="00B239A6">
              <w:rPr>
                <w:rFonts w:cs="Arial"/>
                <w:sz w:val="18"/>
                <w:szCs w:val="18"/>
              </w:rPr>
              <w:t>√</w:t>
            </w:r>
          </w:p>
        </w:tc>
        <w:tc>
          <w:tcPr>
            <w:tcW w:w="769" w:type="dxa"/>
            <w:gridSpan w:val="2"/>
            <w:tcBorders>
              <w:left w:val="single" w:sz="12" w:space="0" w:color="auto"/>
            </w:tcBorders>
            <w:vAlign w:val="center"/>
          </w:tcPr>
          <w:p w:rsidR="00CE4EEF" w:rsidRDefault="00CE4EEF" w:rsidP="00F343E9">
            <w:r w:rsidRPr="00CD7E00">
              <w:rPr>
                <w:rFonts w:cs="Arial"/>
                <w:sz w:val="18"/>
                <w:szCs w:val="18"/>
              </w:rPr>
              <w:t>√</w:t>
            </w:r>
          </w:p>
        </w:tc>
        <w:tc>
          <w:tcPr>
            <w:tcW w:w="770" w:type="dxa"/>
            <w:vAlign w:val="center"/>
          </w:tcPr>
          <w:p w:rsidR="00CE4EEF" w:rsidRDefault="00CE4EEF" w:rsidP="00F343E9">
            <w:r w:rsidRPr="00CD7E00">
              <w:rPr>
                <w:rFonts w:cs="Arial"/>
                <w:sz w:val="18"/>
                <w:szCs w:val="18"/>
              </w:rPr>
              <w:t>√</w:t>
            </w:r>
          </w:p>
        </w:tc>
        <w:tc>
          <w:tcPr>
            <w:tcW w:w="769" w:type="dxa"/>
            <w:vAlign w:val="center"/>
          </w:tcPr>
          <w:p w:rsidR="00CE4EEF" w:rsidRDefault="00CE4EEF" w:rsidP="00F343E9">
            <w:r w:rsidRPr="00476085">
              <w:rPr>
                <w:rFonts w:cs="Arial"/>
                <w:sz w:val="18"/>
                <w:szCs w:val="18"/>
              </w:rPr>
              <w:t>√</w:t>
            </w:r>
            <w:r>
              <w:rPr>
                <w:rStyle w:val="EndnoteReference"/>
              </w:rPr>
              <w:endnoteReference w:id="151"/>
            </w:r>
          </w:p>
        </w:tc>
        <w:tc>
          <w:tcPr>
            <w:tcW w:w="770" w:type="dxa"/>
            <w:vAlign w:val="center"/>
          </w:tcPr>
          <w:p w:rsidR="00CE4EEF" w:rsidRDefault="00CE4EEF" w:rsidP="00F343E9">
            <w:r w:rsidRPr="00476085">
              <w:rPr>
                <w:rFonts w:cs="Arial"/>
                <w:sz w:val="18"/>
                <w:szCs w:val="18"/>
              </w:rPr>
              <w:t>√</w:t>
            </w:r>
            <w:r>
              <w:rPr>
                <w:rStyle w:val="EndnoteReference"/>
              </w:rPr>
              <w:endnoteReference w:id="152"/>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IE</w:t>
            </w:r>
          </w:p>
        </w:tc>
        <w:tc>
          <w:tcPr>
            <w:tcW w:w="726" w:type="dxa"/>
            <w:tcBorders>
              <w:left w:val="single" w:sz="12" w:space="0" w:color="auto"/>
            </w:tcBorders>
            <w:vAlign w:val="center"/>
          </w:tcPr>
          <w:p w:rsidR="00CE4EEF" w:rsidRPr="00E217F3" w:rsidRDefault="00CE4EEF" w:rsidP="00F343E9">
            <w:pPr>
              <w:rPr>
                <w:sz w:val="18"/>
                <w:szCs w:val="18"/>
              </w:rPr>
            </w:pPr>
            <w:r w:rsidRPr="00476085">
              <w:rPr>
                <w:rFonts w:cs="Arial"/>
                <w:sz w:val="18"/>
                <w:szCs w:val="18"/>
              </w:rPr>
              <w:t>√</w:t>
            </w: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vAlign w:val="center"/>
          </w:tcPr>
          <w:p w:rsidR="00CE4EEF" w:rsidRDefault="00CE4EEF" w:rsidP="00F343E9">
            <w:r w:rsidRPr="00B70C72">
              <w:rPr>
                <w:rFonts w:cs="Arial"/>
                <w:sz w:val="18"/>
                <w:szCs w:val="18"/>
              </w:rPr>
              <w:t>√</w:t>
            </w:r>
          </w:p>
        </w:tc>
        <w:tc>
          <w:tcPr>
            <w:tcW w:w="770" w:type="dxa"/>
            <w:vAlign w:val="center"/>
          </w:tcPr>
          <w:p w:rsidR="00CE4EEF" w:rsidRDefault="00CE4EEF" w:rsidP="00F343E9">
            <w:r w:rsidRPr="00B70C72">
              <w:rPr>
                <w:rFonts w:cs="Arial"/>
                <w:sz w:val="18"/>
                <w:szCs w:val="18"/>
              </w:rPr>
              <w:t>√</w:t>
            </w: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vAlign w:val="center"/>
          </w:tcPr>
          <w:p w:rsidR="00CE4EEF" w:rsidRDefault="00CE4EEF" w:rsidP="00F343E9">
            <w:r w:rsidRPr="00CD7E00">
              <w:rPr>
                <w:rFonts w:cs="Arial"/>
                <w:sz w:val="18"/>
                <w:szCs w:val="18"/>
              </w:rPr>
              <w:t>√</w:t>
            </w:r>
          </w:p>
        </w:tc>
        <w:tc>
          <w:tcPr>
            <w:tcW w:w="770" w:type="dxa"/>
            <w:vAlign w:val="center"/>
          </w:tcPr>
          <w:p w:rsidR="00CE4EEF" w:rsidRDefault="00CE4EEF" w:rsidP="00F343E9">
            <w:r w:rsidRPr="00CD7E00">
              <w:rPr>
                <w:rFonts w:cs="Arial"/>
                <w:sz w:val="18"/>
                <w:szCs w:val="18"/>
              </w:rPr>
              <w:t>√</w:t>
            </w:r>
          </w:p>
        </w:tc>
        <w:tc>
          <w:tcPr>
            <w:tcW w:w="769" w:type="dxa"/>
            <w:vAlign w:val="center"/>
          </w:tcPr>
          <w:p w:rsidR="00CE4EEF" w:rsidRDefault="00CE4EEF" w:rsidP="00F343E9">
            <w:r w:rsidRPr="001A1F62">
              <w:rPr>
                <w:rFonts w:cs="Arial"/>
                <w:sz w:val="18"/>
                <w:szCs w:val="18"/>
              </w:rPr>
              <w:t>√</w:t>
            </w:r>
          </w:p>
        </w:tc>
        <w:tc>
          <w:tcPr>
            <w:tcW w:w="770" w:type="dxa"/>
            <w:vAlign w:val="center"/>
          </w:tcPr>
          <w:p w:rsidR="00CE4EEF" w:rsidRDefault="00CE4EEF" w:rsidP="00F343E9">
            <w:r w:rsidRPr="001A1F62">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IT</w:t>
            </w:r>
          </w:p>
        </w:tc>
        <w:tc>
          <w:tcPr>
            <w:tcW w:w="726" w:type="dxa"/>
            <w:tcBorders>
              <w:left w:val="single" w:sz="12" w:space="0" w:color="auto"/>
            </w:tcBorders>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70"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0A7782">
              <w:rPr>
                <w:rFonts w:cs="Arial"/>
                <w:sz w:val="18"/>
                <w:szCs w:val="18"/>
              </w:rPr>
              <w:t>√</w:t>
            </w:r>
          </w:p>
        </w:tc>
        <w:tc>
          <w:tcPr>
            <w:tcW w:w="770" w:type="dxa"/>
            <w:vAlign w:val="center"/>
          </w:tcPr>
          <w:p w:rsidR="00CE4EEF" w:rsidRDefault="00CE4EEF" w:rsidP="00F343E9">
            <w:r w:rsidRPr="000A7782">
              <w:rPr>
                <w:rFonts w:cs="Arial"/>
                <w:sz w:val="18"/>
                <w:szCs w:val="18"/>
              </w:rPr>
              <w:t>√</w:t>
            </w: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vAlign w:val="center"/>
          </w:tcPr>
          <w:p w:rsidR="00CE4EEF" w:rsidRDefault="00CE4EEF" w:rsidP="00F343E9">
            <w:r w:rsidRPr="00F1265E">
              <w:rPr>
                <w:rFonts w:cs="Arial"/>
                <w:sz w:val="18"/>
                <w:szCs w:val="18"/>
              </w:rPr>
              <w:t>√</w:t>
            </w:r>
          </w:p>
        </w:tc>
        <w:tc>
          <w:tcPr>
            <w:tcW w:w="769" w:type="dxa"/>
            <w:gridSpan w:val="2"/>
            <w:tcBorders>
              <w:left w:val="single" w:sz="12" w:space="0" w:color="auto"/>
            </w:tcBorders>
            <w:vAlign w:val="center"/>
          </w:tcPr>
          <w:p w:rsidR="00CE4EEF" w:rsidRDefault="00CE4EEF" w:rsidP="00F343E9">
            <w:r w:rsidRPr="00F1265E">
              <w:rPr>
                <w:rFonts w:cs="Arial"/>
                <w:sz w:val="18"/>
                <w:szCs w:val="18"/>
              </w:rPr>
              <w:t>√</w:t>
            </w:r>
          </w:p>
        </w:tc>
        <w:tc>
          <w:tcPr>
            <w:tcW w:w="770" w:type="dxa"/>
            <w:vAlign w:val="center"/>
          </w:tcPr>
          <w:p w:rsidR="00CE4EEF" w:rsidRDefault="00CE4EEF" w:rsidP="00F343E9">
            <w:r w:rsidRPr="00F1265E">
              <w:rPr>
                <w:rFonts w:cs="Arial"/>
                <w:sz w:val="18"/>
                <w:szCs w:val="18"/>
              </w:rPr>
              <w:t>√</w:t>
            </w:r>
          </w:p>
        </w:tc>
        <w:tc>
          <w:tcPr>
            <w:tcW w:w="769" w:type="dxa"/>
            <w:vAlign w:val="center"/>
          </w:tcPr>
          <w:p w:rsidR="00CE4EEF" w:rsidRDefault="00CE4EEF" w:rsidP="00F343E9">
            <w:r w:rsidRPr="00F1265E">
              <w:rPr>
                <w:rFonts w:cs="Arial"/>
                <w:sz w:val="18"/>
                <w:szCs w:val="18"/>
              </w:rPr>
              <w:t>√</w:t>
            </w:r>
          </w:p>
        </w:tc>
        <w:tc>
          <w:tcPr>
            <w:tcW w:w="770" w:type="dxa"/>
            <w:vAlign w:val="center"/>
          </w:tcPr>
          <w:p w:rsidR="00CE4EEF" w:rsidRDefault="00CE4EEF" w:rsidP="00F343E9">
            <w:r w:rsidRPr="00F1265E">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LT</w:t>
            </w:r>
          </w:p>
        </w:tc>
        <w:tc>
          <w:tcPr>
            <w:tcW w:w="726" w:type="dxa"/>
            <w:tcBorders>
              <w:left w:val="single" w:sz="12" w:space="0" w:color="auto"/>
            </w:tcBorders>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70"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0A7782">
              <w:rPr>
                <w:rFonts w:cs="Arial"/>
                <w:sz w:val="18"/>
                <w:szCs w:val="18"/>
              </w:rPr>
              <w:t>√</w:t>
            </w:r>
          </w:p>
        </w:tc>
        <w:tc>
          <w:tcPr>
            <w:tcW w:w="770" w:type="dxa"/>
            <w:vAlign w:val="center"/>
          </w:tcPr>
          <w:p w:rsidR="00CE4EEF" w:rsidRDefault="00CE4EEF" w:rsidP="00F343E9">
            <w:r w:rsidRPr="000A7782">
              <w:rPr>
                <w:rFonts w:cs="Arial"/>
                <w:sz w:val="18"/>
                <w:szCs w:val="18"/>
              </w:rPr>
              <w:t>√</w:t>
            </w:r>
          </w:p>
        </w:tc>
        <w:tc>
          <w:tcPr>
            <w:tcW w:w="769" w:type="dxa"/>
            <w:vAlign w:val="center"/>
          </w:tcPr>
          <w:p w:rsidR="00CE4EEF" w:rsidRDefault="00CE4EEF" w:rsidP="00F343E9">
            <w:r w:rsidRPr="0079437B">
              <w:rPr>
                <w:rFonts w:cs="Arial"/>
                <w:sz w:val="18"/>
                <w:szCs w:val="18"/>
              </w:rPr>
              <w:t>√</w:t>
            </w:r>
          </w:p>
        </w:tc>
        <w:tc>
          <w:tcPr>
            <w:tcW w:w="770" w:type="dxa"/>
            <w:tcBorders>
              <w:right w:val="single" w:sz="12" w:space="0" w:color="auto"/>
            </w:tcBorders>
            <w:vAlign w:val="center"/>
          </w:tcPr>
          <w:p w:rsidR="00CE4EEF" w:rsidRDefault="00CE4EEF" w:rsidP="00F343E9">
            <w:r w:rsidRPr="0079437B">
              <w:rPr>
                <w:rFonts w:cs="Arial"/>
                <w:sz w:val="18"/>
                <w:szCs w:val="18"/>
              </w:rPr>
              <w:t>√</w:t>
            </w:r>
          </w:p>
        </w:tc>
        <w:tc>
          <w:tcPr>
            <w:tcW w:w="769" w:type="dxa"/>
            <w:gridSpan w:val="2"/>
            <w:tcBorders>
              <w:left w:val="single" w:sz="12" w:space="0" w:color="auto"/>
            </w:tcBorders>
            <w:vAlign w:val="center"/>
          </w:tcPr>
          <w:p w:rsidR="00CE4EEF" w:rsidRDefault="00CE4EEF" w:rsidP="00F343E9">
            <w:r w:rsidRPr="00F20E2D">
              <w:rPr>
                <w:rFonts w:cs="Arial"/>
                <w:sz w:val="18"/>
                <w:szCs w:val="18"/>
              </w:rPr>
              <w:t>√</w:t>
            </w:r>
          </w:p>
        </w:tc>
        <w:tc>
          <w:tcPr>
            <w:tcW w:w="770" w:type="dxa"/>
            <w:vAlign w:val="center"/>
          </w:tcPr>
          <w:p w:rsidR="00CE4EEF" w:rsidRDefault="00CE4EEF" w:rsidP="00F343E9">
            <w:r w:rsidRPr="00F20E2D">
              <w:rPr>
                <w:rFonts w:cs="Arial"/>
                <w:sz w:val="18"/>
                <w:szCs w:val="18"/>
              </w:rPr>
              <w:t>√</w:t>
            </w:r>
          </w:p>
        </w:tc>
        <w:tc>
          <w:tcPr>
            <w:tcW w:w="769" w:type="dxa"/>
            <w:vAlign w:val="center"/>
          </w:tcPr>
          <w:p w:rsidR="00CE4EEF" w:rsidRDefault="00CE4EEF" w:rsidP="00F343E9">
            <w:r w:rsidRPr="00F20E2D">
              <w:rPr>
                <w:rFonts w:cs="Arial"/>
                <w:sz w:val="18"/>
                <w:szCs w:val="18"/>
              </w:rPr>
              <w:t>√</w:t>
            </w:r>
          </w:p>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LU</w:t>
            </w:r>
          </w:p>
        </w:tc>
        <w:tc>
          <w:tcPr>
            <w:tcW w:w="726" w:type="dxa"/>
            <w:tcBorders>
              <w:left w:val="single" w:sz="12" w:space="0" w:color="auto"/>
            </w:tcBorders>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70"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0A7782">
              <w:rPr>
                <w:rFonts w:cs="Arial"/>
                <w:sz w:val="18"/>
                <w:szCs w:val="18"/>
              </w:rPr>
              <w:t>√</w:t>
            </w:r>
          </w:p>
        </w:tc>
        <w:tc>
          <w:tcPr>
            <w:tcW w:w="770" w:type="dxa"/>
            <w:vAlign w:val="center"/>
          </w:tcPr>
          <w:p w:rsidR="00CE4EEF" w:rsidRDefault="00CE4EEF" w:rsidP="00F343E9">
            <w:r w:rsidRPr="000A7782">
              <w:rPr>
                <w:rFonts w:cs="Arial"/>
                <w:sz w:val="18"/>
                <w:szCs w:val="18"/>
              </w:rPr>
              <w:t>√</w:t>
            </w:r>
          </w:p>
        </w:tc>
        <w:tc>
          <w:tcPr>
            <w:tcW w:w="769" w:type="dxa"/>
            <w:vAlign w:val="center"/>
          </w:tcPr>
          <w:p w:rsidR="00CE4EEF" w:rsidRDefault="00CE4EEF" w:rsidP="00F343E9">
            <w:r w:rsidRPr="0079437B">
              <w:rPr>
                <w:rFonts w:cs="Arial"/>
                <w:sz w:val="18"/>
                <w:szCs w:val="18"/>
              </w:rPr>
              <w:t>√</w:t>
            </w:r>
          </w:p>
        </w:tc>
        <w:tc>
          <w:tcPr>
            <w:tcW w:w="770" w:type="dxa"/>
            <w:tcBorders>
              <w:right w:val="single" w:sz="12" w:space="0" w:color="auto"/>
            </w:tcBorders>
            <w:vAlign w:val="center"/>
          </w:tcPr>
          <w:p w:rsidR="00CE4EEF" w:rsidRDefault="00CE4EEF" w:rsidP="00F343E9">
            <w:r w:rsidRPr="0079437B">
              <w:rPr>
                <w:rFonts w:cs="Arial"/>
                <w:sz w:val="18"/>
                <w:szCs w:val="18"/>
              </w:rPr>
              <w:t>√</w:t>
            </w:r>
          </w:p>
        </w:tc>
        <w:tc>
          <w:tcPr>
            <w:tcW w:w="769" w:type="dxa"/>
            <w:gridSpan w:val="2"/>
            <w:tcBorders>
              <w:left w:val="single" w:sz="12" w:space="0" w:color="auto"/>
            </w:tcBorders>
            <w:vAlign w:val="center"/>
          </w:tcPr>
          <w:p w:rsidR="00CE4EEF" w:rsidRDefault="00CE4EEF" w:rsidP="00F343E9">
            <w:r w:rsidRPr="00F20E2D">
              <w:rPr>
                <w:rFonts w:cs="Arial"/>
                <w:sz w:val="18"/>
                <w:szCs w:val="18"/>
              </w:rPr>
              <w:t>√</w:t>
            </w:r>
          </w:p>
        </w:tc>
        <w:tc>
          <w:tcPr>
            <w:tcW w:w="770" w:type="dxa"/>
            <w:vAlign w:val="center"/>
          </w:tcPr>
          <w:p w:rsidR="00CE4EEF" w:rsidRDefault="00CE4EEF" w:rsidP="00F343E9">
            <w:r w:rsidRPr="00F20E2D">
              <w:rPr>
                <w:rFonts w:cs="Arial"/>
                <w:sz w:val="18"/>
                <w:szCs w:val="18"/>
              </w:rPr>
              <w:t>√</w:t>
            </w:r>
          </w:p>
        </w:tc>
        <w:tc>
          <w:tcPr>
            <w:tcW w:w="769" w:type="dxa"/>
            <w:vAlign w:val="center"/>
          </w:tcPr>
          <w:p w:rsidR="00CE4EEF" w:rsidRDefault="00CE4EEF" w:rsidP="00F343E9">
            <w:r w:rsidRPr="00256D55">
              <w:rPr>
                <w:rFonts w:cs="Arial"/>
                <w:sz w:val="18"/>
                <w:szCs w:val="18"/>
              </w:rPr>
              <w:t>√</w:t>
            </w:r>
          </w:p>
        </w:tc>
        <w:tc>
          <w:tcPr>
            <w:tcW w:w="770" w:type="dxa"/>
            <w:vAlign w:val="center"/>
          </w:tcPr>
          <w:p w:rsidR="00CE4EEF" w:rsidRDefault="00CE4EEF" w:rsidP="00F343E9">
            <w:r w:rsidRPr="00256D55">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LV</w:t>
            </w:r>
          </w:p>
        </w:tc>
        <w:tc>
          <w:tcPr>
            <w:tcW w:w="726" w:type="dxa"/>
            <w:tcBorders>
              <w:left w:val="single" w:sz="12" w:space="0" w:color="auto"/>
            </w:tcBorders>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625928">
              <w:rPr>
                <w:rFonts w:cs="Arial"/>
                <w:sz w:val="18"/>
                <w:szCs w:val="18"/>
              </w:rPr>
              <w:t>√</w:t>
            </w:r>
          </w:p>
        </w:tc>
        <w:tc>
          <w:tcPr>
            <w:tcW w:w="768" w:type="dxa"/>
            <w:vAlign w:val="center"/>
          </w:tcPr>
          <w:p w:rsidR="00CE4EEF" w:rsidRDefault="00CE4EEF" w:rsidP="00F343E9">
            <w:r w:rsidRPr="00625928">
              <w:rPr>
                <w:rFonts w:cs="Arial"/>
                <w:sz w:val="18"/>
                <w:szCs w:val="18"/>
              </w:rPr>
              <w:t>√</w:t>
            </w:r>
          </w:p>
        </w:tc>
        <w:tc>
          <w:tcPr>
            <w:tcW w:w="770" w:type="dxa"/>
            <w:vAlign w:val="center"/>
          </w:tcPr>
          <w:p w:rsidR="00CE4EEF" w:rsidRDefault="00CE4EEF" w:rsidP="00F343E9">
            <w:r w:rsidRPr="00625928">
              <w:rPr>
                <w:rFonts w:cs="Arial"/>
                <w:sz w:val="18"/>
                <w:szCs w:val="18"/>
              </w:rPr>
              <w:t>√</w:t>
            </w:r>
          </w:p>
        </w:tc>
        <w:tc>
          <w:tcPr>
            <w:tcW w:w="769" w:type="dxa"/>
            <w:vAlign w:val="center"/>
          </w:tcPr>
          <w:p w:rsidR="00CE4EEF" w:rsidRDefault="00CE4EEF" w:rsidP="00F343E9">
            <w:r w:rsidRPr="000A7782">
              <w:rPr>
                <w:rFonts w:cs="Arial"/>
                <w:sz w:val="18"/>
                <w:szCs w:val="18"/>
              </w:rPr>
              <w:t>√</w:t>
            </w:r>
          </w:p>
        </w:tc>
        <w:tc>
          <w:tcPr>
            <w:tcW w:w="770" w:type="dxa"/>
            <w:vAlign w:val="center"/>
          </w:tcPr>
          <w:p w:rsidR="00CE4EEF" w:rsidRDefault="00CE4EEF" w:rsidP="00F343E9">
            <w:r w:rsidRPr="000A7782">
              <w:rPr>
                <w:rFonts w:cs="Arial"/>
                <w:sz w:val="18"/>
                <w:szCs w:val="18"/>
              </w:rPr>
              <w:t>√</w:t>
            </w:r>
          </w:p>
        </w:tc>
        <w:tc>
          <w:tcPr>
            <w:tcW w:w="769" w:type="dxa"/>
            <w:vAlign w:val="center"/>
          </w:tcPr>
          <w:p w:rsidR="00CE4EEF" w:rsidRDefault="00CE4EEF" w:rsidP="00F343E9">
            <w:r w:rsidRPr="0079437B">
              <w:rPr>
                <w:rFonts w:cs="Arial"/>
                <w:sz w:val="18"/>
                <w:szCs w:val="18"/>
              </w:rPr>
              <w:t>√</w:t>
            </w:r>
          </w:p>
        </w:tc>
        <w:tc>
          <w:tcPr>
            <w:tcW w:w="770" w:type="dxa"/>
            <w:tcBorders>
              <w:right w:val="single" w:sz="12" w:space="0" w:color="auto"/>
            </w:tcBorders>
            <w:vAlign w:val="center"/>
          </w:tcPr>
          <w:p w:rsidR="00CE4EEF" w:rsidRDefault="00CE4EEF" w:rsidP="00F343E9">
            <w:r w:rsidRPr="0079437B">
              <w:rPr>
                <w:rFonts w:cs="Arial"/>
                <w:sz w:val="18"/>
                <w:szCs w:val="18"/>
              </w:rPr>
              <w:t>√</w:t>
            </w:r>
          </w:p>
        </w:tc>
        <w:tc>
          <w:tcPr>
            <w:tcW w:w="769" w:type="dxa"/>
            <w:gridSpan w:val="2"/>
            <w:tcBorders>
              <w:left w:val="single" w:sz="12" w:space="0" w:color="auto"/>
            </w:tcBorders>
            <w:vAlign w:val="center"/>
          </w:tcPr>
          <w:p w:rsidR="00CE4EEF" w:rsidRDefault="00CE4EEF" w:rsidP="00F343E9">
            <w:r w:rsidRPr="00F20E2D">
              <w:rPr>
                <w:rFonts w:cs="Arial"/>
                <w:sz w:val="18"/>
                <w:szCs w:val="18"/>
              </w:rPr>
              <w:t>√</w:t>
            </w:r>
          </w:p>
        </w:tc>
        <w:tc>
          <w:tcPr>
            <w:tcW w:w="770" w:type="dxa"/>
            <w:vAlign w:val="center"/>
          </w:tcPr>
          <w:p w:rsidR="00CE4EEF" w:rsidRDefault="00CE4EEF" w:rsidP="00F343E9">
            <w:r w:rsidRPr="00F20E2D">
              <w:rPr>
                <w:rFonts w:cs="Arial"/>
                <w:sz w:val="18"/>
                <w:szCs w:val="18"/>
              </w:rPr>
              <w:t>√</w:t>
            </w:r>
          </w:p>
        </w:tc>
        <w:tc>
          <w:tcPr>
            <w:tcW w:w="769" w:type="dxa"/>
            <w:vAlign w:val="center"/>
          </w:tcPr>
          <w:p w:rsidR="00CE4EEF" w:rsidRDefault="00CE4EEF" w:rsidP="00F343E9">
            <w:r w:rsidRPr="00F20E2D">
              <w:rPr>
                <w:rFonts w:cs="Arial"/>
                <w:sz w:val="18"/>
                <w:szCs w:val="18"/>
              </w:rPr>
              <w:t>√</w:t>
            </w:r>
          </w:p>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MT</w:t>
            </w:r>
          </w:p>
        </w:tc>
        <w:tc>
          <w:tcPr>
            <w:tcW w:w="726"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c>
          <w:tcPr>
            <w:tcW w:w="769" w:type="dxa"/>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NL</w:t>
            </w:r>
          </w:p>
        </w:tc>
        <w:tc>
          <w:tcPr>
            <w:tcW w:w="726" w:type="dxa"/>
            <w:tcBorders>
              <w:left w:val="single" w:sz="12" w:space="0" w:color="auto"/>
            </w:tcBorders>
            <w:vAlign w:val="center"/>
          </w:tcPr>
          <w:p w:rsidR="00CE4EEF" w:rsidRDefault="00CE4EEF" w:rsidP="00F343E9">
            <w:r w:rsidRPr="00EB344B">
              <w:rPr>
                <w:rFonts w:cs="Arial"/>
                <w:sz w:val="18"/>
                <w:szCs w:val="18"/>
              </w:rPr>
              <w:t>√</w:t>
            </w:r>
          </w:p>
        </w:tc>
        <w:tc>
          <w:tcPr>
            <w:tcW w:w="768" w:type="dxa"/>
            <w:vAlign w:val="center"/>
          </w:tcPr>
          <w:p w:rsidR="00CE4EEF" w:rsidRDefault="00CE4EEF" w:rsidP="00F343E9">
            <w:r w:rsidRPr="00EB344B">
              <w:rPr>
                <w:rFonts w:cs="Arial"/>
                <w:sz w:val="18"/>
                <w:szCs w:val="18"/>
              </w:rPr>
              <w:t>√</w:t>
            </w:r>
          </w:p>
        </w:tc>
        <w:tc>
          <w:tcPr>
            <w:tcW w:w="769" w:type="dxa"/>
            <w:vAlign w:val="center"/>
          </w:tcPr>
          <w:p w:rsidR="00CE4EEF" w:rsidRDefault="00CE4EEF" w:rsidP="00F343E9">
            <w:r w:rsidRPr="00EB344B">
              <w:rPr>
                <w:rFonts w:cs="Arial"/>
                <w:sz w:val="18"/>
                <w:szCs w:val="18"/>
              </w:rPr>
              <w:t>√</w:t>
            </w:r>
          </w:p>
        </w:tc>
        <w:tc>
          <w:tcPr>
            <w:tcW w:w="768" w:type="dxa"/>
            <w:vAlign w:val="center"/>
          </w:tcPr>
          <w:p w:rsidR="00CE4EEF" w:rsidRDefault="00CE4EEF" w:rsidP="00F343E9">
            <w:r w:rsidRPr="00EB344B">
              <w:rPr>
                <w:rFonts w:cs="Arial"/>
                <w:sz w:val="18"/>
                <w:szCs w:val="18"/>
              </w:rPr>
              <w:t>√</w:t>
            </w:r>
          </w:p>
        </w:tc>
        <w:tc>
          <w:tcPr>
            <w:tcW w:w="770" w:type="dxa"/>
            <w:vAlign w:val="center"/>
          </w:tcPr>
          <w:p w:rsidR="00CE4EEF" w:rsidRDefault="00CE4EEF" w:rsidP="00F343E9">
            <w:r w:rsidRPr="00EB344B">
              <w:rPr>
                <w:rFonts w:cs="Arial"/>
                <w:sz w:val="18"/>
                <w:szCs w:val="18"/>
              </w:rPr>
              <w:t>√</w:t>
            </w:r>
          </w:p>
        </w:tc>
        <w:tc>
          <w:tcPr>
            <w:tcW w:w="769" w:type="dxa"/>
            <w:vAlign w:val="center"/>
          </w:tcPr>
          <w:p w:rsidR="00CE4EEF" w:rsidRDefault="00CE4EEF" w:rsidP="00F343E9">
            <w:r w:rsidRPr="00EB344B">
              <w:rPr>
                <w:rFonts w:cs="Arial"/>
                <w:sz w:val="18"/>
                <w:szCs w:val="18"/>
              </w:rPr>
              <w:t>√</w:t>
            </w:r>
          </w:p>
        </w:tc>
        <w:tc>
          <w:tcPr>
            <w:tcW w:w="770" w:type="dxa"/>
            <w:vAlign w:val="center"/>
          </w:tcPr>
          <w:p w:rsidR="00CE4EEF" w:rsidRDefault="00CE4EEF" w:rsidP="00F343E9">
            <w:r w:rsidRPr="00EB344B">
              <w:rPr>
                <w:rFonts w:cs="Arial"/>
                <w:sz w:val="18"/>
                <w:szCs w:val="18"/>
              </w:rPr>
              <w:t>√</w:t>
            </w: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vAlign w:val="center"/>
          </w:tcPr>
          <w:p w:rsidR="00CE4EEF" w:rsidRDefault="00CE4EEF" w:rsidP="00F343E9">
            <w:r w:rsidRPr="00476085">
              <w:rPr>
                <w:rFonts w:cs="Arial"/>
                <w:sz w:val="18"/>
                <w:szCs w:val="18"/>
              </w:rPr>
              <w:t>√</w:t>
            </w:r>
            <w:r>
              <w:rPr>
                <w:rStyle w:val="EndnoteReference"/>
              </w:rPr>
              <w:endnoteReference w:id="153"/>
            </w:r>
          </w:p>
        </w:tc>
        <w:tc>
          <w:tcPr>
            <w:tcW w:w="770" w:type="dxa"/>
            <w:vAlign w:val="center"/>
          </w:tcPr>
          <w:p w:rsidR="00CE4EEF" w:rsidRDefault="00CE4EEF" w:rsidP="00F343E9">
            <w:r w:rsidRPr="00476085">
              <w:rPr>
                <w:rFonts w:cs="Arial"/>
                <w:sz w:val="18"/>
                <w:szCs w:val="18"/>
              </w:rPr>
              <w:t>√</w:t>
            </w:r>
          </w:p>
        </w:tc>
        <w:tc>
          <w:tcPr>
            <w:tcW w:w="769" w:type="dxa"/>
            <w:vAlign w:val="center"/>
          </w:tcPr>
          <w:p w:rsidR="00CE4EEF" w:rsidRDefault="00CE4EEF" w:rsidP="00F343E9">
            <w:r w:rsidRPr="00476085">
              <w:rPr>
                <w:rFonts w:cs="Arial"/>
                <w:sz w:val="18"/>
                <w:szCs w:val="18"/>
              </w:rPr>
              <w:t>√</w:t>
            </w:r>
            <w:r>
              <w:rPr>
                <w:rStyle w:val="EndnoteReference"/>
              </w:rPr>
              <w:endnoteReference w:id="154"/>
            </w:r>
          </w:p>
        </w:tc>
        <w:tc>
          <w:tcPr>
            <w:tcW w:w="770" w:type="dxa"/>
            <w:vAlign w:val="center"/>
          </w:tcPr>
          <w:p w:rsidR="00CE4EEF" w:rsidRDefault="00CE4EEF" w:rsidP="00F343E9">
            <w:r w:rsidRPr="00476085">
              <w:rPr>
                <w:rFonts w:cs="Arial"/>
                <w:sz w:val="18"/>
                <w:szCs w:val="18"/>
              </w:rPr>
              <w:t>√</w:t>
            </w:r>
            <w:r>
              <w:rPr>
                <w:rStyle w:val="EndnoteReference"/>
              </w:rPr>
              <w:endnoteReference w:id="155"/>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PL</w:t>
            </w:r>
          </w:p>
        </w:tc>
        <w:tc>
          <w:tcPr>
            <w:tcW w:w="726" w:type="dxa"/>
            <w:tcBorders>
              <w:left w:val="single" w:sz="12" w:space="0" w:color="auto"/>
            </w:tcBorders>
            <w:vAlign w:val="center"/>
          </w:tcPr>
          <w:p w:rsidR="00CE4EEF" w:rsidRDefault="00CE4EEF" w:rsidP="00F343E9">
            <w:r w:rsidRPr="00B06A43">
              <w:rPr>
                <w:rFonts w:cs="Arial"/>
                <w:sz w:val="18"/>
                <w:szCs w:val="18"/>
              </w:rPr>
              <w:t>√</w:t>
            </w:r>
          </w:p>
        </w:tc>
        <w:tc>
          <w:tcPr>
            <w:tcW w:w="768" w:type="dxa"/>
            <w:vAlign w:val="center"/>
          </w:tcPr>
          <w:p w:rsidR="00CE4EEF" w:rsidRDefault="00CE4EEF" w:rsidP="00F343E9">
            <w:r w:rsidRPr="00B06A43">
              <w:rPr>
                <w:rFonts w:cs="Arial"/>
                <w:sz w:val="18"/>
                <w:szCs w:val="18"/>
              </w:rPr>
              <w:t>√</w:t>
            </w:r>
          </w:p>
        </w:tc>
        <w:tc>
          <w:tcPr>
            <w:tcW w:w="769" w:type="dxa"/>
            <w:vAlign w:val="center"/>
          </w:tcPr>
          <w:p w:rsidR="00CE4EEF" w:rsidRDefault="00CE4EEF" w:rsidP="00F343E9">
            <w:r w:rsidRPr="00B06A43">
              <w:rPr>
                <w:rFonts w:cs="Arial"/>
                <w:sz w:val="18"/>
                <w:szCs w:val="18"/>
              </w:rPr>
              <w:t>√</w:t>
            </w:r>
          </w:p>
        </w:tc>
        <w:tc>
          <w:tcPr>
            <w:tcW w:w="768" w:type="dxa"/>
            <w:vAlign w:val="center"/>
          </w:tcPr>
          <w:p w:rsidR="00CE4EEF" w:rsidRDefault="00CE4EEF" w:rsidP="00F343E9">
            <w:r w:rsidRPr="00B06A43">
              <w:rPr>
                <w:rFonts w:cs="Arial"/>
                <w:sz w:val="18"/>
                <w:szCs w:val="18"/>
              </w:rPr>
              <w:t>√</w:t>
            </w:r>
          </w:p>
        </w:tc>
        <w:tc>
          <w:tcPr>
            <w:tcW w:w="770" w:type="dxa"/>
            <w:vAlign w:val="center"/>
          </w:tcPr>
          <w:p w:rsidR="00CE4EEF" w:rsidRDefault="00CE4EEF" w:rsidP="00F343E9">
            <w:r w:rsidRPr="00B06A43">
              <w:rPr>
                <w:rFonts w:cs="Arial"/>
                <w:sz w:val="18"/>
                <w:szCs w:val="18"/>
              </w:rPr>
              <w:t>√</w:t>
            </w:r>
          </w:p>
        </w:tc>
        <w:tc>
          <w:tcPr>
            <w:tcW w:w="769" w:type="dxa"/>
            <w:vAlign w:val="center"/>
          </w:tcPr>
          <w:p w:rsidR="00CE4EEF" w:rsidRDefault="00CE4EEF" w:rsidP="00F343E9">
            <w:r w:rsidRPr="00B06A43">
              <w:rPr>
                <w:rFonts w:cs="Arial"/>
                <w:sz w:val="18"/>
                <w:szCs w:val="18"/>
              </w:rPr>
              <w:t>√</w:t>
            </w:r>
          </w:p>
        </w:tc>
        <w:tc>
          <w:tcPr>
            <w:tcW w:w="770" w:type="dxa"/>
            <w:vAlign w:val="center"/>
          </w:tcPr>
          <w:p w:rsidR="00CE4EEF" w:rsidRDefault="00CE4EEF" w:rsidP="00F343E9">
            <w:r w:rsidRPr="00B06A43">
              <w:rPr>
                <w:rFonts w:cs="Arial"/>
                <w:sz w:val="18"/>
                <w:szCs w:val="18"/>
              </w:rPr>
              <w:t>√</w:t>
            </w:r>
          </w:p>
        </w:tc>
        <w:tc>
          <w:tcPr>
            <w:tcW w:w="769" w:type="dxa"/>
            <w:vAlign w:val="center"/>
          </w:tcPr>
          <w:p w:rsidR="00CE4EEF" w:rsidRDefault="00CE4EEF" w:rsidP="00F343E9">
            <w:r w:rsidRPr="00B06A43">
              <w:rPr>
                <w:rFonts w:cs="Arial"/>
                <w:sz w:val="18"/>
                <w:szCs w:val="18"/>
              </w:rPr>
              <w:t>√</w:t>
            </w:r>
          </w:p>
        </w:tc>
        <w:tc>
          <w:tcPr>
            <w:tcW w:w="770" w:type="dxa"/>
            <w:tcBorders>
              <w:right w:val="single" w:sz="12" w:space="0" w:color="auto"/>
            </w:tcBorders>
            <w:vAlign w:val="center"/>
          </w:tcPr>
          <w:p w:rsidR="00CE4EEF" w:rsidRDefault="00CE4EEF" w:rsidP="00F343E9">
            <w:r w:rsidRPr="00B06A43">
              <w:rPr>
                <w:rFonts w:cs="Arial"/>
                <w:sz w:val="18"/>
                <w:szCs w:val="18"/>
              </w:rPr>
              <w:t>√</w:t>
            </w:r>
          </w:p>
        </w:tc>
        <w:tc>
          <w:tcPr>
            <w:tcW w:w="769" w:type="dxa"/>
            <w:gridSpan w:val="2"/>
            <w:tcBorders>
              <w:left w:val="single" w:sz="12" w:space="0" w:color="auto"/>
            </w:tcBorders>
            <w:vAlign w:val="center"/>
          </w:tcPr>
          <w:p w:rsidR="00CE4EEF" w:rsidRDefault="00CE4EEF" w:rsidP="00F343E9">
            <w:r w:rsidRPr="00476085">
              <w:rPr>
                <w:rFonts w:cs="Arial"/>
                <w:sz w:val="18"/>
                <w:szCs w:val="18"/>
              </w:rPr>
              <w:t>√</w:t>
            </w:r>
            <w:r>
              <w:rPr>
                <w:rStyle w:val="EndnoteReference"/>
              </w:rPr>
              <w:endnoteReference w:id="156"/>
            </w:r>
          </w:p>
        </w:tc>
        <w:tc>
          <w:tcPr>
            <w:tcW w:w="770" w:type="dxa"/>
            <w:vAlign w:val="center"/>
          </w:tcPr>
          <w:p w:rsidR="00CE4EEF" w:rsidRDefault="00CE4EEF" w:rsidP="00F343E9">
            <w:r w:rsidRPr="00476085">
              <w:rPr>
                <w:rFonts w:cs="Arial"/>
                <w:sz w:val="18"/>
                <w:szCs w:val="18"/>
              </w:rPr>
              <w:t>√</w:t>
            </w:r>
            <w:r>
              <w:rPr>
                <w:rStyle w:val="EndnoteReference"/>
              </w:rPr>
              <w:endnoteReference w:id="157"/>
            </w:r>
          </w:p>
        </w:tc>
        <w:tc>
          <w:tcPr>
            <w:tcW w:w="769" w:type="dxa"/>
            <w:vAlign w:val="center"/>
          </w:tcPr>
          <w:p w:rsidR="00CE4EEF" w:rsidRDefault="00CE4EEF" w:rsidP="00F343E9">
            <w:r w:rsidRPr="00476085">
              <w:rPr>
                <w:rFonts w:cs="Arial"/>
                <w:sz w:val="18"/>
                <w:szCs w:val="18"/>
              </w:rPr>
              <w:t>√</w:t>
            </w:r>
            <w:r>
              <w:rPr>
                <w:rStyle w:val="EndnoteReference"/>
              </w:rPr>
              <w:endnoteReference w:id="158"/>
            </w:r>
          </w:p>
        </w:tc>
        <w:tc>
          <w:tcPr>
            <w:tcW w:w="770" w:type="dxa"/>
            <w:vAlign w:val="center"/>
          </w:tcPr>
          <w:p w:rsidR="00CE4EEF" w:rsidRDefault="00CE4EEF" w:rsidP="00F343E9">
            <w:r w:rsidRPr="00476085">
              <w:rPr>
                <w:rFonts w:cs="Arial"/>
                <w:sz w:val="18"/>
                <w:szCs w:val="18"/>
              </w:rPr>
              <w:t>√</w:t>
            </w:r>
            <w:r>
              <w:rPr>
                <w:rStyle w:val="EndnoteReference"/>
              </w:rPr>
              <w:endnoteReference w:id="159"/>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PT</w:t>
            </w:r>
          </w:p>
        </w:tc>
        <w:tc>
          <w:tcPr>
            <w:tcW w:w="726" w:type="dxa"/>
            <w:tcBorders>
              <w:left w:val="single" w:sz="12" w:space="0" w:color="auto"/>
            </w:tcBorders>
            <w:vAlign w:val="center"/>
          </w:tcPr>
          <w:p w:rsidR="00CE4EEF" w:rsidRDefault="00CE4EEF" w:rsidP="00F343E9">
            <w:r w:rsidRPr="000F20B0">
              <w:rPr>
                <w:rFonts w:cs="Arial"/>
                <w:sz w:val="18"/>
                <w:szCs w:val="18"/>
              </w:rPr>
              <w:t>√</w:t>
            </w:r>
          </w:p>
        </w:tc>
        <w:tc>
          <w:tcPr>
            <w:tcW w:w="768" w:type="dxa"/>
            <w:vAlign w:val="center"/>
          </w:tcPr>
          <w:p w:rsidR="00CE4EEF" w:rsidRDefault="00CE4EEF" w:rsidP="00F343E9">
            <w:r w:rsidRPr="000F20B0">
              <w:rPr>
                <w:rFonts w:cs="Arial"/>
                <w:sz w:val="18"/>
                <w:szCs w:val="18"/>
              </w:rPr>
              <w:t>√</w:t>
            </w:r>
          </w:p>
        </w:tc>
        <w:tc>
          <w:tcPr>
            <w:tcW w:w="769" w:type="dxa"/>
            <w:vAlign w:val="center"/>
          </w:tcPr>
          <w:p w:rsidR="00CE4EEF" w:rsidRDefault="00CE4EEF" w:rsidP="00F343E9">
            <w:r w:rsidRPr="000F20B0">
              <w:rPr>
                <w:rFonts w:cs="Arial"/>
                <w:sz w:val="18"/>
                <w:szCs w:val="18"/>
              </w:rPr>
              <w:t>√</w:t>
            </w:r>
          </w:p>
        </w:tc>
        <w:tc>
          <w:tcPr>
            <w:tcW w:w="768" w:type="dxa"/>
            <w:vAlign w:val="center"/>
          </w:tcPr>
          <w:p w:rsidR="00CE4EEF" w:rsidRDefault="00CE4EEF" w:rsidP="00F343E9">
            <w:r w:rsidRPr="000F20B0">
              <w:rPr>
                <w:rFonts w:cs="Arial"/>
                <w:sz w:val="18"/>
                <w:szCs w:val="18"/>
              </w:rPr>
              <w:t>√</w:t>
            </w:r>
          </w:p>
        </w:tc>
        <w:tc>
          <w:tcPr>
            <w:tcW w:w="770" w:type="dxa"/>
            <w:vAlign w:val="center"/>
          </w:tcPr>
          <w:p w:rsidR="00CE4EEF" w:rsidRDefault="00CE4EEF" w:rsidP="00F343E9">
            <w:r w:rsidRPr="000F20B0">
              <w:rPr>
                <w:rFonts w:cs="Arial"/>
                <w:sz w:val="18"/>
                <w:szCs w:val="18"/>
              </w:rPr>
              <w:t>√</w:t>
            </w:r>
          </w:p>
        </w:tc>
        <w:tc>
          <w:tcPr>
            <w:tcW w:w="769" w:type="dxa"/>
            <w:vAlign w:val="center"/>
          </w:tcPr>
          <w:p w:rsidR="00CE4EEF" w:rsidRDefault="00CE4EEF" w:rsidP="00F343E9">
            <w:r w:rsidRPr="000F20B0">
              <w:rPr>
                <w:rFonts w:cs="Arial"/>
                <w:sz w:val="18"/>
                <w:szCs w:val="18"/>
              </w:rPr>
              <w:t>√</w:t>
            </w:r>
          </w:p>
        </w:tc>
        <w:tc>
          <w:tcPr>
            <w:tcW w:w="770" w:type="dxa"/>
            <w:vAlign w:val="center"/>
          </w:tcPr>
          <w:p w:rsidR="00CE4EEF" w:rsidRDefault="00CE4EEF" w:rsidP="00F343E9">
            <w:r w:rsidRPr="000F20B0">
              <w:rPr>
                <w:rFonts w:cs="Arial"/>
                <w:sz w:val="18"/>
                <w:szCs w:val="18"/>
              </w:rPr>
              <w:t>√</w:t>
            </w:r>
          </w:p>
        </w:tc>
        <w:tc>
          <w:tcPr>
            <w:tcW w:w="769" w:type="dxa"/>
            <w:vAlign w:val="center"/>
          </w:tcPr>
          <w:p w:rsidR="00CE4EEF" w:rsidRDefault="00CE4EEF" w:rsidP="00F343E9">
            <w:r w:rsidRPr="000F20B0">
              <w:rPr>
                <w:rFonts w:cs="Arial"/>
                <w:sz w:val="18"/>
                <w:szCs w:val="18"/>
              </w:rPr>
              <w:t>√</w:t>
            </w:r>
          </w:p>
        </w:tc>
        <w:tc>
          <w:tcPr>
            <w:tcW w:w="770" w:type="dxa"/>
            <w:tcBorders>
              <w:right w:val="single" w:sz="12" w:space="0" w:color="auto"/>
            </w:tcBorders>
            <w:vAlign w:val="center"/>
          </w:tcPr>
          <w:p w:rsidR="00CE4EEF" w:rsidRDefault="00CE4EEF" w:rsidP="00F343E9">
            <w:r w:rsidRPr="000F20B0">
              <w:rPr>
                <w:rFonts w:cs="Arial"/>
                <w:sz w:val="18"/>
                <w:szCs w:val="18"/>
              </w:rPr>
              <w:t>√</w:t>
            </w:r>
          </w:p>
        </w:tc>
        <w:tc>
          <w:tcPr>
            <w:tcW w:w="769" w:type="dxa"/>
            <w:gridSpan w:val="2"/>
            <w:tcBorders>
              <w:left w:val="single" w:sz="12" w:space="0" w:color="auto"/>
            </w:tcBorders>
            <w:vAlign w:val="center"/>
          </w:tcPr>
          <w:p w:rsidR="00CE4EEF" w:rsidRDefault="00CE4EEF" w:rsidP="00F343E9">
            <w:r w:rsidRPr="00476085">
              <w:rPr>
                <w:rFonts w:cs="Arial"/>
                <w:sz w:val="18"/>
                <w:szCs w:val="18"/>
              </w:rPr>
              <w:t>√</w:t>
            </w:r>
          </w:p>
        </w:tc>
        <w:tc>
          <w:tcPr>
            <w:tcW w:w="770" w:type="dxa"/>
            <w:vAlign w:val="center"/>
          </w:tcPr>
          <w:p w:rsidR="00CE4EEF" w:rsidRDefault="00CE4EEF" w:rsidP="00F343E9">
            <w:r w:rsidRPr="00476085">
              <w:rPr>
                <w:rFonts w:cs="Arial"/>
                <w:sz w:val="18"/>
                <w:szCs w:val="18"/>
              </w:rPr>
              <w:t>√</w:t>
            </w:r>
            <w:r>
              <w:rPr>
                <w:rStyle w:val="EndnoteReference"/>
              </w:rPr>
              <w:endnoteReference w:id="160"/>
            </w:r>
          </w:p>
        </w:tc>
        <w:tc>
          <w:tcPr>
            <w:tcW w:w="769" w:type="dxa"/>
            <w:vAlign w:val="center"/>
          </w:tcPr>
          <w:p w:rsidR="00CE4EEF" w:rsidRDefault="00CE4EEF" w:rsidP="00F343E9">
            <w:r w:rsidRPr="00476085">
              <w:rPr>
                <w:rFonts w:cs="Arial"/>
                <w:sz w:val="18"/>
                <w:szCs w:val="18"/>
              </w:rPr>
              <w:t>√</w:t>
            </w:r>
            <w:r>
              <w:rPr>
                <w:rStyle w:val="EndnoteReference"/>
              </w:rPr>
              <w:endnoteReference w:id="161"/>
            </w:r>
          </w:p>
        </w:tc>
        <w:tc>
          <w:tcPr>
            <w:tcW w:w="770" w:type="dxa"/>
            <w:vAlign w:val="center"/>
          </w:tcPr>
          <w:p w:rsidR="00CE4EEF" w:rsidRDefault="00CE4EEF" w:rsidP="00F343E9">
            <w:r w:rsidRPr="00476085">
              <w:rPr>
                <w:rFonts w:cs="Arial"/>
                <w:sz w:val="18"/>
                <w:szCs w:val="18"/>
              </w:rPr>
              <w:t>√</w:t>
            </w:r>
            <w:r>
              <w:rPr>
                <w:rStyle w:val="EndnoteReference"/>
              </w:rPr>
              <w:endnoteReference w:id="162"/>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RO</w:t>
            </w:r>
          </w:p>
        </w:tc>
        <w:tc>
          <w:tcPr>
            <w:tcW w:w="726" w:type="dxa"/>
            <w:tcBorders>
              <w:left w:val="single" w:sz="12" w:space="0" w:color="auto"/>
            </w:tcBorders>
            <w:vAlign w:val="center"/>
          </w:tcPr>
          <w:p w:rsidR="00CE4EEF" w:rsidRDefault="00CE4EEF" w:rsidP="00F343E9">
            <w:r w:rsidRPr="000F20B0">
              <w:rPr>
                <w:rFonts w:cs="Arial"/>
                <w:sz w:val="18"/>
                <w:szCs w:val="18"/>
              </w:rPr>
              <w:t>√</w:t>
            </w:r>
          </w:p>
        </w:tc>
        <w:tc>
          <w:tcPr>
            <w:tcW w:w="768" w:type="dxa"/>
            <w:vAlign w:val="center"/>
          </w:tcPr>
          <w:p w:rsidR="00CE4EEF" w:rsidRDefault="00CE4EEF" w:rsidP="00F343E9">
            <w:r w:rsidRPr="000F20B0">
              <w:rPr>
                <w:rFonts w:cs="Arial"/>
                <w:sz w:val="18"/>
                <w:szCs w:val="18"/>
              </w:rPr>
              <w:t>√</w:t>
            </w:r>
          </w:p>
        </w:tc>
        <w:tc>
          <w:tcPr>
            <w:tcW w:w="769" w:type="dxa"/>
            <w:vAlign w:val="center"/>
          </w:tcPr>
          <w:p w:rsidR="00CE4EEF" w:rsidRDefault="00CE4EEF" w:rsidP="00F343E9">
            <w:r w:rsidRPr="000F20B0">
              <w:rPr>
                <w:rFonts w:cs="Arial"/>
                <w:sz w:val="18"/>
                <w:szCs w:val="18"/>
              </w:rPr>
              <w:t>√</w:t>
            </w:r>
          </w:p>
        </w:tc>
        <w:tc>
          <w:tcPr>
            <w:tcW w:w="768" w:type="dxa"/>
            <w:vAlign w:val="center"/>
          </w:tcPr>
          <w:p w:rsidR="00CE4EEF" w:rsidRDefault="00CE4EEF" w:rsidP="00F343E9">
            <w:r w:rsidRPr="000F20B0">
              <w:rPr>
                <w:rFonts w:cs="Arial"/>
                <w:sz w:val="18"/>
                <w:szCs w:val="18"/>
              </w:rPr>
              <w:t>√</w:t>
            </w:r>
          </w:p>
        </w:tc>
        <w:tc>
          <w:tcPr>
            <w:tcW w:w="770" w:type="dxa"/>
            <w:vAlign w:val="center"/>
          </w:tcPr>
          <w:p w:rsidR="00CE4EEF" w:rsidRDefault="00CE4EEF" w:rsidP="00F343E9">
            <w:r w:rsidRPr="000F20B0">
              <w:rPr>
                <w:rFonts w:cs="Arial"/>
                <w:sz w:val="18"/>
                <w:szCs w:val="18"/>
              </w:rPr>
              <w:t>√</w:t>
            </w:r>
          </w:p>
        </w:tc>
        <w:tc>
          <w:tcPr>
            <w:tcW w:w="769" w:type="dxa"/>
            <w:vAlign w:val="center"/>
          </w:tcPr>
          <w:p w:rsidR="00CE4EEF" w:rsidRDefault="00CE4EEF" w:rsidP="00F343E9">
            <w:r w:rsidRPr="000F20B0">
              <w:rPr>
                <w:rFonts w:cs="Arial"/>
                <w:sz w:val="18"/>
                <w:szCs w:val="18"/>
              </w:rPr>
              <w:t>√</w:t>
            </w:r>
          </w:p>
        </w:tc>
        <w:tc>
          <w:tcPr>
            <w:tcW w:w="770" w:type="dxa"/>
            <w:vAlign w:val="center"/>
          </w:tcPr>
          <w:p w:rsidR="00CE4EEF" w:rsidRDefault="00CE4EEF" w:rsidP="00F343E9">
            <w:r w:rsidRPr="000F20B0">
              <w:rPr>
                <w:rFonts w:cs="Arial"/>
                <w:sz w:val="18"/>
                <w:szCs w:val="18"/>
              </w:rPr>
              <w:t>√</w:t>
            </w:r>
          </w:p>
        </w:tc>
        <w:tc>
          <w:tcPr>
            <w:tcW w:w="769" w:type="dxa"/>
            <w:vAlign w:val="center"/>
          </w:tcPr>
          <w:p w:rsidR="00CE4EEF" w:rsidRDefault="00CE4EEF" w:rsidP="00F343E9">
            <w:r w:rsidRPr="000F20B0">
              <w:rPr>
                <w:rFonts w:cs="Arial"/>
                <w:sz w:val="18"/>
                <w:szCs w:val="18"/>
              </w:rPr>
              <w:t>√</w:t>
            </w:r>
          </w:p>
        </w:tc>
        <w:tc>
          <w:tcPr>
            <w:tcW w:w="770" w:type="dxa"/>
            <w:tcBorders>
              <w:right w:val="single" w:sz="12" w:space="0" w:color="auto"/>
            </w:tcBorders>
            <w:vAlign w:val="center"/>
          </w:tcPr>
          <w:p w:rsidR="00CE4EEF" w:rsidRDefault="00CE4EEF" w:rsidP="00F343E9">
            <w:r w:rsidRPr="000F20B0">
              <w:rPr>
                <w:rFonts w:cs="Arial"/>
                <w:sz w:val="18"/>
                <w:szCs w:val="18"/>
              </w:rPr>
              <w:t>√</w:t>
            </w:r>
          </w:p>
        </w:tc>
        <w:tc>
          <w:tcPr>
            <w:tcW w:w="769" w:type="dxa"/>
            <w:gridSpan w:val="2"/>
            <w:tcBorders>
              <w:left w:val="single" w:sz="12" w:space="0" w:color="auto"/>
            </w:tcBorders>
            <w:vAlign w:val="center"/>
          </w:tcPr>
          <w:p w:rsidR="00CE4EEF" w:rsidRDefault="00CE4EEF" w:rsidP="00F343E9">
            <w:r w:rsidRPr="002F2450">
              <w:rPr>
                <w:rFonts w:cs="Arial"/>
                <w:sz w:val="18"/>
                <w:szCs w:val="18"/>
              </w:rPr>
              <w:t>√</w:t>
            </w:r>
          </w:p>
        </w:tc>
        <w:tc>
          <w:tcPr>
            <w:tcW w:w="770" w:type="dxa"/>
            <w:vAlign w:val="center"/>
          </w:tcPr>
          <w:p w:rsidR="00CE4EEF" w:rsidRDefault="00CE4EEF" w:rsidP="00F343E9">
            <w:r w:rsidRPr="002F2450">
              <w:rPr>
                <w:rFonts w:cs="Arial"/>
                <w:sz w:val="18"/>
                <w:szCs w:val="18"/>
              </w:rPr>
              <w:t>√</w:t>
            </w:r>
          </w:p>
        </w:tc>
        <w:tc>
          <w:tcPr>
            <w:tcW w:w="769" w:type="dxa"/>
            <w:vAlign w:val="center"/>
          </w:tcPr>
          <w:p w:rsidR="00CE4EEF" w:rsidRDefault="00CE4EEF" w:rsidP="00F343E9">
            <w:r w:rsidRPr="002F2450">
              <w:rPr>
                <w:rFonts w:cs="Arial"/>
                <w:sz w:val="18"/>
                <w:szCs w:val="18"/>
              </w:rPr>
              <w:t>√</w:t>
            </w:r>
          </w:p>
        </w:tc>
        <w:tc>
          <w:tcPr>
            <w:tcW w:w="770" w:type="dxa"/>
            <w:vAlign w:val="center"/>
          </w:tcPr>
          <w:p w:rsidR="00CE4EEF" w:rsidRDefault="00CE4EEF" w:rsidP="00F343E9">
            <w:r w:rsidRPr="00476085">
              <w:rPr>
                <w:rFonts w:cs="Arial"/>
                <w:sz w:val="18"/>
                <w:szCs w:val="18"/>
              </w:rPr>
              <w:t>√</w:t>
            </w:r>
            <w:r>
              <w:rPr>
                <w:rStyle w:val="EndnoteReference"/>
              </w:rPr>
              <w:endnoteReference w:id="163"/>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SE</w:t>
            </w:r>
          </w:p>
        </w:tc>
        <w:tc>
          <w:tcPr>
            <w:tcW w:w="726"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c>
          <w:tcPr>
            <w:tcW w:w="769" w:type="dxa"/>
            <w:shd w:val="clear" w:color="auto" w:fill="D9D9D9" w:themeFill="background1" w:themeFillShade="D9"/>
            <w:vAlign w:val="center"/>
          </w:tcPr>
          <w:p w:rsidR="00CE4EEF" w:rsidRDefault="00CE4EEF" w:rsidP="00F343E9"/>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SI</w:t>
            </w:r>
          </w:p>
        </w:tc>
        <w:tc>
          <w:tcPr>
            <w:tcW w:w="726" w:type="dxa"/>
            <w:tcBorders>
              <w:left w:val="single" w:sz="12" w:space="0" w:color="auto"/>
            </w:tcBorders>
            <w:vAlign w:val="center"/>
          </w:tcPr>
          <w:p w:rsidR="00CE4EEF" w:rsidRDefault="00CE4EEF" w:rsidP="00F343E9">
            <w:r w:rsidRPr="00F30FD9">
              <w:rPr>
                <w:rFonts w:cs="Arial"/>
                <w:sz w:val="18"/>
                <w:szCs w:val="18"/>
              </w:rPr>
              <w:t>√</w:t>
            </w:r>
          </w:p>
        </w:tc>
        <w:tc>
          <w:tcPr>
            <w:tcW w:w="768" w:type="dxa"/>
            <w:vAlign w:val="center"/>
          </w:tcPr>
          <w:p w:rsidR="00CE4EEF" w:rsidRDefault="00CE4EEF" w:rsidP="00F343E9">
            <w:r w:rsidRPr="00F30FD9">
              <w:rPr>
                <w:rFonts w:cs="Arial"/>
                <w:sz w:val="18"/>
                <w:szCs w:val="18"/>
              </w:rPr>
              <w:t>√</w:t>
            </w:r>
          </w:p>
        </w:tc>
        <w:tc>
          <w:tcPr>
            <w:tcW w:w="769" w:type="dxa"/>
            <w:vAlign w:val="center"/>
          </w:tcPr>
          <w:p w:rsidR="00CE4EEF" w:rsidRDefault="00CE4EEF" w:rsidP="00F343E9">
            <w:r w:rsidRPr="00F30FD9">
              <w:rPr>
                <w:rFonts w:cs="Arial"/>
                <w:sz w:val="18"/>
                <w:szCs w:val="18"/>
              </w:rPr>
              <w:t>√</w:t>
            </w:r>
          </w:p>
        </w:tc>
        <w:tc>
          <w:tcPr>
            <w:tcW w:w="768" w:type="dxa"/>
            <w:vAlign w:val="center"/>
          </w:tcPr>
          <w:p w:rsidR="00CE4EEF" w:rsidRDefault="00CE4EEF" w:rsidP="00F343E9">
            <w:r w:rsidRPr="00F30FD9">
              <w:rPr>
                <w:rFonts w:cs="Arial"/>
                <w:sz w:val="18"/>
                <w:szCs w:val="18"/>
              </w:rPr>
              <w:t>√</w:t>
            </w:r>
          </w:p>
        </w:tc>
        <w:tc>
          <w:tcPr>
            <w:tcW w:w="770" w:type="dxa"/>
            <w:vAlign w:val="center"/>
          </w:tcPr>
          <w:p w:rsidR="00CE4EEF" w:rsidRDefault="00CE4EEF" w:rsidP="00F343E9">
            <w:r w:rsidRPr="00F30FD9">
              <w:rPr>
                <w:rFonts w:cs="Arial"/>
                <w:sz w:val="18"/>
                <w:szCs w:val="18"/>
              </w:rPr>
              <w:t>√</w:t>
            </w:r>
          </w:p>
        </w:tc>
        <w:tc>
          <w:tcPr>
            <w:tcW w:w="769" w:type="dxa"/>
            <w:vAlign w:val="center"/>
          </w:tcPr>
          <w:p w:rsidR="00CE4EEF" w:rsidRDefault="00CE4EEF" w:rsidP="00F343E9">
            <w:r w:rsidRPr="00F30FD9">
              <w:rPr>
                <w:rFonts w:cs="Arial"/>
                <w:sz w:val="18"/>
                <w:szCs w:val="18"/>
              </w:rPr>
              <w:t>√</w:t>
            </w:r>
          </w:p>
        </w:tc>
        <w:tc>
          <w:tcPr>
            <w:tcW w:w="770" w:type="dxa"/>
            <w:vAlign w:val="center"/>
          </w:tcPr>
          <w:p w:rsidR="00CE4EEF" w:rsidRDefault="00CE4EEF" w:rsidP="00F343E9">
            <w:r w:rsidRPr="00F30FD9">
              <w:rPr>
                <w:rFonts w:cs="Arial"/>
                <w:sz w:val="18"/>
                <w:szCs w:val="18"/>
              </w:rPr>
              <w:t>√</w:t>
            </w:r>
          </w:p>
        </w:tc>
        <w:tc>
          <w:tcPr>
            <w:tcW w:w="769" w:type="dxa"/>
            <w:vAlign w:val="center"/>
          </w:tcPr>
          <w:p w:rsidR="00CE4EEF" w:rsidRDefault="00CE4EEF" w:rsidP="00F343E9">
            <w:r w:rsidRPr="00F30FD9">
              <w:rPr>
                <w:rFonts w:cs="Arial"/>
                <w:sz w:val="18"/>
                <w:szCs w:val="18"/>
              </w:rPr>
              <w:t>√</w:t>
            </w:r>
          </w:p>
        </w:tc>
        <w:tc>
          <w:tcPr>
            <w:tcW w:w="770" w:type="dxa"/>
            <w:tcBorders>
              <w:righ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9" w:type="dxa"/>
            <w:gridSpan w:val="2"/>
            <w:tcBorders>
              <w:left w:val="single" w:sz="12" w:space="0" w:color="auto"/>
            </w:tcBorders>
            <w:vAlign w:val="center"/>
          </w:tcPr>
          <w:p w:rsidR="00CE4EEF" w:rsidRDefault="00CE4EEF" w:rsidP="00F343E9">
            <w:r w:rsidRPr="00626E5D">
              <w:rPr>
                <w:rFonts w:cs="Arial"/>
                <w:sz w:val="18"/>
                <w:szCs w:val="18"/>
              </w:rPr>
              <w:t>√</w:t>
            </w:r>
          </w:p>
        </w:tc>
        <w:tc>
          <w:tcPr>
            <w:tcW w:w="770" w:type="dxa"/>
            <w:vAlign w:val="center"/>
          </w:tcPr>
          <w:p w:rsidR="00CE4EEF" w:rsidRDefault="00CE4EEF" w:rsidP="00F343E9">
            <w:r w:rsidRPr="00626E5D">
              <w:rPr>
                <w:rFonts w:cs="Arial"/>
                <w:sz w:val="18"/>
                <w:szCs w:val="18"/>
              </w:rPr>
              <w:t>√</w:t>
            </w:r>
          </w:p>
        </w:tc>
        <w:tc>
          <w:tcPr>
            <w:tcW w:w="769" w:type="dxa"/>
            <w:vAlign w:val="center"/>
          </w:tcPr>
          <w:p w:rsidR="00CE4EEF" w:rsidRDefault="00CE4EEF" w:rsidP="00F343E9">
            <w:r w:rsidRPr="00626E5D">
              <w:rPr>
                <w:rFonts w:cs="Arial"/>
                <w:sz w:val="18"/>
                <w:szCs w:val="18"/>
              </w:rPr>
              <w:t>√</w:t>
            </w:r>
          </w:p>
        </w:tc>
        <w:tc>
          <w:tcPr>
            <w:tcW w:w="770" w:type="dxa"/>
            <w:vAlign w:val="center"/>
          </w:tcPr>
          <w:p w:rsidR="00CE4EEF" w:rsidRDefault="00CE4EEF" w:rsidP="00F343E9">
            <w:r w:rsidRPr="00476085">
              <w:rPr>
                <w:rFonts w:cs="Arial"/>
                <w:sz w:val="18"/>
                <w:szCs w:val="18"/>
              </w:rPr>
              <w:t>√</w:t>
            </w:r>
            <w:r>
              <w:rPr>
                <w:rStyle w:val="EndnoteReference"/>
              </w:rPr>
              <w:endnoteReference w:id="164"/>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SK</w:t>
            </w:r>
          </w:p>
        </w:tc>
        <w:tc>
          <w:tcPr>
            <w:tcW w:w="726" w:type="dxa"/>
            <w:tcBorders>
              <w:left w:val="single" w:sz="12" w:space="0" w:color="auto"/>
            </w:tcBorders>
            <w:vAlign w:val="center"/>
          </w:tcPr>
          <w:p w:rsidR="00CE4EEF" w:rsidRDefault="00CE4EEF" w:rsidP="00F343E9">
            <w:r w:rsidRPr="00133533">
              <w:rPr>
                <w:rFonts w:cs="Arial"/>
                <w:sz w:val="18"/>
                <w:szCs w:val="18"/>
              </w:rPr>
              <w:t>√</w:t>
            </w:r>
          </w:p>
        </w:tc>
        <w:tc>
          <w:tcPr>
            <w:tcW w:w="768"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68" w:type="dxa"/>
            <w:vAlign w:val="center"/>
          </w:tcPr>
          <w:p w:rsidR="00CE4EEF" w:rsidRDefault="00CE4EEF" w:rsidP="00F343E9">
            <w:r w:rsidRPr="00133533">
              <w:rPr>
                <w:rFonts w:cs="Arial"/>
                <w:sz w:val="18"/>
                <w:szCs w:val="18"/>
              </w:rPr>
              <w:t>√</w:t>
            </w:r>
          </w:p>
        </w:tc>
        <w:tc>
          <w:tcPr>
            <w:tcW w:w="770"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70"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70" w:type="dxa"/>
            <w:tcBorders>
              <w:right w:val="single" w:sz="12" w:space="0" w:color="auto"/>
            </w:tcBorders>
            <w:vAlign w:val="center"/>
          </w:tcPr>
          <w:p w:rsidR="00CE4EEF" w:rsidRDefault="00CE4EEF" w:rsidP="00F343E9">
            <w:r w:rsidRPr="00133533">
              <w:rPr>
                <w:rFonts w:cs="Arial"/>
                <w:sz w:val="18"/>
                <w:szCs w:val="18"/>
              </w:rPr>
              <w:t>√</w:t>
            </w:r>
          </w:p>
        </w:tc>
        <w:tc>
          <w:tcPr>
            <w:tcW w:w="769" w:type="dxa"/>
            <w:gridSpan w:val="2"/>
            <w:tcBorders>
              <w:left w:val="single" w:sz="12" w:space="0" w:color="auto"/>
            </w:tcBorders>
            <w:vAlign w:val="center"/>
          </w:tcPr>
          <w:p w:rsidR="00CE4EEF" w:rsidRDefault="00CE4EEF" w:rsidP="00F343E9">
            <w:r w:rsidRPr="00626E5D">
              <w:rPr>
                <w:rFonts w:cs="Arial"/>
                <w:sz w:val="18"/>
                <w:szCs w:val="18"/>
              </w:rPr>
              <w:t>√</w:t>
            </w:r>
          </w:p>
        </w:tc>
        <w:tc>
          <w:tcPr>
            <w:tcW w:w="770" w:type="dxa"/>
            <w:vAlign w:val="center"/>
          </w:tcPr>
          <w:p w:rsidR="00CE4EEF" w:rsidRDefault="00CE4EEF" w:rsidP="00F343E9">
            <w:r w:rsidRPr="00626E5D">
              <w:rPr>
                <w:rFonts w:cs="Arial"/>
                <w:sz w:val="18"/>
                <w:szCs w:val="18"/>
              </w:rPr>
              <w:t>√</w:t>
            </w:r>
          </w:p>
        </w:tc>
        <w:tc>
          <w:tcPr>
            <w:tcW w:w="769" w:type="dxa"/>
            <w:vAlign w:val="center"/>
          </w:tcPr>
          <w:p w:rsidR="00CE4EEF" w:rsidRDefault="00CE4EEF" w:rsidP="00F343E9">
            <w:r w:rsidRPr="00626E5D">
              <w:rPr>
                <w:rFonts w:cs="Arial"/>
                <w:sz w:val="18"/>
                <w:szCs w:val="18"/>
              </w:rPr>
              <w:t>√</w:t>
            </w:r>
          </w:p>
        </w:tc>
        <w:tc>
          <w:tcPr>
            <w:tcW w:w="770" w:type="dxa"/>
            <w:shd w:val="clear" w:color="auto" w:fill="D9D9D9" w:themeFill="background1" w:themeFillShade="D9"/>
            <w:vAlign w:val="center"/>
          </w:tcPr>
          <w:p w:rsidR="00CE4EEF" w:rsidRDefault="00CE4EEF" w:rsidP="00F343E9"/>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UK-E&amp;W</w:t>
            </w:r>
          </w:p>
        </w:tc>
        <w:tc>
          <w:tcPr>
            <w:tcW w:w="726" w:type="dxa"/>
            <w:tcBorders>
              <w:left w:val="single" w:sz="12" w:space="0" w:color="auto"/>
            </w:tcBorders>
            <w:vAlign w:val="center"/>
          </w:tcPr>
          <w:p w:rsidR="00CE4EEF" w:rsidRDefault="00CE4EEF" w:rsidP="00F343E9">
            <w:r w:rsidRPr="00133533">
              <w:rPr>
                <w:rFonts w:cs="Arial"/>
                <w:sz w:val="18"/>
                <w:szCs w:val="18"/>
              </w:rPr>
              <w:t>√</w:t>
            </w:r>
          </w:p>
        </w:tc>
        <w:tc>
          <w:tcPr>
            <w:tcW w:w="768"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68" w:type="dxa"/>
            <w:vAlign w:val="center"/>
          </w:tcPr>
          <w:p w:rsidR="00CE4EEF" w:rsidRDefault="00CE4EEF" w:rsidP="00F343E9">
            <w:r w:rsidRPr="00133533">
              <w:rPr>
                <w:rFonts w:cs="Arial"/>
                <w:sz w:val="18"/>
                <w:szCs w:val="18"/>
              </w:rPr>
              <w:t>√</w:t>
            </w:r>
          </w:p>
        </w:tc>
        <w:tc>
          <w:tcPr>
            <w:tcW w:w="770"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70"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70" w:type="dxa"/>
            <w:tcBorders>
              <w:right w:val="single" w:sz="12" w:space="0" w:color="auto"/>
            </w:tcBorders>
            <w:vAlign w:val="center"/>
          </w:tcPr>
          <w:p w:rsidR="00CE4EEF" w:rsidRDefault="00CE4EEF" w:rsidP="00F343E9">
            <w:r w:rsidRPr="00133533">
              <w:rPr>
                <w:rFonts w:cs="Arial"/>
                <w:sz w:val="18"/>
                <w:szCs w:val="18"/>
              </w:rPr>
              <w:t>√</w:t>
            </w:r>
          </w:p>
        </w:tc>
        <w:tc>
          <w:tcPr>
            <w:tcW w:w="769" w:type="dxa"/>
            <w:gridSpan w:val="2"/>
            <w:tcBorders>
              <w:left w:val="single" w:sz="12" w:space="0" w:color="auto"/>
            </w:tcBorders>
            <w:vAlign w:val="center"/>
          </w:tcPr>
          <w:p w:rsidR="00CE4EEF" w:rsidRDefault="00CE4EEF" w:rsidP="00F343E9">
            <w:r w:rsidRPr="00F5001D">
              <w:rPr>
                <w:rFonts w:cs="Arial"/>
                <w:sz w:val="18"/>
                <w:szCs w:val="18"/>
              </w:rPr>
              <w:t>√</w:t>
            </w:r>
          </w:p>
        </w:tc>
        <w:tc>
          <w:tcPr>
            <w:tcW w:w="770" w:type="dxa"/>
            <w:vAlign w:val="center"/>
          </w:tcPr>
          <w:p w:rsidR="00CE4EEF" w:rsidRDefault="00CE4EEF" w:rsidP="00F343E9">
            <w:r w:rsidRPr="00F5001D">
              <w:rPr>
                <w:rFonts w:cs="Arial"/>
                <w:sz w:val="18"/>
                <w:szCs w:val="18"/>
              </w:rPr>
              <w:t>√</w:t>
            </w:r>
          </w:p>
        </w:tc>
        <w:tc>
          <w:tcPr>
            <w:tcW w:w="769" w:type="dxa"/>
            <w:vAlign w:val="center"/>
          </w:tcPr>
          <w:p w:rsidR="00CE4EEF" w:rsidRDefault="00CE4EEF" w:rsidP="00F343E9">
            <w:r w:rsidRPr="00F5001D">
              <w:rPr>
                <w:rFonts w:cs="Arial"/>
                <w:sz w:val="18"/>
                <w:szCs w:val="18"/>
              </w:rPr>
              <w:t>√</w:t>
            </w:r>
          </w:p>
        </w:tc>
        <w:tc>
          <w:tcPr>
            <w:tcW w:w="770" w:type="dxa"/>
            <w:vAlign w:val="center"/>
          </w:tcPr>
          <w:p w:rsidR="00CE4EEF" w:rsidRDefault="00CE4EEF" w:rsidP="00F343E9">
            <w:r w:rsidRPr="00F5001D">
              <w:rPr>
                <w:rFonts w:cs="Arial"/>
                <w:sz w:val="18"/>
                <w:szCs w:val="18"/>
              </w:rPr>
              <w:t>√</w:t>
            </w:r>
          </w:p>
        </w:tc>
      </w:tr>
      <w:tr w:rsidR="00CE4EEF"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E4EEF" w:rsidP="00F343E9">
            <w:pPr>
              <w:pStyle w:val="BTBullet1"/>
              <w:numPr>
                <w:ilvl w:val="0"/>
                <w:numId w:val="0"/>
              </w:numPr>
              <w:rPr>
                <w:b/>
                <w:sz w:val="16"/>
                <w:szCs w:val="16"/>
              </w:rPr>
            </w:pPr>
            <w:r w:rsidRPr="007E5315">
              <w:rPr>
                <w:b/>
                <w:sz w:val="16"/>
                <w:szCs w:val="16"/>
              </w:rPr>
              <w:t>UK-NI</w:t>
            </w:r>
          </w:p>
        </w:tc>
        <w:tc>
          <w:tcPr>
            <w:tcW w:w="726" w:type="dxa"/>
            <w:tcBorders>
              <w:left w:val="single" w:sz="12" w:space="0" w:color="auto"/>
            </w:tcBorders>
            <w:vAlign w:val="center"/>
          </w:tcPr>
          <w:p w:rsidR="00CE4EEF" w:rsidRDefault="00CE4EEF" w:rsidP="00F343E9">
            <w:r w:rsidRPr="00133533">
              <w:rPr>
                <w:rFonts w:cs="Arial"/>
                <w:sz w:val="18"/>
                <w:szCs w:val="18"/>
              </w:rPr>
              <w:t>√</w:t>
            </w:r>
          </w:p>
        </w:tc>
        <w:tc>
          <w:tcPr>
            <w:tcW w:w="768"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68" w:type="dxa"/>
            <w:vAlign w:val="center"/>
          </w:tcPr>
          <w:p w:rsidR="00CE4EEF" w:rsidRDefault="00CE4EEF" w:rsidP="00F343E9">
            <w:r w:rsidRPr="00133533">
              <w:rPr>
                <w:rFonts w:cs="Arial"/>
                <w:sz w:val="18"/>
                <w:szCs w:val="18"/>
              </w:rPr>
              <w:t>√</w:t>
            </w:r>
          </w:p>
        </w:tc>
        <w:tc>
          <w:tcPr>
            <w:tcW w:w="770" w:type="dxa"/>
            <w:vAlign w:val="center"/>
          </w:tcPr>
          <w:p w:rsidR="00CE4EEF" w:rsidRDefault="00CE4EEF" w:rsidP="00F343E9">
            <w:r w:rsidRPr="00133533">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70" w:type="dxa"/>
            <w:vAlign w:val="center"/>
          </w:tcPr>
          <w:p w:rsidR="00CE4EEF" w:rsidRDefault="00CE4EEF" w:rsidP="00F343E9">
            <w:r w:rsidRPr="006D50D4">
              <w:rPr>
                <w:rFonts w:cs="Arial"/>
                <w:sz w:val="18"/>
                <w:szCs w:val="18"/>
              </w:rPr>
              <w:t>√</w:t>
            </w:r>
          </w:p>
        </w:tc>
        <w:tc>
          <w:tcPr>
            <w:tcW w:w="769" w:type="dxa"/>
            <w:vAlign w:val="center"/>
          </w:tcPr>
          <w:p w:rsidR="00CE4EEF" w:rsidRDefault="00CE4EEF" w:rsidP="00F343E9">
            <w:r w:rsidRPr="00133533">
              <w:rPr>
                <w:rFonts w:cs="Arial"/>
                <w:sz w:val="18"/>
                <w:szCs w:val="18"/>
              </w:rPr>
              <w:t>√</w:t>
            </w:r>
          </w:p>
        </w:tc>
        <w:tc>
          <w:tcPr>
            <w:tcW w:w="770" w:type="dxa"/>
            <w:tcBorders>
              <w:right w:val="single" w:sz="12" w:space="0" w:color="auto"/>
            </w:tcBorders>
            <w:vAlign w:val="center"/>
          </w:tcPr>
          <w:p w:rsidR="00CE4EEF" w:rsidRDefault="00CE4EEF" w:rsidP="00F343E9">
            <w:r w:rsidRPr="005D776F">
              <w:rPr>
                <w:rFonts w:cs="Arial"/>
                <w:sz w:val="18"/>
                <w:szCs w:val="18"/>
              </w:rPr>
              <w:t>√</w:t>
            </w:r>
          </w:p>
        </w:tc>
        <w:tc>
          <w:tcPr>
            <w:tcW w:w="769" w:type="dxa"/>
            <w:gridSpan w:val="2"/>
            <w:tcBorders>
              <w:left w:val="single" w:sz="12" w:space="0" w:color="auto"/>
            </w:tcBorders>
            <w:vAlign w:val="center"/>
          </w:tcPr>
          <w:p w:rsidR="00CE4EEF" w:rsidRDefault="00CE4EEF" w:rsidP="00F343E9">
            <w:r w:rsidRPr="00F5001D">
              <w:rPr>
                <w:rFonts w:cs="Arial"/>
                <w:sz w:val="18"/>
                <w:szCs w:val="18"/>
              </w:rPr>
              <w:t>√</w:t>
            </w:r>
          </w:p>
        </w:tc>
        <w:tc>
          <w:tcPr>
            <w:tcW w:w="770" w:type="dxa"/>
            <w:vAlign w:val="center"/>
          </w:tcPr>
          <w:p w:rsidR="00CE4EEF" w:rsidRDefault="00CE4EEF" w:rsidP="00F343E9">
            <w:r w:rsidRPr="00F5001D">
              <w:rPr>
                <w:rFonts w:cs="Arial"/>
                <w:sz w:val="18"/>
                <w:szCs w:val="18"/>
              </w:rPr>
              <w:t>√</w:t>
            </w:r>
          </w:p>
        </w:tc>
        <w:tc>
          <w:tcPr>
            <w:tcW w:w="769" w:type="dxa"/>
            <w:vAlign w:val="center"/>
          </w:tcPr>
          <w:p w:rsidR="00CE4EEF" w:rsidRDefault="00CE4EEF" w:rsidP="00F343E9">
            <w:r w:rsidRPr="00F5001D">
              <w:rPr>
                <w:rFonts w:cs="Arial"/>
                <w:sz w:val="18"/>
                <w:szCs w:val="18"/>
              </w:rPr>
              <w:t>√</w:t>
            </w:r>
          </w:p>
        </w:tc>
        <w:tc>
          <w:tcPr>
            <w:tcW w:w="770" w:type="dxa"/>
            <w:vAlign w:val="center"/>
          </w:tcPr>
          <w:p w:rsidR="00CE4EEF" w:rsidRDefault="00CE4EEF" w:rsidP="00F343E9">
            <w:r w:rsidRPr="00F5001D">
              <w:rPr>
                <w:rFonts w:cs="Arial"/>
                <w:sz w:val="18"/>
                <w:szCs w:val="18"/>
              </w:rPr>
              <w:t>√</w:t>
            </w:r>
          </w:p>
        </w:tc>
      </w:tr>
      <w:tr w:rsidR="00A1222C" w:rsidTr="00546996">
        <w:trPr>
          <w:cantSplit/>
          <w:trHeight w:hRule="exact" w:val="288"/>
          <w:jc w:val="center"/>
        </w:trPr>
        <w:tc>
          <w:tcPr>
            <w:tcW w:w="990" w:type="dxa"/>
            <w:tcBorders>
              <w:right w:val="single" w:sz="12" w:space="0" w:color="auto"/>
            </w:tcBorders>
            <w:shd w:val="clear" w:color="auto" w:fill="DBE5F1" w:themeFill="accent1" w:themeFillTint="33"/>
            <w:vAlign w:val="center"/>
          </w:tcPr>
          <w:p w:rsidR="00CE4EEF" w:rsidRPr="007E5315" w:rsidRDefault="00CD7610" w:rsidP="00F343E9">
            <w:pPr>
              <w:pStyle w:val="BTBullet1"/>
              <w:numPr>
                <w:ilvl w:val="0"/>
                <w:numId w:val="0"/>
              </w:numPr>
              <w:rPr>
                <w:b/>
                <w:sz w:val="16"/>
                <w:szCs w:val="16"/>
              </w:rPr>
            </w:pPr>
            <w:r>
              <w:rPr>
                <w:b/>
                <w:sz w:val="16"/>
                <w:szCs w:val="16"/>
              </w:rPr>
              <w:t>UK-S</w:t>
            </w:r>
          </w:p>
        </w:tc>
        <w:tc>
          <w:tcPr>
            <w:tcW w:w="726" w:type="dxa"/>
            <w:tcBorders>
              <w:left w:val="single" w:sz="12" w:space="0" w:color="auto"/>
            </w:tcBorders>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68" w:type="dxa"/>
            <w:shd w:val="clear" w:color="auto" w:fill="D9D9D9" w:themeFill="background1" w:themeFillShade="D9"/>
            <w:vAlign w:val="center"/>
          </w:tcPr>
          <w:p w:rsidR="00CE4EEF" w:rsidRPr="00E217F3" w:rsidRDefault="00CE4EEF" w:rsidP="00F343E9">
            <w:pPr>
              <w:rPr>
                <w:sz w:val="18"/>
                <w:szCs w:val="18"/>
              </w:rPr>
            </w:pPr>
          </w:p>
        </w:tc>
        <w:tc>
          <w:tcPr>
            <w:tcW w:w="770" w:type="dxa"/>
            <w:shd w:val="clear" w:color="auto" w:fill="D9D9D9" w:themeFill="background1" w:themeFillShade="D9"/>
            <w:vAlign w:val="center"/>
          </w:tcPr>
          <w:p w:rsidR="00CE4EEF" w:rsidRPr="00E217F3" w:rsidRDefault="00CE4EEF" w:rsidP="00F343E9">
            <w:pPr>
              <w:rPr>
                <w:sz w:val="18"/>
                <w:szCs w:val="18"/>
              </w:rPr>
            </w:pP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vAlign w:val="center"/>
          </w:tcPr>
          <w:p w:rsidR="00CE4EEF" w:rsidRDefault="00CE4EEF" w:rsidP="00F343E9">
            <w:r w:rsidRPr="006D50D4">
              <w:rPr>
                <w:rFonts w:cs="Arial"/>
                <w:sz w:val="18"/>
                <w:szCs w:val="18"/>
              </w:rPr>
              <w:t>√</w:t>
            </w:r>
          </w:p>
        </w:tc>
        <w:tc>
          <w:tcPr>
            <w:tcW w:w="769" w:type="dxa"/>
            <w:shd w:val="clear" w:color="auto" w:fill="D9D9D9" w:themeFill="background1" w:themeFillShade="D9"/>
            <w:vAlign w:val="center"/>
          </w:tcPr>
          <w:p w:rsidR="00CE4EEF" w:rsidRPr="00E217F3" w:rsidRDefault="00CE4EEF" w:rsidP="00F343E9">
            <w:pPr>
              <w:rPr>
                <w:sz w:val="18"/>
                <w:szCs w:val="18"/>
              </w:rPr>
            </w:pPr>
          </w:p>
        </w:tc>
        <w:tc>
          <w:tcPr>
            <w:tcW w:w="770" w:type="dxa"/>
            <w:tcBorders>
              <w:right w:val="single" w:sz="12" w:space="0" w:color="auto"/>
            </w:tcBorders>
            <w:vAlign w:val="center"/>
          </w:tcPr>
          <w:p w:rsidR="00CE4EEF" w:rsidRDefault="00CE4EEF" w:rsidP="00F343E9">
            <w:r w:rsidRPr="005D776F">
              <w:rPr>
                <w:rFonts w:cs="Arial"/>
                <w:sz w:val="18"/>
                <w:szCs w:val="18"/>
              </w:rPr>
              <w:t>√</w:t>
            </w:r>
          </w:p>
        </w:tc>
        <w:tc>
          <w:tcPr>
            <w:tcW w:w="769" w:type="dxa"/>
            <w:gridSpan w:val="2"/>
            <w:tcBorders>
              <w:left w:val="single" w:sz="12" w:space="0" w:color="auto"/>
            </w:tcBorders>
            <w:vAlign w:val="center"/>
          </w:tcPr>
          <w:p w:rsidR="00CE4EEF" w:rsidRDefault="00CE4EEF" w:rsidP="00F343E9">
            <w:r w:rsidRPr="00F5001D">
              <w:rPr>
                <w:rFonts w:cs="Arial"/>
                <w:sz w:val="18"/>
                <w:szCs w:val="18"/>
              </w:rPr>
              <w:t>√</w:t>
            </w:r>
          </w:p>
        </w:tc>
        <w:tc>
          <w:tcPr>
            <w:tcW w:w="770" w:type="dxa"/>
            <w:vAlign w:val="center"/>
          </w:tcPr>
          <w:p w:rsidR="00CE4EEF" w:rsidRDefault="00CE4EEF" w:rsidP="00F343E9">
            <w:r w:rsidRPr="00F5001D">
              <w:rPr>
                <w:rFonts w:cs="Arial"/>
                <w:sz w:val="18"/>
                <w:szCs w:val="18"/>
              </w:rPr>
              <w:t>√</w:t>
            </w:r>
          </w:p>
        </w:tc>
        <w:tc>
          <w:tcPr>
            <w:tcW w:w="769" w:type="dxa"/>
            <w:vAlign w:val="center"/>
          </w:tcPr>
          <w:p w:rsidR="00CE4EEF" w:rsidRDefault="00CE4EEF" w:rsidP="00F343E9">
            <w:r w:rsidRPr="00F5001D">
              <w:rPr>
                <w:rFonts w:cs="Arial"/>
                <w:sz w:val="18"/>
                <w:szCs w:val="18"/>
              </w:rPr>
              <w:t>√</w:t>
            </w:r>
          </w:p>
        </w:tc>
        <w:tc>
          <w:tcPr>
            <w:tcW w:w="770" w:type="dxa"/>
            <w:vAlign w:val="center"/>
          </w:tcPr>
          <w:p w:rsidR="00CE4EEF" w:rsidRDefault="00CE4EEF" w:rsidP="00F343E9">
            <w:r w:rsidRPr="00F5001D">
              <w:rPr>
                <w:rFonts w:cs="Arial"/>
                <w:sz w:val="18"/>
                <w:szCs w:val="18"/>
              </w:rPr>
              <w:t>√</w:t>
            </w:r>
          </w:p>
        </w:tc>
      </w:tr>
      <w:tr w:rsidR="00CE4EEF" w:rsidTr="00546996">
        <w:trPr>
          <w:cantSplit/>
          <w:trHeight w:hRule="exact" w:val="372"/>
          <w:jc w:val="center"/>
        </w:trPr>
        <w:tc>
          <w:tcPr>
            <w:tcW w:w="990" w:type="dxa"/>
            <w:tcBorders>
              <w:right w:val="single" w:sz="12" w:space="0" w:color="auto"/>
            </w:tcBorders>
            <w:shd w:val="clear" w:color="auto" w:fill="FFFFFF" w:themeFill="background1"/>
            <w:vAlign w:val="center"/>
          </w:tcPr>
          <w:p w:rsidR="00CE4EEF" w:rsidRPr="007E5315" w:rsidRDefault="00CE4EEF" w:rsidP="00F343E9">
            <w:pPr>
              <w:pStyle w:val="BTBullet1"/>
              <w:numPr>
                <w:ilvl w:val="0"/>
                <w:numId w:val="0"/>
              </w:numPr>
              <w:rPr>
                <w:b/>
                <w:sz w:val="16"/>
                <w:szCs w:val="16"/>
              </w:rPr>
            </w:pPr>
            <w:r>
              <w:rPr>
                <w:b/>
                <w:sz w:val="16"/>
                <w:szCs w:val="16"/>
              </w:rPr>
              <w:t>Total Yes</w:t>
            </w:r>
          </w:p>
        </w:tc>
        <w:tc>
          <w:tcPr>
            <w:tcW w:w="726" w:type="dxa"/>
            <w:tcBorders>
              <w:left w:val="single" w:sz="12" w:space="0" w:color="auto"/>
            </w:tcBorders>
            <w:shd w:val="clear" w:color="auto" w:fill="auto"/>
            <w:vAlign w:val="center"/>
          </w:tcPr>
          <w:p w:rsidR="00CE4EEF" w:rsidRPr="004E3A4E" w:rsidRDefault="00CE4EEF" w:rsidP="00F343E9">
            <w:pPr>
              <w:rPr>
                <w:b/>
                <w:sz w:val="16"/>
                <w:szCs w:val="16"/>
              </w:rPr>
            </w:pPr>
            <w:r>
              <w:rPr>
                <w:b/>
                <w:sz w:val="16"/>
                <w:szCs w:val="16"/>
              </w:rPr>
              <w:t>23</w:t>
            </w:r>
          </w:p>
        </w:tc>
        <w:tc>
          <w:tcPr>
            <w:tcW w:w="768" w:type="dxa"/>
            <w:shd w:val="clear" w:color="auto" w:fill="auto"/>
            <w:vAlign w:val="center"/>
          </w:tcPr>
          <w:p w:rsidR="00CE4EEF" w:rsidRPr="004E3A4E" w:rsidRDefault="00CE4EEF" w:rsidP="00F343E9">
            <w:pPr>
              <w:rPr>
                <w:b/>
                <w:sz w:val="16"/>
                <w:szCs w:val="16"/>
              </w:rPr>
            </w:pPr>
            <w:r>
              <w:rPr>
                <w:b/>
                <w:sz w:val="16"/>
                <w:szCs w:val="16"/>
              </w:rPr>
              <w:t>22</w:t>
            </w:r>
          </w:p>
        </w:tc>
        <w:tc>
          <w:tcPr>
            <w:tcW w:w="769" w:type="dxa"/>
            <w:shd w:val="clear" w:color="auto" w:fill="auto"/>
            <w:vAlign w:val="center"/>
          </w:tcPr>
          <w:p w:rsidR="00CE4EEF" w:rsidRPr="004E3A4E" w:rsidRDefault="00CE4EEF" w:rsidP="00F343E9">
            <w:pPr>
              <w:rPr>
                <w:b/>
                <w:sz w:val="16"/>
                <w:szCs w:val="16"/>
              </w:rPr>
            </w:pPr>
            <w:r>
              <w:rPr>
                <w:b/>
                <w:sz w:val="16"/>
                <w:szCs w:val="16"/>
              </w:rPr>
              <w:t>22</w:t>
            </w:r>
          </w:p>
        </w:tc>
        <w:tc>
          <w:tcPr>
            <w:tcW w:w="768" w:type="dxa"/>
            <w:shd w:val="clear" w:color="auto" w:fill="auto"/>
            <w:vAlign w:val="center"/>
          </w:tcPr>
          <w:p w:rsidR="00CE4EEF" w:rsidRPr="004E3A4E" w:rsidRDefault="00CE4EEF" w:rsidP="00F343E9">
            <w:pPr>
              <w:rPr>
                <w:b/>
                <w:sz w:val="16"/>
                <w:szCs w:val="16"/>
              </w:rPr>
            </w:pPr>
            <w:r>
              <w:rPr>
                <w:b/>
                <w:sz w:val="16"/>
                <w:szCs w:val="16"/>
              </w:rPr>
              <w:t>22</w:t>
            </w:r>
          </w:p>
        </w:tc>
        <w:tc>
          <w:tcPr>
            <w:tcW w:w="770" w:type="dxa"/>
            <w:shd w:val="clear" w:color="auto" w:fill="auto"/>
            <w:vAlign w:val="center"/>
          </w:tcPr>
          <w:p w:rsidR="00CE4EEF" w:rsidRPr="004E3A4E" w:rsidRDefault="00CE4EEF" w:rsidP="00F343E9">
            <w:pPr>
              <w:rPr>
                <w:b/>
                <w:sz w:val="16"/>
                <w:szCs w:val="16"/>
              </w:rPr>
            </w:pPr>
            <w:r>
              <w:rPr>
                <w:b/>
                <w:sz w:val="16"/>
                <w:szCs w:val="16"/>
              </w:rPr>
              <w:t>22</w:t>
            </w:r>
          </w:p>
        </w:tc>
        <w:tc>
          <w:tcPr>
            <w:tcW w:w="769" w:type="dxa"/>
            <w:shd w:val="clear" w:color="auto" w:fill="auto"/>
            <w:vAlign w:val="center"/>
          </w:tcPr>
          <w:p w:rsidR="00CE4EEF" w:rsidRPr="004E3A4E" w:rsidRDefault="00CE4EEF" w:rsidP="00F343E9">
            <w:pPr>
              <w:rPr>
                <w:b/>
                <w:sz w:val="16"/>
                <w:szCs w:val="16"/>
              </w:rPr>
            </w:pPr>
            <w:r>
              <w:rPr>
                <w:b/>
                <w:sz w:val="16"/>
                <w:szCs w:val="16"/>
              </w:rPr>
              <w:t>23</w:t>
            </w:r>
          </w:p>
        </w:tc>
        <w:tc>
          <w:tcPr>
            <w:tcW w:w="770" w:type="dxa"/>
            <w:shd w:val="clear" w:color="auto" w:fill="auto"/>
            <w:vAlign w:val="center"/>
          </w:tcPr>
          <w:p w:rsidR="00CE4EEF" w:rsidRPr="004E3A4E" w:rsidRDefault="00CE4EEF" w:rsidP="00F343E9">
            <w:pPr>
              <w:rPr>
                <w:rFonts w:cs="Arial"/>
                <w:b/>
                <w:sz w:val="16"/>
                <w:szCs w:val="16"/>
              </w:rPr>
            </w:pPr>
            <w:r>
              <w:rPr>
                <w:rFonts w:cs="Arial"/>
                <w:b/>
                <w:sz w:val="16"/>
                <w:szCs w:val="16"/>
              </w:rPr>
              <w:t>24</w:t>
            </w:r>
          </w:p>
        </w:tc>
        <w:tc>
          <w:tcPr>
            <w:tcW w:w="769" w:type="dxa"/>
            <w:shd w:val="clear" w:color="auto" w:fill="auto"/>
            <w:vAlign w:val="center"/>
          </w:tcPr>
          <w:p w:rsidR="00CE4EEF" w:rsidRPr="004E3A4E" w:rsidRDefault="00CE4EEF" w:rsidP="00F343E9">
            <w:pPr>
              <w:rPr>
                <w:b/>
                <w:sz w:val="16"/>
                <w:szCs w:val="16"/>
              </w:rPr>
            </w:pPr>
            <w:r>
              <w:rPr>
                <w:b/>
                <w:sz w:val="16"/>
                <w:szCs w:val="16"/>
              </w:rPr>
              <w:t>20</w:t>
            </w:r>
          </w:p>
        </w:tc>
        <w:tc>
          <w:tcPr>
            <w:tcW w:w="770" w:type="dxa"/>
            <w:tcBorders>
              <w:right w:val="single" w:sz="12" w:space="0" w:color="auto"/>
            </w:tcBorders>
            <w:shd w:val="clear" w:color="auto" w:fill="auto"/>
            <w:vAlign w:val="center"/>
          </w:tcPr>
          <w:p w:rsidR="00CE4EEF" w:rsidRPr="004E3A4E" w:rsidRDefault="00CE4EEF" w:rsidP="00F343E9">
            <w:pPr>
              <w:rPr>
                <w:rFonts w:cs="Arial"/>
                <w:b/>
                <w:sz w:val="16"/>
                <w:szCs w:val="16"/>
              </w:rPr>
            </w:pPr>
            <w:r>
              <w:rPr>
                <w:rFonts w:cs="Arial"/>
                <w:b/>
                <w:sz w:val="16"/>
                <w:szCs w:val="16"/>
              </w:rPr>
              <w:t>18</w:t>
            </w:r>
          </w:p>
        </w:tc>
        <w:tc>
          <w:tcPr>
            <w:tcW w:w="769" w:type="dxa"/>
            <w:gridSpan w:val="2"/>
            <w:tcBorders>
              <w:left w:val="single" w:sz="12" w:space="0" w:color="auto"/>
            </w:tcBorders>
            <w:shd w:val="clear" w:color="auto" w:fill="auto"/>
            <w:vAlign w:val="center"/>
          </w:tcPr>
          <w:p w:rsidR="00CE4EEF" w:rsidRPr="004E3A4E" w:rsidRDefault="00CE4EEF" w:rsidP="00F343E9">
            <w:pPr>
              <w:rPr>
                <w:rFonts w:cs="Arial"/>
                <w:b/>
                <w:sz w:val="16"/>
                <w:szCs w:val="16"/>
              </w:rPr>
            </w:pPr>
            <w:r>
              <w:rPr>
                <w:rFonts w:cs="Arial"/>
                <w:b/>
                <w:sz w:val="16"/>
                <w:szCs w:val="16"/>
              </w:rPr>
              <w:t>24</w:t>
            </w:r>
          </w:p>
        </w:tc>
        <w:tc>
          <w:tcPr>
            <w:tcW w:w="770" w:type="dxa"/>
            <w:shd w:val="clear" w:color="auto" w:fill="auto"/>
            <w:vAlign w:val="center"/>
          </w:tcPr>
          <w:p w:rsidR="00CE4EEF" w:rsidRPr="004E3A4E" w:rsidRDefault="00CE4EEF" w:rsidP="00F343E9">
            <w:pPr>
              <w:rPr>
                <w:rFonts w:cs="Arial"/>
                <w:b/>
                <w:sz w:val="16"/>
                <w:szCs w:val="16"/>
              </w:rPr>
            </w:pPr>
            <w:r>
              <w:rPr>
                <w:rFonts w:cs="Arial"/>
                <w:b/>
                <w:sz w:val="16"/>
                <w:szCs w:val="16"/>
              </w:rPr>
              <w:t>24</w:t>
            </w:r>
          </w:p>
        </w:tc>
        <w:tc>
          <w:tcPr>
            <w:tcW w:w="769" w:type="dxa"/>
            <w:shd w:val="clear" w:color="auto" w:fill="auto"/>
            <w:vAlign w:val="center"/>
          </w:tcPr>
          <w:p w:rsidR="00CE4EEF" w:rsidRPr="004E3A4E" w:rsidRDefault="00CE4EEF" w:rsidP="00F343E9">
            <w:pPr>
              <w:rPr>
                <w:rFonts w:cs="Arial"/>
                <w:b/>
                <w:sz w:val="16"/>
                <w:szCs w:val="16"/>
              </w:rPr>
            </w:pPr>
            <w:r>
              <w:rPr>
                <w:rFonts w:cs="Arial"/>
                <w:b/>
                <w:sz w:val="16"/>
                <w:szCs w:val="16"/>
              </w:rPr>
              <w:t>24</w:t>
            </w:r>
          </w:p>
        </w:tc>
        <w:tc>
          <w:tcPr>
            <w:tcW w:w="770" w:type="dxa"/>
            <w:shd w:val="clear" w:color="auto" w:fill="auto"/>
            <w:vAlign w:val="center"/>
          </w:tcPr>
          <w:p w:rsidR="00CE4EEF" w:rsidRPr="004E3A4E" w:rsidRDefault="00CE4EEF" w:rsidP="00F343E9">
            <w:pPr>
              <w:rPr>
                <w:rFonts w:cs="Arial"/>
                <w:b/>
                <w:sz w:val="16"/>
                <w:szCs w:val="16"/>
              </w:rPr>
            </w:pPr>
            <w:r>
              <w:rPr>
                <w:rFonts w:cs="Arial"/>
                <w:b/>
                <w:sz w:val="16"/>
                <w:szCs w:val="16"/>
              </w:rPr>
              <w:t>20</w:t>
            </w:r>
          </w:p>
        </w:tc>
      </w:tr>
      <w:tr w:rsidR="00CE4EEF" w:rsidTr="00F343E9">
        <w:trPr>
          <w:cantSplit/>
          <w:trHeight w:hRule="exact" w:val="360"/>
          <w:jc w:val="center"/>
        </w:trPr>
        <w:tc>
          <w:tcPr>
            <w:tcW w:w="10947" w:type="dxa"/>
            <w:gridSpan w:val="15"/>
            <w:vAlign w:val="center"/>
          </w:tcPr>
          <w:p w:rsidR="00CE4EEF" w:rsidRDefault="004D603A" w:rsidP="00F343E9">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CE4EEF" w:rsidRDefault="00CE4EEF" w:rsidP="00546D75">
      <w:pPr>
        <w:sectPr w:rsidR="00CE4EEF"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546D75" w:rsidRDefault="00546D75" w:rsidP="00546D75"/>
    <w:p w:rsidR="00546D75" w:rsidRDefault="00546D75">
      <w:pPr>
        <w:spacing w:before="0" w:after="0" w:line="240" w:lineRule="auto"/>
      </w:pPr>
      <w:r>
        <w:br w:type="page"/>
      </w:r>
    </w:p>
    <w:p w:rsidR="0062513B" w:rsidRDefault="0062513B" w:rsidP="00861A9D">
      <w:pPr>
        <w:pStyle w:val="AnnexTable"/>
        <w:tabs>
          <w:tab w:val="clear" w:pos="2687"/>
          <w:tab w:val="num" w:pos="1440"/>
        </w:tabs>
        <w:ind w:left="1440" w:hanging="1440"/>
      </w:pPr>
      <w:bookmarkStart w:id="367" w:name="_Ref395829935"/>
      <w:bookmarkStart w:id="368" w:name="_Toc408908670"/>
      <w:r w:rsidRPr="0062513B">
        <w:t>Existence of statutory provision on the child's right to be heard, disaggregated by type of proceeding</w:t>
      </w:r>
      <w:r>
        <w:t xml:space="preserve"> (CivAdm127)</w:t>
      </w:r>
      <w:bookmarkEnd w:id="367"/>
      <w:bookmarkEnd w:id="368"/>
      <w:r>
        <w:t xml:space="preserve"> </w:t>
      </w:r>
    </w:p>
    <w:p w:rsidR="00A1222C" w:rsidRDefault="00A1222C" w:rsidP="00F343E9">
      <w:pPr>
        <w:pStyle w:val="TableTitle"/>
        <w:sectPr w:rsidR="00A1222C" w:rsidSect="002C3D52">
          <w:type w:val="continuous"/>
          <w:pgSz w:w="11907" w:h="16840" w:code="9"/>
          <w:pgMar w:top="1276" w:right="1418" w:bottom="851" w:left="1418" w:header="680" w:footer="567" w:gutter="0"/>
          <w:cols w:space="708"/>
          <w:docGrid w:linePitch="360"/>
        </w:sectPr>
      </w:pPr>
    </w:p>
    <w:tbl>
      <w:tblPr>
        <w:tblStyle w:val="Tabellenraster1"/>
        <w:tblW w:w="10947" w:type="dxa"/>
        <w:jc w:val="center"/>
        <w:tblLayout w:type="fixed"/>
        <w:tblLook w:val="04A0" w:firstRow="1" w:lastRow="0" w:firstColumn="1" w:lastColumn="0" w:noHBand="0" w:noVBand="1"/>
      </w:tblPr>
      <w:tblGrid>
        <w:gridCol w:w="961"/>
        <w:gridCol w:w="649"/>
        <w:gridCol w:w="777"/>
        <w:gridCol w:w="777"/>
        <w:gridCol w:w="777"/>
        <w:gridCol w:w="778"/>
        <w:gridCol w:w="778"/>
        <w:gridCol w:w="778"/>
        <w:gridCol w:w="778"/>
        <w:gridCol w:w="777"/>
        <w:gridCol w:w="778"/>
        <w:gridCol w:w="778"/>
        <w:gridCol w:w="778"/>
        <w:gridCol w:w="783"/>
      </w:tblGrid>
      <w:tr w:rsidR="00A1222C" w:rsidRPr="00593387" w:rsidTr="00F343E9">
        <w:trPr>
          <w:trHeight w:val="350"/>
          <w:tblHeader/>
          <w:jc w:val="center"/>
        </w:trPr>
        <w:tc>
          <w:tcPr>
            <w:tcW w:w="961" w:type="dxa"/>
            <w:tcBorders>
              <w:right w:val="single" w:sz="12" w:space="0" w:color="auto"/>
            </w:tcBorders>
          </w:tcPr>
          <w:p w:rsidR="00A1222C" w:rsidRDefault="00A1222C" w:rsidP="00F343E9">
            <w:pPr>
              <w:pStyle w:val="TableTitle"/>
            </w:pPr>
            <w:r>
              <w:t>MS</w:t>
            </w:r>
          </w:p>
        </w:tc>
        <w:tc>
          <w:tcPr>
            <w:tcW w:w="6869" w:type="dxa"/>
            <w:gridSpan w:val="9"/>
            <w:tcBorders>
              <w:left w:val="single" w:sz="12" w:space="0" w:color="auto"/>
              <w:right w:val="single" w:sz="12" w:space="0" w:color="auto"/>
            </w:tcBorders>
          </w:tcPr>
          <w:p w:rsidR="00A1222C" w:rsidRDefault="00A1222C" w:rsidP="00F343E9">
            <w:pPr>
              <w:pStyle w:val="TableTitle"/>
            </w:pPr>
            <w:r>
              <w:t>Areas of law</w:t>
            </w:r>
          </w:p>
        </w:tc>
        <w:tc>
          <w:tcPr>
            <w:tcW w:w="3117" w:type="dxa"/>
            <w:gridSpan w:val="4"/>
            <w:tcBorders>
              <w:left w:val="single" w:sz="12" w:space="0" w:color="auto"/>
            </w:tcBorders>
          </w:tcPr>
          <w:p w:rsidR="00A1222C" w:rsidRDefault="00A1222C" w:rsidP="00F343E9">
            <w:pPr>
              <w:pStyle w:val="TableTitle"/>
            </w:pPr>
            <w:r>
              <w:t>Roles of the child</w:t>
            </w:r>
          </w:p>
        </w:tc>
      </w:tr>
      <w:tr w:rsidR="00A1222C" w:rsidTr="00861A9D">
        <w:trPr>
          <w:cantSplit/>
          <w:trHeight w:val="1009"/>
          <w:tblHeader/>
          <w:jc w:val="center"/>
        </w:trPr>
        <w:tc>
          <w:tcPr>
            <w:tcW w:w="961" w:type="dxa"/>
            <w:tcBorders>
              <w:right w:val="single" w:sz="12" w:space="0" w:color="auto"/>
            </w:tcBorders>
            <w:shd w:val="clear" w:color="auto" w:fill="DBE5F1" w:themeFill="accent1" w:themeFillTint="33"/>
          </w:tcPr>
          <w:p w:rsidR="00A1222C" w:rsidRPr="00E217F3" w:rsidRDefault="00A1222C" w:rsidP="00F343E9">
            <w:pPr>
              <w:rPr>
                <w:b/>
              </w:rPr>
            </w:pPr>
          </w:p>
        </w:tc>
        <w:tc>
          <w:tcPr>
            <w:tcW w:w="649" w:type="dxa"/>
            <w:tcBorders>
              <w:left w:val="single" w:sz="12" w:space="0" w:color="auto"/>
            </w:tcBorders>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Family</w:t>
            </w:r>
          </w:p>
        </w:tc>
        <w:tc>
          <w:tcPr>
            <w:tcW w:w="777"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Employment</w:t>
            </w:r>
          </w:p>
        </w:tc>
        <w:tc>
          <w:tcPr>
            <w:tcW w:w="777"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Asylum</w:t>
            </w:r>
          </w:p>
        </w:tc>
        <w:tc>
          <w:tcPr>
            <w:tcW w:w="777"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Migration</w:t>
            </w:r>
          </w:p>
        </w:tc>
        <w:tc>
          <w:tcPr>
            <w:tcW w:w="778"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Education</w:t>
            </w:r>
          </w:p>
        </w:tc>
        <w:tc>
          <w:tcPr>
            <w:tcW w:w="778"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Health</w:t>
            </w:r>
          </w:p>
        </w:tc>
        <w:tc>
          <w:tcPr>
            <w:tcW w:w="778"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Placement</w:t>
            </w:r>
          </w:p>
        </w:tc>
        <w:tc>
          <w:tcPr>
            <w:tcW w:w="778"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Admin Sanctions</w:t>
            </w:r>
          </w:p>
        </w:tc>
        <w:tc>
          <w:tcPr>
            <w:tcW w:w="777" w:type="dxa"/>
            <w:tcBorders>
              <w:right w:val="single" w:sz="12" w:space="0" w:color="auto"/>
            </w:tcBorders>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Offences &lt;MACR</w:t>
            </w:r>
          </w:p>
        </w:tc>
        <w:tc>
          <w:tcPr>
            <w:tcW w:w="778" w:type="dxa"/>
            <w:tcBorders>
              <w:left w:val="single" w:sz="12" w:space="0" w:color="auto"/>
            </w:tcBorders>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Witnesses</w:t>
            </w:r>
          </w:p>
        </w:tc>
        <w:tc>
          <w:tcPr>
            <w:tcW w:w="778"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Plaintiffs</w:t>
            </w:r>
          </w:p>
        </w:tc>
        <w:tc>
          <w:tcPr>
            <w:tcW w:w="778"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Defendants</w:t>
            </w:r>
          </w:p>
        </w:tc>
        <w:tc>
          <w:tcPr>
            <w:tcW w:w="783" w:type="dxa"/>
            <w:shd w:val="clear" w:color="auto" w:fill="DBE5F1" w:themeFill="accent1" w:themeFillTint="33"/>
            <w:textDirection w:val="btLr"/>
          </w:tcPr>
          <w:p w:rsidR="00A1222C" w:rsidRPr="00A1222C" w:rsidRDefault="00A1222C" w:rsidP="00F343E9">
            <w:pPr>
              <w:ind w:left="113" w:right="113"/>
              <w:rPr>
                <w:b/>
                <w:sz w:val="12"/>
                <w:szCs w:val="12"/>
              </w:rPr>
            </w:pPr>
            <w:r w:rsidRPr="00A1222C">
              <w:rPr>
                <w:b/>
                <w:sz w:val="12"/>
                <w:szCs w:val="12"/>
              </w:rPr>
              <w:t>Subjects</w:t>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AT</w:t>
            </w:r>
          </w:p>
        </w:tc>
        <w:tc>
          <w:tcPr>
            <w:tcW w:w="649" w:type="dxa"/>
            <w:tcBorders>
              <w:left w:val="single" w:sz="12" w:space="0" w:color="auto"/>
            </w:tcBorders>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7" w:type="dxa"/>
            <w:tcBorders>
              <w:right w:val="single" w:sz="12" w:space="0" w:color="auto"/>
            </w:tcBorders>
            <w:vAlign w:val="center"/>
          </w:tcPr>
          <w:p w:rsidR="00A1222C" w:rsidRDefault="00A1222C" w:rsidP="00F343E9">
            <w:r w:rsidRPr="007217EE">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sidRPr="007045F3">
              <w:rPr>
                <w:rFonts w:cs="Arial"/>
                <w:sz w:val="18"/>
                <w:szCs w:val="18"/>
              </w:rPr>
              <w:t>√</w:t>
            </w:r>
          </w:p>
        </w:tc>
        <w:tc>
          <w:tcPr>
            <w:tcW w:w="778" w:type="dxa"/>
            <w:vAlign w:val="center"/>
          </w:tcPr>
          <w:p w:rsidR="00A1222C" w:rsidRDefault="00A1222C" w:rsidP="00F343E9">
            <w:r w:rsidRPr="007045F3">
              <w:rPr>
                <w:rFonts w:cs="Arial"/>
                <w:sz w:val="18"/>
                <w:szCs w:val="18"/>
              </w:rPr>
              <w:t>√</w:t>
            </w:r>
          </w:p>
        </w:tc>
        <w:tc>
          <w:tcPr>
            <w:tcW w:w="783" w:type="dxa"/>
            <w:vAlign w:val="center"/>
          </w:tcPr>
          <w:p w:rsidR="00A1222C" w:rsidRDefault="00A1222C" w:rsidP="00F343E9">
            <w:r>
              <w:rPr>
                <w:rFonts w:cs="Arial"/>
                <w:sz w:val="18"/>
                <w:szCs w:val="18"/>
              </w:rPr>
              <w:t>√</w:t>
            </w:r>
            <w:r>
              <w:rPr>
                <w:rStyle w:val="EndnoteReference"/>
              </w:rPr>
              <w:endnoteReference w:id="165"/>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BE</w:t>
            </w:r>
          </w:p>
        </w:tc>
        <w:tc>
          <w:tcPr>
            <w:tcW w:w="649" w:type="dxa"/>
            <w:tcBorders>
              <w:left w:val="single" w:sz="12" w:space="0" w:color="auto"/>
            </w:tcBorders>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7" w:type="dxa"/>
            <w:tcBorders>
              <w:right w:val="single" w:sz="12" w:space="0" w:color="auto"/>
            </w:tcBorders>
            <w:vAlign w:val="center"/>
          </w:tcPr>
          <w:p w:rsidR="00A1222C" w:rsidRDefault="00A1222C" w:rsidP="00F343E9">
            <w:r w:rsidRPr="007217EE">
              <w:rPr>
                <w:rFonts w:cs="Arial"/>
                <w:sz w:val="18"/>
                <w:szCs w:val="18"/>
              </w:rPr>
              <w:t>√</w:t>
            </w:r>
          </w:p>
        </w:tc>
        <w:tc>
          <w:tcPr>
            <w:tcW w:w="778" w:type="dxa"/>
            <w:tcBorders>
              <w:left w:val="single" w:sz="12" w:space="0" w:color="auto"/>
            </w:tcBorders>
            <w:vAlign w:val="center"/>
          </w:tcPr>
          <w:p w:rsidR="00A1222C" w:rsidRDefault="00A1222C" w:rsidP="00F343E9">
            <w:r w:rsidRPr="00471566">
              <w:rPr>
                <w:rFonts w:cs="Arial"/>
                <w:sz w:val="18"/>
                <w:szCs w:val="18"/>
              </w:rPr>
              <w:t>√</w:t>
            </w:r>
          </w:p>
        </w:tc>
        <w:tc>
          <w:tcPr>
            <w:tcW w:w="778" w:type="dxa"/>
            <w:vAlign w:val="center"/>
          </w:tcPr>
          <w:p w:rsidR="00A1222C" w:rsidRDefault="00A1222C" w:rsidP="00F343E9">
            <w:r w:rsidRPr="00471566">
              <w:rPr>
                <w:rFonts w:cs="Arial"/>
                <w:sz w:val="18"/>
                <w:szCs w:val="18"/>
              </w:rPr>
              <w:t>√</w:t>
            </w:r>
          </w:p>
        </w:tc>
        <w:tc>
          <w:tcPr>
            <w:tcW w:w="778" w:type="dxa"/>
            <w:vAlign w:val="center"/>
          </w:tcPr>
          <w:p w:rsidR="00A1222C" w:rsidRDefault="00A1222C" w:rsidP="00F343E9">
            <w:r w:rsidRPr="00471566">
              <w:rPr>
                <w:rFonts w:cs="Arial"/>
                <w:sz w:val="18"/>
                <w:szCs w:val="18"/>
              </w:rPr>
              <w:t>√</w:t>
            </w:r>
          </w:p>
        </w:tc>
        <w:tc>
          <w:tcPr>
            <w:tcW w:w="783" w:type="dxa"/>
            <w:vAlign w:val="center"/>
          </w:tcPr>
          <w:p w:rsidR="00A1222C" w:rsidRDefault="00A1222C" w:rsidP="00E607FB">
            <w:r>
              <w:rPr>
                <w:rFonts w:cs="Arial"/>
                <w:sz w:val="18"/>
                <w:szCs w:val="18"/>
              </w:rPr>
              <w:t>√</w:t>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BG</w:t>
            </w:r>
          </w:p>
        </w:tc>
        <w:tc>
          <w:tcPr>
            <w:tcW w:w="649" w:type="dxa"/>
            <w:tcBorders>
              <w:left w:val="single" w:sz="12" w:space="0" w:color="auto"/>
            </w:tcBorders>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7"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8" w:type="dxa"/>
            <w:vAlign w:val="center"/>
          </w:tcPr>
          <w:p w:rsidR="00A1222C" w:rsidRDefault="00A1222C" w:rsidP="00F343E9">
            <w:r w:rsidRPr="007217EE">
              <w:rPr>
                <w:rFonts w:cs="Arial"/>
                <w:sz w:val="18"/>
                <w:szCs w:val="18"/>
              </w:rPr>
              <w:t>√</w:t>
            </w:r>
          </w:p>
        </w:tc>
        <w:tc>
          <w:tcPr>
            <w:tcW w:w="777" w:type="dxa"/>
            <w:tcBorders>
              <w:right w:val="single" w:sz="12" w:space="0" w:color="auto"/>
            </w:tcBorders>
            <w:vAlign w:val="center"/>
          </w:tcPr>
          <w:p w:rsidR="00A1222C" w:rsidRDefault="00A1222C" w:rsidP="00F343E9">
            <w:r w:rsidRPr="007217EE">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sidRPr="00625FCE">
              <w:rPr>
                <w:rFonts w:cs="Arial"/>
                <w:sz w:val="18"/>
                <w:szCs w:val="18"/>
              </w:rPr>
              <w:t>√</w:t>
            </w:r>
          </w:p>
        </w:tc>
        <w:tc>
          <w:tcPr>
            <w:tcW w:w="778" w:type="dxa"/>
            <w:vAlign w:val="center"/>
          </w:tcPr>
          <w:p w:rsidR="00A1222C" w:rsidRDefault="00A1222C" w:rsidP="00F343E9">
            <w:r w:rsidRPr="00625FCE">
              <w:rPr>
                <w:rFonts w:cs="Arial"/>
                <w:sz w:val="18"/>
                <w:szCs w:val="18"/>
              </w:rPr>
              <w:t>√</w:t>
            </w:r>
          </w:p>
        </w:tc>
        <w:tc>
          <w:tcPr>
            <w:tcW w:w="783" w:type="dxa"/>
            <w:vAlign w:val="center"/>
          </w:tcPr>
          <w:p w:rsidR="00A1222C" w:rsidRDefault="00A1222C" w:rsidP="00F343E9">
            <w:r>
              <w:rPr>
                <w:rFonts w:cs="Arial"/>
                <w:sz w:val="18"/>
                <w:szCs w:val="18"/>
              </w:rPr>
              <w:t>√</w:t>
            </w:r>
            <w:r>
              <w:rPr>
                <w:rStyle w:val="EndnoteReference"/>
              </w:rPr>
              <w:endnoteReference w:id="166"/>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CY</w:t>
            </w:r>
          </w:p>
        </w:tc>
        <w:tc>
          <w:tcPr>
            <w:tcW w:w="649" w:type="dxa"/>
            <w:tcBorders>
              <w:left w:val="single" w:sz="12" w:space="0" w:color="auto"/>
            </w:tcBorders>
            <w:vAlign w:val="center"/>
          </w:tcPr>
          <w:p w:rsidR="00A1222C" w:rsidRDefault="00A1222C" w:rsidP="00F343E9">
            <w:r w:rsidRPr="006D41CC">
              <w:rPr>
                <w:rFonts w:cs="Arial"/>
                <w:sz w:val="18"/>
                <w:szCs w:val="18"/>
              </w:rPr>
              <w:t>√</w:t>
            </w:r>
          </w:p>
        </w:tc>
        <w:tc>
          <w:tcPr>
            <w:tcW w:w="777" w:type="dxa"/>
            <w:vAlign w:val="center"/>
          </w:tcPr>
          <w:p w:rsidR="00A1222C" w:rsidRDefault="00A1222C" w:rsidP="00F343E9">
            <w:r w:rsidRPr="006D41CC">
              <w:rPr>
                <w:rFonts w:cs="Arial"/>
                <w:sz w:val="18"/>
                <w:szCs w:val="18"/>
              </w:rPr>
              <w:t>√</w:t>
            </w:r>
          </w:p>
        </w:tc>
        <w:tc>
          <w:tcPr>
            <w:tcW w:w="777" w:type="dxa"/>
            <w:vAlign w:val="center"/>
          </w:tcPr>
          <w:p w:rsidR="00A1222C" w:rsidRDefault="00A1222C" w:rsidP="00F343E9">
            <w:r w:rsidRPr="006D41CC">
              <w:rPr>
                <w:rFonts w:cs="Arial"/>
                <w:sz w:val="18"/>
                <w:szCs w:val="18"/>
              </w:rPr>
              <w:t>√</w:t>
            </w:r>
          </w:p>
        </w:tc>
        <w:tc>
          <w:tcPr>
            <w:tcW w:w="777" w:type="dxa"/>
            <w:vAlign w:val="center"/>
          </w:tcPr>
          <w:p w:rsidR="00A1222C" w:rsidRDefault="00A1222C" w:rsidP="00F343E9">
            <w:r w:rsidRPr="006D41CC">
              <w:rPr>
                <w:rFonts w:cs="Arial"/>
                <w:sz w:val="18"/>
                <w:szCs w:val="18"/>
              </w:rPr>
              <w:t>√</w:t>
            </w:r>
          </w:p>
        </w:tc>
        <w:tc>
          <w:tcPr>
            <w:tcW w:w="778" w:type="dxa"/>
            <w:vAlign w:val="center"/>
          </w:tcPr>
          <w:p w:rsidR="00A1222C" w:rsidRDefault="00A1222C" w:rsidP="00F343E9">
            <w:r w:rsidRPr="006D41CC">
              <w:rPr>
                <w:rFonts w:cs="Arial"/>
                <w:sz w:val="18"/>
                <w:szCs w:val="18"/>
              </w:rPr>
              <w:t>√</w:t>
            </w:r>
          </w:p>
        </w:tc>
        <w:tc>
          <w:tcPr>
            <w:tcW w:w="778" w:type="dxa"/>
            <w:vAlign w:val="center"/>
          </w:tcPr>
          <w:p w:rsidR="00A1222C" w:rsidRDefault="00A1222C" w:rsidP="00F343E9">
            <w:r w:rsidRPr="006D41CC">
              <w:rPr>
                <w:rFonts w:cs="Arial"/>
                <w:sz w:val="18"/>
                <w:szCs w:val="18"/>
              </w:rPr>
              <w:t>√</w:t>
            </w:r>
          </w:p>
        </w:tc>
        <w:tc>
          <w:tcPr>
            <w:tcW w:w="778" w:type="dxa"/>
            <w:vAlign w:val="center"/>
          </w:tcPr>
          <w:p w:rsidR="00A1222C" w:rsidRDefault="00A1222C" w:rsidP="00F343E9">
            <w:r w:rsidRPr="006D41CC">
              <w:rPr>
                <w:rFonts w:cs="Arial"/>
                <w:sz w:val="18"/>
                <w:szCs w:val="18"/>
              </w:rPr>
              <w:t>√</w:t>
            </w:r>
          </w:p>
        </w:tc>
        <w:tc>
          <w:tcPr>
            <w:tcW w:w="778" w:type="dxa"/>
            <w:vAlign w:val="center"/>
          </w:tcPr>
          <w:p w:rsidR="00A1222C" w:rsidRDefault="00A1222C" w:rsidP="00F343E9">
            <w:r w:rsidRPr="006D41CC">
              <w:rPr>
                <w:rFonts w:cs="Arial"/>
                <w:sz w:val="18"/>
                <w:szCs w:val="18"/>
              </w:rPr>
              <w:t>√</w:t>
            </w: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vAlign w:val="center"/>
          </w:tcPr>
          <w:p w:rsidR="00A1222C" w:rsidRDefault="00A1222C" w:rsidP="00F343E9">
            <w:r w:rsidRPr="0058345C">
              <w:rPr>
                <w:rFonts w:cs="Arial"/>
                <w:sz w:val="18"/>
                <w:szCs w:val="18"/>
              </w:rPr>
              <w:t>√</w:t>
            </w:r>
          </w:p>
        </w:tc>
        <w:tc>
          <w:tcPr>
            <w:tcW w:w="778" w:type="dxa"/>
            <w:vAlign w:val="center"/>
          </w:tcPr>
          <w:p w:rsidR="00A1222C" w:rsidRDefault="00A1222C" w:rsidP="00F343E9">
            <w:r w:rsidRPr="0058345C">
              <w:rPr>
                <w:rFonts w:cs="Arial"/>
                <w:sz w:val="18"/>
                <w:szCs w:val="18"/>
              </w:rPr>
              <w:t>√</w:t>
            </w:r>
          </w:p>
        </w:tc>
        <w:tc>
          <w:tcPr>
            <w:tcW w:w="778" w:type="dxa"/>
            <w:vAlign w:val="center"/>
          </w:tcPr>
          <w:p w:rsidR="00A1222C" w:rsidRDefault="00A1222C" w:rsidP="00F343E9">
            <w:r w:rsidRPr="0058345C">
              <w:rPr>
                <w:rFonts w:cs="Arial"/>
                <w:sz w:val="18"/>
                <w:szCs w:val="18"/>
              </w:rPr>
              <w:t>√</w:t>
            </w:r>
          </w:p>
        </w:tc>
        <w:tc>
          <w:tcPr>
            <w:tcW w:w="783" w:type="dxa"/>
            <w:vAlign w:val="center"/>
          </w:tcPr>
          <w:p w:rsidR="00A1222C" w:rsidRDefault="00A1222C" w:rsidP="00F343E9">
            <w:r w:rsidRPr="0058345C">
              <w:rPr>
                <w:rFonts w:cs="Arial"/>
                <w:sz w:val="18"/>
                <w:szCs w:val="18"/>
              </w:rPr>
              <w:t>√</w:t>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CZ</w:t>
            </w:r>
          </w:p>
        </w:tc>
        <w:tc>
          <w:tcPr>
            <w:tcW w:w="649" w:type="dxa"/>
            <w:tcBorders>
              <w:left w:val="single" w:sz="12" w:space="0" w:color="auto"/>
            </w:tcBorders>
            <w:vAlign w:val="center"/>
          </w:tcPr>
          <w:p w:rsidR="00A1222C" w:rsidRDefault="00A1222C" w:rsidP="00F343E9">
            <w:r w:rsidRPr="00A65F25">
              <w:rPr>
                <w:rFonts w:cs="Arial"/>
                <w:sz w:val="18"/>
                <w:szCs w:val="18"/>
              </w:rPr>
              <w:t>√</w:t>
            </w:r>
          </w:p>
        </w:tc>
        <w:tc>
          <w:tcPr>
            <w:tcW w:w="777" w:type="dxa"/>
            <w:vAlign w:val="center"/>
          </w:tcPr>
          <w:p w:rsidR="00A1222C" w:rsidRDefault="00A1222C" w:rsidP="00F343E9">
            <w:r w:rsidRPr="00A65F25">
              <w:rPr>
                <w:rFonts w:cs="Arial"/>
                <w:sz w:val="18"/>
                <w:szCs w:val="18"/>
              </w:rPr>
              <w:t>√</w:t>
            </w:r>
          </w:p>
        </w:tc>
        <w:tc>
          <w:tcPr>
            <w:tcW w:w="777" w:type="dxa"/>
            <w:vAlign w:val="center"/>
          </w:tcPr>
          <w:p w:rsidR="00A1222C" w:rsidRDefault="00A1222C" w:rsidP="00F343E9">
            <w:r w:rsidRPr="00A65F25">
              <w:rPr>
                <w:rFonts w:cs="Arial"/>
                <w:sz w:val="18"/>
                <w:szCs w:val="18"/>
              </w:rPr>
              <w:t>√</w:t>
            </w:r>
          </w:p>
        </w:tc>
        <w:tc>
          <w:tcPr>
            <w:tcW w:w="777" w:type="dxa"/>
            <w:vAlign w:val="center"/>
          </w:tcPr>
          <w:p w:rsidR="00A1222C" w:rsidRDefault="00A1222C" w:rsidP="00F343E9">
            <w:r w:rsidRPr="00A65F25">
              <w:rPr>
                <w:rFonts w:cs="Arial"/>
                <w:sz w:val="18"/>
                <w:szCs w:val="18"/>
              </w:rPr>
              <w:t>√</w:t>
            </w:r>
          </w:p>
        </w:tc>
        <w:tc>
          <w:tcPr>
            <w:tcW w:w="778" w:type="dxa"/>
            <w:vAlign w:val="center"/>
          </w:tcPr>
          <w:p w:rsidR="00A1222C" w:rsidRDefault="00A1222C" w:rsidP="00F343E9">
            <w:r w:rsidRPr="00A65F25">
              <w:rPr>
                <w:rFonts w:cs="Arial"/>
                <w:sz w:val="18"/>
                <w:szCs w:val="18"/>
              </w:rPr>
              <w:t>√</w:t>
            </w:r>
          </w:p>
        </w:tc>
        <w:tc>
          <w:tcPr>
            <w:tcW w:w="778" w:type="dxa"/>
            <w:vAlign w:val="center"/>
          </w:tcPr>
          <w:p w:rsidR="00A1222C" w:rsidRDefault="00A1222C" w:rsidP="00F343E9">
            <w:r w:rsidRPr="00A65F25">
              <w:rPr>
                <w:rFonts w:cs="Arial"/>
                <w:sz w:val="18"/>
                <w:szCs w:val="18"/>
              </w:rPr>
              <w:t>√</w:t>
            </w:r>
          </w:p>
        </w:tc>
        <w:tc>
          <w:tcPr>
            <w:tcW w:w="778" w:type="dxa"/>
            <w:vAlign w:val="center"/>
          </w:tcPr>
          <w:p w:rsidR="00A1222C" w:rsidRDefault="00A1222C" w:rsidP="00F343E9">
            <w:r w:rsidRPr="00A65F25">
              <w:rPr>
                <w:rFonts w:cs="Arial"/>
                <w:sz w:val="18"/>
                <w:szCs w:val="18"/>
              </w:rPr>
              <w:t>√</w:t>
            </w:r>
          </w:p>
        </w:tc>
        <w:tc>
          <w:tcPr>
            <w:tcW w:w="778" w:type="dxa"/>
            <w:vAlign w:val="center"/>
          </w:tcPr>
          <w:p w:rsidR="00A1222C" w:rsidRDefault="00A1222C" w:rsidP="00F343E9">
            <w:r w:rsidRPr="00A65F25">
              <w:rPr>
                <w:rFonts w:cs="Arial"/>
                <w:sz w:val="18"/>
                <w:szCs w:val="18"/>
              </w:rPr>
              <w:t>√</w:t>
            </w:r>
          </w:p>
        </w:tc>
        <w:tc>
          <w:tcPr>
            <w:tcW w:w="777" w:type="dxa"/>
            <w:tcBorders>
              <w:right w:val="single" w:sz="12" w:space="0" w:color="auto"/>
            </w:tcBorders>
            <w:vAlign w:val="center"/>
          </w:tcPr>
          <w:p w:rsidR="00A1222C" w:rsidRDefault="00A1222C" w:rsidP="00F343E9">
            <w:r w:rsidRPr="00A65F25">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sidRPr="009A3E2C">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67"/>
            </w:r>
          </w:p>
        </w:tc>
        <w:tc>
          <w:tcPr>
            <w:tcW w:w="783" w:type="dxa"/>
            <w:vAlign w:val="center"/>
          </w:tcPr>
          <w:p w:rsidR="00A1222C" w:rsidRDefault="00A1222C" w:rsidP="00F343E9">
            <w:r>
              <w:rPr>
                <w:rFonts w:cs="Arial"/>
                <w:sz w:val="18"/>
                <w:szCs w:val="18"/>
              </w:rPr>
              <w:t>√</w:t>
            </w:r>
            <w:r>
              <w:rPr>
                <w:rStyle w:val="EndnoteReference"/>
              </w:rPr>
              <w:endnoteReference w:id="168"/>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DE</w:t>
            </w:r>
          </w:p>
        </w:tc>
        <w:tc>
          <w:tcPr>
            <w:tcW w:w="649" w:type="dxa"/>
            <w:tcBorders>
              <w:left w:val="single" w:sz="12" w:space="0" w:color="auto"/>
            </w:tcBorders>
            <w:vAlign w:val="center"/>
          </w:tcPr>
          <w:p w:rsidR="00A1222C" w:rsidRDefault="00A1222C" w:rsidP="00F343E9">
            <w:r w:rsidRPr="009F4776">
              <w:rPr>
                <w:rFonts w:cs="Arial"/>
                <w:sz w:val="18"/>
                <w:szCs w:val="18"/>
              </w:rPr>
              <w:t>√</w:t>
            </w:r>
          </w:p>
        </w:tc>
        <w:tc>
          <w:tcPr>
            <w:tcW w:w="777" w:type="dxa"/>
            <w:vAlign w:val="center"/>
          </w:tcPr>
          <w:p w:rsidR="00A1222C" w:rsidRDefault="00A1222C" w:rsidP="00F343E9">
            <w:r w:rsidRPr="009F4776">
              <w:rPr>
                <w:rFonts w:cs="Arial"/>
                <w:sz w:val="18"/>
                <w:szCs w:val="18"/>
              </w:rPr>
              <w:t>√</w:t>
            </w:r>
          </w:p>
        </w:tc>
        <w:tc>
          <w:tcPr>
            <w:tcW w:w="777" w:type="dxa"/>
            <w:vAlign w:val="center"/>
          </w:tcPr>
          <w:p w:rsidR="00A1222C" w:rsidRDefault="00A1222C" w:rsidP="00F343E9">
            <w:r w:rsidRPr="009F4776">
              <w:rPr>
                <w:rFonts w:cs="Arial"/>
                <w:sz w:val="18"/>
                <w:szCs w:val="18"/>
              </w:rPr>
              <w:t>√</w:t>
            </w:r>
          </w:p>
        </w:tc>
        <w:tc>
          <w:tcPr>
            <w:tcW w:w="777"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7" w:type="dxa"/>
            <w:tcBorders>
              <w:right w:val="single" w:sz="12" w:space="0" w:color="auto"/>
            </w:tcBorders>
            <w:vAlign w:val="center"/>
          </w:tcPr>
          <w:p w:rsidR="00A1222C" w:rsidRDefault="00A1222C" w:rsidP="00F343E9">
            <w:r w:rsidRPr="009F4776">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sidRPr="000F7D32">
              <w:rPr>
                <w:rFonts w:cs="Arial"/>
                <w:sz w:val="18"/>
                <w:szCs w:val="18"/>
              </w:rPr>
              <w:t>√</w:t>
            </w:r>
          </w:p>
        </w:tc>
        <w:tc>
          <w:tcPr>
            <w:tcW w:w="778" w:type="dxa"/>
            <w:vAlign w:val="center"/>
          </w:tcPr>
          <w:p w:rsidR="00A1222C" w:rsidRDefault="00A1222C" w:rsidP="00F343E9">
            <w:r w:rsidRPr="000F7D32">
              <w:rPr>
                <w:rFonts w:cs="Arial"/>
                <w:sz w:val="18"/>
                <w:szCs w:val="18"/>
              </w:rPr>
              <w:t>√</w:t>
            </w:r>
          </w:p>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DK</w:t>
            </w:r>
          </w:p>
        </w:tc>
        <w:tc>
          <w:tcPr>
            <w:tcW w:w="649" w:type="dxa"/>
            <w:tcBorders>
              <w:left w:val="single" w:sz="12" w:space="0" w:color="auto"/>
            </w:tcBorders>
            <w:vAlign w:val="center"/>
          </w:tcPr>
          <w:p w:rsidR="00A1222C" w:rsidRDefault="00A1222C" w:rsidP="00F343E9">
            <w:r w:rsidRPr="009F4776">
              <w:rPr>
                <w:rFonts w:cs="Arial"/>
                <w:sz w:val="18"/>
                <w:szCs w:val="18"/>
              </w:rPr>
              <w:t>√</w:t>
            </w:r>
          </w:p>
        </w:tc>
        <w:tc>
          <w:tcPr>
            <w:tcW w:w="777" w:type="dxa"/>
            <w:vAlign w:val="center"/>
          </w:tcPr>
          <w:p w:rsidR="00A1222C" w:rsidRDefault="00A1222C" w:rsidP="00F343E9">
            <w:r w:rsidRPr="009F4776">
              <w:rPr>
                <w:rFonts w:cs="Arial"/>
                <w:sz w:val="18"/>
                <w:szCs w:val="18"/>
              </w:rPr>
              <w:t>√</w:t>
            </w:r>
          </w:p>
        </w:tc>
        <w:tc>
          <w:tcPr>
            <w:tcW w:w="777" w:type="dxa"/>
            <w:vAlign w:val="center"/>
          </w:tcPr>
          <w:p w:rsidR="00A1222C" w:rsidRDefault="00A1222C" w:rsidP="00F343E9">
            <w:r w:rsidRPr="009F4776">
              <w:rPr>
                <w:rFonts w:cs="Arial"/>
                <w:sz w:val="18"/>
                <w:szCs w:val="18"/>
              </w:rPr>
              <w:t>√</w:t>
            </w:r>
          </w:p>
        </w:tc>
        <w:tc>
          <w:tcPr>
            <w:tcW w:w="777"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8" w:type="dxa"/>
            <w:vAlign w:val="center"/>
          </w:tcPr>
          <w:p w:rsidR="00A1222C" w:rsidRDefault="00A1222C" w:rsidP="00F343E9">
            <w:r w:rsidRPr="009F4776">
              <w:rPr>
                <w:rFonts w:cs="Arial"/>
                <w:sz w:val="18"/>
                <w:szCs w:val="18"/>
              </w:rPr>
              <w:t>√</w:t>
            </w:r>
          </w:p>
        </w:tc>
        <w:tc>
          <w:tcPr>
            <w:tcW w:w="777" w:type="dxa"/>
            <w:tcBorders>
              <w:right w:val="single" w:sz="12" w:space="0" w:color="auto"/>
            </w:tcBorders>
            <w:vAlign w:val="center"/>
          </w:tcPr>
          <w:p w:rsidR="00A1222C" w:rsidRDefault="00A1222C" w:rsidP="00F343E9">
            <w:r w:rsidRPr="009F4776">
              <w:rPr>
                <w:rFonts w:cs="Arial"/>
                <w:sz w:val="18"/>
                <w:szCs w:val="18"/>
              </w:rPr>
              <w:t>√</w:t>
            </w:r>
          </w:p>
        </w:tc>
        <w:tc>
          <w:tcPr>
            <w:tcW w:w="778" w:type="dxa"/>
            <w:tcBorders>
              <w:left w:val="single" w:sz="12" w:space="0" w:color="auto"/>
            </w:tcBorders>
            <w:vAlign w:val="center"/>
          </w:tcPr>
          <w:p w:rsidR="00A1222C" w:rsidRDefault="00A1222C" w:rsidP="00F343E9">
            <w:r w:rsidRPr="0001058A">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69"/>
            </w:r>
          </w:p>
        </w:tc>
        <w:tc>
          <w:tcPr>
            <w:tcW w:w="778" w:type="dxa"/>
            <w:vAlign w:val="center"/>
          </w:tcPr>
          <w:p w:rsidR="00A1222C" w:rsidRDefault="00A1222C" w:rsidP="00F343E9">
            <w:r>
              <w:rPr>
                <w:rFonts w:cs="Arial"/>
                <w:sz w:val="18"/>
                <w:szCs w:val="18"/>
              </w:rPr>
              <w:t>√</w:t>
            </w:r>
            <w:r>
              <w:rPr>
                <w:rStyle w:val="EndnoteReference"/>
              </w:rPr>
              <w:endnoteReference w:id="170"/>
            </w:r>
          </w:p>
        </w:tc>
        <w:tc>
          <w:tcPr>
            <w:tcW w:w="783" w:type="dxa"/>
            <w:vAlign w:val="center"/>
          </w:tcPr>
          <w:p w:rsidR="00A1222C" w:rsidRDefault="00A1222C" w:rsidP="00F343E9">
            <w:r>
              <w:rPr>
                <w:rFonts w:cs="Arial"/>
                <w:sz w:val="18"/>
                <w:szCs w:val="18"/>
              </w:rPr>
              <w:t>√</w:t>
            </w:r>
            <w:r>
              <w:rPr>
                <w:rStyle w:val="EndnoteReference"/>
              </w:rPr>
              <w:endnoteReference w:id="171"/>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EE</w:t>
            </w:r>
          </w:p>
        </w:tc>
        <w:tc>
          <w:tcPr>
            <w:tcW w:w="649" w:type="dxa"/>
            <w:tcBorders>
              <w:left w:val="single" w:sz="12" w:space="0" w:color="auto"/>
            </w:tcBorders>
            <w:vAlign w:val="center"/>
          </w:tcPr>
          <w:p w:rsidR="00A1222C" w:rsidRDefault="00A1222C" w:rsidP="00F343E9">
            <w:r w:rsidRPr="00D77C6B">
              <w:rPr>
                <w:rFonts w:cs="Arial"/>
                <w:sz w:val="18"/>
                <w:szCs w:val="18"/>
              </w:rPr>
              <w:t>√</w:t>
            </w:r>
          </w:p>
        </w:tc>
        <w:tc>
          <w:tcPr>
            <w:tcW w:w="777" w:type="dxa"/>
            <w:vAlign w:val="center"/>
          </w:tcPr>
          <w:p w:rsidR="00A1222C" w:rsidRDefault="00A1222C" w:rsidP="00F343E9">
            <w:r w:rsidRPr="00D77C6B">
              <w:rPr>
                <w:rFonts w:cs="Arial"/>
                <w:sz w:val="18"/>
                <w:szCs w:val="18"/>
              </w:rPr>
              <w:t>√</w:t>
            </w:r>
          </w:p>
        </w:tc>
        <w:tc>
          <w:tcPr>
            <w:tcW w:w="777" w:type="dxa"/>
            <w:vAlign w:val="center"/>
          </w:tcPr>
          <w:p w:rsidR="00A1222C" w:rsidRDefault="00A1222C" w:rsidP="00F343E9">
            <w:r w:rsidRPr="00D77C6B">
              <w:rPr>
                <w:rFonts w:cs="Arial"/>
                <w:sz w:val="18"/>
                <w:szCs w:val="18"/>
              </w:rPr>
              <w:t>√</w:t>
            </w:r>
          </w:p>
        </w:tc>
        <w:tc>
          <w:tcPr>
            <w:tcW w:w="777" w:type="dxa"/>
            <w:vAlign w:val="center"/>
          </w:tcPr>
          <w:p w:rsidR="00A1222C" w:rsidRDefault="00A1222C" w:rsidP="00F343E9">
            <w:r w:rsidRPr="00D77C6B">
              <w:rPr>
                <w:rFonts w:cs="Arial"/>
                <w:sz w:val="18"/>
                <w:szCs w:val="18"/>
              </w:rPr>
              <w:t>√</w:t>
            </w:r>
          </w:p>
        </w:tc>
        <w:tc>
          <w:tcPr>
            <w:tcW w:w="778" w:type="dxa"/>
            <w:vAlign w:val="center"/>
          </w:tcPr>
          <w:p w:rsidR="00A1222C" w:rsidRDefault="00A1222C" w:rsidP="00F343E9">
            <w:r w:rsidRPr="00D77C6B">
              <w:rPr>
                <w:rFonts w:cs="Arial"/>
                <w:sz w:val="18"/>
                <w:szCs w:val="18"/>
              </w:rPr>
              <w:t>√</w:t>
            </w:r>
          </w:p>
        </w:tc>
        <w:tc>
          <w:tcPr>
            <w:tcW w:w="778" w:type="dxa"/>
            <w:vAlign w:val="center"/>
          </w:tcPr>
          <w:p w:rsidR="00A1222C" w:rsidRDefault="00A1222C" w:rsidP="00F343E9">
            <w:r w:rsidRPr="00D77C6B">
              <w:rPr>
                <w:rFonts w:cs="Arial"/>
                <w:sz w:val="18"/>
                <w:szCs w:val="18"/>
              </w:rPr>
              <w:t>√</w:t>
            </w: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vAlign w:val="center"/>
          </w:tcPr>
          <w:p w:rsidR="00A1222C" w:rsidRDefault="00A1222C" w:rsidP="00F343E9">
            <w:r w:rsidRPr="00E365D2">
              <w:rPr>
                <w:rFonts w:cs="Arial"/>
                <w:sz w:val="18"/>
                <w:szCs w:val="18"/>
              </w:rPr>
              <w:t>√</w:t>
            </w:r>
          </w:p>
        </w:tc>
        <w:tc>
          <w:tcPr>
            <w:tcW w:w="777" w:type="dxa"/>
            <w:tcBorders>
              <w:right w:val="single" w:sz="12" w:space="0" w:color="auto"/>
            </w:tcBorders>
            <w:vAlign w:val="center"/>
          </w:tcPr>
          <w:p w:rsidR="00A1222C" w:rsidRDefault="00A1222C" w:rsidP="00F343E9">
            <w:r w:rsidRPr="00E365D2">
              <w:rPr>
                <w:rFonts w:cs="Arial"/>
                <w:sz w:val="18"/>
                <w:szCs w:val="18"/>
              </w:rPr>
              <w:t>√</w:t>
            </w:r>
          </w:p>
        </w:tc>
        <w:tc>
          <w:tcPr>
            <w:tcW w:w="778" w:type="dxa"/>
            <w:tcBorders>
              <w:left w:val="single" w:sz="12" w:space="0" w:color="auto"/>
            </w:tcBorders>
            <w:vAlign w:val="center"/>
          </w:tcPr>
          <w:p w:rsidR="00A1222C" w:rsidRDefault="00A1222C" w:rsidP="00F343E9">
            <w:r w:rsidRPr="0001058A">
              <w:rPr>
                <w:rFonts w:cs="Arial"/>
                <w:sz w:val="18"/>
                <w:szCs w:val="18"/>
              </w:rPr>
              <w:t>√</w:t>
            </w:r>
          </w:p>
        </w:tc>
        <w:tc>
          <w:tcPr>
            <w:tcW w:w="778" w:type="dxa"/>
            <w:vAlign w:val="center"/>
          </w:tcPr>
          <w:p w:rsidR="00A1222C" w:rsidRDefault="00A1222C" w:rsidP="00F343E9">
            <w:r>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72"/>
            </w:r>
          </w:p>
        </w:tc>
        <w:tc>
          <w:tcPr>
            <w:tcW w:w="783" w:type="dxa"/>
            <w:vAlign w:val="center"/>
          </w:tcPr>
          <w:p w:rsidR="00A1222C" w:rsidRDefault="00A1222C" w:rsidP="00F343E9">
            <w:r>
              <w:rPr>
                <w:rFonts w:cs="Arial"/>
                <w:sz w:val="18"/>
                <w:szCs w:val="18"/>
              </w:rPr>
              <w:t>√</w:t>
            </w:r>
            <w:r>
              <w:rPr>
                <w:rStyle w:val="EndnoteReference"/>
              </w:rPr>
              <w:endnoteReference w:id="173"/>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EL</w:t>
            </w:r>
          </w:p>
        </w:tc>
        <w:tc>
          <w:tcPr>
            <w:tcW w:w="649" w:type="dxa"/>
            <w:tcBorders>
              <w:left w:val="single" w:sz="12" w:space="0" w:color="auto"/>
            </w:tcBorders>
            <w:vAlign w:val="center"/>
          </w:tcPr>
          <w:p w:rsidR="00A1222C" w:rsidRDefault="00A1222C" w:rsidP="00F343E9">
            <w:r w:rsidRPr="001471ED">
              <w:rPr>
                <w:rFonts w:cs="Arial"/>
                <w:sz w:val="18"/>
                <w:szCs w:val="18"/>
              </w:rPr>
              <w:t>√</w:t>
            </w:r>
          </w:p>
        </w:tc>
        <w:tc>
          <w:tcPr>
            <w:tcW w:w="777" w:type="dxa"/>
            <w:vAlign w:val="center"/>
          </w:tcPr>
          <w:p w:rsidR="00A1222C" w:rsidRDefault="00A1222C" w:rsidP="00F343E9">
            <w:r w:rsidRPr="001471ED">
              <w:rPr>
                <w:rFonts w:cs="Arial"/>
                <w:sz w:val="18"/>
                <w:szCs w:val="18"/>
              </w:rPr>
              <w:t>√</w:t>
            </w:r>
          </w:p>
        </w:tc>
        <w:tc>
          <w:tcPr>
            <w:tcW w:w="777" w:type="dxa"/>
            <w:vAlign w:val="center"/>
          </w:tcPr>
          <w:p w:rsidR="00A1222C" w:rsidRDefault="00A1222C" w:rsidP="00F343E9">
            <w:r w:rsidRPr="001471ED">
              <w:rPr>
                <w:rFonts w:cs="Arial"/>
                <w:sz w:val="18"/>
                <w:szCs w:val="18"/>
              </w:rPr>
              <w:t>√</w:t>
            </w:r>
          </w:p>
        </w:tc>
        <w:tc>
          <w:tcPr>
            <w:tcW w:w="777" w:type="dxa"/>
            <w:vAlign w:val="center"/>
          </w:tcPr>
          <w:p w:rsidR="00A1222C" w:rsidRDefault="00A1222C" w:rsidP="00F343E9">
            <w:r w:rsidRPr="001471ED">
              <w:rPr>
                <w:rFonts w:cs="Arial"/>
                <w:sz w:val="18"/>
                <w:szCs w:val="18"/>
              </w:rPr>
              <w:t>√</w:t>
            </w:r>
          </w:p>
        </w:tc>
        <w:tc>
          <w:tcPr>
            <w:tcW w:w="778" w:type="dxa"/>
            <w:vAlign w:val="center"/>
          </w:tcPr>
          <w:p w:rsidR="00A1222C" w:rsidRDefault="00A1222C" w:rsidP="00F343E9">
            <w:r w:rsidRPr="001471ED">
              <w:rPr>
                <w:rFonts w:cs="Arial"/>
                <w:sz w:val="18"/>
                <w:szCs w:val="18"/>
              </w:rPr>
              <w:t>√</w:t>
            </w:r>
          </w:p>
        </w:tc>
        <w:tc>
          <w:tcPr>
            <w:tcW w:w="778" w:type="dxa"/>
            <w:vAlign w:val="center"/>
          </w:tcPr>
          <w:p w:rsidR="00A1222C" w:rsidRDefault="00A1222C" w:rsidP="00F343E9">
            <w:r w:rsidRPr="001471ED">
              <w:rPr>
                <w:rFonts w:cs="Arial"/>
                <w:sz w:val="18"/>
                <w:szCs w:val="18"/>
              </w:rPr>
              <w:t>√</w:t>
            </w:r>
          </w:p>
        </w:tc>
        <w:tc>
          <w:tcPr>
            <w:tcW w:w="778" w:type="dxa"/>
            <w:vAlign w:val="center"/>
          </w:tcPr>
          <w:p w:rsidR="00A1222C" w:rsidRDefault="00A1222C" w:rsidP="00F343E9">
            <w:r w:rsidRPr="001471ED">
              <w:rPr>
                <w:rFonts w:cs="Arial"/>
                <w:sz w:val="18"/>
                <w:szCs w:val="18"/>
              </w:rPr>
              <w:t>√</w:t>
            </w:r>
          </w:p>
        </w:tc>
        <w:tc>
          <w:tcPr>
            <w:tcW w:w="778" w:type="dxa"/>
            <w:vAlign w:val="center"/>
          </w:tcPr>
          <w:p w:rsidR="00A1222C" w:rsidRDefault="00A1222C" w:rsidP="00F343E9">
            <w:r w:rsidRPr="00E365D2">
              <w:rPr>
                <w:rFonts w:cs="Arial"/>
                <w:sz w:val="18"/>
                <w:szCs w:val="18"/>
              </w:rPr>
              <w:t>√</w:t>
            </w:r>
          </w:p>
        </w:tc>
        <w:tc>
          <w:tcPr>
            <w:tcW w:w="777" w:type="dxa"/>
            <w:tcBorders>
              <w:right w:val="single" w:sz="12" w:space="0" w:color="auto"/>
            </w:tcBorders>
            <w:vAlign w:val="center"/>
          </w:tcPr>
          <w:p w:rsidR="00A1222C" w:rsidRDefault="00A1222C" w:rsidP="00F343E9">
            <w:r w:rsidRPr="00E365D2">
              <w:rPr>
                <w:rFonts w:cs="Arial"/>
                <w:sz w:val="18"/>
                <w:szCs w:val="18"/>
              </w:rPr>
              <w:t>√</w:t>
            </w:r>
          </w:p>
        </w:tc>
        <w:tc>
          <w:tcPr>
            <w:tcW w:w="778" w:type="dxa"/>
            <w:tcBorders>
              <w:left w:val="single" w:sz="12" w:space="0" w:color="auto"/>
            </w:tcBorders>
            <w:vAlign w:val="center"/>
          </w:tcPr>
          <w:p w:rsidR="00A1222C" w:rsidRDefault="00A1222C" w:rsidP="00F343E9">
            <w:r>
              <w:rPr>
                <w:rFonts w:cs="Arial"/>
                <w:sz w:val="18"/>
                <w:szCs w:val="18"/>
              </w:rPr>
              <w:t>√</w:t>
            </w:r>
            <w:r>
              <w:rPr>
                <w:rStyle w:val="EndnoteReference"/>
              </w:rPr>
              <w:endnoteReference w:id="174"/>
            </w:r>
          </w:p>
        </w:tc>
        <w:tc>
          <w:tcPr>
            <w:tcW w:w="778" w:type="dxa"/>
            <w:vAlign w:val="center"/>
          </w:tcPr>
          <w:p w:rsidR="00A1222C" w:rsidRDefault="00A1222C" w:rsidP="00F343E9">
            <w:r>
              <w:rPr>
                <w:rFonts w:cs="Arial"/>
                <w:sz w:val="18"/>
                <w:szCs w:val="18"/>
              </w:rPr>
              <w:t>√</w:t>
            </w:r>
            <w:r>
              <w:rPr>
                <w:rStyle w:val="EndnoteReference"/>
              </w:rPr>
              <w:endnoteReference w:id="175"/>
            </w:r>
          </w:p>
        </w:tc>
        <w:tc>
          <w:tcPr>
            <w:tcW w:w="778" w:type="dxa"/>
            <w:vAlign w:val="center"/>
          </w:tcPr>
          <w:p w:rsidR="00A1222C" w:rsidRDefault="00A1222C" w:rsidP="00F343E9">
            <w:r>
              <w:rPr>
                <w:rFonts w:cs="Arial"/>
                <w:sz w:val="18"/>
                <w:szCs w:val="18"/>
              </w:rPr>
              <w:t>√</w:t>
            </w:r>
            <w:r>
              <w:rPr>
                <w:rStyle w:val="EndnoteReference"/>
              </w:rPr>
              <w:endnoteReference w:id="176"/>
            </w:r>
          </w:p>
        </w:tc>
        <w:tc>
          <w:tcPr>
            <w:tcW w:w="783" w:type="dxa"/>
            <w:vAlign w:val="center"/>
          </w:tcPr>
          <w:p w:rsidR="00A1222C" w:rsidRDefault="00A1222C" w:rsidP="00F343E9">
            <w:r>
              <w:t>v</w:t>
            </w:r>
            <w:r>
              <w:rPr>
                <w:rStyle w:val="EndnoteReference"/>
              </w:rPr>
              <w:endnoteReference w:id="177"/>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ES</w:t>
            </w:r>
          </w:p>
        </w:tc>
        <w:tc>
          <w:tcPr>
            <w:tcW w:w="649" w:type="dxa"/>
            <w:tcBorders>
              <w:left w:val="single" w:sz="12" w:space="0" w:color="auto"/>
            </w:tcBorders>
            <w:vAlign w:val="center"/>
          </w:tcPr>
          <w:p w:rsidR="00A1222C" w:rsidRDefault="00A1222C" w:rsidP="00F343E9">
            <w:r w:rsidRPr="00672EAC">
              <w:rPr>
                <w:rFonts w:cs="Arial"/>
                <w:sz w:val="18"/>
                <w:szCs w:val="18"/>
              </w:rPr>
              <w:t>√</w:t>
            </w:r>
          </w:p>
        </w:tc>
        <w:tc>
          <w:tcPr>
            <w:tcW w:w="777" w:type="dxa"/>
            <w:vAlign w:val="center"/>
          </w:tcPr>
          <w:p w:rsidR="00A1222C" w:rsidRDefault="00A1222C" w:rsidP="00F343E9">
            <w:r w:rsidRPr="00672EAC">
              <w:rPr>
                <w:rFonts w:cs="Arial"/>
                <w:sz w:val="18"/>
                <w:szCs w:val="18"/>
              </w:rPr>
              <w:t>√</w:t>
            </w:r>
          </w:p>
        </w:tc>
        <w:tc>
          <w:tcPr>
            <w:tcW w:w="777" w:type="dxa"/>
            <w:vAlign w:val="center"/>
          </w:tcPr>
          <w:p w:rsidR="00A1222C" w:rsidRDefault="00A1222C" w:rsidP="00F343E9">
            <w:r w:rsidRPr="00672EAC">
              <w:rPr>
                <w:rFonts w:cs="Arial"/>
                <w:sz w:val="18"/>
                <w:szCs w:val="18"/>
              </w:rPr>
              <w:t>√</w:t>
            </w:r>
          </w:p>
        </w:tc>
        <w:tc>
          <w:tcPr>
            <w:tcW w:w="777" w:type="dxa"/>
            <w:vAlign w:val="center"/>
          </w:tcPr>
          <w:p w:rsidR="00A1222C" w:rsidRDefault="00A1222C" w:rsidP="00F343E9">
            <w:r w:rsidRPr="00672EAC">
              <w:rPr>
                <w:rFonts w:cs="Arial"/>
                <w:sz w:val="18"/>
                <w:szCs w:val="18"/>
              </w:rPr>
              <w:t>√</w:t>
            </w:r>
          </w:p>
        </w:tc>
        <w:tc>
          <w:tcPr>
            <w:tcW w:w="778" w:type="dxa"/>
            <w:vAlign w:val="center"/>
          </w:tcPr>
          <w:p w:rsidR="00A1222C" w:rsidRDefault="00A1222C" w:rsidP="00F343E9">
            <w:r w:rsidRPr="00672EAC">
              <w:rPr>
                <w:rFonts w:cs="Arial"/>
                <w:sz w:val="18"/>
                <w:szCs w:val="18"/>
              </w:rPr>
              <w:t>√</w:t>
            </w:r>
          </w:p>
        </w:tc>
        <w:tc>
          <w:tcPr>
            <w:tcW w:w="778" w:type="dxa"/>
            <w:vAlign w:val="center"/>
          </w:tcPr>
          <w:p w:rsidR="00A1222C" w:rsidRDefault="00A1222C" w:rsidP="00F343E9">
            <w:r w:rsidRPr="00672EAC">
              <w:rPr>
                <w:rFonts w:cs="Arial"/>
                <w:sz w:val="18"/>
                <w:szCs w:val="18"/>
              </w:rPr>
              <w:t>√</w:t>
            </w:r>
          </w:p>
        </w:tc>
        <w:tc>
          <w:tcPr>
            <w:tcW w:w="778" w:type="dxa"/>
            <w:vAlign w:val="center"/>
          </w:tcPr>
          <w:p w:rsidR="00A1222C" w:rsidRDefault="00A1222C" w:rsidP="00F343E9">
            <w:r w:rsidRPr="00672EAC">
              <w:rPr>
                <w:rFonts w:cs="Arial"/>
                <w:sz w:val="18"/>
                <w:szCs w:val="18"/>
              </w:rPr>
              <w:t>√</w:t>
            </w:r>
          </w:p>
        </w:tc>
        <w:tc>
          <w:tcPr>
            <w:tcW w:w="778" w:type="dxa"/>
            <w:vAlign w:val="center"/>
          </w:tcPr>
          <w:p w:rsidR="00A1222C" w:rsidRDefault="00A1222C" w:rsidP="00F343E9">
            <w:r w:rsidRPr="00672EAC">
              <w:rPr>
                <w:rFonts w:cs="Arial"/>
                <w:sz w:val="18"/>
                <w:szCs w:val="18"/>
              </w:rPr>
              <w:t>√</w:t>
            </w: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vAlign w:val="center"/>
          </w:tcPr>
          <w:p w:rsidR="00A1222C" w:rsidRDefault="00A1222C" w:rsidP="00F343E9">
            <w:r>
              <w:rPr>
                <w:rFonts w:cs="Arial"/>
                <w:sz w:val="18"/>
                <w:szCs w:val="18"/>
              </w:rPr>
              <w:t>√</w:t>
            </w:r>
          </w:p>
        </w:tc>
        <w:tc>
          <w:tcPr>
            <w:tcW w:w="778" w:type="dxa"/>
            <w:vAlign w:val="center"/>
          </w:tcPr>
          <w:p w:rsidR="00A1222C" w:rsidRDefault="00A1222C" w:rsidP="00F343E9">
            <w:r w:rsidRPr="003871D6">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78"/>
            </w:r>
          </w:p>
        </w:tc>
        <w:tc>
          <w:tcPr>
            <w:tcW w:w="783" w:type="dxa"/>
            <w:vAlign w:val="center"/>
          </w:tcPr>
          <w:p w:rsidR="00A1222C" w:rsidRDefault="00A1222C" w:rsidP="00F343E9">
            <w:r>
              <w:rPr>
                <w:rFonts w:cs="Arial"/>
                <w:sz w:val="18"/>
                <w:szCs w:val="18"/>
              </w:rPr>
              <w:t>√</w:t>
            </w:r>
            <w:r>
              <w:rPr>
                <w:rStyle w:val="EndnoteReference"/>
              </w:rPr>
              <w:endnoteReference w:id="179"/>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FI</w:t>
            </w:r>
          </w:p>
        </w:tc>
        <w:tc>
          <w:tcPr>
            <w:tcW w:w="649" w:type="dxa"/>
            <w:tcBorders>
              <w:left w:val="single" w:sz="12" w:space="0" w:color="auto"/>
            </w:tcBorders>
            <w:vAlign w:val="center"/>
          </w:tcPr>
          <w:p w:rsidR="00A1222C" w:rsidRDefault="00A1222C" w:rsidP="00F343E9">
            <w:r w:rsidRPr="004C0778">
              <w:rPr>
                <w:rFonts w:cs="Arial"/>
                <w:sz w:val="18"/>
                <w:szCs w:val="18"/>
              </w:rPr>
              <w:t>√</w:t>
            </w:r>
          </w:p>
        </w:tc>
        <w:tc>
          <w:tcPr>
            <w:tcW w:w="777" w:type="dxa"/>
            <w:vAlign w:val="center"/>
          </w:tcPr>
          <w:p w:rsidR="00A1222C" w:rsidRDefault="00A1222C" w:rsidP="00F343E9">
            <w:r w:rsidRPr="004C0778">
              <w:rPr>
                <w:rFonts w:cs="Arial"/>
                <w:sz w:val="18"/>
                <w:szCs w:val="18"/>
              </w:rPr>
              <w:t>√</w:t>
            </w:r>
          </w:p>
        </w:tc>
        <w:tc>
          <w:tcPr>
            <w:tcW w:w="777" w:type="dxa"/>
            <w:vAlign w:val="center"/>
          </w:tcPr>
          <w:p w:rsidR="00A1222C" w:rsidRDefault="00A1222C" w:rsidP="00F343E9">
            <w:r w:rsidRPr="004C0778">
              <w:rPr>
                <w:rFonts w:cs="Arial"/>
                <w:sz w:val="18"/>
                <w:szCs w:val="18"/>
              </w:rPr>
              <w:t>√</w:t>
            </w:r>
          </w:p>
        </w:tc>
        <w:tc>
          <w:tcPr>
            <w:tcW w:w="777" w:type="dxa"/>
            <w:vAlign w:val="center"/>
          </w:tcPr>
          <w:p w:rsidR="00A1222C" w:rsidRDefault="00A1222C" w:rsidP="00F343E9">
            <w:r w:rsidRPr="004C0778">
              <w:rPr>
                <w:rFonts w:cs="Arial"/>
                <w:sz w:val="18"/>
                <w:szCs w:val="18"/>
              </w:rPr>
              <w:t>√</w:t>
            </w:r>
          </w:p>
        </w:tc>
        <w:tc>
          <w:tcPr>
            <w:tcW w:w="778" w:type="dxa"/>
            <w:vAlign w:val="center"/>
          </w:tcPr>
          <w:p w:rsidR="00A1222C" w:rsidRDefault="00A1222C" w:rsidP="00F343E9">
            <w:r w:rsidRPr="004C0778">
              <w:rPr>
                <w:rFonts w:cs="Arial"/>
                <w:sz w:val="18"/>
                <w:szCs w:val="18"/>
              </w:rPr>
              <w:t>√</w:t>
            </w:r>
          </w:p>
        </w:tc>
        <w:tc>
          <w:tcPr>
            <w:tcW w:w="778" w:type="dxa"/>
            <w:vAlign w:val="center"/>
          </w:tcPr>
          <w:p w:rsidR="00A1222C" w:rsidRDefault="00A1222C" w:rsidP="00F343E9">
            <w:r w:rsidRPr="004C0778">
              <w:rPr>
                <w:rFonts w:cs="Arial"/>
                <w:sz w:val="18"/>
                <w:szCs w:val="18"/>
              </w:rPr>
              <w:t>√</w:t>
            </w:r>
          </w:p>
        </w:tc>
        <w:tc>
          <w:tcPr>
            <w:tcW w:w="778" w:type="dxa"/>
            <w:vAlign w:val="center"/>
          </w:tcPr>
          <w:p w:rsidR="00A1222C" w:rsidRDefault="00A1222C" w:rsidP="00F343E9">
            <w:r w:rsidRPr="004C0778">
              <w:rPr>
                <w:rFonts w:cs="Arial"/>
                <w:sz w:val="18"/>
                <w:szCs w:val="18"/>
              </w:rPr>
              <w:t>√</w:t>
            </w:r>
          </w:p>
        </w:tc>
        <w:tc>
          <w:tcPr>
            <w:tcW w:w="778" w:type="dxa"/>
            <w:vAlign w:val="center"/>
          </w:tcPr>
          <w:p w:rsidR="00A1222C" w:rsidRDefault="00A1222C" w:rsidP="00F343E9">
            <w:r w:rsidRPr="004C0778">
              <w:rPr>
                <w:rFonts w:cs="Arial"/>
                <w:sz w:val="18"/>
                <w:szCs w:val="18"/>
              </w:rPr>
              <w:t>√</w:t>
            </w:r>
          </w:p>
        </w:tc>
        <w:tc>
          <w:tcPr>
            <w:tcW w:w="777" w:type="dxa"/>
            <w:tcBorders>
              <w:right w:val="single" w:sz="12" w:space="0" w:color="auto"/>
            </w:tcBorders>
            <w:vAlign w:val="center"/>
          </w:tcPr>
          <w:p w:rsidR="00A1222C" w:rsidRDefault="00A1222C" w:rsidP="00F343E9">
            <w:r w:rsidRPr="004C0778">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sidRPr="003871D6">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80"/>
            </w:r>
          </w:p>
        </w:tc>
        <w:tc>
          <w:tcPr>
            <w:tcW w:w="783" w:type="dxa"/>
            <w:vAlign w:val="center"/>
          </w:tcPr>
          <w:p w:rsidR="00A1222C" w:rsidRDefault="00A1222C" w:rsidP="00F343E9">
            <w:r>
              <w:rPr>
                <w:rFonts w:cs="Arial"/>
                <w:sz w:val="18"/>
                <w:szCs w:val="18"/>
              </w:rPr>
              <w:t>√</w:t>
            </w:r>
            <w:r>
              <w:rPr>
                <w:rStyle w:val="EndnoteReference"/>
              </w:rPr>
              <w:endnoteReference w:id="181"/>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FR</w:t>
            </w:r>
          </w:p>
        </w:tc>
        <w:tc>
          <w:tcPr>
            <w:tcW w:w="649" w:type="dxa"/>
            <w:tcBorders>
              <w:lef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HR</w:t>
            </w:r>
          </w:p>
        </w:tc>
        <w:tc>
          <w:tcPr>
            <w:tcW w:w="649" w:type="dxa"/>
            <w:tcBorders>
              <w:left w:val="single" w:sz="12" w:space="0" w:color="auto"/>
            </w:tcBorders>
          </w:tcPr>
          <w:p w:rsidR="00A1222C" w:rsidRDefault="00A1222C" w:rsidP="00F343E9">
            <w:r w:rsidRPr="00016127">
              <w:rPr>
                <w:rFonts w:cs="Arial"/>
                <w:sz w:val="18"/>
                <w:szCs w:val="18"/>
              </w:rPr>
              <w:t>√</w:t>
            </w:r>
          </w:p>
        </w:tc>
        <w:tc>
          <w:tcPr>
            <w:tcW w:w="777" w:type="dxa"/>
          </w:tcPr>
          <w:p w:rsidR="00A1222C" w:rsidRDefault="00A1222C" w:rsidP="00F343E9">
            <w:r w:rsidRPr="00016127">
              <w:rPr>
                <w:rFonts w:cs="Arial"/>
                <w:sz w:val="18"/>
                <w:szCs w:val="18"/>
              </w:rPr>
              <w:t>√</w:t>
            </w:r>
          </w:p>
        </w:tc>
        <w:tc>
          <w:tcPr>
            <w:tcW w:w="777" w:type="dxa"/>
          </w:tcPr>
          <w:p w:rsidR="00A1222C" w:rsidRDefault="00A1222C" w:rsidP="00F343E9">
            <w:r w:rsidRPr="00016127">
              <w:rPr>
                <w:rFonts w:cs="Arial"/>
                <w:sz w:val="18"/>
                <w:szCs w:val="18"/>
              </w:rPr>
              <w:t>√</w:t>
            </w:r>
          </w:p>
        </w:tc>
        <w:tc>
          <w:tcPr>
            <w:tcW w:w="777" w:type="dxa"/>
          </w:tcPr>
          <w:p w:rsidR="00A1222C" w:rsidRDefault="00A1222C" w:rsidP="00F343E9">
            <w:r w:rsidRPr="00016127">
              <w:rPr>
                <w:rFonts w:cs="Arial"/>
                <w:sz w:val="18"/>
                <w:szCs w:val="18"/>
              </w:rPr>
              <w:t>√</w:t>
            </w:r>
          </w:p>
        </w:tc>
        <w:tc>
          <w:tcPr>
            <w:tcW w:w="778" w:type="dxa"/>
          </w:tcPr>
          <w:p w:rsidR="00A1222C" w:rsidRDefault="00A1222C" w:rsidP="00F343E9">
            <w:r w:rsidRPr="00016127">
              <w:rPr>
                <w:rFonts w:cs="Arial"/>
                <w:sz w:val="18"/>
                <w:szCs w:val="18"/>
              </w:rPr>
              <w:t>√</w:t>
            </w:r>
          </w:p>
        </w:tc>
        <w:tc>
          <w:tcPr>
            <w:tcW w:w="778" w:type="dxa"/>
          </w:tcPr>
          <w:p w:rsidR="00A1222C" w:rsidRDefault="00A1222C" w:rsidP="00F343E9">
            <w:r w:rsidRPr="00016127">
              <w:rPr>
                <w:rFonts w:cs="Arial"/>
                <w:sz w:val="18"/>
                <w:szCs w:val="18"/>
              </w:rPr>
              <w:t>√</w:t>
            </w:r>
          </w:p>
        </w:tc>
        <w:tc>
          <w:tcPr>
            <w:tcW w:w="778" w:type="dxa"/>
          </w:tcPr>
          <w:p w:rsidR="00A1222C" w:rsidRDefault="00A1222C" w:rsidP="00F343E9">
            <w:r w:rsidRPr="00016127">
              <w:rPr>
                <w:rFonts w:cs="Arial"/>
                <w:sz w:val="18"/>
                <w:szCs w:val="18"/>
              </w:rPr>
              <w:t>√</w:t>
            </w:r>
          </w:p>
        </w:tc>
        <w:tc>
          <w:tcPr>
            <w:tcW w:w="778" w:type="dxa"/>
          </w:tcPr>
          <w:p w:rsidR="00A1222C" w:rsidRDefault="00A1222C" w:rsidP="00F343E9">
            <w:r w:rsidRPr="00016127">
              <w:rPr>
                <w:rFonts w:cs="Arial"/>
                <w:sz w:val="18"/>
                <w:szCs w:val="18"/>
              </w:rPr>
              <w:t>√</w:t>
            </w:r>
          </w:p>
        </w:tc>
        <w:tc>
          <w:tcPr>
            <w:tcW w:w="777" w:type="dxa"/>
            <w:tcBorders>
              <w:right w:val="single" w:sz="12" w:space="0" w:color="auto"/>
            </w:tcBorders>
          </w:tcPr>
          <w:p w:rsidR="00A1222C" w:rsidRDefault="00A1222C" w:rsidP="00F343E9">
            <w:r w:rsidRPr="00016127">
              <w:rPr>
                <w:rFonts w:cs="Arial"/>
                <w:sz w:val="18"/>
                <w:szCs w:val="18"/>
              </w:rPr>
              <w:t>√</w:t>
            </w:r>
          </w:p>
        </w:tc>
        <w:tc>
          <w:tcPr>
            <w:tcW w:w="778" w:type="dxa"/>
            <w:tcBorders>
              <w:left w:val="single" w:sz="12" w:space="0" w:color="auto"/>
            </w:tcBorders>
          </w:tcPr>
          <w:p w:rsidR="00A1222C" w:rsidRDefault="00A1222C" w:rsidP="00F343E9">
            <w:r w:rsidRPr="00016127">
              <w:rPr>
                <w:rFonts w:cs="Arial"/>
                <w:sz w:val="18"/>
                <w:szCs w:val="18"/>
              </w:rPr>
              <w:t>√</w:t>
            </w:r>
          </w:p>
        </w:tc>
        <w:tc>
          <w:tcPr>
            <w:tcW w:w="778" w:type="dxa"/>
          </w:tcPr>
          <w:p w:rsidR="00A1222C" w:rsidRDefault="00A1222C" w:rsidP="00F343E9">
            <w:r w:rsidRPr="00016127">
              <w:rPr>
                <w:rFonts w:cs="Arial"/>
                <w:sz w:val="18"/>
                <w:szCs w:val="18"/>
              </w:rPr>
              <w:t>√</w:t>
            </w:r>
          </w:p>
        </w:tc>
        <w:tc>
          <w:tcPr>
            <w:tcW w:w="778" w:type="dxa"/>
          </w:tcPr>
          <w:p w:rsidR="00A1222C" w:rsidRDefault="00A1222C" w:rsidP="00F343E9">
            <w:r w:rsidRPr="00016127">
              <w:rPr>
                <w:rFonts w:cs="Arial"/>
                <w:sz w:val="18"/>
                <w:szCs w:val="18"/>
              </w:rPr>
              <w:t>√</w:t>
            </w:r>
          </w:p>
        </w:tc>
        <w:tc>
          <w:tcPr>
            <w:tcW w:w="783" w:type="dxa"/>
          </w:tcPr>
          <w:p w:rsidR="00A1222C" w:rsidRDefault="00A1222C" w:rsidP="00F343E9">
            <w:r w:rsidRPr="00016127">
              <w:rPr>
                <w:rFonts w:cs="Arial"/>
                <w:sz w:val="18"/>
                <w:szCs w:val="18"/>
              </w:rPr>
              <w:t>√</w:t>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HU</w:t>
            </w:r>
          </w:p>
        </w:tc>
        <w:tc>
          <w:tcPr>
            <w:tcW w:w="649" w:type="dxa"/>
            <w:tcBorders>
              <w:left w:val="single" w:sz="12" w:space="0" w:color="auto"/>
            </w:tcBorders>
          </w:tcPr>
          <w:p w:rsidR="00A1222C" w:rsidRDefault="00A1222C" w:rsidP="00F343E9">
            <w:r w:rsidRPr="00B778A1">
              <w:rPr>
                <w:rFonts w:cs="Arial"/>
                <w:sz w:val="18"/>
                <w:szCs w:val="18"/>
              </w:rPr>
              <w:t>√</w:t>
            </w:r>
          </w:p>
        </w:tc>
        <w:tc>
          <w:tcPr>
            <w:tcW w:w="777" w:type="dxa"/>
          </w:tcPr>
          <w:p w:rsidR="00A1222C" w:rsidRDefault="00A1222C" w:rsidP="00F343E9">
            <w:r w:rsidRPr="00B778A1">
              <w:rPr>
                <w:rFonts w:cs="Arial"/>
                <w:sz w:val="18"/>
                <w:szCs w:val="18"/>
              </w:rPr>
              <w:t>√</w:t>
            </w:r>
          </w:p>
        </w:tc>
        <w:tc>
          <w:tcPr>
            <w:tcW w:w="777" w:type="dxa"/>
          </w:tcPr>
          <w:p w:rsidR="00A1222C" w:rsidRDefault="00A1222C" w:rsidP="00F343E9">
            <w:r w:rsidRPr="00B778A1">
              <w:rPr>
                <w:rFonts w:cs="Arial"/>
                <w:sz w:val="18"/>
                <w:szCs w:val="18"/>
              </w:rPr>
              <w:t>√</w:t>
            </w:r>
          </w:p>
        </w:tc>
        <w:tc>
          <w:tcPr>
            <w:tcW w:w="777" w:type="dxa"/>
          </w:tcPr>
          <w:p w:rsidR="00A1222C" w:rsidRDefault="00A1222C" w:rsidP="00F343E9">
            <w:r w:rsidRPr="00B778A1">
              <w:rPr>
                <w:rFonts w:cs="Arial"/>
                <w:sz w:val="18"/>
                <w:szCs w:val="18"/>
              </w:rPr>
              <w:t>√</w:t>
            </w:r>
          </w:p>
        </w:tc>
        <w:tc>
          <w:tcPr>
            <w:tcW w:w="778" w:type="dxa"/>
          </w:tcPr>
          <w:p w:rsidR="00A1222C" w:rsidRDefault="00A1222C" w:rsidP="00F343E9">
            <w:r w:rsidRPr="00B778A1">
              <w:rPr>
                <w:rFonts w:cs="Arial"/>
                <w:sz w:val="18"/>
                <w:szCs w:val="18"/>
              </w:rPr>
              <w:t>√</w:t>
            </w:r>
          </w:p>
        </w:tc>
        <w:tc>
          <w:tcPr>
            <w:tcW w:w="778" w:type="dxa"/>
          </w:tcPr>
          <w:p w:rsidR="00A1222C" w:rsidRDefault="00A1222C" w:rsidP="00F343E9">
            <w:r w:rsidRPr="00B778A1">
              <w:rPr>
                <w:rFonts w:cs="Arial"/>
                <w:sz w:val="18"/>
                <w:szCs w:val="18"/>
              </w:rPr>
              <w:t>√</w:t>
            </w:r>
          </w:p>
        </w:tc>
        <w:tc>
          <w:tcPr>
            <w:tcW w:w="778" w:type="dxa"/>
          </w:tcPr>
          <w:p w:rsidR="00A1222C" w:rsidRDefault="00A1222C" w:rsidP="00F343E9">
            <w:r w:rsidRPr="00B778A1">
              <w:rPr>
                <w:rFonts w:cs="Arial"/>
                <w:sz w:val="18"/>
                <w:szCs w:val="18"/>
              </w:rPr>
              <w:t>√</w:t>
            </w:r>
          </w:p>
        </w:tc>
        <w:tc>
          <w:tcPr>
            <w:tcW w:w="778" w:type="dxa"/>
          </w:tcPr>
          <w:p w:rsidR="00A1222C" w:rsidRDefault="00A1222C" w:rsidP="00F343E9">
            <w:r w:rsidRPr="00B778A1">
              <w:rPr>
                <w:rFonts w:cs="Arial"/>
                <w:sz w:val="18"/>
                <w:szCs w:val="18"/>
              </w:rPr>
              <w:t>√</w:t>
            </w:r>
          </w:p>
        </w:tc>
        <w:tc>
          <w:tcPr>
            <w:tcW w:w="777" w:type="dxa"/>
            <w:tcBorders>
              <w:right w:val="single" w:sz="12" w:space="0" w:color="auto"/>
            </w:tcBorders>
          </w:tcPr>
          <w:p w:rsidR="00A1222C" w:rsidRDefault="00A1222C" w:rsidP="00F343E9">
            <w:r w:rsidRPr="00B778A1">
              <w:rPr>
                <w:rFonts w:cs="Arial"/>
                <w:sz w:val="18"/>
                <w:szCs w:val="18"/>
              </w:rPr>
              <w:t>√</w:t>
            </w:r>
          </w:p>
        </w:tc>
        <w:tc>
          <w:tcPr>
            <w:tcW w:w="778" w:type="dxa"/>
            <w:tcBorders>
              <w:left w:val="single" w:sz="12" w:space="0" w:color="auto"/>
            </w:tcBorders>
          </w:tcPr>
          <w:p w:rsidR="00A1222C" w:rsidRDefault="00A1222C" w:rsidP="00F343E9">
            <w:r w:rsidRPr="006B0310">
              <w:rPr>
                <w:rFonts w:cs="Arial"/>
                <w:sz w:val="18"/>
                <w:szCs w:val="18"/>
              </w:rPr>
              <w:t>√</w:t>
            </w:r>
          </w:p>
        </w:tc>
        <w:tc>
          <w:tcPr>
            <w:tcW w:w="778" w:type="dxa"/>
          </w:tcPr>
          <w:p w:rsidR="00A1222C" w:rsidRDefault="00A1222C" w:rsidP="00F343E9">
            <w:r w:rsidRPr="006B0310">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82"/>
            </w:r>
          </w:p>
        </w:tc>
        <w:tc>
          <w:tcPr>
            <w:tcW w:w="783" w:type="dxa"/>
            <w:vAlign w:val="center"/>
          </w:tcPr>
          <w:p w:rsidR="00A1222C" w:rsidRDefault="00A1222C" w:rsidP="00F343E9">
            <w:r>
              <w:rPr>
                <w:rFonts w:cs="Arial"/>
                <w:sz w:val="18"/>
                <w:szCs w:val="18"/>
              </w:rPr>
              <w:t>√</w:t>
            </w:r>
            <w:r>
              <w:rPr>
                <w:rStyle w:val="EndnoteReference"/>
              </w:rPr>
              <w:endnoteReference w:id="183"/>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IE</w:t>
            </w:r>
          </w:p>
        </w:tc>
        <w:tc>
          <w:tcPr>
            <w:tcW w:w="649" w:type="dxa"/>
            <w:tcBorders>
              <w:lef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IT</w:t>
            </w:r>
          </w:p>
        </w:tc>
        <w:tc>
          <w:tcPr>
            <w:tcW w:w="649" w:type="dxa"/>
            <w:tcBorders>
              <w:lef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LT</w:t>
            </w:r>
          </w:p>
        </w:tc>
        <w:tc>
          <w:tcPr>
            <w:tcW w:w="649" w:type="dxa"/>
            <w:tcBorders>
              <w:left w:val="single" w:sz="12" w:space="0" w:color="auto"/>
            </w:tcBorders>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7" w:type="dxa"/>
            <w:tcBorders>
              <w:right w:val="single" w:sz="12" w:space="0" w:color="auto"/>
            </w:tcBorders>
          </w:tcPr>
          <w:p w:rsidR="00A1222C" w:rsidRDefault="00A1222C" w:rsidP="00F343E9">
            <w:r w:rsidRPr="00CD444F">
              <w:rPr>
                <w:rFonts w:cs="Arial"/>
                <w:sz w:val="18"/>
                <w:szCs w:val="18"/>
              </w:rPr>
              <w:t>√</w:t>
            </w:r>
          </w:p>
        </w:tc>
        <w:tc>
          <w:tcPr>
            <w:tcW w:w="778" w:type="dxa"/>
            <w:tcBorders>
              <w:left w:val="single" w:sz="12" w:space="0" w:color="auto"/>
            </w:tcBorders>
            <w:vAlign w:val="center"/>
          </w:tcPr>
          <w:p w:rsidR="00A1222C" w:rsidRDefault="00A1222C" w:rsidP="00F343E9">
            <w:r>
              <w:rPr>
                <w:rFonts w:cs="Arial"/>
                <w:sz w:val="18"/>
                <w:szCs w:val="18"/>
              </w:rPr>
              <w:t>√</w:t>
            </w:r>
          </w:p>
        </w:tc>
        <w:tc>
          <w:tcPr>
            <w:tcW w:w="778" w:type="dxa"/>
            <w:vAlign w:val="center"/>
          </w:tcPr>
          <w:p w:rsidR="00A1222C" w:rsidRDefault="00A1222C" w:rsidP="00F343E9">
            <w:r w:rsidRPr="000848C4">
              <w:rPr>
                <w:rFonts w:cs="Arial"/>
                <w:sz w:val="18"/>
                <w:szCs w:val="18"/>
              </w:rPr>
              <w:t>√</w:t>
            </w:r>
            <w:r>
              <w:rPr>
                <w:rStyle w:val="EndnoteReference"/>
              </w:rPr>
              <w:endnoteReference w:id="184"/>
            </w:r>
          </w:p>
        </w:tc>
        <w:tc>
          <w:tcPr>
            <w:tcW w:w="778" w:type="dxa"/>
          </w:tcPr>
          <w:p w:rsidR="00A1222C" w:rsidRDefault="00A1222C" w:rsidP="00F343E9">
            <w:r w:rsidRPr="000848C4">
              <w:rPr>
                <w:rFonts w:cs="Arial"/>
                <w:sz w:val="18"/>
                <w:szCs w:val="18"/>
              </w:rPr>
              <w:t>√</w:t>
            </w:r>
          </w:p>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LU</w:t>
            </w:r>
          </w:p>
        </w:tc>
        <w:tc>
          <w:tcPr>
            <w:tcW w:w="649" w:type="dxa"/>
            <w:tcBorders>
              <w:left w:val="single" w:sz="12" w:space="0" w:color="auto"/>
            </w:tcBorders>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7" w:type="dxa"/>
            <w:tcBorders>
              <w:right w:val="single" w:sz="12" w:space="0" w:color="auto"/>
            </w:tcBorders>
          </w:tcPr>
          <w:p w:rsidR="00A1222C" w:rsidRDefault="00A1222C" w:rsidP="00F343E9">
            <w:r w:rsidRPr="00CD444F">
              <w:rPr>
                <w:rFonts w:cs="Arial"/>
                <w:sz w:val="18"/>
                <w:szCs w:val="18"/>
              </w:rPr>
              <w:t>√</w:t>
            </w:r>
          </w:p>
        </w:tc>
        <w:tc>
          <w:tcPr>
            <w:tcW w:w="778" w:type="dxa"/>
            <w:tcBorders>
              <w:left w:val="single" w:sz="12" w:space="0" w:color="auto"/>
            </w:tcBorders>
          </w:tcPr>
          <w:p w:rsidR="00A1222C" w:rsidRDefault="00A1222C" w:rsidP="00F343E9">
            <w:r w:rsidRPr="005A4525">
              <w:rPr>
                <w:rFonts w:cs="Arial"/>
                <w:sz w:val="18"/>
                <w:szCs w:val="18"/>
              </w:rPr>
              <w:t>√</w:t>
            </w:r>
          </w:p>
        </w:tc>
        <w:tc>
          <w:tcPr>
            <w:tcW w:w="778" w:type="dxa"/>
          </w:tcPr>
          <w:p w:rsidR="00A1222C" w:rsidRDefault="00A1222C" w:rsidP="00F343E9">
            <w:r w:rsidRPr="005A4525">
              <w:rPr>
                <w:rFonts w:cs="Arial"/>
                <w:sz w:val="18"/>
                <w:szCs w:val="18"/>
              </w:rPr>
              <w:t>√</w:t>
            </w:r>
          </w:p>
        </w:tc>
        <w:tc>
          <w:tcPr>
            <w:tcW w:w="778" w:type="dxa"/>
          </w:tcPr>
          <w:p w:rsidR="00A1222C" w:rsidRDefault="00A1222C" w:rsidP="00F343E9">
            <w:r w:rsidRPr="005A4525">
              <w:rPr>
                <w:rFonts w:cs="Arial"/>
                <w:sz w:val="18"/>
                <w:szCs w:val="18"/>
              </w:rPr>
              <w:t>√</w:t>
            </w:r>
          </w:p>
        </w:tc>
        <w:tc>
          <w:tcPr>
            <w:tcW w:w="783" w:type="dxa"/>
          </w:tcPr>
          <w:p w:rsidR="00A1222C" w:rsidRDefault="00A1222C" w:rsidP="00F343E9">
            <w:r w:rsidRPr="005A4525">
              <w:rPr>
                <w:rFonts w:cs="Arial"/>
                <w:sz w:val="18"/>
                <w:szCs w:val="18"/>
              </w:rPr>
              <w:t>√</w:t>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LV</w:t>
            </w:r>
          </w:p>
        </w:tc>
        <w:tc>
          <w:tcPr>
            <w:tcW w:w="649" w:type="dxa"/>
            <w:tcBorders>
              <w:left w:val="single" w:sz="12" w:space="0" w:color="auto"/>
            </w:tcBorders>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7"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8" w:type="dxa"/>
          </w:tcPr>
          <w:p w:rsidR="00A1222C" w:rsidRDefault="00A1222C" w:rsidP="00F343E9">
            <w:r w:rsidRPr="00CD444F">
              <w:rPr>
                <w:rFonts w:cs="Arial"/>
                <w:sz w:val="18"/>
                <w:szCs w:val="18"/>
              </w:rPr>
              <w:t>√</w:t>
            </w:r>
          </w:p>
        </w:tc>
        <w:tc>
          <w:tcPr>
            <w:tcW w:w="777" w:type="dxa"/>
            <w:tcBorders>
              <w:right w:val="single" w:sz="12" w:space="0" w:color="auto"/>
            </w:tcBorders>
          </w:tcPr>
          <w:p w:rsidR="00A1222C" w:rsidRDefault="00A1222C" w:rsidP="00F343E9">
            <w:r w:rsidRPr="00CD444F">
              <w:rPr>
                <w:rFonts w:cs="Arial"/>
                <w:sz w:val="18"/>
                <w:szCs w:val="18"/>
              </w:rPr>
              <w:t>√</w:t>
            </w:r>
          </w:p>
        </w:tc>
        <w:tc>
          <w:tcPr>
            <w:tcW w:w="778" w:type="dxa"/>
            <w:tcBorders>
              <w:left w:val="single" w:sz="12" w:space="0" w:color="auto"/>
            </w:tcBorders>
          </w:tcPr>
          <w:p w:rsidR="00A1222C" w:rsidRDefault="00A1222C" w:rsidP="00F343E9">
            <w:r w:rsidRPr="00E60BAA">
              <w:rPr>
                <w:rFonts w:cs="Arial"/>
                <w:sz w:val="18"/>
                <w:szCs w:val="18"/>
              </w:rPr>
              <w:t>√</w:t>
            </w:r>
          </w:p>
        </w:tc>
        <w:tc>
          <w:tcPr>
            <w:tcW w:w="778" w:type="dxa"/>
          </w:tcPr>
          <w:p w:rsidR="00A1222C" w:rsidRDefault="00A1222C" w:rsidP="00F343E9">
            <w:r w:rsidRPr="00E60BAA">
              <w:rPr>
                <w:rFonts w:cs="Arial"/>
                <w:sz w:val="18"/>
                <w:szCs w:val="18"/>
              </w:rPr>
              <w:t>√</w:t>
            </w:r>
          </w:p>
        </w:tc>
        <w:tc>
          <w:tcPr>
            <w:tcW w:w="778" w:type="dxa"/>
          </w:tcPr>
          <w:p w:rsidR="00A1222C" w:rsidRDefault="00A1222C" w:rsidP="00F343E9">
            <w:r w:rsidRPr="000848C4">
              <w:rPr>
                <w:rFonts w:cs="Arial"/>
                <w:sz w:val="18"/>
                <w:szCs w:val="18"/>
              </w:rPr>
              <w:t>√</w:t>
            </w:r>
          </w:p>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MT</w:t>
            </w:r>
          </w:p>
        </w:tc>
        <w:tc>
          <w:tcPr>
            <w:tcW w:w="649" w:type="dxa"/>
            <w:tcBorders>
              <w:lef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78" w:type="dxa"/>
            <w:shd w:val="clear" w:color="auto" w:fill="D9D9D9" w:themeFill="background1" w:themeFillShade="D9"/>
            <w:vAlign w:val="center"/>
          </w:tcPr>
          <w:p w:rsidR="00A1222C" w:rsidRDefault="00A1222C" w:rsidP="00F343E9"/>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NL</w:t>
            </w:r>
          </w:p>
        </w:tc>
        <w:tc>
          <w:tcPr>
            <w:tcW w:w="649" w:type="dxa"/>
            <w:tcBorders>
              <w:left w:val="single" w:sz="12" w:space="0" w:color="auto"/>
            </w:tcBorders>
          </w:tcPr>
          <w:p w:rsidR="00A1222C" w:rsidRDefault="00A1222C" w:rsidP="00F343E9">
            <w:r w:rsidRPr="003071F9">
              <w:rPr>
                <w:rFonts w:cs="Arial"/>
                <w:sz w:val="18"/>
                <w:szCs w:val="18"/>
              </w:rPr>
              <w:t>√</w:t>
            </w:r>
          </w:p>
        </w:tc>
        <w:tc>
          <w:tcPr>
            <w:tcW w:w="777" w:type="dxa"/>
          </w:tcPr>
          <w:p w:rsidR="00A1222C" w:rsidRDefault="00A1222C" w:rsidP="00F343E9">
            <w:r w:rsidRPr="003071F9">
              <w:rPr>
                <w:rFonts w:cs="Arial"/>
                <w:sz w:val="18"/>
                <w:szCs w:val="18"/>
              </w:rPr>
              <w:t>√</w:t>
            </w:r>
          </w:p>
        </w:tc>
        <w:tc>
          <w:tcPr>
            <w:tcW w:w="777" w:type="dxa"/>
          </w:tcPr>
          <w:p w:rsidR="00A1222C" w:rsidRDefault="00A1222C" w:rsidP="00F343E9">
            <w:r w:rsidRPr="003071F9">
              <w:rPr>
                <w:rFonts w:cs="Arial"/>
                <w:sz w:val="18"/>
                <w:szCs w:val="18"/>
              </w:rPr>
              <w:t>√</w:t>
            </w:r>
          </w:p>
        </w:tc>
        <w:tc>
          <w:tcPr>
            <w:tcW w:w="777" w:type="dxa"/>
          </w:tcPr>
          <w:p w:rsidR="00A1222C" w:rsidRDefault="00A1222C" w:rsidP="00F343E9">
            <w:r w:rsidRPr="003071F9">
              <w:rPr>
                <w:rFonts w:cs="Arial"/>
                <w:sz w:val="18"/>
                <w:szCs w:val="18"/>
              </w:rPr>
              <w:t>√</w:t>
            </w:r>
          </w:p>
        </w:tc>
        <w:tc>
          <w:tcPr>
            <w:tcW w:w="778" w:type="dxa"/>
          </w:tcPr>
          <w:p w:rsidR="00A1222C" w:rsidRDefault="00A1222C" w:rsidP="00F343E9">
            <w:r w:rsidRPr="003071F9">
              <w:rPr>
                <w:rFonts w:cs="Arial"/>
                <w:sz w:val="18"/>
                <w:szCs w:val="18"/>
              </w:rPr>
              <w:t>√</w:t>
            </w:r>
          </w:p>
        </w:tc>
        <w:tc>
          <w:tcPr>
            <w:tcW w:w="778" w:type="dxa"/>
          </w:tcPr>
          <w:p w:rsidR="00A1222C" w:rsidRDefault="00A1222C" w:rsidP="00F343E9">
            <w:r w:rsidRPr="003071F9">
              <w:rPr>
                <w:rFonts w:cs="Arial"/>
                <w:sz w:val="18"/>
                <w:szCs w:val="18"/>
              </w:rPr>
              <w:t>√</w:t>
            </w:r>
          </w:p>
        </w:tc>
        <w:tc>
          <w:tcPr>
            <w:tcW w:w="778" w:type="dxa"/>
          </w:tcPr>
          <w:p w:rsidR="00A1222C" w:rsidRDefault="00A1222C" w:rsidP="00F343E9">
            <w:r w:rsidRPr="003071F9">
              <w:rPr>
                <w:rFonts w:cs="Arial"/>
                <w:sz w:val="18"/>
                <w:szCs w:val="18"/>
              </w:rPr>
              <w:t>√</w:t>
            </w: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85"/>
            </w:r>
          </w:p>
        </w:tc>
        <w:tc>
          <w:tcPr>
            <w:tcW w:w="783" w:type="dxa"/>
            <w:vAlign w:val="center"/>
          </w:tcPr>
          <w:p w:rsidR="00A1222C" w:rsidRDefault="00A1222C" w:rsidP="00F343E9">
            <w:r>
              <w:rPr>
                <w:rFonts w:cs="Arial"/>
                <w:sz w:val="18"/>
                <w:szCs w:val="18"/>
              </w:rPr>
              <w:t>√</w:t>
            </w:r>
            <w:r>
              <w:rPr>
                <w:rStyle w:val="EndnoteReference"/>
              </w:rPr>
              <w:endnoteReference w:id="186"/>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PL</w:t>
            </w:r>
          </w:p>
        </w:tc>
        <w:tc>
          <w:tcPr>
            <w:tcW w:w="649" w:type="dxa"/>
            <w:tcBorders>
              <w:left w:val="single" w:sz="12" w:space="0" w:color="auto"/>
            </w:tcBorders>
          </w:tcPr>
          <w:p w:rsidR="00A1222C" w:rsidRDefault="00A1222C" w:rsidP="00F343E9">
            <w:r w:rsidRPr="0081306A">
              <w:rPr>
                <w:rFonts w:cs="Arial"/>
                <w:sz w:val="18"/>
                <w:szCs w:val="18"/>
              </w:rPr>
              <w:t>√</w:t>
            </w:r>
          </w:p>
        </w:tc>
        <w:tc>
          <w:tcPr>
            <w:tcW w:w="777" w:type="dxa"/>
          </w:tcPr>
          <w:p w:rsidR="00A1222C" w:rsidRDefault="00A1222C" w:rsidP="00F343E9">
            <w:r w:rsidRPr="0081306A">
              <w:rPr>
                <w:rFonts w:cs="Arial"/>
                <w:sz w:val="18"/>
                <w:szCs w:val="18"/>
              </w:rPr>
              <w:t>√</w:t>
            </w:r>
          </w:p>
        </w:tc>
        <w:tc>
          <w:tcPr>
            <w:tcW w:w="777" w:type="dxa"/>
          </w:tcPr>
          <w:p w:rsidR="00A1222C" w:rsidRDefault="00A1222C" w:rsidP="00F343E9">
            <w:r w:rsidRPr="0081306A">
              <w:rPr>
                <w:rFonts w:cs="Arial"/>
                <w:sz w:val="18"/>
                <w:szCs w:val="18"/>
              </w:rPr>
              <w:t>√</w:t>
            </w:r>
          </w:p>
        </w:tc>
        <w:tc>
          <w:tcPr>
            <w:tcW w:w="777" w:type="dxa"/>
          </w:tcPr>
          <w:p w:rsidR="00A1222C" w:rsidRDefault="00A1222C" w:rsidP="00F343E9">
            <w:r w:rsidRPr="0081306A">
              <w:rPr>
                <w:rFonts w:cs="Arial"/>
                <w:sz w:val="18"/>
                <w:szCs w:val="18"/>
              </w:rPr>
              <w:t>√</w:t>
            </w:r>
          </w:p>
        </w:tc>
        <w:tc>
          <w:tcPr>
            <w:tcW w:w="778" w:type="dxa"/>
          </w:tcPr>
          <w:p w:rsidR="00A1222C" w:rsidRDefault="00A1222C" w:rsidP="00F343E9">
            <w:r w:rsidRPr="0081306A">
              <w:rPr>
                <w:rFonts w:cs="Arial"/>
                <w:sz w:val="18"/>
                <w:szCs w:val="18"/>
              </w:rPr>
              <w:t>√</w:t>
            </w:r>
          </w:p>
        </w:tc>
        <w:tc>
          <w:tcPr>
            <w:tcW w:w="778" w:type="dxa"/>
          </w:tcPr>
          <w:p w:rsidR="00A1222C" w:rsidRDefault="00A1222C" w:rsidP="00F343E9">
            <w:r w:rsidRPr="0081306A">
              <w:rPr>
                <w:rFonts w:cs="Arial"/>
                <w:sz w:val="18"/>
                <w:szCs w:val="18"/>
              </w:rPr>
              <w:t>√</w:t>
            </w:r>
          </w:p>
        </w:tc>
        <w:tc>
          <w:tcPr>
            <w:tcW w:w="778" w:type="dxa"/>
          </w:tcPr>
          <w:p w:rsidR="00A1222C" w:rsidRDefault="00A1222C" w:rsidP="00F343E9">
            <w:r w:rsidRPr="0081306A">
              <w:rPr>
                <w:rFonts w:cs="Arial"/>
                <w:sz w:val="18"/>
                <w:szCs w:val="18"/>
              </w:rPr>
              <w:t>√</w:t>
            </w:r>
          </w:p>
        </w:tc>
        <w:tc>
          <w:tcPr>
            <w:tcW w:w="778" w:type="dxa"/>
          </w:tcPr>
          <w:p w:rsidR="00A1222C" w:rsidRDefault="00A1222C" w:rsidP="00F343E9">
            <w:r w:rsidRPr="0081306A">
              <w:rPr>
                <w:rFonts w:cs="Arial"/>
                <w:sz w:val="18"/>
                <w:szCs w:val="18"/>
              </w:rPr>
              <w:t>√</w:t>
            </w:r>
          </w:p>
        </w:tc>
        <w:tc>
          <w:tcPr>
            <w:tcW w:w="777" w:type="dxa"/>
            <w:tcBorders>
              <w:right w:val="single" w:sz="12" w:space="0" w:color="auto"/>
            </w:tcBorders>
          </w:tcPr>
          <w:p w:rsidR="00A1222C" w:rsidRDefault="00A1222C" w:rsidP="00F343E9">
            <w:r w:rsidRPr="0081306A">
              <w:rPr>
                <w:rFonts w:cs="Arial"/>
                <w:sz w:val="18"/>
                <w:szCs w:val="18"/>
              </w:rPr>
              <w:t>√</w:t>
            </w:r>
          </w:p>
        </w:tc>
        <w:tc>
          <w:tcPr>
            <w:tcW w:w="778" w:type="dxa"/>
            <w:tcBorders>
              <w:left w:val="single" w:sz="12" w:space="0" w:color="auto"/>
            </w:tcBorders>
            <w:vAlign w:val="center"/>
          </w:tcPr>
          <w:p w:rsidR="00A1222C" w:rsidRDefault="00A1222C" w:rsidP="00F343E9">
            <w:r>
              <w:rPr>
                <w:rFonts w:cs="Arial"/>
                <w:sz w:val="18"/>
                <w:szCs w:val="18"/>
              </w:rPr>
              <w:t>√</w:t>
            </w:r>
            <w:r>
              <w:rPr>
                <w:rStyle w:val="EndnoteReference"/>
              </w:rPr>
              <w:endnoteReference w:id="187"/>
            </w:r>
          </w:p>
        </w:tc>
        <w:tc>
          <w:tcPr>
            <w:tcW w:w="778" w:type="dxa"/>
            <w:vAlign w:val="center"/>
          </w:tcPr>
          <w:p w:rsidR="00A1222C" w:rsidRDefault="00A1222C" w:rsidP="00F343E9">
            <w:r>
              <w:rPr>
                <w:rFonts w:cs="Arial"/>
                <w:sz w:val="18"/>
                <w:szCs w:val="18"/>
              </w:rPr>
              <w:t>√</w:t>
            </w:r>
            <w:r>
              <w:rPr>
                <w:rStyle w:val="EndnoteReference"/>
              </w:rPr>
              <w:endnoteReference w:id="188"/>
            </w:r>
          </w:p>
        </w:tc>
        <w:tc>
          <w:tcPr>
            <w:tcW w:w="778" w:type="dxa"/>
            <w:vAlign w:val="center"/>
          </w:tcPr>
          <w:p w:rsidR="00A1222C" w:rsidRDefault="00A1222C" w:rsidP="00F343E9">
            <w:r>
              <w:rPr>
                <w:rFonts w:cs="Arial"/>
                <w:sz w:val="18"/>
                <w:szCs w:val="18"/>
              </w:rPr>
              <w:t>√</w:t>
            </w:r>
            <w:r>
              <w:rPr>
                <w:rStyle w:val="EndnoteReference"/>
              </w:rPr>
              <w:endnoteReference w:id="189"/>
            </w:r>
          </w:p>
        </w:tc>
        <w:tc>
          <w:tcPr>
            <w:tcW w:w="783" w:type="dxa"/>
            <w:vAlign w:val="center"/>
          </w:tcPr>
          <w:p w:rsidR="00A1222C" w:rsidRDefault="00A1222C" w:rsidP="00F343E9">
            <w:r>
              <w:rPr>
                <w:rFonts w:cs="Arial"/>
                <w:sz w:val="18"/>
                <w:szCs w:val="18"/>
              </w:rPr>
              <w:t>√</w:t>
            </w:r>
            <w:r>
              <w:rPr>
                <w:rStyle w:val="EndnoteReference"/>
              </w:rPr>
              <w:endnoteReference w:id="190"/>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PT</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vAlign w:val="center"/>
          </w:tcPr>
          <w:p w:rsidR="00A1222C" w:rsidRPr="00E217F3" w:rsidRDefault="00A1222C" w:rsidP="00F343E9">
            <w:pPr>
              <w:rPr>
                <w:sz w:val="18"/>
                <w:szCs w:val="18"/>
              </w:rPr>
            </w:pPr>
            <w:r>
              <w:rPr>
                <w:rFonts w:cs="Arial"/>
                <w:sz w:val="18"/>
                <w:szCs w:val="18"/>
              </w:rPr>
              <w:t>√</w:t>
            </w: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vAlign w:val="center"/>
          </w:tcPr>
          <w:p w:rsidR="00A1222C" w:rsidRPr="00E217F3" w:rsidRDefault="00A1222C" w:rsidP="00F343E9">
            <w:pPr>
              <w:rPr>
                <w:sz w:val="18"/>
                <w:szCs w:val="18"/>
              </w:rPr>
            </w:pPr>
            <w:r>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Pr>
                <w:rFonts w:cs="Arial"/>
                <w:sz w:val="18"/>
                <w:szCs w:val="18"/>
              </w:rPr>
              <w:t>√</w:t>
            </w:r>
            <w:r>
              <w:rPr>
                <w:rStyle w:val="EndnoteReference"/>
              </w:rPr>
              <w:endnoteReference w:id="191"/>
            </w:r>
          </w:p>
        </w:tc>
        <w:tc>
          <w:tcPr>
            <w:tcW w:w="778" w:type="dxa"/>
            <w:vAlign w:val="center"/>
          </w:tcPr>
          <w:p w:rsidR="00A1222C" w:rsidRDefault="00A1222C" w:rsidP="00F343E9">
            <w:r>
              <w:rPr>
                <w:rFonts w:cs="Arial"/>
                <w:sz w:val="18"/>
                <w:szCs w:val="18"/>
              </w:rPr>
              <w:t>√</w:t>
            </w:r>
            <w:r>
              <w:rPr>
                <w:rStyle w:val="EndnoteReference"/>
              </w:rPr>
              <w:endnoteReference w:id="192"/>
            </w:r>
          </w:p>
        </w:tc>
        <w:tc>
          <w:tcPr>
            <w:tcW w:w="783" w:type="dxa"/>
            <w:vAlign w:val="center"/>
          </w:tcPr>
          <w:p w:rsidR="00A1222C" w:rsidRDefault="00A1222C" w:rsidP="00F343E9">
            <w:r>
              <w:rPr>
                <w:rFonts w:cs="Arial"/>
                <w:sz w:val="18"/>
                <w:szCs w:val="18"/>
              </w:rPr>
              <w:t>√</w:t>
            </w:r>
            <w:r>
              <w:rPr>
                <w:rStyle w:val="EndnoteReference"/>
              </w:rPr>
              <w:endnoteReference w:id="193"/>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RO</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tcPr>
          <w:p w:rsidR="00A1222C" w:rsidRDefault="00A1222C" w:rsidP="00F343E9">
            <w:r w:rsidRPr="001D4E7D">
              <w:rPr>
                <w:rFonts w:cs="Arial"/>
                <w:sz w:val="18"/>
                <w:szCs w:val="18"/>
              </w:rPr>
              <w:t>√</w:t>
            </w:r>
          </w:p>
        </w:tc>
        <w:tc>
          <w:tcPr>
            <w:tcW w:w="777" w:type="dxa"/>
          </w:tcPr>
          <w:p w:rsidR="00A1222C" w:rsidRDefault="00A1222C" w:rsidP="00F343E9">
            <w:r w:rsidRPr="001D4E7D">
              <w:rPr>
                <w:rFonts w:cs="Arial"/>
                <w:sz w:val="18"/>
                <w:szCs w:val="18"/>
              </w:rPr>
              <w:t>√</w:t>
            </w:r>
          </w:p>
        </w:tc>
        <w:tc>
          <w:tcPr>
            <w:tcW w:w="777" w:type="dxa"/>
          </w:tcPr>
          <w:p w:rsidR="00A1222C" w:rsidRDefault="00A1222C" w:rsidP="00F343E9">
            <w:r w:rsidRPr="001D4E7D">
              <w:rPr>
                <w:rFonts w:cs="Arial"/>
                <w:sz w:val="18"/>
                <w:szCs w:val="18"/>
              </w:rPr>
              <w:t>√</w:t>
            </w:r>
          </w:p>
        </w:tc>
        <w:tc>
          <w:tcPr>
            <w:tcW w:w="778" w:type="dxa"/>
          </w:tcPr>
          <w:p w:rsidR="00A1222C" w:rsidRDefault="00A1222C" w:rsidP="00F343E9">
            <w:r w:rsidRPr="001D4E7D">
              <w:rPr>
                <w:rFonts w:cs="Arial"/>
                <w:sz w:val="18"/>
                <w:szCs w:val="18"/>
              </w:rPr>
              <w:t>√</w:t>
            </w:r>
          </w:p>
        </w:tc>
        <w:tc>
          <w:tcPr>
            <w:tcW w:w="778" w:type="dxa"/>
          </w:tcPr>
          <w:p w:rsidR="00A1222C" w:rsidRDefault="00A1222C" w:rsidP="00F343E9">
            <w:r w:rsidRPr="001D4E7D">
              <w:rPr>
                <w:rFonts w:cs="Arial"/>
                <w:sz w:val="18"/>
                <w:szCs w:val="18"/>
              </w:rPr>
              <w:t>√</w:t>
            </w:r>
          </w:p>
        </w:tc>
        <w:tc>
          <w:tcPr>
            <w:tcW w:w="778" w:type="dxa"/>
          </w:tcPr>
          <w:p w:rsidR="00A1222C" w:rsidRDefault="00A1222C" w:rsidP="00F343E9">
            <w:r w:rsidRPr="001D4E7D">
              <w:rPr>
                <w:rFonts w:cs="Arial"/>
                <w:sz w:val="18"/>
                <w:szCs w:val="18"/>
              </w:rPr>
              <w:t>√</w:t>
            </w:r>
          </w:p>
        </w:tc>
        <w:tc>
          <w:tcPr>
            <w:tcW w:w="778" w:type="dxa"/>
          </w:tcPr>
          <w:p w:rsidR="00A1222C" w:rsidRDefault="00A1222C" w:rsidP="00F343E9">
            <w:r w:rsidRPr="001D4E7D">
              <w:rPr>
                <w:rFonts w:cs="Arial"/>
                <w:sz w:val="18"/>
                <w:szCs w:val="18"/>
              </w:rPr>
              <w:t>√</w:t>
            </w:r>
          </w:p>
        </w:tc>
        <w:tc>
          <w:tcPr>
            <w:tcW w:w="777" w:type="dxa"/>
            <w:tcBorders>
              <w:right w:val="single" w:sz="12" w:space="0" w:color="auto"/>
            </w:tcBorders>
          </w:tcPr>
          <w:p w:rsidR="00A1222C" w:rsidRDefault="00A1222C" w:rsidP="00F343E9">
            <w:r w:rsidRPr="001D4E7D">
              <w:rPr>
                <w:rFonts w:cs="Arial"/>
                <w:sz w:val="18"/>
                <w:szCs w:val="18"/>
              </w:rPr>
              <w:t>√</w:t>
            </w:r>
          </w:p>
        </w:tc>
        <w:tc>
          <w:tcPr>
            <w:tcW w:w="778" w:type="dxa"/>
            <w:tcBorders>
              <w:left w:val="single" w:sz="12" w:space="0" w:color="auto"/>
            </w:tcBorders>
          </w:tcPr>
          <w:p w:rsidR="00A1222C" w:rsidRDefault="00A1222C" w:rsidP="00F343E9">
            <w:r w:rsidRPr="003D021D">
              <w:rPr>
                <w:rFonts w:cs="Arial"/>
                <w:sz w:val="18"/>
                <w:szCs w:val="18"/>
              </w:rPr>
              <w:t>√</w:t>
            </w:r>
          </w:p>
        </w:tc>
        <w:tc>
          <w:tcPr>
            <w:tcW w:w="778" w:type="dxa"/>
          </w:tcPr>
          <w:p w:rsidR="00A1222C" w:rsidRDefault="00A1222C" w:rsidP="00F343E9">
            <w:r w:rsidRPr="00FF47F2">
              <w:rPr>
                <w:rFonts w:cs="Arial"/>
                <w:sz w:val="18"/>
                <w:szCs w:val="18"/>
              </w:rPr>
              <w:t>√</w:t>
            </w:r>
          </w:p>
        </w:tc>
        <w:tc>
          <w:tcPr>
            <w:tcW w:w="778" w:type="dxa"/>
          </w:tcPr>
          <w:p w:rsidR="00A1222C" w:rsidRDefault="00A1222C" w:rsidP="00F343E9">
            <w:r w:rsidRPr="00FF47F2">
              <w:rPr>
                <w:rFonts w:cs="Arial"/>
                <w:sz w:val="18"/>
                <w:szCs w:val="18"/>
              </w:rPr>
              <w:t>√</w:t>
            </w:r>
          </w:p>
        </w:tc>
        <w:tc>
          <w:tcPr>
            <w:tcW w:w="783" w:type="dxa"/>
            <w:vAlign w:val="center"/>
          </w:tcPr>
          <w:p w:rsidR="00A1222C" w:rsidRDefault="00A1222C" w:rsidP="00F343E9">
            <w:r>
              <w:rPr>
                <w:rFonts w:cs="Arial"/>
                <w:sz w:val="18"/>
                <w:szCs w:val="18"/>
              </w:rPr>
              <w:t>√</w:t>
            </w:r>
            <w:r>
              <w:rPr>
                <w:rStyle w:val="EndnoteReference"/>
              </w:rPr>
              <w:endnoteReference w:id="194"/>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SE</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tcPr>
          <w:p w:rsidR="00A1222C" w:rsidRDefault="00A1222C" w:rsidP="00F343E9">
            <w:r w:rsidRPr="00FC1406">
              <w:rPr>
                <w:rFonts w:cs="Arial"/>
                <w:sz w:val="18"/>
                <w:szCs w:val="18"/>
              </w:rPr>
              <w:t>√</w:t>
            </w:r>
          </w:p>
        </w:tc>
        <w:tc>
          <w:tcPr>
            <w:tcW w:w="777" w:type="dxa"/>
          </w:tcPr>
          <w:p w:rsidR="00A1222C" w:rsidRDefault="00A1222C" w:rsidP="00F343E9">
            <w:r w:rsidRPr="000815C7">
              <w:rPr>
                <w:rFonts w:cs="Arial"/>
                <w:sz w:val="18"/>
                <w:szCs w:val="18"/>
              </w:rPr>
              <w:t>√</w:t>
            </w:r>
          </w:p>
        </w:tc>
        <w:tc>
          <w:tcPr>
            <w:tcW w:w="778" w:type="dxa"/>
          </w:tcPr>
          <w:p w:rsidR="00A1222C" w:rsidRDefault="00A1222C" w:rsidP="00F343E9">
            <w:r w:rsidRPr="000815C7">
              <w:rPr>
                <w:rFonts w:cs="Arial"/>
                <w:sz w:val="18"/>
                <w:szCs w:val="18"/>
              </w:rPr>
              <w:t>√</w:t>
            </w:r>
          </w:p>
        </w:tc>
        <w:tc>
          <w:tcPr>
            <w:tcW w:w="778" w:type="dxa"/>
          </w:tcPr>
          <w:p w:rsidR="00A1222C" w:rsidRDefault="00A1222C" w:rsidP="00F343E9">
            <w:r w:rsidRPr="000815C7">
              <w:rPr>
                <w:rFonts w:cs="Arial"/>
                <w:sz w:val="18"/>
                <w:szCs w:val="18"/>
              </w:rPr>
              <w:t>√</w:t>
            </w:r>
          </w:p>
        </w:tc>
        <w:tc>
          <w:tcPr>
            <w:tcW w:w="778" w:type="dxa"/>
          </w:tcPr>
          <w:p w:rsidR="00A1222C" w:rsidRDefault="00A1222C" w:rsidP="00F343E9">
            <w:r w:rsidRPr="000815C7">
              <w:rPr>
                <w:rFonts w:cs="Arial"/>
                <w:sz w:val="18"/>
                <w:szCs w:val="18"/>
              </w:rPr>
              <w:t>√</w:t>
            </w:r>
          </w:p>
        </w:tc>
        <w:tc>
          <w:tcPr>
            <w:tcW w:w="778" w:type="dxa"/>
          </w:tcPr>
          <w:p w:rsidR="00A1222C" w:rsidRDefault="00A1222C" w:rsidP="00F343E9">
            <w:r w:rsidRPr="000815C7">
              <w:rPr>
                <w:rFonts w:cs="Arial"/>
                <w:sz w:val="18"/>
                <w:szCs w:val="18"/>
              </w:rPr>
              <w:t>√</w:t>
            </w: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tcPr>
          <w:p w:rsidR="00A1222C" w:rsidRDefault="00A1222C" w:rsidP="00F343E9">
            <w:r w:rsidRPr="003D021D">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95"/>
            </w:r>
          </w:p>
        </w:tc>
        <w:tc>
          <w:tcPr>
            <w:tcW w:w="778" w:type="dxa"/>
            <w:vAlign w:val="center"/>
          </w:tcPr>
          <w:p w:rsidR="00A1222C" w:rsidRDefault="00A1222C" w:rsidP="00F343E9">
            <w:r>
              <w:rPr>
                <w:rFonts w:cs="Arial"/>
                <w:sz w:val="18"/>
                <w:szCs w:val="18"/>
              </w:rPr>
              <w:t>√</w:t>
            </w:r>
            <w:r>
              <w:rPr>
                <w:rStyle w:val="EndnoteReference"/>
              </w:rPr>
              <w:endnoteReference w:id="196"/>
            </w:r>
          </w:p>
        </w:tc>
        <w:tc>
          <w:tcPr>
            <w:tcW w:w="783" w:type="dxa"/>
            <w:vAlign w:val="center"/>
          </w:tcPr>
          <w:p w:rsidR="00A1222C" w:rsidRDefault="00A1222C" w:rsidP="00F343E9">
            <w:r>
              <w:rPr>
                <w:rFonts w:cs="Arial"/>
                <w:sz w:val="18"/>
                <w:szCs w:val="18"/>
              </w:rPr>
              <w:t>√</w:t>
            </w:r>
            <w:r>
              <w:rPr>
                <w:rStyle w:val="EndnoteReference"/>
              </w:rPr>
              <w:endnoteReference w:id="197"/>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SI</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tcPr>
          <w:p w:rsidR="00A1222C" w:rsidRDefault="00A1222C" w:rsidP="00F343E9">
            <w:r w:rsidRPr="00FC1406">
              <w:rPr>
                <w:rFonts w:cs="Arial"/>
                <w:sz w:val="18"/>
                <w:szCs w:val="18"/>
              </w:rPr>
              <w:t>√</w:t>
            </w: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vAlign w:val="center"/>
          </w:tcPr>
          <w:p w:rsidR="00A1222C" w:rsidRDefault="00A1222C" w:rsidP="00F343E9">
            <w:r>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198"/>
            </w:r>
          </w:p>
        </w:tc>
        <w:tc>
          <w:tcPr>
            <w:tcW w:w="783" w:type="dxa"/>
            <w:vAlign w:val="center"/>
          </w:tcPr>
          <w:p w:rsidR="00A1222C" w:rsidRDefault="00A1222C" w:rsidP="00F343E9">
            <w:r>
              <w:rPr>
                <w:rFonts w:cs="Arial"/>
                <w:sz w:val="18"/>
                <w:szCs w:val="18"/>
              </w:rPr>
              <w:t>√</w:t>
            </w:r>
            <w:r>
              <w:rPr>
                <w:rStyle w:val="EndnoteReference"/>
              </w:rPr>
              <w:endnoteReference w:id="199"/>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SK</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tcPr>
          <w:p w:rsidR="00A1222C" w:rsidRDefault="00A1222C" w:rsidP="00F343E9">
            <w:r w:rsidRPr="00D04189">
              <w:rPr>
                <w:rFonts w:cs="Arial"/>
                <w:sz w:val="18"/>
                <w:szCs w:val="18"/>
              </w:rPr>
              <w:t>√</w:t>
            </w:r>
          </w:p>
        </w:tc>
        <w:tc>
          <w:tcPr>
            <w:tcW w:w="777" w:type="dxa"/>
          </w:tcPr>
          <w:p w:rsidR="00A1222C" w:rsidRDefault="00A1222C" w:rsidP="00F343E9">
            <w:r w:rsidRPr="00D04189">
              <w:rPr>
                <w:rFonts w:cs="Arial"/>
                <w:sz w:val="18"/>
                <w:szCs w:val="18"/>
              </w:rPr>
              <w:t>√</w:t>
            </w:r>
          </w:p>
        </w:tc>
        <w:tc>
          <w:tcPr>
            <w:tcW w:w="777" w:type="dxa"/>
          </w:tcPr>
          <w:p w:rsidR="00A1222C" w:rsidRDefault="00A1222C" w:rsidP="00F343E9">
            <w:r w:rsidRPr="00D04189">
              <w:rPr>
                <w:rFonts w:cs="Arial"/>
                <w:sz w:val="18"/>
                <w:szCs w:val="18"/>
              </w:rPr>
              <w:t>√</w:t>
            </w:r>
          </w:p>
        </w:tc>
        <w:tc>
          <w:tcPr>
            <w:tcW w:w="778" w:type="dxa"/>
          </w:tcPr>
          <w:p w:rsidR="00A1222C" w:rsidRDefault="00A1222C" w:rsidP="00F343E9">
            <w:r w:rsidRPr="00D04189">
              <w:rPr>
                <w:rFonts w:cs="Arial"/>
                <w:sz w:val="18"/>
                <w:szCs w:val="18"/>
              </w:rPr>
              <w:t>√</w:t>
            </w:r>
          </w:p>
        </w:tc>
        <w:tc>
          <w:tcPr>
            <w:tcW w:w="778" w:type="dxa"/>
          </w:tcPr>
          <w:p w:rsidR="00A1222C" w:rsidRDefault="00A1222C" w:rsidP="00F343E9">
            <w:r w:rsidRPr="00D04189">
              <w:rPr>
                <w:rFonts w:cs="Arial"/>
                <w:sz w:val="18"/>
                <w:szCs w:val="18"/>
              </w:rPr>
              <w:t>√</w:t>
            </w:r>
          </w:p>
        </w:tc>
        <w:tc>
          <w:tcPr>
            <w:tcW w:w="778" w:type="dxa"/>
          </w:tcPr>
          <w:p w:rsidR="00A1222C" w:rsidRDefault="00A1222C" w:rsidP="00F343E9">
            <w:r w:rsidRPr="00F8433E">
              <w:rPr>
                <w:rFonts w:cs="Arial"/>
                <w:sz w:val="18"/>
                <w:szCs w:val="18"/>
              </w:rPr>
              <w:t>√</w:t>
            </w:r>
          </w:p>
        </w:tc>
        <w:tc>
          <w:tcPr>
            <w:tcW w:w="778" w:type="dxa"/>
          </w:tcPr>
          <w:p w:rsidR="00A1222C" w:rsidRDefault="00A1222C" w:rsidP="00F343E9">
            <w:r w:rsidRPr="00D04189">
              <w:rPr>
                <w:rFonts w:cs="Arial"/>
                <w:sz w:val="18"/>
                <w:szCs w:val="18"/>
              </w:rPr>
              <w:t>√</w:t>
            </w:r>
          </w:p>
        </w:tc>
        <w:tc>
          <w:tcPr>
            <w:tcW w:w="777" w:type="dxa"/>
            <w:tcBorders>
              <w:right w:val="single" w:sz="12" w:space="0" w:color="auto"/>
            </w:tcBorders>
          </w:tcPr>
          <w:p w:rsidR="00A1222C" w:rsidRDefault="00A1222C" w:rsidP="00F343E9">
            <w:r w:rsidRPr="00D04189">
              <w:rPr>
                <w:rFonts w:cs="Arial"/>
                <w:sz w:val="18"/>
                <w:szCs w:val="18"/>
              </w:rPr>
              <w:t>√</w:t>
            </w: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tcPr>
          <w:p w:rsidR="00A1222C" w:rsidRDefault="00A1222C" w:rsidP="00F343E9">
            <w:r w:rsidRPr="00016C9D">
              <w:rPr>
                <w:rFonts w:cs="Arial"/>
                <w:sz w:val="18"/>
                <w:szCs w:val="18"/>
              </w:rPr>
              <w:t>√</w:t>
            </w:r>
          </w:p>
        </w:tc>
        <w:tc>
          <w:tcPr>
            <w:tcW w:w="778" w:type="dxa"/>
          </w:tcPr>
          <w:p w:rsidR="00A1222C" w:rsidRDefault="00A1222C" w:rsidP="00F343E9">
            <w:r w:rsidRPr="00016C9D">
              <w:rPr>
                <w:rFonts w:cs="Arial"/>
                <w:sz w:val="18"/>
                <w:szCs w:val="18"/>
              </w:rPr>
              <w:t>√</w:t>
            </w:r>
          </w:p>
        </w:tc>
        <w:tc>
          <w:tcPr>
            <w:tcW w:w="783" w:type="dxa"/>
            <w:shd w:val="clear" w:color="auto" w:fill="D9D9D9" w:themeFill="background1" w:themeFillShade="D9"/>
            <w:vAlign w:val="center"/>
          </w:tcPr>
          <w:p w:rsidR="00A1222C" w:rsidRDefault="00A1222C" w:rsidP="00F343E9"/>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UK-E&amp;W</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tcPr>
          <w:p w:rsidR="00A1222C" w:rsidRDefault="00A1222C" w:rsidP="00F343E9">
            <w:r w:rsidRPr="00D04189">
              <w:rPr>
                <w:rFonts w:cs="Arial"/>
                <w:sz w:val="18"/>
                <w:szCs w:val="18"/>
              </w:rPr>
              <w:t>√</w:t>
            </w:r>
          </w:p>
        </w:tc>
        <w:tc>
          <w:tcPr>
            <w:tcW w:w="777" w:type="dxa"/>
          </w:tcPr>
          <w:p w:rsidR="00A1222C" w:rsidRDefault="00A1222C" w:rsidP="00F343E9">
            <w:r w:rsidRPr="00D04189">
              <w:rPr>
                <w:rFonts w:cs="Arial"/>
                <w:sz w:val="18"/>
                <w:szCs w:val="18"/>
              </w:rPr>
              <w:t>√</w:t>
            </w:r>
          </w:p>
        </w:tc>
        <w:tc>
          <w:tcPr>
            <w:tcW w:w="777" w:type="dxa"/>
          </w:tcPr>
          <w:p w:rsidR="00A1222C" w:rsidRDefault="00A1222C" w:rsidP="00F343E9">
            <w:r w:rsidRPr="00D04189">
              <w:rPr>
                <w:rFonts w:cs="Arial"/>
                <w:sz w:val="18"/>
                <w:szCs w:val="18"/>
              </w:rPr>
              <w:t>√</w:t>
            </w:r>
          </w:p>
        </w:tc>
        <w:tc>
          <w:tcPr>
            <w:tcW w:w="778" w:type="dxa"/>
          </w:tcPr>
          <w:p w:rsidR="00A1222C" w:rsidRDefault="00A1222C" w:rsidP="00F343E9">
            <w:r w:rsidRPr="00D04189">
              <w:rPr>
                <w:rFonts w:cs="Arial"/>
                <w:sz w:val="18"/>
                <w:szCs w:val="18"/>
              </w:rPr>
              <w:t>√</w:t>
            </w:r>
          </w:p>
        </w:tc>
        <w:tc>
          <w:tcPr>
            <w:tcW w:w="778" w:type="dxa"/>
          </w:tcPr>
          <w:p w:rsidR="00A1222C" w:rsidRDefault="00A1222C" w:rsidP="00F343E9">
            <w:r w:rsidRPr="00D04189">
              <w:rPr>
                <w:rFonts w:cs="Arial"/>
                <w:sz w:val="18"/>
                <w:szCs w:val="18"/>
              </w:rPr>
              <w:t>√</w:t>
            </w:r>
          </w:p>
        </w:tc>
        <w:tc>
          <w:tcPr>
            <w:tcW w:w="778" w:type="dxa"/>
          </w:tcPr>
          <w:p w:rsidR="00A1222C" w:rsidRDefault="00A1222C" w:rsidP="00F343E9">
            <w:r w:rsidRPr="00F8433E">
              <w:rPr>
                <w:rFonts w:cs="Arial"/>
                <w:sz w:val="18"/>
                <w:szCs w:val="18"/>
              </w:rPr>
              <w:t>√</w:t>
            </w:r>
          </w:p>
        </w:tc>
        <w:tc>
          <w:tcPr>
            <w:tcW w:w="778" w:type="dxa"/>
          </w:tcPr>
          <w:p w:rsidR="00A1222C" w:rsidRDefault="00A1222C" w:rsidP="00F343E9">
            <w:r w:rsidRPr="00D04189">
              <w:rPr>
                <w:rFonts w:cs="Arial"/>
                <w:sz w:val="18"/>
                <w:szCs w:val="18"/>
              </w:rPr>
              <w:t>√</w:t>
            </w:r>
          </w:p>
        </w:tc>
        <w:tc>
          <w:tcPr>
            <w:tcW w:w="777" w:type="dxa"/>
            <w:tcBorders>
              <w:right w:val="single" w:sz="12" w:space="0" w:color="auto"/>
            </w:tcBorders>
          </w:tcPr>
          <w:p w:rsidR="00A1222C" w:rsidRDefault="00A1222C" w:rsidP="00F343E9">
            <w:r w:rsidRPr="00D04189">
              <w:rPr>
                <w:rFonts w:cs="Arial"/>
                <w:sz w:val="18"/>
                <w:szCs w:val="18"/>
              </w:rPr>
              <w:t>√</w:t>
            </w:r>
          </w:p>
        </w:tc>
        <w:tc>
          <w:tcPr>
            <w:tcW w:w="778" w:type="dxa"/>
            <w:tcBorders>
              <w:left w:val="single" w:sz="12" w:space="0" w:color="auto"/>
            </w:tcBorders>
            <w:vAlign w:val="center"/>
          </w:tcPr>
          <w:p w:rsidR="00A1222C" w:rsidRDefault="00A1222C" w:rsidP="00F343E9">
            <w:r>
              <w:rPr>
                <w:rFonts w:cs="Arial"/>
                <w:sz w:val="18"/>
                <w:szCs w:val="18"/>
              </w:rPr>
              <w:t>√</w:t>
            </w:r>
          </w:p>
        </w:tc>
        <w:tc>
          <w:tcPr>
            <w:tcW w:w="778" w:type="dxa"/>
            <w:vAlign w:val="center"/>
          </w:tcPr>
          <w:p w:rsidR="00A1222C" w:rsidRDefault="00A1222C" w:rsidP="00F343E9">
            <w:r>
              <w:rPr>
                <w:rFonts w:cs="Arial"/>
                <w:sz w:val="18"/>
                <w:szCs w:val="18"/>
              </w:rPr>
              <w:t>√</w:t>
            </w:r>
            <w:r>
              <w:rPr>
                <w:rStyle w:val="EndnoteReference"/>
              </w:rPr>
              <w:endnoteReference w:id="200"/>
            </w:r>
          </w:p>
        </w:tc>
        <w:tc>
          <w:tcPr>
            <w:tcW w:w="778" w:type="dxa"/>
            <w:vAlign w:val="center"/>
          </w:tcPr>
          <w:p w:rsidR="00A1222C" w:rsidRDefault="00A1222C" w:rsidP="00F343E9">
            <w:r>
              <w:rPr>
                <w:rFonts w:cs="Arial"/>
                <w:sz w:val="18"/>
                <w:szCs w:val="18"/>
              </w:rPr>
              <w:t>√</w:t>
            </w:r>
            <w:r>
              <w:rPr>
                <w:rStyle w:val="EndnoteReference"/>
              </w:rPr>
              <w:endnoteReference w:id="201"/>
            </w:r>
          </w:p>
        </w:tc>
        <w:tc>
          <w:tcPr>
            <w:tcW w:w="783" w:type="dxa"/>
            <w:vAlign w:val="center"/>
          </w:tcPr>
          <w:p w:rsidR="00A1222C" w:rsidRDefault="00A1222C" w:rsidP="00F343E9">
            <w:r>
              <w:rPr>
                <w:rFonts w:cs="Arial"/>
                <w:sz w:val="18"/>
                <w:szCs w:val="18"/>
              </w:rPr>
              <w:t>√</w:t>
            </w:r>
            <w:r>
              <w:rPr>
                <w:rStyle w:val="EndnoteReference"/>
              </w:rPr>
              <w:endnoteReference w:id="202"/>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A1222C" w:rsidP="00F343E9">
            <w:pPr>
              <w:pStyle w:val="BTBullet1"/>
              <w:numPr>
                <w:ilvl w:val="0"/>
                <w:numId w:val="0"/>
              </w:numPr>
              <w:rPr>
                <w:b/>
                <w:sz w:val="16"/>
                <w:szCs w:val="16"/>
              </w:rPr>
            </w:pPr>
            <w:r w:rsidRPr="00362973">
              <w:rPr>
                <w:b/>
                <w:sz w:val="16"/>
                <w:szCs w:val="16"/>
              </w:rPr>
              <w:t>UK-NI</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tcPr>
          <w:p w:rsidR="00A1222C" w:rsidRDefault="00A1222C" w:rsidP="00F343E9">
            <w:r w:rsidRPr="00F8433E">
              <w:rPr>
                <w:rFonts w:cs="Arial"/>
                <w:sz w:val="18"/>
                <w:szCs w:val="18"/>
              </w:rPr>
              <w:t>√</w:t>
            </w: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shd w:val="clear" w:color="auto" w:fill="D9D9D9" w:themeFill="background1" w:themeFillShade="D9"/>
            <w:vAlign w:val="center"/>
          </w:tcPr>
          <w:p w:rsidR="00A1222C" w:rsidRPr="00E217F3" w:rsidRDefault="00A1222C" w:rsidP="00F343E9">
            <w:pPr>
              <w:rPr>
                <w:sz w:val="18"/>
                <w:szCs w:val="18"/>
              </w:rPr>
            </w:pPr>
          </w:p>
        </w:tc>
        <w:tc>
          <w:tcPr>
            <w:tcW w:w="778" w:type="dxa"/>
            <w:tcBorders>
              <w:left w:val="single" w:sz="12" w:space="0" w:color="auto"/>
            </w:tcBorders>
            <w:shd w:val="clear" w:color="auto" w:fill="D9D9D9" w:themeFill="background1" w:themeFillShade="D9"/>
            <w:vAlign w:val="center"/>
          </w:tcPr>
          <w:p w:rsidR="00A1222C" w:rsidRDefault="00A1222C" w:rsidP="00F343E9"/>
        </w:tc>
        <w:tc>
          <w:tcPr>
            <w:tcW w:w="778" w:type="dxa"/>
          </w:tcPr>
          <w:p w:rsidR="00A1222C" w:rsidRDefault="00A1222C" w:rsidP="00F343E9">
            <w:r w:rsidRPr="00B17520">
              <w:rPr>
                <w:rFonts w:cs="Arial"/>
                <w:sz w:val="18"/>
                <w:szCs w:val="18"/>
              </w:rPr>
              <w:t>√</w:t>
            </w:r>
          </w:p>
        </w:tc>
        <w:tc>
          <w:tcPr>
            <w:tcW w:w="778" w:type="dxa"/>
          </w:tcPr>
          <w:p w:rsidR="00A1222C" w:rsidRDefault="00A1222C" w:rsidP="00F343E9">
            <w:r w:rsidRPr="00B17520">
              <w:rPr>
                <w:rFonts w:cs="Arial"/>
                <w:sz w:val="18"/>
                <w:szCs w:val="18"/>
              </w:rPr>
              <w:t>√</w:t>
            </w:r>
          </w:p>
        </w:tc>
        <w:tc>
          <w:tcPr>
            <w:tcW w:w="783" w:type="dxa"/>
          </w:tcPr>
          <w:p w:rsidR="00A1222C" w:rsidRDefault="00A1222C" w:rsidP="00F343E9">
            <w:r w:rsidRPr="00B17520">
              <w:rPr>
                <w:rFonts w:cs="Arial"/>
                <w:sz w:val="18"/>
                <w:szCs w:val="18"/>
              </w:rPr>
              <w:t>√</w:t>
            </w:r>
          </w:p>
        </w:tc>
      </w:tr>
      <w:tr w:rsidR="00A1222C" w:rsidTr="00546996">
        <w:trPr>
          <w:cantSplit/>
          <w:trHeight w:hRule="exact" w:val="288"/>
          <w:jc w:val="center"/>
        </w:trPr>
        <w:tc>
          <w:tcPr>
            <w:tcW w:w="961" w:type="dxa"/>
            <w:tcBorders>
              <w:right w:val="single" w:sz="12" w:space="0" w:color="auto"/>
            </w:tcBorders>
            <w:shd w:val="clear" w:color="auto" w:fill="DBE5F1" w:themeFill="accent1" w:themeFillTint="33"/>
            <w:vAlign w:val="center"/>
          </w:tcPr>
          <w:p w:rsidR="00A1222C" w:rsidRPr="00362973" w:rsidRDefault="00CD7610" w:rsidP="00F343E9">
            <w:pPr>
              <w:pStyle w:val="BTBullet1"/>
              <w:numPr>
                <w:ilvl w:val="0"/>
                <w:numId w:val="0"/>
              </w:numPr>
              <w:rPr>
                <w:b/>
                <w:sz w:val="16"/>
                <w:szCs w:val="16"/>
              </w:rPr>
            </w:pPr>
            <w:r>
              <w:rPr>
                <w:b/>
                <w:sz w:val="16"/>
                <w:szCs w:val="16"/>
              </w:rPr>
              <w:t>UK-S</w:t>
            </w:r>
          </w:p>
        </w:tc>
        <w:tc>
          <w:tcPr>
            <w:tcW w:w="649" w:type="dxa"/>
            <w:tcBorders>
              <w:left w:val="single" w:sz="12" w:space="0" w:color="auto"/>
            </w:tcBorders>
          </w:tcPr>
          <w:p w:rsidR="00A1222C" w:rsidRDefault="00A1222C" w:rsidP="00F343E9">
            <w:r w:rsidRPr="00317690">
              <w:rPr>
                <w:rFonts w:cs="Arial"/>
                <w:sz w:val="18"/>
                <w:szCs w:val="18"/>
              </w:rPr>
              <w:t>√</w:t>
            </w: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7"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8" w:type="dxa"/>
          </w:tcPr>
          <w:p w:rsidR="00A1222C" w:rsidRDefault="00A1222C" w:rsidP="00F343E9">
            <w:r w:rsidRPr="00F8433E">
              <w:rPr>
                <w:rFonts w:cs="Arial"/>
                <w:sz w:val="18"/>
                <w:szCs w:val="18"/>
              </w:rPr>
              <w:t>√</w:t>
            </w:r>
          </w:p>
        </w:tc>
        <w:tc>
          <w:tcPr>
            <w:tcW w:w="778" w:type="dxa"/>
            <w:shd w:val="clear" w:color="auto" w:fill="D9D9D9" w:themeFill="background1" w:themeFillShade="D9"/>
            <w:vAlign w:val="center"/>
          </w:tcPr>
          <w:p w:rsidR="00A1222C" w:rsidRPr="00E217F3" w:rsidRDefault="00A1222C" w:rsidP="00F343E9">
            <w:pPr>
              <w:rPr>
                <w:sz w:val="18"/>
                <w:szCs w:val="18"/>
              </w:rPr>
            </w:pPr>
          </w:p>
        </w:tc>
        <w:tc>
          <w:tcPr>
            <w:tcW w:w="777" w:type="dxa"/>
            <w:tcBorders>
              <w:right w:val="single" w:sz="12" w:space="0" w:color="auto"/>
            </w:tcBorders>
          </w:tcPr>
          <w:p w:rsidR="00A1222C" w:rsidRDefault="00A1222C" w:rsidP="00F343E9">
            <w:r w:rsidRPr="00966E3D">
              <w:rPr>
                <w:rFonts w:cs="Arial"/>
                <w:sz w:val="18"/>
                <w:szCs w:val="18"/>
              </w:rPr>
              <w:t>√</w:t>
            </w:r>
          </w:p>
        </w:tc>
        <w:tc>
          <w:tcPr>
            <w:tcW w:w="778" w:type="dxa"/>
            <w:tcBorders>
              <w:left w:val="single" w:sz="12" w:space="0" w:color="auto"/>
            </w:tcBorders>
          </w:tcPr>
          <w:p w:rsidR="00A1222C" w:rsidRDefault="00A1222C" w:rsidP="00F343E9">
            <w:r w:rsidRPr="00966E3D">
              <w:rPr>
                <w:rFonts w:cs="Arial"/>
                <w:sz w:val="18"/>
                <w:szCs w:val="18"/>
              </w:rPr>
              <w:t>√</w:t>
            </w:r>
          </w:p>
        </w:tc>
        <w:tc>
          <w:tcPr>
            <w:tcW w:w="778" w:type="dxa"/>
          </w:tcPr>
          <w:p w:rsidR="00A1222C" w:rsidRDefault="00A1222C" w:rsidP="00F343E9">
            <w:r w:rsidRPr="00966E3D">
              <w:rPr>
                <w:rFonts w:cs="Arial"/>
                <w:sz w:val="18"/>
                <w:szCs w:val="18"/>
              </w:rPr>
              <w:t>√</w:t>
            </w:r>
          </w:p>
        </w:tc>
        <w:tc>
          <w:tcPr>
            <w:tcW w:w="778" w:type="dxa"/>
          </w:tcPr>
          <w:p w:rsidR="00A1222C" w:rsidRDefault="00A1222C" w:rsidP="00F343E9">
            <w:r w:rsidRPr="00966E3D">
              <w:rPr>
                <w:rFonts w:cs="Arial"/>
                <w:sz w:val="18"/>
                <w:szCs w:val="18"/>
              </w:rPr>
              <w:t>√</w:t>
            </w:r>
          </w:p>
        </w:tc>
        <w:tc>
          <w:tcPr>
            <w:tcW w:w="783" w:type="dxa"/>
          </w:tcPr>
          <w:p w:rsidR="00A1222C" w:rsidRDefault="00A1222C" w:rsidP="00F343E9">
            <w:r w:rsidRPr="00966E3D">
              <w:rPr>
                <w:rFonts w:cs="Arial"/>
                <w:sz w:val="18"/>
                <w:szCs w:val="18"/>
              </w:rPr>
              <w:t>√</w:t>
            </w:r>
          </w:p>
        </w:tc>
      </w:tr>
      <w:tr w:rsidR="00A1222C" w:rsidTr="00546996">
        <w:trPr>
          <w:cantSplit/>
          <w:trHeight w:hRule="exact" w:val="462"/>
          <w:jc w:val="center"/>
        </w:trPr>
        <w:tc>
          <w:tcPr>
            <w:tcW w:w="961" w:type="dxa"/>
            <w:tcBorders>
              <w:right w:val="single" w:sz="12" w:space="0" w:color="auto"/>
            </w:tcBorders>
            <w:shd w:val="clear" w:color="auto" w:fill="FFFFFF" w:themeFill="background1"/>
            <w:vAlign w:val="center"/>
          </w:tcPr>
          <w:p w:rsidR="00A1222C" w:rsidRPr="00362973" w:rsidRDefault="00A1222C" w:rsidP="00F343E9">
            <w:pPr>
              <w:pStyle w:val="BTBullet1"/>
              <w:numPr>
                <w:ilvl w:val="0"/>
                <w:numId w:val="0"/>
              </w:numPr>
              <w:rPr>
                <w:b/>
                <w:sz w:val="16"/>
                <w:szCs w:val="16"/>
              </w:rPr>
            </w:pPr>
            <w:r>
              <w:rPr>
                <w:b/>
                <w:sz w:val="16"/>
                <w:szCs w:val="16"/>
              </w:rPr>
              <w:t>Total Yes</w:t>
            </w:r>
          </w:p>
        </w:tc>
        <w:tc>
          <w:tcPr>
            <w:tcW w:w="649" w:type="dxa"/>
            <w:tcBorders>
              <w:left w:val="single" w:sz="12" w:space="0" w:color="auto"/>
            </w:tcBorders>
            <w:shd w:val="clear" w:color="auto" w:fill="auto"/>
          </w:tcPr>
          <w:p w:rsidR="00A1222C" w:rsidRPr="008D4407" w:rsidRDefault="00A1222C" w:rsidP="00F343E9">
            <w:pPr>
              <w:rPr>
                <w:rFonts w:cs="Arial"/>
                <w:b/>
                <w:sz w:val="16"/>
                <w:szCs w:val="16"/>
              </w:rPr>
            </w:pPr>
            <w:r w:rsidRPr="008D4407">
              <w:rPr>
                <w:rFonts w:cs="Arial"/>
                <w:b/>
                <w:sz w:val="16"/>
                <w:szCs w:val="16"/>
              </w:rPr>
              <w:t>26</w:t>
            </w:r>
          </w:p>
        </w:tc>
        <w:tc>
          <w:tcPr>
            <w:tcW w:w="777" w:type="dxa"/>
            <w:shd w:val="clear" w:color="auto" w:fill="auto"/>
            <w:vAlign w:val="center"/>
          </w:tcPr>
          <w:p w:rsidR="00A1222C" w:rsidRPr="008D4407" w:rsidRDefault="00A1222C" w:rsidP="00F343E9">
            <w:pPr>
              <w:rPr>
                <w:b/>
                <w:sz w:val="16"/>
                <w:szCs w:val="16"/>
              </w:rPr>
            </w:pPr>
            <w:r w:rsidRPr="008D4407">
              <w:rPr>
                <w:b/>
                <w:sz w:val="16"/>
                <w:szCs w:val="16"/>
              </w:rPr>
              <w:t>21</w:t>
            </w:r>
          </w:p>
        </w:tc>
        <w:tc>
          <w:tcPr>
            <w:tcW w:w="777" w:type="dxa"/>
            <w:shd w:val="clear" w:color="auto" w:fill="auto"/>
            <w:vAlign w:val="center"/>
          </w:tcPr>
          <w:p w:rsidR="00A1222C" w:rsidRPr="008D4407" w:rsidRDefault="00A1222C" w:rsidP="00F343E9">
            <w:pPr>
              <w:rPr>
                <w:b/>
                <w:sz w:val="16"/>
                <w:szCs w:val="16"/>
              </w:rPr>
            </w:pPr>
            <w:r w:rsidRPr="008D4407">
              <w:rPr>
                <w:b/>
                <w:sz w:val="16"/>
                <w:szCs w:val="16"/>
              </w:rPr>
              <w:t>23</w:t>
            </w:r>
          </w:p>
        </w:tc>
        <w:tc>
          <w:tcPr>
            <w:tcW w:w="777" w:type="dxa"/>
            <w:shd w:val="clear" w:color="auto" w:fill="auto"/>
            <w:vAlign w:val="center"/>
          </w:tcPr>
          <w:p w:rsidR="00A1222C" w:rsidRPr="008D4407" w:rsidRDefault="00A1222C" w:rsidP="00F343E9">
            <w:pPr>
              <w:rPr>
                <w:b/>
                <w:sz w:val="16"/>
                <w:szCs w:val="16"/>
              </w:rPr>
            </w:pPr>
            <w:r w:rsidRPr="008D4407">
              <w:rPr>
                <w:b/>
                <w:sz w:val="16"/>
                <w:szCs w:val="16"/>
              </w:rPr>
              <w:t>22</w:t>
            </w:r>
          </w:p>
        </w:tc>
        <w:tc>
          <w:tcPr>
            <w:tcW w:w="778" w:type="dxa"/>
            <w:shd w:val="clear" w:color="auto" w:fill="auto"/>
            <w:vAlign w:val="center"/>
          </w:tcPr>
          <w:p w:rsidR="00A1222C" w:rsidRPr="008D4407" w:rsidRDefault="00A1222C" w:rsidP="00F343E9">
            <w:pPr>
              <w:rPr>
                <w:b/>
                <w:sz w:val="16"/>
                <w:szCs w:val="16"/>
              </w:rPr>
            </w:pPr>
            <w:r w:rsidRPr="008D4407">
              <w:rPr>
                <w:b/>
                <w:sz w:val="16"/>
                <w:szCs w:val="16"/>
              </w:rPr>
              <w:t>22</w:t>
            </w:r>
          </w:p>
        </w:tc>
        <w:tc>
          <w:tcPr>
            <w:tcW w:w="778" w:type="dxa"/>
            <w:shd w:val="clear" w:color="auto" w:fill="auto"/>
            <w:vAlign w:val="center"/>
          </w:tcPr>
          <w:p w:rsidR="00A1222C" w:rsidRPr="008D4407" w:rsidRDefault="00A1222C" w:rsidP="00F343E9">
            <w:pPr>
              <w:rPr>
                <w:b/>
                <w:sz w:val="16"/>
                <w:szCs w:val="16"/>
              </w:rPr>
            </w:pPr>
            <w:r w:rsidRPr="008D4407">
              <w:rPr>
                <w:b/>
                <w:sz w:val="16"/>
                <w:szCs w:val="16"/>
              </w:rPr>
              <w:t>22</w:t>
            </w:r>
          </w:p>
        </w:tc>
        <w:tc>
          <w:tcPr>
            <w:tcW w:w="778" w:type="dxa"/>
            <w:shd w:val="clear" w:color="auto" w:fill="auto"/>
          </w:tcPr>
          <w:p w:rsidR="00A1222C" w:rsidRPr="008D4407" w:rsidRDefault="00A1222C" w:rsidP="00F343E9">
            <w:pPr>
              <w:rPr>
                <w:rFonts w:cs="Arial"/>
                <w:b/>
                <w:sz w:val="16"/>
                <w:szCs w:val="16"/>
              </w:rPr>
            </w:pPr>
            <w:r w:rsidRPr="008D4407">
              <w:rPr>
                <w:rFonts w:cs="Arial"/>
                <w:b/>
                <w:sz w:val="16"/>
                <w:szCs w:val="16"/>
              </w:rPr>
              <w:t>24</w:t>
            </w:r>
          </w:p>
        </w:tc>
        <w:tc>
          <w:tcPr>
            <w:tcW w:w="778" w:type="dxa"/>
            <w:shd w:val="clear" w:color="auto" w:fill="auto"/>
            <w:vAlign w:val="center"/>
          </w:tcPr>
          <w:p w:rsidR="00A1222C" w:rsidRPr="008D4407" w:rsidRDefault="00A1222C" w:rsidP="00F343E9">
            <w:pPr>
              <w:rPr>
                <w:b/>
                <w:sz w:val="16"/>
                <w:szCs w:val="16"/>
              </w:rPr>
            </w:pPr>
            <w:r w:rsidRPr="008D4407">
              <w:rPr>
                <w:b/>
                <w:sz w:val="16"/>
                <w:szCs w:val="16"/>
              </w:rPr>
              <w:t>21</w:t>
            </w:r>
          </w:p>
        </w:tc>
        <w:tc>
          <w:tcPr>
            <w:tcW w:w="777" w:type="dxa"/>
            <w:tcBorders>
              <w:right w:val="single" w:sz="12" w:space="0" w:color="auto"/>
            </w:tcBorders>
            <w:shd w:val="clear" w:color="auto" w:fill="auto"/>
          </w:tcPr>
          <w:p w:rsidR="00A1222C" w:rsidRPr="008D4407" w:rsidRDefault="00A1222C" w:rsidP="00F343E9">
            <w:pPr>
              <w:rPr>
                <w:rFonts w:cs="Arial"/>
                <w:b/>
                <w:sz w:val="16"/>
                <w:szCs w:val="16"/>
              </w:rPr>
            </w:pPr>
            <w:r w:rsidRPr="008D4407">
              <w:rPr>
                <w:rFonts w:cs="Arial"/>
                <w:b/>
                <w:sz w:val="16"/>
                <w:szCs w:val="16"/>
              </w:rPr>
              <w:t>20</w:t>
            </w:r>
          </w:p>
        </w:tc>
        <w:tc>
          <w:tcPr>
            <w:tcW w:w="778" w:type="dxa"/>
            <w:tcBorders>
              <w:left w:val="single" w:sz="12" w:space="0" w:color="auto"/>
            </w:tcBorders>
            <w:shd w:val="clear" w:color="auto" w:fill="auto"/>
          </w:tcPr>
          <w:p w:rsidR="00A1222C" w:rsidRPr="008D4407" w:rsidRDefault="00A1222C" w:rsidP="00F343E9">
            <w:pPr>
              <w:rPr>
                <w:rFonts w:cs="Arial"/>
                <w:b/>
                <w:sz w:val="16"/>
                <w:szCs w:val="16"/>
              </w:rPr>
            </w:pPr>
            <w:r w:rsidRPr="008D4407">
              <w:rPr>
                <w:rFonts w:cs="Arial"/>
                <w:b/>
                <w:sz w:val="16"/>
                <w:szCs w:val="16"/>
              </w:rPr>
              <w:t>16</w:t>
            </w:r>
          </w:p>
        </w:tc>
        <w:tc>
          <w:tcPr>
            <w:tcW w:w="778" w:type="dxa"/>
            <w:shd w:val="clear" w:color="auto" w:fill="auto"/>
          </w:tcPr>
          <w:p w:rsidR="00A1222C" w:rsidRPr="008D4407" w:rsidRDefault="00A1222C" w:rsidP="00F343E9">
            <w:pPr>
              <w:rPr>
                <w:rFonts w:cs="Arial"/>
                <w:b/>
                <w:sz w:val="16"/>
                <w:szCs w:val="16"/>
              </w:rPr>
            </w:pPr>
            <w:r w:rsidRPr="008D4407">
              <w:rPr>
                <w:rFonts w:cs="Arial"/>
                <w:b/>
                <w:sz w:val="16"/>
                <w:szCs w:val="16"/>
              </w:rPr>
              <w:t>26</w:t>
            </w:r>
          </w:p>
        </w:tc>
        <w:tc>
          <w:tcPr>
            <w:tcW w:w="778" w:type="dxa"/>
            <w:shd w:val="clear" w:color="auto" w:fill="auto"/>
          </w:tcPr>
          <w:p w:rsidR="00A1222C" w:rsidRPr="008D4407" w:rsidRDefault="00A1222C" w:rsidP="00F343E9">
            <w:pPr>
              <w:rPr>
                <w:rFonts w:cs="Arial"/>
                <w:b/>
                <w:sz w:val="16"/>
                <w:szCs w:val="16"/>
              </w:rPr>
            </w:pPr>
            <w:r w:rsidRPr="008D4407">
              <w:rPr>
                <w:rFonts w:cs="Arial"/>
                <w:b/>
                <w:sz w:val="16"/>
                <w:szCs w:val="16"/>
              </w:rPr>
              <w:t>26</w:t>
            </w:r>
          </w:p>
        </w:tc>
        <w:tc>
          <w:tcPr>
            <w:tcW w:w="783" w:type="dxa"/>
            <w:shd w:val="clear" w:color="auto" w:fill="auto"/>
          </w:tcPr>
          <w:p w:rsidR="00A1222C" w:rsidRPr="008D4407" w:rsidRDefault="00A1222C" w:rsidP="00F343E9">
            <w:pPr>
              <w:rPr>
                <w:rFonts w:cs="Arial"/>
                <w:b/>
                <w:sz w:val="16"/>
                <w:szCs w:val="16"/>
              </w:rPr>
            </w:pPr>
            <w:r w:rsidRPr="008D4407">
              <w:rPr>
                <w:rFonts w:cs="Arial"/>
                <w:b/>
                <w:sz w:val="16"/>
                <w:szCs w:val="16"/>
              </w:rPr>
              <w:t>22</w:t>
            </w:r>
          </w:p>
        </w:tc>
      </w:tr>
      <w:tr w:rsidR="00A1222C" w:rsidTr="00F343E9">
        <w:trPr>
          <w:cantSplit/>
          <w:trHeight w:hRule="exact" w:val="360"/>
          <w:jc w:val="center"/>
        </w:trPr>
        <w:tc>
          <w:tcPr>
            <w:tcW w:w="10947" w:type="dxa"/>
            <w:gridSpan w:val="14"/>
            <w:vAlign w:val="center"/>
          </w:tcPr>
          <w:p w:rsidR="00A1222C" w:rsidRPr="008D4407" w:rsidRDefault="004D603A" w:rsidP="00F343E9">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A1222C" w:rsidRDefault="00A1222C" w:rsidP="00546D75">
      <w:pPr>
        <w:sectPr w:rsidR="00A1222C"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546D75" w:rsidRDefault="00546D75" w:rsidP="00546D75"/>
    <w:p w:rsidR="00546D75" w:rsidRDefault="00546D75">
      <w:pPr>
        <w:spacing w:before="0" w:after="0" w:line="240" w:lineRule="auto"/>
      </w:pPr>
      <w:r>
        <w:br w:type="page"/>
      </w:r>
    </w:p>
    <w:p w:rsidR="0062513B" w:rsidRDefault="0062513B" w:rsidP="00861A9D">
      <w:pPr>
        <w:pStyle w:val="AnnexTable"/>
        <w:tabs>
          <w:tab w:val="clear" w:pos="2687"/>
          <w:tab w:val="num" w:pos="1440"/>
        </w:tabs>
        <w:ind w:left="1440" w:hanging="1440"/>
      </w:pPr>
      <w:bookmarkStart w:id="369" w:name="_Ref395829987"/>
      <w:bookmarkStart w:id="370" w:name="_Toc408908671"/>
      <w:r w:rsidRPr="0062513B">
        <w:t>Existence of statutory provision on the right of children to interpretation and translation services in order to support the right to be heard</w:t>
      </w:r>
      <w:r>
        <w:t xml:space="preserve"> (CivAdm133)</w:t>
      </w:r>
      <w:bookmarkEnd w:id="369"/>
      <w:bookmarkEnd w:id="370"/>
      <w:r>
        <w:t xml:space="preserve"> </w:t>
      </w:r>
    </w:p>
    <w:p w:rsidR="00085FAD" w:rsidRDefault="00085FAD" w:rsidP="00F343E9">
      <w:pPr>
        <w:pStyle w:val="TableTitle"/>
        <w:sectPr w:rsidR="00085FAD" w:rsidSect="002C3D52">
          <w:type w:val="continuous"/>
          <w:pgSz w:w="11907" w:h="16840" w:code="9"/>
          <w:pgMar w:top="1276" w:right="1418" w:bottom="851" w:left="1418" w:header="680" w:footer="567" w:gutter="0"/>
          <w:cols w:space="708"/>
          <w:docGrid w:linePitch="360"/>
        </w:sectPr>
      </w:pPr>
    </w:p>
    <w:tbl>
      <w:tblPr>
        <w:tblStyle w:val="Tabellenraster1"/>
        <w:tblW w:w="10889" w:type="dxa"/>
        <w:jc w:val="center"/>
        <w:tblLayout w:type="fixed"/>
        <w:tblLook w:val="04A0" w:firstRow="1" w:lastRow="0" w:firstColumn="1" w:lastColumn="0" w:noHBand="0" w:noVBand="1"/>
      </w:tblPr>
      <w:tblGrid>
        <w:gridCol w:w="777"/>
        <w:gridCol w:w="777"/>
        <w:gridCol w:w="777"/>
        <w:gridCol w:w="778"/>
        <w:gridCol w:w="778"/>
        <w:gridCol w:w="778"/>
        <w:gridCol w:w="778"/>
        <w:gridCol w:w="778"/>
        <w:gridCol w:w="778"/>
        <w:gridCol w:w="778"/>
        <w:gridCol w:w="778"/>
        <w:gridCol w:w="778"/>
        <w:gridCol w:w="778"/>
        <w:gridCol w:w="778"/>
      </w:tblGrid>
      <w:tr w:rsidR="00085FAD" w:rsidRPr="00593387" w:rsidTr="00F343E9">
        <w:trPr>
          <w:trHeight w:val="260"/>
          <w:tblHeader/>
          <w:jc w:val="center"/>
        </w:trPr>
        <w:tc>
          <w:tcPr>
            <w:tcW w:w="1022" w:type="dxa"/>
            <w:tcBorders>
              <w:right w:val="single" w:sz="12" w:space="0" w:color="auto"/>
            </w:tcBorders>
          </w:tcPr>
          <w:p w:rsidR="00085FAD" w:rsidRDefault="00085FAD" w:rsidP="00F343E9">
            <w:pPr>
              <w:pStyle w:val="TableTitle"/>
            </w:pPr>
            <w:r>
              <w:t>MS</w:t>
            </w:r>
          </w:p>
        </w:tc>
        <w:tc>
          <w:tcPr>
            <w:tcW w:w="6798" w:type="dxa"/>
            <w:gridSpan w:val="9"/>
            <w:tcBorders>
              <w:left w:val="single" w:sz="12" w:space="0" w:color="auto"/>
              <w:right w:val="single" w:sz="12" w:space="0" w:color="auto"/>
            </w:tcBorders>
          </w:tcPr>
          <w:p w:rsidR="00085FAD" w:rsidRDefault="00085FAD" w:rsidP="00F343E9">
            <w:pPr>
              <w:pStyle w:val="TableTitle"/>
            </w:pPr>
            <w:r>
              <w:t>Areas of law</w:t>
            </w:r>
          </w:p>
        </w:tc>
        <w:tc>
          <w:tcPr>
            <w:tcW w:w="3069" w:type="dxa"/>
            <w:gridSpan w:val="4"/>
            <w:tcBorders>
              <w:left w:val="single" w:sz="12" w:space="0" w:color="auto"/>
            </w:tcBorders>
          </w:tcPr>
          <w:p w:rsidR="00085FAD" w:rsidRDefault="00085FAD" w:rsidP="00F343E9">
            <w:pPr>
              <w:pStyle w:val="TableTitle"/>
            </w:pPr>
            <w:r>
              <w:t>Roles of the child</w:t>
            </w:r>
          </w:p>
        </w:tc>
      </w:tr>
      <w:tr w:rsidR="00085FAD" w:rsidTr="00861A9D">
        <w:trPr>
          <w:cantSplit/>
          <w:trHeight w:val="1250"/>
          <w:tblHeader/>
          <w:jc w:val="center"/>
        </w:trPr>
        <w:tc>
          <w:tcPr>
            <w:tcW w:w="1022" w:type="dxa"/>
            <w:tcBorders>
              <w:right w:val="single" w:sz="12" w:space="0" w:color="auto"/>
            </w:tcBorders>
            <w:shd w:val="clear" w:color="auto" w:fill="DBE5F1" w:themeFill="accent1" w:themeFillTint="33"/>
          </w:tcPr>
          <w:p w:rsidR="00085FAD" w:rsidRPr="00E217F3" w:rsidRDefault="00085FAD" w:rsidP="00F343E9">
            <w:pPr>
              <w:rPr>
                <w:b/>
              </w:rPr>
            </w:pPr>
          </w:p>
        </w:tc>
        <w:tc>
          <w:tcPr>
            <w:tcW w:w="636" w:type="dxa"/>
            <w:tcBorders>
              <w:left w:val="single" w:sz="12" w:space="0" w:color="auto"/>
            </w:tcBorders>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Fam</w:t>
            </w:r>
            <w:r>
              <w:rPr>
                <w:b/>
                <w:sz w:val="16"/>
                <w:szCs w:val="16"/>
              </w:rPr>
              <w:t>ily</w:t>
            </w:r>
          </w:p>
        </w:tc>
        <w:tc>
          <w:tcPr>
            <w:tcW w:w="768"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Empl</w:t>
            </w:r>
            <w:r>
              <w:rPr>
                <w:b/>
                <w:sz w:val="16"/>
                <w:szCs w:val="16"/>
              </w:rPr>
              <w:t>oyment</w:t>
            </w:r>
          </w:p>
        </w:tc>
        <w:tc>
          <w:tcPr>
            <w:tcW w:w="769"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Asyl</w:t>
            </w:r>
            <w:r>
              <w:rPr>
                <w:b/>
                <w:sz w:val="16"/>
                <w:szCs w:val="16"/>
              </w:rPr>
              <w:t>um</w:t>
            </w:r>
          </w:p>
        </w:tc>
        <w:tc>
          <w:tcPr>
            <w:tcW w:w="768"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Migr</w:t>
            </w:r>
            <w:r>
              <w:rPr>
                <w:b/>
                <w:sz w:val="16"/>
                <w:szCs w:val="16"/>
              </w:rPr>
              <w:t>ation</w:t>
            </w:r>
          </w:p>
        </w:tc>
        <w:tc>
          <w:tcPr>
            <w:tcW w:w="770"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Edu</w:t>
            </w:r>
            <w:r>
              <w:rPr>
                <w:b/>
                <w:sz w:val="16"/>
                <w:szCs w:val="16"/>
              </w:rPr>
              <w:t>cation</w:t>
            </w:r>
          </w:p>
        </w:tc>
        <w:tc>
          <w:tcPr>
            <w:tcW w:w="769"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Health</w:t>
            </w:r>
          </w:p>
        </w:tc>
        <w:tc>
          <w:tcPr>
            <w:tcW w:w="770"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Placem</w:t>
            </w:r>
            <w:r>
              <w:rPr>
                <w:b/>
                <w:sz w:val="16"/>
                <w:szCs w:val="16"/>
              </w:rPr>
              <w:t>ent</w:t>
            </w:r>
          </w:p>
        </w:tc>
        <w:tc>
          <w:tcPr>
            <w:tcW w:w="769"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Adm</w:t>
            </w:r>
            <w:r>
              <w:rPr>
                <w:b/>
                <w:sz w:val="16"/>
                <w:szCs w:val="16"/>
              </w:rPr>
              <w:t>in</w:t>
            </w:r>
            <w:r w:rsidRPr="00BA0DCC">
              <w:rPr>
                <w:b/>
                <w:sz w:val="16"/>
                <w:szCs w:val="16"/>
              </w:rPr>
              <w:t xml:space="preserve"> San</w:t>
            </w:r>
            <w:r>
              <w:rPr>
                <w:b/>
                <w:sz w:val="16"/>
                <w:szCs w:val="16"/>
              </w:rPr>
              <w:t>ctions</w:t>
            </w:r>
          </w:p>
        </w:tc>
        <w:tc>
          <w:tcPr>
            <w:tcW w:w="770" w:type="dxa"/>
            <w:tcBorders>
              <w:right w:val="single" w:sz="12" w:space="0" w:color="auto"/>
            </w:tcBorders>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Offences &lt;MACR</w:t>
            </w:r>
          </w:p>
        </w:tc>
        <w:tc>
          <w:tcPr>
            <w:tcW w:w="769" w:type="dxa"/>
            <w:tcBorders>
              <w:left w:val="single" w:sz="12" w:space="0" w:color="auto"/>
            </w:tcBorders>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W</w:t>
            </w:r>
            <w:r>
              <w:rPr>
                <w:b/>
                <w:sz w:val="16"/>
                <w:szCs w:val="16"/>
              </w:rPr>
              <w:t>itnesses</w:t>
            </w:r>
          </w:p>
        </w:tc>
        <w:tc>
          <w:tcPr>
            <w:tcW w:w="770"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P</w:t>
            </w:r>
            <w:r>
              <w:rPr>
                <w:b/>
                <w:sz w:val="16"/>
                <w:szCs w:val="16"/>
              </w:rPr>
              <w:t>laintiffs</w:t>
            </w:r>
          </w:p>
        </w:tc>
        <w:tc>
          <w:tcPr>
            <w:tcW w:w="769"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D</w:t>
            </w:r>
            <w:r>
              <w:rPr>
                <w:b/>
                <w:sz w:val="16"/>
                <w:szCs w:val="16"/>
              </w:rPr>
              <w:t>efendants</w:t>
            </w:r>
          </w:p>
        </w:tc>
        <w:tc>
          <w:tcPr>
            <w:tcW w:w="770" w:type="dxa"/>
            <w:shd w:val="clear" w:color="auto" w:fill="DBE5F1" w:themeFill="accent1" w:themeFillTint="33"/>
            <w:textDirection w:val="btLr"/>
          </w:tcPr>
          <w:p w:rsidR="00085FAD" w:rsidRPr="00BA0DCC" w:rsidRDefault="00085FAD" w:rsidP="00F343E9">
            <w:pPr>
              <w:ind w:left="113" w:right="113"/>
              <w:rPr>
                <w:b/>
                <w:sz w:val="16"/>
                <w:szCs w:val="16"/>
              </w:rPr>
            </w:pPr>
            <w:r w:rsidRPr="00BA0DCC">
              <w:rPr>
                <w:b/>
                <w:sz w:val="16"/>
                <w:szCs w:val="16"/>
              </w:rPr>
              <w:t>S</w:t>
            </w:r>
            <w:r>
              <w:rPr>
                <w:b/>
                <w:sz w:val="16"/>
                <w:szCs w:val="16"/>
              </w:rPr>
              <w:t>ubjects</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AT</w:t>
            </w:r>
          </w:p>
        </w:tc>
        <w:tc>
          <w:tcPr>
            <w:tcW w:w="1022" w:type="dxa"/>
            <w:tcBorders>
              <w:left w:val="single" w:sz="12" w:space="0" w:color="auto"/>
            </w:tcBorders>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tcBorders>
              <w:right w:val="single" w:sz="12" w:space="0" w:color="auto"/>
            </w:tcBorders>
            <w:vAlign w:val="center"/>
          </w:tcPr>
          <w:p w:rsidR="00085FAD" w:rsidRDefault="00085FAD" w:rsidP="00F343E9">
            <w:r w:rsidRPr="003E279D">
              <w:rPr>
                <w:rFonts w:cs="Arial"/>
                <w:sz w:val="18"/>
                <w:szCs w:val="18"/>
              </w:rPr>
              <w:t>√</w:t>
            </w:r>
          </w:p>
        </w:tc>
        <w:tc>
          <w:tcPr>
            <w:tcW w:w="1022" w:type="dxa"/>
            <w:tcBorders>
              <w:left w:val="single" w:sz="12" w:space="0" w:color="auto"/>
            </w:tcBorders>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vAlign w:val="center"/>
          </w:tcPr>
          <w:p w:rsidR="00085FAD" w:rsidRDefault="00085FAD" w:rsidP="00F343E9">
            <w:r w:rsidRPr="003E279D">
              <w:rPr>
                <w:rFonts w:cs="Arial"/>
                <w:sz w:val="18"/>
                <w:szCs w:val="18"/>
              </w:rPr>
              <w:t>√</w:t>
            </w:r>
          </w:p>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BE</w:t>
            </w:r>
          </w:p>
        </w:tc>
        <w:tc>
          <w:tcPr>
            <w:tcW w:w="1022" w:type="dxa"/>
            <w:tcBorders>
              <w:left w:val="single" w:sz="12" w:space="0" w:color="auto"/>
            </w:tcBorders>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tcBorders>
              <w:right w:val="single" w:sz="12" w:space="0" w:color="auto"/>
            </w:tcBorders>
            <w:vAlign w:val="center"/>
          </w:tcPr>
          <w:p w:rsidR="00085FAD" w:rsidRDefault="00085FAD" w:rsidP="00F343E9">
            <w:r w:rsidRPr="00AC0483">
              <w:rPr>
                <w:rFonts w:cs="Arial"/>
                <w:sz w:val="18"/>
                <w:szCs w:val="18"/>
              </w:rPr>
              <w:t>√</w:t>
            </w:r>
          </w:p>
        </w:tc>
        <w:tc>
          <w:tcPr>
            <w:tcW w:w="1022" w:type="dxa"/>
            <w:tcBorders>
              <w:left w:val="single" w:sz="12" w:space="0" w:color="auto"/>
            </w:tcBorders>
            <w:vAlign w:val="center"/>
          </w:tcPr>
          <w:p w:rsidR="00085FAD" w:rsidRDefault="00085FAD" w:rsidP="00F343E9">
            <w:r w:rsidRPr="00D92A43">
              <w:rPr>
                <w:rFonts w:cs="Arial"/>
                <w:sz w:val="18"/>
                <w:szCs w:val="18"/>
              </w:rPr>
              <w:t>√</w:t>
            </w:r>
          </w:p>
        </w:tc>
        <w:tc>
          <w:tcPr>
            <w:tcW w:w="1022" w:type="dxa"/>
            <w:vAlign w:val="center"/>
          </w:tcPr>
          <w:p w:rsidR="00085FAD" w:rsidRDefault="00085FAD" w:rsidP="00F343E9">
            <w:r w:rsidRPr="00D92A43">
              <w:rPr>
                <w:rFonts w:cs="Arial"/>
                <w:sz w:val="18"/>
                <w:szCs w:val="18"/>
              </w:rPr>
              <w:t>√</w:t>
            </w:r>
          </w:p>
        </w:tc>
        <w:tc>
          <w:tcPr>
            <w:tcW w:w="1022" w:type="dxa"/>
            <w:vAlign w:val="center"/>
          </w:tcPr>
          <w:p w:rsidR="00085FAD" w:rsidRDefault="00085FAD" w:rsidP="00F343E9">
            <w:r w:rsidRPr="00D92A43">
              <w:rPr>
                <w:rFonts w:cs="Arial"/>
                <w:sz w:val="18"/>
                <w:szCs w:val="18"/>
              </w:rPr>
              <w:t>√</w:t>
            </w:r>
          </w:p>
        </w:tc>
        <w:tc>
          <w:tcPr>
            <w:tcW w:w="1022" w:type="dxa"/>
            <w:vAlign w:val="center"/>
          </w:tcPr>
          <w:p w:rsidR="00085FAD" w:rsidRDefault="00085FAD" w:rsidP="00F343E9">
            <w:r>
              <w:rPr>
                <w:rFonts w:cs="Arial"/>
                <w:sz w:val="18"/>
                <w:szCs w:val="18"/>
              </w:rPr>
              <w:t>√</w:t>
            </w:r>
            <w:r>
              <w:rPr>
                <w:rStyle w:val="EndnoteReference"/>
              </w:rPr>
              <w:endnoteReference w:id="203"/>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BG</w:t>
            </w:r>
          </w:p>
        </w:tc>
        <w:tc>
          <w:tcPr>
            <w:tcW w:w="1022" w:type="dxa"/>
            <w:tcBorders>
              <w:left w:val="single" w:sz="12" w:space="0" w:color="auto"/>
            </w:tcBorders>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vAlign w:val="center"/>
          </w:tcPr>
          <w:p w:rsidR="00085FAD" w:rsidRDefault="00085FAD" w:rsidP="00F343E9">
            <w:r w:rsidRPr="00AC0483">
              <w:rPr>
                <w:rFonts w:cs="Arial"/>
                <w:sz w:val="18"/>
                <w:szCs w:val="18"/>
              </w:rPr>
              <w:t>√</w:t>
            </w:r>
          </w:p>
        </w:tc>
        <w:tc>
          <w:tcPr>
            <w:tcW w:w="1022" w:type="dxa"/>
            <w:tcBorders>
              <w:right w:val="single" w:sz="12" w:space="0" w:color="auto"/>
            </w:tcBorders>
            <w:vAlign w:val="center"/>
          </w:tcPr>
          <w:p w:rsidR="00085FAD" w:rsidRDefault="00085FAD" w:rsidP="00F343E9">
            <w:r w:rsidRPr="00AC0483">
              <w:rPr>
                <w:rFonts w:cs="Arial"/>
                <w:sz w:val="18"/>
                <w:szCs w:val="18"/>
              </w:rPr>
              <w:t>√</w:t>
            </w:r>
          </w:p>
        </w:tc>
        <w:tc>
          <w:tcPr>
            <w:tcW w:w="1022" w:type="dxa"/>
            <w:tcBorders>
              <w:left w:val="single" w:sz="12" w:space="0" w:color="auto"/>
            </w:tcBorders>
            <w:vAlign w:val="center"/>
          </w:tcPr>
          <w:p w:rsidR="00085FAD" w:rsidRDefault="00085FAD" w:rsidP="00F343E9">
            <w:r w:rsidRPr="008445D6">
              <w:rPr>
                <w:rFonts w:cs="Arial"/>
                <w:sz w:val="18"/>
                <w:szCs w:val="18"/>
              </w:rPr>
              <w:t>√</w:t>
            </w:r>
          </w:p>
        </w:tc>
        <w:tc>
          <w:tcPr>
            <w:tcW w:w="1022" w:type="dxa"/>
            <w:vAlign w:val="center"/>
          </w:tcPr>
          <w:p w:rsidR="00085FAD" w:rsidRDefault="00085FAD" w:rsidP="00F343E9">
            <w:r w:rsidRPr="008445D6">
              <w:rPr>
                <w:rFonts w:cs="Arial"/>
                <w:sz w:val="18"/>
                <w:szCs w:val="18"/>
              </w:rPr>
              <w:t>√</w:t>
            </w:r>
          </w:p>
        </w:tc>
        <w:tc>
          <w:tcPr>
            <w:tcW w:w="1022" w:type="dxa"/>
            <w:vAlign w:val="center"/>
          </w:tcPr>
          <w:p w:rsidR="00085FAD" w:rsidRDefault="00085FAD" w:rsidP="00F343E9">
            <w:r w:rsidRPr="008445D6">
              <w:rPr>
                <w:rFonts w:cs="Arial"/>
                <w:sz w:val="18"/>
                <w:szCs w:val="18"/>
              </w:rPr>
              <w:t>√</w:t>
            </w:r>
          </w:p>
        </w:tc>
        <w:tc>
          <w:tcPr>
            <w:tcW w:w="1022" w:type="dxa"/>
            <w:vAlign w:val="center"/>
          </w:tcPr>
          <w:p w:rsidR="00085FAD" w:rsidRDefault="00085FAD" w:rsidP="00F343E9">
            <w:r>
              <w:rPr>
                <w:rFonts w:cs="Arial"/>
                <w:sz w:val="18"/>
                <w:szCs w:val="18"/>
              </w:rPr>
              <w:t>√</w:t>
            </w:r>
            <w:r>
              <w:rPr>
                <w:rStyle w:val="EndnoteReference"/>
              </w:rPr>
              <w:endnoteReference w:id="204"/>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CY</w:t>
            </w:r>
          </w:p>
        </w:tc>
        <w:tc>
          <w:tcPr>
            <w:tcW w:w="1022" w:type="dxa"/>
            <w:tcBorders>
              <w:left w:val="single" w:sz="12" w:space="0" w:color="auto"/>
            </w:tcBorders>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vAlign w:val="center"/>
          </w:tcPr>
          <w:p w:rsidR="00085FAD" w:rsidRDefault="00085FAD" w:rsidP="00F343E9">
            <w:r w:rsidRPr="009A2335">
              <w:rPr>
                <w:rFonts w:cs="Arial"/>
                <w:sz w:val="18"/>
                <w:szCs w:val="18"/>
              </w:rPr>
              <w:t>√</w:t>
            </w: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vAlign w:val="center"/>
          </w:tcPr>
          <w:p w:rsidR="00085FAD" w:rsidRDefault="00085FAD" w:rsidP="00F343E9">
            <w:r w:rsidRPr="006062AE">
              <w:rPr>
                <w:rFonts w:cs="Arial"/>
                <w:sz w:val="18"/>
                <w:szCs w:val="18"/>
              </w:rPr>
              <w:t>√</w:t>
            </w:r>
          </w:p>
        </w:tc>
        <w:tc>
          <w:tcPr>
            <w:tcW w:w="1022" w:type="dxa"/>
            <w:vAlign w:val="center"/>
          </w:tcPr>
          <w:p w:rsidR="00085FAD" w:rsidRDefault="00085FAD" w:rsidP="00F343E9">
            <w:r w:rsidRPr="006062AE">
              <w:rPr>
                <w:rFonts w:cs="Arial"/>
                <w:sz w:val="18"/>
                <w:szCs w:val="18"/>
              </w:rPr>
              <w:t>√</w:t>
            </w:r>
          </w:p>
        </w:tc>
        <w:tc>
          <w:tcPr>
            <w:tcW w:w="1022" w:type="dxa"/>
            <w:vAlign w:val="center"/>
          </w:tcPr>
          <w:p w:rsidR="00085FAD" w:rsidRDefault="00085FAD" w:rsidP="00F343E9">
            <w:r w:rsidRPr="006062AE">
              <w:rPr>
                <w:rFonts w:cs="Arial"/>
                <w:sz w:val="18"/>
                <w:szCs w:val="18"/>
              </w:rPr>
              <w:t>√</w:t>
            </w:r>
          </w:p>
        </w:tc>
        <w:tc>
          <w:tcPr>
            <w:tcW w:w="1022" w:type="dxa"/>
            <w:vAlign w:val="center"/>
          </w:tcPr>
          <w:p w:rsidR="00085FAD" w:rsidRDefault="00085FAD" w:rsidP="00F343E9">
            <w:r>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CZ</w:t>
            </w:r>
          </w:p>
        </w:tc>
        <w:tc>
          <w:tcPr>
            <w:tcW w:w="1022" w:type="dxa"/>
            <w:tcBorders>
              <w:left w:val="single" w:sz="12" w:space="0" w:color="auto"/>
            </w:tcBorders>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vAlign w:val="center"/>
          </w:tcPr>
          <w:p w:rsidR="00085FAD" w:rsidRDefault="00085FAD" w:rsidP="00F343E9">
            <w:r w:rsidRPr="00C106EE">
              <w:rPr>
                <w:rFonts w:cs="Arial"/>
                <w:sz w:val="18"/>
                <w:szCs w:val="18"/>
              </w:rPr>
              <w:t>√</w:t>
            </w:r>
          </w:p>
        </w:tc>
        <w:tc>
          <w:tcPr>
            <w:tcW w:w="1022" w:type="dxa"/>
            <w:tcBorders>
              <w:right w:val="single" w:sz="12" w:space="0" w:color="auto"/>
            </w:tcBorders>
            <w:vAlign w:val="center"/>
          </w:tcPr>
          <w:p w:rsidR="00085FAD" w:rsidRDefault="00085FAD" w:rsidP="00F343E9">
            <w:r w:rsidRPr="00C106EE">
              <w:rPr>
                <w:rFonts w:cs="Arial"/>
                <w:sz w:val="18"/>
                <w:szCs w:val="18"/>
              </w:rPr>
              <w:t>√</w:t>
            </w:r>
          </w:p>
        </w:tc>
        <w:tc>
          <w:tcPr>
            <w:tcW w:w="1022" w:type="dxa"/>
            <w:tcBorders>
              <w:left w:val="single" w:sz="12" w:space="0" w:color="auto"/>
            </w:tcBorders>
            <w:vAlign w:val="center"/>
          </w:tcPr>
          <w:p w:rsidR="00085FAD" w:rsidRDefault="00085FAD" w:rsidP="00F343E9">
            <w:r w:rsidRPr="00DE6165">
              <w:rPr>
                <w:rFonts w:cs="Arial"/>
                <w:sz w:val="18"/>
                <w:szCs w:val="18"/>
              </w:rPr>
              <w:t>√</w:t>
            </w:r>
          </w:p>
        </w:tc>
        <w:tc>
          <w:tcPr>
            <w:tcW w:w="1022" w:type="dxa"/>
            <w:vAlign w:val="center"/>
          </w:tcPr>
          <w:p w:rsidR="00085FAD" w:rsidRDefault="00085FAD" w:rsidP="00F343E9">
            <w:r w:rsidRPr="00DE6165">
              <w:rPr>
                <w:rFonts w:cs="Arial"/>
                <w:sz w:val="18"/>
                <w:szCs w:val="18"/>
              </w:rPr>
              <w:t>√</w:t>
            </w:r>
          </w:p>
        </w:tc>
        <w:tc>
          <w:tcPr>
            <w:tcW w:w="1022" w:type="dxa"/>
            <w:vAlign w:val="center"/>
          </w:tcPr>
          <w:p w:rsidR="00085FAD" w:rsidRDefault="00085FAD" w:rsidP="00F343E9">
            <w:r w:rsidRPr="00DE6165">
              <w:rPr>
                <w:rFonts w:cs="Arial"/>
                <w:sz w:val="18"/>
                <w:szCs w:val="18"/>
              </w:rPr>
              <w:t>√</w:t>
            </w:r>
          </w:p>
        </w:tc>
        <w:tc>
          <w:tcPr>
            <w:tcW w:w="1022" w:type="dxa"/>
            <w:vAlign w:val="center"/>
          </w:tcPr>
          <w:p w:rsidR="00085FAD" w:rsidRDefault="00085FAD" w:rsidP="00F343E9">
            <w:r>
              <w:rPr>
                <w:rFonts w:cs="Arial"/>
                <w:sz w:val="18"/>
                <w:szCs w:val="18"/>
              </w:rPr>
              <w:t>√</w:t>
            </w:r>
            <w:r>
              <w:rPr>
                <w:rStyle w:val="EndnoteReference"/>
              </w:rPr>
              <w:endnoteReference w:id="205"/>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DE</w:t>
            </w:r>
          </w:p>
        </w:tc>
        <w:tc>
          <w:tcPr>
            <w:tcW w:w="1022" w:type="dxa"/>
            <w:tcBorders>
              <w:left w:val="single" w:sz="12" w:space="0" w:color="auto"/>
            </w:tcBorders>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vAlign w:val="center"/>
          </w:tcPr>
          <w:p w:rsidR="00085FAD" w:rsidRDefault="00085FAD" w:rsidP="00F343E9">
            <w:r w:rsidRPr="00CB1019">
              <w:rPr>
                <w:rFonts w:cs="Arial"/>
                <w:sz w:val="18"/>
                <w:szCs w:val="18"/>
              </w:rPr>
              <w:t>√</w:t>
            </w:r>
          </w:p>
        </w:tc>
        <w:tc>
          <w:tcPr>
            <w:tcW w:w="1022" w:type="dxa"/>
            <w:tcBorders>
              <w:right w:val="single" w:sz="12" w:space="0" w:color="auto"/>
            </w:tcBorders>
            <w:vAlign w:val="center"/>
          </w:tcPr>
          <w:p w:rsidR="00085FAD" w:rsidRDefault="00085FAD" w:rsidP="00F343E9">
            <w:r w:rsidRPr="00CB1019">
              <w:rPr>
                <w:rFonts w:cs="Arial"/>
                <w:sz w:val="18"/>
                <w:szCs w:val="18"/>
              </w:rPr>
              <w:t>√</w:t>
            </w: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vAlign w:val="center"/>
          </w:tcPr>
          <w:p w:rsidR="00085FAD" w:rsidRDefault="00085FAD" w:rsidP="00F343E9">
            <w:r w:rsidRPr="00266770">
              <w:rPr>
                <w:rFonts w:cs="Arial"/>
                <w:sz w:val="18"/>
                <w:szCs w:val="18"/>
              </w:rPr>
              <w:t>√</w:t>
            </w:r>
          </w:p>
        </w:tc>
        <w:tc>
          <w:tcPr>
            <w:tcW w:w="1022" w:type="dxa"/>
            <w:vAlign w:val="center"/>
          </w:tcPr>
          <w:p w:rsidR="00085FAD" w:rsidRDefault="00085FAD" w:rsidP="00F343E9">
            <w:r w:rsidRPr="00266770">
              <w:rPr>
                <w:rFonts w:cs="Arial"/>
                <w:sz w:val="18"/>
                <w:szCs w:val="18"/>
              </w:rPr>
              <w:t>√</w:t>
            </w:r>
          </w:p>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DK</w:t>
            </w:r>
          </w:p>
        </w:tc>
        <w:tc>
          <w:tcPr>
            <w:tcW w:w="1022" w:type="dxa"/>
            <w:tcBorders>
              <w:left w:val="single" w:sz="12" w:space="0" w:color="auto"/>
            </w:tcBorders>
            <w:vAlign w:val="center"/>
          </w:tcPr>
          <w:p w:rsidR="00085FAD" w:rsidRDefault="00085FAD" w:rsidP="00F343E9">
            <w:r w:rsidRPr="006850A6">
              <w:rPr>
                <w:rFonts w:cs="Arial"/>
                <w:sz w:val="18"/>
                <w:szCs w:val="18"/>
              </w:rPr>
              <w:t>√</w:t>
            </w:r>
          </w:p>
        </w:tc>
        <w:tc>
          <w:tcPr>
            <w:tcW w:w="1022" w:type="dxa"/>
            <w:vAlign w:val="center"/>
          </w:tcPr>
          <w:p w:rsidR="00085FAD" w:rsidRDefault="00085FAD" w:rsidP="00F343E9">
            <w:r w:rsidRPr="006850A6">
              <w:rPr>
                <w:rFonts w:cs="Arial"/>
                <w:sz w:val="18"/>
                <w:szCs w:val="18"/>
              </w:rPr>
              <w:t>√</w:t>
            </w:r>
          </w:p>
        </w:tc>
        <w:tc>
          <w:tcPr>
            <w:tcW w:w="1022" w:type="dxa"/>
            <w:vAlign w:val="center"/>
          </w:tcPr>
          <w:p w:rsidR="00085FAD" w:rsidRDefault="00085FAD" w:rsidP="00F343E9">
            <w:r w:rsidRPr="006850A6">
              <w:rPr>
                <w:rFonts w:cs="Arial"/>
                <w:sz w:val="18"/>
                <w:szCs w:val="18"/>
              </w:rPr>
              <w:t>√</w:t>
            </w:r>
          </w:p>
        </w:tc>
        <w:tc>
          <w:tcPr>
            <w:tcW w:w="1022" w:type="dxa"/>
            <w:vAlign w:val="center"/>
          </w:tcPr>
          <w:p w:rsidR="00085FAD" w:rsidRDefault="00085FAD" w:rsidP="00F343E9">
            <w:r w:rsidRPr="006850A6">
              <w:rPr>
                <w:rFonts w:cs="Arial"/>
                <w:sz w:val="18"/>
                <w:szCs w:val="18"/>
              </w:rPr>
              <w:t>√</w:t>
            </w:r>
          </w:p>
        </w:tc>
        <w:tc>
          <w:tcPr>
            <w:tcW w:w="1022" w:type="dxa"/>
            <w:vAlign w:val="center"/>
          </w:tcPr>
          <w:p w:rsidR="00085FAD" w:rsidRDefault="00085FAD" w:rsidP="00F343E9">
            <w:r w:rsidRPr="006850A6">
              <w:rPr>
                <w:rFonts w:cs="Arial"/>
                <w:sz w:val="18"/>
                <w:szCs w:val="18"/>
              </w:rPr>
              <w:t>√</w:t>
            </w:r>
          </w:p>
        </w:tc>
        <w:tc>
          <w:tcPr>
            <w:tcW w:w="1022" w:type="dxa"/>
            <w:vAlign w:val="center"/>
          </w:tcPr>
          <w:p w:rsidR="00085FAD" w:rsidRDefault="00085FAD" w:rsidP="00F343E9">
            <w:r w:rsidRPr="00680AEE">
              <w:rPr>
                <w:rFonts w:cs="Arial"/>
                <w:sz w:val="18"/>
                <w:szCs w:val="18"/>
              </w:rPr>
              <w:t>√</w:t>
            </w:r>
          </w:p>
        </w:tc>
        <w:tc>
          <w:tcPr>
            <w:tcW w:w="1022" w:type="dxa"/>
            <w:vAlign w:val="center"/>
          </w:tcPr>
          <w:p w:rsidR="00085FAD" w:rsidRDefault="00085FAD" w:rsidP="00F343E9">
            <w:r w:rsidRPr="006850A6">
              <w:rPr>
                <w:rFonts w:cs="Arial"/>
                <w:sz w:val="18"/>
                <w:szCs w:val="18"/>
              </w:rPr>
              <w:t>√</w:t>
            </w:r>
          </w:p>
        </w:tc>
        <w:tc>
          <w:tcPr>
            <w:tcW w:w="1022" w:type="dxa"/>
            <w:vAlign w:val="center"/>
          </w:tcPr>
          <w:p w:rsidR="00085FAD" w:rsidRDefault="00085FAD" w:rsidP="00F343E9">
            <w:r w:rsidRPr="00BD1792">
              <w:rPr>
                <w:rFonts w:cs="Arial"/>
                <w:sz w:val="18"/>
                <w:szCs w:val="18"/>
              </w:rPr>
              <w:t>√</w:t>
            </w:r>
          </w:p>
        </w:tc>
        <w:tc>
          <w:tcPr>
            <w:tcW w:w="1022" w:type="dxa"/>
            <w:tcBorders>
              <w:right w:val="single" w:sz="12" w:space="0" w:color="auto"/>
            </w:tcBorders>
            <w:vAlign w:val="center"/>
          </w:tcPr>
          <w:p w:rsidR="00085FAD" w:rsidRDefault="00085FAD" w:rsidP="00F343E9">
            <w:r w:rsidRPr="006850A6">
              <w:rPr>
                <w:rFonts w:cs="Arial"/>
                <w:sz w:val="18"/>
                <w:szCs w:val="18"/>
              </w:rPr>
              <w:t>√</w:t>
            </w:r>
          </w:p>
        </w:tc>
        <w:tc>
          <w:tcPr>
            <w:tcW w:w="1022" w:type="dxa"/>
            <w:tcBorders>
              <w:left w:val="single" w:sz="12" w:space="0" w:color="auto"/>
            </w:tcBorders>
            <w:vAlign w:val="center"/>
          </w:tcPr>
          <w:p w:rsidR="00085FAD" w:rsidRDefault="00085FAD" w:rsidP="00F343E9">
            <w:r w:rsidRPr="00E2376D">
              <w:rPr>
                <w:rFonts w:cs="Arial"/>
                <w:sz w:val="18"/>
                <w:szCs w:val="18"/>
              </w:rPr>
              <w:t>√</w:t>
            </w:r>
          </w:p>
        </w:tc>
        <w:tc>
          <w:tcPr>
            <w:tcW w:w="1022" w:type="dxa"/>
            <w:vAlign w:val="center"/>
          </w:tcPr>
          <w:p w:rsidR="00085FAD" w:rsidRDefault="00085FAD" w:rsidP="00F343E9">
            <w:r w:rsidRPr="00E2376D">
              <w:rPr>
                <w:rFonts w:cs="Arial"/>
                <w:sz w:val="18"/>
                <w:szCs w:val="18"/>
              </w:rPr>
              <w:t>√</w:t>
            </w:r>
          </w:p>
        </w:tc>
        <w:tc>
          <w:tcPr>
            <w:tcW w:w="1022" w:type="dxa"/>
            <w:vAlign w:val="center"/>
          </w:tcPr>
          <w:p w:rsidR="00085FAD" w:rsidRDefault="00085FAD" w:rsidP="00F343E9">
            <w:r w:rsidRPr="00E2376D">
              <w:rPr>
                <w:rFonts w:cs="Arial"/>
                <w:sz w:val="18"/>
                <w:szCs w:val="18"/>
              </w:rPr>
              <w:t>√</w:t>
            </w:r>
          </w:p>
        </w:tc>
        <w:tc>
          <w:tcPr>
            <w:tcW w:w="1022" w:type="dxa"/>
            <w:vAlign w:val="center"/>
          </w:tcPr>
          <w:p w:rsidR="00085FAD" w:rsidRDefault="00085FAD" w:rsidP="00F343E9">
            <w:r w:rsidRPr="00E2376D">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EE</w:t>
            </w:r>
          </w:p>
        </w:tc>
        <w:tc>
          <w:tcPr>
            <w:tcW w:w="1022" w:type="dxa"/>
            <w:tcBorders>
              <w:left w:val="single" w:sz="12" w:space="0" w:color="auto"/>
            </w:tcBorders>
            <w:vAlign w:val="center"/>
          </w:tcPr>
          <w:p w:rsidR="00085FAD" w:rsidRDefault="00085FAD" w:rsidP="00F343E9">
            <w:r w:rsidRPr="00023FDD">
              <w:rPr>
                <w:rFonts w:cs="Arial"/>
                <w:sz w:val="18"/>
                <w:szCs w:val="18"/>
              </w:rPr>
              <w:t>√</w:t>
            </w:r>
          </w:p>
        </w:tc>
        <w:tc>
          <w:tcPr>
            <w:tcW w:w="1022" w:type="dxa"/>
            <w:vAlign w:val="center"/>
          </w:tcPr>
          <w:p w:rsidR="00085FAD" w:rsidRDefault="00085FAD" w:rsidP="00F343E9">
            <w:r w:rsidRPr="00023FDD">
              <w:rPr>
                <w:rFonts w:cs="Arial"/>
                <w:sz w:val="18"/>
                <w:szCs w:val="18"/>
              </w:rPr>
              <w:t>√</w:t>
            </w:r>
          </w:p>
        </w:tc>
        <w:tc>
          <w:tcPr>
            <w:tcW w:w="1022" w:type="dxa"/>
            <w:vAlign w:val="center"/>
          </w:tcPr>
          <w:p w:rsidR="00085FAD" w:rsidRDefault="00085FAD" w:rsidP="00F343E9">
            <w:r w:rsidRPr="00023FDD">
              <w:rPr>
                <w:rFonts w:cs="Arial"/>
                <w:sz w:val="18"/>
                <w:szCs w:val="18"/>
              </w:rPr>
              <w:t>√</w:t>
            </w:r>
          </w:p>
        </w:tc>
        <w:tc>
          <w:tcPr>
            <w:tcW w:w="1022" w:type="dxa"/>
            <w:vAlign w:val="center"/>
          </w:tcPr>
          <w:p w:rsidR="00085FAD" w:rsidRDefault="00085FAD" w:rsidP="00F343E9">
            <w:r w:rsidRPr="00023FDD">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vAlign w:val="center"/>
          </w:tcPr>
          <w:p w:rsidR="00085FAD" w:rsidRDefault="00085FAD" w:rsidP="00F343E9">
            <w:r w:rsidRPr="00680AEE">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vAlign w:val="center"/>
          </w:tcPr>
          <w:p w:rsidR="00085FAD" w:rsidRDefault="00085FAD" w:rsidP="00F343E9">
            <w:r w:rsidRPr="00BD1792">
              <w:rPr>
                <w:rFonts w:cs="Arial"/>
                <w:sz w:val="18"/>
                <w:szCs w:val="18"/>
              </w:rPr>
              <w:t>√</w:t>
            </w: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vAlign w:val="center"/>
          </w:tcPr>
          <w:p w:rsidR="00085FAD" w:rsidRDefault="00085FAD" w:rsidP="00F343E9">
            <w:r w:rsidRPr="00E2376D">
              <w:rPr>
                <w:rFonts w:cs="Arial"/>
                <w:sz w:val="18"/>
                <w:szCs w:val="18"/>
              </w:rPr>
              <w:t>√</w:t>
            </w:r>
          </w:p>
        </w:tc>
        <w:tc>
          <w:tcPr>
            <w:tcW w:w="1022" w:type="dxa"/>
            <w:vAlign w:val="center"/>
          </w:tcPr>
          <w:p w:rsidR="00085FAD" w:rsidRDefault="00085FAD" w:rsidP="00F343E9">
            <w:r w:rsidRPr="00E2376D">
              <w:rPr>
                <w:rFonts w:cs="Arial"/>
                <w:sz w:val="18"/>
                <w:szCs w:val="18"/>
              </w:rPr>
              <w:t>√</w:t>
            </w:r>
          </w:p>
        </w:tc>
        <w:tc>
          <w:tcPr>
            <w:tcW w:w="1022" w:type="dxa"/>
            <w:vAlign w:val="center"/>
          </w:tcPr>
          <w:p w:rsidR="00085FAD" w:rsidRDefault="00085FAD" w:rsidP="00F343E9">
            <w:r w:rsidRPr="00E2376D">
              <w:rPr>
                <w:rFonts w:cs="Arial"/>
                <w:sz w:val="18"/>
                <w:szCs w:val="18"/>
              </w:rPr>
              <w:t>√</w:t>
            </w:r>
          </w:p>
        </w:tc>
        <w:tc>
          <w:tcPr>
            <w:tcW w:w="1022" w:type="dxa"/>
            <w:vAlign w:val="center"/>
          </w:tcPr>
          <w:p w:rsidR="00085FAD" w:rsidRDefault="00085FAD" w:rsidP="00F343E9">
            <w:r w:rsidRPr="00E2376D">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EL</w:t>
            </w:r>
          </w:p>
        </w:tc>
        <w:tc>
          <w:tcPr>
            <w:tcW w:w="1022" w:type="dxa"/>
            <w:tcBorders>
              <w:left w:val="single" w:sz="12" w:space="0" w:color="auto"/>
            </w:tcBorders>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vAlign w:val="center"/>
          </w:tcPr>
          <w:p w:rsidR="00085FAD" w:rsidRDefault="00085FAD" w:rsidP="00F343E9">
            <w:r w:rsidRPr="00BA4A2D">
              <w:rPr>
                <w:rFonts w:cs="Arial"/>
                <w:sz w:val="18"/>
                <w:szCs w:val="18"/>
              </w:rPr>
              <w:t>√</w:t>
            </w:r>
          </w:p>
        </w:tc>
        <w:tc>
          <w:tcPr>
            <w:tcW w:w="1022" w:type="dxa"/>
            <w:tcBorders>
              <w:right w:val="single" w:sz="12" w:space="0" w:color="auto"/>
            </w:tcBorders>
            <w:vAlign w:val="center"/>
          </w:tcPr>
          <w:p w:rsidR="00085FAD" w:rsidRDefault="00085FAD" w:rsidP="00F343E9">
            <w:r w:rsidRPr="00BA4A2D">
              <w:rPr>
                <w:rFonts w:cs="Arial"/>
                <w:sz w:val="18"/>
                <w:szCs w:val="18"/>
              </w:rPr>
              <w:t>√</w:t>
            </w:r>
          </w:p>
        </w:tc>
        <w:tc>
          <w:tcPr>
            <w:tcW w:w="1022" w:type="dxa"/>
            <w:tcBorders>
              <w:left w:val="single" w:sz="12" w:space="0" w:color="auto"/>
            </w:tcBorders>
            <w:vAlign w:val="center"/>
          </w:tcPr>
          <w:p w:rsidR="00085FAD" w:rsidRDefault="00085FAD" w:rsidP="00F343E9">
            <w:r w:rsidRPr="0086536F">
              <w:rPr>
                <w:rFonts w:cs="Arial"/>
                <w:sz w:val="18"/>
                <w:szCs w:val="18"/>
              </w:rPr>
              <w:t>√</w:t>
            </w:r>
            <w:r>
              <w:rPr>
                <w:rStyle w:val="EndnoteReference"/>
              </w:rPr>
              <w:endnoteReference w:id="206"/>
            </w:r>
          </w:p>
        </w:tc>
        <w:tc>
          <w:tcPr>
            <w:tcW w:w="1022" w:type="dxa"/>
            <w:vAlign w:val="center"/>
          </w:tcPr>
          <w:p w:rsidR="00085FAD" w:rsidRDefault="00085FAD" w:rsidP="00F343E9">
            <w:r w:rsidRPr="0086536F">
              <w:rPr>
                <w:rFonts w:cs="Arial"/>
                <w:sz w:val="18"/>
                <w:szCs w:val="18"/>
              </w:rPr>
              <w:t>√</w:t>
            </w:r>
            <w:r>
              <w:rPr>
                <w:rStyle w:val="EndnoteReference"/>
              </w:rPr>
              <w:endnoteReference w:id="207"/>
            </w:r>
          </w:p>
        </w:tc>
        <w:tc>
          <w:tcPr>
            <w:tcW w:w="1022" w:type="dxa"/>
            <w:vAlign w:val="center"/>
          </w:tcPr>
          <w:p w:rsidR="00085FAD" w:rsidRDefault="00085FAD" w:rsidP="00F343E9">
            <w:r w:rsidRPr="0086536F">
              <w:rPr>
                <w:rFonts w:cs="Arial"/>
                <w:sz w:val="18"/>
                <w:szCs w:val="18"/>
              </w:rPr>
              <w:t>√</w:t>
            </w:r>
            <w:r>
              <w:rPr>
                <w:rStyle w:val="EndnoteReference"/>
              </w:rPr>
              <w:endnoteReference w:id="208"/>
            </w:r>
          </w:p>
        </w:tc>
        <w:tc>
          <w:tcPr>
            <w:tcW w:w="1022" w:type="dxa"/>
            <w:vAlign w:val="center"/>
          </w:tcPr>
          <w:p w:rsidR="00085FAD" w:rsidRDefault="00085FAD" w:rsidP="00F343E9">
            <w:r w:rsidRPr="0086536F">
              <w:rPr>
                <w:rFonts w:cs="Arial"/>
                <w:sz w:val="18"/>
                <w:szCs w:val="18"/>
              </w:rPr>
              <w:t>√</w:t>
            </w:r>
            <w:r>
              <w:rPr>
                <w:rStyle w:val="EndnoteReference"/>
              </w:rPr>
              <w:endnoteReference w:id="209"/>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ES</w:t>
            </w:r>
          </w:p>
        </w:tc>
        <w:tc>
          <w:tcPr>
            <w:tcW w:w="1022" w:type="dxa"/>
            <w:tcBorders>
              <w:left w:val="single" w:sz="12" w:space="0" w:color="auto"/>
            </w:tcBorders>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vAlign w:val="center"/>
          </w:tcPr>
          <w:p w:rsidR="00085FAD" w:rsidRDefault="00085FAD" w:rsidP="00F343E9">
            <w:r w:rsidRPr="005D253C">
              <w:rPr>
                <w:rFonts w:cs="Arial"/>
                <w:sz w:val="18"/>
                <w:szCs w:val="18"/>
              </w:rPr>
              <w:t>√</w:t>
            </w: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tcPr>
          <w:p w:rsidR="00085FAD" w:rsidRDefault="00085FAD" w:rsidP="00F343E9">
            <w:r w:rsidRPr="00E03073">
              <w:rPr>
                <w:rFonts w:cs="Arial"/>
                <w:sz w:val="18"/>
                <w:szCs w:val="18"/>
              </w:rPr>
              <w:t>√</w:t>
            </w:r>
          </w:p>
        </w:tc>
        <w:tc>
          <w:tcPr>
            <w:tcW w:w="1022" w:type="dxa"/>
          </w:tcPr>
          <w:p w:rsidR="00085FAD" w:rsidRDefault="00085FAD" w:rsidP="00F343E9">
            <w:r w:rsidRPr="00E03073">
              <w:rPr>
                <w:rFonts w:cs="Arial"/>
                <w:sz w:val="18"/>
                <w:szCs w:val="18"/>
              </w:rPr>
              <w:t>√</w:t>
            </w:r>
          </w:p>
        </w:tc>
        <w:tc>
          <w:tcPr>
            <w:tcW w:w="1022" w:type="dxa"/>
            <w:vAlign w:val="center"/>
          </w:tcPr>
          <w:p w:rsidR="00085FAD" w:rsidRDefault="00085FAD" w:rsidP="00F343E9">
            <w:r w:rsidRPr="0086536F">
              <w:rPr>
                <w:rFonts w:cs="Arial"/>
                <w:sz w:val="18"/>
                <w:szCs w:val="18"/>
              </w:rPr>
              <w:t>√</w:t>
            </w:r>
            <w:r>
              <w:rPr>
                <w:rStyle w:val="EndnoteReference"/>
              </w:rPr>
              <w:endnoteReference w:id="210"/>
            </w:r>
          </w:p>
        </w:tc>
        <w:tc>
          <w:tcPr>
            <w:tcW w:w="1022" w:type="dxa"/>
            <w:vAlign w:val="center"/>
          </w:tcPr>
          <w:p w:rsidR="00085FAD" w:rsidRDefault="00085FAD" w:rsidP="00F343E9">
            <w:r w:rsidRPr="0086536F">
              <w:rPr>
                <w:rFonts w:cs="Arial"/>
                <w:sz w:val="18"/>
                <w:szCs w:val="18"/>
              </w:rPr>
              <w:t>√</w:t>
            </w:r>
            <w:r>
              <w:rPr>
                <w:rStyle w:val="EndnoteReference"/>
              </w:rPr>
              <w:endnoteReference w:id="211"/>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FI</w:t>
            </w:r>
          </w:p>
        </w:tc>
        <w:tc>
          <w:tcPr>
            <w:tcW w:w="1022" w:type="dxa"/>
            <w:tcBorders>
              <w:left w:val="single" w:sz="12" w:space="0" w:color="auto"/>
            </w:tcBorders>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p>
        </w:tc>
        <w:tc>
          <w:tcPr>
            <w:tcW w:w="1022" w:type="dxa"/>
            <w:tcBorders>
              <w:right w:val="single" w:sz="12" w:space="0" w:color="auto"/>
            </w:tcBorders>
            <w:vAlign w:val="center"/>
          </w:tcPr>
          <w:p w:rsidR="00085FAD" w:rsidRDefault="00085FAD" w:rsidP="00F343E9">
            <w:r w:rsidRPr="0086536F">
              <w:rPr>
                <w:rFonts w:cs="Arial"/>
                <w:sz w:val="18"/>
                <w:szCs w:val="18"/>
              </w:rPr>
              <w:t>√</w:t>
            </w:r>
          </w:p>
        </w:tc>
        <w:tc>
          <w:tcPr>
            <w:tcW w:w="1022" w:type="dxa"/>
            <w:tcBorders>
              <w:left w:val="single" w:sz="12" w:space="0" w:color="auto"/>
            </w:tcBorders>
          </w:tcPr>
          <w:p w:rsidR="00085FAD" w:rsidRDefault="00085FAD" w:rsidP="00F343E9">
            <w:r w:rsidRPr="00E03073">
              <w:rPr>
                <w:rFonts w:cs="Arial"/>
                <w:sz w:val="18"/>
                <w:szCs w:val="18"/>
              </w:rPr>
              <w:t>√</w:t>
            </w:r>
          </w:p>
        </w:tc>
        <w:tc>
          <w:tcPr>
            <w:tcW w:w="1022" w:type="dxa"/>
          </w:tcPr>
          <w:p w:rsidR="00085FAD" w:rsidRDefault="00085FAD" w:rsidP="00F343E9">
            <w:r w:rsidRPr="00E03073">
              <w:rPr>
                <w:rFonts w:cs="Arial"/>
                <w:sz w:val="18"/>
                <w:szCs w:val="18"/>
              </w:rPr>
              <w:t>√</w:t>
            </w:r>
          </w:p>
        </w:tc>
        <w:tc>
          <w:tcPr>
            <w:tcW w:w="1022" w:type="dxa"/>
            <w:vAlign w:val="center"/>
          </w:tcPr>
          <w:p w:rsidR="00085FAD" w:rsidRDefault="00085FAD" w:rsidP="00F343E9">
            <w:r w:rsidRPr="0086536F">
              <w:rPr>
                <w:rFonts w:cs="Arial"/>
                <w:sz w:val="18"/>
                <w:szCs w:val="18"/>
              </w:rPr>
              <w:t>√</w:t>
            </w:r>
            <w:r>
              <w:rPr>
                <w:rStyle w:val="EndnoteReference"/>
              </w:rPr>
              <w:endnoteReference w:id="212"/>
            </w:r>
          </w:p>
        </w:tc>
        <w:tc>
          <w:tcPr>
            <w:tcW w:w="1022" w:type="dxa"/>
            <w:vAlign w:val="center"/>
          </w:tcPr>
          <w:p w:rsidR="00085FAD" w:rsidRDefault="00085FAD" w:rsidP="00F343E9">
            <w:r w:rsidRPr="0086536F">
              <w:rPr>
                <w:rFonts w:cs="Arial"/>
                <w:sz w:val="18"/>
                <w:szCs w:val="18"/>
              </w:rPr>
              <w:t>√</w:t>
            </w:r>
            <w:r>
              <w:rPr>
                <w:rStyle w:val="EndnoteReference"/>
              </w:rPr>
              <w:endnoteReference w:id="213"/>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FR</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HR</w:t>
            </w:r>
          </w:p>
        </w:tc>
        <w:tc>
          <w:tcPr>
            <w:tcW w:w="1022" w:type="dxa"/>
            <w:tcBorders>
              <w:left w:val="single" w:sz="12" w:space="0" w:color="auto"/>
            </w:tcBorders>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tcBorders>
              <w:right w:val="single" w:sz="12" w:space="0" w:color="auto"/>
            </w:tcBorders>
            <w:vAlign w:val="center"/>
          </w:tcPr>
          <w:p w:rsidR="00085FAD" w:rsidRDefault="00085FAD" w:rsidP="00F343E9">
            <w:r w:rsidRPr="00A36EC0">
              <w:rPr>
                <w:rFonts w:cs="Arial"/>
                <w:sz w:val="18"/>
                <w:szCs w:val="18"/>
              </w:rPr>
              <w:t>√</w:t>
            </w:r>
          </w:p>
        </w:tc>
        <w:tc>
          <w:tcPr>
            <w:tcW w:w="1022" w:type="dxa"/>
            <w:tcBorders>
              <w:left w:val="single" w:sz="12" w:space="0" w:color="auto"/>
            </w:tcBorders>
            <w:vAlign w:val="center"/>
          </w:tcPr>
          <w:p w:rsidR="00085FAD" w:rsidRDefault="00085FAD" w:rsidP="00F343E9">
            <w:r w:rsidRPr="00B82963">
              <w:rPr>
                <w:rFonts w:cs="Arial"/>
                <w:sz w:val="18"/>
                <w:szCs w:val="18"/>
              </w:rPr>
              <w:t>√</w:t>
            </w:r>
          </w:p>
        </w:tc>
        <w:tc>
          <w:tcPr>
            <w:tcW w:w="1022" w:type="dxa"/>
            <w:vAlign w:val="center"/>
          </w:tcPr>
          <w:p w:rsidR="00085FAD" w:rsidRDefault="00085FAD" w:rsidP="00F343E9">
            <w:r w:rsidRPr="00B82963">
              <w:rPr>
                <w:rFonts w:cs="Arial"/>
                <w:sz w:val="18"/>
                <w:szCs w:val="18"/>
              </w:rPr>
              <w:t>√</w:t>
            </w:r>
          </w:p>
        </w:tc>
        <w:tc>
          <w:tcPr>
            <w:tcW w:w="1022" w:type="dxa"/>
            <w:vAlign w:val="center"/>
          </w:tcPr>
          <w:p w:rsidR="00085FAD" w:rsidRDefault="00085FAD" w:rsidP="00F343E9">
            <w:r w:rsidRPr="00B82963">
              <w:rPr>
                <w:rFonts w:cs="Arial"/>
                <w:sz w:val="18"/>
                <w:szCs w:val="18"/>
              </w:rPr>
              <w:t>√</w:t>
            </w:r>
          </w:p>
        </w:tc>
        <w:tc>
          <w:tcPr>
            <w:tcW w:w="1022" w:type="dxa"/>
            <w:vAlign w:val="center"/>
          </w:tcPr>
          <w:p w:rsidR="00085FAD" w:rsidRDefault="00085FAD" w:rsidP="00F343E9">
            <w:r w:rsidRPr="00B82963">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HU</w:t>
            </w:r>
          </w:p>
        </w:tc>
        <w:tc>
          <w:tcPr>
            <w:tcW w:w="1022" w:type="dxa"/>
            <w:tcBorders>
              <w:left w:val="single" w:sz="12" w:space="0" w:color="auto"/>
            </w:tcBorders>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vAlign w:val="center"/>
          </w:tcPr>
          <w:p w:rsidR="00085FAD" w:rsidRDefault="00085FAD" w:rsidP="00F343E9">
            <w:r w:rsidRPr="00A36EC0">
              <w:rPr>
                <w:rFonts w:cs="Arial"/>
                <w:sz w:val="18"/>
                <w:szCs w:val="18"/>
              </w:rPr>
              <w:t>√</w:t>
            </w:r>
          </w:p>
        </w:tc>
        <w:tc>
          <w:tcPr>
            <w:tcW w:w="1022" w:type="dxa"/>
            <w:tcBorders>
              <w:right w:val="single" w:sz="12" w:space="0" w:color="auto"/>
            </w:tcBorders>
            <w:vAlign w:val="center"/>
          </w:tcPr>
          <w:p w:rsidR="00085FAD" w:rsidRDefault="00085FAD" w:rsidP="00F343E9">
            <w:r w:rsidRPr="00A36EC0">
              <w:rPr>
                <w:rFonts w:cs="Arial"/>
                <w:sz w:val="18"/>
                <w:szCs w:val="18"/>
              </w:rPr>
              <w:t>√</w:t>
            </w:r>
          </w:p>
        </w:tc>
        <w:tc>
          <w:tcPr>
            <w:tcW w:w="1022" w:type="dxa"/>
            <w:tcBorders>
              <w:left w:val="single" w:sz="12" w:space="0" w:color="auto"/>
            </w:tcBorders>
            <w:vAlign w:val="center"/>
          </w:tcPr>
          <w:p w:rsidR="00085FAD" w:rsidRDefault="00085FAD" w:rsidP="00F343E9">
            <w:r w:rsidRPr="00176886">
              <w:rPr>
                <w:rFonts w:cs="Arial"/>
                <w:sz w:val="18"/>
                <w:szCs w:val="18"/>
              </w:rPr>
              <w:t>√</w:t>
            </w:r>
          </w:p>
        </w:tc>
        <w:tc>
          <w:tcPr>
            <w:tcW w:w="1022" w:type="dxa"/>
            <w:vAlign w:val="center"/>
          </w:tcPr>
          <w:p w:rsidR="00085FAD" w:rsidRDefault="00085FAD" w:rsidP="00F343E9">
            <w:r w:rsidRPr="00176886">
              <w:rPr>
                <w:rFonts w:cs="Arial"/>
                <w:sz w:val="18"/>
                <w:szCs w:val="18"/>
              </w:rPr>
              <w:t>√</w:t>
            </w:r>
          </w:p>
        </w:tc>
        <w:tc>
          <w:tcPr>
            <w:tcW w:w="1022" w:type="dxa"/>
            <w:vAlign w:val="center"/>
          </w:tcPr>
          <w:p w:rsidR="00085FAD" w:rsidRDefault="00085FAD" w:rsidP="00F343E9">
            <w:r>
              <w:rPr>
                <w:rFonts w:cs="Arial"/>
                <w:sz w:val="18"/>
                <w:szCs w:val="18"/>
              </w:rPr>
              <w:t>√</w:t>
            </w:r>
            <w:r>
              <w:rPr>
                <w:rStyle w:val="EndnoteReference"/>
              </w:rPr>
              <w:endnoteReference w:id="214"/>
            </w:r>
          </w:p>
        </w:tc>
        <w:tc>
          <w:tcPr>
            <w:tcW w:w="1022" w:type="dxa"/>
            <w:vAlign w:val="center"/>
          </w:tcPr>
          <w:p w:rsidR="00085FAD" w:rsidRDefault="00085FAD" w:rsidP="00F343E9">
            <w:r>
              <w:rPr>
                <w:rFonts w:cs="Arial"/>
                <w:sz w:val="18"/>
                <w:szCs w:val="18"/>
              </w:rPr>
              <w:t>√</w:t>
            </w:r>
            <w:r>
              <w:rPr>
                <w:rStyle w:val="EndnoteReference"/>
              </w:rPr>
              <w:endnoteReference w:id="215"/>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IE</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IT</w:t>
            </w:r>
          </w:p>
        </w:tc>
        <w:tc>
          <w:tcPr>
            <w:tcW w:w="1022" w:type="dxa"/>
            <w:tcBorders>
              <w:left w:val="single" w:sz="12" w:space="0" w:color="auto"/>
            </w:tcBorders>
          </w:tcPr>
          <w:p w:rsidR="00085FAD" w:rsidRDefault="00085FAD" w:rsidP="00F343E9">
            <w:r w:rsidRPr="00C04EB8">
              <w:rPr>
                <w:rFonts w:cs="Arial"/>
                <w:sz w:val="18"/>
                <w:szCs w:val="18"/>
              </w:rPr>
              <w:t>√</w:t>
            </w:r>
          </w:p>
        </w:tc>
        <w:tc>
          <w:tcPr>
            <w:tcW w:w="1022" w:type="dxa"/>
          </w:tcPr>
          <w:p w:rsidR="00085FAD" w:rsidRDefault="00085FAD" w:rsidP="00F343E9">
            <w:r w:rsidRPr="00C04EB8">
              <w:rPr>
                <w:rFonts w:cs="Arial"/>
                <w:sz w:val="18"/>
                <w:szCs w:val="18"/>
              </w:rPr>
              <w:t>√</w:t>
            </w:r>
          </w:p>
        </w:tc>
        <w:tc>
          <w:tcPr>
            <w:tcW w:w="1022" w:type="dxa"/>
          </w:tcPr>
          <w:p w:rsidR="00085FAD" w:rsidRDefault="00085FAD" w:rsidP="00F343E9">
            <w:r w:rsidRPr="00C04EB8">
              <w:rPr>
                <w:rFonts w:cs="Arial"/>
                <w:sz w:val="18"/>
                <w:szCs w:val="18"/>
              </w:rPr>
              <w:t>√</w:t>
            </w:r>
          </w:p>
        </w:tc>
        <w:tc>
          <w:tcPr>
            <w:tcW w:w="1022" w:type="dxa"/>
          </w:tcPr>
          <w:p w:rsidR="00085FAD" w:rsidRDefault="00085FAD" w:rsidP="00F343E9">
            <w:r w:rsidRPr="00C04EB8">
              <w:rPr>
                <w:rFonts w:cs="Arial"/>
                <w:sz w:val="18"/>
                <w:szCs w:val="18"/>
              </w:rPr>
              <w:t>√</w:t>
            </w:r>
          </w:p>
        </w:tc>
        <w:tc>
          <w:tcPr>
            <w:tcW w:w="1022" w:type="dxa"/>
          </w:tcPr>
          <w:p w:rsidR="00085FAD" w:rsidRDefault="00085FAD" w:rsidP="00F343E9">
            <w:r w:rsidRPr="00C04EB8">
              <w:rPr>
                <w:rFonts w:cs="Arial"/>
                <w:sz w:val="18"/>
                <w:szCs w:val="18"/>
              </w:rPr>
              <w:t>√</w:t>
            </w:r>
          </w:p>
        </w:tc>
        <w:tc>
          <w:tcPr>
            <w:tcW w:w="1022" w:type="dxa"/>
          </w:tcPr>
          <w:p w:rsidR="00085FAD" w:rsidRDefault="00085FAD" w:rsidP="00F343E9">
            <w:r w:rsidRPr="00C04EB8">
              <w:rPr>
                <w:rFonts w:cs="Arial"/>
                <w:sz w:val="18"/>
                <w:szCs w:val="18"/>
              </w:rPr>
              <w:t>√</w:t>
            </w:r>
          </w:p>
        </w:tc>
        <w:tc>
          <w:tcPr>
            <w:tcW w:w="1022" w:type="dxa"/>
          </w:tcPr>
          <w:p w:rsidR="00085FAD" w:rsidRDefault="00085FAD" w:rsidP="00F343E9">
            <w:r w:rsidRPr="00C04EB8">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tcPr>
          <w:p w:rsidR="00085FAD" w:rsidRDefault="00085FAD" w:rsidP="00F343E9">
            <w:r w:rsidRPr="00B7154F">
              <w:rPr>
                <w:rFonts w:cs="Arial"/>
                <w:sz w:val="18"/>
                <w:szCs w:val="18"/>
              </w:rPr>
              <w:t>√</w:t>
            </w:r>
          </w:p>
        </w:tc>
        <w:tc>
          <w:tcPr>
            <w:tcW w:w="1022" w:type="dxa"/>
            <w:tcBorders>
              <w:left w:val="single" w:sz="12" w:space="0" w:color="auto"/>
            </w:tcBorders>
          </w:tcPr>
          <w:p w:rsidR="00085FAD" w:rsidRDefault="00085FAD" w:rsidP="00F343E9">
            <w:r w:rsidRPr="00B7154F">
              <w:rPr>
                <w:rFonts w:cs="Arial"/>
                <w:sz w:val="18"/>
                <w:szCs w:val="18"/>
              </w:rPr>
              <w:t>√</w:t>
            </w:r>
          </w:p>
        </w:tc>
        <w:tc>
          <w:tcPr>
            <w:tcW w:w="1022" w:type="dxa"/>
          </w:tcPr>
          <w:p w:rsidR="00085FAD" w:rsidRDefault="00085FAD" w:rsidP="00F343E9">
            <w:r w:rsidRPr="00B7154F">
              <w:rPr>
                <w:rFonts w:cs="Arial"/>
                <w:sz w:val="18"/>
                <w:szCs w:val="18"/>
              </w:rPr>
              <w:t>√</w:t>
            </w:r>
          </w:p>
        </w:tc>
        <w:tc>
          <w:tcPr>
            <w:tcW w:w="1022" w:type="dxa"/>
          </w:tcPr>
          <w:p w:rsidR="00085FAD" w:rsidRDefault="00085FAD" w:rsidP="00F343E9">
            <w:r w:rsidRPr="00B7154F">
              <w:rPr>
                <w:rFonts w:cs="Arial"/>
                <w:sz w:val="18"/>
                <w:szCs w:val="18"/>
              </w:rPr>
              <w:t>√</w:t>
            </w:r>
          </w:p>
        </w:tc>
        <w:tc>
          <w:tcPr>
            <w:tcW w:w="1022" w:type="dxa"/>
          </w:tcPr>
          <w:p w:rsidR="00085FAD" w:rsidRDefault="00085FAD" w:rsidP="00F343E9">
            <w:r w:rsidRPr="00B7154F">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LT</w:t>
            </w:r>
          </w:p>
        </w:tc>
        <w:tc>
          <w:tcPr>
            <w:tcW w:w="1022" w:type="dxa"/>
            <w:tcBorders>
              <w:left w:val="single" w:sz="12" w:space="0" w:color="auto"/>
            </w:tcBorders>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Borders>
              <w:right w:val="single" w:sz="12" w:space="0" w:color="auto"/>
            </w:tcBorders>
          </w:tcPr>
          <w:p w:rsidR="00085FAD" w:rsidRDefault="00085FAD" w:rsidP="00F343E9">
            <w:r w:rsidRPr="00ED216E">
              <w:rPr>
                <w:rFonts w:cs="Arial"/>
                <w:sz w:val="18"/>
                <w:szCs w:val="18"/>
              </w:rPr>
              <w:t>√</w:t>
            </w:r>
          </w:p>
        </w:tc>
        <w:tc>
          <w:tcPr>
            <w:tcW w:w="1022" w:type="dxa"/>
            <w:tcBorders>
              <w:left w:val="single" w:sz="12" w:space="0" w:color="auto"/>
            </w:tcBorders>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tcPr>
          <w:p w:rsidR="00085FAD" w:rsidRDefault="00085FAD" w:rsidP="00F343E9">
            <w:r w:rsidRPr="00ED216E">
              <w:rPr>
                <w:rFonts w:cs="Arial"/>
                <w:sz w:val="18"/>
                <w:szCs w:val="18"/>
              </w:rPr>
              <w:t>√</w:t>
            </w:r>
          </w:p>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LU</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Pr>
          <w:p w:rsidR="00085FAD" w:rsidRDefault="00085FAD" w:rsidP="00F343E9">
            <w:r w:rsidRPr="00013DEE">
              <w:rPr>
                <w:rFonts w:cs="Arial"/>
                <w:sz w:val="18"/>
                <w:szCs w:val="18"/>
              </w:rPr>
              <w:t>√</w:t>
            </w:r>
          </w:p>
        </w:tc>
        <w:tc>
          <w:tcPr>
            <w:tcW w:w="1022" w:type="dxa"/>
          </w:tcPr>
          <w:p w:rsidR="00085FAD" w:rsidRDefault="00085FAD" w:rsidP="00F343E9">
            <w:r w:rsidRPr="00C241AD">
              <w:rPr>
                <w:rFonts w:cs="Arial"/>
                <w:sz w:val="18"/>
                <w:szCs w:val="18"/>
              </w:rPr>
              <w:t>√</w:t>
            </w:r>
          </w:p>
        </w:tc>
        <w:tc>
          <w:tcPr>
            <w:tcW w:w="1022" w:type="dxa"/>
          </w:tcPr>
          <w:p w:rsidR="00085FAD" w:rsidRDefault="00085FAD" w:rsidP="00F343E9">
            <w:r w:rsidRPr="00C241AD">
              <w:rPr>
                <w:rFonts w:cs="Arial"/>
                <w:sz w:val="18"/>
                <w:szCs w:val="18"/>
              </w:rPr>
              <w:t>√</w:t>
            </w:r>
          </w:p>
        </w:tc>
        <w:tc>
          <w:tcPr>
            <w:tcW w:w="1022" w:type="dxa"/>
          </w:tcPr>
          <w:p w:rsidR="00085FAD" w:rsidRDefault="00085FAD" w:rsidP="00F343E9">
            <w:r w:rsidRPr="00C241AD">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Pr>
          <w:p w:rsidR="00085FAD" w:rsidRDefault="00085FAD" w:rsidP="00F343E9">
            <w:r w:rsidRPr="00E23C5F">
              <w:rPr>
                <w:rFonts w:cs="Arial"/>
                <w:sz w:val="18"/>
                <w:szCs w:val="18"/>
              </w:rPr>
              <w:t>√</w:t>
            </w:r>
          </w:p>
        </w:tc>
        <w:tc>
          <w:tcPr>
            <w:tcW w:w="1022" w:type="dxa"/>
            <w:tcBorders>
              <w:right w:val="single" w:sz="12" w:space="0" w:color="auto"/>
            </w:tcBorders>
          </w:tcPr>
          <w:p w:rsidR="00085FAD" w:rsidRDefault="00085FAD" w:rsidP="00F343E9">
            <w:r w:rsidRPr="00E23C5F">
              <w:rPr>
                <w:rFonts w:cs="Arial"/>
                <w:sz w:val="18"/>
                <w:szCs w:val="18"/>
              </w:rPr>
              <w:t>√</w:t>
            </w:r>
          </w:p>
        </w:tc>
        <w:tc>
          <w:tcPr>
            <w:tcW w:w="1022" w:type="dxa"/>
            <w:tcBorders>
              <w:left w:val="single" w:sz="12" w:space="0" w:color="auto"/>
            </w:tcBorders>
          </w:tcPr>
          <w:p w:rsidR="00085FAD" w:rsidRDefault="00085FAD" w:rsidP="00F343E9">
            <w:r w:rsidRPr="00E23C5F">
              <w:rPr>
                <w:rFonts w:cs="Arial"/>
                <w:sz w:val="18"/>
                <w:szCs w:val="18"/>
              </w:rPr>
              <w:t>√</w:t>
            </w:r>
          </w:p>
        </w:tc>
        <w:tc>
          <w:tcPr>
            <w:tcW w:w="1022" w:type="dxa"/>
          </w:tcPr>
          <w:p w:rsidR="00085FAD" w:rsidRDefault="00085FAD" w:rsidP="00F343E9">
            <w:r w:rsidRPr="00E23C5F">
              <w:rPr>
                <w:rFonts w:cs="Arial"/>
                <w:sz w:val="18"/>
                <w:szCs w:val="18"/>
              </w:rPr>
              <w:t>√</w:t>
            </w:r>
          </w:p>
        </w:tc>
        <w:tc>
          <w:tcPr>
            <w:tcW w:w="1022" w:type="dxa"/>
          </w:tcPr>
          <w:p w:rsidR="00085FAD" w:rsidRDefault="00085FAD" w:rsidP="00F343E9">
            <w:r w:rsidRPr="00E23C5F">
              <w:rPr>
                <w:rFonts w:cs="Arial"/>
                <w:sz w:val="18"/>
                <w:szCs w:val="18"/>
              </w:rPr>
              <w:t>√</w:t>
            </w:r>
          </w:p>
        </w:tc>
        <w:tc>
          <w:tcPr>
            <w:tcW w:w="1022" w:type="dxa"/>
          </w:tcPr>
          <w:p w:rsidR="00085FAD" w:rsidRDefault="00085FAD" w:rsidP="00F343E9">
            <w:r w:rsidRPr="00E23C5F">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LV</w:t>
            </w:r>
          </w:p>
        </w:tc>
        <w:tc>
          <w:tcPr>
            <w:tcW w:w="1022" w:type="dxa"/>
            <w:tcBorders>
              <w:left w:val="single" w:sz="12" w:space="0" w:color="auto"/>
            </w:tcBorders>
          </w:tcPr>
          <w:p w:rsidR="00085FAD" w:rsidRDefault="00085FAD" w:rsidP="00F343E9">
            <w:r w:rsidRPr="007B5FEE">
              <w:rPr>
                <w:rFonts w:cs="Arial"/>
                <w:sz w:val="18"/>
                <w:szCs w:val="18"/>
              </w:rPr>
              <w:t>√</w:t>
            </w:r>
          </w:p>
        </w:tc>
        <w:tc>
          <w:tcPr>
            <w:tcW w:w="1022" w:type="dxa"/>
          </w:tcPr>
          <w:p w:rsidR="00085FAD" w:rsidRDefault="00085FAD" w:rsidP="00F343E9">
            <w:r w:rsidRPr="00013DEE">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tcPr>
          <w:p w:rsidR="00085FAD" w:rsidRDefault="00085FAD" w:rsidP="00F343E9">
            <w:r w:rsidRPr="00A53024">
              <w:rPr>
                <w:rFonts w:cs="Arial"/>
                <w:sz w:val="18"/>
                <w:szCs w:val="18"/>
              </w:rPr>
              <w:t>√</w:t>
            </w:r>
          </w:p>
        </w:tc>
        <w:tc>
          <w:tcPr>
            <w:tcW w:w="1022" w:type="dxa"/>
          </w:tcPr>
          <w:p w:rsidR="00085FAD" w:rsidRDefault="00085FAD" w:rsidP="00F343E9">
            <w:r w:rsidRPr="00A53024">
              <w:rPr>
                <w:rFonts w:cs="Arial"/>
                <w:sz w:val="18"/>
                <w:szCs w:val="18"/>
              </w:rPr>
              <w:t>√</w:t>
            </w:r>
          </w:p>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MT</w:t>
            </w:r>
          </w:p>
        </w:tc>
        <w:tc>
          <w:tcPr>
            <w:tcW w:w="1022" w:type="dxa"/>
            <w:tcBorders>
              <w:left w:val="single" w:sz="12" w:space="0" w:color="auto"/>
            </w:tcBorders>
          </w:tcPr>
          <w:p w:rsidR="00085FAD" w:rsidRDefault="00085FAD" w:rsidP="00F343E9">
            <w:r w:rsidRPr="007B5FEE">
              <w:rPr>
                <w:rFonts w:cs="Arial"/>
                <w:sz w:val="18"/>
                <w:szCs w:val="18"/>
              </w:rPr>
              <w:t>√</w:t>
            </w:r>
          </w:p>
        </w:tc>
        <w:tc>
          <w:tcPr>
            <w:tcW w:w="1022" w:type="dxa"/>
          </w:tcPr>
          <w:p w:rsidR="00085FAD" w:rsidRDefault="00085FAD" w:rsidP="00F343E9">
            <w:r w:rsidRPr="00013DEE">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053906">
              <w:rPr>
                <w:rFonts w:cs="Arial"/>
                <w:sz w:val="18"/>
                <w:szCs w:val="18"/>
              </w:rPr>
              <w:t>√</w:t>
            </w:r>
          </w:p>
        </w:tc>
        <w:tc>
          <w:tcPr>
            <w:tcW w:w="1022" w:type="dxa"/>
          </w:tcPr>
          <w:p w:rsidR="00085FAD" w:rsidRDefault="00085FAD" w:rsidP="00F343E9">
            <w:r w:rsidRPr="00F71848">
              <w:rPr>
                <w:rFonts w:cs="Arial"/>
                <w:sz w:val="18"/>
                <w:szCs w:val="18"/>
              </w:rPr>
              <w:t>√</w:t>
            </w:r>
          </w:p>
        </w:tc>
        <w:tc>
          <w:tcPr>
            <w:tcW w:w="1022" w:type="dxa"/>
            <w:tcBorders>
              <w:right w:val="single" w:sz="12" w:space="0" w:color="auto"/>
            </w:tcBorders>
          </w:tcPr>
          <w:p w:rsidR="00085FAD" w:rsidRDefault="00085FAD" w:rsidP="00F343E9">
            <w:r w:rsidRPr="00F71848">
              <w:rPr>
                <w:rFonts w:cs="Arial"/>
                <w:sz w:val="18"/>
                <w:szCs w:val="18"/>
              </w:rPr>
              <w:t>√</w:t>
            </w:r>
          </w:p>
        </w:tc>
        <w:tc>
          <w:tcPr>
            <w:tcW w:w="1022" w:type="dxa"/>
            <w:tcBorders>
              <w:left w:val="single" w:sz="12" w:space="0" w:color="auto"/>
            </w:tcBorders>
          </w:tcPr>
          <w:p w:rsidR="00085FAD" w:rsidRDefault="00085FAD" w:rsidP="00F343E9">
            <w:r w:rsidRPr="00F71848">
              <w:rPr>
                <w:rFonts w:cs="Arial"/>
                <w:sz w:val="18"/>
                <w:szCs w:val="18"/>
              </w:rPr>
              <w:t>√</w:t>
            </w:r>
          </w:p>
        </w:tc>
        <w:tc>
          <w:tcPr>
            <w:tcW w:w="1022" w:type="dxa"/>
          </w:tcPr>
          <w:p w:rsidR="00085FAD" w:rsidRDefault="00085FAD" w:rsidP="00F343E9">
            <w:r w:rsidRPr="00F71848">
              <w:rPr>
                <w:rFonts w:cs="Arial"/>
                <w:sz w:val="18"/>
                <w:szCs w:val="18"/>
              </w:rPr>
              <w:t>√</w:t>
            </w:r>
          </w:p>
        </w:tc>
        <w:tc>
          <w:tcPr>
            <w:tcW w:w="1022" w:type="dxa"/>
          </w:tcPr>
          <w:p w:rsidR="00085FAD" w:rsidRDefault="00085FAD" w:rsidP="00F343E9">
            <w:r w:rsidRPr="00F71848">
              <w:rPr>
                <w:rFonts w:cs="Arial"/>
                <w:sz w:val="18"/>
                <w:szCs w:val="18"/>
              </w:rPr>
              <w:t>√</w:t>
            </w:r>
          </w:p>
        </w:tc>
        <w:tc>
          <w:tcPr>
            <w:tcW w:w="1022" w:type="dxa"/>
          </w:tcPr>
          <w:p w:rsidR="00085FAD" w:rsidRDefault="00085FAD" w:rsidP="00F343E9">
            <w:r w:rsidRPr="00F71848">
              <w:rPr>
                <w:rFonts w:cs="Arial"/>
                <w:sz w:val="18"/>
                <w:szCs w:val="18"/>
              </w:rPr>
              <w:t>√</w:t>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NL</w:t>
            </w:r>
          </w:p>
        </w:tc>
        <w:tc>
          <w:tcPr>
            <w:tcW w:w="1022" w:type="dxa"/>
            <w:tcBorders>
              <w:left w:val="single" w:sz="12" w:space="0" w:color="auto"/>
            </w:tcBorders>
          </w:tcPr>
          <w:p w:rsidR="00085FAD" w:rsidRDefault="00085FAD" w:rsidP="00F343E9">
            <w:r w:rsidRPr="007B5FEE">
              <w:rPr>
                <w:rFonts w:cs="Arial"/>
                <w:sz w:val="18"/>
                <w:szCs w:val="18"/>
              </w:rPr>
              <w:t>√</w:t>
            </w:r>
          </w:p>
        </w:tc>
        <w:tc>
          <w:tcPr>
            <w:tcW w:w="1022" w:type="dxa"/>
          </w:tcPr>
          <w:p w:rsidR="00085FAD" w:rsidRDefault="00085FAD" w:rsidP="00F343E9">
            <w:r w:rsidRPr="00013DEE">
              <w:rPr>
                <w:rFonts w:cs="Arial"/>
                <w:sz w:val="18"/>
                <w:szCs w:val="18"/>
              </w:rPr>
              <w:t>√</w:t>
            </w:r>
          </w:p>
        </w:tc>
        <w:tc>
          <w:tcPr>
            <w:tcW w:w="1022" w:type="dxa"/>
          </w:tcPr>
          <w:p w:rsidR="00085FAD" w:rsidRDefault="00085FAD" w:rsidP="00F343E9">
            <w:r w:rsidRPr="00400ABF">
              <w:rPr>
                <w:rFonts w:cs="Arial"/>
                <w:sz w:val="18"/>
                <w:szCs w:val="18"/>
              </w:rPr>
              <w:t>√</w:t>
            </w:r>
          </w:p>
        </w:tc>
        <w:tc>
          <w:tcPr>
            <w:tcW w:w="1022" w:type="dxa"/>
          </w:tcPr>
          <w:p w:rsidR="00085FAD" w:rsidRDefault="00085FAD" w:rsidP="00F343E9">
            <w:r w:rsidRPr="00400ABF">
              <w:rPr>
                <w:rFonts w:cs="Arial"/>
                <w:sz w:val="18"/>
                <w:szCs w:val="18"/>
              </w:rPr>
              <w:t>√</w:t>
            </w:r>
          </w:p>
        </w:tc>
        <w:tc>
          <w:tcPr>
            <w:tcW w:w="1022" w:type="dxa"/>
          </w:tcPr>
          <w:p w:rsidR="00085FAD" w:rsidRDefault="00085FAD" w:rsidP="00F343E9">
            <w:r w:rsidRPr="00400ABF">
              <w:rPr>
                <w:rFonts w:cs="Arial"/>
                <w:sz w:val="18"/>
                <w:szCs w:val="18"/>
              </w:rPr>
              <w:t>√</w:t>
            </w:r>
          </w:p>
        </w:tc>
        <w:tc>
          <w:tcPr>
            <w:tcW w:w="1022" w:type="dxa"/>
          </w:tcPr>
          <w:p w:rsidR="00085FAD" w:rsidRDefault="00085FAD" w:rsidP="00F343E9">
            <w:r w:rsidRPr="00400ABF">
              <w:rPr>
                <w:rFonts w:cs="Arial"/>
                <w:sz w:val="18"/>
                <w:szCs w:val="18"/>
              </w:rPr>
              <w:t>√</w:t>
            </w:r>
          </w:p>
        </w:tc>
        <w:tc>
          <w:tcPr>
            <w:tcW w:w="1022" w:type="dxa"/>
          </w:tcPr>
          <w:p w:rsidR="00085FAD" w:rsidRDefault="00085FAD" w:rsidP="00F343E9">
            <w:r w:rsidRPr="00400ABF">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r>
              <w:rPr>
                <w:rStyle w:val="EndnoteReference"/>
              </w:rPr>
              <w:endnoteReference w:id="216"/>
            </w:r>
          </w:p>
        </w:tc>
        <w:tc>
          <w:tcPr>
            <w:tcW w:w="1022" w:type="dxa"/>
            <w:vAlign w:val="center"/>
          </w:tcPr>
          <w:p w:rsidR="00085FAD" w:rsidRDefault="00085FAD" w:rsidP="00F343E9">
            <w:r w:rsidRPr="0086536F">
              <w:rPr>
                <w:rFonts w:cs="Arial"/>
                <w:sz w:val="18"/>
                <w:szCs w:val="18"/>
              </w:rPr>
              <w:t>√</w:t>
            </w:r>
            <w:r>
              <w:rPr>
                <w:rStyle w:val="EndnoteReference"/>
              </w:rPr>
              <w:endnoteReference w:id="217"/>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PL</w:t>
            </w:r>
          </w:p>
        </w:tc>
        <w:tc>
          <w:tcPr>
            <w:tcW w:w="1022" w:type="dxa"/>
            <w:tcBorders>
              <w:left w:val="single" w:sz="12" w:space="0" w:color="auto"/>
            </w:tcBorders>
          </w:tcPr>
          <w:p w:rsidR="00085FAD" w:rsidRDefault="00085FAD" w:rsidP="00F343E9">
            <w:r w:rsidRPr="007B5FEE">
              <w:rPr>
                <w:rFonts w:cs="Arial"/>
                <w:sz w:val="18"/>
                <w:szCs w:val="18"/>
              </w:rPr>
              <w:t>√</w:t>
            </w:r>
          </w:p>
        </w:tc>
        <w:tc>
          <w:tcPr>
            <w:tcW w:w="1022" w:type="dxa"/>
          </w:tcPr>
          <w:p w:rsidR="00085FAD" w:rsidRDefault="00085FAD" w:rsidP="00F343E9">
            <w:r w:rsidRPr="00013DEE">
              <w:rPr>
                <w:rFonts w:cs="Arial"/>
                <w:sz w:val="18"/>
                <w:szCs w:val="18"/>
              </w:rPr>
              <w:t>√</w:t>
            </w: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Pr>
          <w:p w:rsidR="00085FAD" w:rsidRDefault="00085FAD" w:rsidP="00F343E9">
            <w:r w:rsidRPr="00097238">
              <w:rPr>
                <w:rFonts w:cs="Arial"/>
                <w:sz w:val="18"/>
                <w:szCs w:val="18"/>
              </w:rPr>
              <w:t>√</w:t>
            </w:r>
          </w:p>
        </w:tc>
        <w:tc>
          <w:tcPr>
            <w:tcW w:w="1022" w:type="dxa"/>
          </w:tcPr>
          <w:p w:rsidR="00085FAD" w:rsidRDefault="00085FAD" w:rsidP="00F343E9">
            <w:r w:rsidRPr="00097238">
              <w:rPr>
                <w:rFonts w:cs="Arial"/>
                <w:sz w:val="18"/>
                <w:szCs w:val="18"/>
              </w:rPr>
              <w:t>√</w:t>
            </w:r>
          </w:p>
        </w:tc>
        <w:tc>
          <w:tcPr>
            <w:tcW w:w="1022" w:type="dxa"/>
            <w:tcBorders>
              <w:right w:val="single" w:sz="12" w:space="0" w:color="auto"/>
            </w:tcBorders>
          </w:tcPr>
          <w:p w:rsidR="00085FAD" w:rsidRDefault="00085FAD" w:rsidP="00F343E9">
            <w:r w:rsidRPr="00097238">
              <w:rPr>
                <w:rFonts w:cs="Arial"/>
                <w:sz w:val="18"/>
                <w:szCs w:val="18"/>
              </w:rPr>
              <w:t>√</w:t>
            </w:r>
          </w:p>
        </w:tc>
        <w:tc>
          <w:tcPr>
            <w:tcW w:w="1022" w:type="dxa"/>
            <w:tcBorders>
              <w:left w:val="single" w:sz="12" w:space="0" w:color="auto"/>
            </w:tcBorders>
          </w:tcPr>
          <w:p w:rsidR="00085FAD" w:rsidRDefault="00085FAD" w:rsidP="00F343E9">
            <w:r w:rsidRPr="00097238">
              <w:rPr>
                <w:rFonts w:cs="Arial"/>
                <w:sz w:val="18"/>
                <w:szCs w:val="18"/>
              </w:rPr>
              <w:t>√</w:t>
            </w:r>
          </w:p>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PT</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RO</w:t>
            </w:r>
          </w:p>
        </w:tc>
        <w:tc>
          <w:tcPr>
            <w:tcW w:w="1022" w:type="dxa"/>
            <w:tcBorders>
              <w:left w:val="single" w:sz="12" w:space="0" w:color="auto"/>
            </w:tcBorders>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Borders>
              <w:right w:val="single" w:sz="12" w:space="0" w:color="auto"/>
            </w:tcBorders>
          </w:tcPr>
          <w:p w:rsidR="00085FAD" w:rsidRDefault="00085FAD" w:rsidP="00F343E9">
            <w:r w:rsidRPr="008B3985">
              <w:rPr>
                <w:rFonts w:cs="Arial"/>
                <w:sz w:val="18"/>
                <w:szCs w:val="18"/>
              </w:rPr>
              <w:t>√</w:t>
            </w:r>
          </w:p>
        </w:tc>
        <w:tc>
          <w:tcPr>
            <w:tcW w:w="1022" w:type="dxa"/>
            <w:tcBorders>
              <w:left w:val="single" w:sz="12" w:space="0" w:color="auto"/>
            </w:tcBorders>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tcPr>
          <w:p w:rsidR="00085FAD" w:rsidRDefault="00085FAD" w:rsidP="00F343E9">
            <w:r w:rsidRPr="008B3985">
              <w:rPr>
                <w:rFonts w:cs="Arial"/>
                <w:sz w:val="18"/>
                <w:szCs w:val="18"/>
              </w:rPr>
              <w:t>√</w:t>
            </w:r>
          </w:p>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SE</w:t>
            </w:r>
          </w:p>
        </w:tc>
        <w:tc>
          <w:tcPr>
            <w:tcW w:w="1022" w:type="dxa"/>
            <w:tcBorders>
              <w:left w:val="single" w:sz="12" w:space="0" w:color="auto"/>
            </w:tcBorders>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Pr>
          <w:p w:rsidR="00085FAD" w:rsidRDefault="00085FAD" w:rsidP="00F343E9">
            <w:r w:rsidRPr="003C2CAB">
              <w:rPr>
                <w:rFonts w:cs="Arial"/>
                <w:sz w:val="18"/>
                <w:szCs w:val="18"/>
              </w:rPr>
              <w:t>√</w:t>
            </w: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vAlign w:val="center"/>
          </w:tcPr>
          <w:p w:rsidR="00085FAD" w:rsidRDefault="00085FAD" w:rsidP="00F343E9">
            <w:r w:rsidRPr="0086536F">
              <w:rPr>
                <w:rFonts w:cs="Arial"/>
                <w:sz w:val="18"/>
                <w:szCs w:val="18"/>
              </w:rPr>
              <w:t>√</w:t>
            </w:r>
          </w:p>
        </w:tc>
        <w:tc>
          <w:tcPr>
            <w:tcW w:w="1022" w:type="dxa"/>
            <w:vAlign w:val="center"/>
          </w:tcPr>
          <w:p w:rsidR="00085FAD" w:rsidRDefault="00085FAD" w:rsidP="00F343E9">
            <w:r w:rsidRPr="0086536F">
              <w:rPr>
                <w:rFonts w:cs="Arial"/>
                <w:sz w:val="18"/>
                <w:szCs w:val="18"/>
              </w:rPr>
              <w:t>√</w:t>
            </w:r>
            <w:r>
              <w:rPr>
                <w:rStyle w:val="EndnoteReference"/>
              </w:rPr>
              <w:endnoteReference w:id="218"/>
            </w:r>
          </w:p>
        </w:tc>
        <w:tc>
          <w:tcPr>
            <w:tcW w:w="1022" w:type="dxa"/>
            <w:vAlign w:val="center"/>
          </w:tcPr>
          <w:p w:rsidR="00085FAD" w:rsidRDefault="00085FAD" w:rsidP="00F343E9">
            <w:r w:rsidRPr="0086536F">
              <w:rPr>
                <w:rFonts w:cs="Arial"/>
                <w:sz w:val="18"/>
                <w:szCs w:val="18"/>
              </w:rPr>
              <w:t>√</w:t>
            </w:r>
            <w:r>
              <w:rPr>
                <w:rStyle w:val="EndnoteReference"/>
              </w:rPr>
              <w:endnoteReference w:id="219"/>
            </w:r>
          </w:p>
        </w:tc>
        <w:tc>
          <w:tcPr>
            <w:tcW w:w="1022" w:type="dxa"/>
            <w:vAlign w:val="center"/>
          </w:tcPr>
          <w:p w:rsidR="00085FAD" w:rsidRDefault="00085FAD" w:rsidP="00F343E9">
            <w:r w:rsidRPr="0086536F">
              <w:rPr>
                <w:rFonts w:cs="Arial"/>
                <w:sz w:val="18"/>
                <w:szCs w:val="18"/>
              </w:rPr>
              <w:t>√</w:t>
            </w:r>
            <w:r>
              <w:rPr>
                <w:rStyle w:val="EndnoteReference"/>
              </w:rPr>
              <w:endnoteReference w:id="220"/>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SI</w:t>
            </w:r>
          </w:p>
        </w:tc>
        <w:tc>
          <w:tcPr>
            <w:tcW w:w="1022" w:type="dxa"/>
            <w:tcBorders>
              <w:left w:val="single" w:sz="12" w:space="0" w:color="auto"/>
            </w:tcBorders>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Pr>
          <w:p w:rsidR="00085FAD" w:rsidRDefault="00085FAD" w:rsidP="00F343E9">
            <w:r w:rsidRPr="00A2103D">
              <w:rPr>
                <w:rFonts w:cs="Arial"/>
                <w:sz w:val="18"/>
                <w:szCs w:val="18"/>
              </w:rPr>
              <w:t>√</w:t>
            </w: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tcPr>
          <w:p w:rsidR="00085FAD" w:rsidRDefault="00085FAD" w:rsidP="00F343E9">
            <w:r w:rsidRPr="0089690C">
              <w:rPr>
                <w:rFonts w:cs="Arial"/>
                <w:sz w:val="18"/>
                <w:szCs w:val="18"/>
              </w:rPr>
              <w:t>√</w:t>
            </w:r>
          </w:p>
        </w:tc>
        <w:tc>
          <w:tcPr>
            <w:tcW w:w="1022" w:type="dxa"/>
          </w:tcPr>
          <w:p w:rsidR="00085FAD" w:rsidRDefault="00085FAD" w:rsidP="00F343E9">
            <w:r w:rsidRPr="0089690C">
              <w:rPr>
                <w:rFonts w:cs="Arial"/>
                <w:sz w:val="18"/>
                <w:szCs w:val="18"/>
              </w:rPr>
              <w:t>√</w:t>
            </w:r>
          </w:p>
        </w:tc>
        <w:tc>
          <w:tcPr>
            <w:tcW w:w="1022" w:type="dxa"/>
          </w:tcPr>
          <w:p w:rsidR="00085FAD" w:rsidRDefault="00085FAD" w:rsidP="00F343E9">
            <w:r w:rsidRPr="0089690C">
              <w:rPr>
                <w:rFonts w:cs="Arial"/>
                <w:sz w:val="18"/>
                <w:szCs w:val="18"/>
              </w:rPr>
              <w:t>√</w:t>
            </w:r>
          </w:p>
        </w:tc>
        <w:tc>
          <w:tcPr>
            <w:tcW w:w="1022" w:type="dxa"/>
            <w:vAlign w:val="center"/>
          </w:tcPr>
          <w:p w:rsidR="00085FAD" w:rsidRDefault="00085FAD" w:rsidP="00F343E9">
            <w:r w:rsidRPr="0086536F">
              <w:rPr>
                <w:rFonts w:cs="Arial"/>
                <w:sz w:val="18"/>
                <w:szCs w:val="18"/>
              </w:rPr>
              <w:t>√</w:t>
            </w:r>
            <w:r>
              <w:rPr>
                <w:rStyle w:val="EndnoteReference"/>
              </w:rPr>
              <w:endnoteReference w:id="221"/>
            </w:r>
          </w:p>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SK</w:t>
            </w:r>
          </w:p>
        </w:tc>
        <w:tc>
          <w:tcPr>
            <w:tcW w:w="1022" w:type="dxa"/>
            <w:tcBorders>
              <w:left w:val="single" w:sz="12" w:space="0" w:color="auto"/>
            </w:tcBorders>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Pr>
          <w:p w:rsidR="00085FAD" w:rsidRDefault="00085FAD" w:rsidP="00F343E9">
            <w:r w:rsidRPr="0069297E">
              <w:rPr>
                <w:rFonts w:cs="Arial"/>
                <w:sz w:val="18"/>
                <w:szCs w:val="18"/>
              </w:rPr>
              <w:t>√</w:t>
            </w:r>
          </w:p>
        </w:tc>
        <w:tc>
          <w:tcPr>
            <w:tcW w:w="1022" w:type="dxa"/>
            <w:tcBorders>
              <w:right w:val="single" w:sz="12" w:space="0" w:color="auto"/>
            </w:tcBorders>
          </w:tcPr>
          <w:p w:rsidR="00085FAD" w:rsidRDefault="00085FAD" w:rsidP="00F343E9">
            <w:r w:rsidRPr="0069297E">
              <w:rPr>
                <w:rFonts w:cs="Arial"/>
                <w:sz w:val="18"/>
                <w:szCs w:val="18"/>
              </w:rPr>
              <w:t>√</w:t>
            </w:r>
          </w:p>
        </w:tc>
        <w:tc>
          <w:tcPr>
            <w:tcW w:w="1022" w:type="dxa"/>
            <w:tcBorders>
              <w:left w:val="single" w:sz="12" w:space="0" w:color="auto"/>
            </w:tcBorders>
          </w:tcPr>
          <w:p w:rsidR="00085FAD" w:rsidRDefault="00085FAD" w:rsidP="00F343E9">
            <w:r w:rsidRPr="00DC1450">
              <w:rPr>
                <w:rFonts w:cs="Arial"/>
                <w:sz w:val="18"/>
                <w:szCs w:val="18"/>
              </w:rPr>
              <w:t>√</w:t>
            </w:r>
          </w:p>
        </w:tc>
        <w:tc>
          <w:tcPr>
            <w:tcW w:w="1022" w:type="dxa"/>
          </w:tcPr>
          <w:p w:rsidR="00085FAD" w:rsidRDefault="00085FAD" w:rsidP="00F343E9">
            <w:r w:rsidRPr="00DC1450">
              <w:rPr>
                <w:rFonts w:cs="Arial"/>
                <w:sz w:val="18"/>
                <w:szCs w:val="18"/>
              </w:rPr>
              <w:t>√</w:t>
            </w:r>
          </w:p>
        </w:tc>
        <w:tc>
          <w:tcPr>
            <w:tcW w:w="1022" w:type="dxa"/>
          </w:tcPr>
          <w:p w:rsidR="00085FAD" w:rsidRDefault="00085FAD" w:rsidP="00F343E9">
            <w:r w:rsidRPr="00DC1450">
              <w:rPr>
                <w:rFonts w:cs="Arial"/>
                <w:sz w:val="18"/>
                <w:szCs w:val="18"/>
              </w:rPr>
              <w:t>√</w:t>
            </w:r>
          </w:p>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UK-E&amp;W</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085FAD" w:rsidP="00F343E9">
            <w:pPr>
              <w:pStyle w:val="BTBullet1"/>
              <w:numPr>
                <w:ilvl w:val="0"/>
                <w:numId w:val="0"/>
              </w:numPr>
              <w:rPr>
                <w:b/>
                <w:sz w:val="16"/>
                <w:szCs w:val="16"/>
              </w:rPr>
            </w:pPr>
            <w:r w:rsidRPr="00BA0DCC">
              <w:rPr>
                <w:b/>
                <w:sz w:val="16"/>
                <w:szCs w:val="16"/>
              </w:rPr>
              <w:t>UK-NI</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288"/>
          <w:jc w:val="center"/>
        </w:trPr>
        <w:tc>
          <w:tcPr>
            <w:tcW w:w="1022" w:type="dxa"/>
            <w:tcBorders>
              <w:right w:val="single" w:sz="12" w:space="0" w:color="auto"/>
            </w:tcBorders>
            <w:shd w:val="clear" w:color="auto" w:fill="DBE5F1" w:themeFill="accent1" w:themeFillTint="33"/>
            <w:vAlign w:val="center"/>
          </w:tcPr>
          <w:p w:rsidR="00085FAD" w:rsidRPr="00BA0DCC" w:rsidRDefault="00CD7610" w:rsidP="00F343E9">
            <w:pPr>
              <w:pStyle w:val="BTBullet1"/>
              <w:numPr>
                <w:ilvl w:val="0"/>
                <w:numId w:val="0"/>
              </w:numPr>
              <w:rPr>
                <w:b/>
                <w:sz w:val="16"/>
                <w:szCs w:val="16"/>
              </w:rPr>
            </w:pPr>
            <w:r>
              <w:rPr>
                <w:b/>
                <w:sz w:val="16"/>
                <w:szCs w:val="16"/>
              </w:rPr>
              <w:t>UK-S</w:t>
            </w:r>
          </w:p>
        </w:tc>
        <w:tc>
          <w:tcPr>
            <w:tcW w:w="1022" w:type="dxa"/>
            <w:tcBorders>
              <w:lef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shd w:val="clear" w:color="auto" w:fill="D9D9D9" w:themeFill="background1" w:themeFillShade="D9"/>
            <w:vAlign w:val="center"/>
          </w:tcPr>
          <w:p w:rsidR="00085FAD" w:rsidRPr="00E217F3" w:rsidRDefault="00085FAD" w:rsidP="00F343E9">
            <w:pPr>
              <w:rPr>
                <w:sz w:val="18"/>
                <w:szCs w:val="18"/>
              </w:rPr>
            </w:pPr>
          </w:p>
        </w:tc>
        <w:tc>
          <w:tcPr>
            <w:tcW w:w="1022" w:type="dxa"/>
            <w:tcBorders>
              <w:right w:val="single" w:sz="12" w:space="0" w:color="auto"/>
            </w:tcBorders>
            <w:shd w:val="clear" w:color="auto" w:fill="D9D9D9" w:themeFill="background1" w:themeFillShade="D9"/>
            <w:vAlign w:val="center"/>
          </w:tcPr>
          <w:p w:rsidR="00085FAD" w:rsidRPr="00E217F3" w:rsidRDefault="00085FAD" w:rsidP="00F343E9">
            <w:pPr>
              <w:rPr>
                <w:sz w:val="18"/>
                <w:szCs w:val="18"/>
              </w:rPr>
            </w:pPr>
          </w:p>
        </w:tc>
        <w:tc>
          <w:tcPr>
            <w:tcW w:w="1022" w:type="dxa"/>
            <w:tcBorders>
              <w:left w:val="single" w:sz="12" w:space="0" w:color="auto"/>
            </w:tcBorders>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c>
          <w:tcPr>
            <w:tcW w:w="1022" w:type="dxa"/>
            <w:shd w:val="clear" w:color="auto" w:fill="D9D9D9" w:themeFill="background1" w:themeFillShade="D9"/>
            <w:vAlign w:val="center"/>
          </w:tcPr>
          <w:p w:rsidR="00085FAD" w:rsidRDefault="00085FAD" w:rsidP="00F343E9"/>
        </w:tc>
      </w:tr>
      <w:tr w:rsidR="00085FAD" w:rsidTr="00546996">
        <w:trPr>
          <w:cantSplit/>
          <w:trHeight w:hRule="exact" w:val="489"/>
          <w:jc w:val="center"/>
        </w:trPr>
        <w:tc>
          <w:tcPr>
            <w:tcW w:w="1022" w:type="dxa"/>
            <w:tcBorders>
              <w:right w:val="single" w:sz="12" w:space="0" w:color="auto"/>
            </w:tcBorders>
            <w:shd w:val="clear" w:color="auto" w:fill="FFFFFF" w:themeFill="background1"/>
            <w:vAlign w:val="center"/>
          </w:tcPr>
          <w:p w:rsidR="00085FAD" w:rsidRPr="00BA0DCC" w:rsidRDefault="00085FAD" w:rsidP="00F343E9">
            <w:pPr>
              <w:pStyle w:val="BTBullet1"/>
              <w:numPr>
                <w:ilvl w:val="0"/>
                <w:numId w:val="0"/>
              </w:numPr>
              <w:rPr>
                <w:b/>
                <w:sz w:val="16"/>
                <w:szCs w:val="16"/>
              </w:rPr>
            </w:pPr>
            <w:r>
              <w:rPr>
                <w:b/>
                <w:sz w:val="16"/>
                <w:szCs w:val="16"/>
              </w:rPr>
              <w:t>Total Yes</w:t>
            </w:r>
          </w:p>
        </w:tc>
        <w:tc>
          <w:tcPr>
            <w:tcW w:w="1022" w:type="dxa"/>
            <w:tcBorders>
              <w:left w:val="single" w:sz="12" w:space="0" w:color="auto"/>
            </w:tcBorders>
            <w:vAlign w:val="center"/>
          </w:tcPr>
          <w:p w:rsidR="00085FAD" w:rsidRPr="009244E4" w:rsidRDefault="00085FAD" w:rsidP="00F343E9">
            <w:pPr>
              <w:rPr>
                <w:b/>
                <w:sz w:val="16"/>
                <w:szCs w:val="16"/>
              </w:rPr>
            </w:pPr>
            <w:r w:rsidRPr="009244E4">
              <w:rPr>
                <w:b/>
                <w:sz w:val="16"/>
                <w:szCs w:val="16"/>
              </w:rPr>
              <w:t>23</w:t>
            </w:r>
          </w:p>
        </w:tc>
        <w:tc>
          <w:tcPr>
            <w:tcW w:w="1022" w:type="dxa"/>
            <w:vAlign w:val="center"/>
          </w:tcPr>
          <w:p w:rsidR="00085FAD" w:rsidRPr="009244E4" w:rsidRDefault="00085FAD" w:rsidP="00F343E9">
            <w:pPr>
              <w:rPr>
                <w:b/>
                <w:sz w:val="16"/>
                <w:szCs w:val="16"/>
              </w:rPr>
            </w:pPr>
            <w:r w:rsidRPr="009244E4">
              <w:rPr>
                <w:b/>
                <w:sz w:val="16"/>
                <w:szCs w:val="16"/>
              </w:rPr>
              <w:t>24</w:t>
            </w:r>
          </w:p>
        </w:tc>
        <w:tc>
          <w:tcPr>
            <w:tcW w:w="1022" w:type="dxa"/>
            <w:vAlign w:val="center"/>
          </w:tcPr>
          <w:p w:rsidR="00085FAD" w:rsidRPr="009244E4" w:rsidRDefault="00085FAD" w:rsidP="00F343E9">
            <w:pPr>
              <w:rPr>
                <w:b/>
                <w:sz w:val="16"/>
                <w:szCs w:val="16"/>
              </w:rPr>
            </w:pPr>
            <w:r w:rsidRPr="009244E4">
              <w:rPr>
                <w:b/>
                <w:sz w:val="16"/>
                <w:szCs w:val="16"/>
              </w:rPr>
              <w:t>23</w:t>
            </w:r>
          </w:p>
        </w:tc>
        <w:tc>
          <w:tcPr>
            <w:tcW w:w="1022" w:type="dxa"/>
            <w:vAlign w:val="center"/>
          </w:tcPr>
          <w:p w:rsidR="00085FAD" w:rsidRPr="009244E4" w:rsidRDefault="00085FAD" w:rsidP="00F343E9">
            <w:pPr>
              <w:rPr>
                <w:b/>
                <w:sz w:val="16"/>
                <w:szCs w:val="16"/>
              </w:rPr>
            </w:pPr>
            <w:r w:rsidRPr="009244E4">
              <w:rPr>
                <w:b/>
                <w:sz w:val="16"/>
                <w:szCs w:val="16"/>
              </w:rPr>
              <w:t>23</w:t>
            </w:r>
          </w:p>
        </w:tc>
        <w:tc>
          <w:tcPr>
            <w:tcW w:w="1022" w:type="dxa"/>
            <w:vAlign w:val="center"/>
          </w:tcPr>
          <w:p w:rsidR="00085FAD" w:rsidRPr="009244E4" w:rsidRDefault="00085FAD" w:rsidP="00F343E9">
            <w:pPr>
              <w:rPr>
                <w:b/>
                <w:sz w:val="16"/>
                <w:szCs w:val="16"/>
              </w:rPr>
            </w:pPr>
            <w:r w:rsidRPr="009244E4">
              <w:rPr>
                <w:b/>
                <w:sz w:val="16"/>
                <w:szCs w:val="16"/>
              </w:rPr>
              <w:t>22</w:t>
            </w:r>
          </w:p>
        </w:tc>
        <w:tc>
          <w:tcPr>
            <w:tcW w:w="1022" w:type="dxa"/>
            <w:vAlign w:val="center"/>
          </w:tcPr>
          <w:p w:rsidR="00085FAD" w:rsidRPr="009244E4" w:rsidRDefault="00085FAD" w:rsidP="00F343E9">
            <w:pPr>
              <w:rPr>
                <w:b/>
                <w:sz w:val="16"/>
                <w:szCs w:val="16"/>
              </w:rPr>
            </w:pPr>
            <w:r w:rsidRPr="009244E4">
              <w:rPr>
                <w:b/>
                <w:sz w:val="16"/>
                <w:szCs w:val="16"/>
              </w:rPr>
              <w:t>22</w:t>
            </w:r>
          </w:p>
        </w:tc>
        <w:tc>
          <w:tcPr>
            <w:tcW w:w="1022" w:type="dxa"/>
            <w:vAlign w:val="center"/>
          </w:tcPr>
          <w:p w:rsidR="00085FAD" w:rsidRPr="009244E4" w:rsidRDefault="00085FAD" w:rsidP="00F343E9">
            <w:pPr>
              <w:rPr>
                <w:b/>
                <w:sz w:val="16"/>
                <w:szCs w:val="16"/>
              </w:rPr>
            </w:pPr>
            <w:r w:rsidRPr="009244E4">
              <w:rPr>
                <w:b/>
                <w:sz w:val="16"/>
                <w:szCs w:val="16"/>
              </w:rPr>
              <w:t>22</w:t>
            </w:r>
          </w:p>
        </w:tc>
        <w:tc>
          <w:tcPr>
            <w:tcW w:w="1022" w:type="dxa"/>
            <w:vAlign w:val="center"/>
          </w:tcPr>
          <w:p w:rsidR="00085FAD" w:rsidRPr="009244E4" w:rsidRDefault="00085FAD" w:rsidP="00F343E9">
            <w:pPr>
              <w:rPr>
                <w:b/>
                <w:sz w:val="16"/>
                <w:szCs w:val="16"/>
              </w:rPr>
            </w:pPr>
            <w:r w:rsidRPr="009244E4">
              <w:rPr>
                <w:b/>
                <w:sz w:val="16"/>
                <w:szCs w:val="16"/>
              </w:rPr>
              <w:t>21</w:t>
            </w:r>
          </w:p>
        </w:tc>
        <w:tc>
          <w:tcPr>
            <w:tcW w:w="1022" w:type="dxa"/>
            <w:tcBorders>
              <w:right w:val="single" w:sz="12" w:space="0" w:color="auto"/>
            </w:tcBorders>
            <w:vAlign w:val="center"/>
          </w:tcPr>
          <w:p w:rsidR="00085FAD" w:rsidRPr="009244E4" w:rsidRDefault="00085FAD" w:rsidP="00F343E9">
            <w:pPr>
              <w:rPr>
                <w:b/>
                <w:sz w:val="16"/>
                <w:szCs w:val="16"/>
              </w:rPr>
            </w:pPr>
            <w:r w:rsidRPr="009244E4">
              <w:rPr>
                <w:b/>
                <w:sz w:val="16"/>
                <w:szCs w:val="16"/>
              </w:rPr>
              <w:t>17</w:t>
            </w:r>
          </w:p>
        </w:tc>
        <w:tc>
          <w:tcPr>
            <w:tcW w:w="1022" w:type="dxa"/>
            <w:tcBorders>
              <w:left w:val="single" w:sz="12" w:space="0" w:color="auto"/>
            </w:tcBorders>
            <w:vAlign w:val="center"/>
          </w:tcPr>
          <w:p w:rsidR="00085FAD" w:rsidRPr="009244E4" w:rsidRDefault="00085FAD" w:rsidP="00F343E9">
            <w:pPr>
              <w:rPr>
                <w:b/>
                <w:sz w:val="16"/>
                <w:szCs w:val="16"/>
              </w:rPr>
            </w:pPr>
            <w:r w:rsidRPr="009244E4">
              <w:rPr>
                <w:b/>
                <w:sz w:val="16"/>
                <w:szCs w:val="16"/>
              </w:rPr>
              <w:t>21</w:t>
            </w:r>
          </w:p>
        </w:tc>
        <w:tc>
          <w:tcPr>
            <w:tcW w:w="1022" w:type="dxa"/>
            <w:vAlign w:val="center"/>
          </w:tcPr>
          <w:p w:rsidR="00085FAD" w:rsidRPr="009244E4" w:rsidRDefault="00085FAD" w:rsidP="00F343E9">
            <w:pPr>
              <w:rPr>
                <w:b/>
                <w:sz w:val="16"/>
                <w:szCs w:val="16"/>
              </w:rPr>
            </w:pPr>
            <w:r w:rsidRPr="009244E4">
              <w:rPr>
                <w:b/>
                <w:sz w:val="16"/>
                <w:szCs w:val="16"/>
              </w:rPr>
              <w:t>23</w:t>
            </w:r>
          </w:p>
        </w:tc>
        <w:tc>
          <w:tcPr>
            <w:tcW w:w="1022" w:type="dxa"/>
            <w:vAlign w:val="center"/>
          </w:tcPr>
          <w:p w:rsidR="00085FAD" w:rsidRPr="009244E4" w:rsidRDefault="00085FAD" w:rsidP="00F343E9">
            <w:pPr>
              <w:rPr>
                <w:b/>
                <w:sz w:val="16"/>
                <w:szCs w:val="16"/>
              </w:rPr>
            </w:pPr>
            <w:r w:rsidRPr="009244E4">
              <w:rPr>
                <w:b/>
                <w:sz w:val="16"/>
                <w:szCs w:val="16"/>
              </w:rPr>
              <w:t>23</w:t>
            </w:r>
          </w:p>
        </w:tc>
        <w:tc>
          <w:tcPr>
            <w:tcW w:w="1022" w:type="dxa"/>
            <w:vAlign w:val="center"/>
          </w:tcPr>
          <w:p w:rsidR="00085FAD" w:rsidRPr="009244E4" w:rsidRDefault="00085FAD" w:rsidP="00F343E9">
            <w:pPr>
              <w:rPr>
                <w:b/>
                <w:sz w:val="16"/>
                <w:szCs w:val="16"/>
              </w:rPr>
            </w:pPr>
            <w:r w:rsidRPr="009244E4">
              <w:rPr>
                <w:b/>
                <w:sz w:val="16"/>
                <w:szCs w:val="16"/>
              </w:rPr>
              <w:t>15</w:t>
            </w:r>
          </w:p>
        </w:tc>
      </w:tr>
      <w:tr w:rsidR="00085FAD" w:rsidTr="004D603A">
        <w:trPr>
          <w:cantSplit/>
          <w:trHeight w:hRule="exact" w:val="399"/>
          <w:jc w:val="center"/>
        </w:trPr>
        <w:tc>
          <w:tcPr>
            <w:tcW w:w="10889" w:type="dxa"/>
            <w:gridSpan w:val="14"/>
            <w:shd w:val="clear" w:color="auto" w:fill="FFFFFF" w:themeFill="background1"/>
            <w:vAlign w:val="center"/>
          </w:tcPr>
          <w:p w:rsidR="00085FAD" w:rsidRPr="009244E4" w:rsidRDefault="004D603A" w:rsidP="00F343E9">
            <w:pPr>
              <w:rPr>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085FAD" w:rsidRDefault="00085FAD">
      <w:pPr>
        <w:spacing w:before="0" w:after="0" w:line="240" w:lineRule="auto"/>
        <w:sectPr w:rsidR="00085FAD"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356378" w:rsidRDefault="00356378">
      <w:pPr>
        <w:spacing w:before="0" w:after="0" w:line="240" w:lineRule="auto"/>
      </w:pPr>
      <w:r>
        <w:br w:type="page"/>
      </w:r>
    </w:p>
    <w:p w:rsidR="0062513B" w:rsidRDefault="006822D9" w:rsidP="00861A9D">
      <w:pPr>
        <w:pStyle w:val="AnnexTable"/>
        <w:tabs>
          <w:tab w:val="clear" w:pos="2687"/>
          <w:tab w:val="num" w:pos="1440"/>
        </w:tabs>
        <w:ind w:left="1440" w:hanging="1440"/>
      </w:pPr>
      <w:bookmarkStart w:id="371" w:name="_Ref395830023"/>
      <w:bookmarkStart w:id="372" w:name="_Toc408908672"/>
      <w:r w:rsidRPr="006822D9">
        <w:t>Existence of a legal obligation for judicial authorities to avoid undue delay in their handling of cases involving children (urgency principle)</w:t>
      </w:r>
      <w:r w:rsidR="0062513B">
        <w:t xml:space="preserve"> </w:t>
      </w:r>
      <w:r w:rsidR="001B62AB">
        <w:t>(CivAdm105)</w:t>
      </w:r>
      <w:bookmarkEnd w:id="371"/>
      <w:bookmarkEnd w:id="372"/>
    </w:p>
    <w:p w:rsidR="00CC5670" w:rsidRDefault="00CC5670" w:rsidP="00E83597">
      <w:pPr>
        <w:pStyle w:val="TableTitle"/>
        <w:sectPr w:rsidR="00CC5670" w:rsidSect="002C3D52">
          <w:type w:val="continuous"/>
          <w:pgSz w:w="11907" w:h="16840" w:code="9"/>
          <w:pgMar w:top="1276" w:right="1418" w:bottom="851" w:left="1418" w:header="680" w:footer="567" w:gutter="0"/>
          <w:cols w:space="708"/>
          <w:docGrid w:linePitch="360"/>
        </w:sectPr>
      </w:pPr>
    </w:p>
    <w:tbl>
      <w:tblPr>
        <w:tblStyle w:val="Tabellenraster1"/>
        <w:tblW w:w="10951" w:type="dxa"/>
        <w:jc w:val="center"/>
        <w:tblLayout w:type="fixed"/>
        <w:tblLook w:val="04A0" w:firstRow="1" w:lastRow="0" w:firstColumn="1" w:lastColumn="0" w:noHBand="0" w:noVBand="1"/>
      </w:tblPr>
      <w:tblGrid>
        <w:gridCol w:w="1001"/>
        <w:gridCol w:w="622"/>
        <w:gridCol w:w="622"/>
        <w:gridCol w:w="622"/>
        <w:gridCol w:w="622"/>
        <w:gridCol w:w="621"/>
        <w:gridCol w:w="622"/>
        <w:gridCol w:w="622"/>
        <w:gridCol w:w="622"/>
        <w:gridCol w:w="622"/>
        <w:gridCol w:w="622"/>
        <w:gridCol w:w="621"/>
        <w:gridCol w:w="622"/>
        <w:gridCol w:w="622"/>
        <w:gridCol w:w="622"/>
        <w:gridCol w:w="622"/>
        <w:gridCol w:w="622"/>
      </w:tblGrid>
      <w:tr w:rsidR="00CC5670" w:rsidTr="00CC5670">
        <w:trPr>
          <w:trHeight w:val="377"/>
          <w:tblHeader/>
          <w:jc w:val="center"/>
        </w:trPr>
        <w:tc>
          <w:tcPr>
            <w:tcW w:w="1001" w:type="dxa"/>
          </w:tcPr>
          <w:p w:rsidR="00CC5670" w:rsidRDefault="00CC5670" w:rsidP="00E83597">
            <w:pPr>
              <w:pStyle w:val="TableTitle"/>
            </w:pPr>
            <w:r>
              <w:t>MS</w:t>
            </w:r>
          </w:p>
        </w:tc>
        <w:tc>
          <w:tcPr>
            <w:tcW w:w="5597" w:type="dxa"/>
            <w:gridSpan w:val="9"/>
          </w:tcPr>
          <w:p w:rsidR="00CC5670" w:rsidRDefault="00CC5670" w:rsidP="00E83597">
            <w:pPr>
              <w:pStyle w:val="TableTitle"/>
            </w:pPr>
            <w:r>
              <w:t>Areas of law</w:t>
            </w:r>
          </w:p>
        </w:tc>
        <w:tc>
          <w:tcPr>
            <w:tcW w:w="2487" w:type="dxa"/>
            <w:gridSpan w:val="4"/>
          </w:tcPr>
          <w:p w:rsidR="00CC5670" w:rsidRDefault="00CC5670" w:rsidP="00E83597">
            <w:pPr>
              <w:pStyle w:val="TableTitle"/>
            </w:pPr>
            <w:r>
              <w:t>Roles of the child</w:t>
            </w:r>
          </w:p>
        </w:tc>
        <w:tc>
          <w:tcPr>
            <w:tcW w:w="1866" w:type="dxa"/>
            <w:gridSpan w:val="3"/>
          </w:tcPr>
          <w:p w:rsidR="00CC5670" w:rsidRDefault="00CC5670" w:rsidP="00E83597">
            <w:pPr>
              <w:pStyle w:val="TableTitle"/>
            </w:pPr>
            <w:r>
              <w:t>Stages of the proceeding</w:t>
            </w:r>
          </w:p>
        </w:tc>
      </w:tr>
      <w:tr w:rsidR="00CC5670" w:rsidTr="00861A9D">
        <w:trPr>
          <w:cantSplit/>
          <w:trHeight w:val="1009"/>
          <w:tblHeader/>
          <w:jc w:val="center"/>
        </w:trPr>
        <w:tc>
          <w:tcPr>
            <w:tcW w:w="1001" w:type="dxa"/>
            <w:shd w:val="clear" w:color="auto" w:fill="DBE5F1" w:themeFill="accent1" w:themeFillTint="33"/>
          </w:tcPr>
          <w:p w:rsidR="00CC5670" w:rsidRPr="00E217F3" w:rsidRDefault="00CC5670" w:rsidP="00E83597">
            <w:pPr>
              <w:rPr>
                <w:b/>
              </w:rPr>
            </w:pP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Family</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Employment</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Asylum</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Migration</w:t>
            </w:r>
          </w:p>
        </w:tc>
        <w:tc>
          <w:tcPr>
            <w:tcW w:w="621"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Education</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Health</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Placement</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Admin Sanctions</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Offences&lt;</w:t>
            </w:r>
            <w:r>
              <w:rPr>
                <w:b/>
                <w:sz w:val="12"/>
                <w:szCs w:val="12"/>
              </w:rPr>
              <w:t xml:space="preserve"> </w:t>
            </w:r>
            <w:r w:rsidRPr="00CC5670">
              <w:rPr>
                <w:b/>
                <w:sz w:val="12"/>
                <w:szCs w:val="12"/>
              </w:rPr>
              <w:t>MACR</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Witnesses</w:t>
            </w:r>
          </w:p>
        </w:tc>
        <w:tc>
          <w:tcPr>
            <w:tcW w:w="621"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Plaintiffs</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Defendants</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Subjects</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Before</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During</w:t>
            </w:r>
          </w:p>
        </w:tc>
        <w:tc>
          <w:tcPr>
            <w:tcW w:w="622" w:type="dxa"/>
            <w:shd w:val="clear" w:color="auto" w:fill="DBE5F1" w:themeFill="accent1" w:themeFillTint="33"/>
            <w:textDirection w:val="btLr"/>
            <w:vAlign w:val="center"/>
          </w:tcPr>
          <w:p w:rsidR="00CC5670" w:rsidRPr="00CC5670" w:rsidRDefault="00CC5670" w:rsidP="00861A9D">
            <w:pPr>
              <w:spacing w:line="240" w:lineRule="auto"/>
              <w:ind w:left="113" w:right="113"/>
              <w:rPr>
                <w:b/>
                <w:sz w:val="12"/>
                <w:szCs w:val="12"/>
              </w:rPr>
            </w:pPr>
            <w:r w:rsidRPr="00CC5670">
              <w:rPr>
                <w:b/>
                <w:sz w:val="12"/>
                <w:szCs w:val="12"/>
              </w:rPr>
              <w:t>After</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AT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1"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1"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2"/>
            </w:r>
          </w:p>
        </w:tc>
        <w:tc>
          <w:tcPr>
            <w:tcW w:w="622" w:type="dxa"/>
          </w:tcPr>
          <w:p w:rsidR="00CC5670" w:rsidRDefault="00CC5670" w:rsidP="00E83597">
            <w:r w:rsidRPr="00B750DE">
              <w:rPr>
                <w:rFonts w:cs="Arial"/>
                <w:sz w:val="18"/>
                <w:szCs w:val="18"/>
              </w:rPr>
              <w:t>√</w:t>
            </w:r>
          </w:p>
        </w:tc>
        <w:tc>
          <w:tcPr>
            <w:tcW w:w="622" w:type="dxa"/>
          </w:tcPr>
          <w:p w:rsidR="00CC5670" w:rsidRDefault="00CC5670" w:rsidP="00E83597">
            <w:r w:rsidRPr="00B750DE">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BE</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1"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1"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3"/>
            </w:r>
          </w:p>
        </w:tc>
        <w:tc>
          <w:tcPr>
            <w:tcW w:w="622" w:type="dxa"/>
          </w:tcPr>
          <w:p w:rsidR="00CC5670" w:rsidRDefault="00CC5670" w:rsidP="00E83597">
            <w:r w:rsidRPr="007C30FF">
              <w:rPr>
                <w:rFonts w:cs="Arial"/>
                <w:sz w:val="18"/>
                <w:szCs w:val="18"/>
              </w:rPr>
              <w:t>√</w:t>
            </w:r>
          </w:p>
        </w:tc>
        <w:tc>
          <w:tcPr>
            <w:tcW w:w="622" w:type="dxa"/>
          </w:tcPr>
          <w:p w:rsidR="00CC5670" w:rsidRDefault="00CC5670" w:rsidP="00E83597">
            <w:r w:rsidRPr="007C30FF">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BG</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1"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1"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tcPr>
          <w:p w:rsidR="00CC5670" w:rsidRDefault="00CC5670" w:rsidP="00E83597">
            <w:r w:rsidRPr="00751C52">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4"/>
            </w:r>
          </w:p>
        </w:tc>
        <w:tc>
          <w:tcPr>
            <w:tcW w:w="622" w:type="dxa"/>
          </w:tcPr>
          <w:p w:rsidR="00CC5670" w:rsidRDefault="00CC5670" w:rsidP="00E83597">
            <w:r w:rsidRPr="007C30FF">
              <w:rPr>
                <w:rFonts w:cs="Arial"/>
                <w:sz w:val="18"/>
                <w:szCs w:val="18"/>
              </w:rPr>
              <w:t>√</w:t>
            </w:r>
          </w:p>
        </w:tc>
        <w:tc>
          <w:tcPr>
            <w:tcW w:w="622" w:type="dxa"/>
          </w:tcPr>
          <w:p w:rsidR="00CC5670" w:rsidRDefault="00CC5670" w:rsidP="00E83597">
            <w:r w:rsidRPr="007C30FF">
              <w:rPr>
                <w:rFonts w:cs="Arial"/>
                <w:sz w:val="18"/>
                <w:szCs w:val="18"/>
              </w:rPr>
              <w:t>√</w:t>
            </w:r>
          </w:p>
        </w:tc>
        <w:tc>
          <w:tcPr>
            <w:tcW w:w="622" w:type="dxa"/>
            <w:vAlign w:val="center"/>
          </w:tcPr>
          <w:p w:rsidR="00CC5670" w:rsidRPr="006470E8" w:rsidRDefault="00CC5670" w:rsidP="00E83597">
            <w:pPr>
              <w:rPr>
                <w:sz w:val="16"/>
                <w:szCs w:val="16"/>
              </w:rPr>
            </w:pPr>
            <w:r>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CY</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1"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FFFFFF" w:themeFill="background1"/>
          </w:tcPr>
          <w:p w:rsidR="00CC5670" w:rsidRDefault="00CC5670" w:rsidP="00E83597">
            <w:r w:rsidRPr="00ED22B2">
              <w:rPr>
                <w:rFonts w:cs="Arial"/>
                <w:sz w:val="18"/>
                <w:szCs w:val="18"/>
              </w:rPr>
              <w:t>√</w:t>
            </w:r>
          </w:p>
        </w:tc>
        <w:tc>
          <w:tcPr>
            <w:tcW w:w="622" w:type="dxa"/>
            <w:shd w:val="clear" w:color="auto" w:fill="FFFFFF" w:themeFill="background1"/>
          </w:tcPr>
          <w:p w:rsidR="00CC5670" w:rsidRDefault="00CC5670" w:rsidP="00E83597">
            <w:r w:rsidRPr="00ED22B2">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tcPr>
          <w:p w:rsidR="00CC5670" w:rsidRDefault="00CC5670" w:rsidP="00E83597">
            <w:r w:rsidRPr="007C30FF">
              <w:rPr>
                <w:rFonts w:cs="Arial"/>
                <w:sz w:val="18"/>
                <w:szCs w:val="18"/>
              </w:rPr>
              <w:t>√</w:t>
            </w:r>
          </w:p>
        </w:tc>
        <w:tc>
          <w:tcPr>
            <w:tcW w:w="622" w:type="dxa"/>
          </w:tcPr>
          <w:p w:rsidR="00CC5670" w:rsidRDefault="00CC5670" w:rsidP="00E83597">
            <w:r w:rsidRPr="007C30FF">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CZ</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1"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9340E2">
              <w:rPr>
                <w:rFonts w:cs="Arial"/>
                <w:sz w:val="18"/>
                <w:szCs w:val="18"/>
              </w:rPr>
              <w:t>√</w:t>
            </w:r>
          </w:p>
        </w:tc>
        <w:tc>
          <w:tcPr>
            <w:tcW w:w="622" w:type="dxa"/>
            <w:shd w:val="clear" w:color="auto" w:fill="FFFFFF" w:themeFill="background1"/>
          </w:tcPr>
          <w:p w:rsidR="00CC5670" w:rsidRDefault="00CC5670" w:rsidP="00E83597">
            <w:r w:rsidRPr="00D47DA9">
              <w:rPr>
                <w:rFonts w:cs="Arial"/>
                <w:sz w:val="18"/>
                <w:szCs w:val="18"/>
              </w:rPr>
              <w:t>√</w:t>
            </w:r>
          </w:p>
        </w:tc>
        <w:tc>
          <w:tcPr>
            <w:tcW w:w="622" w:type="dxa"/>
            <w:shd w:val="clear" w:color="auto" w:fill="FFFFFF" w:themeFill="background1"/>
          </w:tcPr>
          <w:p w:rsidR="00CC5670" w:rsidRDefault="00CC5670" w:rsidP="00E83597">
            <w:r w:rsidRPr="00D47DA9">
              <w:rPr>
                <w:rFonts w:cs="Arial"/>
                <w:sz w:val="18"/>
                <w:szCs w:val="18"/>
              </w:rPr>
              <w:t>√</w:t>
            </w:r>
          </w:p>
        </w:tc>
        <w:tc>
          <w:tcPr>
            <w:tcW w:w="621" w:type="dxa"/>
            <w:shd w:val="clear" w:color="auto" w:fill="FFFFFF" w:themeFill="background1"/>
          </w:tcPr>
          <w:p w:rsidR="00CC5670" w:rsidRDefault="00CC5670" w:rsidP="00E83597">
            <w:r w:rsidRPr="00D47DA9">
              <w:rPr>
                <w:rFonts w:cs="Arial"/>
                <w:sz w:val="18"/>
                <w:szCs w:val="18"/>
              </w:rPr>
              <w:t>√</w:t>
            </w:r>
          </w:p>
        </w:tc>
        <w:tc>
          <w:tcPr>
            <w:tcW w:w="622" w:type="dxa"/>
            <w:shd w:val="clear" w:color="auto" w:fill="FFFFFF" w:themeFill="background1"/>
          </w:tcPr>
          <w:p w:rsidR="00CC5670" w:rsidRDefault="00CC5670" w:rsidP="00E83597">
            <w:r w:rsidRPr="00D47DA9">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5"/>
            </w:r>
          </w:p>
        </w:tc>
        <w:tc>
          <w:tcPr>
            <w:tcW w:w="622" w:type="dxa"/>
          </w:tcPr>
          <w:p w:rsidR="00CC5670" w:rsidRDefault="00CC5670" w:rsidP="00E83597">
            <w:r w:rsidRPr="007C30FF">
              <w:rPr>
                <w:rFonts w:cs="Arial"/>
                <w:sz w:val="18"/>
                <w:szCs w:val="18"/>
              </w:rPr>
              <w:t>√</w:t>
            </w:r>
          </w:p>
        </w:tc>
        <w:tc>
          <w:tcPr>
            <w:tcW w:w="622" w:type="dxa"/>
          </w:tcPr>
          <w:p w:rsidR="00CC5670" w:rsidRDefault="00CC5670" w:rsidP="00E83597">
            <w:r w:rsidRPr="007C30FF">
              <w:rPr>
                <w:rFonts w:cs="Arial"/>
                <w:sz w:val="18"/>
                <w:szCs w:val="18"/>
              </w:rPr>
              <w:t>√</w:t>
            </w:r>
          </w:p>
        </w:tc>
        <w:tc>
          <w:tcPr>
            <w:tcW w:w="622" w:type="dxa"/>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6"/>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DE</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DK</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EE</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1"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1"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shd w:val="clear" w:color="auto" w:fill="FFFFFF" w:themeFill="background1"/>
          </w:tcPr>
          <w:p w:rsidR="00CC5670" w:rsidRDefault="00CC5670" w:rsidP="00E83597">
            <w:r w:rsidRPr="006C0BBD">
              <w:rPr>
                <w:rFonts w:cs="Arial"/>
                <w:sz w:val="18"/>
                <w:szCs w:val="18"/>
              </w:rPr>
              <w:t>√</w:t>
            </w:r>
          </w:p>
        </w:tc>
        <w:tc>
          <w:tcPr>
            <w:tcW w:w="622" w:type="dxa"/>
          </w:tcPr>
          <w:p w:rsidR="00CC5670" w:rsidRDefault="00CC5670" w:rsidP="00E83597">
            <w:r w:rsidRPr="006C0BBD">
              <w:rPr>
                <w:rFonts w:cs="Arial"/>
                <w:sz w:val="18"/>
                <w:szCs w:val="18"/>
              </w:rPr>
              <w:t>√</w:t>
            </w:r>
          </w:p>
        </w:tc>
        <w:tc>
          <w:tcPr>
            <w:tcW w:w="622" w:type="dxa"/>
          </w:tcPr>
          <w:p w:rsidR="00CC5670" w:rsidRDefault="00CC5670" w:rsidP="00E83597">
            <w:r w:rsidRPr="006C0BBD">
              <w:rPr>
                <w:rFonts w:cs="Arial"/>
                <w:sz w:val="18"/>
                <w:szCs w:val="18"/>
              </w:rPr>
              <w:t>√</w:t>
            </w:r>
          </w:p>
        </w:tc>
        <w:tc>
          <w:tcPr>
            <w:tcW w:w="622" w:type="dxa"/>
          </w:tcPr>
          <w:p w:rsidR="00CC5670" w:rsidRDefault="00CC5670" w:rsidP="00E83597">
            <w:r w:rsidRPr="006C0BBD">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EL</w:t>
            </w:r>
          </w:p>
        </w:tc>
        <w:tc>
          <w:tcPr>
            <w:tcW w:w="622" w:type="dxa"/>
            <w:shd w:val="clear" w:color="auto" w:fill="FFFFFF" w:themeFill="background1"/>
          </w:tcPr>
          <w:p w:rsidR="00CC5670" w:rsidRDefault="00CC5670" w:rsidP="00E83597">
            <w:r w:rsidRPr="001345A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7848AE">
              <w:rPr>
                <w:rFonts w:cs="Arial"/>
                <w:sz w:val="18"/>
                <w:szCs w:val="18"/>
              </w:rPr>
              <w:t>√</w:t>
            </w:r>
          </w:p>
        </w:tc>
        <w:tc>
          <w:tcPr>
            <w:tcW w:w="622" w:type="dxa"/>
            <w:shd w:val="clear" w:color="auto" w:fill="FFFFFF" w:themeFill="background1"/>
          </w:tcPr>
          <w:p w:rsidR="00CC5670" w:rsidRDefault="00CC5670" w:rsidP="00E83597">
            <w:r w:rsidRPr="007848AE">
              <w:rPr>
                <w:rFonts w:cs="Arial"/>
                <w:sz w:val="18"/>
                <w:szCs w:val="18"/>
              </w:rPr>
              <w:t>√</w:t>
            </w:r>
          </w:p>
        </w:tc>
        <w:tc>
          <w:tcPr>
            <w:tcW w:w="621" w:type="dxa"/>
            <w:shd w:val="clear" w:color="auto" w:fill="FFFFFF" w:themeFill="background1"/>
          </w:tcPr>
          <w:p w:rsidR="00CC5670" w:rsidRDefault="00CC5670" w:rsidP="00E83597">
            <w:r w:rsidRPr="007848AE">
              <w:rPr>
                <w:rFonts w:cs="Arial"/>
                <w:sz w:val="18"/>
                <w:szCs w:val="18"/>
              </w:rPr>
              <w:t>√</w:t>
            </w:r>
          </w:p>
        </w:tc>
        <w:tc>
          <w:tcPr>
            <w:tcW w:w="622" w:type="dxa"/>
            <w:shd w:val="clear" w:color="auto" w:fill="FFFFFF" w:themeFill="background1"/>
          </w:tcPr>
          <w:p w:rsidR="00CC5670" w:rsidRDefault="00CC5670" w:rsidP="00E83597">
            <w:r w:rsidRPr="007848AE">
              <w:rPr>
                <w:rFonts w:cs="Arial"/>
                <w:sz w:val="18"/>
                <w:szCs w:val="18"/>
              </w:rPr>
              <w:t>√</w:t>
            </w:r>
          </w:p>
        </w:tc>
        <w:tc>
          <w:tcPr>
            <w:tcW w:w="622" w:type="dxa"/>
            <w:shd w:val="clear" w:color="auto" w:fill="FFFFFF" w:themeFill="background1"/>
          </w:tcPr>
          <w:p w:rsidR="00CC5670" w:rsidRDefault="00CC5670" w:rsidP="00E83597">
            <w:r w:rsidRPr="007848AE">
              <w:rPr>
                <w:rFonts w:cs="Arial"/>
                <w:sz w:val="18"/>
                <w:szCs w:val="18"/>
              </w:rPr>
              <w:t>√</w:t>
            </w:r>
          </w:p>
        </w:tc>
        <w:tc>
          <w:tcPr>
            <w:tcW w:w="622" w:type="dxa"/>
            <w:shd w:val="clear" w:color="auto" w:fill="FFFFFF" w:themeFill="background1"/>
          </w:tcPr>
          <w:p w:rsidR="00CC5670" w:rsidRDefault="00CC5670" w:rsidP="00E83597">
            <w:r w:rsidRPr="007848AE">
              <w:rPr>
                <w:rFonts w:cs="Arial"/>
                <w:sz w:val="18"/>
                <w:szCs w:val="18"/>
              </w:rPr>
              <w:t>√</w:t>
            </w:r>
          </w:p>
        </w:tc>
        <w:tc>
          <w:tcPr>
            <w:tcW w:w="622" w:type="dxa"/>
            <w:shd w:val="clear" w:color="auto" w:fill="FFFFFF" w:themeFill="background1"/>
          </w:tcPr>
          <w:p w:rsidR="00CC5670" w:rsidRDefault="00CC5670" w:rsidP="00E83597">
            <w:r w:rsidRPr="007848AE">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7"/>
            </w: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8"/>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29"/>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0"/>
            </w:r>
          </w:p>
        </w:tc>
        <w:tc>
          <w:tcPr>
            <w:tcW w:w="622" w:type="dxa"/>
          </w:tcPr>
          <w:p w:rsidR="00CC5670" w:rsidRDefault="00CC5670" w:rsidP="00E83597">
            <w:r w:rsidRPr="003B0F3C">
              <w:rPr>
                <w:rFonts w:cs="Arial"/>
                <w:sz w:val="18"/>
                <w:szCs w:val="18"/>
              </w:rPr>
              <w:t>√</w:t>
            </w:r>
          </w:p>
        </w:tc>
        <w:tc>
          <w:tcPr>
            <w:tcW w:w="622" w:type="dxa"/>
            <w:vAlign w:val="center"/>
          </w:tcPr>
          <w:p w:rsidR="00CC5670" w:rsidRPr="006470E8" w:rsidRDefault="00CC5670" w:rsidP="00E83597">
            <w:pPr>
              <w:rPr>
                <w:sz w:val="16"/>
                <w:szCs w:val="16"/>
              </w:rPr>
            </w:pPr>
            <w:r>
              <w:rPr>
                <w:rFonts w:cs="Arial"/>
                <w:sz w:val="18"/>
                <w:szCs w:val="18"/>
              </w:rPr>
              <w:t>√</w:t>
            </w:r>
          </w:p>
        </w:tc>
        <w:tc>
          <w:tcPr>
            <w:tcW w:w="622" w:type="dxa"/>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1"/>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ES</w:t>
            </w:r>
          </w:p>
        </w:tc>
        <w:tc>
          <w:tcPr>
            <w:tcW w:w="622" w:type="dxa"/>
            <w:shd w:val="clear" w:color="auto" w:fill="FFFFFF" w:themeFill="background1"/>
          </w:tcPr>
          <w:p w:rsidR="00CC5670" w:rsidRDefault="00CC5670" w:rsidP="00E83597">
            <w:r w:rsidRPr="001345A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F5553D">
              <w:rPr>
                <w:rFonts w:cs="Arial"/>
                <w:sz w:val="18"/>
                <w:szCs w:val="18"/>
              </w:rPr>
              <w:t>√</w:t>
            </w:r>
          </w:p>
        </w:tc>
        <w:tc>
          <w:tcPr>
            <w:tcW w:w="622" w:type="dxa"/>
            <w:shd w:val="clear" w:color="auto" w:fill="FFFFFF" w:themeFill="background1"/>
          </w:tcPr>
          <w:p w:rsidR="00CC5670" w:rsidRDefault="00CC5670" w:rsidP="00E83597">
            <w:r w:rsidRPr="00F5553D">
              <w:rPr>
                <w:rFonts w:cs="Arial"/>
                <w:sz w:val="18"/>
                <w:szCs w:val="18"/>
              </w:rPr>
              <w:t>√</w:t>
            </w: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C649FC">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sidRPr="006470E8">
              <w:rPr>
                <w:sz w:val="16"/>
                <w:szCs w:val="16"/>
              </w:rPr>
              <w:t>X</w:t>
            </w:r>
            <w:r w:rsidRPr="006470E8">
              <w:rPr>
                <w:rStyle w:val="EndnoteReference"/>
                <w:sz w:val="16"/>
                <w:szCs w:val="16"/>
              </w:rPr>
              <w:endnoteReference w:id="232"/>
            </w:r>
          </w:p>
        </w:tc>
        <w:tc>
          <w:tcPr>
            <w:tcW w:w="621" w:type="dxa"/>
            <w:shd w:val="clear" w:color="auto" w:fill="FFFFFF" w:themeFill="background1"/>
          </w:tcPr>
          <w:p w:rsidR="00CC5670" w:rsidRDefault="00CC5670" w:rsidP="00E83597">
            <w:r w:rsidRPr="00F3474B">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3"/>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4"/>
            </w:r>
          </w:p>
        </w:tc>
        <w:tc>
          <w:tcPr>
            <w:tcW w:w="622" w:type="dxa"/>
            <w:shd w:val="clear" w:color="auto" w:fill="FFFFFF" w:themeFill="background1"/>
          </w:tcPr>
          <w:p w:rsidR="00CC5670" w:rsidRDefault="00CC5670" w:rsidP="00E83597">
            <w:r w:rsidRPr="003B0F3C">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5"/>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6"/>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FI</w:t>
            </w:r>
          </w:p>
        </w:tc>
        <w:tc>
          <w:tcPr>
            <w:tcW w:w="622" w:type="dxa"/>
            <w:shd w:val="clear" w:color="auto" w:fill="FFFFFF" w:themeFill="background1"/>
          </w:tcPr>
          <w:p w:rsidR="00CC5670" w:rsidRDefault="00CC5670" w:rsidP="00E83597">
            <w:r w:rsidRPr="001345A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F5553D">
              <w:rPr>
                <w:rFonts w:cs="Arial"/>
                <w:sz w:val="18"/>
                <w:szCs w:val="18"/>
              </w:rPr>
              <w:t>√</w:t>
            </w:r>
          </w:p>
        </w:tc>
        <w:tc>
          <w:tcPr>
            <w:tcW w:w="622" w:type="dxa"/>
            <w:shd w:val="clear" w:color="auto" w:fill="FFFFFF" w:themeFill="background1"/>
          </w:tcPr>
          <w:p w:rsidR="00CC5670" w:rsidRDefault="00CC5670" w:rsidP="00E83597">
            <w:r w:rsidRPr="00F5553D">
              <w:rPr>
                <w:rFonts w:cs="Arial"/>
                <w:sz w:val="18"/>
                <w:szCs w:val="18"/>
              </w:rPr>
              <w:t>√</w:t>
            </w: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FFFFFF" w:themeFill="background1"/>
          </w:tcPr>
          <w:p w:rsidR="00CC5670" w:rsidRDefault="00CC5670" w:rsidP="00E83597">
            <w:r w:rsidRPr="00C649FC">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D341D5">
              <w:rPr>
                <w:rFonts w:cs="Arial"/>
                <w:sz w:val="18"/>
                <w:szCs w:val="18"/>
              </w:rPr>
              <w:t>√</w:t>
            </w:r>
          </w:p>
        </w:tc>
        <w:tc>
          <w:tcPr>
            <w:tcW w:w="622" w:type="dxa"/>
            <w:shd w:val="clear" w:color="auto" w:fill="FFFFFF" w:themeFill="background1"/>
          </w:tcPr>
          <w:p w:rsidR="00CC5670" w:rsidRDefault="00CC5670" w:rsidP="00E83597">
            <w:r w:rsidRPr="00D341D5">
              <w:rPr>
                <w:rFonts w:cs="Arial"/>
                <w:sz w:val="18"/>
                <w:szCs w:val="18"/>
              </w:rPr>
              <w:t>√</w:t>
            </w:r>
          </w:p>
        </w:tc>
        <w:tc>
          <w:tcPr>
            <w:tcW w:w="621" w:type="dxa"/>
            <w:shd w:val="clear" w:color="auto" w:fill="FFFFFF" w:themeFill="background1"/>
          </w:tcPr>
          <w:p w:rsidR="00CC5670" w:rsidRDefault="00CC5670" w:rsidP="00E83597">
            <w:r w:rsidRPr="00F3474B">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7"/>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8"/>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FR</w:t>
            </w:r>
          </w:p>
        </w:tc>
        <w:tc>
          <w:tcPr>
            <w:tcW w:w="622" w:type="dxa"/>
            <w:shd w:val="clear" w:color="auto" w:fill="FFFFFF" w:themeFill="background1"/>
          </w:tcPr>
          <w:p w:rsidR="00CC5670" w:rsidRDefault="00CC5670" w:rsidP="00E83597">
            <w:r w:rsidRPr="001345A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C649FC">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FFFFFF" w:themeFill="background1"/>
          </w:tcPr>
          <w:p w:rsidR="00CC5670" w:rsidRDefault="00CC5670" w:rsidP="00E83597">
            <w:r w:rsidRPr="00F3474B">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HR</w:t>
            </w:r>
          </w:p>
        </w:tc>
        <w:tc>
          <w:tcPr>
            <w:tcW w:w="622" w:type="dxa"/>
            <w:shd w:val="clear" w:color="auto" w:fill="FFFFFF" w:themeFill="background1"/>
          </w:tcPr>
          <w:p w:rsidR="00CC5670" w:rsidRDefault="00CC5670" w:rsidP="00E83597">
            <w:r w:rsidRPr="001345A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436A3A">
              <w:rPr>
                <w:rFonts w:cs="Arial"/>
                <w:sz w:val="18"/>
                <w:szCs w:val="18"/>
              </w:rPr>
              <w:t>√</w:t>
            </w:r>
          </w:p>
        </w:tc>
        <w:tc>
          <w:tcPr>
            <w:tcW w:w="622" w:type="dxa"/>
            <w:shd w:val="clear" w:color="auto" w:fill="FFFFFF" w:themeFill="background1"/>
          </w:tcPr>
          <w:p w:rsidR="00CC5670" w:rsidRDefault="00CC5670" w:rsidP="00E83597">
            <w:r w:rsidRPr="00436A3A">
              <w:rPr>
                <w:rFonts w:cs="Arial"/>
                <w:sz w:val="18"/>
                <w:szCs w:val="18"/>
              </w:rPr>
              <w:t>√</w:t>
            </w: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FFFFFF" w:themeFill="background1"/>
          </w:tcPr>
          <w:p w:rsidR="00CC5670" w:rsidRDefault="00CC5670" w:rsidP="00E83597">
            <w:r w:rsidRPr="00C649FC">
              <w:rPr>
                <w:rFonts w:cs="Arial"/>
                <w:sz w:val="18"/>
                <w:szCs w:val="18"/>
              </w:rPr>
              <w:t>√</w:t>
            </w:r>
          </w:p>
        </w:tc>
        <w:tc>
          <w:tcPr>
            <w:tcW w:w="622" w:type="dxa"/>
            <w:shd w:val="clear" w:color="auto" w:fill="FFFFFF" w:themeFill="background1"/>
          </w:tcPr>
          <w:p w:rsidR="00CC5670" w:rsidRDefault="00CC5670" w:rsidP="00E83597">
            <w:r w:rsidRPr="00B156F6">
              <w:rPr>
                <w:rFonts w:cs="Arial"/>
                <w:sz w:val="18"/>
                <w:szCs w:val="18"/>
              </w:rPr>
              <w:t>√</w:t>
            </w:r>
          </w:p>
        </w:tc>
        <w:tc>
          <w:tcPr>
            <w:tcW w:w="622" w:type="dxa"/>
            <w:shd w:val="clear" w:color="auto" w:fill="FFFFFF" w:themeFill="background1"/>
          </w:tcPr>
          <w:p w:rsidR="00CC5670" w:rsidRDefault="00CC5670" w:rsidP="00E83597">
            <w:r w:rsidRPr="00472D16">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39"/>
            </w: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0"/>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1"/>
            </w:r>
          </w:p>
        </w:tc>
        <w:tc>
          <w:tcPr>
            <w:tcW w:w="622" w:type="dxa"/>
            <w:shd w:val="clear" w:color="auto" w:fill="FFFFFF" w:themeFill="background1"/>
          </w:tcPr>
          <w:p w:rsidR="00CC5670" w:rsidRDefault="00CC5670" w:rsidP="00E83597">
            <w:r w:rsidRPr="00A22EBD">
              <w:rPr>
                <w:rFonts w:cs="Arial"/>
                <w:sz w:val="18"/>
                <w:szCs w:val="18"/>
              </w:rPr>
              <w:t>√</w:t>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2"/>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HU</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436A3A">
              <w:rPr>
                <w:rFonts w:cs="Arial"/>
                <w:sz w:val="18"/>
                <w:szCs w:val="18"/>
              </w:rPr>
              <w:t>√</w:t>
            </w:r>
          </w:p>
        </w:tc>
        <w:tc>
          <w:tcPr>
            <w:tcW w:w="622" w:type="dxa"/>
            <w:shd w:val="clear" w:color="auto" w:fill="FFFFFF" w:themeFill="background1"/>
          </w:tcPr>
          <w:p w:rsidR="00CC5670" w:rsidRDefault="00CC5670" w:rsidP="00E83597">
            <w:r w:rsidRPr="00436A3A">
              <w:rPr>
                <w:rFonts w:cs="Arial"/>
                <w:sz w:val="18"/>
                <w:szCs w:val="18"/>
              </w:rPr>
              <w:t>√</w:t>
            </w: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C649FC">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472D16">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FFFFFF" w:themeFill="background1"/>
          </w:tcPr>
          <w:p w:rsidR="00CC5670" w:rsidRDefault="00CC5670" w:rsidP="00E83597">
            <w:r w:rsidRPr="006F3F05">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IE</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IT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LT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1"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1" w:type="dxa"/>
            <w:shd w:val="clear" w:color="auto" w:fill="FFFFFF" w:themeFill="background1"/>
          </w:tcPr>
          <w:p w:rsidR="00CC5670" w:rsidRDefault="00CC5670" w:rsidP="00E83597">
            <w:r w:rsidRPr="00943D43">
              <w:rPr>
                <w:rFonts w:cs="Arial"/>
                <w:sz w:val="18"/>
                <w:szCs w:val="18"/>
              </w:rPr>
              <w:t>√</w:t>
            </w:r>
          </w:p>
        </w:tc>
        <w:tc>
          <w:tcPr>
            <w:tcW w:w="622" w:type="dxa"/>
            <w:shd w:val="clear" w:color="auto" w:fill="FFFFFF" w:themeFill="background1"/>
          </w:tcPr>
          <w:p w:rsidR="00CC5670" w:rsidRDefault="00CC5670" w:rsidP="00E83597">
            <w:r w:rsidRPr="00943D43">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7E0C29">
              <w:rPr>
                <w:rFonts w:cs="Arial"/>
                <w:sz w:val="18"/>
                <w:szCs w:val="18"/>
              </w:rPr>
              <w:t>√</w:t>
            </w:r>
          </w:p>
        </w:tc>
        <w:tc>
          <w:tcPr>
            <w:tcW w:w="622" w:type="dxa"/>
            <w:shd w:val="clear" w:color="auto" w:fill="FFFFFF" w:themeFill="background1"/>
          </w:tcPr>
          <w:p w:rsidR="00CC5670" w:rsidRDefault="00CC5670" w:rsidP="00E83597">
            <w:r w:rsidRPr="007E0C2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LU</w:t>
            </w:r>
          </w:p>
        </w:tc>
        <w:tc>
          <w:tcPr>
            <w:tcW w:w="622" w:type="dxa"/>
            <w:shd w:val="clear" w:color="auto" w:fill="FFFFFF" w:themeFill="background1"/>
          </w:tcPr>
          <w:p w:rsidR="00CC5670" w:rsidRDefault="00CC5670" w:rsidP="00E83597">
            <w:r w:rsidRPr="00EA08BE">
              <w:rPr>
                <w:rFonts w:cs="Arial"/>
                <w:sz w:val="18"/>
                <w:szCs w:val="18"/>
              </w:rPr>
              <w:t>√</w:t>
            </w:r>
          </w:p>
        </w:tc>
        <w:tc>
          <w:tcPr>
            <w:tcW w:w="622" w:type="dxa"/>
            <w:shd w:val="clear" w:color="auto" w:fill="FFFFFF" w:themeFill="background1"/>
          </w:tcPr>
          <w:p w:rsidR="00CC5670" w:rsidRDefault="00CC5670" w:rsidP="00E83597">
            <w:r w:rsidRPr="00EA08BE">
              <w:rPr>
                <w:rFonts w:cs="Arial"/>
                <w:sz w:val="18"/>
                <w:szCs w:val="18"/>
              </w:rPr>
              <w:t>√</w:t>
            </w:r>
          </w:p>
        </w:tc>
        <w:tc>
          <w:tcPr>
            <w:tcW w:w="622" w:type="dxa"/>
            <w:shd w:val="clear" w:color="auto" w:fill="FFFFFF" w:themeFill="background1"/>
          </w:tcPr>
          <w:p w:rsidR="00CC5670" w:rsidRDefault="00CC5670" w:rsidP="00E83597">
            <w:r w:rsidRPr="00EA08BE">
              <w:rPr>
                <w:rFonts w:cs="Arial"/>
                <w:sz w:val="18"/>
                <w:szCs w:val="18"/>
              </w:rPr>
              <w:t>√</w:t>
            </w:r>
          </w:p>
        </w:tc>
        <w:tc>
          <w:tcPr>
            <w:tcW w:w="622" w:type="dxa"/>
            <w:shd w:val="clear" w:color="auto" w:fill="FFFFFF" w:themeFill="background1"/>
          </w:tcPr>
          <w:p w:rsidR="00CC5670" w:rsidRDefault="00CC5670" w:rsidP="00E83597">
            <w:r w:rsidRPr="00EA08BE">
              <w:rPr>
                <w:rFonts w:cs="Arial"/>
                <w:sz w:val="18"/>
                <w:szCs w:val="18"/>
              </w:rPr>
              <w:t>√</w:t>
            </w:r>
          </w:p>
        </w:tc>
        <w:tc>
          <w:tcPr>
            <w:tcW w:w="621" w:type="dxa"/>
            <w:shd w:val="clear" w:color="auto" w:fill="FFFFFF" w:themeFill="background1"/>
          </w:tcPr>
          <w:p w:rsidR="00CC5670" w:rsidRDefault="00CC5670" w:rsidP="00E83597">
            <w:r w:rsidRPr="00EA08BE">
              <w:rPr>
                <w:rFonts w:cs="Arial"/>
                <w:sz w:val="18"/>
                <w:szCs w:val="18"/>
              </w:rPr>
              <w:t>√</w:t>
            </w:r>
          </w:p>
        </w:tc>
        <w:tc>
          <w:tcPr>
            <w:tcW w:w="622" w:type="dxa"/>
            <w:shd w:val="clear" w:color="auto" w:fill="FFFFFF" w:themeFill="background1"/>
          </w:tcPr>
          <w:p w:rsidR="00CC5670" w:rsidRDefault="00CC5670" w:rsidP="00E83597">
            <w:r w:rsidRPr="00EA08BE">
              <w:rPr>
                <w:rFonts w:cs="Arial"/>
                <w:sz w:val="18"/>
                <w:szCs w:val="18"/>
              </w:rPr>
              <w:t>√</w:t>
            </w:r>
          </w:p>
        </w:tc>
        <w:tc>
          <w:tcPr>
            <w:tcW w:w="622" w:type="dxa"/>
            <w:shd w:val="clear" w:color="auto" w:fill="FFFFFF" w:themeFill="background1"/>
          </w:tcPr>
          <w:p w:rsidR="00CC5670" w:rsidRDefault="00CC5670" w:rsidP="00E83597">
            <w:r w:rsidRPr="00EA08BE">
              <w:rPr>
                <w:rFonts w:cs="Arial"/>
                <w:sz w:val="18"/>
                <w:szCs w:val="18"/>
              </w:rPr>
              <w:t>√</w:t>
            </w:r>
          </w:p>
        </w:tc>
        <w:tc>
          <w:tcPr>
            <w:tcW w:w="622" w:type="dxa"/>
            <w:shd w:val="clear" w:color="auto" w:fill="FFFFFF" w:themeFill="background1"/>
          </w:tcPr>
          <w:p w:rsidR="00CC5670" w:rsidRDefault="00CC5670" w:rsidP="00E83597">
            <w:r w:rsidRPr="00EA08BE">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2C47FF">
              <w:rPr>
                <w:rFonts w:cs="Arial"/>
                <w:sz w:val="18"/>
                <w:szCs w:val="18"/>
              </w:rPr>
              <w:t>√</w:t>
            </w:r>
          </w:p>
        </w:tc>
        <w:tc>
          <w:tcPr>
            <w:tcW w:w="621" w:type="dxa"/>
            <w:shd w:val="clear" w:color="auto" w:fill="FFFFFF" w:themeFill="background1"/>
          </w:tcPr>
          <w:p w:rsidR="00CC5670" w:rsidRDefault="00CC5670" w:rsidP="00E83597">
            <w:r w:rsidRPr="002C47FF">
              <w:rPr>
                <w:rFonts w:cs="Arial"/>
                <w:sz w:val="18"/>
                <w:szCs w:val="18"/>
              </w:rPr>
              <w:t>√</w:t>
            </w:r>
          </w:p>
        </w:tc>
        <w:tc>
          <w:tcPr>
            <w:tcW w:w="622" w:type="dxa"/>
            <w:shd w:val="clear" w:color="auto" w:fill="FFFFFF" w:themeFill="background1"/>
          </w:tcPr>
          <w:p w:rsidR="00CC5670" w:rsidRDefault="00CC5670" w:rsidP="00E83597">
            <w:r w:rsidRPr="002C47FF">
              <w:rPr>
                <w:rFonts w:cs="Arial"/>
                <w:sz w:val="18"/>
                <w:szCs w:val="18"/>
              </w:rPr>
              <w:t>√</w:t>
            </w:r>
          </w:p>
        </w:tc>
        <w:tc>
          <w:tcPr>
            <w:tcW w:w="622" w:type="dxa"/>
            <w:shd w:val="clear" w:color="auto" w:fill="FFFFFF" w:themeFill="background1"/>
          </w:tcPr>
          <w:p w:rsidR="00CC5670" w:rsidRDefault="00CC5670" w:rsidP="00E83597">
            <w:r w:rsidRPr="002C47FF">
              <w:rPr>
                <w:rFonts w:cs="Arial"/>
                <w:sz w:val="18"/>
                <w:szCs w:val="18"/>
              </w:rPr>
              <w:t>√</w:t>
            </w:r>
          </w:p>
        </w:tc>
        <w:tc>
          <w:tcPr>
            <w:tcW w:w="622" w:type="dxa"/>
            <w:shd w:val="clear" w:color="auto" w:fill="FFFFFF" w:themeFill="background1"/>
          </w:tcPr>
          <w:p w:rsidR="00CC5670" w:rsidRDefault="00CC5670" w:rsidP="00E83597">
            <w:r w:rsidRPr="007E0C29">
              <w:rPr>
                <w:rFonts w:cs="Arial"/>
                <w:sz w:val="18"/>
                <w:szCs w:val="18"/>
              </w:rPr>
              <w:t>√</w:t>
            </w:r>
          </w:p>
        </w:tc>
        <w:tc>
          <w:tcPr>
            <w:tcW w:w="622" w:type="dxa"/>
            <w:shd w:val="clear" w:color="auto" w:fill="FFFFFF" w:themeFill="background1"/>
          </w:tcPr>
          <w:p w:rsidR="00CC5670" w:rsidRDefault="00CC5670" w:rsidP="00E83597">
            <w:r w:rsidRPr="00F76781">
              <w:rPr>
                <w:rFonts w:cs="Arial"/>
                <w:sz w:val="18"/>
                <w:szCs w:val="18"/>
              </w:rPr>
              <w:t>√</w:t>
            </w:r>
          </w:p>
        </w:tc>
        <w:tc>
          <w:tcPr>
            <w:tcW w:w="622" w:type="dxa"/>
            <w:shd w:val="clear" w:color="auto" w:fill="FFFFFF" w:themeFill="background1"/>
          </w:tcPr>
          <w:p w:rsidR="00CC5670" w:rsidRDefault="00CC5670" w:rsidP="00E83597">
            <w:r w:rsidRPr="00F76781">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LV</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1"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1" w:type="dxa"/>
            <w:shd w:val="clear" w:color="auto" w:fill="FFFFFF" w:themeFill="background1"/>
          </w:tcPr>
          <w:p w:rsidR="00CC5670" w:rsidRDefault="00CC5670" w:rsidP="00E83597">
            <w:r w:rsidRPr="00D61B79">
              <w:rPr>
                <w:rFonts w:cs="Arial"/>
                <w:sz w:val="18"/>
                <w:szCs w:val="18"/>
              </w:rPr>
              <w:t>√</w:t>
            </w:r>
          </w:p>
        </w:tc>
        <w:tc>
          <w:tcPr>
            <w:tcW w:w="622" w:type="dxa"/>
            <w:shd w:val="clear" w:color="auto" w:fill="FFFFFF" w:themeFill="background1"/>
          </w:tcPr>
          <w:p w:rsidR="00CC5670" w:rsidRDefault="00CC5670" w:rsidP="00E83597">
            <w:r w:rsidRPr="00D61B7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1E3476">
              <w:rPr>
                <w:rFonts w:cs="Arial"/>
                <w:sz w:val="18"/>
                <w:szCs w:val="18"/>
              </w:rPr>
              <w:t>√</w:t>
            </w:r>
          </w:p>
        </w:tc>
        <w:tc>
          <w:tcPr>
            <w:tcW w:w="622" w:type="dxa"/>
            <w:shd w:val="clear" w:color="auto" w:fill="FFFFFF" w:themeFill="background1"/>
          </w:tcPr>
          <w:p w:rsidR="00CC5670" w:rsidRDefault="00CC5670" w:rsidP="00E83597">
            <w:r w:rsidRPr="001E3476">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MT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NL</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1"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3"/>
            </w: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4"/>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5"/>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6"/>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PL</w:t>
            </w:r>
          </w:p>
        </w:tc>
        <w:tc>
          <w:tcPr>
            <w:tcW w:w="622" w:type="dxa"/>
            <w:shd w:val="clear" w:color="auto" w:fill="FFFFFF" w:themeFill="background1"/>
          </w:tcPr>
          <w:p w:rsidR="00CC5670" w:rsidRDefault="00CC5670" w:rsidP="00E83597">
            <w:r w:rsidRPr="00830A4B">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1"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Default="00CC5670" w:rsidP="00E83597">
            <w:r w:rsidRPr="00E6302C">
              <w:rPr>
                <w:rFonts w:cs="Arial"/>
                <w:sz w:val="18"/>
                <w:szCs w:val="18"/>
              </w:rPr>
              <w:t>√</w:t>
            </w:r>
          </w:p>
        </w:tc>
        <w:tc>
          <w:tcPr>
            <w:tcW w:w="622" w:type="dxa"/>
            <w:shd w:val="clear" w:color="auto" w:fill="FFFFFF" w:themeFill="background1"/>
          </w:tcPr>
          <w:p w:rsidR="00CC5670" w:rsidRPr="006470E8" w:rsidRDefault="00CC5670" w:rsidP="00E83597">
            <w:r w:rsidRPr="006470E8">
              <w:t>√</w:t>
            </w:r>
          </w:p>
        </w:tc>
        <w:tc>
          <w:tcPr>
            <w:tcW w:w="622" w:type="dxa"/>
            <w:shd w:val="clear" w:color="auto" w:fill="FFFFFF" w:themeFill="background1"/>
          </w:tcPr>
          <w:p w:rsidR="00CC5670" w:rsidRDefault="00CC5670" w:rsidP="00E83597">
            <w:r w:rsidRPr="00714208">
              <w:rPr>
                <w:rFonts w:cs="Arial"/>
                <w:sz w:val="18"/>
                <w:szCs w:val="18"/>
              </w:rPr>
              <w:t>√</w:t>
            </w:r>
          </w:p>
        </w:tc>
        <w:tc>
          <w:tcPr>
            <w:tcW w:w="622" w:type="dxa"/>
            <w:shd w:val="clear" w:color="auto" w:fill="FFFFFF" w:themeFill="background1"/>
          </w:tcPr>
          <w:p w:rsidR="00CC5670" w:rsidRDefault="00CC5670" w:rsidP="00E83597">
            <w:r w:rsidRPr="00FF3CAF">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7"/>
            </w: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8"/>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49"/>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0"/>
            </w:r>
          </w:p>
        </w:tc>
        <w:tc>
          <w:tcPr>
            <w:tcW w:w="622" w:type="dxa"/>
            <w:shd w:val="clear" w:color="auto" w:fill="FFFFFF" w:themeFill="background1"/>
          </w:tcPr>
          <w:p w:rsidR="00CC5670" w:rsidRDefault="00CC5670" w:rsidP="00E83597">
            <w:r w:rsidRPr="00061474">
              <w:rPr>
                <w:rFonts w:cs="Arial"/>
                <w:sz w:val="18"/>
                <w:szCs w:val="18"/>
              </w:rPr>
              <w:t>√</w:t>
            </w:r>
          </w:p>
        </w:tc>
        <w:tc>
          <w:tcPr>
            <w:tcW w:w="622" w:type="dxa"/>
            <w:shd w:val="clear" w:color="auto" w:fill="FFFFFF" w:themeFill="background1"/>
          </w:tcPr>
          <w:p w:rsidR="00CC5670" w:rsidRDefault="00CC5670" w:rsidP="00E83597">
            <w:r w:rsidRPr="008268BE">
              <w:rPr>
                <w:rFonts w:cs="Arial"/>
                <w:sz w:val="18"/>
                <w:szCs w:val="18"/>
              </w:rPr>
              <w:t>√</w:t>
            </w:r>
          </w:p>
        </w:tc>
        <w:tc>
          <w:tcPr>
            <w:tcW w:w="622" w:type="dxa"/>
            <w:shd w:val="clear" w:color="auto" w:fill="FFFFFF" w:themeFill="background1"/>
          </w:tcPr>
          <w:p w:rsidR="00CC5670" w:rsidRDefault="00CC5670" w:rsidP="00E83597">
            <w:r w:rsidRPr="00DA4813">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PT</w:t>
            </w:r>
          </w:p>
        </w:tc>
        <w:tc>
          <w:tcPr>
            <w:tcW w:w="622" w:type="dxa"/>
            <w:shd w:val="clear" w:color="auto" w:fill="FFFFFF" w:themeFill="background1"/>
          </w:tcPr>
          <w:p w:rsidR="00CC5670" w:rsidRDefault="00CC5670" w:rsidP="00E83597">
            <w:r w:rsidRPr="00830A4B">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Pr="006470E8" w:rsidRDefault="00CC5670" w:rsidP="00E83597">
            <w:r w:rsidRPr="006470E8">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FF3CAF">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1"/>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2"/>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3"/>
            </w:r>
          </w:p>
        </w:tc>
        <w:tc>
          <w:tcPr>
            <w:tcW w:w="622" w:type="dxa"/>
            <w:shd w:val="clear" w:color="auto" w:fill="FFFFFF" w:themeFill="background1"/>
          </w:tcPr>
          <w:p w:rsidR="00CC5670" w:rsidRDefault="00CC5670" w:rsidP="00E83597">
            <w:r w:rsidRPr="00061474">
              <w:rPr>
                <w:rFonts w:cs="Arial"/>
                <w:sz w:val="18"/>
                <w:szCs w:val="18"/>
              </w:rPr>
              <w:t>√</w:t>
            </w:r>
          </w:p>
        </w:tc>
        <w:tc>
          <w:tcPr>
            <w:tcW w:w="622" w:type="dxa"/>
            <w:shd w:val="clear" w:color="auto" w:fill="FFFFFF" w:themeFill="background1"/>
          </w:tcPr>
          <w:p w:rsidR="00CC5670" w:rsidRDefault="00CC5670" w:rsidP="00E83597">
            <w:r w:rsidRPr="008268BE">
              <w:rPr>
                <w:rFonts w:cs="Arial"/>
                <w:sz w:val="18"/>
                <w:szCs w:val="18"/>
              </w:rPr>
              <w:t>√</w:t>
            </w:r>
          </w:p>
        </w:tc>
        <w:tc>
          <w:tcPr>
            <w:tcW w:w="622" w:type="dxa"/>
            <w:shd w:val="clear" w:color="auto" w:fill="FFFFFF" w:themeFill="background1"/>
          </w:tcPr>
          <w:p w:rsidR="00CC5670" w:rsidRDefault="00CC5670" w:rsidP="00E83597">
            <w:r w:rsidRPr="00DA4813">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RO</w:t>
            </w:r>
          </w:p>
        </w:tc>
        <w:tc>
          <w:tcPr>
            <w:tcW w:w="622" w:type="dxa"/>
            <w:shd w:val="clear" w:color="auto" w:fill="FFFFFF" w:themeFill="background1"/>
          </w:tcPr>
          <w:p w:rsidR="00CC5670" w:rsidRDefault="00CC5670" w:rsidP="00E83597">
            <w:r w:rsidRPr="00830A4B">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Pr="006470E8" w:rsidRDefault="00CC5670" w:rsidP="00E83597">
            <w:r w:rsidRPr="006470E8">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FF3CAF">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FFFFFF" w:themeFill="background1"/>
          </w:tcPr>
          <w:p w:rsidR="00CC5670" w:rsidRDefault="00CC5670" w:rsidP="00E83597">
            <w:r w:rsidRPr="00BF0E5B">
              <w:rPr>
                <w:rFonts w:cs="Arial"/>
                <w:sz w:val="18"/>
                <w:szCs w:val="18"/>
              </w:rPr>
              <w:t>√</w:t>
            </w:r>
          </w:p>
        </w:tc>
        <w:tc>
          <w:tcPr>
            <w:tcW w:w="622" w:type="dxa"/>
            <w:shd w:val="clear" w:color="auto" w:fill="FFFFFF" w:themeFill="background1"/>
          </w:tcPr>
          <w:p w:rsidR="00CC5670" w:rsidRDefault="00CC5670" w:rsidP="00E83597">
            <w:r w:rsidRPr="00E679F0">
              <w:rPr>
                <w:rFonts w:cs="Arial"/>
                <w:sz w:val="18"/>
                <w:szCs w:val="18"/>
              </w:rPr>
              <w:t>√</w:t>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4"/>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8268BE">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SE</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0965D9">
              <w:rPr>
                <w:rFonts w:cs="Arial"/>
                <w:sz w:val="18"/>
                <w:szCs w:val="18"/>
              </w:rPr>
              <w:t>√</w:t>
            </w:r>
          </w:p>
        </w:tc>
        <w:tc>
          <w:tcPr>
            <w:tcW w:w="622" w:type="dxa"/>
            <w:shd w:val="clear" w:color="auto" w:fill="FFFFFF" w:themeFill="background1"/>
          </w:tcPr>
          <w:p w:rsidR="00CC5670" w:rsidRDefault="00CC5670" w:rsidP="00E83597">
            <w:r w:rsidRPr="000965D9">
              <w:rPr>
                <w:rFonts w:cs="Arial"/>
                <w:sz w:val="18"/>
                <w:szCs w:val="18"/>
              </w:rPr>
              <w:t>√</w:t>
            </w:r>
          </w:p>
        </w:tc>
        <w:tc>
          <w:tcPr>
            <w:tcW w:w="621" w:type="dxa"/>
            <w:shd w:val="clear" w:color="auto" w:fill="FFFFFF" w:themeFill="background1"/>
          </w:tcPr>
          <w:p w:rsidR="00CC5670" w:rsidRDefault="00CC5670" w:rsidP="00E83597">
            <w:r w:rsidRPr="000965D9">
              <w:rPr>
                <w:rFonts w:cs="Arial"/>
                <w:sz w:val="18"/>
                <w:szCs w:val="18"/>
              </w:rPr>
              <w:t>√</w:t>
            </w:r>
          </w:p>
        </w:tc>
        <w:tc>
          <w:tcPr>
            <w:tcW w:w="622" w:type="dxa"/>
            <w:shd w:val="clear" w:color="auto" w:fill="FFFFFF" w:themeFill="background1"/>
          </w:tcPr>
          <w:p w:rsidR="00CC5670" w:rsidRDefault="00CC5670" w:rsidP="00E83597">
            <w:r w:rsidRPr="000965D9">
              <w:rPr>
                <w:rFonts w:cs="Arial"/>
                <w:sz w:val="18"/>
                <w:szCs w:val="18"/>
              </w:rPr>
              <w:t>√</w:t>
            </w:r>
          </w:p>
        </w:tc>
        <w:tc>
          <w:tcPr>
            <w:tcW w:w="622" w:type="dxa"/>
            <w:shd w:val="clear" w:color="auto" w:fill="FFFFFF" w:themeFill="background1"/>
          </w:tcPr>
          <w:p w:rsidR="00CC5670" w:rsidRPr="006470E8" w:rsidRDefault="00CC5670" w:rsidP="00E83597">
            <w:r w:rsidRPr="006470E8">
              <w:t>√</w:t>
            </w:r>
          </w:p>
        </w:tc>
        <w:tc>
          <w:tcPr>
            <w:tcW w:w="622" w:type="dxa"/>
            <w:shd w:val="clear" w:color="auto" w:fill="FFFFFF" w:themeFill="background1"/>
          </w:tcPr>
          <w:p w:rsidR="00CC5670" w:rsidRDefault="00CC5670" w:rsidP="00E83597">
            <w:r w:rsidRPr="000965D9">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1" w:type="dxa"/>
            <w:shd w:val="clear" w:color="auto" w:fill="FFFFFF" w:themeFill="background1"/>
          </w:tcPr>
          <w:p w:rsidR="00CC5670" w:rsidRDefault="00CC5670" w:rsidP="00E83597">
            <w:r w:rsidRPr="00BF0E5B">
              <w:rPr>
                <w:rFonts w:cs="Arial"/>
                <w:sz w:val="18"/>
                <w:szCs w:val="18"/>
              </w:rPr>
              <w:t>√</w:t>
            </w:r>
          </w:p>
        </w:tc>
        <w:tc>
          <w:tcPr>
            <w:tcW w:w="622" w:type="dxa"/>
            <w:shd w:val="clear" w:color="auto" w:fill="FFFFFF" w:themeFill="background1"/>
          </w:tcPr>
          <w:p w:rsidR="00CC5670" w:rsidRDefault="00CC5670" w:rsidP="00E83597">
            <w:r w:rsidRPr="00E679F0">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SI</w:t>
            </w:r>
          </w:p>
        </w:tc>
        <w:tc>
          <w:tcPr>
            <w:tcW w:w="622" w:type="dxa"/>
            <w:shd w:val="clear" w:color="auto" w:fill="FFFFFF" w:themeFill="background1"/>
          </w:tcPr>
          <w:p w:rsidR="00CC5670" w:rsidRDefault="00CC5670" w:rsidP="00E83597">
            <w:r w:rsidRPr="00BB4B4B">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tcPr>
          <w:p w:rsidR="00CC5670" w:rsidRDefault="00CC5670" w:rsidP="00E83597">
            <w:r w:rsidRPr="00065CF0">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5"/>
            </w:r>
          </w:p>
        </w:tc>
        <w:tc>
          <w:tcPr>
            <w:tcW w:w="621"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6"/>
            </w: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7"/>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FFFFFF" w:themeFill="background1"/>
            <w:vAlign w:val="center"/>
          </w:tcPr>
          <w:p w:rsidR="00CC5670" w:rsidRPr="006470E8" w:rsidRDefault="00CC5670" w:rsidP="00E83597">
            <w:pPr>
              <w:rPr>
                <w:sz w:val="16"/>
                <w:szCs w:val="16"/>
              </w:rPr>
            </w:pPr>
            <w:r>
              <w:rPr>
                <w:rFonts w:cs="Arial"/>
                <w:sz w:val="18"/>
                <w:szCs w:val="18"/>
              </w:rPr>
              <w:t>√</w:t>
            </w:r>
            <w:r w:rsidRPr="006470E8">
              <w:rPr>
                <w:rStyle w:val="EndnoteReference"/>
                <w:sz w:val="16"/>
                <w:szCs w:val="16"/>
              </w:rPr>
              <w:endnoteReference w:id="258"/>
            </w:r>
          </w:p>
        </w:tc>
        <w:tc>
          <w:tcPr>
            <w:tcW w:w="622" w:type="dxa"/>
            <w:shd w:val="clear" w:color="auto" w:fill="FFFFFF" w:themeFill="background1"/>
          </w:tcPr>
          <w:p w:rsidR="00CC5670" w:rsidRDefault="00CC5670" w:rsidP="00E83597">
            <w:r w:rsidRPr="00B96536">
              <w:rPr>
                <w:rFonts w:cs="Arial"/>
                <w:sz w:val="18"/>
                <w:szCs w:val="18"/>
              </w:rPr>
              <w:t>√</w:t>
            </w:r>
          </w:p>
        </w:tc>
        <w:tc>
          <w:tcPr>
            <w:tcW w:w="622" w:type="dxa"/>
            <w:shd w:val="clear" w:color="auto" w:fill="FFFFFF" w:themeFill="background1"/>
          </w:tcPr>
          <w:p w:rsidR="00CC5670" w:rsidRDefault="00CC5670" w:rsidP="00E83597">
            <w:r w:rsidRPr="00B96536">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SK</w:t>
            </w:r>
          </w:p>
        </w:tc>
        <w:tc>
          <w:tcPr>
            <w:tcW w:w="622" w:type="dxa"/>
          </w:tcPr>
          <w:p w:rsidR="00CC5670" w:rsidRDefault="00CC5670" w:rsidP="00E83597">
            <w:r w:rsidRPr="00BB4B4B">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065CF0">
              <w:rPr>
                <w:rFonts w:cs="Arial"/>
                <w:sz w:val="18"/>
                <w:szCs w:val="18"/>
              </w:rPr>
              <w:t>√</w:t>
            </w:r>
          </w:p>
        </w:tc>
        <w:tc>
          <w:tcPr>
            <w:tcW w:w="622" w:type="dxa"/>
          </w:tcPr>
          <w:p w:rsidR="00CC5670" w:rsidRDefault="00CC5670" w:rsidP="00E83597">
            <w:r w:rsidRPr="008561C4">
              <w:rPr>
                <w:rFonts w:cs="Arial"/>
                <w:sz w:val="18"/>
                <w:szCs w:val="18"/>
              </w:rPr>
              <w:t>√</w:t>
            </w:r>
          </w:p>
        </w:tc>
        <w:tc>
          <w:tcPr>
            <w:tcW w:w="621"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tcPr>
          <w:p w:rsidR="00CC5670" w:rsidRDefault="00CC5670" w:rsidP="00E83597">
            <w:r w:rsidRPr="00362C9E">
              <w:rPr>
                <w:rFonts w:cs="Arial"/>
                <w:sz w:val="18"/>
                <w:szCs w:val="18"/>
              </w:rPr>
              <w:t>√</w:t>
            </w:r>
          </w:p>
        </w:tc>
        <w:tc>
          <w:tcPr>
            <w:tcW w:w="622" w:type="dxa"/>
          </w:tcPr>
          <w:p w:rsidR="00CC5670" w:rsidRDefault="00CC5670" w:rsidP="00E83597">
            <w:r w:rsidRPr="00362C9E">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tcPr>
          <w:p w:rsidR="00CC5670" w:rsidRDefault="00CC5670" w:rsidP="00E83597">
            <w:r w:rsidRPr="00383F07">
              <w:rPr>
                <w:rFonts w:cs="Arial"/>
                <w:sz w:val="18"/>
                <w:szCs w:val="18"/>
              </w:rPr>
              <w:t>√</w:t>
            </w:r>
          </w:p>
        </w:tc>
        <w:tc>
          <w:tcPr>
            <w:tcW w:w="622" w:type="dxa"/>
          </w:tcPr>
          <w:p w:rsidR="00CC5670" w:rsidRDefault="00CC5670" w:rsidP="00E83597">
            <w:r w:rsidRPr="00383F07">
              <w:rPr>
                <w:rFonts w:cs="Arial"/>
                <w:sz w:val="18"/>
                <w:szCs w:val="18"/>
              </w:rPr>
              <w:t>√</w:t>
            </w:r>
          </w:p>
        </w:tc>
        <w:tc>
          <w:tcPr>
            <w:tcW w:w="622" w:type="dxa"/>
          </w:tcPr>
          <w:p w:rsidR="00CC5670" w:rsidRDefault="00CC5670" w:rsidP="00E83597">
            <w:r w:rsidRPr="00383F07">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UK-E&amp;W</w:t>
            </w:r>
          </w:p>
        </w:tc>
        <w:tc>
          <w:tcPr>
            <w:tcW w:w="622" w:type="dxa"/>
          </w:tcPr>
          <w:p w:rsidR="00CC5670" w:rsidRDefault="00CC5670" w:rsidP="00E83597">
            <w:r w:rsidRPr="00BB4B4B">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065CF0">
              <w:rPr>
                <w:rFonts w:cs="Arial"/>
                <w:sz w:val="18"/>
                <w:szCs w:val="18"/>
              </w:rPr>
              <w:t>√</w:t>
            </w:r>
          </w:p>
        </w:tc>
        <w:tc>
          <w:tcPr>
            <w:tcW w:w="622" w:type="dxa"/>
          </w:tcPr>
          <w:p w:rsidR="00CC5670" w:rsidRDefault="00CC5670" w:rsidP="00E83597">
            <w:r w:rsidRPr="008561C4">
              <w:rPr>
                <w:rFonts w:cs="Arial"/>
                <w:sz w:val="18"/>
                <w:szCs w:val="18"/>
              </w:rPr>
              <w:t>√</w:t>
            </w:r>
          </w:p>
        </w:tc>
        <w:tc>
          <w:tcPr>
            <w:tcW w:w="621"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tcPr>
          <w:p w:rsidR="00CC5670" w:rsidRDefault="00CC5670" w:rsidP="00E83597">
            <w:r w:rsidRPr="00362C9E">
              <w:rPr>
                <w:rFonts w:cs="Arial"/>
                <w:sz w:val="18"/>
                <w:szCs w:val="18"/>
              </w:rPr>
              <w:t>√</w:t>
            </w:r>
          </w:p>
        </w:tc>
        <w:tc>
          <w:tcPr>
            <w:tcW w:w="622" w:type="dxa"/>
          </w:tcPr>
          <w:p w:rsidR="00CC5670" w:rsidRDefault="00CC5670" w:rsidP="00E83597">
            <w:r w:rsidRPr="00362C9E">
              <w:rPr>
                <w:rFonts w:cs="Arial"/>
                <w:sz w:val="18"/>
                <w:szCs w:val="18"/>
              </w:rPr>
              <w:t>√</w:t>
            </w:r>
          </w:p>
        </w:tc>
        <w:tc>
          <w:tcPr>
            <w:tcW w:w="622" w:type="dxa"/>
          </w:tcPr>
          <w:p w:rsidR="00CC5670" w:rsidRDefault="00CC5670" w:rsidP="00E83597">
            <w:r w:rsidRPr="00D46F8F">
              <w:rPr>
                <w:rFonts w:cs="Arial"/>
                <w:sz w:val="18"/>
                <w:szCs w:val="18"/>
              </w:rPr>
              <w:t>√</w:t>
            </w:r>
          </w:p>
        </w:tc>
        <w:tc>
          <w:tcPr>
            <w:tcW w:w="622" w:type="dxa"/>
          </w:tcPr>
          <w:p w:rsidR="00CC5670" w:rsidRDefault="00CC5670" w:rsidP="00E83597">
            <w:r w:rsidRPr="00D46F8F">
              <w:rPr>
                <w:rFonts w:cs="Arial"/>
                <w:sz w:val="18"/>
                <w:szCs w:val="18"/>
              </w:rPr>
              <w:t>√</w:t>
            </w:r>
          </w:p>
        </w:tc>
        <w:tc>
          <w:tcPr>
            <w:tcW w:w="622" w:type="dxa"/>
          </w:tcPr>
          <w:p w:rsidR="00CC5670" w:rsidRDefault="00CC5670" w:rsidP="00E83597">
            <w:r w:rsidRPr="00D46F8F">
              <w:rPr>
                <w:rFonts w:cs="Arial"/>
                <w:sz w:val="18"/>
                <w:szCs w:val="18"/>
              </w:rPr>
              <w:t>√</w:t>
            </w:r>
          </w:p>
        </w:tc>
        <w:tc>
          <w:tcPr>
            <w:tcW w:w="622" w:type="dxa"/>
          </w:tcPr>
          <w:p w:rsidR="00CC5670" w:rsidRDefault="00CC5670" w:rsidP="00E83597">
            <w:r w:rsidRPr="00D46F8F">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C5670" w:rsidP="00E83597">
            <w:pPr>
              <w:pStyle w:val="BTBullet1"/>
              <w:numPr>
                <w:ilvl w:val="0"/>
                <w:numId w:val="0"/>
              </w:numPr>
              <w:rPr>
                <w:b/>
                <w:sz w:val="16"/>
                <w:szCs w:val="16"/>
              </w:rPr>
            </w:pPr>
            <w:r w:rsidRPr="00861A9D">
              <w:rPr>
                <w:b/>
                <w:sz w:val="16"/>
                <w:szCs w:val="16"/>
              </w:rPr>
              <w:t>UK-NI</w:t>
            </w:r>
          </w:p>
        </w:tc>
        <w:tc>
          <w:tcPr>
            <w:tcW w:w="622" w:type="dxa"/>
          </w:tcPr>
          <w:p w:rsidR="00CC5670" w:rsidRDefault="00CC5670" w:rsidP="00E83597">
            <w:r w:rsidRPr="00BB4B4B">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1"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tcPr>
          <w:p w:rsidR="00CC5670" w:rsidRDefault="00CC5670" w:rsidP="00E83597">
            <w:r w:rsidRPr="008561C4">
              <w:rPr>
                <w:rFonts w:cs="Arial"/>
                <w:sz w:val="18"/>
                <w:szCs w:val="18"/>
              </w:rPr>
              <w:t>√</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tcPr>
          <w:p w:rsidR="00CC5670" w:rsidRDefault="00CC5670" w:rsidP="00E83597">
            <w:r w:rsidRPr="00362C9E">
              <w:rPr>
                <w:rFonts w:cs="Arial"/>
                <w:sz w:val="18"/>
                <w:szCs w:val="18"/>
              </w:rPr>
              <w:t>√</w:t>
            </w:r>
          </w:p>
        </w:tc>
        <w:tc>
          <w:tcPr>
            <w:tcW w:w="622" w:type="dxa"/>
          </w:tcPr>
          <w:p w:rsidR="00CC5670" w:rsidRDefault="00CC5670" w:rsidP="00E83597">
            <w:r w:rsidRPr="00362C9E">
              <w:rPr>
                <w:rFonts w:cs="Arial"/>
                <w:sz w:val="18"/>
                <w:szCs w:val="18"/>
              </w:rPr>
              <w:t>√</w:t>
            </w:r>
          </w:p>
        </w:tc>
        <w:tc>
          <w:tcPr>
            <w:tcW w:w="622" w:type="dxa"/>
          </w:tcPr>
          <w:p w:rsidR="00CC5670" w:rsidRDefault="00CC5670" w:rsidP="00E83597">
            <w:r w:rsidRPr="00D46F8F">
              <w:rPr>
                <w:rFonts w:cs="Arial"/>
                <w:sz w:val="18"/>
                <w:szCs w:val="18"/>
              </w:rPr>
              <w:t>√</w:t>
            </w:r>
          </w:p>
        </w:tc>
        <w:tc>
          <w:tcPr>
            <w:tcW w:w="622" w:type="dxa"/>
          </w:tcPr>
          <w:p w:rsidR="00CC5670" w:rsidRDefault="00CC5670" w:rsidP="00E83597">
            <w:r w:rsidRPr="00D46F8F">
              <w:rPr>
                <w:rFonts w:cs="Arial"/>
                <w:sz w:val="18"/>
                <w:szCs w:val="18"/>
              </w:rPr>
              <w:t>√</w:t>
            </w:r>
          </w:p>
        </w:tc>
        <w:tc>
          <w:tcPr>
            <w:tcW w:w="622" w:type="dxa"/>
          </w:tcPr>
          <w:p w:rsidR="00CC5670" w:rsidRDefault="00CC5670" w:rsidP="00E83597">
            <w:r w:rsidRPr="00D46F8F">
              <w:rPr>
                <w:rFonts w:cs="Arial"/>
                <w:sz w:val="18"/>
                <w:szCs w:val="18"/>
              </w:rPr>
              <w:t>√</w:t>
            </w:r>
          </w:p>
        </w:tc>
        <w:tc>
          <w:tcPr>
            <w:tcW w:w="622" w:type="dxa"/>
          </w:tcPr>
          <w:p w:rsidR="00CC5670" w:rsidRDefault="00CC5670" w:rsidP="00E83597">
            <w:r w:rsidRPr="00D46F8F">
              <w:rPr>
                <w:rFonts w:cs="Arial"/>
                <w:sz w:val="18"/>
                <w:szCs w:val="18"/>
              </w:rPr>
              <w:t>√</w:t>
            </w:r>
          </w:p>
        </w:tc>
      </w:tr>
      <w:tr w:rsidR="00CC5670" w:rsidTr="00546996">
        <w:trPr>
          <w:cantSplit/>
          <w:trHeight w:hRule="exact" w:val="288"/>
          <w:jc w:val="center"/>
        </w:trPr>
        <w:tc>
          <w:tcPr>
            <w:tcW w:w="1001" w:type="dxa"/>
            <w:shd w:val="clear" w:color="auto" w:fill="DBE5F1" w:themeFill="accent1" w:themeFillTint="33"/>
            <w:vAlign w:val="center"/>
          </w:tcPr>
          <w:p w:rsidR="00CC5670" w:rsidRPr="00861A9D" w:rsidRDefault="00CD7610" w:rsidP="00E83597">
            <w:pPr>
              <w:pStyle w:val="BTBullet1"/>
              <w:numPr>
                <w:ilvl w:val="0"/>
                <w:numId w:val="0"/>
              </w:numPr>
              <w:rPr>
                <w:b/>
                <w:sz w:val="16"/>
                <w:szCs w:val="16"/>
              </w:rPr>
            </w:pPr>
            <w:r w:rsidRPr="00861A9D">
              <w:rPr>
                <w:b/>
                <w:sz w:val="16"/>
                <w:szCs w:val="16"/>
              </w:rPr>
              <w:t>UK-S</w:t>
            </w: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1"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c>
          <w:tcPr>
            <w:tcW w:w="622" w:type="dxa"/>
            <w:shd w:val="clear" w:color="auto" w:fill="D9D9D9" w:themeFill="background1" w:themeFillShade="D9"/>
            <w:vAlign w:val="center"/>
          </w:tcPr>
          <w:p w:rsidR="00CC5670" w:rsidRPr="006470E8" w:rsidRDefault="00CC5670" w:rsidP="00E83597">
            <w:pPr>
              <w:rPr>
                <w:sz w:val="16"/>
                <w:szCs w:val="16"/>
              </w:rPr>
            </w:pPr>
          </w:p>
        </w:tc>
      </w:tr>
      <w:tr w:rsidR="00CC5670" w:rsidTr="00546996">
        <w:trPr>
          <w:cantSplit/>
          <w:trHeight w:hRule="exact" w:val="462"/>
          <w:jc w:val="center"/>
        </w:trPr>
        <w:tc>
          <w:tcPr>
            <w:tcW w:w="1001" w:type="dxa"/>
            <w:shd w:val="clear" w:color="auto" w:fill="FFFFFF" w:themeFill="background1"/>
            <w:vAlign w:val="center"/>
          </w:tcPr>
          <w:p w:rsidR="00CC5670" w:rsidRPr="001F2F62" w:rsidRDefault="00CC5670" w:rsidP="00E83597">
            <w:pPr>
              <w:pStyle w:val="BTBullet1"/>
              <w:numPr>
                <w:ilvl w:val="0"/>
                <w:numId w:val="0"/>
              </w:numPr>
              <w:rPr>
                <w:b/>
                <w:sz w:val="16"/>
                <w:szCs w:val="16"/>
              </w:rPr>
            </w:pPr>
            <w:r w:rsidRPr="001F2F62">
              <w:rPr>
                <w:b/>
                <w:sz w:val="16"/>
                <w:szCs w:val="16"/>
              </w:rPr>
              <w:t>Total Yes</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22</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14</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21</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20</w:t>
            </w:r>
          </w:p>
        </w:tc>
        <w:tc>
          <w:tcPr>
            <w:tcW w:w="621" w:type="dxa"/>
            <w:shd w:val="clear" w:color="auto" w:fill="FFFFFF" w:themeFill="background1"/>
            <w:vAlign w:val="center"/>
          </w:tcPr>
          <w:p w:rsidR="00CC5670" w:rsidRPr="001F2F62" w:rsidRDefault="00CC5670" w:rsidP="00E83597">
            <w:pPr>
              <w:rPr>
                <w:b/>
                <w:sz w:val="16"/>
                <w:szCs w:val="16"/>
              </w:rPr>
            </w:pPr>
            <w:r w:rsidRPr="001F2F62">
              <w:rPr>
                <w:b/>
                <w:sz w:val="16"/>
                <w:szCs w:val="16"/>
              </w:rPr>
              <w:t>17</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18</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23</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16</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17</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16</w:t>
            </w:r>
          </w:p>
        </w:tc>
        <w:tc>
          <w:tcPr>
            <w:tcW w:w="621" w:type="dxa"/>
            <w:shd w:val="clear" w:color="auto" w:fill="FFFFFF" w:themeFill="background1"/>
            <w:vAlign w:val="center"/>
          </w:tcPr>
          <w:p w:rsidR="00CC5670" w:rsidRPr="001F2F62" w:rsidRDefault="00CC5670" w:rsidP="00E83597">
            <w:pPr>
              <w:rPr>
                <w:b/>
                <w:sz w:val="16"/>
                <w:szCs w:val="16"/>
              </w:rPr>
            </w:pPr>
            <w:r w:rsidRPr="001F2F62">
              <w:rPr>
                <w:b/>
                <w:sz w:val="16"/>
                <w:szCs w:val="16"/>
              </w:rPr>
              <w:t>24</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23</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16</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23</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23</w:t>
            </w:r>
          </w:p>
        </w:tc>
        <w:tc>
          <w:tcPr>
            <w:tcW w:w="622" w:type="dxa"/>
            <w:shd w:val="clear" w:color="auto" w:fill="FFFFFF" w:themeFill="background1"/>
            <w:vAlign w:val="center"/>
          </w:tcPr>
          <w:p w:rsidR="00CC5670" w:rsidRPr="001F2F62" w:rsidRDefault="00CC5670" w:rsidP="00E83597">
            <w:pPr>
              <w:rPr>
                <w:b/>
                <w:sz w:val="16"/>
                <w:szCs w:val="16"/>
              </w:rPr>
            </w:pPr>
            <w:r w:rsidRPr="001F2F62">
              <w:rPr>
                <w:b/>
                <w:sz w:val="16"/>
                <w:szCs w:val="16"/>
              </w:rPr>
              <w:t>15</w:t>
            </w:r>
          </w:p>
        </w:tc>
      </w:tr>
      <w:tr w:rsidR="00CC5670" w:rsidTr="00546996">
        <w:trPr>
          <w:cantSplit/>
          <w:trHeight w:hRule="exact" w:val="534"/>
          <w:jc w:val="center"/>
        </w:trPr>
        <w:tc>
          <w:tcPr>
            <w:tcW w:w="10951" w:type="dxa"/>
            <w:gridSpan w:val="17"/>
            <w:vAlign w:val="center"/>
          </w:tcPr>
          <w:p w:rsidR="00CC5670" w:rsidRPr="001F2F62" w:rsidRDefault="004D603A" w:rsidP="00E83597">
            <w:pPr>
              <w:rPr>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CC5670" w:rsidRDefault="00CC5670" w:rsidP="00356378">
      <w:pPr>
        <w:sectPr w:rsidR="00CC5670"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62513B" w:rsidRDefault="0062513B" w:rsidP="00356378"/>
    <w:p w:rsidR="00356378" w:rsidRDefault="00356378" w:rsidP="00356378"/>
    <w:p w:rsidR="006822D9" w:rsidRDefault="00356378" w:rsidP="00861A9D">
      <w:pPr>
        <w:pStyle w:val="AnnexTable"/>
        <w:tabs>
          <w:tab w:val="clear" w:pos="2687"/>
        </w:tabs>
        <w:ind w:left="1440" w:hanging="1440"/>
      </w:pPr>
      <w:r>
        <w:br w:type="page"/>
      </w:r>
      <w:bookmarkStart w:id="373" w:name="_Ref395830068"/>
      <w:bookmarkStart w:id="374" w:name="_Toc408908673"/>
      <w:r w:rsidR="006822D9" w:rsidRPr="006822D9">
        <w:t xml:space="preserve">Existence of a statutory provision to ensure that evidence provided through audio-visual recordings </w:t>
      </w:r>
      <w:r w:rsidR="00095074">
        <w:t>is</w:t>
      </w:r>
      <w:r w:rsidR="006822D9" w:rsidRPr="006822D9">
        <w:t xml:space="preserve"> admissible</w:t>
      </w:r>
      <w:r w:rsidR="006822D9">
        <w:t xml:space="preserve"> (CivAdm112</w:t>
      </w:r>
      <w:r w:rsidR="006822D9" w:rsidRPr="006822D9">
        <w:t>)</w:t>
      </w:r>
      <w:bookmarkEnd w:id="373"/>
      <w:bookmarkEnd w:id="374"/>
      <w:r w:rsidR="006822D9">
        <w:t xml:space="preserve"> </w:t>
      </w:r>
    </w:p>
    <w:p w:rsidR="00C6670F" w:rsidRDefault="00C6670F" w:rsidP="00E83597">
      <w:pPr>
        <w:pStyle w:val="TableTitle"/>
        <w:sectPr w:rsidR="00C6670F" w:rsidSect="002C3D52">
          <w:type w:val="continuous"/>
          <w:pgSz w:w="11907" w:h="16840" w:code="9"/>
          <w:pgMar w:top="1276" w:right="1418" w:bottom="851" w:left="1418" w:header="680" w:footer="567" w:gutter="0"/>
          <w:cols w:space="708"/>
          <w:docGrid w:linePitch="360"/>
        </w:sectPr>
      </w:pPr>
    </w:p>
    <w:tbl>
      <w:tblPr>
        <w:tblStyle w:val="Tabellenraster1"/>
        <w:tblW w:w="11037" w:type="dxa"/>
        <w:jc w:val="center"/>
        <w:tblLayout w:type="fixed"/>
        <w:tblLook w:val="04A0" w:firstRow="1" w:lastRow="0" w:firstColumn="1" w:lastColumn="0" w:noHBand="0" w:noVBand="1"/>
      </w:tblPr>
      <w:tblGrid>
        <w:gridCol w:w="1138"/>
        <w:gridCol w:w="655"/>
        <w:gridCol w:w="781"/>
        <w:gridCol w:w="769"/>
        <w:gridCol w:w="768"/>
        <w:gridCol w:w="770"/>
        <w:gridCol w:w="769"/>
        <w:gridCol w:w="770"/>
        <w:gridCol w:w="769"/>
        <w:gridCol w:w="770"/>
        <w:gridCol w:w="9"/>
        <w:gridCol w:w="760"/>
        <w:gridCol w:w="770"/>
        <w:gridCol w:w="769"/>
        <w:gridCol w:w="770"/>
      </w:tblGrid>
      <w:tr w:rsidR="00C6670F" w:rsidRPr="00593387" w:rsidTr="00C6670F">
        <w:trPr>
          <w:trHeight w:val="289"/>
          <w:tblHeader/>
          <w:jc w:val="center"/>
        </w:trPr>
        <w:tc>
          <w:tcPr>
            <w:tcW w:w="1138" w:type="dxa"/>
            <w:tcBorders>
              <w:right w:val="single" w:sz="12" w:space="0" w:color="auto"/>
            </w:tcBorders>
          </w:tcPr>
          <w:p w:rsidR="00C6670F" w:rsidRDefault="00C6670F" w:rsidP="00E83597">
            <w:pPr>
              <w:pStyle w:val="TableTitle"/>
            </w:pPr>
            <w:r>
              <w:t>MS</w:t>
            </w:r>
          </w:p>
        </w:tc>
        <w:tc>
          <w:tcPr>
            <w:tcW w:w="6830" w:type="dxa"/>
            <w:gridSpan w:val="10"/>
            <w:tcBorders>
              <w:left w:val="single" w:sz="12" w:space="0" w:color="auto"/>
              <w:right w:val="single" w:sz="12" w:space="0" w:color="auto"/>
            </w:tcBorders>
          </w:tcPr>
          <w:p w:rsidR="00C6670F" w:rsidRDefault="00C6670F" w:rsidP="00E83597">
            <w:pPr>
              <w:pStyle w:val="TableTitle"/>
            </w:pPr>
            <w:r>
              <w:t>Areas of law</w:t>
            </w:r>
          </w:p>
        </w:tc>
        <w:tc>
          <w:tcPr>
            <w:tcW w:w="3069" w:type="dxa"/>
            <w:gridSpan w:val="4"/>
            <w:tcBorders>
              <w:left w:val="single" w:sz="12" w:space="0" w:color="auto"/>
            </w:tcBorders>
          </w:tcPr>
          <w:p w:rsidR="00C6670F" w:rsidRDefault="00C6670F" w:rsidP="00E83597">
            <w:pPr>
              <w:pStyle w:val="TableTitle"/>
            </w:pPr>
            <w:r>
              <w:t>Roles of the child</w:t>
            </w:r>
          </w:p>
        </w:tc>
      </w:tr>
      <w:tr w:rsidR="00C6670F" w:rsidTr="00731E82">
        <w:trPr>
          <w:cantSplit/>
          <w:trHeight w:val="1162"/>
          <w:tblHeader/>
          <w:jc w:val="center"/>
        </w:trPr>
        <w:tc>
          <w:tcPr>
            <w:tcW w:w="1138" w:type="dxa"/>
            <w:tcBorders>
              <w:right w:val="single" w:sz="12" w:space="0" w:color="auto"/>
            </w:tcBorders>
            <w:shd w:val="clear" w:color="auto" w:fill="DBE5F1" w:themeFill="accent1" w:themeFillTint="33"/>
          </w:tcPr>
          <w:p w:rsidR="00C6670F" w:rsidRPr="00E217F3" w:rsidRDefault="00C6670F" w:rsidP="00E83597">
            <w:pPr>
              <w:rPr>
                <w:b/>
              </w:rPr>
            </w:pPr>
          </w:p>
        </w:tc>
        <w:tc>
          <w:tcPr>
            <w:tcW w:w="655" w:type="dxa"/>
            <w:tcBorders>
              <w:left w:val="single" w:sz="12" w:space="0" w:color="auto"/>
            </w:tcBorders>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Family</w:t>
            </w:r>
          </w:p>
        </w:tc>
        <w:tc>
          <w:tcPr>
            <w:tcW w:w="781"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Employment</w:t>
            </w:r>
          </w:p>
        </w:tc>
        <w:tc>
          <w:tcPr>
            <w:tcW w:w="769"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Asylum</w:t>
            </w:r>
          </w:p>
        </w:tc>
        <w:tc>
          <w:tcPr>
            <w:tcW w:w="768"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Migration</w:t>
            </w:r>
          </w:p>
        </w:tc>
        <w:tc>
          <w:tcPr>
            <w:tcW w:w="770"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Education</w:t>
            </w:r>
          </w:p>
        </w:tc>
        <w:tc>
          <w:tcPr>
            <w:tcW w:w="769"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Health</w:t>
            </w:r>
          </w:p>
        </w:tc>
        <w:tc>
          <w:tcPr>
            <w:tcW w:w="770"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Placement</w:t>
            </w:r>
          </w:p>
        </w:tc>
        <w:tc>
          <w:tcPr>
            <w:tcW w:w="769"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Admin Sanctions</w:t>
            </w:r>
          </w:p>
        </w:tc>
        <w:tc>
          <w:tcPr>
            <w:tcW w:w="770" w:type="dxa"/>
            <w:tcBorders>
              <w:right w:val="single" w:sz="12" w:space="0" w:color="auto"/>
            </w:tcBorders>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Offences &lt;MACR</w:t>
            </w:r>
          </w:p>
        </w:tc>
        <w:tc>
          <w:tcPr>
            <w:tcW w:w="769" w:type="dxa"/>
            <w:gridSpan w:val="2"/>
            <w:tcBorders>
              <w:left w:val="single" w:sz="12" w:space="0" w:color="auto"/>
            </w:tcBorders>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Witnesses</w:t>
            </w:r>
          </w:p>
        </w:tc>
        <w:tc>
          <w:tcPr>
            <w:tcW w:w="770"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Plaintiffs</w:t>
            </w:r>
          </w:p>
        </w:tc>
        <w:tc>
          <w:tcPr>
            <w:tcW w:w="769"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Defendants</w:t>
            </w:r>
          </w:p>
        </w:tc>
        <w:tc>
          <w:tcPr>
            <w:tcW w:w="770" w:type="dxa"/>
            <w:shd w:val="clear" w:color="auto" w:fill="DBE5F1" w:themeFill="accent1" w:themeFillTint="33"/>
            <w:textDirection w:val="btLr"/>
          </w:tcPr>
          <w:p w:rsidR="00C6670F" w:rsidRPr="00C6670F" w:rsidRDefault="00C6670F" w:rsidP="00E83597">
            <w:pPr>
              <w:ind w:left="113" w:right="113"/>
              <w:rPr>
                <w:b/>
                <w:sz w:val="12"/>
                <w:szCs w:val="12"/>
              </w:rPr>
            </w:pPr>
            <w:r w:rsidRPr="00C6670F">
              <w:rPr>
                <w:b/>
                <w:sz w:val="12"/>
                <w:szCs w:val="12"/>
              </w:rPr>
              <w:t>Subjects</w:t>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AT</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BE</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BG</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CY</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CZ</w:t>
            </w:r>
          </w:p>
        </w:tc>
        <w:tc>
          <w:tcPr>
            <w:tcW w:w="655" w:type="dxa"/>
            <w:tcBorders>
              <w:left w:val="single" w:sz="12" w:space="0" w:color="auto"/>
            </w:tcBorders>
            <w:shd w:val="clear" w:color="auto" w:fill="FFFFFF" w:themeFill="background1"/>
            <w:vAlign w:val="center"/>
          </w:tcPr>
          <w:p w:rsidR="00C6670F" w:rsidRPr="00E217F3" w:rsidRDefault="00C6670F" w:rsidP="00E83597">
            <w:pPr>
              <w:rPr>
                <w:sz w:val="18"/>
                <w:szCs w:val="18"/>
              </w:rPr>
            </w:pPr>
            <w:r>
              <w:rPr>
                <w:rFonts w:cs="Arial"/>
                <w:sz w:val="18"/>
                <w:szCs w:val="18"/>
              </w:rPr>
              <w:t>√</w:t>
            </w:r>
          </w:p>
        </w:tc>
        <w:tc>
          <w:tcPr>
            <w:tcW w:w="781" w:type="dxa"/>
            <w:shd w:val="clear" w:color="auto" w:fill="FFFFFF" w:themeFill="background1"/>
            <w:vAlign w:val="center"/>
          </w:tcPr>
          <w:p w:rsidR="00C6670F" w:rsidRDefault="00C6670F" w:rsidP="00E83597">
            <w:r w:rsidRPr="006F5DEA">
              <w:rPr>
                <w:rFonts w:cs="Arial"/>
                <w:sz w:val="18"/>
                <w:szCs w:val="18"/>
              </w:rPr>
              <w:t>√</w:t>
            </w:r>
          </w:p>
        </w:tc>
        <w:tc>
          <w:tcPr>
            <w:tcW w:w="769" w:type="dxa"/>
            <w:shd w:val="clear" w:color="auto" w:fill="FFFFFF" w:themeFill="background1"/>
            <w:vAlign w:val="center"/>
          </w:tcPr>
          <w:p w:rsidR="00C6670F" w:rsidRDefault="00C6670F" w:rsidP="00E83597">
            <w:r w:rsidRPr="006F5DEA">
              <w:rPr>
                <w:rFonts w:cs="Arial"/>
                <w:sz w:val="18"/>
                <w:szCs w:val="18"/>
              </w:rPr>
              <w:t>√</w:t>
            </w:r>
          </w:p>
        </w:tc>
        <w:tc>
          <w:tcPr>
            <w:tcW w:w="768" w:type="dxa"/>
            <w:shd w:val="clear" w:color="auto" w:fill="FFFFFF" w:themeFill="background1"/>
            <w:vAlign w:val="center"/>
          </w:tcPr>
          <w:p w:rsidR="00C6670F" w:rsidRDefault="00C6670F" w:rsidP="00E83597">
            <w:r w:rsidRPr="006F5DEA">
              <w:rPr>
                <w:rFonts w:cs="Arial"/>
                <w:sz w:val="18"/>
                <w:szCs w:val="18"/>
              </w:rPr>
              <w:t>√</w:t>
            </w:r>
          </w:p>
        </w:tc>
        <w:tc>
          <w:tcPr>
            <w:tcW w:w="770" w:type="dxa"/>
            <w:shd w:val="clear" w:color="auto" w:fill="FFFFFF" w:themeFill="background1"/>
            <w:vAlign w:val="center"/>
          </w:tcPr>
          <w:p w:rsidR="00C6670F" w:rsidRDefault="00C6670F" w:rsidP="00E83597">
            <w:r w:rsidRPr="006F5DEA">
              <w:rPr>
                <w:rFonts w:cs="Arial"/>
                <w:sz w:val="18"/>
                <w:szCs w:val="18"/>
              </w:rPr>
              <w:t>√</w:t>
            </w:r>
          </w:p>
        </w:tc>
        <w:tc>
          <w:tcPr>
            <w:tcW w:w="769" w:type="dxa"/>
            <w:shd w:val="clear" w:color="auto" w:fill="FFFFFF" w:themeFill="background1"/>
            <w:vAlign w:val="center"/>
          </w:tcPr>
          <w:p w:rsidR="00C6670F" w:rsidRDefault="00C6670F" w:rsidP="00E83597">
            <w:r w:rsidRPr="006F5DEA">
              <w:rPr>
                <w:rFonts w:cs="Arial"/>
                <w:sz w:val="18"/>
                <w:szCs w:val="18"/>
              </w:rPr>
              <w:t>√</w:t>
            </w:r>
          </w:p>
        </w:tc>
        <w:tc>
          <w:tcPr>
            <w:tcW w:w="770" w:type="dxa"/>
            <w:shd w:val="clear" w:color="auto" w:fill="FFFFFF" w:themeFill="background1"/>
            <w:vAlign w:val="center"/>
          </w:tcPr>
          <w:p w:rsidR="00C6670F" w:rsidRDefault="00C6670F" w:rsidP="00E83597">
            <w:r w:rsidRPr="006F5DEA">
              <w:rPr>
                <w:rFonts w:cs="Arial"/>
                <w:sz w:val="18"/>
                <w:szCs w:val="18"/>
              </w:rPr>
              <w:t>√</w:t>
            </w:r>
          </w:p>
        </w:tc>
        <w:tc>
          <w:tcPr>
            <w:tcW w:w="769" w:type="dxa"/>
            <w:shd w:val="clear" w:color="auto" w:fill="FFFFFF" w:themeFill="background1"/>
            <w:vAlign w:val="center"/>
          </w:tcPr>
          <w:p w:rsidR="00C6670F" w:rsidRDefault="00C6670F" w:rsidP="00E83597">
            <w:r w:rsidRPr="006F5DEA">
              <w:rPr>
                <w:rFonts w:cs="Arial"/>
                <w:sz w:val="18"/>
                <w:szCs w:val="18"/>
              </w:rPr>
              <w:t>√</w:t>
            </w:r>
          </w:p>
        </w:tc>
        <w:tc>
          <w:tcPr>
            <w:tcW w:w="770" w:type="dxa"/>
            <w:tcBorders>
              <w:right w:val="single" w:sz="12" w:space="0" w:color="auto"/>
            </w:tcBorders>
            <w:shd w:val="clear" w:color="auto" w:fill="FFFFFF" w:themeFill="background1"/>
            <w:vAlign w:val="center"/>
          </w:tcPr>
          <w:p w:rsidR="00C6670F" w:rsidRDefault="00C6670F" w:rsidP="00E83597">
            <w:r w:rsidRPr="006F5DEA">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sidRPr="006F5DEA">
              <w:rPr>
                <w:rFonts w:cs="Arial"/>
                <w:sz w:val="18"/>
                <w:szCs w:val="18"/>
              </w:rPr>
              <w:t>√</w:t>
            </w:r>
          </w:p>
        </w:tc>
        <w:tc>
          <w:tcPr>
            <w:tcW w:w="770" w:type="dxa"/>
            <w:shd w:val="clear" w:color="auto" w:fill="FFFFFF" w:themeFill="background1"/>
            <w:vAlign w:val="center"/>
          </w:tcPr>
          <w:p w:rsidR="00C6670F" w:rsidRDefault="00C6670F" w:rsidP="00E83597">
            <w:r w:rsidRPr="006F5DEA">
              <w:rPr>
                <w:rFonts w:cs="Arial"/>
                <w:sz w:val="18"/>
                <w:szCs w:val="18"/>
              </w:rPr>
              <w:t>√</w:t>
            </w:r>
          </w:p>
        </w:tc>
        <w:tc>
          <w:tcPr>
            <w:tcW w:w="769" w:type="dxa"/>
            <w:shd w:val="clear" w:color="auto" w:fill="FFFFFF" w:themeFill="background1"/>
            <w:vAlign w:val="center"/>
          </w:tcPr>
          <w:p w:rsidR="00C6670F" w:rsidRDefault="00C6670F" w:rsidP="00E83597">
            <w:r w:rsidRPr="006F5DEA">
              <w:rPr>
                <w:rFonts w:cs="Arial"/>
                <w:sz w:val="18"/>
                <w:szCs w:val="18"/>
              </w:rPr>
              <w:t>√</w:t>
            </w:r>
          </w:p>
        </w:tc>
        <w:tc>
          <w:tcPr>
            <w:tcW w:w="770" w:type="dxa"/>
            <w:shd w:val="clear" w:color="auto" w:fill="FFFFFF" w:themeFill="background1"/>
            <w:vAlign w:val="center"/>
          </w:tcPr>
          <w:p w:rsidR="00C6670F" w:rsidRDefault="00C6670F" w:rsidP="00E83597">
            <w:r>
              <w:rPr>
                <w:rFonts w:cs="Arial"/>
                <w:sz w:val="18"/>
                <w:szCs w:val="18"/>
              </w:rPr>
              <w:t>√</w:t>
            </w:r>
            <w:r>
              <w:rPr>
                <w:rStyle w:val="EndnoteReference"/>
              </w:rPr>
              <w:endnoteReference w:id="259"/>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DE</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FFFFFF" w:themeFill="background1"/>
            <w:vAlign w:val="center"/>
          </w:tcPr>
          <w:p w:rsidR="00C6670F" w:rsidRPr="00E217F3" w:rsidRDefault="00C6670F" w:rsidP="00E83597">
            <w:pPr>
              <w:rPr>
                <w:sz w:val="18"/>
                <w:szCs w:val="18"/>
              </w:rPr>
            </w:pPr>
            <w:r>
              <w:rPr>
                <w:rFonts w:cs="Arial"/>
                <w:sz w:val="18"/>
                <w:szCs w:val="18"/>
              </w:rPr>
              <w:t>√</w:t>
            </w: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FFFFFF" w:themeFill="background1"/>
            <w:vAlign w:val="center"/>
          </w:tcPr>
          <w:p w:rsidR="00C6670F" w:rsidRDefault="00C6670F" w:rsidP="00E83597">
            <w:r w:rsidRPr="00047780">
              <w:rPr>
                <w:rFonts w:cs="Arial"/>
                <w:sz w:val="18"/>
                <w:szCs w:val="18"/>
              </w:rPr>
              <w:t>√</w:t>
            </w:r>
          </w:p>
        </w:tc>
        <w:tc>
          <w:tcPr>
            <w:tcW w:w="770" w:type="dxa"/>
            <w:shd w:val="clear" w:color="auto" w:fill="FFFFFF" w:themeFill="background1"/>
            <w:vAlign w:val="center"/>
          </w:tcPr>
          <w:p w:rsidR="00C6670F" w:rsidRDefault="00C6670F" w:rsidP="00E83597">
            <w:r w:rsidRPr="00047780">
              <w:rPr>
                <w:rFonts w:cs="Arial"/>
                <w:sz w:val="18"/>
                <w:szCs w:val="18"/>
              </w:rPr>
              <w:t>√</w:t>
            </w:r>
          </w:p>
        </w:tc>
        <w:tc>
          <w:tcPr>
            <w:tcW w:w="769" w:type="dxa"/>
            <w:shd w:val="clear" w:color="auto" w:fill="FFFFFF" w:themeFill="background1"/>
            <w:vAlign w:val="center"/>
          </w:tcPr>
          <w:p w:rsidR="00C6670F" w:rsidRDefault="00C6670F" w:rsidP="00E83597">
            <w:r w:rsidRPr="00047780">
              <w:rPr>
                <w:rFonts w:cs="Arial"/>
                <w:sz w:val="18"/>
                <w:szCs w:val="18"/>
              </w:rPr>
              <w:t>√</w:t>
            </w:r>
          </w:p>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DK</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EE</w:t>
            </w:r>
          </w:p>
        </w:tc>
        <w:tc>
          <w:tcPr>
            <w:tcW w:w="655" w:type="dxa"/>
            <w:tcBorders>
              <w:left w:val="single" w:sz="12" w:space="0" w:color="auto"/>
            </w:tcBorders>
            <w:shd w:val="clear" w:color="auto" w:fill="FFFFFF" w:themeFill="background1"/>
            <w:vAlign w:val="center"/>
          </w:tcPr>
          <w:p w:rsidR="00C6670F" w:rsidRDefault="00C6670F" w:rsidP="00E83597">
            <w:r w:rsidRPr="00801260">
              <w:rPr>
                <w:rFonts w:cs="Arial"/>
                <w:sz w:val="18"/>
                <w:szCs w:val="18"/>
              </w:rPr>
              <w:t>√</w:t>
            </w:r>
          </w:p>
        </w:tc>
        <w:tc>
          <w:tcPr>
            <w:tcW w:w="781" w:type="dxa"/>
            <w:shd w:val="clear" w:color="auto" w:fill="FFFFFF" w:themeFill="background1"/>
            <w:vAlign w:val="center"/>
          </w:tcPr>
          <w:p w:rsidR="00C6670F" w:rsidRDefault="00C6670F" w:rsidP="00E83597">
            <w:r w:rsidRPr="00801260">
              <w:rPr>
                <w:rFonts w:cs="Arial"/>
                <w:sz w:val="18"/>
                <w:szCs w:val="18"/>
              </w:rPr>
              <w:t>√</w:t>
            </w:r>
          </w:p>
        </w:tc>
        <w:tc>
          <w:tcPr>
            <w:tcW w:w="769" w:type="dxa"/>
            <w:shd w:val="clear" w:color="auto" w:fill="FFFFFF" w:themeFill="background1"/>
            <w:vAlign w:val="center"/>
          </w:tcPr>
          <w:p w:rsidR="00C6670F" w:rsidRDefault="00C6670F" w:rsidP="00E83597">
            <w:r w:rsidRPr="00801260">
              <w:rPr>
                <w:rFonts w:cs="Arial"/>
                <w:sz w:val="18"/>
                <w:szCs w:val="18"/>
              </w:rPr>
              <w:t>√</w:t>
            </w:r>
          </w:p>
        </w:tc>
        <w:tc>
          <w:tcPr>
            <w:tcW w:w="768" w:type="dxa"/>
            <w:shd w:val="clear" w:color="auto" w:fill="FFFFFF" w:themeFill="background1"/>
            <w:vAlign w:val="center"/>
          </w:tcPr>
          <w:p w:rsidR="00C6670F" w:rsidRDefault="00C6670F" w:rsidP="00E83597">
            <w:r w:rsidRPr="00801260">
              <w:rPr>
                <w:rFonts w:cs="Arial"/>
                <w:sz w:val="18"/>
                <w:szCs w:val="18"/>
              </w:rPr>
              <w:t>√</w:t>
            </w:r>
          </w:p>
        </w:tc>
        <w:tc>
          <w:tcPr>
            <w:tcW w:w="770" w:type="dxa"/>
            <w:shd w:val="clear" w:color="auto" w:fill="FFFFFF" w:themeFill="background1"/>
            <w:vAlign w:val="center"/>
          </w:tcPr>
          <w:p w:rsidR="00C6670F" w:rsidRDefault="00C6670F" w:rsidP="00E83597">
            <w:r w:rsidRPr="00801260">
              <w:rPr>
                <w:rFonts w:cs="Arial"/>
                <w:sz w:val="18"/>
                <w:szCs w:val="18"/>
              </w:rPr>
              <w:t>√</w:t>
            </w:r>
          </w:p>
        </w:tc>
        <w:tc>
          <w:tcPr>
            <w:tcW w:w="769" w:type="dxa"/>
            <w:shd w:val="clear" w:color="auto" w:fill="FFFFFF" w:themeFill="background1"/>
            <w:vAlign w:val="center"/>
          </w:tcPr>
          <w:p w:rsidR="00C6670F" w:rsidRDefault="00C6670F" w:rsidP="00E83597">
            <w:r w:rsidRPr="00801260">
              <w:rPr>
                <w:rFonts w:cs="Arial"/>
                <w:sz w:val="18"/>
                <w:szCs w:val="18"/>
              </w:rPr>
              <w:t>√</w:t>
            </w:r>
          </w:p>
        </w:tc>
        <w:tc>
          <w:tcPr>
            <w:tcW w:w="770" w:type="dxa"/>
            <w:shd w:val="clear" w:color="auto" w:fill="FFFFFF" w:themeFill="background1"/>
            <w:vAlign w:val="center"/>
          </w:tcPr>
          <w:p w:rsidR="00C6670F" w:rsidRDefault="00C6670F" w:rsidP="00E83597">
            <w:r w:rsidRPr="00801260">
              <w:rPr>
                <w:rFonts w:cs="Arial"/>
                <w:sz w:val="18"/>
                <w:szCs w:val="18"/>
              </w:rPr>
              <w:t>√</w:t>
            </w:r>
          </w:p>
        </w:tc>
        <w:tc>
          <w:tcPr>
            <w:tcW w:w="769" w:type="dxa"/>
            <w:shd w:val="clear" w:color="auto" w:fill="FFFFFF" w:themeFill="background1"/>
            <w:vAlign w:val="center"/>
          </w:tcPr>
          <w:p w:rsidR="00C6670F" w:rsidRDefault="00C6670F" w:rsidP="00E83597">
            <w:r w:rsidRPr="00801260">
              <w:rPr>
                <w:rFonts w:cs="Arial"/>
                <w:sz w:val="18"/>
                <w:szCs w:val="18"/>
              </w:rPr>
              <w:t>√</w:t>
            </w:r>
          </w:p>
        </w:tc>
        <w:tc>
          <w:tcPr>
            <w:tcW w:w="770" w:type="dxa"/>
            <w:tcBorders>
              <w:right w:val="single" w:sz="12" w:space="0" w:color="auto"/>
            </w:tcBorders>
            <w:shd w:val="clear" w:color="auto" w:fill="FFFFFF" w:themeFill="background1"/>
            <w:vAlign w:val="center"/>
          </w:tcPr>
          <w:p w:rsidR="00C6670F" w:rsidRDefault="00C6670F" w:rsidP="00E83597">
            <w:r w:rsidRPr="00801260">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sidRPr="00801260">
              <w:rPr>
                <w:rFonts w:cs="Arial"/>
                <w:sz w:val="18"/>
                <w:szCs w:val="18"/>
              </w:rPr>
              <w:t>√</w:t>
            </w:r>
          </w:p>
        </w:tc>
        <w:tc>
          <w:tcPr>
            <w:tcW w:w="770" w:type="dxa"/>
            <w:shd w:val="clear" w:color="auto" w:fill="FFFFFF" w:themeFill="background1"/>
            <w:vAlign w:val="center"/>
          </w:tcPr>
          <w:p w:rsidR="00C6670F" w:rsidRDefault="00C6670F" w:rsidP="00E83597">
            <w:r w:rsidRPr="00801260">
              <w:rPr>
                <w:rFonts w:cs="Arial"/>
                <w:sz w:val="18"/>
                <w:szCs w:val="18"/>
              </w:rPr>
              <w:t>√</w:t>
            </w:r>
          </w:p>
        </w:tc>
        <w:tc>
          <w:tcPr>
            <w:tcW w:w="769" w:type="dxa"/>
            <w:shd w:val="clear" w:color="auto" w:fill="FFFFFF" w:themeFill="background1"/>
            <w:vAlign w:val="center"/>
          </w:tcPr>
          <w:p w:rsidR="00C6670F" w:rsidRDefault="00C6670F" w:rsidP="00E83597">
            <w:r w:rsidRPr="00801260">
              <w:rPr>
                <w:rFonts w:cs="Arial"/>
                <w:sz w:val="18"/>
                <w:szCs w:val="18"/>
              </w:rPr>
              <w:t>√</w:t>
            </w:r>
          </w:p>
        </w:tc>
        <w:tc>
          <w:tcPr>
            <w:tcW w:w="770" w:type="dxa"/>
            <w:shd w:val="clear" w:color="auto" w:fill="FFFFFF" w:themeFill="background1"/>
            <w:vAlign w:val="center"/>
          </w:tcPr>
          <w:p w:rsidR="00C6670F" w:rsidRDefault="00C6670F" w:rsidP="00E83597">
            <w:r w:rsidRPr="00801260">
              <w:rPr>
                <w:rFonts w:cs="Arial"/>
                <w:sz w:val="18"/>
                <w:szCs w:val="18"/>
              </w:rPr>
              <w:t>√</w:t>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EL</w:t>
            </w:r>
          </w:p>
        </w:tc>
        <w:tc>
          <w:tcPr>
            <w:tcW w:w="655" w:type="dxa"/>
            <w:tcBorders>
              <w:left w:val="single" w:sz="12" w:space="0" w:color="auto"/>
            </w:tcBorders>
            <w:shd w:val="clear" w:color="auto" w:fill="FFFFFF" w:themeFill="background1"/>
            <w:vAlign w:val="center"/>
          </w:tcPr>
          <w:p w:rsidR="00C6670F" w:rsidRDefault="00C6670F" w:rsidP="00E83597">
            <w:r w:rsidRPr="005F0408">
              <w:rPr>
                <w:rFonts w:cs="Arial"/>
                <w:sz w:val="18"/>
                <w:szCs w:val="18"/>
              </w:rPr>
              <w:t>√</w:t>
            </w:r>
          </w:p>
        </w:tc>
        <w:tc>
          <w:tcPr>
            <w:tcW w:w="781" w:type="dxa"/>
            <w:shd w:val="clear" w:color="auto" w:fill="FFFFFF" w:themeFill="background1"/>
            <w:vAlign w:val="center"/>
          </w:tcPr>
          <w:p w:rsidR="00C6670F" w:rsidRDefault="00C6670F" w:rsidP="00E83597">
            <w:r w:rsidRPr="005F0408">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FFFFFF" w:themeFill="background1"/>
            <w:vAlign w:val="center"/>
          </w:tcPr>
          <w:p w:rsidR="00C6670F" w:rsidRPr="00E217F3" w:rsidRDefault="00C6670F" w:rsidP="00E83597">
            <w:pPr>
              <w:rPr>
                <w:sz w:val="18"/>
                <w:szCs w:val="18"/>
              </w:rPr>
            </w:pPr>
            <w:r>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FFFFFF" w:themeFill="background1"/>
            <w:vAlign w:val="center"/>
          </w:tcPr>
          <w:p w:rsidR="00C6670F" w:rsidRPr="00E217F3" w:rsidRDefault="00C6670F" w:rsidP="00E83597">
            <w:pPr>
              <w:rPr>
                <w:sz w:val="18"/>
                <w:szCs w:val="18"/>
              </w:rPr>
            </w:pPr>
            <w:r>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Pr>
                <w:rFonts w:cs="Arial"/>
                <w:sz w:val="18"/>
                <w:szCs w:val="18"/>
              </w:rPr>
              <w:t>√</w:t>
            </w:r>
            <w:r>
              <w:rPr>
                <w:rStyle w:val="EndnoteReference"/>
              </w:rPr>
              <w:endnoteReference w:id="260"/>
            </w:r>
          </w:p>
        </w:tc>
        <w:tc>
          <w:tcPr>
            <w:tcW w:w="770" w:type="dxa"/>
            <w:shd w:val="clear" w:color="auto" w:fill="FFFFFF" w:themeFill="background1"/>
            <w:vAlign w:val="center"/>
          </w:tcPr>
          <w:p w:rsidR="00C6670F" w:rsidRDefault="00C6670F" w:rsidP="00E83597">
            <w:r>
              <w:rPr>
                <w:rFonts w:cs="Arial"/>
                <w:sz w:val="18"/>
                <w:szCs w:val="18"/>
              </w:rPr>
              <w:t>√</w:t>
            </w:r>
            <w:r>
              <w:rPr>
                <w:rStyle w:val="EndnoteReference"/>
              </w:rPr>
              <w:endnoteReference w:id="261"/>
            </w:r>
          </w:p>
        </w:tc>
        <w:tc>
          <w:tcPr>
            <w:tcW w:w="769" w:type="dxa"/>
            <w:shd w:val="clear" w:color="auto" w:fill="FFFFFF" w:themeFill="background1"/>
            <w:vAlign w:val="center"/>
          </w:tcPr>
          <w:p w:rsidR="00C6670F" w:rsidRDefault="00C6670F" w:rsidP="00E83597">
            <w:r>
              <w:rPr>
                <w:rFonts w:cs="Arial"/>
                <w:sz w:val="18"/>
                <w:szCs w:val="18"/>
              </w:rPr>
              <w:t>√</w:t>
            </w:r>
            <w:r>
              <w:rPr>
                <w:rStyle w:val="EndnoteReference"/>
              </w:rPr>
              <w:endnoteReference w:id="262"/>
            </w:r>
          </w:p>
        </w:tc>
        <w:tc>
          <w:tcPr>
            <w:tcW w:w="770" w:type="dxa"/>
            <w:shd w:val="clear" w:color="auto" w:fill="FFFFFF" w:themeFill="background1"/>
            <w:vAlign w:val="center"/>
          </w:tcPr>
          <w:p w:rsidR="00C6670F" w:rsidRDefault="00C6670F" w:rsidP="00E83597">
            <w:r>
              <w:rPr>
                <w:rFonts w:cs="Arial"/>
                <w:sz w:val="18"/>
                <w:szCs w:val="18"/>
              </w:rPr>
              <w:t>√</w:t>
            </w:r>
            <w:r>
              <w:rPr>
                <w:rStyle w:val="EndnoteReference"/>
              </w:rPr>
              <w:endnoteReference w:id="263"/>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ES</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FI</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FFFFFF" w:themeFill="background1"/>
            <w:vAlign w:val="center"/>
          </w:tcPr>
          <w:p w:rsidR="00C6670F" w:rsidRPr="00E217F3" w:rsidRDefault="00C6670F" w:rsidP="00E83597">
            <w:pPr>
              <w:rPr>
                <w:sz w:val="18"/>
                <w:szCs w:val="18"/>
              </w:rPr>
            </w:pPr>
            <w:r>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FFFFFF" w:themeFill="background1"/>
            <w:vAlign w:val="center"/>
          </w:tcPr>
          <w:p w:rsidR="00C6670F" w:rsidRDefault="00C6670F" w:rsidP="00E83597">
            <w:r w:rsidRPr="00A335DC">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sidRPr="00A335DC">
              <w:rPr>
                <w:rFonts w:cs="Arial"/>
                <w:sz w:val="18"/>
                <w:szCs w:val="18"/>
              </w:rPr>
              <w:t>√</w:t>
            </w:r>
          </w:p>
        </w:tc>
        <w:tc>
          <w:tcPr>
            <w:tcW w:w="770" w:type="dxa"/>
            <w:shd w:val="clear" w:color="auto" w:fill="FFFFFF" w:themeFill="background1"/>
            <w:vAlign w:val="center"/>
          </w:tcPr>
          <w:p w:rsidR="00C6670F" w:rsidRDefault="00C6670F" w:rsidP="00E83597">
            <w:r w:rsidRPr="00A335DC">
              <w:rPr>
                <w:rFonts w:cs="Arial"/>
                <w:sz w:val="18"/>
                <w:szCs w:val="18"/>
              </w:rPr>
              <w:t>√</w:t>
            </w:r>
          </w:p>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FR</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HR</w:t>
            </w:r>
          </w:p>
        </w:tc>
        <w:tc>
          <w:tcPr>
            <w:tcW w:w="655" w:type="dxa"/>
            <w:tcBorders>
              <w:left w:val="single" w:sz="12" w:space="0" w:color="auto"/>
            </w:tcBorders>
            <w:shd w:val="clear" w:color="auto" w:fill="FFFFFF" w:themeFill="background1"/>
            <w:vAlign w:val="center"/>
          </w:tcPr>
          <w:p w:rsidR="00C6670F" w:rsidRPr="00E217F3" w:rsidRDefault="00C6670F" w:rsidP="00E83597">
            <w:pPr>
              <w:rPr>
                <w:sz w:val="18"/>
                <w:szCs w:val="18"/>
              </w:rPr>
            </w:pPr>
            <w:r>
              <w:rPr>
                <w:rFonts w:cs="Arial"/>
                <w:sz w:val="18"/>
                <w:szCs w:val="18"/>
              </w:rPr>
              <w:t>√</w:t>
            </w: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FFFFFF" w:themeFill="background1"/>
            <w:vAlign w:val="center"/>
          </w:tcPr>
          <w:p w:rsidR="00C6670F" w:rsidRDefault="00C6670F" w:rsidP="00E83597">
            <w:r w:rsidRPr="00AE5174">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sidRPr="00AE5174">
              <w:rPr>
                <w:rFonts w:cs="Arial"/>
                <w:sz w:val="18"/>
                <w:szCs w:val="18"/>
              </w:rPr>
              <w:t>√</w:t>
            </w:r>
          </w:p>
        </w:tc>
        <w:tc>
          <w:tcPr>
            <w:tcW w:w="770" w:type="dxa"/>
            <w:shd w:val="clear" w:color="auto" w:fill="FFFFFF" w:themeFill="background1"/>
            <w:vAlign w:val="center"/>
          </w:tcPr>
          <w:p w:rsidR="00C6670F" w:rsidRDefault="00C6670F" w:rsidP="00E83597">
            <w:r w:rsidRPr="00AE5174">
              <w:rPr>
                <w:rFonts w:cs="Arial"/>
                <w:sz w:val="18"/>
                <w:szCs w:val="18"/>
              </w:rPr>
              <w:t>√</w:t>
            </w:r>
          </w:p>
        </w:tc>
        <w:tc>
          <w:tcPr>
            <w:tcW w:w="769" w:type="dxa"/>
            <w:shd w:val="clear" w:color="auto" w:fill="FFFFFF" w:themeFill="background1"/>
            <w:vAlign w:val="center"/>
          </w:tcPr>
          <w:p w:rsidR="00C6670F" w:rsidRDefault="00C6670F" w:rsidP="00E83597">
            <w:r w:rsidRPr="00AE5174">
              <w:rPr>
                <w:rFonts w:cs="Arial"/>
                <w:sz w:val="18"/>
                <w:szCs w:val="18"/>
              </w:rPr>
              <w:t>√</w:t>
            </w:r>
          </w:p>
        </w:tc>
        <w:tc>
          <w:tcPr>
            <w:tcW w:w="770" w:type="dxa"/>
            <w:shd w:val="clear" w:color="auto" w:fill="FFFFFF" w:themeFill="background1"/>
            <w:vAlign w:val="center"/>
          </w:tcPr>
          <w:p w:rsidR="00C6670F" w:rsidRDefault="00C6670F" w:rsidP="00E83597">
            <w:r w:rsidRPr="00AE5174">
              <w:rPr>
                <w:rFonts w:cs="Arial"/>
                <w:sz w:val="18"/>
                <w:szCs w:val="18"/>
              </w:rPr>
              <w:t>√</w:t>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HU</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IE</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IT</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FFFFFF" w:themeFill="background1"/>
            <w:vAlign w:val="center"/>
          </w:tcPr>
          <w:p w:rsidR="00C6670F" w:rsidRDefault="00C6670F" w:rsidP="00E83597">
            <w:r w:rsidRPr="00947C33">
              <w:rPr>
                <w:rFonts w:cs="Arial"/>
                <w:sz w:val="18"/>
                <w:szCs w:val="18"/>
              </w:rPr>
              <w:t>√</w:t>
            </w:r>
          </w:p>
        </w:tc>
        <w:tc>
          <w:tcPr>
            <w:tcW w:w="768" w:type="dxa"/>
            <w:shd w:val="clear" w:color="auto" w:fill="FFFFFF" w:themeFill="background1"/>
            <w:vAlign w:val="center"/>
          </w:tcPr>
          <w:p w:rsidR="00C6670F" w:rsidRDefault="00C6670F" w:rsidP="00E83597">
            <w:r w:rsidRPr="00947C33">
              <w:rPr>
                <w:rFonts w:cs="Arial"/>
                <w:sz w:val="18"/>
                <w:szCs w:val="18"/>
              </w:rPr>
              <w:t>√</w:t>
            </w:r>
          </w:p>
        </w:tc>
        <w:tc>
          <w:tcPr>
            <w:tcW w:w="770" w:type="dxa"/>
            <w:shd w:val="clear" w:color="auto" w:fill="FFFFFF" w:themeFill="background1"/>
            <w:vAlign w:val="center"/>
          </w:tcPr>
          <w:p w:rsidR="00C6670F" w:rsidRDefault="00C6670F" w:rsidP="00E83597">
            <w:r w:rsidRPr="00947C33">
              <w:rPr>
                <w:rFonts w:cs="Arial"/>
                <w:sz w:val="18"/>
                <w:szCs w:val="18"/>
              </w:rPr>
              <w:t>√</w:t>
            </w:r>
          </w:p>
        </w:tc>
        <w:tc>
          <w:tcPr>
            <w:tcW w:w="769" w:type="dxa"/>
            <w:shd w:val="clear" w:color="auto" w:fill="FFFFFF" w:themeFill="background1"/>
            <w:vAlign w:val="center"/>
          </w:tcPr>
          <w:p w:rsidR="00C6670F" w:rsidRDefault="00C6670F" w:rsidP="00E83597">
            <w:r w:rsidRPr="00947C33">
              <w:rPr>
                <w:rFonts w:cs="Arial"/>
                <w:sz w:val="18"/>
                <w:szCs w:val="18"/>
              </w:rPr>
              <w:t>√</w:t>
            </w:r>
          </w:p>
        </w:tc>
        <w:tc>
          <w:tcPr>
            <w:tcW w:w="770" w:type="dxa"/>
            <w:shd w:val="clear" w:color="auto" w:fill="FFFFFF" w:themeFill="background1"/>
            <w:vAlign w:val="center"/>
          </w:tcPr>
          <w:p w:rsidR="00C6670F" w:rsidRDefault="00C6670F" w:rsidP="00E83597">
            <w:r w:rsidRPr="00947C33">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FFFFFF" w:themeFill="background1"/>
            <w:vAlign w:val="center"/>
          </w:tcPr>
          <w:p w:rsidR="00C6670F" w:rsidRDefault="00C6670F" w:rsidP="00E83597">
            <w:r w:rsidRPr="00E8745E">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sidRPr="00E8745E">
              <w:rPr>
                <w:rFonts w:cs="Arial"/>
                <w:sz w:val="18"/>
                <w:szCs w:val="18"/>
              </w:rPr>
              <w:t>√</w:t>
            </w:r>
          </w:p>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LT</w:t>
            </w:r>
          </w:p>
        </w:tc>
        <w:tc>
          <w:tcPr>
            <w:tcW w:w="655" w:type="dxa"/>
            <w:tcBorders>
              <w:left w:val="single" w:sz="12" w:space="0" w:color="auto"/>
            </w:tcBorders>
            <w:shd w:val="clear" w:color="auto" w:fill="FFFFFF" w:themeFill="background1"/>
            <w:vAlign w:val="center"/>
          </w:tcPr>
          <w:p w:rsidR="00C6670F" w:rsidRDefault="00C6670F" w:rsidP="00E83597">
            <w:r w:rsidRPr="00CA344D">
              <w:rPr>
                <w:rFonts w:cs="Arial"/>
                <w:sz w:val="18"/>
                <w:szCs w:val="18"/>
              </w:rPr>
              <w:t>√</w:t>
            </w:r>
          </w:p>
        </w:tc>
        <w:tc>
          <w:tcPr>
            <w:tcW w:w="781" w:type="dxa"/>
            <w:shd w:val="clear" w:color="auto" w:fill="FFFFFF" w:themeFill="background1"/>
            <w:vAlign w:val="center"/>
          </w:tcPr>
          <w:p w:rsidR="00C6670F" w:rsidRDefault="00C6670F" w:rsidP="00E83597">
            <w:r w:rsidRPr="00CA344D">
              <w:rPr>
                <w:rFonts w:cs="Arial"/>
                <w:sz w:val="18"/>
                <w:szCs w:val="18"/>
              </w:rPr>
              <w:t>√</w:t>
            </w:r>
          </w:p>
        </w:tc>
        <w:tc>
          <w:tcPr>
            <w:tcW w:w="769" w:type="dxa"/>
            <w:shd w:val="clear" w:color="auto" w:fill="FFFFFF" w:themeFill="background1"/>
            <w:vAlign w:val="center"/>
          </w:tcPr>
          <w:p w:rsidR="00C6670F" w:rsidRDefault="00C6670F" w:rsidP="00E83597">
            <w:r w:rsidRPr="00CA344D">
              <w:rPr>
                <w:rFonts w:cs="Arial"/>
                <w:sz w:val="18"/>
                <w:szCs w:val="18"/>
              </w:rPr>
              <w:t>√</w:t>
            </w:r>
          </w:p>
        </w:tc>
        <w:tc>
          <w:tcPr>
            <w:tcW w:w="768" w:type="dxa"/>
            <w:shd w:val="clear" w:color="auto" w:fill="FFFFFF" w:themeFill="background1"/>
            <w:vAlign w:val="center"/>
          </w:tcPr>
          <w:p w:rsidR="00C6670F" w:rsidRDefault="00C6670F" w:rsidP="00E83597">
            <w:r w:rsidRPr="00CA344D">
              <w:rPr>
                <w:rFonts w:cs="Arial"/>
                <w:sz w:val="18"/>
                <w:szCs w:val="18"/>
              </w:rPr>
              <w:t>√</w:t>
            </w:r>
          </w:p>
        </w:tc>
        <w:tc>
          <w:tcPr>
            <w:tcW w:w="770" w:type="dxa"/>
            <w:shd w:val="clear" w:color="auto" w:fill="FFFFFF" w:themeFill="background1"/>
            <w:vAlign w:val="center"/>
          </w:tcPr>
          <w:p w:rsidR="00C6670F" w:rsidRDefault="00C6670F" w:rsidP="00E83597">
            <w:r w:rsidRPr="00CA344D">
              <w:rPr>
                <w:rFonts w:cs="Arial"/>
                <w:sz w:val="18"/>
                <w:szCs w:val="18"/>
              </w:rPr>
              <w:t>√</w:t>
            </w:r>
          </w:p>
        </w:tc>
        <w:tc>
          <w:tcPr>
            <w:tcW w:w="769" w:type="dxa"/>
            <w:shd w:val="clear" w:color="auto" w:fill="FFFFFF" w:themeFill="background1"/>
            <w:vAlign w:val="center"/>
          </w:tcPr>
          <w:p w:rsidR="00C6670F" w:rsidRDefault="00C6670F" w:rsidP="00E83597">
            <w:r w:rsidRPr="00CA344D">
              <w:rPr>
                <w:rFonts w:cs="Arial"/>
                <w:sz w:val="18"/>
                <w:szCs w:val="18"/>
              </w:rPr>
              <w:t>√</w:t>
            </w:r>
          </w:p>
        </w:tc>
        <w:tc>
          <w:tcPr>
            <w:tcW w:w="770" w:type="dxa"/>
            <w:shd w:val="clear" w:color="auto" w:fill="FFFFFF" w:themeFill="background1"/>
            <w:vAlign w:val="center"/>
          </w:tcPr>
          <w:p w:rsidR="00C6670F" w:rsidRDefault="00C6670F" w:rsidP="00E83597">
            <w:r w:rsidRPr="00CA344D">
              <w:rPr>
                <w:rFonts w:cs="Arial"/>
                <w:sz w:val="18"/>
                <w:szCs w:val="18"/>
              </w:rPr>
              <w:t>√</w:t>
            </w:r>
          </w:p>
        </w:tc>
        <w:tc>
          <w:tcPr>
            <w:tcW w:w="769" w:type="dxa"/>
            <w:shd w:val="clear" w:color="auto" w:fill="FFFFFF" w:themeFill="background1"/>
            <w:vAlign w:val="center"/>
          </w:tcPr>
          <w:p w:rsidR="00C6670F" w:rsidRDefault="00C6670F" w:rsidP="00E83597">
            <w:r w:rsidRPr="00CA344D">
              <w:rPr>
                <w:rFonts w:cs="Arial"/>
                <w:sz w:val="18"/>
                <w:szCs w:val="18"/>
              </w:rPr>
              <w:t>√</w:t>
            </w:r>
          </w:p>
        </w:tc>
        <w:tc>
          <w:tcPr>
            <w:tcW w:w="770" w:type="dxa"/>
            <w:tcBorders>
              <w:right w:val="single" w:sz="12" w:space="0" w:color="auto"/>
            </w:tcBorders>
            <w:shd w:val="clear" w:color="auto" w:fill="FFFFFF" w:themeFill="background1"/>
            <w:vAlign w:val="center"/>
          </w:tcPr>
          <w:p w:rsidR="00C6670F" w:rsidRDefault="00C6670F" w:rsidP="00E83597">
            <w:r w:rsidRPr="00CA344D">
              <w:rPr>
                <w:rFonts w:cs="Arial"/>
                <w:sz w:val="18"/>
                <w:szCs w:val="18"/>
              </w:rPr>
              <w:t>√</w:t>
            </w:r>
          </w:p>
        </w:tc>
        <w:tc>
          <w:tcPr>
            <w:tcW w:w="769" w:type="dxa"/>
            <w:gridSpan w:val="2"/>
            <w:tcBorders>
              <w:left w:val="single" w:sz="12" w:space="0" w:color="auto"/>
            </w:tcBorders>
            <w:shd w:val="clear" w:color="auto" w:fill="FFFFFF" w:themeFill="background1"/>
            <w:vAlign w:val="center"/>
          </w:tcPr>
          <w:p w:rsidR="00C6670F" w:rsidRDefault="00C6670F" w:rsidP="00E83597">
            <w:r w:rsidRPr="00CA344D">
              <w:rPr>
                <w:rFonts w:cs="Arial"/>
                <w:sz w:val="18"/>
                <w:szCs w:val="18"/>
              </w:rPr>
              <w:t>√</w:t>
            </w:r>
          </w:p>
        </w:tc>
        <w:tc>
          <w:tcPr>
            <w:tcW w:w="770" w:type="dxa"/>
            <w:shd w:val="clear" w:color="auto" w:fill="FFFFFF" w:themeFill="background1"/>
            <w:vAlign w:val="center"/>
          </w:tcPr>
          <w:p w:rsidR="00C6670F" w:rsidRDefault="00C6670F" w:rsidP="00E83597">
            <w:r w:rsidRPr="00CA344D">
              <w:rPr>
                <w:rFonts w:cs="Arial"/>
                <w:sz w:val="18"/>
                <w:szCs w:val="18"/>
              </w:rPr>
              <w:t>√</w:t>
            </w:r>
          </w:p>
        </w:tc>
        <w:tc>
          <w:tcPr>
            <w:tcW w:w="769" w:type="dxa"/>
            <w:shd w:val="clear" w:color="auto" w:fill="FFFFFF" w:themeFill="background1"/>
            <w:vAlign w:val="center"/>
          </w:tcPr>
          <w:p w:rsidR="00C6670F" w:rsidRDefault="00C6670F" w:rsidP="00E83597">
            <w:r w:rsidRPr="00CA344D">
              <w:rPr>
                <w:rFonts w:cs="Arial"/>
                <w:sz w:val="18"/>
                <w:szCs w:val="18"/>
              </w:rPr>
              <w:t>√</w:t>
            </w:r>
          </w:p>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LU</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LV</w:t>
            </w:r>
          </w:p>
        </w:tc>
        <w:tc>
          <w:tcPr>
            <w:tcW w:w="655" w:type="dxa"/>
            <w:tcBorders>
              <w:left w:val="single" w:sz="12" w:space="0" w:color="auto"/>
            </w:tcBorders>
            <w:shd w:val="clear" w:color="auto" w:fill="FFFFFF" w:themeFill="background1"/>
            <w:vAlign w:val="center"/>
          </w:tcPr>
          <w:p w:rsidR="00C6670F" w:rsidRDefault="00C6670F" w:rsidP="00E83597">
            <w:r w:rsidRPr="008D50B1">
              <w:rPr>
                <w:rFonts w:cs="Arial"/>
                <w:sz w:val="18"/>
                <w:szCs w:val="18"/>
              </w:rPr>
              <w:t>√</w:t>
            </w:r>
          </w:p>
        </w:tc>
        <w:tc>
          <w:tcPr>
            <w:tcW w:w="781" w:type="dxa"/>
            <w:shd w:val="clear" w:color="auto" w:fill="FFFFFF" w:themeFill="background1"/>
            <w:vAlign w:val="center"/>
          </w:tcPr>
          <w:p w:rsidR="00C6670F" w:rsidRDefault="00C6670F" w:rsidP="00E83597">
            <w:r w:rsidRPr="008D50B1">
              <w:rPr>
                <w:rFonts w:cs="Arial"/>
                <w:sz w:val="18"/>
                <w:szCs w:val="18"/>
              </w:rPr>
              <w:t>√</w:t>
            </w:r>
          </w:p>
        </w:tc>
        <w:tc>
          <w:tcPr>
            <w:tcW w:w="769" w:type="dxa"/>
            <w:shd w:val="clear" w:color="auto" w:fill="FFFFFF" w:themeFill="background1"/>
            <w:vAlign w:val="center"/>
          </w:tcPr>
          <w:p w:rsidR="00C6670F" w:rsidRDefault="00C6670F" w:rsidP="00E83597">
            <w:r w:rsidRPr="008D50B1">
              <w:rPr>
                <w:rFonts w:cs="Arial"/>
                <w:sz w:val="18"/>
                <w:szCs w:val="18"/>
              </w:rPr>
              <w:t>√</w:t>
            </w:r>
          </w:p>
        </w:tc>
        <w:tc>
          <w:tcPr>
            <w:tcW w:w="768" w:type="dxa"/>
            <w:shd w:val="clear" w:color="auto" w:fill="FFFFFF" w:themeFill="background1"/>
            <w:vAlign w:val="center"/>
          </w:tcPr>
          <w:p w:rsidR="00C6670F" w:rsidRDefault="00C6670F" w:rsidP="00E83597">
            <w:r w:rsidRPr="008D50B1">
              <w:rPr>
                <w:rFonts w:cs="Arial"/>
                <w:sz w:val="18"/>
                <w:szCs w:val="18"/>
              </w:rPr>
              <w:t>√</w:t>
            </w:r>
          </w:p>
        </w:tc>
        <w:tc>
          <w:tcPr>
            <w:tcW w:w="770" w:type="dxa"/>
            <w:shd w:val="clear" w:color="auto" w:fill="FFFFFF" w:themeFill="background1"/>
            <w:vAlign w:val="center"/>
          </w:tcPr>
          <w:p w:rsidR="00C6670F" w:rsidRDefault="00C6670F" w:rsidP="00E83597">
            <w:r w:rsidRPr="008D50B1">
              <w:rPr>
                <w:rFonts w:cs="Arial"/>
                <w:sz w:val="18"/>
                <w:szCs w:val="18"/>
              </w:rPr>
              <w:t>√</w:t>
            </w:r>
          </w:p>
        </w:tc>
        <w:tc>
          <w:tcPr>
            <w:tcW w:w="769" w:type="dxa"/>
            <w:shd w:val="clear" w:color="auto" w:fill="FFFFFF" w:themeFill="background1"/>
            <w:vAlign w:val="center"/>
          </w:tcPr>
          <w:p w:rsidR="00C6670F" w:rsidRDefault="00C6670F" w:rsidP="00E83597">
            <w:r w:rsidRPr="008D50B1">
              <w:rPr>
                <w:rFonts w:cs="Arial"/>
                <w:sz w:val="18"/>
                <w:szCs w:val="18"/>
              </w:rPr>
              <w:t>√</w:t>
            </w:r>
          </w:p>
        </w:tc>
        <w:tc>
          <w:tcPr>
            <w:tcW w:w="770" w:type="dxa"/>
            <w:shd w:val="clear" w:color="auto" w:fill="FFFFFF" w:themeFill="background1"/>
            <w:vAlign w:val="center"/>
          </w:tcPr>
          <w:p w:rsidR="00C6670F" w:rsidRDefault="00C6670F" w:rsidP="00E83597">
            <w:r w:rsidRPr="008D50B1">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FFFFFF" w:themeFill="background1"/>
            <w:vAlign w:val="center"/>
          </w:tcPr>
          <w:p w:rsidR="00C6670F" w:rsidRDefault="00C6670F" w:rsidP="00E83597">
            <w:r w:rsidRPr="00FB7382">
              <w:rPr>
                <w:rFonts w:cs="Arial"/>
                <w:sz w:val="18"/>
                <w:szCs w:val="18"/>
              </w:rPr>
              <w:t>√</w:t>
            </w:r>
          </w:p>
        </w:tc>
        <w:tc>
          <w:tcPr>
            <w:tcW w:w="770" w:type="dxa"/>
            <w:shd w:val="clear" w:color="auto" w:fill="FFFFFF" w:themeFill="background1"/>
            <w:vAlign w:val="center"/>
          </w:tcPr>
          <w:p w:rsidR="00C6670F" w:rsidRDefault="00C6670F" w:rsidP="00E83597">
            <w:r w:rsidRPr="00FB7382">
              <w:rPr>
                <w:rFonts w:cs="Arial"/>
                <w:sz w:val="18"/>
                <w:szCs w:val="18"/>
              </w:rPr>
              <w:t>√</w:t>
            </w:r>
          </w:p>
        </w:tc>
        <w:tc>
          <w:tcPr>
            <w:tcW w:w="769" w:type="dxa"/>
            <w:shd w:val="clear" w:color="auto" w:fill="FFFFFF" w:themeFill="background1"/>
            <w:vAlign w:val="center"/>
          </w:tcPr>
          <w:p w:rsidR="00C6670F" w:rsidRDefault="00C6670F" w:rsidP="00E83597">
            <w:r w:rsidRPr="00FB7382">
              <w:rPr>
                <w:rFonts w:cs="Arial"/>
                <w:sz w:val="18"/>
                <w:szCs w:val="18"/>
              </w:rPr>
              <w:t>√</w:t>
            </w:r>
          </w:p>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MT</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NL</w:t>
            </w:r>
          </w:p>
        </w:tc>
        <w:tc>
          <w:tcPr>
            <w:tcW w:w="655" w:type="dxa"/>
            <w:tcBorders>
              <w:left w:val="single" w:sz="12" w:space="0" w:color="auto"/>
            </w:tcBorders>
            <w:shd w:val="clear" w:color="auto" w:fill="FFFFFF" w:themeFill="background1"/>
            <w:vAlign w:val="center"/>
          </w:tcPr>
          <w:p w:rsidR="00C6670F" w:rsidRDefault="00C6670F" w:rsidP="00E83597">
            <w:r w:rsidRPr="00A74C38">
              <w:rPr>
                <w:rFonts w:cs="Arial"/>
                <w:sz w:val="18"/>
                <w:szCs w:val="18"/>
              </w:rPr>
              <w:t>√</w:t>
            </w:r>
          </w:p>
        </w:tc>
        <w:tc>
          <w:tcPr>
            <w:tcW w:w="781" w:type="dxa"/>
            <w:shd w:val="clear" w:color="auto" w:fill="FFFFFF" w:themeFill="background1"/>
            <w:vAlign w:val="center"/>
          </w:tcPr>
          <w:p w:rsidR="00C6670F" w:rsidRDefault="00C6670F" w:rsidP="00E83597">
            <w:r w:rsidRPr="00A74C38">
              <w:rPr>
                <w:rFonts w:cs="Arial"/>
                <w:sz w:val="18"/>
                <w:szCs w:val="18"/>
              </w:rPr>
              <w:t>√</w:t>
            </w:r>
          </w:p>
        </w:tc>
        <w:tc>
          <w:tcPr>
            <w:tcW w:w="769" w:type="dxa"/>
            <w:shd w:val="clear" w:color="auto" w:fill="FFFFFF" w:themeFill="background1"/>
            <w:vAlign w:val="center"/>
          </w:tcPr>
          <w:p w:rsidR="00C6670F" w:rsidRDefault="00C6670F" w:rsidP="00E83597">
            <w:r w:rsidRPr="00A74C38">
              <w:rPr>
                <w:rFonts w:cs="Arial"/>
                <w:sz w:val="18"/>
                <w:szCs w:val="18"/>
              </w:rPr>
              <w:t>√</w:t>
            </w:r>
          </w:p>
        </w:tc>
        <w:tc>
          <w:tcPr>
            <w:tcW w:w="768" w:type="dxa"/>
            <w:shd w:val="clear" w:color="auto" w:fill="FFFFFF" w:themeFill="background1"/>
            <w:vAlign w:val="center"/>
          </w:tcPr>
          <w:p w:rsidR="00C6670F" w:rsidRDefault="00C6670F" w:rsidP="00E83597">
            <w:r w:rsidRPr="00A74C38">
              <w:rPr>
                <w:rFonts w:cs="Arial"/>
                <w:sz w:val="18"/>
                <w:szCs w:val="18"/>
              </w:rPr>
              <w:t>√</w:t>
            </w:r>
          </w:p>
        </w:tc>
        <w:tc>
          <w:tcPr>
            <w:tcW w:w="770" w:type="dxa"/>
            <w:shd w:val="clear" w:color="auto" w:fill="FFFFFF" w:themeFill="background1"/>
            <w:vAlign w:val="center"/>
          </w:tcPr>
          <w:p w:rsidR="00C6670F" w:rsidRDefault="00C6670F" w:rsidP="00E83597">
            <w:r w:rsidRPr="00A74C38">
              <w:rPr>
                <w:rFonts w:cs="Arial"/>
                <w:sz w:val="18"/>
                <w:szCs w:val="18"/>
              </w:rPr>
              <w:t>√</w:t>
            </w:r>
          </w:p>
        </w:tc>
        <w:tc>
          <w:tcPr>
            <w:tcW w:w="769" w:type="dxa"/>
            <w:shd w:val="clear" w:color="auto" w:fill="FFFFFF" w:themeFill="background1"/>
            <w:vAlign w:val="center"/>
          </w:tcPr>
          <w:p w:rsidR="00C6670F" w:rsidRDefault="00C6670F" w:rsidP="00E83597">
            <w:r w:rsidRPr="00A74C38">
              <w:rPr>
                <w:rFonts w:cs="Arial"/>
                <w:sz w:val="18"/>
                <w:szCs w:val="18"/>
              </w:rPr>
              <w:t>√</w:t>
            </w:r>
          </w:p>
        </w:tc>
        <w:tc>
          <w:tcPr>
            <w:tcW w:w="770" w:type="dxa"/>
            <w:shd w:val="clear" w:color="auto" w:fill="FFFFFF" w:themeFill="background1"/>
            <w:vAlign w:val="center"/>
          </w:tcPr>
          <w:p w:rsidR="00C6670F" w:rsidRDefault="00C6670F" w:rsidP="00E83597">
            <w:r w:rsidRPr="00A74C38">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shd w:val="clear" w:color="auto" w:fill="FFFFFF" w:themeFill="background1"/>
            <w:vAlign w:val="center"/>
          </w:tcPr>
          <w:p w:rsidR="00C6670F" w:rsidRDefault="00C6670F" w:rsidP="00E83597">
            <w:r>
              <w:rPr>
                <w:rFonts w:cs="Arial"/>
                <w:sz w:val="18"/>
                <w:szCs w:val="18"/>
              </w:rPr>
              <w:t>√</w:t>
            </w:r>
            <w:r>
              <w:rPr>
                <w:rStyle w:val="EndnoteReference"/>
              </w:rPr>
              <w:endnoteReference w:id="264"/>
            </w:r>
          </w:p>
        </w:tc>
        <w:tc>
          <w:tcPr>
            <w:tcW w:w="770" w:type="dxa"/>
            <w:shd w:val="clear" w:color="auto" w:fill="FFFFFF" w:themeFill="background1"/>
            <w:vAlign w:val="center"/>
          </w:tcPr>
          <w:p w:rsidR="00C6670F" w:rsidRDefault="00C6670F" w:rsidP="00E83597">
            <w:r>
              <w:rPr>
                <w:rFonts w:cs="Arial"/>
                <w:sz w:val="18"/>
                <w:szCs w:val="18"/>
              </w:rPr>
              <w:t>√</w:t>
            </w:r>
          </w:p>
        </w:tc>
        <w:tc>
          <w:tcPr>
            <w:tcW w:w="769" w:type="dxa"/>
            <w:shd w:val="clear" w:color="auto" w:fill="FFFFFF" w:themeFill="background1"/>
            <w:vAlign w:val="center"/>
          </w:tcPr>
          <w:p w:rsidR="00C6670F" w:rsidRDefault="00C6670F" w:rsidP="00E83597">
            <w:r>
              <w:rPr>
                <w:rFonts w:cs="Arial"/>
                <w:sz w:val="18"/>
                <w:szCs w:val="18"/>
              </w:rPr>
              <w:t>√</w:t>
            </w:r>
            <w:r>
              <w:rPr>
                <w:rStyle w:val="EndnoteReference"/>
              </w:rPr>
              <w:endnoteReference w:id="265"/>
            </w:r>
          </w:p>
        </w:tc>
        <w:tc>
          <w:tcPr>
            <w:tcW w:w="770" w:type="dxa"/>
            <w:shd w:val="clear" w:color="auto" w:fill="FFFFFF" w:themeFill="background1"/>
            <w:vAlign w:val="center"/>
          </w:tcPr>
          <w:p w:rsidR="00C6670F" w:rsidRDefault="00C6670F" w:rsidP="00E83597">
            <w:r>
              <w:rPr>
                <w:rFonts w:cs="Arial"/>
                <w:sz w:val="18"/>
                <w:szCs w:val="18"/>
              </w:rPr>
              <w:t>√</w:t>
            </w:r>
            <w:r>
              <w:rPr>
                <w:rStyle w:val="EndnoteReference"/>
              </w:rPr>
              <w:endnoteReference w:id="266"/>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PL</w:t>
            </w:r>
          </w:p>
        </w:tc>
        <w:tc>
          <w:tcPr>
            <w:tcW w:w="655" w:type="dxa"/>
            <w:tcBorders>
              <w:left w:val="single" w:sz="12" w:space="0" w:color="auto"/>
            </w:tcBorders>
            <w:vAlign w:val="center"/>
          </w:tcPr>
          <w:p w:rsidR="00C6670F" w:rsidRDefault="00C6670F" w:rsidP="00E83597">
            <w:r w:rsidRPr="005B1706">
              <w:rPr>
                <w:rFonts w:cs="Arial"/>
                <w:sz w:val="18"/>
                <w:szCs w:val="18"/>
              </w:rPr>
              <w:t>√</w:t>
            </w:r>
          </w:p>
        </w:tc>
        <w:tc>
          <w:tcPr>
            <w:tcW w:w="781" w:type="dxa"/>
            <w:vAlign w:val="center"/>
          </w:tcPr>
          <w:p w:rsidR="00C6670F" w:rsidRDefault="00C6670F" w:rsidP="00E83597">
            <w:r w:rsidRPr="005B1706">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vAlign w:val="center"/>
          </w:tcPr>
          <w:p w:rsidR="00C6670F" w:rsidRDefault="00C6670F" w:rsidP="00E83597">
            <w:r w:rsidRPr="006E03D5">
              <w:rPr>
                <w:rFonts w:cs="Arial"/>
                <w:sz w:val="18"/>
                <w:szCs w:val="18"/>
              </w:rPr>
              <w:t>√</w:t>
            </w:r>
          </w:p>
        </w:tc>
        <w:tc>
          <w:tcPr>
            <w:tcW w:w="769" w:type="dxa"/>
            <w:vAlign w:val="center"/>
          </w:tcPr>
          <w:p w:rsidR="00C6670F" w:rsidRDefault="00C6670F" w:rsidP="00E83597">
            <w:r w:rsidRPr="00D4030C">
              <w:rPr>
                <w:rFonts w:cs="Arial"/>
                <w:sz w:val="18"/>
                <w:szCs w:val="18"/>
              </w:rPr>
              <w:t>√</w:t>
            </w:r>
          </w:p>
        </w:tc>
        <w:tc>
          <w:tcPr>
            <w:tcW w:w="770" w:type="dxa"/>
            <w:tcBorders>
              <w:right w:val="single" w:sz="12" w:space="0" w:color="auto"/>
            </w:tcBorders>
            <w:vAlign w:val="center"/>
          </w:tcPr>
          <w:p w:rsidR="00C6670F" w:rsidRDefault="00C6670F" w:rsidP="00E83597">
            <w:r w:rsidRPr="00D4030C">
              <w:rPr>
                <w:rFonts w:cs="Arial"/>
                <w:sz w:val="18"/>
                <w:szCs w:val="18"/>
              </w:rPr>
              <w:t>√</w:t>
            </w:r>
          </w:p>
        </w:tc>
        <w:tc>
          <w:tcPr>
            <w:tcW w:w="769" w:type="dxa"/>
            <w:gridSpan w:val="2"/>
            <w:tcBorders>
              <w:left w:val="single" w:sz="12" w:space="0" w:color="auto"/>
            </w:tcBorders>
            <w:vAlign w:val="center"/>
          </w:tcPr>
          <w:p w:rsidR="00C6670F" w:rsidRDefault="00C6670F" w:rsidP="00E83597">
            <w:r w:rsidRPr="00B93AE5">
              <w:rPr>
                <w:rFonts w:cs="Arial"/>
                <w:sz w:val="18"/>
                <w:szCs w:val="18"/>
              </w:rPr>
              <w:t>√</w:t>
            </w:r>
          </w:p>
        </w:tc>
        <w:tc>
          <w:tcPr>
            <w:tcW w:w="770" w:type="dxa"/>
            <w:vAlign w:val="center"/>
          </w:tcPr>
          <w:p w:rsidR="00C6670F" w:rsidRDefault="00C6670F" w:rsidP="00E83597">
            <w:r>
              <w:rPr>
                <w:rFonts w:cs="Arial"/>
                <w:sz w:val="18"/>
                <w:szCs w:val="18"/>
              </w:rPr>
              <w:t>√</w:t>
            </w:r>
            <w:r>
              <w:rPr>
                <w:rStyle w:val="EndnoteReference"/>
              </w:rPr>
              <w:endnoteReference w:id="267"/>
            </w:r>
          </w:p>
        </w:tc>
        <w:tc>
          <w:tcPr>
            <w:tcW w:w="769" w:type="dxa"/>
            <w:vAlign w:val="center"/>
          </w:tcPr>
          <w:p w:rsidR="00C6670F" w:rsidRDefault="00C6670F" w:rsidP="00E83597">
            <w:r>
              <w:rPr>
                <w:rFonts w:cs="Arial"/>
                <w:sz w:val="18"/>
                <w:szCs w:val="18"/>
              </w:rPr>
              <w:t>√</w:t>
            </w:r>
            <w:r>
              <w:rPr>
                <w:rStyle w:val="EndnoteReference"/>
              </w:rPr>
              <w:endnoteReference w:id="268"/>
            </w:r>
          </w:p>
        </w:tc>
        <w:tc>
          <w:tcPr>
            <w:tcW w:w="770" w:type="dxa"/>
            <w:vAlign w:val="center"/>
          </w:tcPr>
          <w:p w:rsidR="00C6670F" w:rsidRDefault="00C6670F" w:rsidP="00E83597">
            <w:r>
              <w:rPr>
                <w:rFonts w:cs="Arial"/>
                <w:sz w:val="18"/>
                <w:szCs w:val="18"/>
              </w:rPr>
              <w:t>√</w:t>
            </w:r>
            <w:r>
              <w:rPr>
                <w:rStyle w:val="EndnoteReference"/>
              </w:rPr>
              <w:endnoteReference w:id="269"/>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PT</w:t>
            </w:r>
          </w:p>
        </w:tc>
        <w:tc>
          <w:tcPr>
            <w:tcW w:w="655" w:type="dxa"/>
            <w:tcBorders>
              <w:left w:val="single" w:sz="12" w:space="0" w:color="auto"/>
            </w:tcBorders>
            <w:vAlign w:val="center"/>
          </w:tcPr>
          <w:p w:rsidR="00C6670F" w:rsidRDefault="00C6670F" w:rsidP="00E83597">
            <w:r w:rsidRPr="004D5028">
              <w:rPr>
                <w:rFonts w:cs="Arial"/>
                <w:sz w:val="18"/>
                <w:szCs w:val="18"/>
              </w:rPr>
              <w:t>√</w:t>
            </w:r>
          </w:p>
        </w:tc>
        <w:tc>
          <w:tcPr>
            <w:tcW w:w="781" w:type="dxa"/>
            <w:vAlign w:val="center"/>
          </w:tcPr>
          <w:p w:rsidR="00C6670F" w:rsidRDefault="00C6670F" w:rsidP="00E83597">
            <w:r w:rsidRPr="004D5028">
              <w:rPr>
                <w:rFonts w:cs="Arial"/>
                <w:sz w:val="18"/>
                <w:szCs w:val="18"/>
              </w:rPr>
              <w:t>√</w:t>
            </w:r>
          </w:p>
        </w:tc>
        <w:tc>
          <w:tcPr>
            <w:tcW w:w="769" w:type="dxa"/>
            <w:vAlign w:val="center"/>
          </w:tcPr>
          <w:p w:rsidR="00C6670F" w:rsidRDefault="00C6670F" w:rsidP="00E83597">
            <w:r w:rsidRPr="004D5028">
              <w:rPr>
                <w:rFonts w:cs="Arial"/>
                <w:sz w:val="18"/>
                <w:szCs w:val="18"/>
              </w:rPr>
              <w:t>√</w:t>
            </w:r>
          </w:p>
        </w:tc>
        <w:tc>
          <w:tcPr>
            <w:tcW w:w="768" w:type="dxa"/>
            <w:vAlign w:val="center"/>
          </w:tcPr>
          <w:p w:rsidR="00C6670F" w:rsidRDefault="00C6670F" w:rsidP="00E83597">
            <w:r w:rsidRPr="004D5028">
              <w:rPr>
                <w:rFonts w:cs="Arial"/>
                <w:sz w:val="18"/>
                <w:szCs w:val="18"/>
              </w:rPr>
              <w:t>√</w:t>
            </w:r>
          </w:p>
        </w:tc>
        <w:tc>
          <w:tcPr>
            <w:tcW w:w="770" w:type="dxa"/>
            <w:vAlign w:val="center"/>
          </w:tcPr>
          <w:p w:rsidR="00C6670F" w:rsidRDefault="00C6670F" w:rsidP="00E83597">
            <w:r w:rsidRPr="004D5028">
              <w:rPr>
                <w:rFonts w:cs="Arial"/>
                <w:sz w:val="18"/>
                <w:szCs w:val="18"/>
              </w:rPr>
              <w:t>√</w:t>
            </w:r>
          </w:p>
        </w:tc>
        <w:tc>
          <w:tcPr>
            <w:tcW w:w="769" w:type="dxa"/>
            <w:vAlign w:val="center"/>
          </w:tcPr>
          <w:p w:rsidR="00C6670F" w:rsidRDefault="00C6670F" w:rsidP="00E83597">
            <w:r w:rsidRPr="004D5028">
              <w:rPr>
                <w:rFonts w:cs="Arial"/>
                <w:sz w:val="18"/>
                <w:szCs w:val="18"/>
              </w:rPr>
              <w:t>√</w:t>
            </w:r>
          </w:p>
        </w:tc>
        <w:tc>
          <w:tcPr>
            <w:tcW w:w="770" w:type="dxa"/>
            <w:vAlign w:val="center"/>
          </w:tcPr>
          <w:p w:rsidR="00C6670F" w:rsidRDefault="00C6670F" w:rsidP="00E83597">
            <w:r w:rsidRPr="006E03D5">
              <w:rPr>
                <w:rFonts w:cs="Arial"/>
                <w:sz w:val="18"/>
                <w:szCs w:val="18"/>
              </w:rPr>
              <w:t>√</w:t>
            </w:r>
          </w:p>
        </w:tc>
        <w:tc>
          <w:tcPr>
            <w:tcW w:w="769" w:type="dxa"/>
            <w:vAlign w:val="center"/>
          </w:tcPr>
          <w:p w:rsidR="00C6670F" w:rsidRDefault="00C6670F" w:rsidP="00E83597">
            <w:r w:rsidRPr="004D5028">
              <w:rPr>
                <w:rFonts w:cs="Arial"/>
                <w:sz w:val="18"/>
                <w:szCs w:val="18"/>
              </w:rPr>
              <w:t>√</w:t>
            </w:r>
          </w:p>
        </w:tc>
        <w:tc>
          <w:tcPr>
            <w:tcW w:w="770" w:type="dxa"/>
            <w:tcBorders>
              <w:right w:val="single" w:sz="12" w:space="0" w:color="auto"/>
            </w:tcBorders>
            <w:vAlign w:val="center"/>
          </w:tcPr>
          <w:p w:rsidR="00C6670F" w:rsidRDefault="00C6670F" w:rsidP="00E83597">
            <w:r w:rsidRPr="004D5028">
              <w:rPr>
                <w:rFonts w:cs="Arial"/>
                <w:sz w:val="18"/>
                <w:szCs w:val="18"/>
              </w:rPr>
              <w:t>√</w:t>
            </w:r>
          </w:p>
        </w:tc>
        <w:tc>
          <w:tcPr>
            <w:tcW w:w="769" w:type="dxa"/>
            <w:gridSpan w:val="2"/>
            <w:tcBorders>
              <w:left w:val="single" w:sz="12" w:space="0" w:color="auto"/>
            </w:tcBorders>
            <w:vAlign w:val="center"/>
          </w:tcPr>
          <w:p w:rsidR="00C6670F" w:rsidRDefault="00C6670F" w:rsidP="00E83597">
            <w:r w:rsidRPr="00B93AE5">
              <w:rPr>
                <w:rFonts w:cs="Arial"/>
                <w:sz w:val="18"/>
                <w:szCs w:val="18"/>
              </w:rPr>
              <w:t>√</w:t>
            </w:r>
          </w:p>
        </w:tc>
        <w:tc>
          <w:tcPr>
            <w:tcW w:w="770" w:type="dxa"/>
            <w:vAlign w:val="center"/>
          </w:tcPr>
          <w:p w:rsidR="00C6670F" w:rsidRDefault="00C6670F" w:rsidP="00E83597">
            <w:r>
              <w:rPr>
                <w:rFonts w:cs="Arial"/>
                <w:sz w:val="18"/>
                <w:szCs w:val="18"/>
              </w:rPr>
              <w:t>√</w:t>
            </w:r>
            <w:r>
              <w:rPr>
                <w:rStyle w:val="EndnoteReference"/>
              </w:rPr>
              <w:endnoteReference w:id="270"/>
            </w:r>
          </w:p>
        </w:tc>
        <w:tc>
          <w:tcPr>
            <w:tcW w:w="769" w:type="dxa"/>
            <w:vAlign w:val="center"/>
          </w:tcPr>
          <w:p w:rsidR="00C6670F" w:rsidRDefault="00C6670F" w:rsidP="00E83597">
            <w:r>
              <w:rPr>
                <w:rFonts w:cs="Arial"/>
                <w:sz w:val="18"/>
                <w:szCs w:val="18"/>
              </w:rPr>
              <w:t>√</w:t>
            </w:r>
            <w:r>
              <w:rPr>
                <w:rStyle w:val="EndnoteReference"/>
              </w:rPr>
              <w:endnoteReference w:id="271"/>
            </w:r>
          </w:p>
        </w:tc>
        <w:tc>
          <w:tcPr>
            <w:tcW w:w="770" w:type="dxa"/>
            <w:vAlign w:val="center"/>
          </w:tcPr>
          <w:p w:rsidR="00C6670F" w:rsidRDefault="00C6670F" w:rsidP="00E83597">
            <w:r>
              <w:rPr>
                <w:rFonts w:cs="Arial"/>
                <w:sz w:val="18"/>
                <w:szCs w:val="18"/>
              </w:rPr>
              <w:t>√</w:t>
            </w:r>
            <w:r>
              <w:rPr>
                <w:rStyle w:val="EndnoteReference"/>
              </w:rPr>
              <w:endnoteReference w:id="272"/>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RO</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vAlign w:val="center"/>
          </w:tcPr>
          <w:p w:rsidR="00C6670F" w:rsidRDefault="00C6670F" w:rsidP="00E83597">
            <w:r w:rsidRPr="006E03D5">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vAlign w:val="center"/>
          </w:tcPr>
          <w:p w:rsidR="00C6670F" w:rsidRDefault="00C6670F" w:rsidP="00E83597">
            <w:r w:rsidRPr="00B93AE5">
              <w:rPr>
                <w:rFonts w:cs="Arial"/>
                <w:sz w:val="18"/>
                <w:szCs w:val="18"/>
              </w:rPr>
              <w:t>√</w:t>
            </w:r>
          </w:p>
        </w:tc>
        <w:tc>
          <w:tcPr>
            <w:tcW w:w="770" w:type="dxa"/>
            <w:vAlign w:val="center"/>
          </w:tcPr>
          <w:p w:rsidR="00C6670F" w:rsidRDefault="00C6670F" w:rsidP="00E83597">
            <w:r w:rsidRPr="006056BF">
              <w:rPr>
                <w:rFonts w:cs="Arial"/>
                <w:sz w:val="18"/>
                <w:szCs w:val="18"/>
              </w:rPr>
              <w:t>√</w:t>
            </w:r>
          </w:p>
        </w:tc>
        <w:tc>
          <w:tcPr>
            <w:tcW w:w="769" w:type="dxa"/>
            <w:vAlign w:val="center"/>
          </w:tcPr>
          <w:p w:rsidR="00C6670F" w:rsidRDefault="00C6670F" w:rsidP="00E83597">
            <w:r w:rsidRPr="006056BF">
              <w:rPr>
                <w:rFonts w:cs="Arial"/>
                <w:sz w:val="18"/>
                <w:szCs w:val="18"/>
              </w:rPr>
              <w:t>√</w:t>
            </w:r>
          </w:p>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SE</w:t>
            </w:r>
          </w:p>
        </w:tc>
        <w:tc>
          <w:tcPr>
            <w:tcW w:w="655" w:type="dxa"/>
            <w:tcBorders>
              <w:left w:val="single" w:sz="12" w:space="0" w:color="auto"/>
            </w:tcBorders>
            <w:vAlign w:val="center"/>
          </w:tcPr>
          <w:p w:rsidR="00C6670F" w:rsidRDefault="00C6670F" w:rsidP="00E83597">
            <w:r w:rsidRPr="00A9277C">
              <w:rPr>
                <w:rFonts w:cs="Arial"/>
                <w:sz w:val="18"/>
                <w:szCs w:val="18"/>
              </w:rPr>
              <w:t>√</w:t>
            </w:r>
          </w:p>
        </w:tc>
        <w:tc>
          <w:tcPr>
            <w:tcW w:w="781" w:type="dxa"/>
            <w:vAlign w:val="center"/>
          </w:tcPr>
          <w:p w:rsidR="00C6670F" w:rsidRDefault="00C6670F" w:rsidP="00E83597">
            <w:r w:rsidRPr="00A9277C">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vAlign w:val="center"/>
          </w:tcPr>
          <w:p w:rsidR="00C6670F" w:rsidRDefault="00C6670F" w:rsidP="00E83597">
            <w:r w:rsidRPr="00B93AE5">
              <w:rPr>
                <w:rFonts w:cs="Arial"/>
                <w:sz w:val="18"/>
                <w:szCs w:val="18"/>
              </w:rPr>
              <w:t>√</w:t>
            </w:r>
          </w:p>
        </w:tc>
        <w:tc>
          <w:tcPr>
            <w:tcW w:w="770" w:type="dxa"/>
            <w:vAlign w:val="center"/>
          </w:tcPr>
          <w:p w:rsidR="00C6670F" w:rsidRDefault="00C6670F" w:rsidP="00E83597">
            <w:r>
              <w:rPr>
                <w:rFonts w:cs="Arial"/>
                <w:sz w:val="18"/>
                <w:szCs w:val="18"/>
              </w:rPr>
              <w:t>√</w:t>
            </w:r>
            <w:r>
              <w:rPr>
                <w:rStyle w:val="EndnoteReference"/>
              </w:rPr>
              <w:endnoteReference w:id="273"/>
            </w:r>
          </w:p>
        </w:tc>
        <w:tc>
          <w:tcPr>
            <w:tcW w:w="769" w:type="dxa"/>
            <w:vAlign w:val="center"/>
          </w:tcPr>
          <w:p w:rsidR="00C6670F" w:rsidRDefault="00C6670F" w:rsidP="00E83597">
            <w:r>
              <w:rPr>
                <w:rFonts w:cs="Arial"/>
                <w:sz w:val="18"/>
                <w:szCs w:val="18"/>
              </w:rPr>
              <w:t>√</w:t>
            </w:r>
            <w:r>
              <w:rPr>
                <w:rStyle w:val="EndnoteReference"/>
              </w:rPr>
              <w:endnoteReference w:id="274"/>
            </w:r>
          </w:p>
        </w:tc>
        <w:tc>
          <w:tcPr>
            <w:tcW w:w="770" w:type="dxa"/>
            <w:vAlign w:val="center"/>
          </w:tcPr>
          <w:p w:rsidR="00C6670F" w:rsidRDefault="00C6670F" w:rsidP="00E83597">
            <w:r>
              <w:rPr>
                <w:rFonts w:cs="Arial"/>
                <w:sz w:val="18"/>
                <w:szCs w:val="18"/>
              </w:rPr>
              <w:t>√</w:t>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SI</w:t>
            </w:r>
          </w:p>
        </w:tc>
        <w:tc>
          <w:tcPr>
            <w:tcW w:w="655" w:type="dxa"/>
            <w:tcBorders>
              <w:left w:val="single" w:sz="12" w:space="0" w:color="auto"/>
            </w:tcBorders>
            <w:vAlign w:val="center"/>
          </w:tcPr>
          <w:p w:rsidR="00C6670F" w:rsidRDefault="00C6670F" w:rsidP="00E83597">
            <w:r w:rsidRPr="00B9148E">
              <w:rPr>
                <w:rFonts w:cs="Arial"/>
                <w:sz w:val="18"/>
                <w:szCs w:val="18"/>
              </w:rPr>
              <w:t>√</w:t>
            </w:r>
          </w:p>
        </w:tc>
        <w:tc>
          <w:tcPr>
            <w:tcW w:w="781" w:type="dxa"/>
            <w:vAlign w:val="center"/>
          </w:tcPr>
          <w:p w:rsidR="00C6670F" w:rsidRDefault="00C6670F" w:rsidP="00E83597">
            <w:r w:rsidRPr="00C1765D">
              <w:rPr>
                <w:rFonts w:cs="Arial"/>
                <w:sz w:val="18"/>
                <w:szCs w:val="18"/>
              </w:rPr>
              <w:t>√</w:t>
            </w:r>
          </w:p>
        </w:tc>
        <w:tc>
          <w:tcPr>
            <w:tcW w:w="769" w:type="dxa"/>
            <w:vAlign w:val="center"/>
          </w:tcPr>
          <w:p w:rsidR="00C6670F" w:rsidRDefault="00C6670F" w:rsidP="00E83597">
            <w:r w:rsidRPr="00C1765D">
              <w:rPr>
                <w:rFonts w:cs="Arial"/>
                <w:sz w:val="18"/>
                <w:szCs w:val="18"/>
              </w:rPr>
              <w:t>√</w:t>
            </w:r>
          </w:p>
        </w:tc>
        <w:tc>
          <w:tcPr>
            <w:tcW w:w="768" w:type="dxa"/>
            <w:vAlign w:val="center"/>
          </w:tcPr>
          <w:p w:rsidR="00C6670F" w:rsidRDefault="00C6670F" w:rsidP="00E83597">
            <w:r w:rsidRPr="00C1765D">
              <w:rPr>
                <w:rFonts w:cs="Arial"/>
                <w:sz w:val="18"/>
                <w:szCs w:val="18"/>
              </w:rPr>
              <w:t>√</w:t>
            </w:r>
          </w:p>
        </w:tc>
        <w:tc>
          <w:tcPr>
            <w:tcW w:w="770" w:type="dxa"/>
            <w:vAlign w:val="center"/>
          </w:tcPr>
          <w:p w:rsidR="00C6670F" w:rsidRDefault="00C6670F" w:rsidP="00E83597">
            <w:r w:rsidRPr="00C1765D">
              <w:rPr>
                <w:rFonts w:cs="Arial"/>
                <w:sz w:val="18"/>
                <w:szCs w:val="18"/>
              </w:rPr>
              <w:t>√</w:t>
            </w:r>
          </w:p>
        </w:tc>
        <w:tc>
          <w:tcPr>
            <w:tcW w:w="769" w:type="dxa"/>
            <w:vAlign w:val="center"/>
          </w:tcPr>
          <w:p w:rsidR="00C6670F" w:rsidRDefault="00C6670F" w:rsidP="00E83597">
            <w:r w:rsidRPr="00C1765D">
              <w:rPr>
                <w:rFonts w:cs="Arial"/>
                <w:sz w:val="18"/>
                <w:szCs w:val="18"/>
              </w:rPr>
              <w:t>√</w:t>
            </w:r>
          </w:p>
        </w:tc>
        <w:tc>
          <w:tcPr>
            <w:tcW w:w="770" w:type="dxa"/>
            <w:vAlign w:val="center"/>
          </w:tcPr>
          <w:p w:rsidR="00C6670F" w:rsidRDefault="00C6670F" w:rsidP="00E83597">
            <w:r w:rsidRPr="00C1765D">
              <w:rPr>
                <w:rFonts w:cs="Arial"/>
                <w:sz w:val="18"/>
                <w:szCs w:val="18"/>
              </w:rPr>
              <w:t>√</w:t>
            </w:r>
          </w:p>
        </w:tc>
        <w:tc>
          <w:tcPr>
            <w:tcW w:w="769" w:type="dxa"/>
            <w:vAlign w:val="center"/>
          </w:tcPr>
          <w:p w:rsidR="00C6670F" w:rsidRDefault="00C6670F" w:rsidP="00E83597">
            <w:r w:rsidRPr="00C1765D">
              <w:rPr>
                <w:rFonts w:cs="Arial"/>
                <w:sz w:val="18"/>
                <w:szCs w:val="18"/>
              </w:rPr>
              <w:t>√</w:t>
            </w: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vAlign w:val="center"/>
          </w:tcPr>
          <w:p w:rsidR="00C6670F" w:rsidRDefault="00C6670F" w:rsidP="00E83597">
            <w:r w:rsidRPr="00D673E8">
              <w:rPr>
                <w:rFonts w:cs="Arial"/>
                <w:sz w:val="18"/>
                <w:szCs w:val="18"/>
              </w:rPr>
              <w:t>√</w:t>
            </w:r>
          </w:p>
        </w:tc>
        <w:tc>
          <w:tcPr>
            <w:tcW w:w="770" w:type="dxa"/>
            <w:vAlign w:val="center"/>
          </w:tcPr>
          <w:p w:rsidR="00C6670F" w:rsidRDefault="00C6670F" w:rsidP="00E83597">
            <w:r w:rsidRPr="00D673E8">
              <w:rPr>
                <w:rFonts w:cs="Arial"/>
                <w:sz w:val="18"/>
                <w:szCs w:val="18"/>
              </w:rPr>
              <w:t>√</w:t>
            </w:r>
          </w:p>
        </w:tc>
        <w:tc>
          <w:tcPr>
            <w:tcW w:w="769" w:type="dxa"/>
            <w:vAlign w:val="center"/>
          </w:tcPr>
          <w:p w:rsidR="00C6670F" w:rsidRDefault="00C6670F" w:rsidP="00E83597">
            <w:r w:rsidRPr="00D673E8">
              <w:rPr>
                <w:rFonts w:cs="Arial"/>
                <w:sz w:val="18"/>
                <w:szCs w:val="18"/>
              </w:rPr>
              <w:t>√</w:t>
            </w:r>
          </w:p>
        </w:tc>
        <w:tc>
          <w:tcPr>
            <w:tcW w:w="770" w:type="dxa"/>
            <w:vAlign w:val="center"/>
          </w:tcPr>
          <w:p w:rsidR="00C6670F" w:rsidRDefault="00C6670F" w:rsidP="00E83597">
            <w:r>
              <w:rPr>
                <w:rFonts w:cs="Arial"/>
                <w:sz w:val="18"/>
                <w:szCs w:val="18"/>
              </w:rPr>
              <w:t>√</w:t>
            </w:r>
            <w:r>
              <w:rPr>
                <w:rStyle w:val="EndnoteReference"/>
              </w:rPr>
              <w:endnoteReference w:id="275"/>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SK</w:t>
            </w:r>
          </w:p>
        </w:tc>
        <w:tc>
          <w:tcPr>
            <w:tcW w:w="655" w:type="dxa"/>
            <w:tcBorders>
              <w:left w:val="single" w:sz="12" w:space="0" w:color="auto"/>
            </w:tcBorders>
            <w:vAlign w:val="center"/>
          </w:tcPr>
          <w:p w:rsidR="00C6670F" w:rsidRDefault="00C6670F" w:rsidP="00E83597">
            <w:r w:rsidRPr="00B9148E">
              <w:rPr>
                <w:rFonts w:cs="Arial"/>
                <w:sz w:val="18"/>
                <w:szCs w:val="18"/>
              </w:rPr>
              <w:t>√</w:t>
            </w:r>
          </w:p>
        </w:tc>
        <w:tc>
          <w:tcPr>
            <w:tcW w:w="781" w:type="dxa"/>
            <w:vAlign w:val="center"/>
          </w:tcPr>
          <w:p w:rsidR="00C6670F" w:rsidRDefault="00C6670F" w:rsidP="00E83597">
            <w:r w:rsidRPr="0071329D">
              <w:rPr>
                <w:rFonts w:cs="Arial"/>
                <w:sz w:val="18"/>
                <w:szCs w:val="18"/>
              </w:rPr>
              <w:t>√</w:t>
            </w:r>
          </w:p>
        </w:tc>
        <w:tc>
          <w:tcPr>
            <w:tcW w:w="769" w:type="dxa"/>
            <w:vAlign w:val="center"/>
          </w:tcPr>
          <w:p w:rsidR="00C6670F" w:rsidRDefault="00C6670F" w:rsidP="00E83597">
            <w:r w:rsidRPr="0071329D">
              <w:rPr>
                <w:rFonts w:cs="Arial"/>
                <w:sz w:val="18"/>
                <w:szCs w:val="18"/>
              </w:rPr>
              <w:t>√</w:t>
            </w:r>
          </w:p>
        </w:tc>
        <w:tc>
          <w:tcPr>
            <w:tcW w:w="768" w:type="dxa"/>
            <w:vAlign w:val="center"/>
          </w:tcPr>
          <w:p w:rsidR="00C6670F" w:rsidRDefault="00C6670F" w:rsidP="00E83597">
            <w:r w:rsidRPr="0071329D">
              <w:rPr>
                <w:rFonts w:cs="Arial"/>
                <w:sz w:val="18"/>
                <w:szCs w:val="18"/>
              </w:rPr>
              <w:t>√</w:t>
            </w:r>
          </w:p>
        </w:tc>
        <w:tc>
          <w:tcPr>
            <w:tcW w:w="770" w:type="dxa"/>
            <w:vAlign w:val="center"/>
          </w:tcPr>
          <w:p w:rsidR="00C6670F" w:rsidRDefault="00C6670F" w:rsidP="00E83597">
            <w:r w:rsidRPr="0071329D">
              <w:rPr>
                <w:rFonts w:cs="Arial"/>
                <w:sz w:val="18"/>
                <w:szCs w:val="18"/>
              </w:rPr>
              <w:t>√</w:t>
            </w:r>
          </w:p>
        </w:tc>
        <w:tc>
          <w:tcPr>
            <w:tcW w:w="769" w:type="dxa"/>
            <w:vAlign w:val="center"/>
          </w:tcPr>
          <w:p w:rsidR="00C6670F" w:rsidRDefault="00C6670F" w:rsidP="00E83597">
            <w:r w:rsidRPr="0071329D">
              <w:rPr>
                <w:rFonts w:cs="Arial"/>
                <w:sz w:val="18"/>
                <w:szCs w:val="18"/>
              </w:rPr>
              <w:t>√</w:t>
            </w:r>
          </w:p>
        </w:tc>
        <w:tc>
          <w:tcPr>
            <w:tcW w:w="770" w:type="dxa"/>
            <w:vAlign w:val="center"/>
          </w:tcPr>
          <w:p w:rsidR="00C6670F" w:rsidRDefault="00C6670F" w:rsidP="00E83597">
            <w:r w:rsidRPr="00235411">
              <w:rPr>
                <w:rFonts w:cs="Arial"/>
                <w:sz w:val="18"/>
                <w:szCs w:val="18"/>
              </w:rPr>
              <w:t>√</w:t>
            </w:r>
          </w:p>
        </w:tc>
        <w:tc>
          <w:tcPr>
            <w:tcW w:w="769" w:type="dxa"/>
            <w:vAlign w:val="center"/>
          </w:tcPr>
          <w:p w:rsidR="00C6670F" w:rsidRDefault="00C6670F" w:rsidP="00E83597">
            <w:r w:rsidRPr="0071329D">
              <w:rPr>
                <w:rFonts w:cs="Arial"/>
                <w:sz w:val="18"/>
                <w:szCs w:val="18"/>
              </w:rPr>
              <w:t>√</w:t>
            </w:r>
          </w:p>
        </w:tc>
        <w:tc>
          <w:tcPr>
            <w:tcW w:w="770" w:type="dxa"/>
            <w:tcBorders>
              <w:right w:val="single" w:sz="12" w:space="0" w:color="auto"/>
            </w:tcBorders>
            <w:vAlign w:val="center"/>
          </w:tcPr>
          <w:p w:rsidR="00C6670F" w:rsidRDefault="00C6670F" w:rsidP="00E83597">
            <w:r w:rsidRPr="0071329D">
              <w:rPr>
                <w:rFonts w:cs="Arial"/>
                <w:sz w:val="18"/>
                <w:szCs w:val="18"/>
              </w:rPr>
              <w:t>√</w:t>
            </w:r>
          </w:p>
        </w:tc>
        <w:tc>
          <w:tcPr>
            <w:tcW w:w="769" w:type="dxa"/>
            <w:gridSpan w:val="2"/>
            <w:tcBorders>
              <w:left w:val="single" w:sz="12" w:space="0" w:color="auto"/>
            </w:tcBorders>
            <w:vAlign w:val="center"/>
          </w:tcPr>
          <w:p w:rsidR="00C6670F" w:rsidRDefault="00C6670F" w:rsidP="00E83597">
            <w:r w:rsidRPr="00C009C7">
              <w:rPr>
                <w:rFonts w:cs="Arial"/>
                <w:sz w:val="18"/>
                <w:szCs w:val="18"/>
              </w:rPr>
              <w:t>√</w:t>
            </w:r>
          </w:p>
        </w:tc>
        <w:tc>
          <w:tcPr>
            <w:tcW w:w="770" w:type="dxa"/>
            <w:vAlign w:val="center"/>
          </w:tcPr>
          <w:p w:rsidR="00C6670F" w:rsidRDefault="00C6670F" w:rsidP="00E83597">
            <w:r w:rsidRPr="00C009C7">
              <w:rPr>
                <w:rFonts w:cs="Arial"/>
                <w:sz w:val="18"/>
                <w:szCs w:val="18"/>
              </w:rPr>
              <w:t>√</w:t>
            </w:r>
          </w:p>
        </w:tc>
        <w:tc>
          <w:tcPr>
            <w:tcW w:w="769" w:type="dxa"/>
            <w:vAlign w:val="center"/>
          </w:tcPr>
          <w:p w:rsidR="00C6670F" w:rsidRDefault="00C6670F" w:rsidP="00E83597">
            <w:r w:rsidRPr="00C009C7">
              <w:rPr>
                <w:rFonts w:cs="Arial"/>
                <w:sz w:val="18"/>
                <w:szCs w:val="18"/>
              </w:rPr>
              <w:t>√</w:t>
            </w:r>
          </w:p>
        </w:tc>
        <w:tc>
          <w:tcPr>
            <w:tcW w:w="770" w:type="dxa"/>
            <w:shd w:val="clear" w:color="auto" w:fill="D9D9D9" w:themeFill="background1" w:themeFillShade="D9"/>
            <w:vAlign w:val="center"/>
          </w:tcPr>
          <w:p w:rsidR="00C6670F" w:rsidRDefault="00C6670F" w:rsidP="00E83597"/>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UK-E&amp;W</w:t>
            </w:r>
          </w:p>
        </w:tc>
        <w:tc>
          <w:tcPr>
            <w:tcW w:w="655" w:type="dxa"/>
            <w:tcBorders>
              <w:left w:val="single" w:sz="12" w:space="0" w:color="auto"/>
            </w:tcBorders>
            <w:vAlign w:val="center"/>
          </w:tcPr>
          <w:p w:rsidR="00C6670F" w:rsidRDefault="00C6670F" w:rsidP="00E83597">
            <w:r w:rsidRPr="00B9148E">
              <w:rPr>
                <w:rFonts w:cs="Arial"/>
                <w:sz w:val="18"/>
                <w:szCs w:val="18"/>
              </w:rPr>
              <w:t>√</w:t>
            </w: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vAlign w:val="center"/>
          </w:tcPr>
          <w:p w:rsidR="00C6670F" w:rsidRDefault="00C6670F" w:rsidP="00E83597">
            <w:r w:rsidRPr="00235411">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69" w:type="dxa"/>
            <w:gridSpan w:val="2"/>
            <w:tcBorders>
              <w:left w:val="single" w:sz="12" w:space="0" w:color="auto"/>
            </w:tcBorders>
            <w:vAlign w:val="center"/>
          </w:tcPr>
          <w:p w:rsidR="00C6670F" w:rsidRDefault="00C6670F" w:rsidP="00E83597">
            <w:r w:rsidRPr="007F47C1">
              <w:rPr>
                <w:rFonts w:cs="Arial"/>
                <w:sz w:val="18"/>
                <w:szCs w:val="18"/>
              </w:rPr>
              <w:t>√</w:t>
            </w:r>
          </w:p>
        </w:tc>
        <w:tc>
          <w:tcPr>
            <w:tcW w:w="770" w:type="dxa"/>
            <w:vAlign w:val="center"/>
          </w:tcPr>
          <w:p w:rsidR="00C6670F" w:rsidRDefault="00C6670F" w:rsidP="00E83597">
            <w:r w:rsidRPr="007F47C1">
              <w:rPr>
                <w:rFonts w:cs="Arial"/>
                <w:sz w:val="18"/>
                <w:szCs w:val="18"/>
              </w:rPr>
              <w:t>√</w:t>
            </w:r>
          </w:p>
        </w:tc>
        <w:tc>
          <w:tcPr>
            <w:tcW w:w="769" w:type="dxa"/>
            <w:vAlign w:val="center"/>
          </w:tcPr>
          <w:p w:rsidR="00C6670F" w:rsidRDefault="00C6670F" w:rsidP="00E83597">
            <w:r w:rsidRPr="007F47C1">
              <w:rPr>
                <w:rFonts w:cs="Arial"/>
                <w:sz w:val="18"/>
                <w:szCs w:val="18"/>
              </w:rPr>
              <w:t>√</w:t>
            </w:r>
          </w:p>
        </w:tc>
        <w:tc>
          <w:tcPr>
            <w:tcW w:w="770" w:type="dxa"/>
            <w:vAlign w:val="center"/>
          </w:tcPr>
          <w:p w:rsidR="00C6670F" w:rsidRDefault="00C6670F" w:rsidP="00E83597">
            <w:r w:rsidRPr="007F47C1">
              <w:rPr>
                <w:rFonts w:cs="Arial"/>
                <w:sz w:val="18"/>
                <w:szCs w:val="18"/>
              </w:rPr>
              <w:t>√</w:t>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6670F" w:rsidP="00E83597">
            <w:pPr>
              <w:pStyle w:val="BTBullet1"/>
              <w:numPr>
                <w:ilvl w:val="0"/>
                <w:numId w:val="0"/>
              </w:numPr>
              <w:rPr>
                <w:b/>
                <w:sz w:val="16"/>
                <w:szCs w:val="16"/>
              </w:rPr>
            </w:pPr>
            <w:r w:rsidRPr="00731E82">
              <w:rPr>
                <w:b/>
                <w:sz w:val="16"/>
                <w:szCs w:val="16"/>
              </w:rPr>
              <w:t>UK-NI</w:t>
            </w:r>
          </w:p>
        </w:tc>
        <w:tc>
          <w:tcPr>
            <w:tcW w:w="655" w:type="dxa"/>
            <w:tcBorders>
              <w:left w:val="single" w:sz="12" w:space="0" w:color="auto"/>
            </w:tcBorders>
            <w:vAlign w:val="center"/>
          </w:tcPr>
          <w:p w:rsidR="00C6670F" w:rsidRDefault="00C6670F" w:rsidP="00E83597">
            <w:r w:rsidRPr="00B9148E">
              <w:rPr>
                <w:rFonts w:cs="Arial"/>
                <w:sz w:val="18"/>
                <w:szCs w:val="18"/>
              </w:rPr>
              <w:t>√</w:t>
            </w:r>
          </w:p>
        </w:tc>
        <w:tc>
          <w:tcPr>
            <w:tcW w:w="781" w:type="dxa"/>
            <w:vAlign w:val="center"/>
          </w:tcPr>
          <w:p w:rsidR="00C6670F" w:rsidRDefault="00C6670F" w:rsidP="00E83597">
            <w:r w:rsidRPr="00BF53B3">
              <w:rPr>
                <w:rFonts w:cs="Arial"/>
                <w:sz w:val="18"/>
                <w:szCs w:val="18"/>
              </w:rPr>
              <w:t>√</w:t>
            </w:r>
          </w:p>
        </w:tc>
        <w:tc>
          <w:tcPr>
            <w:tcW w:w="769" w:type="dxa"/>
            <w:vAlign w:val="center"/>
          </w:tcPr>
          <w:p w:rsidR="00C6670F" w:rsidRDefault="00C6670F" w:rsidP="00E83597">
            <w:r w:rsidRPr="00BF53B3">
              <w:rPr>
                <w:rFonts w:cs="Arial"/>
                <w:sz w:val="18"/>
                <w:szCs w:val="18"/>
              </w:rPr>
              <w:t>√</w:t>
            </w:r>
          </w:p>
        </w:tc>
        <w:tc>
          <w:tcPr>
            <w:tcW w:w="768" w:type="dxa"/>
            <w:vAlign w:val="center"/>
          </w:tcPr>
          <w:p w:rsidR="00C6670F" w:rsidRDefault="00C6670F" w:rsidP="00E83597">
            <w:r w:rsidRPr="00BF53B3">
              <w:rPr>
                <w:rFonts w:cs="Arial"/>
                <w:sz w:val="18"/>
                <w:szCs w:val="18"/>
              </w:rPr>
              <w:t>√</w:t>
            </w:r>
          </w:p>
        </w:tc>
        <w:tc>
          <w:tcPr>
            <w:tcW w:w="770" w:type="dxa"/>
            <w:vAlign w:val="center"/>
          </w:tcPr>
          <w:p w:rsidR="00C6670F" w:rsidRDefault="00C6670F" w:rsidP="00E83597">
            <w:r w:rsidRPr="00BF53B3">
              <w:rPr>
                <w:rFonts w:cs="Arial"/>
                <w:sz w:val="18"/>
                <w:szCs w:val="18"/>
              </w:rPr>
              <w:t>√</w:t>
            </w:r>
          </w:p>
        </w:tc>
        <w:tc>
          <w:tcPr>
            <w:tcW w:w="769" w:type="dxa"/>
            <w:vAlign w:val="center"/>
          </w:tcPr>
          <w:p w:rsidR="00C6670F" w:rsidRDefault="00C6670F" w:rsidP="00E83597">
            <w:r w:rsidRPr="00BF53B3">
              <w:rPr>
                <w:rFonts w:cs="Arial"/>
                <w:sz w:val="18"/>
                <w:szCs w:val="18"/>
              </w:rPr>
              <w:t>√</w:t>
            </w:r>
          </w:p>
        </w:tc>
        <w:tc>
          <w:tcPr>
            <w:tcW w:w="770" w:type="dxa"/>
            <w:vAlign w:val="center"/>
          </w:tcPr>
          <w:p w:rsidR="00C6670F" w:rsidRDefault="00C6670F" w:rsidP="00E83597">
            <w:r w:rsidRPr="00235411">
              <w:rPr>
                <w:rFonts w:cs="Arial"/>
                <w:sz w:val="18"/>
                <w:szCs w:val="18"/>
              </w:rPr>
              <w:t>√</w:t>
            </w:r>
          </w:p>
        </w:tc>
        <w:tc>
          <w:tcPr>
            <w:tcW w:w="769" w:type="dxa"/>
            <w:vAlign w:val="center"/>
          </w:tcPr>
          <w:p w:rsidR="00C6670F" w:rsidRDefault="00C6670F" w:rsidP="00E83597">
            <w:r w:rsidRPr="00BF53B3">
              <w:rPr>
                <w:rFonts w:cs="Arial"/>
                <w:sz w:val="18"/>
                <w:szCs w:val="18"/>
              </w:rPr>
              <w:t>√</w:t>
            </w:r>
          </w:p>
        </w:tc>
        <w:tc>
          <w:tcPr>
            <w:tcW w:w="770" w:type="dxa"/>
            <w:tcBorders>
              <w:right w:val="single" w:sz="12" w:space="0" w:color="auto"/>
            </w:tcBorders>
            <w:vAlign w:val="center"/>
          </w:tcPr>
          <w:p w:rsidR="00C6670F" w:rsidRDefault="00C6670F" w:rsidP="00E83597">
            <w:r w:rsidRPr="00BF53B3">
              <w:rPr>
                <w:rFonts w:cs="Arial"/>
                <w:sz w:val="18"/>
                <w:szCs w:val="18"/>
              </w:rPr>
              <w:t>√</w:t>
            </w:r>
          </w:p>
        </w:tc>
        <w:tc>
          <w:tcPr>
            <w:tcW w:w="769" w:type="dxa"/>
            <w:gridSpan w:val="2"/>
            <w:tcBorders>
              <w:left w:val="single" w:sz="12" w:space="0" w:color="auto"/>
            </w:tcBorders>
            <w:vAlign w:val="center"/>
          </w:tcPr>
          <w:p w:rsidR="00C6670F" w:rsidRDefault="00C6670F" w:rsidP="00E83597">
            <w:r w:rsidRPr="00BF53B3">
              <w:rPr>
                <w:rFonts w:cs="Arial"/>
                <w:sz w:val="18"/>
                <w:szCs w:val="18"/>
              </w:rPr>
              <w:t>√</w:t>
            </w:r>
          </w:p>
        </w:tc>
        <w:tc>
          <w:tcPr>
            <w:tcW w:w="770" w:type="dxa"/>
            <w:vAlign w:val="center"/>
          </w:tcPr>
          <w:p w:rsidR="00C6670F" w:rsidRDefault="00C6670F" w:rsidP="00E83597">
            <w:r w:rsidRPr="00BF53B3">
              <w:rPr>
                <w:rFonts w:cs="Arial"/>
                <w:sz w:val="18"/>
                <w:szCs w:val="18"/>
              </w:rPr>
              <w:t>√</w:t>
            </w:r>
          </w:p>
        </w:tc>
        <w:tc>
          <w:tcPr>
            <w:tcW w:w="769" w:type="dxa"/>
            <w:vAlign w:val="center"/>
          </w:tcPr>
          <w:p w:rsidR="00C6670F" w:rsidRDefault="00C6670F" w:rsidP="00E83597">
            <w:r w:rsidRPr="00BF53B3">
              <w:rPr>
                <w:rFonts w:cs="Arial"/>
                <w:sz w:val="18"/>
                <w:szCs w:val="18"/>
              </w:rPr>
              <w:t>√</w:t>
            </w:r>
          </w:p>
        </w:tc>
        <w:tc>
          <w:tcPr>
            <w:tcW w:w="770" w:type="dxa"/>
            <w:vAlign w:val="center"/>
          </w:tcPr>
          <w:p w:rsidR="00C6670F" w:rsidRDefault="00C6670F" w:rsidP="00E83597">
            <w:r w:rsidRPr="00BF53B3">
              <w:rPr>
                <w:rFonts w:cs="Arial"/>
                <w:sz w:val="18"/>
                <w:szCs w:val="18"/>
              </w:rPr>
              <w:t>√</w:t>
            </w:r>
          </w:p>
        </w:tc>
      </w:tr>
      <w:tr w:rsidR="00C6670F" w:rsidTr="00731E82">
        <w:trPr>
          <w:cantSplit/>
          <w:trHeight w:hRule="exact" w:val="360"/>
          <w:jc w:val="center"/>
        </w:trPr>
        <w:tc>
          <w:tcPr>
            <w:tcW w:w="1138" w:type="dxa"/>
            <w:tcBorders>
              <w:right w:val="single" w:sz="12" w:space="0" w:color="auto"/>
            </w:tcBorders>
            <w:shd w:val="clear" w:color="auto" w:fill="DBE5F1" w:themeFill="accent1" w:themeFillTint="33"/>
            <w:vAlign w:val="center"/>
          </w:tcPr>
          <w:p w:rsidR="00C6670F" w:rsidRPr="00731E82" w:rsidRDefault="00CD7610" w:rsidP="00E83597">
            <w:pPr>
              <w:pStyle w:val="BTBullet1"/>
              <w:numPr>
                <w:ilvl w:val="0"/>
                <w:numId w:val="0"/>
              </w:numPr>
              <w:rPr>
                <w:b/>
                <w:sz w:val="16"/>
                <w:szCs w:val="16"/>
              </w:rPr>
            </w:pPr>
            <w:r w:rsidRPr="00731E82">
              <w:rPr>
                <w:b/>
                <w:sz w:val="16"/>
                <w:szCs w:val="16"/>
              </w:rPr>
              <w:t>UK-S</w:t>
            </w:r>
          </w:p>
        </w:tc>
        <w:tc>
          <w:tcPr>
            <w:tcW w:w="655" w:type="dxa"/>
            <w:tcBorders>
              <w:left w:val="single" w:sz="12" w:space="0" w:color="auto"/>
            </w:tcBorders>
            <w:shd w:val="clear" w:color="auto" w:fill="D9D9D9" w:themeFill="background1" w:themeFillShade="D9"/>
            <w:vAlign w:val="center"/>
          </w:tcPr>
          <w:p w:rsidR="00C6670F" w:rsidRPr="00E217F3" w:rsidRDefault="00C6670F" w:rsidP="00E83597">
            <w:pPr>
              <w:rPr>
                <w:sz w:val="18"/>
                <w:szCs w:val="18"/>
              </w:rPr>
            </w:pPr>
          </w:p>
        </w:tc>
        <w:tc>
          <w:tcPr>
            <w:tcW w:w="781"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68" w:type="dxa"/>
            <w:shd w:val="clear" w:color="auto" w:fill="D9D9D9" w:themeFill="background1" w:themeFillShade="D9"/>
            <w:vAlign w:val="center"/>
          </w:tcPr>
          <w:p w:rsidR="00C6670F" w:rsidRPr="00E217F3" w:rsidRDefault="00C6670F" w:rsidP="00E83597">
            <w:pPr>
              <w:rPr>
                <w:sz w:val="18"/>
                <w:szCs w:val="18"/>
              </w:rPr>
            </w:pPr>
          </w:p>
        </w:tc>
        <w:tc>
          <w:tcPr>
            <w:tcW w:w="770" w:type="dxa"/>
            <w:shd w:val="clear" w:color="auto" w:fill="D9D9D9" w:themeFill="background1" w:themeFillShade="D9"/>
            <w:vAlign w:val="center"/>
          </w:tcPr>
          <w:p w:rsidR="00C6670F" w:rsidRPr="00E217F3" w:rsidRDefault="00C6670F" w:rsidP="00E83597">
            <w:pPr>
              <w:rPr>
                <w:sz w:val="18"/>
                <w:szCs w:val="18"/>
              </w:rPr>
            </w:pP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vAlign w:val="center"/>
          </w:tcPr>
          <w:p w:rsidR="00C6670F" w:rsidRDefault="00C6670F" w:rsidP="00E83597">
            <w:r w:rsidRPr="00235411">
              <w:rPr>
                <w:rFonts w:cs="Arial"/>
                <w:sz w:val="18"/>
                <w:szCs w:val="18"/>
              </w:rPr>
              <w:t>√</w:t>
            </w:r>
          </w:p>
        </w:tc>
        <w:tc>
          <w:tcPr>
            <w:tcW w:w="769" w:type="dxa"/>
            <w:shd w:val="clear" w:color="auto" w:fill="D9D9D9" w:themeFill="background1" w:themeFillShade="D9"/>
            <w:vAlign w:val="center"/>
          </w:tcPr>
          <w:p w:rsidR="00C6670F" w:rsidRPr="00E217F3" w:rsidRDefault="00C6670F" w:rsidP="00E83597">
            <w:pPr>
              <w:rPr>
                <w:sz w:val="18"/>
                <w:szCs w:val="18"/>
              </w:rPr>
            </w:pPr>
          </w:p>
        </w:tc>
        <w:tc>
          <w:tcPr>
            <w:tcW w:w="770" w:type="dxa"/>
            <w:tcBorders>
              <w:right w:val="single" w:sz="12" w:space="0" w:color="auto"/>
            </w:tcBorders>
            <w:vAlign w:val="center"/>
          </w:tcPr>
          <w:p w:rsidR="00C6670F" w:rsidRDefault="00C6670F" w:rsidP="00E83597">
            <w:r w:rsidRPr="00E32276">
              <w:rPr>
                <w:rFonts w:cs="Arial"/>
                <w:sz w:val="18"/>
                <w:szCs w:val="18"/>
              </w:rPr>
              <w:t>√</w:t>
            </w:r>
          </w:p>
        </w:tc>
        <w:tc>
          <w:tcPr>
            <w:tcW w:w="769" w:type="dxa"/>
            <w:gridSpan w:val="2"/>
            <w:tcBorders>
              <w:left w:val="single" w:sz="12" w:space="0" w:color="auto"/>
            </w:tcBorders>
            <w:vAlign w:val="center"/>
          </w:tcPr>
          <w:p w:rsidR="00C6670F" w:rsidRDefault="00C6670F" w:rsidP="00E83597">
            <w:r w:rsidRPr="00E32276">
              <w:rPr>
                <w:rFonts w:cs="Arial"/>
                <w:sz w:val="18"/>
                <w:szCs w:val="18"/>
              </w:rPr>
              <w:t>√</w:t>
            </w:r>
          </w:p>
        </w:tc>
        <w:tc>
          <w:tcPr>
            <w:tcW w:w="770" w:type="dxa"/>
            <w:shd w:val="clear" w:color="auto" w:fill="D9D9D9" w:themeFill="background1" w:themeFillShade="D9"/>
            <w:vAlign w:val="center"/>
          </w:tcPr>
          <w:p w:rsidR="00C6670F" w:rsidRDefault="00C6670F" w:rsidP="00E83597"/>
        </w:tc>
        <w:tc>
          <w:tcPr>
            <w:tcW w:w="769" w:type="dxa"/>
            <w:shd w:val="clear" w:color="auto" w:fill="D9D9D9" w:themeFill="background1" w:themeFillShade="D9"/>
            <w:vAlign w:val="center"/>
          </w:tcPr>
          <w:p w:rsidR="00C6670F" w:rsidRDefault="00C6670F" w:rsidP="00E83597"/>
        </w:tc>
        <w:tc>
          <w:tcPr>
            <w:tcW w:w="770" w:type="dxa"/>
            <w:shd w:val="clear" w:color="auto" w:fill="D9D9D9" w:themeFill="background1" w:themeFillShade="D9"/>
            <w:vAlign w:val="center"/>
          </w:tcPr>
          <w:p w:rsidR="00C6670F" w:rsidRDefault="00C6670F" w:rsidP="00E83597"/>
        </w:tc>
      </w:tr>
      <w:tr w:rsidR="00C6670F" w:rsidTr="00BC51E4">
        <w:trPr>
          <w:cantSplit/>
          <w:trHeight w:hRule="exact" w:val="360"/>
          <w:jc w:val="center"/>
        </w:trPr>
        <w:tc>
          <w:tcPr>
            <w:tcW w:w="1138" w:type="dxa"/>
            <w:tcBorders>
              <w:right w:val="single" w:sz="12" w:space="0" w:color="auto"/>
            </w:tcBorders>
            <w:shd w:val="clear" w:color="auto" w:fill="FFFFFF" w:themeFill="background1"/>
            <w:vAlign w:val="center"/>
          </w:tcPr>
          <w:p w:rsidR="00C6670F" w:rsidRPr="00C6670F" w:rsidRDefault="00C6670F" w:rsidP="00E83597">
            <w:pPr>
              <w:pStyle w:val="BTBullet1"/>
              <w:numPr>
                <w:ilvl w:val="0"/>
                <w:numId w:val="0"/>
              </w:numPr>
              <w:rPr>
                <w:b/>
                <w:sz w:val="16"/>
                <w:szCs w:val="16"/>
              </w:rPr>
            </w:pPr>
            <w:r w:rsidRPr="00C6670F">
              <w:rPr>
                <w:b/>
                <w:sz w:val="16"/>
                <w:szCs w:val="16"/>
              </w:rPr>
              <w:t>Total Yes</w:t>
            </w:r>
          </w:p>
        </w:tc>
        <w:tc>
          <w:tcPr>
            <w:tcW w:w="655" w:type="dxa"/>
            <w:tcBorders>
              <w:left w:val="single" w:sz="12" w:space="0" w:color="auto"/>
            </w:tcBorders>
            <w:shd w:val="clear" w:color="auto" w:fill="FFFFFF" w:themeFill="background1"/>
            <w:vAlign w:val="center"/>
          </w:tcPr>
          <w:p w:rsidR="00C6670F" w:rsidRPr="00C6670F" w:rsidRDefault="00C6670F" w:rsidP="00E83597">
            <w:pPr>
              <w:rPr>
                <w:sz w:val="18"/>
                <w:szCs w:val="18"/>
              </w:rPr>
            </w:pPr>
            <w:r w:rsidRPr="00C6670F">
              <w:rPr>
                <w:sz w:val="18"/>
                <w:szCs w:val="18"/>
              </w:rPr>
              <w:t>14</w:t>
            </w:r>
          </w:p>
        </w:tc>
        <w:tc>
          <w:tcPr>
            <w:tcW w:w="781" w:type="dxa"/>
            <w:shd w:val="clear" w:color="auto" w:fill="FFFFFF" w:themeFill="background1"/>
            <w:vAlign w:val="center"/>
          </w:tcPr>
          <w:p w:rsidR="00C6670F" w:rsidRPr="00C6670F" w:rsidRDefault="00C6670F" w:rsidP="00E83597">
            <w:pPr>
              <w:rPr>
                <w:sz w:val="18"/>
                <w:szCs w:val="18"/>
              </w:rPr>
            </w:pPr>
            <w:r w:rsidRPr="00C6670F">
              <w:rPr>
                <w:sz w:val="18"/>
                <w:szCs w:val="18"/>
              </w:rPr>
              <w:t>12</w:t>
            </w:r>
          </w:p>
        </w:tc>
        <w:tc>
          <w:tcPr>
            <w:tcW w:w="769" w:type="dxa"/>
            <w:shd w:val="clear" w:color="auto" w:fill="FFFFFF" w:themeFill="background1"/>
            <w:vAlign w:val="center"/>
          </w:tcPr>
          <w:p w:rsidR="00C6670F" w:rsidRPr="00C6670F" w:rsidRDefault="00C6670F" w:rsidP="00E83597">
            <w:pPr>
              <w:rPr>
                <w:sz w:val="18"/>
                <w:szCs w:val="18"/>
              </w:rPr>
            </w:pPr>
            <w:r w:rsidRPr="00C6670F">
              <w:rPr>
                <w:sz w:val="18"/>
                <w:szCs w:val="18"/>
              </w:rPr>
              <w:t>10</w:t>
            </w:r>
          </w:p>
        </w:tc>
        <w:tc>
          <w:tcPr>
            <w:tcW w:w="768" w:type="dxa"/>
            <w:shd w:val="clear" w:color="auto" w:fill="FFFFFF" w:themeFill="background1"/>
            <w:vAlign w:val="center"/>
          </w:tcPr>
          <w:p w:rsidR="00C6670F" w:rsidRPr="00C6670F" w:rsidRDefault="00C6670F" w:rsidP="00E83597">
            <w:pPr>
              <w:rPr>
                <w:sz w:val="18"/>
                <w:szCs w:val="18"/>
              </w:rPr>
            </w:pPr>
            <w:r w:rsidRPr="00C6670F">
              <w:rPr>
                <w:sz w:val="18"/>
                <w:szCs w:val="18"/>
              </w:rPr>
              <w:t>10</w:t>
            </w:r>
          </w:p>
        </w:tc>
        <w:tc>
          <w:tcPr>
            <w:tcW w:w="770" w:type="dxa"/>
            <w:shd w:val="clear" w:color="auto" w:fill="FFFFFF" w:themeFill="background1"/>
            <w:vAlign w:val="center"/>
          </w:tcPr>
          <w:p w:rsidR="00C6670F" w:rsidRPr="00C6670F" w:rsidRDefault="00C6670F" w:rsidP="00E83597">
            <w:pPr>
              <w:rPr>
                <w:sz w:val="18"/>
                <w:szCs w:val="18"/>
              </w:rPr>
            </w:pPr>
            <w:r w:rsidRPr="00C6670F">
              <w:rPr>
                <w:sz w:val="18"/>
                <w:szCs w:val="18"/>
              </w:rPr>
              <w:t>10</w:t>
            </w:r>
          </w:p>
        </w:tc>
        <w:tc>
          <w:tcPr>
            <w:tcW w:w="769" w:type="dxa"/>
            <w:shd w:val="clear" w:color="auto" w:fill="FFFFFF" w:themeFill="background1"/>
            <w:vAlign w:val="center"/>
          </w:tcPr>
          <w:p w:rsidR="00C6670F" w:rsidRPr="00C6670F" w:rsidRDefault="00C6670F" w:rsidP="00E83597">
            <w:pPr>
              <w:rPr>
                <w:sz w:val="18"/>
                <w:szCs w:val="18"/>
              </w:rPr>
            </w:pPr>
            <w:r w:rsidRPr="00C6670F">
              <w:rPr>
                <w:sz w:val="18"/>
                <w:szCs w:val="18"/>
              </w:rPr>
              <w:t>10</w:t>
            </w:r>
          </w:p>
        </w:tc>
        <w:tc>
          <w:tcPr>
            <w:tcW w:w="770" w:type="dxa"/>
            <w:shd w:val="clear" w:color="auto" w:fill="FFFFFF" w:themeFill="background1"/>
            <w:vAlign w:val="center"/>
          </w:tcPr>
          <w:p w:rsidR="00C6670F" w:rsidRPr="00C6670F" w:rsidRDefault="00C6670F" w:rsidP="00E83597">
            <w:pPr>
              <w:rPr>
                <w:rFonts w:cs="Arial"/>
                <w:sz w:val="18"/>
                <w:szCs w:val="18"/>
              </w:rPr>
            </w:pPr>
            <w:r w:rsidRPr="00C6670F">
              <w:rPr>
                <w:rFonts w:cs="Arial"/>
                <w:sz w:val="18"/>
                <w:szCs w:val="18"/>
              </w:rPr>
              <w:t>16</w:t>
            </w:r>
          </w:p>
        </w:tc>
        <w:tc>
          <w:tcPr>
            <w:tcW w:w="769" w:type="dxa"/>
            <w:shd w:val="clear" w:color="auto" w:fill="FFFFFF" w:themeFill="background1"/>
            <w:vAlign w:val="center"/>
          </w:tcPr>
          <w:p w:rsidR="00C6670F" w:rsidRPr="00C6670F" w:rsidRDefault="00C6670F" w:rsidP="00E83597">
            <w:pPr>
              <w:rPr>
                <w:sz w:val="18"/>
                <w:szCs w:val="18"/>
              </w:rPr>
            </w:pPr>
            <w:r w:rsidRPr="00C6670F">
              <w:rPr>
                <w:sz w:val="18"/>
                <w:szCs w:val="18"/>
              </w:rPr>
              <w:t>9</w:t>
            </w:r>
          </w:p>
        </w:tc>
        <w:tc>
          <w:tcPr>
            <w:tcW w:w="770" w:type="dxa"/>
            <w:tcBorders>
              <w:right w:val="single" w:sz="12" w:space="0" w:color="auto"/>
            </w:tcBorders>
            <w:shd w:val="clear" w:color="auto" w:fill="FFFFFF" w:themeFill="background1"/>
            <w:vAlign w:val="center"/>
          </w:tcPr>
          <w:p w:rsidR="00C6670F" w:rsidRPr="00C6670F" w:rsidRDefault="00C6670F" w:rsidP="00E83597">
            <w:pPr>
              <w:rPr>
                <w:rFonts w:cs="Arial"/>
                <w:sz w:val="18"/>
                <w:szCs w:val="18"/>
              </w:rPr>
            </w:pPr>
            <w:r w:rsidRPr="00C6670F">
              <w:rPr>
                <w:rFonts w:cs="Arial"/>
                <w:sz w:val="18"/>
                <w:szCs w:val="18"/>
              </w:rPr>
              <w:t>12</w:t>
            </w:r>
          </w:p>
        </w:tc>
        <w:tc>
          <w:tcPr>
            <w:tcW w:w="769" w:type="dxa"/>
            <w:gridSpan w:val="2"/>
            <w:tcBorders>
              <w:left w:val="single" w:sz="12" w:space="0" w:color="auto"/>
            </w:tcBorders>
            <w:shd w:val="clear" w:color="auto" w:fill="FFFFFF" w:themeFill="background1"/>
            <w:vAlign w:val="center"/>
          </w:tcPr>
          <w:p w:rsidR="00C6670F" w:rsidRPr="00C6670F" w:rsidRDefault="00C6670F" w:rsidP="00E83597">
            <w:pPr>
              <w:rPr>
                <w:rFonts w:cs="Arial"/>
                <w:sz w:val="18"/>
                <w:szCs w:val="18"/>
              </w:rPr>
            </w:pPr>
            <w:r w:rsidRPr="00C6670F">
              <w:rPr>
                <w:rFonts w:cs="Arial"/>
                <w:sz w:val="18"/>
                <w:szCs w:val="18"/>
              </w:rPr>
              <w:t>19</w:t>
            </w:r>
          </w:p>
        </w:tc>
        <w:tc>
          <w:tcPr>
            <w:tcW w:w="770" w:type="dxa"/>
            <w:shd w:val="clear" w:color="auto" w:fill="FFFFFF" w:themeFill="background1"/>
            <w:vAlign w:val="center"/>
          </w:tcPr>
          <w:p w:rsidR="00C6670F" w:rsidRPr="00C6670F" w:rsidRDefault="00C6670F" w:rsidP="00E83597">
            <w:pPr>
              <w:rPr>
                <w:sz w:val="18"/>
                <w:szCs w:val="18"/>
              </w:rPr>
            </w:pPr>
            <w:r w:rsidRPr="00C6670F">
              <w:rPr>
                <w:sz w:val="18"/>
                <w:szCs w:val="18"/>
              </w:rPr>
              <w:t>17</w:t>
            </w:r>
          </w:p>
        </w:tc>
        <w:tc>
          <w:tcPr>
            <w:tcW w:w="769" w:type="dxa"/>
            <w:shd w:val="clear" w:color="auto" w:fill="FFFFFF" w:themeFill="background1"/>
            <w:vAlign w:val="center"/>
          </w:tcPr>
          <w:p w:rsidR="00C6670F" w:rsidRPr="00C6670F" w:rsidRDefault="00C6670F" w:rsidP="00E83597">
            <w:pPr>
              <w:rPr>
                <w:sz w:val="18"/>
                <w:szCs w:val="18"/>
              </w:rPr>
            </w:pPr>
            <w:r w:rsidRPr="00C6670F">
              <w:rPr>
                <w:sz w:val="18"/>
                <w:szCs w:val="18"/>
              </w:rPr>
              <w:t>16</w:t>
            </w:r>
          </w:p>
        </w:tc>
        <w:tc>
          <w:tcPr>
            <w:tcW w:w="770" w:type="dxa"/>
            <w:shd w:val="clear" w:color="auto" w:fill="FFFFFF" w:themeFill="background1"/>
            <w:vAlign w:val="center"/>
          </w:tcPr>
          <w:p w:rsidR="00C6670F" w:rsidRPr="00C6670F" w:rsidRDefault="00C6670F" w:rsidP="00E83597">
            <w:pPr>
              <w:rPr>
                <w:sz w:val="18"/>
                <w:szCs w:val="18"/>
              </w:rPr>
            </w:pPr>
            <w:r w:rsidRPr="00C6670F">
              <w:rPr>
                <w:sz w:val="18"/>
                <w:szCs w:val="18"/>
              </w:rPr>
              <w:t>11</w:t>
            </w:r>
          </w:p>
        </w:tc>
      </w:tr>
      <w:tr w:rsidR="00C6670F" w:rsidTr="004D603A">
        <w:trPr>
          <w:cantSplit/>
          <w:trHeight w:hRule="exact" w:val="372"/>
          <w:jc w:val="center"/>
        </w:trPr>
        <w:tc>
          <w:tcPr>
            <w:tcW w:w="11037" w:type="dxa"/>
            <w:gridSpan w:val="15"/>
            <w:shd w:val="clear" w:color="auto" w:fill="FFFFFF" w:themeFill="background1"/>
            <w:vAlign w:val="center"/>
          </w:tcPr>
          <w:p w:rsidR="00C6670F" w:rsidRDefault="004D603A" w:rsidP="00E83597">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C6670F" w:rsidRDefault="00C6670F" w:rsidP="00356378">
      <w:pPr>
        <w:sectPr w:rsidR="00C6670F"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356378" w:rsidRDefault="00356378" w:rsidP="00356378"/>
    <w:p w:rsidR="00356378" w:rsidRDefault="00356378">
      <w:pPr>
        <w:spacing w:before="0" w:after="0" w:line="240" w:lineRule="auto"/>
      </w:pPr>
      <w:r>
        <w:br w:type="page"/>
      </w:r>
    </w:p>
    <w:p w:rsidR="006822D9" w:rsidRDefault="006822D9" w:rsidP="00731E82">
      <w:pPr>
        <w:pStyle w:val="AnnexTable"/>
        <w:tabs>
          <w:tab w:val="clear" w:pos="2687"/>
          <w:tab w:val="num" w:pos="1440"/>
        </w:tabs>
        <w:ind w:left="1530" w:hanging="1530"/>
      </w:pPr>
      <w:bookmarkStart w:id="375" w:name="_Ref395830160"/>
      <w:bookmarkStart w:id="376" w:name="_Toc408908674"/>
      <w:r w:rsidRPr="006822D9">
        <w:t>Existence of statutory provision on the right of a child to receive assistance when attending proceedings, including from an interpreter, social worker, lawyer or friend</w:t>
      </w:r>
      <w:r>
        <w:t xml:space="preserve"> (CivAdm141</w:t>
      </w:r>
      <w:r w:rsidRPr="006822D9">
        <w:t>)</w:t>
      </w:r>
      <w:bookmarkEnd w:id="375"/>
      <w:bookmarkEnd w:id="376"/>
      <w:r>
        <w:t xml:space="preserve"> </w:t>
      </w:r>
    </w:p>
    <w:p w:rsidR="00B21994" w:rsidRDefault="00B21994" w:rsidP="00E83597">
      <w:pPr>
        <w:pStyle w:val="TableTitle"/>
        <w:sectPr w:rsidR="00B21994" w:rsidSect="002C3D52">
          <w:type w:val="continuous"/>
          <w:pgSz w:w="11907" w:h="16840" w:code="9"/>
          <w:pgMar w:top="1276" w:right="1418" w:bottom="851" w:left="1418" w:header="680" w:footer="567" w:gutter="0"/>
          <w:cols w:space="708"/>
          <w:docGrid w:linePitch="360"/>
        </w:sectPr>
      </w:pPr>
    </w:p>
    <w:tbl>
      <w:tblPr>
        <w:tblStyle w:val="Tabellenraster1"/>
        <w:tblW w:w="10947" w:type="dxa"/>
        <w:jc w:val="center"/>
        <w:tblLayout w:type="fixed"/>
        <w:tblLook w:val="04A0" w:firstRow="1" w:lastRow="0" w:firstColumn="1" w:lastColumn="0" w:noHBand="0" w:noVBand="1"/>
      </w:tblPr>
      <w:tblGrid>
        <w:gridCol w:w="946"/>
        <w:gridCol w:w="720"/>
        <w:gridCol w:w="46"/>
        <w:gridCol w:w="766"/>
        <w:gridCol w:w="716"/>
        <w:gridCol w:w="54"/>
        <w:gridCol w:w="760"/>
        <w:gridCol w:w="9"/>
        <w:gridCol w:w="770"/>
        <w:gridCol w:w="31"/>
        <w:gridCol w:w="720"/>
        <w:gridCol w:w="18"/>
        <w:gridCol w:w="770"/>
        <w:gridCol w:w="22"/>
        <w:gridCol w:w="720"/>
        <w:gridCol w:w="27"/>
        <w:gridCol w:w="770"/>
        <w:gridCol w:w="13"/>
        <w:gridCol w:w="733"/>
        <w:gridCol w:w="797"/>
        <w:gridCol w:w="769"/>
        <w:gridCol w:w="41"/>
        <w:gridCol w:w="729"/>
      </w:tblGrid>
      <w:tr w:rsidR="00B21994" w:rsidRPr="00593387" w:rsidTr="00B21994">
        <w:trPr>
          <w:trHeight w:val="235"/>
          <w:tblHeader/>
          <w:jc w:val="center"/>
        </w:trPr>
        <w:tc>
          <w:tcPr>
            <w:tcW w:w="946" w:type="dxa"/>
            <w:tcBorders>
              <w:right w:val="single" w:sz="12" w:space="0" w:color="auto"/>
            </w:tcBorders>
          </w:tcPr>
          <w:p w:rsidR="00B21994" w:rsidRDefault="00B21994" w:rsidP="00E83597">
            <w:pPr>
              <w:pStyle w:val="TableTitle"/>
            </w:pPr>
            <w:r>
              <w:t>MS</w:t>
            </w:r>
          </w:p>
        </w:tc>
        <w:tc>
          <w:tcPr>
            <w:tcW w:w="6932" w:type="dxa"/>
            <w:gridSpan w:val="17"/>
            <w:tcBorders>
              <w:left w:val="single" w:sz="12" w:space="0" w:color="auto"/>
              <w:right w:val="single" w:sz="12" w:space="0" w:color="auto"/>
            </w:tcBorders>
          </w:tcPr>
          <w:p w:rsidR="00B21994" w:rsidRDefault="00B21994" w:rsidP="00E83597">
            <w:pPr>
              <w:pStyle w:val="TableTitle"/>
            </w:pPr>
            <w:r>
              <w:t>Areas of law</w:t>
            </w:r>
          </w:p>
        </w:tc>
        <w:tc>
          <w:tcPr>
            <w:tcW w:w="3069" w:type="dxa"/>
            <w:gridSpan w:val="5"/>
            <w:tcBorders>
              <w:left w:val="single" w:sz="12" w:space="0" w:color="auto"/>
            </w:tcBorders>
          </w:tcPr>
          <w:p w:rsidR="00B21994" w:rsidRDefault="00B21994" w:rsidP="00E83597">
            <w:pPr>
              <w:pStyle w:val="TableTitle"/>
            </w:pPr>
            <w:r>
              <w:t>Roles of the child</w:t>
            </w:r>
          </w:p>
        </w:tc>
      </w:tr>
      <w:tr w:rsidR="00B21994" w:rsidTr="00731E82">
        <w:trPr>
          <w:cantSplit/>
          <w:trHeight w:val="964"/>
          <w:tblHeader/>
          <w:jc w:val="center"/>
        </w:trPr>
        <w:tc>
          <w:tcPr>
            <w:tcW w:w="946" w:type="dxa"/>
            <w:tcBorders>
              <w:right w:val="single" w:sz="12" w:space="0" w:color="auto"/>
            </w:tcBorders>
            <w:shd w:val="clear" w:color="auto" w:fill="DBE5F1" w:themeFill="accent1" w:themeFillTint="33"/>
          </w:tcPr>
          <w:p w:rsidR="00B21994" w:rsidRPr="00E217F3" w:rsidRDefault="00B21994" w:rsidP="00E83597">
            <w:pPr>
              <w:rPr>
                <w:b/>
              </w:rPr>
            </w:pPr>
          </w:p>
        </w:tc>
        <w:tc>
          <w:tcPr>
            <w:tcW w:w="720" w:type="dxa"/>
            <w:tcBorders>
              <w:left w:val="single" w:sz="12" w:space="0" w:color="auto"/>
            </w:tcBorders>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Family</w:t>
            </w:r>
          </w:p>
        </w:tc>
        <w:tc>
          <w:tcPr>
            <w:tcW w:w="812" w:type="dxa"/>
            <w:gridSpan w:val="2"/>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Employment</w:t>
            </w:r>
          </w:p>
        </w:tc>
        <w:tc>
          <w:tcPr>
            <w:tcW w:w="716" w:type="dxa"/>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Asylum</w:t>
            </w:r>
          </w:p>
        </w:tc>
        <w:tc>
          <w:tcPr>
            <w:tcW w:w="814" w:type="dxa"/>
            <w:gridSpan w:val="2"/>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Migration</w:t>
            </w:r>
          </w:p>
        </w:tc>
        <w:tc>
          <w:tcPr>
            <w:tcW w:w="810" w:type="dxa"/>
            <w:gridSpan w:val="3"/>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Education</w:t>
            </w:r>
          </w:p>
        </w:tc>
        <w:tc>
          <w:tcPr>
            <w:tcW w:w="720" w:type="dxa"/>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Health</w:t>
            </w:r>
          </w:p>
        </w:tc>
        <w:tc>
          <w:tcPr>
            <w:tcW w:w="810" w:type="dxa"/>
            <w:gridSpan w:val="3"/>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Placement</w:t>
            </w:r>
          </w:p>
        </w:tc>
        <w:tc>
          <w:tcPr>
            <w:tcW w:w="720" w:type="dxa"/>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Admin Sanctions</w:t>
            </w:r>
          </w:p>
        </w:tc>
        <w:tc>
          <w:tcPr>
            <w:tcW w:w="810" w:type="dxa"/>
            <w:gridSpan w:val="3"/>
            <w:tcBorders>
              <w:right w:val="single" w:sz="12" w:space="0" w:color="auto"/>
            </w:tcBorders>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Offences &lt;MACR</w:t>
            </w:r>
          </w:p>
        </w:tc>
        <w:tc>
          <w:tcPr>
            <w:tcW w:w="733" w:type="dxa"/>
            <w:tcBorders>
              <w:left w:val="single" w:sz="12" w:space="0" w:color="auto"/>
            </w:tcBorders>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Witnesses</w:t>
            </w:r>
          </w:p>
        </w:tc>
        <w:tc>
          <w:tcPr>
            <w:tcW w:w="797" w:type="dxa"/>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Plaintiffs</w:t>
            </w:r>
          </w:p>
        </w:tc>
        <w:tc>
          <w:tcPr>
            <w:tcW w:w="810" w:type="dxa"/>
            <w:gridSpan w:val="2"/>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Defendants</w:t>
            </w:r>
          </w:p>
        </w:tc>
        <w:tc>
          <w:tcPr>
            <w:tcW w:w="729" w:type="dxa"/>
            <w:shd w:val="clear" w:color="auto" w:fill="DBE5F1" w:themeFill="accent1" w:themeFillTint="33"/>
            <w:textDirection w:val="btLr"/>
            <w:vAlign w:val="center"/>
          </w:tcPr>
          <w:p w:rsidR="00B21994" w:rsidRPr="00B21994" w:rsidRDefault="00B21994" w:rsidP="00E83597">
            <w:pPr>
              <w:ind w:left="113" w:right="113"/>
              <w:rPr>
                <w:b/>
                <w:sz w:val="12"/>
                <w:szCs w:val="12"/>
              </w:rPr>
            </w:pPr>
            <w:r w:rsidRPr="00B21994">
              <w:rPr>
                <w:b/>
                <w:sz w:val="12"/>
                <w:szCs w:val="12"/>
              </w:rPr>
              <w:t>Subjects</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AT</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BE</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76"/>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BG</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CY</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CZ</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DE</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DK</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77"/>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78"/>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79"/>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EE</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EL</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0"/>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1"/>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2"/>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3"/>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ES</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4"/>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5"/>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FI</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6"/>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7"/>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FR</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HR</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HU</w:t>
            </w:r>
          </w:p>
        </w:tc>
        <w:tc>
          <w:tcPr>
            <w:tcW w:w="76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p>
        </w:tc>
        <w:tc>
          <w:tcPr>
            <w:tcW w:w="769" w:type="dxa"/>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8"/>
            </w:r>
          </w:p>
        </w:tc>
        <w:tc>
          <w:tcPr>
            <w:tcW w:w="770" w:type="dxa"/>
            <w:gridSpan w:val="2"/>
            <w:shd w:val="clear" w:color="auto" w:fill="FFFFFF" w:themeFill="background1"/>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89"/>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IE</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IT</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LT</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LU</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LV</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MT</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NL</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0"/>
            </w: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1"/>
            </w:r>
          </w:p>
        </w:tc>
        <w:tc>
          <w:tcPr>
            <w:tcW w:w="770" w:type="dxa"/>
            <w:gridSpan w:val="2"/>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2"/>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PL</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PT</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3"/>
            </w:r>
          </w:p>
        </w:tc>
        <w:tc>
          <w:tcPr>
            <w:tcW w:w="769" w:type="dxa"/>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4"/>
            </w:r>
          </w:p>
        </w:tc>
        <w:tc>
          <w:tcPr>
            <w:tcW w:w="770" w:type="dxa"/>
            <w:gridSpan w:val="2"/>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5"/>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RO</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SE</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SI</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6"/>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SK</w:t>
            </w:r>
          </w:p>
        </w:tc>
        <w:tc>
          <w:tcPr>
            <w:tcW w:w="76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shd w:val="clear" w:color="auto" w:fill="D9D9D9" w:themeFill="background1" w:themeFillShade="D9"/>
            <w:vAlign w:val="center"/>
          </w:tcPr>
          <w:p w:rsidR="00B21994" w:rsidRPr="00D14C52" w:rsidRDefault="00B21994" w:rsidP="00E83597">
            <w:pPr>
              <w:rPr>
                <w:sz w:val="16"/>
                <w:szCs w:val="16"/>
              </w:rPr>
            </w:pP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shd w:val="clear" w:color="auto" w:fill="D9D9D9" w:themeFill="background1" w:themeFillShade="D9"/>
            <w:vAlign w:val="center"/>
          </w:tcPr>
          <w:p w:rsidR="00B21994" w:rsidRPr="00D14C52" w:rsidRDefault="00B21994" w:rsidP="00E83597">
            <w:pPr>
              <w:rPr>
                <w:sz w:val="16"/>
                <w:szCs w:val="16"/>
              </w:rPr>
            </w:pPr>
          </w:p>
        </w:tc>
        <w:tc>
          <w:tcPr>
            <w:tcW w:w="769"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UK-E&amp;W</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r w:rsidRPr="00D14C52">
              <w:rPr>
                <w:rStyle w:val="EndnoteReference"/>
                <w:sz w:val="16"/>
                <w:szCs w:val="16"/>
              </w:rPr>
              <w:endnoteReference w:id="297"/>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B21994" w:rsidP="00E83597">
            <w:pPr>
              <w:pStyle w:val="BTBullet1"/>
              <w:numPr>
                <w:ilvl w:val="0"/>
                <w:numId w:val="0"/>
              </w:numPr>
              <w:rPr>
                <w:b/>
                <w:sz w:val="16"/>
                <w:szCs w:val="16"/>
              </w:rPr>
            </w:pPr>
            <w:r w:rsidRPr="00731E82">
              <w:rPr>
                <w:b/>
                <w:sz w:val="16"/>
                <w:szCs w:val="16"/>
              </w:rPr>
              <w:t>UK-NI</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shd w:val="clear" w:color="auto" w:fill="D9D9D9" w:themeFill="background1" w:themeFillShade="D9"/>
            <w:vAlign w:val="center"/>
          </w:tcPr>
          <w:p w:rsidR="00B21994" w:rsidRPr="00D14C52" w:rsidRDefault="00B21994" w:rsidP="00E83597">
            <w:pPr>
              <w:rPr>
                <w:sz w:val="16"/>
                <w:szCs w:val="16"/>
              </w:rPr>
            </w:pPr>
          </w:p>
        </w:tc>
        <w:tc>
          <w:tcPr>
            <w:tcW w:w="769" w:type="dxa"/>
            <w:gridSpan w:val="2"/>
            <w:shd w:val="clear" w:color="auto" w:fill="D9D9D9" w:themeFill="background1" w:themeFillShade="D9"/>
            <w:vAlign w:val="center"/>
          </w:tcPr>
          <w:p w:rsidR="00B21994" w:rsidRPr="00D14C52" w:rsidRDefault="00B21994" w:rsidP="00E83597">
            <w:pPr>
              <w:rPr>
                <w:sz w:val="16"/>
                <w:szCs w:val="16"/>
              </w:rPr>
            </w:pP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46" w:type="dxa"/>
            <w:gridSpan w:val="2"/>
            <w:tcBorders>
              <w:left w:val="single" w:sz="12" w:space="0" w:color="auto"/>
            </w:tcBorders>
            <w:shd w:val="clear" w:color="auto" w:fill="D9D9D9" w:themeFill="background1" w:themeFillShade="D9"/>
            <w:vAlign w:val="center"/>
          </w:tcPr>
          <w:p w:rsidR="00B21994" w:rsidRPr="00D14C52" w:rsidRDefault="00B21994" w:rsidP="00E83597">
            <w:pPr>
              <w:rPr>
                <w:sz w:val="16"/>
                <w:szCs w:val="16"/>
              </w:rPr>
            </w:pP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r>
      <w:tr w:rsidR="00B21994" w:rsidTr="00731E82">
        <w:trPr>
          <w:cantSplit/>
          <w:trHeight w:hRule="exact" w:val="360"/>
          <w:jc w:val="center"/>
        </w:trPr>
        <w:tc>
          <w:tcPr>
            <w:tcW w:w="946" w:type="dxa"/>
            <w:tcBorders>
              <w:right w:val="single" w:sz="12" w:space="0" w:color="auto"/>
            </w:tcBorders>
            <w:shd w:val="clear" w:color="auto" w:fill="DBE5F1" w:themeFill="accent1" w:themeFillTint="33"/>
            <w:vAlign w:val="center"/>
          </w:tcPr>
          <w:p w:rsidR="00B21994" w:rsidRPr="00731E82" w:rsidRDefault="00CD7610" w:rsidP="00E83597">
            <w:pPr>
              <w:pStyle w:val="BTBullet1"/>
              <w:numPr>
                <w:ilvl w:val="0"/>
                <w:numId w:val="0"/>
              </w:numPr>
              <w:rPr>
                <w:b/>
                <w:sz w:val="16"/>
                <w:szCs w:val="16"/>
              </w:rPr>
            </w:pPr>
            <w:r w:rsidRPr="00731E82">
              <w:rPr>
                <w:b/>
                <w:sz w:val="16"/>
                <w:szCs w:val="16"/>
              </w:rPr>
              <w:t>UK-S</w:t>
            </w:r>
          </w:p>
        </w:tc>
        <w:tc>
          <w:tcPr>
            <w:tcW w:w="76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66" w:type="dxa"/>
            <w:shd w:val="clear" w:color="auto" w:fill="D9D9D9" w:themeFill="background1" w:themeFillShade="D9"/>
            <w:vAlign w:val="center"/>
          </w:tcPr>
          <w:p w:rsidR="00B21994" w:rsidRPr="00D14C52" w:rsidRDefault="00B21994" w:rsidP="00E83597">
            <w:pPr>
              <w:rPr>
                <w:sz w:val="16"/>
                <w:szCs w:val="16"/>
              </w:rPr>
            </w:pP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c>
          <w:tcPr>
            <w:tcW w:w="769" w:type="dxa"/>
            <w:gridSpan w:val="2"/>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vAlign w:val="center"/>
          </w:tcPr>
          <w:p w:rsidR="00B21994" w:rsidRPr="00D14C52" w:rsidRDefault="00B21994" w:rsidP="00E83597">
            <w:pPr>
              <w:rPr>
                <w:sz w:val="16"/>
                <w:szCs w:val="16"/>
              </w:rPr>
            </w:pPr>
            <w:r w:rsidRPr="00D14C52">
              <w:rPr>
                <w:rFonts w:cs="Arial"/>
                <w:sz w:val="16"/>
                <w:szCs w:val="16"/>
              </w:rPr>
              <w:t>√</w:t>
            </w:r>
          </w:p>
        </w:tc>
        <w:tc>
          <w:tcPr>
            <w:tcW w:w="770" w:type="dxa"/>
            <w:vAlign w:val="center"/>
          </w:tcPr>
          <w:p w:rsidR="00B21994" w:rsidRPr="00D14C52" w:rsidRDefault="00B21994" w:rsidP="00E83597">
            <w:pPr>
              <w:rPr>
                <w:sz w:val="16"/>
                <w:szCs w:val="16"/>
              </w:rPr>
            </w:pPr>
            <w:r w:rsidRPr="00D14C52">
              <w:rPr>
                <w:rFonts w:cs="Arial"/>
                <w:sz w:val="16"/>
                <w:szCs w:val="16"/>
              </w:rPr>
              <w:t>√</w:t>
            </w:r>
          </w:p>
        </w:tc>
        <w:tc>
          <w:tcPr>
            <w:tcW w:w="769" w:type="dxa"/>
            <w:gridSpan w:val="3"/>
            <w:shd w:val="clear" w:color="auto" w:fill="D9D9D9" w:themeFill="background1" w:themeFillShade="D9"/>
            <w:vAlign w:val="center"/>
          </w:tcPr>
          <w:p w:rsidR="00B21994" w:rsidRPr="00D14C52" w:rsidRDefault="00B21994" w:rsidP="00E83597">
            <w:pPr>
              <w:rPr>
                <w:sz w:val="16"/>
                <w:szCs w:val="16"/>
              </w:rPr>
            </w:pPr>
          </w:p>
        </w:tc>
        <w:tc>
          <w:tcPr>
            <w:tcW w:w="770" w:type="dxa"/>
            <w:tcBorders>
              <w:righ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46" w:type="dxa"/>
            <w:gridSpan w:val="2"/>
            <w:tcBorders>
              <w:left w:val="single" w:sz="12" w:space="0" w:color="auto"/>
            </w:tcBorders>
            <w:vAlign w:val="center"/>
          </w:tcPr>
          <w:p w:rsidR="00B21994" w:rsidRPr="00D14C52" w:rsidRDefault="00B21994" w:rsidP="00E83597">
            <w:pPr>
              <w:rPr>
                <w:sz w:val="16"/>
                <w:szCs w:val="16"/>
              </w:rPr>
            </w:pPr>
            <w:r w:rsidRPr="00D14C52">
              <w:rPr>
                <w:rFonts w:cs="Arial"/>
                <w:sz w:val="16"/>
                <w:szCs w:val="16"/>
              </w:rPr>
              <w:t>√</w:t>
            </w:r>
          </w:p>
        </w:tc>
        <w:tc>
          <w:tcPr>
            <w:tcW w:w="797" w:type="dxa"/>
            <w:vAlign w:val="center"/>
          </w:tcPr>
          <w:p w:rsidR="00B21994" w:rsidRPr="00D14C52" w:rsidRDefault="00B21994" w:rsidP="00E83597">
            <w:pPr>
              <w:rPr>
                <w:sz w:val="16"/>
                <w:szCs w:val="16"/>
              </w:rPr>
            </w:pPr>
            <w:r w:rsidRPr="00D14C52">
              <w:rPr>
                <w:rFonts w:cs="Arial"/>
                <w:sz w:val="16"/>
                <w:szCs w:val="16"/>
              </w:rPr>
              <w:t>√</w:t>
            </w:r>
          </w:p>
        </w:tc>
        <w:tc>
          <w:tcPr>
            <w:tcW w:w="769" w:type="dxa"/>
            <w:vAlign w:val="center"/>
          </w:tcPr>
          <w:p w:rsidR="00B21994" w:rsidRPr="00D14C52" w:rsidRDefault="00B21994" w:rsidP="00E83597">
            <w:pPr>
              <w:rPr>
                <w:sz w:val="16"/>
                <w:szCs w:val="16"/>
              </w:rPr>
            </w:pPr>
            <w:r w:rsidRPr="00D14C52">
              <w:rPr>
                <w:rFonts w:cs="Arial"/>
                <w:sz w:val="16"/>
                <w:szCs w:val="16"/>
              </w:rPr>
              <w:t>√</w:t>
            </w:r>
          </w:p>
        </w:tc>
        <w:tc>
          <w:tcPr>
            <w:tcW w:w="770" w:type="dxa"/>
            <w:gridSpan w:val="2"/>
            <w:vAlign w:val="center"/>
          </w:tcPr>
          <w:p w:rsidR="00B21994" w:rsidRPr="00D14C52" w:rsidRDefault="00B21994" w:rsidP="00E83597">
            <w:pPr>
              <w:rPr>
                <w:sz w:val="16"/>
                <w:szCs w:val="16"/>
              </w:rPr>
            </w:pPr>
            <w:r w:rsidRPr="00D14C52">
              <w:rPr>
                <w:rFonts w:cs="Arial"/>
                <w:sz w:val="16"/>
                <w:szCs w:val="16"/>
              </w:rPr>
              <w:t>√</w:t>
            </w:r>
          </w:p>
        </w:tc>
      </w:tr>
      <w:tr w:rsidR="00B21994" w:rsidTr="00BC51E4">
        <w:trPr>
          <w:cantSplit/>
          <w:trHeight w:hRule="exact" w:val="360"/>
          <w:jc w:val="center"/>
        </w:trPr>
        <w:tc>
          <w:tcPr>
            <w:tcW w:w="946" w:type="dxa"/>
            <w:tcBorders>
              <w:right w:val="single" w:sz="12" w:space="0" w:color="auto"/>
            </w:tcBorders>
            <w:shd w:val="clear" w:color="auto" w:fill="FFFFFF" w:themeFill="background1"/>
            <w:vAlign w:val="center"/>
          </w:tcPr>
          <w:p w:rsidR="00B21994" w:rsidRPr="00D14C52" w:rsidRDefault="00B21994" w:rsidP="00E83597">
            <w:pPr>
              <w:pStyle w:val="BTBullet1"/>
              <w:numPr>
                <w:ilvl w:val="0"/>
                <w:numId w:val="0"/>
              </w:numPr>
              <w:rPr>
                <w:b/>
                <w:sz w:val="16"/>
                <w:szCs w:val="16"/>
              </w:rPr>
            </w:pPr>
            <w:r>
              <w:rPr>
                <w:b/>
                <w:sz w:val="16"/>
                <w:szCs w:val="16"/>
              </w:rPr>
              <w:t>Total Yes</w:t>
            </w:r>
          </w:p>
        </w:tc>
        <w:tc>
          <w:tcPr>
            <w:tcW w:w="766" w:type="dxa"/>
            <w:gridSpan w:val="2"/>
            <w:tcBorders>
              <w:left w:val="single" w:sz="12" w:space="0" w:color="auto"/>
            </w:tcBorders>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22</w:t>
            </w:r>
          </w:p>
        </w:tc>
        <w:tc>
          <w:tcPr>
            <w:tcW w:w="766" w:type="dxa"/>
            <w:shd w:val="clear" w:color="auto" w:fill="FFFFFF" w:themeFill="background1"/>
            <w:vAlign w:val="center"/>
          </w:tcPr>
          <w:p w:rsidR="00B21994" w:rsidRPr="00864498" w:rsidRDefault="00B21994" w:rsidP="00E83597">
            <w:pPr>
              <w:rPr>
                <w:b/>
                <w:sz w:val="16"/>
                <w:szCs w:val="16"/>
              </w:rPr>
            </w:pPr>
            <w:r w:rsidRPr="00864498">
              <w:rPr>
                <w:b/>
                <w:sz w:val="16"/>
                <w:szCs w:val="16"/>
              </w:rPr>
              <w:t>16</w:t>
            </w:r>
          </w:p>
        </w:tc>
        <w:tc>
          <w:tcPr>
            <w:tcW w:w="770" w:type="dxa"/>
            <w:gridSpan w:val="2"/>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19</w:t>
            </w:r>
          </w:p>
        </w:tc>
        <w:tc>
          <w:tcPr>
            <w:tcW w:w="769" w:type="dxa"/>
            <w:gridSpan w:val="2"/>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18</w:t>
            </w:r>
          </w:p>
        </w:tc>
        <w:tc>
          <w:tcPr>
            <w:tcW w:w="770" w:type="dxa"/>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20</w:t>
            </w:r>
          </w:p>
        </w:tc>
        <w:tc>
          <w:tcPr>
            <w:tcW w:w="769" w:type="dxa"/>
            <w:gridSpan w:val="3"/>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20</w:t>
            </w:r>
          </w:p>
        </w:tc>
        <w:tc>
          <w:tcPr>
            <w:tcW w:w="770" w:type="dxa"/>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24</w:t>
            </w:r>
          </w:p>
        </w:tc>
        <w:tc>
          <w:tcPr>
            <w:tcW w:w="769" w:type="dxa"/>
            <w:gridSpan w:val="3"/>
            <w:shd w:val="clear" w:color="auto" w:fill="FFFFFF" w:themeFill="background1"/>
            <w:vAlign w:val="center"/>
          </w:tcPr>
          <w:p w:rsidR="00B21994" w:rsidRPr="00864498" w:rsidRDefault="00B21994" w:rsidP="00E83597">
            <w:pPr>
              <w:rPr>
                <w:b/>
                <w:sz w:val="16"/>
                <w:szCs w:val="16"/>
              </w:rPr>
            </w:pPr>
            <w:r w:rsidRPr="00864498">
              <w:rPr>
                <w:b/>
                <w:sz w:val="16"/>
                <w:szCs w:val="16"/>
              </w:rPr>
              <w:t>15</w:t>
            </w:r>
          </w:p>
        </w:tc>
        <w:tc>
          <w:tcPr>
            <w:tcW w:w="770" w:type="dxa"/>
            <w:tcBorders>
              <w:right w:val="single" w:sz="12" w:space="0" w:color="auto"/>
            </w:tcBorders>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15</w:t>
            </w:r>
          </w:p>
        </w:tc>
        <w:tc>
          <w:tcPr>
            <w:tcW w:w="746" w:type="dxa"/>
            <w:gridSpan w:val="2"/>
            <w:tcBorders>
              <w:left w:val="single" w:sz="12" w:space="0" w:color="auto"/>
            </w:tcBorders>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22</w:t>
            </w:r>
          </w:p>
        </w:tc>
        <w:tc>
          <w:tcPr>
            <w:tcW w:w="797" w:type="dxa"/>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22</w:t>
            </w:r>
          </w:p>
        </w:tc>
        <w:tc>
          <w:tcPr>
            <w:tcW w:w="769" w:type="dxa"/>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23</w:t>
            </w:r>
          </w:p>
        </w:tc>
        <w:tc>
          <w:tcPr>
            <w:tcW w:w="770" w:type="dxa"/>
            <w:gridSpan w:val="2"/>
            <w:shd w:val="clear" w:color="auto" w:fill="FFFFFF" w:themeFill="background1"/>
            <w:vAlign w:val="center"/>
          </w:tcPr>
          <w:p w:rsidR="00B21994" w:rsidRPr="00864498" w:rsidRDefault="00B21994" w:rsidP="00E83597">
            <w:pPr>
              <w:rPr>
                <w:rFonts w:cs="Arial"/>
                <w:b/>
                <w:sz w:val="16"/>
                <w:szCs w:val="16"/>
              </w:rPr>
            </w:pPr>
            <w:r w:rsidRPr="00864498">
              <w:rPr>
                <w:rFonts w:cs="Arial"/>
                <w:b/>
                <w:sz w:val="16"/>
                <w:szCs w:val="16"/>
              </w:rPr>
              <w:t>19</w:t>
            </w:r>
          </w:p>
        </w:tc>
      </w:tr>
      <w:tr w:rsidR="00B21994" w:rsidTr="004D603A">
        <w:trPr>
          <w:cantSplit/>
          <w:trHeight w:hRule="exact" w:val="390"/>
          <w:jc w:val="center"/>
        </w:trPr>
        <w:tc>
          <w:tcPr>
            <w:tcW w:w="10947" w:type="dxa"/>
            <w:gridSpan w:val="23"/>
            <w:shd w:val="clear" w:color="auto" w:fill="auto"/>
            <w:vAlign w:val="center"/>
          </w:tcPr>
          <w:p w:rsidR="00B21994" w:rsidRPr="00864498" w:rsidRDefault="004D603A" w:rsidP="00E83597">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B21994" w:rsidRDefault="00B21994" w:rsidP="00B21994">
      <w:pPr>
        <w:pStyle w:val="BodyText"/>
        <w:sectPr w:rsidR="00B21994"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p>
    <w:p w:rsidR="00B21994" w:rsidRDefault="00B21994" w:rsidP="00B21994">
      <w:pPr>
        <w:pStyle w:val="BodyText"/>
      </w:pPr>
      <w:r>
        <w:br w:type="page"/>
      </w:r>
    </w:p>
    <w:p w:rsidR="00683D29" w:rsidRDefault="00683D29" w:rsidP="00731E82">
      <w:pPr>
        <w:pStyle w:val="AnnexTable"/>
        <w:tabs>
          <w:tab w:val="clear" w:pos="2687"/>
          <w:tab w:val="num" w:pos="1440"/>
        </w:tabs>
        <w:ind w:left="1440" w:hanging="1440"/>
      </w:pPr>
      <w:bookmarkStart w:id="377" w:name="_Ref395830207"/>
      <w:bookmarkStart w:id="378" w:name="_Toc408908675"/>
      <w:r w:rsidRPr="00683D29">
        <w:t>Existence of statutory provision for court to impose protective measures during court proceedings</w:t>
      </w:r>
      <w:r>
        <w:t xml:space="preserve"> (CivAdm125a</w:t>
      </w:r>
      <w:r w:rsidRPr="006822D9">
        <w:t>)</w:t>
      </w:r>
      <w:bookmarkEnd w:id="377"/>
      <w:bookmarkEnd w:id="378"/>
      <w:r>
        <w:t xml:space="preserve"> </w:t>
      </w:r>
    </w:p>
    <w:p w:rsidR="00280D09" w:rsidRDefault="00280D09" w:rsidP="00E83597">
      <w:pPr>
        <w:pStyle w:val="TableTitle"/>
        <w:sectPr w:rsidR="00280D09" w:rsidSect="002C3D52">
          <w:type w:val="continuous"/>
          <w:pgSz w:w="11907" w:h="16840" w:code="9"/>
          <w:pgMar w:top="1276" w:right="1418" w:bottom="851" w:left="1418" w:header="680" w:footer="567" w:gutter="0"/>
          <w:cols w:space="708"/>
          <w:docGrid w:linePitch="360"/>
        </w:sectPr>
      </w:pPr>
    </w:p>
    <w:tbl>
      <w:tblPr>
        <w:tblStyle w:val="Tabellenraster1"/>
        <w:tblW w:w="11111" w:type="dxa"/>
        <w:jc w:val="center"/>
        <w:tblLayout w:type="fixed"/>
        <w:tblLook w:val="04A0" w:firstRow="1" w:lastRow="0" w:firstColumn="1" w:lastColumn="0" w:noHBand="0" w:noVBand="1"/>
      </w:tblPr>
      <w:tblGrid>
        <w:gridCol w:w="990"/>
        <w:gridCol w:w="784"/>
        <w:gridCol w:w="777"/>
        <w:gridCol w:w="777"/>
        <w:gridCol w:w="777"/>
        <w:gridCol w:w="778"/>
        <w:gridCol w:w="778"/>
        <w:gridCol w:w="778"/>
        <w:gridCol w:w="778"/>
        <w:gridCol w:w="777"/>
        <w:gridCol w:w="778"/>
        <w:gridCol w:w="778"/>
        <w:gridCol w:w="778"/>
        <w:gridCol w:w="783"/>
      </w:tblGrid>
      <w:tr w:rsidR="00280D09" w:rsidRPr="00593387" w:rsidTr="00280D09">
        <w:trPr>
          <w:trHeight w:val="199"/>
          <w:tblHeader/>
          <w:jc w:val="center"/>
        </w:trPr>
        <w:tc>
          <w:tcPr>
            <w:tcW w:w="990" w:type="dxa"/>
            <w:tcBorders>
              <w:right w:val="single" w:sz="12" w:space="0" w:color="auto"/>
            </w:tcBorders>
          </w:tcPr>
          <w:p w:rsidR="00280D09" w:rsidRDefault="00280D09" w:rsidP="00E83597">
            <w:pPr>
              <w:pStyle w:val="TableTitle"/>
            </w:pPr>
            <w:r>
              <w:t>MS</w:t>
            </w:r>
          </w:p>
        </w:tc>
        <w:tc>
          <w:tcPr>
            <w:tcW w:w="7004" w:type="dxa"/>
            <w:gridSpan w:val="9"/>
            <w:tcBorders>
              <w:left w:val="single" w:sz="12" w:space="0" w:color="auto"/>
              <w:right w:val="single" w:sz="12" w:space="0" w:color="auto"/>
            </w:tcBorders>
          </w:tcPr>
          <w:p w:rsidR="00280D09" w:rsidRDefault="00280D09" w:rsidP="00E83597">
            <w:pPr>
              <w:pStyle w:val="TableTitle"/>
            </w:pPr>
            <w:r>
              <w:t>Areas of law</w:t>
            </w:r>
          </w:p>
        </w:tc>
        <w:tc>
          <w:tcPr>
            <w:tcW w:w="3117" w:type="dxa"/>
            <w:gridSpan w:val="4"/>
            <w:tcBorders>
              <w:left w:val="single" w:sz="12" w:space="0" w:color="auto"/>
            </w:tcBorders>
          </w:tcPr>
          <w:p w:rsidR="00280D09" w:rsidRDefault="00280D09" w:rsidP="00E83597">
            <w:pPr>
              <w:pStyle w:val="TableTitle"/>
            </w:pPr>
            <w:r>
              <w:t>Roles of the child</w:t>
            </w:r>
          </w:p>
        </w:tc>
      </w:tr>
      <w:tr w:rsidR="00280D09" w:rsidTr="00731E82">
        <w:trPr>
          <w:cantSplit/>
          <w:trHeight w:val="964"/>
          <w:tblHeader/>
          <w:jc w:val="center"/>
        </w:trPr>
        <w:tc>
          <w:tcPr>
            <w:tcW w:w="990" w:type="dxa"/>
            <w:tcBorders>
              <w:right w:val="single" w:sz="12" w:space="0" w:color="auto"/>
            </w:tcBorders>
            <w:shd w:val="clear" w:color="auto" w:fill="DBE5F1" w:themeFill="accent1" w:themeFillTint="33"/>
          </w:tcPr>
          <w:p w:rsidR="00280D09" w:rsidRPr="00E217F3" w:rsidRDefault="00280D09" w:rsidP="00E83597">
            <w:pPr>
              <w:rPr>
                <w:b/>
              </w:rPr>
            </w:pPr>
          </w:p>
        </w:tc>
        <w:tc>
          <w:tcPr>
            <w:tcW w:w="784" w:type="dxa"/>
            <w:tcBorders>
              <w:left w:val="single" w:sz="12" w:space="0" w:color="auto"/>
            </w:tcBorders>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Family</w:t>
            </w:r>
          </w:p>
        </w:tc>
        <w:tc>
          <w:tcPr>
            <w:tcW w:w="777"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Employment</w:t>
            </w:r>
          </w:p>
        </w:tc>
        <w:tc>
          <w:tcPr>
            <w:tcW w:w="777"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Asylum</w:t>
            </w:r>
          </w:p>
        </w:tc>
        <w:tc>
          <w:tcPr>
            <w:tcW w:w="777"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Migration</w:t>
            </w:r>
          </w:p>
        </w:tc>
        <w:tc>
          <w:tcPr>
            <w:tcW w:w="778"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Education</w:t>
            </w:r>
          </w:p>
        </w:tc>
        <w:tc>
          <w:tcPr>
            <w:tcW w:w="778"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Health</w:t>
            </w:r>
          </w:p>
        </w:tc>
        <w:tc>
          <w:tcPr>
            <w:tcW w:w="778"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Placement</w:t>
            </w:r>
          </w:p>
        </w:tc>
        <w:tc>
          <w:tcPr>
            <w:tcW w:w="778"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Admin Sanctions</w:t>
            </w:r>
          </w:p>
        </w:tc>
        <w:tc>
          <w:tcPr>
            <w:tcW w:w="777" w:type="dxa"/>
            <w:tcBorders>
              <w:right w:val="single" w:sz="12" w:space="0" w:color="auto"/>
            </w:tcBorders>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Offences &lt;MACR</w:t>
            </w:r>
          </w:p>
        </w:tc>
        <w:tc>
          <w:tcPr>
            <w:tcW w:w="778" w:type="dxa"/>
            <w:tcBorders>
              <w:left w:val="single" w:sz="12" w:space="0" w:color="auto"/>
            </w:tcBorders>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Witnesses</w:t>
            </w:r>
          </w:p>
        </w:tc>
        <w:tc>
          <w:tcPr>
            <w:tcW w:w="778"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Plaintiffs</w:t>
            </w:r>
          </w:p>
        </w:tc>
        <w:tc>
          <w:tcPr>
            <w:tcW w:w="778"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Defendants</w:t>
            </w:r>
          </w:p>
        </w:tc>
        <w:tc>
          <w:tcPr>
            <w:tcW w:w="783" w:type="dxa"/>
            <w:shd w:val="clear" w:color="auto" w:fill="DBE5F1" w:themeFill="accent1" w:themeFillTint="33"/>
            <w:textDirection w:val="btLr"/>
          </w:tcPr>
          <w:p w:rsidR="00280D09" w:rsidRPr="00280D09" w:rsidRDefault="00280D09" w:rsidP="00E83597">
            <w:pPr>
              <w:ind w:left="113" w:right="113"/>
              <w:rPr>
                <w:b/>
                <w:sz w:val="12"/>
                <w:szCs w:val="12"/>
              </w:rPr>
            </w:pPr>
            <w:r w:rsidRPr="00280D09">
              <w:rPr>
                <w:b/>
                <w:sz w:val="12"/>
                <w:szCs w:val="12"/>
              </w:rPr>
              <w:t>Subjects</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AT</w:t>
            </w:r>
          </w:p>
        </w:tc>
        <w:tc>
          <w:tcPr>
            <w:tcW w:w="784" w:type="dxa"/>
            <w:tcBorders>
              <w:left w:val="single" w:sz="12" w:space="0" w:color="auto"/>
            </w:tcBorders>
            <w:vAlign w:val="center"/>
          </w:tcPr>
          <w:p w:rsidR="00280D09" w:rsidRPr="00E217F3" w:rsidRDefault="00280D09" w:rsidP="00E83597">
            <w:pPr>
              <w:rPr>
                <w:sz w:val="18"/>
                <w:szCs w:val="18"/>
              </w:rPr>
            </w:pPr>
            <w:r>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Pr="00E217F3" w:rsidRDefault="00280D09" w:rsidP="00E83597">
            <w:pPr>
              <w:rPr>
                <w:sz w:val="18"/>
                <w:szCs w:val="18"/>
              </w:rPr>
            </w:pPr>
            <w:r>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sidRPr="00EF3AE7">
              <w:rPr>
                <w:rFonts w:cs="Arial"/>
                <w:sz w:val="18"/>
                <w:szCs w:val="18"/>
              </w:rPr>
              <w:t>√</w:t>
            </w:r>
          </w:p>
        </w:tc>
        <w:tc>
          <w:tcPr>
            <w:tcW w:w="778" w:type="dxa"/>
            <w:vAlign w:val="center"/>
          </w:tcPr>
          <w:p w:rsidR="00280D09" w:rsidRDefault="00280D09" w:rsidP="00E83597">
            <w:r w:rsidRPr="00EF3AE7">
              <w:rPr>
                <w:rFonts w:cs="Arial"/>
                <w:sz w:val="18"/>
                <w:szCs w:val="18"/>
              </w:rPr>
              <w:t>√</w:t>
            </w:r>
          </w:p>
        </w:tc>
        <w:tc>
          <w:tcPr>
            <w:tcW w:w="778" w:type="dxa"/>
            <w:vAlign w:val="center"/>
          </w:tcPr>
          <w:p w:rsidR="00280D09" w:rsidRDefault="00280D09" w:rsidP="00E83597">
            <w:r w:rsidRPr="00EF3AE7">
              <w:rPr>
                <w:rFonts w:cs="Arial"/>
                <w:sz w:val="18"/>
                <w:szCs w:val="18"/>
              </w:rPr>
              <w:t>√</w:t>
            </w:r>
          </w:p>
        </w:tc>
        <w:tc>
          <w:tcPr>
            <w:tcW w:w="783" w:type="dxa"/>
            <w:shd w:val="clear" w:color="auto" w:fill="D9D9D9" w:themeFill="background1" w:themeFillShade="D9"/>
            <w:vAlign w:val="center"/>
          </w:tcPr>
          <w:p w:rsidR="00280D09" w:rsidRDefault="00280D09" w:rsidP="00E83597"/>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BE</w:t>
            </w:r>
          </w:p>
        </w:tc>
        <w:tc>
          <w:tcPr>
            <w:tcW w:w="784" w:type="dxa"/>
            <w:tcBorders>
              <w:left w:val="single" w:sz="12" w:space="0" w:color="auto"/>
            </w:tcBorders>
            <w:vAlign w:val="center"/>
          </w:tcPr>
          <w:p w:rsidR="00280D09" w:rsidRDefault="00280D09" w:rsidP="00E83597">
            <w:r w:rsidRPr="004B0650">
              <w:rPr>
                <w:rFonts w:cs="Arial"/>
                <w:sz w:val="18"/>
                <w:szCs w:val="18"/>
              </w:rPr>
              <w:t>√</w:t>
            </w:r>
          </w:p>
        </w:tc>
        <w:tc>
          <w:tcPr>
            <w:tcW w:w="777" w:type="dxa"/>
            <w:vAlign w:val="center"/>
          </w:tcPr>
          <w:p w:rsidR="00280D09" w:rsidRDefault="00280D09" w:rsidP="00E83597">
            <w:r w:rsidRPr="004B0650">
              <w:rPr>
                <w:rFonts w:cs="Arial"/>
                <w:sz w:val="18"/>
                <w:szCs w:val="18"/>
              </w:rPr>
              <w:t>√</w:t>
            </w:r>
          </w:p>
        </w:tc>
        <w:tc>
          <w:tcPr>
            <w:tcW w:w="777" w:type="dxa"/>
            <w:vAlign w:val="center"/>
          </w:tcPr>
          <w:p w:rsidR="00280D09" w:rsidRDefault="00280D09" w:rsidP="00E83597">
            <w:r w:rsidRPr="004B0650">
              <w:rPr>
                <w:rFonts w:cs="Arial"/>
                <w:sz w:val="18"/>
                <w:szCs w:val="18"/>
              </w:rPr>
              <w:t>√</w:t>
            </w:r>
          </w:p>
        </w:tc>
        <w:tc>
          <w:tcPr>
            <w:tcW w:w="777" w:type="dxa"/>
            <w:vAlign w:val="center"/>
          </w:tcPr>
          <w:p w:rsidR="00280D09" w:rsidRDefault="00280D09" w:rsidP="00E83597">
            <w:r w:rsidRPr="004B0650">
              <w:rPr>
                <w:rFonts w:cs="Arial"/>
                <w:sz w:val="18"/>
                <w:szCs w:val="18"/>
              </w:rPr>
              <w:t>√</w:t>
            </w:r>
          </w:p>
        </w:tc>
        <w:tc>
          <w:tcPr>
            <w:tcW w:w="778" w:type="dxa"/>
            <w:vAlign w:val="center"/>
          </w:tcPr>
          <w:p w:rsidR="00280D09" w:rsidRDefault="00280D09" w:rsidP="00E83597">
            <w:r w:rsidRPr="004B0650">
              <w:rPr>
                <w:rFonts w:cs="Arial"/>
                <w:sz w:val="18"/>
                <w:szCs w:val="18"/>
              </w:rPr>
              <w:t>√</w:t>
            </w:r>
          </w:p>
        </w:tc>
        <w:tc>
          <w:tcPr>
            <w:tcW w:w="778" w:type="dxa"/>
            <w:vAlign w:val="center"/>
          </w:tcPr>
          <w:p w:rsidR="00280D09" w:rsidRDefault="00280D09" w:rsidP="00E83597">
            <w:r w:rsidRPr="004B0650">
              <w:rPr>
                <w:rFonts w:cs="Arial"/>
                <w:sz w:val="18"/>
                <w:szCs w:val="18"/>
              </w:rPr>
              <w:t>√</w:t>
            </w:r>
          </w:p>
        </w:tc>
        <w:tc>
          <w:tcPr>
            <w:tcW w:w="778" w:type="dxa"/>
            <w:vAlign w:val="center"/>
          </w:tcPr>
          <w:p w:rsidR="00280D09" w:rsidRDefault="00280D09" w:rsidP="00E83597">
            <w:r w:rsidRPr="004B0650">
              <w:rPr>
                <w:rFonts w:cs="Arial"/>
                <w:sz w:val="18"/>
                <w:szCs w:val="18"/>
              </w:rPr>
              <w:t>√</w:t>
            </w:r>
          </w:p>
        </w:tc>
        <w:tc>
          <w:tcPr>
            <w:tcW w:w="778" w:type="dxa"/>
            <w:vAlign w:val="center"/>
          </w:tcPr>
          <w:p w:rsidR="00280D09" w:rsidRDefault="00280D09" w:rsidP="00E83597">
            <w:r w:rsidRPr="004B0650">
              <w:rPr>
                <w:rFonts w:cs="Arial"/>
                <w:sz w:val="18"/>
                <w:szCs w:val="18"/>
              </w:rPr>
              <w:t>√</w:t>
            </w:r>
          </w:p>
        </w:tc>
        <w:tc>
          <w:tcPr>
            <w:tcW w:w="777" w:type="dxa"/>
            <w:tcBorders>
              <w:right w:val="single" w:sz="12" w:space="0" w:color="auto"/>
            </w:tcBorders>
            <w:vAlign w:val="center"/>
          </w:tcPr>
          <w:p w:rsidR="00280D09" w:rsidRDefault="00280D09" w:rsidP="00E83597">
            <w:r w:rsidRPr="004B0650">
              <w:rPr>
                <w:rFonts w:cs="Arial"/>
                <w:sz w:val="18"/>
                <w:szCs w:val="18"/>
              </w:rPr>
              <w:t>√</w:t>
            </w:r>
          </w:p>
        </w:tc>
        <w:tc>
          <w:tcPr>
            <w:tcW w:w="778" w:type="dxa"/>
            <w:tcBorders>
              <w:left w:val="single" w:sz="12" w:space="0" w:color="auto"/>
            </w:tcBorders>
            <w:vAlign w:val="center"/>
          </w:tcPr>
          <w:p w:rsidR="00280D09" w:rsidRDefault="00280D09" w:rsidP="00E83597">
            <w:r w:rsidRPr="004B0650">
              <w:rPr>
                <w:rFonts w:cs="Arial"/>
                <w:sz w:val="18"/>
                <w:szCs w:val="18"/>
              </w:rPr>
              <w:t>√</w:t>
            </w:r>
          </w:p>
        </w:tc>
        <w:tc>
          <w:tcPr>
            <w:tcW w:w="778" w:type="dxa"/>
            <w:vAlign w:val="center"/>
          </w:tcPr>
          <w:p w:rsidR="00280D09" w:rsidRDefault="00280D09" w:rsidP="00E83597">
            <w:r w:rsidRPr="004B0650">
              <w:rPr>
                <w:rFonts w:cs="Arial"/>
                <w:sz w:val="18"/>
                <w:szCs w:val="18"/>
              </w:rPr>
              <w:t>√</w:t>
            </w:r>
          </w:p>
        </w:tc>
        <w:tc>
          <w:tcPr>
            <w:tcW w:w="778" w:type="dxa"/>
            <w:vAlign w:val="center"/>
          </w:tcPr>
          <w:p w:rsidR="00280D09" w:rsidRDefault="00280D09" w:rsidP="00E83597">
            <w:r w:rsidRPr="004B0650">
              <w:rPr>
                <w:rFonts w:cs="Arial"/>
                <w:sz w:val="18"/>
                <w:szCs w:val="18"/>
              </w:rPr>
              <w:t>√</w:t>
            </w:r>
          </w:p>
        </w:tc>
        <w:tc>
          <w:tcPr>
            <w:tcW w:w="783" w:type="dxa"/>
            <w:vAlign w:val="center"/>
          </w:tcPr>
          <w:p w:rsidR="00280D09" w:rsidRDefault="00280D09" w:rsidP="00E83597">
            <w:r>
              <w:rPr>
                <w:rFonts w:cs="Arial"/>
                <w:sz w:val="18"/>
                <w:szCs w:val="18"/>
              </w:rPr>
              <w:t>√</w:t>
            </w:r>
            <w:r>
              <w:rPr>
                <w:rStyle w:val="EndnoteReference"/>
              </w:rPr>
              <w:endnoteReference w:id="298"/>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BG</w:t>
            </w:r>
          </w:p>
        </w:tc>
        <w:tc>
          <w:tcPr>
            <w:tcW w:w="784" w:type="dxa"/>
            <w:tcBorders>
              <w:left w:val="single" w:sz="12" w:space="0" w:color="auto"/>
            </w:tcBorders>
            <w:vAlign w:val="center"/>
          </w:tcPr>
          <w:p w:rsidR="00280D09" w:rsidRPr="00E217F3" w:rsidRDefault="00280D09" w:rsidP="00E83597">
            <w:pPr>
              <w:rPr>
                <w:sz w:val="18"/>
                <w:szCs w:val="18"/>
              </w:rPr>
            </w:pPr>
            <w:r>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vAlign w:val="center"/>
          </w:tcPr>
          <w:p w:rsidR="00280D09" w:rsidRDefault="00280D09" w:rsidP="00E83597">
            <w:r w:rsidRPr="00087FB4">
              <w:rPr>
                <w:rFonts w:cs="Arial"/>
                <w:sz w:val="18"/>
                <w:szCs w:val="18"/>
              </w:rPr>
              <w:t>√</w:t>
            </w:r>
          </w:p>
        </w:tc>
        <w:tc>
          <w:tcPr>
            <w:tcW w:w="777" w:type="dxa"/>
            <w:vAlign w:val="center"/>
          </w:tcPr>
          <w:p w:rsidR="00280D09" w:rsidRDefault="00280D09" w:rsidP="00E83597">
            <w:r w:rsidRPr="00087FB4">
              <w:rPr>
                <w:rFonts w:cs="Arial"/>
                <w:sz w:val="18"/>
                <w:szCs w:val="18"/>
              </w:rPr>
              <w:t>√</w:t>
            </w:r>
          </w:p>
        </w:tc>
        <w:tc>
          <w:tcPr>
            <w:tcW w:w="778" w:type="dxa"/>
            <w:vAlign w:val="center"/>
          </w:tcPr>
          <w:p w:rsidR="00280D09" w:rsidRDefault="00280D09" w:rsidP="00E83597">
            <w:r w:rsidRPr="00087FB4">
              <w:rPr>
                <w:rFonts w:cs="Arial"/>
                <w:sz w:val="18"/>
                <w:szCs w:val="18"/>
              </w:rPr>
              <w:t>√</w:t>
            </w:r>
          </w:p>
        </w:tc>
        <w:tc>
          <w:tcPr>
            <w:tcW w:w="778" w:type="dxa"/>
            <w:vAlign w:val="center"/>
          </w:tcPr>
          <w:p w:rsidR="00280D09" w:rsidRDefault="00280D09" w:rsidP="00E83597">
            <w:r w:rsidRPr="00087FB4">
              <w:rPr>
                <w:rFonts w:cs="Arial"/>
                <w:sz w:val="18"/>
                <w:szCs w:val="18"/>
              </w:rPr>
              <w:t>√</w:t>
            </w:r>
          </w:p>
        </w:tc>
        <w:tc>
          <w:tcPr>
            <w:tcW w:w="778" w:type="dxa"/>
            <w:vAlign w:val="center"/>
          </w:tcPr>
          <w:p w:rsidR="00280D09" w:rsidRDefault="00280D09" w:rsidP="00E83597">
            <w:r w:rsidRPr="00087FB4">
              <w:rPr>
                <w:rFonts w:cs="Arial"/>
                <w:sz w:val="18"/>
                <w:szCs w:val="18"/>
              </w:rPr>
              <w:t>√</w:t>
            </w:r>
          </w:p>
        </w:tc>
        <w:tc>
          <w:tcPr>
            <w:tcW w:w="778" w:type="dxa"/>
            <w:vAlign w:val="center"/>
          </w:tcPr>
          <w:p w:rsidR="00280D09" w:rsidRDefault="00280D09" w:rsidP="00E83597">
            <w:r w:rsidRPr="00087FB4">
              <w:rPr>
                <w:rFonts w:cs="Arial"/>
                <w:sz w:val="18"/>
                <w:szCs w:val="18"/>
              </w:rPr>
              <w:t>√</w:t>
            </w: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2B63EB">
              <w:rPr>
                <w:rFonts w:cs="Arial"/>
                <w:sz w:val="18"/>
                <w:szCs w:val="18"/>
              </w:rPr>
              <w:t>√</w:t>
            </w:r>
          </w:p>
        </w:tc>
        <w:tc>
          <w:tcPr>
            <w:tcW w:w="778" w:type="dxa"/>
            <w:vAlign w:val="center"/>
          </w:tcPr>
          <w:p w:rsidR="00280D09" w:rsidRDefault="00280D09" w:rsidP="00E83597">
            <w:r w:rsidRPr="002B63EB">
              <w:rPr>
                <w:rFonts w:cs="Arial"/>
                <w:sz w:val="18"/>
                <w:szCs w:val="18"/>
              </w:rPr>
              <w:t>√</w:t>
            </w:r>
          </w:p>
        </w:tc>
        <w:tc>
          <w:tcPr>
            <w:tcW w:w="783" w:type="dxa"/>
            <w:vAlign w:val="center"/>
          </w:tcPr>
          <w:p w:rsidR="00280D09" w:rsidRDefault="00280D09" w:rsidP="00E83597">
            <w:r w:rsidRPr="002B63EB">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CY</w:t>
            </w:r>
          </w:p>
        </w:tc>
        <w:tc>
          <w:tcPr>
            <w:tcW w:w="784" w:type="dxa"/>
            <w:tcBorders>
              <w:left w:val="single" w:sz="12" w:space="0" w:color="auto"/>
            </w:tcBorders>
            <w:vAlign w:val="center"/>
          </w:tcPr>
          <w:p w:rsidR="00280D09" w:rsidRDefault="00280D09" w:rsidP="00E83597">
            <w:r w:rsidRPr="005302D6">
              <w:rPr>
                <w:rFonts w:cs="Arial"/>
                <w:sz w:val="18"/>
                <w:szCs w:val="18"/>
              </w:rPr>
              <w:t>√</w:t>
            </w:r>
          </w:p>
        </w:tc>
        <w:tc>
          <w:tcPr>
            <w:tcW w:w="777" w:type="dxa"/>
            <w:vAlign w:val="center"/>
          </w:tcPr>
          <w:p w:rsidR="00280D09" w:rsidRDefault="00280D09" w:rsidP="00E83597">
            <w:r w:rsidRPr="005302D6">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Pr="00E217F3" w:rsidRDefault="00280D09" w:rsidP="00E83597">
            <w:pPr>
              <w:rPr>
                <w:sz w:val="18"/>
                <w:szCs w:val="18"/>
              </w:rPr>
            </w:pPr>
            <w:r>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sidRPr="00E84A0C">
              <w:rPr>
                <w:rFonts w:cs="Arial"/>
                <w:sz w:val="18"/>
                <w:szCs w:val="18"/>
              </w:rPr>
              <w:t>√</w:t>
            </w:r>
          </w:p>
        </w:tc>
        <w:tc>
          <w:tcPr>
            <w:tcW w:w="778" w:type="dxa"/>
            <w:vAlign w:val="center"/>
          </w:tcPr>
          <w:p w:rsidR="00280D09" w:rsidRDefault="00280D09" w:rsidP="00E83597">
            <w:r w:rsidRPr="00E84A0C">
              <w:rPr>
                <w:rFonts w:cs="Arial"/>
                <w:sz w:val="18"/>
                <w:szCs w:val="18"/>
              </w:rPr>
              <w:t>√</w:t>
            </w:r>
          </w:p>
        </w:tc>
        <w:tc>
          <w:tcPr>
            <w:tcW w:w="778" w:type="dxa"/>
            <w:vAlign w:val="center"/>
          </w:tcPr>
          <w:p w:rsidR="00280D09" w:rsidRDefault="00280D09" w:rsidP="00E83597">
            <w:r w:rsidRPr="00E84A0C">
              <w:rPr>
                <w:rFonts w:cs="Arial"/>
                <w:sz w:val="18"/>
                <w:szCs w:val="18"/>
              </w:rPr>
              <w:t>√</w:t>
            </w:r>
          </w:p>
        </w:tc>
        <w:tc>
          <w:tcPr>
            <w:tcW w:w="783" w:type="dxa"/>
            <w:vAlign w:val="center"/>
          </w:tcPr>
          <w:p w:rsidR="00280D09" w:rsidRDefault="00280D09" w:rsidP="00E83597">
            <w:r w:rsidRPr="00E84A0C">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CZ</w:t>
            </w:r>
          </w:p>
        </w:tc>
        <w:tc>
          <w:tcPr>
            <w:tcW w:w="784" w:type="dxa"/>
            <w:tcBorders>
              <w:left w:val="single" w:sz="12" w:space="0" w:color="auto"/>
            </w:tcBorders>
            <w:vAlign w:val="center"/>
          </w:tcPr>
          <w:p w:rsidR="00280D09" w:rsidRDefault="00280D09" w:rsidP="00E83597">
            <w:r w:rsidRPr="00A33C16">
              <w:rPr>
                <w:rFonts w:cs="Arial"/>
                <w:sz w:val="18"/>
                <w:szCs w:val="18"/>
              </w:rPr>
              <w:t>√</w:t>
            </w:r>
          </w:p>
        </w:tc>
        <w:tc>
          <w:tcPr>
            <w:tcW w:w="777" w:type="dxa"/>
            <w:vAlign w:val="center"/>
          </w:tcPr>
          <w:p w:rsidR="00280D09" w:rsidRDefault="00280D09" w:rsidP="00E83597">
            <w:r w:rsidRPr="00A33C16">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4608D0">
              <w:rPr>
                <w:rFonts w:cs="Arial"/>
                <w:sz w:val="18"/>
                <w:szCs w:val="18"/>
              </w:rPr>
              <w:t>√</w:t>
            </w:r>
          </w:p>
        </w:tc>
        <w:tc>
          <w:tcPr>
            <w:tcW w:w="778" w:type="dxa"/>
            <w:vAlign w:val="center"/>
          </w:tcPr>
          <w:p w:rsidR="00280D09" w:rsidRDefault="00280D09" w:rsidP="00E83597">
            <w:r w:rsidRPr="004608D0">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9D31DE">
              <w:rPr>
                <w:rFonts w:cs="Arial"/>
                <w:sz w:val="18"/>
                <w:szCs w:val="18"/>
              </w:rPr>
              <w:t>√</w:t>
            </w:r>
          </w:p>
        </w:tc>
        <w:tc>
          <w:tcPr>
            <w:tcW w:w="778" w:type="dxa"/>
            <w:vAlign w:val="center"/>
          </w:tcPr>
          <w:p w:rsidR="00280D09" w:rsidRDefault="00280D09" w:rsidP="00E83597">
            <w:r w:rsidRPr="009D31DE">
              <w:rPr>
                <w:rFonts w:cs="Arial"/>
                <w:sz w:val="18"/>
                <w:szCs w:val="18"/>
              </w:rPr>
              <w:t>√</w:t>
            </w:r>
          </w:p>
        </w:tc>
        <w:tc>
          <w:tcPr>
            <w:tcW w:w="783" w:type="dxa"/>
            <w:vAlign w:val="center"/>
          </w:tcPr>
          <w:p w:rsidR="00280D09" w:rsidRDefault="00280D09" w:rsidP="00E83597">
            <w:r w:rsidRPr="009D31DE">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DE</w:t>
            </w:r>
          </w:p>
        </w:tc>
        <w:tc>
          <w:tcPr>
            <w:tcW w:w="784" w:type="dxa"/>
            <w:tcBorders>
              <w:lef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shd w:val="clear" w:color="auto" w:fill="D9D9D9" w:themeFill="background1" w:themeFillShade="D9"/>
            <w:vAlign w:val="center"/>
          </w:tcPr>
          <w:p w:rsidR="00280D09" w:rsidRDefault="00280D09" w:rsidP="00E83597"/>
        </w:tc>
        <w:tc>
          <w:tcPr>
            <w:tcW w:w="778" w:type="dxa"/>
            <w:shd w:val="clear" w:color="auto" w:fill="D9D9D9" w:themeFill="background1" w:themeFillShade="D9"/>
            <w:vAlign w:val="center"/>
          </w:tcPr>
          <w:p w:rsidR="00280D09" w:rsidRDefault="00280D09" w:rsidP="00E83597"/>
        </w:tc>
        <w:tc>
          <w:tcPr>
            <w:tcW w:w="783" w:type="dxa"/>
            <w:shd w:val="clear" w:color="auto" w:fill="D9D9D9" w:themeFill="background1" w:themeFillShade="D9"/>
            <w:vAlign w:val="center"/>
          </w:tcPr>
          <w:p w:rsidR="00280D09" w:rsidRDefault="00280D09" w:rsidP="00E83597"/>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DK</w:t>
            </w:r>
          </w:p>
        </w:tc>
        <w:tc>
          <w:tcPr>
            <w:tcW w:w="784" w:type="dxa"/>
            <w:tcBorders>
              <w:left w:val="single" w:sz="12" w:space="0" w:color="auto"/>
            </w:tcBorders>
            <w:vAlign w:val="center"/>
          </w:tcPr>
          <w:p w:rsidR="00280D09" w:rsidRPr="00E217F3" w:rsidRDefault="00280D09" w:rsidP="00E83597">
            <w:pPr>
              <w:rPr>
                <w:sz w:val="18"/>
                <w:szCs w:val="18"/>
              </w:rPr>
            </w:pPr>
            <w:r>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Pr="00E217F3" w:rsidRDefault="00280D09" w:rsidP="00E83597">
            <w:pPr>
              <w:rPr>
                <w:sz w:val="18"/>
                <w:szCs w:val="18"/>
              </w:rPr>
            </w:pPr>
            <w:r>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Default="00280D09" w:rsidP="00E83597">
            <w:r w:rsidRPr="008D1FA3">
              <w:rPr>
                <w:rFonts w:cs="Arial"/>
                <w:sz w:val="18"/>
                <w:szCs w:val="18"/>
              </w:rPr>
              <w:t>√</w:t>
            </w: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Pr>
                <w:rFonts w:cs="Arial"/>
                <w:sz w:val="18"/>
                <w:szCs w:val="18"/>
              </w:rPr>
              <w:t>√</w:t>
            </w:r>
            <w:r>
              <w:rPr>
                <w:rStyle w:val="EndnoteReference"/>
              </w:rPr>
              <w:endnoteReference w:id="299"/>
            </w:r>
          </w:p>
        </w:tc>
        <w:tc>
          <w:tcPr>
            <w:tcW w:w="778" w:type="dxa"/>
            <w:vAlign w:val="center"/>
          </w:tcPr>
          <w:p w:rsidR="00280D09" w:rsidRDefault="00280D09" w:rsidP="00E83597">
            <w:r>
              <w:rPr>
                <w:rFonts w:cs="Arial"/>
                <w:sz w:val="18"/>
                <w:szCs w:val="18"/>
              </w:rPr>
              <w:t>√</w:t>
            </w:r>
            <w:r>
              <w:rPr>
                <w:rStyle w:val="EndnoteReference"/>
              </w:rPr>
              <w:endnoteReference w:id="300"/>
            </w:r>
          </w:p>
        </w:tc>
        <w:tc>
          <w:tcPr>
            <w:tcW w:w="783" w:type="dxa"/>
            <w:vAlign w:val="center"/>
          </w:tcPr>
          <w:p w:rsidR="00280D09" w:rsidRDefault="00280D09" w:rsidP="00E83597">
            <w:r>
              <w:rPr>
                <w:rFonts w:cs="Arial"/>
                <w:sz w:val="18"/>
                <w:szCs w:val="18"/>
              </w:rPr>
              <w:t>√</w:t>
            </w:r>
            <w:r>
              <w:rPr>
                <w:rStyle w:val="EndnoteReference"/>
              </w:rPr>
              <w:endnoteReference w:id="301"/>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EE</w:t>
            </w:r>
          </w:p>
        </w:tc>
        <w:tc>
          <w:tcPr>
            <w:tcW w:w="784" w:type="dxa"/>
            <w:tcBorders>
              <w:left w:val="single" w:sz="12" w:space="0" w:color="auto"/>
            </w:tcBorders>
            <w:vAlign w:val="center"/>
          </w:tcPr>
          <w:p w:rsidR="00280D09" w:rsidRDefault="00280D09" w:rsidP="00E83597">
            <w:r w:rsidRPr="00BF4B4C">
              <w:rPr>
                <w:rFonts w:cs="Arial"/>
                <w:sz w:val="18"/>
                <w:szCs w:val="18"/>
              </w:rPr>
              <w:t>√</w:t>
            </w:r>
          </w:p>
        </w:tc>
        <w:tc>
          <w:tcPr>
            <w:tcW w:w="777" w:type="dxa"/>
            <w:vAlign w:val="center"/>
          </w:tcPr>
          <w:p w:rsidR="00280D09" w:rsidRDefault="00280D09" w:rsidP="00E83597">
            <w:r w:rsidRPr="00BF4B4C">
              <w:rPr>
                <w:rFonts w:cs="Arial"/>
                <w:sz w:val="18"/>
                <w:szCs w:val="18"/>
              </w:rPr>
              <w:t>√</w:t>
            </w:r>
          </w:p>
        </w:tc>
        <w:tc>
          <w:tcPr>
            <w:tcW w:w="777" w:type="dxa"/>
            <w:vAlign w:val="center"/>
          </w:tcPr>
          <w:p w:rsidR="00280D09" w:rsidRDefault="00280D09" w:rsidP="00E83597">
            <w:r w:rsidRPr="00BF4B4C">
              <w:rPr>
                <w:rFonts w:cs="Arial"/>
                <w:sz w:val="18"/>
                <w:szCs w:val="18"/>
              </w:rPr>
              <w:t>√</w:t>
            </w:r>
          </w:p>
        </w:tc>
        <w:tc>
          <w:tcPr>
            <w:tcW w:w="777" w:type="dxa"/>
            <w:vAlign w:val="center"/>
          </w:tcPr>
          <w:p w:rsidR="00280D09" w:rsidRDefault="00280D09" w:rsidP="00E83597">
            <w:r w:rsidRPr="00BF4B4C">
              <w:rPr>
                <w:rFonts w:cs="Arial"/>
                <w:sz w:val="18"/>
                <w:szCs w:val="18"/>
              </w:rPr>
              <w:t>√</w:t>
            </w:r>
          </w:p>
        </w:tc>
        <w:tc>
          <w:tcPr>
            <w:tcW w:w="778" w:type="dxa"/>
            <w:vAlign w:val="center"/>
          </w:tcPr>
          <w:p w:rsidR="00280D09" w:rsidRDefault="00280D09" w:rsidP="00E83597">
            <w:r w:rsidRPr="00BF4B4C">
              <w:rPr>
                <w:rFonts w:cs="Arial"/>
                <w:sz w:val="18"/>
                <w:szCs w:val="18"/>
              </w:rPr>
              <w:t>√</w:t>
            </w:r>
          </w:p>
        </w:tc>
        <w:tc>
          <w:tcPr>
            <w:tcW w:w="778" w:type="dxa"/>
            <w:vAlign w:val="center"/>
          </w:tcPr>
          <w:p w:rsidR="00280D09" w:rsidRDefault="00280D09" w:rsidP="00E83597">
            <w:r w:rsidRPr="00BF4B4C">
              <w:rPr>
                <w:rFonts w:cs="Arial"/>
                <w:sz w:val="18"/>
                <w:szCs w:val="18"/>
              </w:rPr>
              <w:t>√</w:t>
            </w:r>
          </w:p>
        </w:tc>
        <w:tc>
          <w:tcPr>
            <w:tcW w:w="778" w:type="dxa"/>
            <w:vAlign w:val="center"/>
          </w:tcPr>
          <w:p w:rsidR="00280D09" w:rsidRDefault="00280D09" w:rsidP="00E83597">
            <w:r w:rsidRPr="00BF4B4C">
              <w:rPr>
                <w:rFonts w:cs="Arial"/>
                <w:sz w:val="18"/>
                <w:szCs w:val="18"/>
              </w:rPr>
              <w:t>√</w:t>
            </w:r>
          </w:p>
        </w:tc>
        <w:tc>
          <w:tcPr>
            <w:tcW w:w="778" w:type="dxa"/>
            <w:vAlign w:val="center"/>
          </w:tcPr>
          <w:p w:rsidR="00280D09" w:rsidRDefault="00280D09" w:rsidP="00E83597">
            <w:r w:rsidRPr="00BF4B4C">
              <w:rPr>
                <w:rFonts w:cs="Arial"/>
                <w:sz w:val="18"/>
                <w:szCs w:val="18"/>
              </w:rPr>
              <w:t>√</w:t>
            </w:r>
          </w:p>
        </w:tc>
        <w:tc>
          <w:tcPr>
            <w:tcW w:w="777" w:type="dxa"/>
            <w:tcBorders>
              <w:right w:val="single" w:sz="12" w:space="0" w:color="auto"/>
            </w:tcBorders>
            <w:vAlign w:val="center"/>
          </w:tcPr>
          <w:p w:rsidR="00280D09" w:rsidRDefault="00280D09" w:rsidP="00E83597">
            <w:r w:rsidRPr="008D1FA3">
              <w:rPr>
                <w:rFonts w:cs="Arial"/>
                <w:sz w:val="18"/>
                <w:szCs w:val="18"/>
              </w:rPr>
              <w:t>√</w:t>
            </w:r>
          </w:p>
        </w:tc>
        <w:tc>
          <w:tcPr>
            <w:tcW w:w="778" w:type="dxa"/>
            <w:tcBorders>
              <w:left w:val="single" w:sz="12" w:space="0" w:color="auto"/>
            </w:tcBorders>
            <w:vAlign w:val="center"/>
          </w:tcPr>
          <w:p w:rsidR="00280D09" w:rsidRDefault="00280D09" w:rsidP="00E83597">
            <w:r w:rsidRPr="00D36CA7">
              <w:rPr>
                <w:rFonts w:cs="Arial"/>
                <w:sz w:val="18"/>
                <w:szCs w:val="18"/>
              </w:rPr>
              <w:t>√</w:t>
            </w:r>
          </w:p>
        </w:tc>
        <w:tc>
          <w:tcPr>
            <w:tcW w:w="778" w:type="dxa"/>
            <w:vAlign w:val="center"/>
          </w:tcPr>
          <w:p w:rsidR="00280D09" w:rsidRDefault="00280D09" w:rsidP="00E83597">
            <w:r w:rsidRPr="00D36CA7">
              <w:rPr>
                <w:rFonts w:cs="Arial"/>
                <w:sz w:val="18"/>
                <w:szCs w:val="18"/>
              </w:rPr>
              <w:t>√</w:t>
            </w:r>
          </w:p>
        </w:tc>
        <w:tc>
          <w:tcPr>
            <w:tcW w:w="778" w:type="dxa"/>
            <w:vAlign w:val="center"/>
          </w:tcPr>
          <w:p w:rsidR="00280D09" w:rsidRDefault="00280D09" w:rsidP="00E83597">
            <w:r w:rsidRPr="00D36CA7">
              <w:rPr>
                <w:rFonts w:cs="Arial"/>
                <w:sz w:val="18"/>
                <w:szCs w:val="18"/>
              </w:rPr>
              <w:t>√</w:t>
            </w:r>
          </w:p>
        </w:tc>
        <w:tc>
          <w:tcPr>
            <w:tcW w:w="783" w:type="dxa"/>
            <w:vAlign w:val="center"/>
          </w:tcPr>
          <w:p w:rsidR="00280D09" w:rsidRDefault="00280D09" w:rsidP="00E83597">
            <w:r w:rsidRPr="00D36CA7">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EL</w:t>
            </w:r>
          </w:p>
        </w:tc>
        <w:tc>
          <w:tcPr>
            <w:tcW w:w="784" w:type="dxa"/>
            <w:tcBorders>
              <w:left w:val="single" w:sz="12" w:space="0" w:color="auto"/>
            </w:tcBorders>
            <w:vAlign w:val="center"/>
          </w:tcPr>
          <w:p w:rsidR="00280D09" w:rsidRDefault="00280D09" w:rsidP="00E83597">
            <w:r w:rsidRPr="00D57C32">
              <w:rPr>
                <w:rFonts w:cs="Arial"/>
                <w:sz w:val="18"/>
                <w:szCs w:val="18"/>
              </w:rPr>
              <w:t>√</w:t>
            </w:r>
          </w:p>
        </w:tc>
        <w:tc>
          <w:tcPr>
            <w:tcW w:w="777" w:type="dxa"/>
            <w:vAlign w:val="center"/>
          </w:tcPr>
          <w:p w:rsidR="00280D09" w:rsidRDefault="00280D09" w:rsidP="00E83597">
            <w:r w:rsidRPr="00D57C32">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Pr="00E217F3" w:rsidRDefault="00280D09" w:rsidP="00E83597">
            <w:pPr>
              <w:rPr>
                <w:sz w:val="18"/>
                <w:szCs w:val="18"/>
              </w:rPr>
            </w:pPr>
            <w:r>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Default="00280D09" w:rsidP="00E83597">
            <w:r w:rsidRPr="008D1FA3">
              <w:rPr>
                <w:rFonts w:cs="Arial"/>
                <w:sz w:val="18"/>
                <w:szCs w:val="18"/>
              </w:rPr>
              <w:t>√</w:t>
            </w:r>
          </w:p>
        </w:tc>
        <w:tc>
          <w:tcPr>
            <w:tcW w:w="778" w:type="dxa"/>
            <w:tcBorders>
              <w:left w:val="single" w:sz="12" w:space="0" w:color="auto"/>
            </w:tcBorders>
            <w:vAlign w:val="center"/>
          </w:tcPr>
          <w:p w:rsidR="00280D09" w:rsidRDefault="00280D09" w:rsidP="00E83597">
            <w:r>
              <w:rPr>
                <w:rFonts w:cs="Arial"/>
                <w:sz w:val="18"/>
                <w:szCs w:val="18"/>
              </w:rPr>
              <w:t>√</w:t>
            </w:r>
            <w:r>
              <w:rPr>
                <w:rStyle w:val="EndnoteReference"/>
              </w:rPr>
              <w:endnoteReference w:id="302"/>
            </w:r>
          </w:p>
        </w:tc>
        <w:tc>
          <w:tcPr>
            <w:tcW w:w="778" w:type="dxa"/>
            <w:vAlign w:val="center"/>
          </w:tcPr>
          <w:p w:rsidR="00280D09" w:rsidRDefault="00280D09" w:rsidP="00E83597">
            <w:r>
              <w:rPr>
                <w:rFonts w:cs="Arial"/>
                <w:sz w:val="18"/>
                <w:szCs w:val="18"/>
              </w:rPr>
              <w:t>√</w:t>
            </w:r>
            <w:r>
              <w:rPr>
                <w:rStyle w:val="EndnoteReference"/>
              </w:rPr>
              <w:endnoteReference w:id="303"/>
            </w:r>
          </w:p>
        </w:tc>
        <w:tc>
          <w:tcPr>
            <w:tcW w:w="778" w:type="dxa"/>
            <w:vAlign w:val="center"/>
          </w:tcPr>
          <w:p w:rsidR="00280D09" w:rsidRDefault="00280D09" w:rsidP="00E83597">
            <w:r>
              <w:rPr>
                <w:rFonts w:cs="Arial"/>
                <w:sz w:val="18"/>
                <w:szCs w:val="18"/>
              </w:rPr>
              <w:t>√</w:t>
            </w:r>
            <w:r>
              <w:rPr>
                <w:rStyle w:val="EndnoteReference"/>
              </w:rPr>
              <w:endnoteReference w:id="304"/>
            </w:r>
          </w:p>
        </w:tc>
        <w:tc>
          <w:tcPr>
            <w:tcW w:w="783" w:type="dxa"/>
            <w:vAlign w:val="center"/>
          </w:tcPr>
          <w:p w:rsidR="00280D09" w:rsidRDefault="00280D09" w:rsidP="00E83597">
            <w:r>
              <w:rPr>
                <w:rFonts w:cs="Arial"/>
                <w:sz w:val="18"/>
                <w:szCs w:val="18"/>
              </w:rPr>
              <w:t>√</w:t>
            </w:r>
            <w:r>
              <w:rPr>
                <w:rStyle w:val="EndnoteReference"/>
              </w:rPr>
              <w:endnoteReference w:id="305"/>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ES</w:t>
            </w:r>
          </w:p>
        </w:tc>
        <w:tc>
          <w:tcPr>
            <w:tcW w:w="784" w:type="dxa"/>
            <w:tcBorders>
              <w:left w:val="single" w:sz="12" w:space="0" w:color="auto"/>
            </w:tcBorders>
            <w:vAlign w:val="center"/>
          </w:tcPr>
          <w:p w:rsidR="00280D09" w:rsidRPr="00E217F3" w:rsidRDefault="00280D09" w:rsidP="00E83597">
            <w:pPr>
              <w:rPr>
                <w:sz w:val="18"/>
                <w:szCs w:val="18"/>
              </w:rPr>
            </w:pPr>
            <w:r w:rsidRPr="00D57C32">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vAlign w:val="center"/>
          </w:tcPr>
          <w:p w:rsidR="00280D09" w:rsidRDefault="00280D09" w:rsidP="00E83597">
            <w:r w:rsidRPr="0095727C">
              <w:rPr>
                <w:rFonts w:cs="Arial"/>
                <w:sz w:val="18"/>
                <w:szCs w:val="18"/>
              </w:rPr>
              <w:t>√</w:t>
            </w:r>
          </w:p>
        </w:tc>
        <w:tc>
          <w:tcPr>
            <w:tcW w:w="777" w:type="dxa"/>
            <w:vAlign w:val="center"/>
          </w:tcPr>
          <w:p w:rsidR="00280D09" w:rsidRDefault="00280D09" w:rsidP="00E83597">
            <w:r w:rsidRPr="0095727C">
              <w:rPr>
                <w:rFonts w:cs="Arial"/>
                <w:sz w:val="18"/>
                <w:szCs w:val="18"/>
              </w:rPr>
              <w:t>√</w:t>
            </w:r>
          </w:p>
        </w:tc>
        <w:tc>
          <w:tcPr>
            <w:tcW w:w="778" w:type="dxa"/>
            <w:vAlign w:val="center"/>
          </w:tcPr>
          <w:p w:rsidR="00280D09" w:rsidRDefault="00280D09" w:rsidP="00E83597">
            <w:r w:rsidRPr="0095727C">
              <w:rPr>
                <w:rFonts w:cs="Arial"/>
                <w:sz w:val="18"/>
                <w:szCs w:val="18"/>
              </w:rPr>
              <w:t>√</w:t>
            </w:r>
          </w:p>
        </w:tc>
        <w:tc>
          <w:tcPr>
            <w:tcW w:w="778" w:type="dxa"/>
            <w:vAlign w:val="center"/>
          </w:tcPr>
          <w:p w:rsidR="00280D09" w:rsidRDefault="00280D09" w:rsidP="00E83597">
            <w:r w:rsidRPr="0095727C">
              <w:rPr>
                <w:rFonts w:cs="Arial"/>
                <w:sz w:val="18"/>
                <w:szCs w:val="18"/>
              </w:rPr>
              <w:t>√</w:t>
            </w:r>
          </w:p>
        </w:tc>
        <w:tc>
          <w:tcPr>
            <w:tcW w:w="778" w:type="dxa"/>
            <w:vAlign w:val="center"/>
          </w:tcPr>
          <w:p w:rsidR="00280D09" w:rsidRDefault="00280D09" w:rsidP="00E83597">
            <w:r w:rsidRPr="0095727C">
              <w:rPr>
                <w:rFonts w:cs="Arial"/>
                <w:sz w:val="18"/>
                <w:szCs w:val="18"/>
              </w:rPr>
              <w:t>√</w:t>
            </w:r>
          </w:p>
        </w:tc>
        <w:tc>
          <w:tcPr>
            <w:tcW w:w="778" w:type="dxa"/>
            <w:vAlign w:val="center"/>
          </w:tcPr>
          <w:p w:rsidR="00280D09" w:rsidRDefault="00280D09" w:rsidP="00E83597">
            <w:r w:rsidRPr="0095727C">
              <w:rPr>
                <w:rFonts w:cs="Arial"/>
                <w:sz w:val="18"/>
                <w:szCs w:val="18"/>
              </w:rPr>
              <w:t>√</w:t>
            </w: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Pr>
                <w:rFonts w:cs="Arial"/>
                <w:sz w:val="18"/>
                <w:szCs w:val="18"/>
              </w:rPr>
              <w:t>√</w:t>
            </w:r>
          </w:p>
        </w:tc>
        <w:tc>
          <w:tcPr>
            <w:tcW w:w="778" w:type="dxa"/>
            <w:shd w:val="clear" w:color="auto" w:fill="D9D9D9" w:themeFill="background1" w:themeFillShade="D9"/>
            <w:vAlign w:val="center"/>
          </w:tcPr>
          <w:p w:rsidR="00280D09" w:rsidRDefault="00280D09" w:rsidP="00E83597"/>
        </w:tc>
        <w:tc>
          <w:tcPr>
            <w:tcW w:w="783" w:type="dxa"/>
            <w:vAlign w:val="center"/>
          </w:tcPr>
          <w:p w:rsidR="00280D09" w:rsidRDefault="00280D09" w:rsidP="00E83597">
            <w:r>
              <w:rPr>
                <w:rFonts w:cs="Arial"/>
                <w:sz w:val="18"/>
                <w:szCs w:val="18"/>
              </w:rPr>
              <w:t>√</w:t>
            </w:r>
            <w:r>
              <w:rPr>
                <w:rStyle w:val="EndnoteReference"/>
              </w:rPr>
              <w:endnoteReference w:id="306"/>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FI</w:t>
            </w:r>
          </w:p>
        </w:tc>
        <w:tc>
          <w:tcPr>
            <w:tcW w:w="784" w:type="dxa"/>
            <w:tcBorders>
              <w:left w:val="single" w:sz="12" w:space="0" w:color="auto"/>
            </w:tcBorders>
            <w:vAlign w:val="center"/>
          </w:tcPr>
          <w:p w:rsidR="00280D09" w:rsidRDefault="00280D09" w:rsidP="00E83597">
            <w:r w:rsidRPr="00584505">
              <w:rPr>
                <w:rFonts w:cs="Arial"/>
                <w:sz w:val="18"/>
                <w:szCs w:val="18"/>
              </w:rPr>
              <w:t>√</w:t>
            </w:r>
          </w:p>
        </w:tc>
        <w:tc>
          <w:tcPr>
            <w:tcW w:w="777" w:type="dxa"/>
            <w:vAlign w:val="center"/>
          </w:tcPr>
          <w:p w:rsidR="00280D09" w:rsidRDefault="00280D09" w:rsidP="00E83597">
            <w:r w:rsidRPr="00584505">
              <w:rPr>
                <w:rFonts w:cs="Arial"/>
                <w:sz w:val="18"/>
                <w:szCs w:val="18"/>
              </w:rPr>
              <w:t>√</w:t>
            </w:r>
          </w:p>
        </w:tc>
        <w:tc>
          <w:tcPr>
            <w:tcW w:w="777" w:type="dxa"/>
            <w:vAlign w:val="center"/>
          </w:tcPr>
          <w:p w:rsidR="00280D09" w:rsidRDefault="00280D09" w:rsidP="00E83597">
            <w:r w:rsidRPr="00584505">
              <w:rPr>
                <w:rFonts w:cs="Arial"/>
                <w:sz w:val="18"/>
                <w:szCs w:val="18"/>
              </w:rPr>
              <w:t>√</w:t>
            </w:r>
          </w:p>
        </w:tc>
        <w:tc>
          <w:tcPr>
            <w:tcW w:w="777" w:type="dxa"/>
            <w:vAlign w:val="center"/>
          </w:tcPr>
          <w:p w:rsidR="00280D09" w:rsidRDefault="00280D09" w:rsidP="00E83597">
            <w:r w:rsidRPr="00584505">
              <w:rPr>
                <w:rFonts w:cs="Arial"/>
                <w:sz w:val="18"/>
                <w:szCs w:val="18"/>
              </w:rPr>
              <w:t>√</w:t>
            </w:r>
          </w:p>
        </w:tc>
        <w:tc>
          <w:tcPr>
            <w:tcW w:w="778" w:type="dxa"/>
            <w:vAlign w:val="center"/>
          </w:tcPr>
          <w:p w:rsidR="00280D09" w:rsidRDefault="00280D09" w:rsidP="00E83597">
            <w:r w:rsidRPr="00584505">
              <w:rPr>
                <w:rFonts w:cs="Arial"/>
                <w:sz w:val="18"/>
                <w:szCs w:val="18"/>
              </w:rPr>
              <w:t>√</w:t>
            </w:r>
          </w:p>
        </w:tc>
        <w:tc>
          <w:tcPr>
            <w:tcW w:w="778" w:type="dxa"/>
            <w:vAlign w:val="center"/>
          </w:tcPr>
          <w:p w:rsidR="00280D09" w:rsidRDefault="00280D09" w:rsidP="00E83597">
            <w:r w:rsidRPr="00584505">
              <w:rPr>
                <w:rFonts w:cs="Arial"/>
                <w:sz w:val="18"/>
                <w:szCs w:val="18"/>
              </w:rPr>
              <w:t>√</w:t>
            </w:r>
          </w:p>
        </w:tc>
        <w:tc>
          <w:tcPr>
            <w:tcW w:w="778" w:type="dxa"/>
            <w:vAlign w:val="center"/>
          </w:tcPr>
          <w:p w:rsidR="00280D09" w:rsidRDefault="00280D09" w:rsidP="00E83597">
            <w:r w:rsidRPr="00584505">
              <w:rPr>
                <w:rFonts w:cs="Arial"/>
                <w:sz w:val="18"/>
                <w:szCs w:val="18"/>
              </w:rPr>
              <w:t>√</w:t>
            </w:r>
          </w:p>
        </w:tc>
        <w:tc>
          <w:tcPr>
            <w:tcW w:w="778" w:type="dxa"/>
            <w:vAlign w:val="center"/>
          </w:tcPr>
          <w:p w:rsidR="00280D09" w:rsidRDefault="00280D09" w:rsidP="00E83597">
            <w:r w:rsidRPr="00584505">
              <w:rPr>
                <w:rFonts w:cs="Arial"/>
                <w:sz w:val="18"/>
                <w:szCs w:val="18"/>
              </w:rPr>
              <w:t>√</w:t>
            </w:r>
          </w:p>
        </w:tc>
        <w:tc>
          <w:tcPr>
            <w:tcW w:w="777" w:type="dxa"/>
            <w:tcBorders>
              <w:right w:val="single" w:sz="12" w:space="0" w:color="auto"/>
            </w:tcBorders>
            <w:vAlign w:val="center"/>
          </w:tcPr>
          <w:p w:rsidR="00280D09" w:rsidRDefault="00280D09" w:rsidP="00E83597">
            <w:r w:rsidRPr="00584505">
              <w:rPr>
                <w:rFonts w:cs="Arial"/>
                <w:sz w:val="18"/>
                <w:szCs w:val="18"/>
              </w:rPr>
              <w:t>√</w:t>
            </w:r>
          </w:p>
        </w:tc>
        <w:tc>
          <w:tcPr>
            <w:tcW w:w="778" w:type="dxa"/>
            <w:tcBorders>
              <w:left w:val="single" w:sz="12" w:space="0" w:color="auto"/>
            </w:tcBorders>
            <w:vAlign w:val="center"/>
          </w:tcPr>
          <w:p w:rsidR="00280D09" w:rsidRDefault="00280D09" w:rsidP="00E83597">
            <w:r w:rsidRPr="00632B1E">
              <w:rPr>
                <w:rFonts w:cs="Arial"/>
                <w:sz w:val="18"/>
                <w:szCs w:val="18"/>
              </w:rPr>
              <w:t>√</w:t>
            </w:r>
          </w:p>
        </w:tc>
        <w:tc>
          <w:tcPr>
            <w:tcW w:w="778" w:type="dxa"/>
            <w:vAlign w:val="center"/>
          </w:tcPr>
          <w:p w:rsidR="00280D09" w:rsidRDefault="00280D09" w:rsidP="00E83597">
            <w:r w:rsidRPr="00632B1E">
              <w:rPr>
                <w:rFonts w:cs="Arial"/>
                <w:sz w:val="18"/>
                <w:szCs w:val="18"/>
              </w:rPr>
              <w:t>√</w:t>
            </w:r>
          </w:p>
        </w:tc>
        <w:tc>
          <w:tcPr>
            <w:tcW w:w="778" w:type="dxa"/>
            <w:vAlign w:val="center"/>
          </w:tcPr>
          <w:p w:rsidR="00280D09" w:rsidRDefault="00280D09" w:rsidP="00E83597">
            <w:r>
              <w:rPr>
                <w:rFonts w:cs="Arial"/>
                <w:sz w:val="18"/>
                <w:szCs w:val="18"/>
              </w:rPr>
              <w:t>√</w:t>
            </w:r>
            <w:r>
              <w:rPr>
                <w:rStyle w:val="EndnoteReference"/>
              </w:rPr>
              <w:endnoteReference w:id="307"/>
            </w:r>
          </w:p>
        </w:tc>
        <w:tc>
          <w:tcPr>
            <w:tcW w:w="783" w:type="dxa"/>
            <w:vAlign w:val="center"/>
          </w:tcPr>
          <w:p w:rsidR="00280D09" w:rsidRDefault="00280D09" w:rsidP="00E83597">
            <w:r>
              <w:rPr>
                <w:rFonts w:cs="Arial"/>
                <w:sz w:val="18"/>
                <w:szCs w:val="18"/>
              </w:rPr>
              <w:t>√</w:t>
            </w:r>
            <w:r>
              <w:rPr>
                <w:rStyle w:val="EndnoteReference"/>
              </w:rPr>
              <w:endnoteReference w:id="308"/>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FR</w:t>
            </w:r>
          </w:p>
        </w:tc>
        <w:tc>
          <w:tcPr>
            <w:tcW w:w="784" w:type="dxa"/>
            <w:tcBorders>
              <w:left w:val="single" w:sz="12" w:space="0" w:color="auto"/>
            </w:tcBorders>
            <w:vAlign w:val="center"/>
          </w:tcPr>
          <w:p w:rsidR="00280D09" w:rsidRDefault="00280D09" w:rsidP="00E83597">
            <w:r w:rsidRPr="00534AB9">
              <w:rPr>
                <w:rFonts w:cs="Arial"/>
                <w:sz w:val="18"/>
                <w:szCs w:val="18"/>
              </w:rPr>
              <w:t>√</w:t>
            </w:r>
          </w:p>
        </w:tc>
        <w:tc>
          <w:tcPr>
            <w:tcW w:w="777" w:type="dxa"/>
            <w:vAlign w:val="center"/>
          </w:tcPr>
          <w:p w:rsidR="00280D09" w:rsidRDefault="00280D09" w:rsidP="00E83597">
            <w:r w:rsidRPr="00534AB9">
              <w:rPr>
                <w:rFonts w:cs="Arial"/>
                <w:sz w:val="18"/>
                <w:szCs w:val="18"/>
              </w:rPr>
              <w:t>√</w:t>
            </w:r>
          </w:p>
        </w:tc>
        <w:tc>
          <w:tcPr>
            <w:tcW w:w="777" w:type="dxa"/>
            <w:vAlign w:val="center"/>
          </w:tcPr>
          <w:p w:rsidR="00280D09" w:rsidRDefault="00280D09" w:rsidP="00E83597">
            <w:r w:rsidRPr="00534AB9">
              <w:rPr>
                <w:rFonts w:cs="Arial"/>
                <w:sz w:val="18"/>
                <w:szCs w:val="18"/>
              </w:rPr>
              <w:t>√</w:t>
            </w:r>
          </w:p>
        </w:tc>
        <w:tc>
          <w:tcPr>
            <w:tcW w:w="777" w:type="dxa"/>
            <w:vAlign w:val="center"/>
          </w:tcPr>
          <w:p w:rsidR="00280D09" w:rsidRDefault="00280D09" w:rsidP="00E83597">
            <w:r w:rsidRPr="00534AB9">
              <w:rPr>
                <w:rFonts w:cs="Arial"/>
                <w:sz w:val="18"/>
                <w:szCs w:val="18"/>
              </w:rPr>
              <w:t>√</w:t>
            </w:r>
          </w:p>
        </w:tc>
        <w:tc>
          <w:tcPr>
            <w:tcW w:w="778" w:type="dxa"/>
            <w:vAlign w:val="center"/>
          </w:tcPr>
          <w:p w:rsidR="00280D09" w:rsidRDefault="00280D09" w:rsidP="00E83597">
            <w:r w:rsidRPr="00534AB9">
              <w:rPr>
                <w:rFonts w:cs="Arial"/>
                <w:sz w:val="18"/>
                <w:szCs w:val="18"/>
              </w:rPr>
              <w:t>√</w:t>
            </w:r>
          </w:p>
        </w:tc>
        <w:tc>
          <w:tcPr>
            <w:tcW w:w="778" w:type="dxa"/>
            <w:vAlign w:val="center"/>
          </w:tcPr>
          <w:p w:rsidR="00280D09" w:rsidRDefault="00280D09" w:rsidP="00E83597">
            <w:r w:rsidRPr="00534AB9">
              <w:rPr>
                <w:rFonts w:cs="Arial"/>
                <w:sz w:val="18"/>
                <w:szCs w:val="18"/>
              </w:rPr>
              <w:t>√</w:t>
            </w:r>
          </w:p>
        </w:tc>
        <w:tc>
          <w:tcPr>
            <w:tcW w:w="778" w:type="dxa"/>
            <w:vAlign w:val="center"/>
          </w:tcPr>
          <w:p w:rsidR="00280D09" w:rsidRDefault="00280D09" w:rsidP="00E83597">
            <w:r w:rsidRPr="00534AB9">
              <w:rPr>
                <w:rFonts w:cs="Arial"/>
                <w:sz w:val="18"/>
                <w:szCs w:val="18"/>
              </w:rPr>
              <w:t>√</w:t>
            </w:r>
          </w:p>
        </w:tc>
        <w:tc>
          <w:tcPr>
            <w:tcW w:w="778" w:type="dxa"/>
            <w:vAlign w:val="center"/>
          </w:tcPr>
          <w:p w:rsidR="00280D09" w:rsidRDefault="00280D09" w:rsidP="00E83597">
            <w:r w:rsidRPr="00534AB9">
              <w:rPr>
                <w:rFonts w:cs="Arial"/>
                <w:sz w:val="18"/>
                <w:szCs w:val="18"/>
              </w:rPr>
              <w:t>√</w:t>
            </w: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Pr>
                <w:rFonts w:cs="Arial"/>
                <w:sz w:val="18"/>
                <w:szCs w:val="18"/>
              </w:rPr>
              <w:t>√</w:t>
            </w:r>
            <w:r>
              <w:rPr>
                <w:rStyle w:val="EndnoteReference"/>
              </w:rPr>
              <w:endnoteReference w:id="309"/>
            </w:r>
          </w:p>
        </w:tc>
        <w:tc>
          <w:tcPr>
            <w:tcW w:w="778" w:type="dxa"/>
            <w:vAlign w:val="center"/>
          </w:tcPr>
          <w:p w:rsidR="00280D09" w:rsidRDefault="00280D09" w:rsidP="00E83597">
            <w:r>
              <w:rPr>
                <w:rFonts w:cs="Arial"/>
                <w:sz w:val="18"/>
                <w:szCs w:val="18"/>
              </w:rPr>
              <w:t>√</w:t>
            </w:r>
          </w:p>
        </w:tc>
        <w:tc>
          <w:tcPr>
            <w:tcW w:w="778" w:type="dxa"/>
            <w:vAlign w:val="center"/>
          </w:tcPr>
          <w:p w:rsidR="00280D09" w:rsidRDefault="00280D09" w:rsidP="00E83597">
            <w:r w:rsidRPr="00B96353">
              <w:rPr>
                <w:rFonts w:cs="Arial"/>
                <w:sz w:val="18"/>
                <w:szCs w:val="18"/>
              </w:rPr>
              <w:t>√</w:t>
            </w:r>
          </w:p>
        </w:tc>
        <w:tc>
          <w:tcPr>
            <w:tcW w:w="783" w:type="dxa"/>
            <w:vAlign w:val="center"/>
          </w:tcPr>
          <w:p w:rsidR="00280D09" w:rsidRDefault="00280D09" w:rsidP="00E83597">
            <w:r w:rsidRPr="00B96353">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HR</w:t>
            </w:r>
          </w:p>
        </w:tc>
        <w:tc>
          <w:tcPr>
            <w:tcW w:w="784" w:type="dxa"/>
            <w:tcBorders>
              <w:left w:val="single" w:sz="12" w:space="0" w:color="auto"/>
            </w:tcBorders>
            <w:vAlign w:val="center"/>
          </w:tcPr>
          <w:p w:rsidR="00280D09" w:rsidRDefault="00280D09" w:rsidP="00E83597">
            <w:r w:rsidRPr="00FC5D8C">
              <w:rPr>
                <w:rFonts w:cs="Arial"/>
                <w:sz w:val="18"/>
                <w:szCs w:val="18"/>
              </w:rPr>
              <w:t>√</w:t>
            </w:r>
          </w:p>
        </w:tc>
        <w:tc>
          <w:tcPr>
            <w:tcW w:w="777" w:type="dxa"/>
            <w:vAlign w:val="center"/>
          </w:tcPr>
          <w:p w:rsidR="00280D09" w:rsidRDefault="00280D09" w:rsidP="00E83597">
            <w:r w:rsidRPr="00FC5D8C">
              <w:rPr>
                <w:rFonts w:cs="Arial"/>
                <w:sz w:val="18"/>
                <w:szCs w:val="18"/>
              </w:rPr>
              <w:t>√</w:t>
            </w:r>
          </w:p>
        </w:tc>
        <w:tc>
          <w:tcPr>
            <w:tcW w:w="777" w:type="dxa"/>
            <w:vAlign w:val="center"/>
          </w:tcPr>
          <w:p w:rsidR="00280D09" w:rsidRDefault="00280D09" w:rsidP="00E83597">
            <w:r w:rsidRPr="00FC5D8C">
              <w:rPr>
                <w:rFonts w:cs="Arial"/>
                <w:sz w:val="18"/>
                <w:szCs w:val="18"/>
              </w:rPr>
              <w:t>√</w:t>
            </w:r>
          </w:p>
        </w:tc>
        <w:tc>
          <w:tcPr>
            <w:tcW w:w="777" w:type="dxa"/>
            <w:vAlign w:val="center"/>
          </w:tcPr>
          <w:p w:rsidR="00280D09" w:rsidRDefault="00280D09" w:rsidP="00E83597">
            <w:r w:rsidRPr="00FC5D8C">
              <w:rPr>
                <w:rFonts w:cs="Arial"/>
                <w:sz w:val="18"/>
                <w:szCs w:val="18"/>
              </w:rPr>
              <w:t>√</w:t>
            </w:r>
          </w:p>
        </w:tc>
        <w:tc>
          <w:tcPr>
            <w:tcW w:w="778" w:type="dxa"/>
            <w:vAlign w:val="center"/>
          </w:tcPr>
          <w:p w:rsidR="00280D09" w:rsidRDefault="00280D09" w:rsidP="00E83597">
            <w:r w:rsidRPr="00FC5D8C">
              <w:rPr>
                <w:rFonts w:cs="Arial"/>
                <w:sz w:val="18"/>
                <w:szCs w:val="18"/>
              </w:rPr>
              <w:t>√</w:t>
            </w:r>
          </w:p>
        </w:tc>
        <w:tc>
          <w:tcPr>
            <w:tcW w:w="778" w:type="dxa"/>
            <w:vAlign w:val="center"/>
          </w:tcPr>
          <w:p w:rsidR="00280D09" w:rsidRDefault="00280D09" w:rsidP="00E83597">
            <w:r w:rsidRPr="00FC5D8C">
              <w:rPr>
                <w:rFonts w:cs="Arial"/>
                <w:sz w:val="18"/>
                <w:szCs w:val="18"/>
              </w:rPr>
              <w:t>√</w:t>
            </w:r>
          </w:p>
        </w:tc>
        <w:tc>
          <w:tcPr>
            <w:tcW w:w="778" w:type="dxa"/>
            <w:vAlign w:val="center"/>
          </w:tcPr>
          <w:p w:rsidR="00280D09" w:rsidRDefault="00280D09" w:rsidP="00E83597">
            <w:r w:rsidRPr="00FC5D8C">
              <w:rPr>
                <w:rFonts w:cs="Arial"/>
                <w:sz w:val="18"/>
                <w:szCs w:val="18"/>
              </w:rPr>
              <w:t>√</w:t>
            </w:r>
          </w:p>
        </w:tc>
        <w:tc>
          <w:tcPr>
            <w:tcW w:w="778" w:type="dxa"/>
            <w:vAlign w:val="center"/>
          </w:tcPr>
          <w:p w:rsidR="00280D09" w:rsidRDefault="00280D09" w:rsidP="00E83597">
            <w:r w:rsidRPr="00FC5D8C">
              <w:rPr>
                <w:rFonts w:cs="Arial"/>
                <w:sz w:val="18"/>
                <w:szCs w:val="18"/>
              </w:rPr>
              <w:t>√</w:t>
            </w:r>
          </w:p>
        </w:tc>
        <w:tc>
          <w:tcPr>
            <w:tcW w:w="777" w:type="dxa"/>
            <w:tcBorders>
              <w:right w:val="single" w:sz="12" w:space="0" w:color="auto"/>
            </w:tcBorders>
            <w:vAlign w:val="center"/>
          </w:tcPr>
          <w:p w:rsidR="00280D09" w:rsidRDefault="00280D09" w:rsidP="00E83597">
            <w:r w:rsidRPr="00FC5D8C">
              <w:rPr>
                <w:rFonts w:cs="Arial"/>
                <w:sz w:val="18"/>
                <w:szCs w:val="18"/>
              </w:rPr>
              <w:t>√</w:t>
            </w:r>
          </w:p>
        </w:tc>
        <w:tc>
          <w:tcPr>
            <w:tcW w:w="778" w:type="dxa"/>
            <w:tcBorders>
              <w:left w:val="single" w:sz="12" w:space="0" w:color="auto"/>
            </w:tcBorders>
            <w:vAlign w:val="center"/>
          </w:tcPr>
          <w:p w:rsidR="00280D09" w:rsidRDefault="00280D09" w:rsidP="00E83597">
            <w:r w:rsidRPr="00675686">
              <w:rPr>
                <w:rFonts w:cs="Arial"/>
                <w:sz w:val="18"/>
                <w:szCs w:val="18"/>
              </w:rPr>
              <w:t>√</w:t>
            </w:r>
          </w:p>
        </w:tc>
        <w:tc>
          <w:tcPr>
            <w:tcW w:w="778" w:type="dxa"/>
            <w:vAlign w:val="center"/>
          </w:tcPr>
          <w:p w:rsidR="00280D09" w:rsidRDefault="00280D09" w:rsidP="00E83597">
            <w:r w:rsidRPr="00675686">
              <w:rPr>
                <w:rFonts w:cs="Arial"/>
                <w:sz w:val="18"/>
                <w:szCs w:val="18"/>
              </w:rPr>
              <w:t>√</w:t>
            </w:r>
          </w:p>
        </w:tc>
        <w:tc>
          <w:tcPr>
            <w:tcW w:w="778" w:type="dxa"/>
            <w:vAlign w:val="center"/>
          </w:tcPr>
          <w:p w:rsidR="00280D09" w:rsidRDefault="00280D09" w:rsidP="00E83597">
            <w:r w:rsidRPr="00B96353">
              <w:rPr>
                <w:rFonts w:cs="Arial"/>
                <w:sz w:val="18"/>
                <w:szCs w:val="18"/>
              </w:rPr>
              <w:t>√</w:t>
            </w:r>
          </w:p>
        </w:tc>
        <w:tc>
          <w:tcPr>
            <w:tcW w:w="783" w:type="dxa"/>
            <w:vAlign w:val="center"/>
          </w:tcPr>
          <w:p w:rsidR="00280D09" w:rsidRDefault="00280D09" w:rsidP="00E83597">
            <w:r w:rsidRPr="00B96353">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HU</w:t>
            </w:r>
          </w:p>
        </w:tc>
        <w:tc>
          <w:tcPr>
            <w:tcW w:w="784" w:type="dxa"/>
            <w:tcBorders>
              <w:left w:val="single" w:sz="12" w:space="0" w:color="auto"/>
            </w:tcBorders>
            <w:vAlign w:val="center"/>
          </w:tcPr>
          <w:p w:rsidR="00280D09" w:rsidRDefault="00280D09" w:rsidP="00E83597">
            <w:r w:rsidRPr="002420DD">
              <w:rPr>
                <w:rFonts w:cs="Arial"/>
                <w:sz w:val="18"/>
                <w:szCs w:val="18"/>
              </w:rPr>
              <w:t>√</w:t>
            </w:r>
          </w:p>
        </w:tc>
        <w:tc>
          <w:tcPr>
            <w:tcW w:w="777" w:type="dxa"/>
            <w:vAlign w:val="center"/>
          </w:tcPr>
          <w:p w:rsidR="00280D09" w:rsidRDefault="00280D09" w:rsidP="00E83597">
            <w:r w:rsidRPr="002420DD">
              <w:rPr>
                <w:rFonts w:cs="Arial"/>
                <w:sz w:val="18"/>
                <w:szCs w:val="18"/>
              </w:rPr>
              <w:t>√</w:t>
            </w:r>
          </w:p>
        </w:tc>
        <w:tc>
          <w:tcPr>
            <w:tcW w:w="777" w:type="dxa"/>
            <w:vAlign w:val="center"/>
          </w:tcPr>
          <w:p w:rsidR="00280D09" w:rsidRDefault="00280D09" w:rsidP="00E83597">
            <w:r w:rsidRPr="002420DD">
              <w:rPr>
                <w:rFonts w:cs="Arial"/>
                <w:sz w:val="18"/>
                <w:szCs w:val="18"/>
              </w:rPr>
              <w:t>√</w:t>
            </w:r>
          </w:p>
        </w:tc>
        <w:tc>
          <w:tcPr>
            <w:tcW w:w="777" w:type="dxa"/>
            <w:vAlign w:val="center"/>
          </w:tcPr>
          <w:p w:rsidR="00280D09" w:rsidRDefault="00280D09" w:rsidP="00E83597">
            <w:r w:rsidRPr="002420DD">
              <w:rPr>
                <w:rFonts w:cs="Arial"/>
                <w:sz w:val="18"/>
                <w:szCs w:val="18"/>
              </w:rPr>
              <w:t>√</w:t>
            </w:r>
          </w:p>
        </w:tc>
        <w:tc>
          <w:tcPr>
            <w:tcW w:w="778" w:type="dxa"/>
            <w:vAlign w:val="center"/>
          </w:tcPr>
          <w:p w:rsidR="00280D09" w:rsidRDefault="00280D09" w:rsidP="00E83597">
            <w:r w:rsidRPr="002420DD">
              <w:rPr>
                <w:rFonts w:cs="Arial"/>
                <w:sz w:val="18"/>
                <w:szCs w:val="18"/>
              </w:rPr>
              <w:t>√</w:t>
            </w:r>
          </w:p>
        </w:tc>
        <w:tc>
          <w:tcPr>
            <w:tcW w:w="778" w:type="dxa"/>
            <w:vAlign w:val="center"/>
          </w:tcPr>
          <w:p w:rsidR="00280D09" w:rsidRDefault="00280D09" w:rsidP="00E83597">
            <w:r w:rsidRPr="002420DD">
              <w:rPr>
                <w:rFonts w:cs="Arial"/>
                <w:sz w:val="18"/>
                <w:szCs w:val="18"/>
              </w:rPr>
              <w:t>√</w:t>
            </w:r>
          </w:p>
        </w:tc>
        <w:tc>
          <w:tcPr>
            <w:tcW w:w="778" w:type="dxa"/>
            <w:vAlign w:val="center"/>
          </w:tcPr>
          <w:p w:rsidR="00280D09" w:rsidRDefault="00280D09" w:rsidP="00E83597">
            <w:r w:rsidRPr="002420DD">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Pr="00E217F3" w:rsidRDefault="00280D09" w:rsidP="00E83597">
            <w:pPr>
              <w:rPr>
                <w:sz w:val="18"/>
                <w:szCs w:val="18"/>
              </w:rPr>
            </w:pPr>
            <w:r>
              <w:rPr>
                <w:rFonts w:cs="Arial"/>
                <w:sz w:val="18"/>
                <w:szCs w:val="18"/>
              </w:rPr>
              <w:t>√</w:t>
            </w:r>
          </w:p>
        </w:tc>
        <w:tc>
          <w:tcPr>
            <w:tcW w:w="778" w:type="dxa"/>
            <w:tcBorders>
              <w:left w:val="single" w:sz="12" w:space="0" w:color="auto"/>
            </w:tcBorders>
            <w:vAlign w:val="center"/>
          </w:tcPr>
          <w:p w:rsidR="00280D09" w:rsidRDefault="00280D09" w:rsidP="00E83597">
            <w:r w:rsidRPr="00675686">
              <w:rPr>
                <w:rFonts w:cs="Arial"/>
                <w:sz w:val="18"/>
                <w:szCs w:val="18"/>
              </w:rPr>
              <w:t>√</w:t>
            </w:r>
          </w:p>
        </w:tc>
        <w:tc>
          <w:tcPr>
            <w:tcW w:w="778" w:type="dxa"/>
            <w:vAlign w:val="center"/>
          </w:tcPr>
          <w:p w:rsidR="00280D09" w:rsidRDefault="00280D09" w:rsidP="00E83597">
            <w:r w:rsidRPr="00675686">
              <w:rPr>
                <w:rFonts w:cs="Arial"/>
                <w:sz w:val="18"/>
                <w:szCs w:val="18"/>
              </w:rPr>
              <w:t>√</w:t>
            </w:r>
          </w:p>
        </w:tc>
        <w:tc>
          <w:tcPr>
            <w:tcW w:w="778" w:type="dxa"/>
            <w:vAlign w:val="center"/>
          </w:tcPr>
          <w:p w:rsidR="00280D09" w:rsidRDefault="00280D09" w:rsidP="00E83597">
            <w:r>
              <w:rPr>
                <w:rFonts w:cs="Arial"/>
                <w:sz w:val="18"/>
                <w:szCs w:val="18"/>
              </w:rPr>
              <w:t>√</w:t>
            </w:r>
            <w:r>
              <w:rPr>
                <w:rStyle w:val="EndnoteReference"/>
              </w:rPr>
              <w:endnoteReference w:id="310"/>
            </w:r>
          </w:p>
        </w:tc>
        <w:tc>
          <w:tcPr>
            <w:tcW w:w="783" w:type="dxa"/>
            <w:vAlign w:val="center"/>
          </w:tcPr>
          <w:p w:rsidR="00280D09" w:rsidRDefault="00280D09" w:rsidP="00E83597">
            <w:r>
              <w:rPr>
                <w:rFonts w:cs="Arial"/>
                <w:sz w:val="18"/>
                <w:szCs w:val="18"/>
              </w:rPr>
              <w:t>√</w:t>
            </w:r>
            <w:r>
              <w:rPr>
                <w:rStyle w:val="EndnoteReference"/>
              </w:rPr>
              <w:endnoteReference w:id="311"/>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IE</w:t>
            </w:r>
          </w:p>
        </w:tc>
        <w:tc>
          <w:tcPr>
            <w:tcW w:w="784" w:type="dxa"/>
            <w:tcBorders>
              <w:left w:val="single" w:sz="12" w:space="0" w:color="auto"/>
            </w:tcBorders>
            <w:vAlign w:val="center"/>
          </w:tcPr>
          <w:p w:rsidR="00280D09" w:rsidRDefault="00280D09" w:rsidP="00E83597">
            <w:r w:rsidRPr="001E3FA6">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8535F4">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sidRPr="00184B1B">
              <w:rPr>
                <w:rFonts w:cs="Arial"/>
                <w:sz w:val="18"/>
                <w:szCs w:val="18"/>
              </w:rPr>
              <w:t>√</w:t>
            </w:r>
          </w:p>
        </w:tc>
        <w:tc>
          <w:tcPr>
            <w:tcW w:w="778" w:type="dxa"/>
            <w:vAlign w:val="center"/>
          </w:tcPr>
          <w:p w:rsidR="00280D09" w:rsidRDefault="00280D09" w:rsidP="00E83597">
            <w:r w:rsidRPr="00184B1B">
              <w:rPr>
                <w:rFonts w:cs="Arial"/>
                <w:sz w:val="18"/>
                <w:szCs w:val="18"/>
              </w:rPr>
              <w:t>√</w:t>
            </w:r>
          </w:p>
        </w:tc>
        <w:tc>
          <w:tcPr>
            <w:tcW w:w="778" w:type="dxa"/>
            <w:vAlign w:val="center"/>
          </w:tcPr>
          <w:p w:rsidR="00280D09" w:rsidRDefault="00280D09" w:rsidP="00E83597">
            <w:r w:rsidRPr="00184B1B">
              <w:rPr>
                <w:rFonts w:cs="Arial"/>
                <w:sz w:val="18"/>
                <w:szCs w:val="18"/>
              </w:rPr>
              <w:t>√</w:t>
            </w:r>
          </w:p>
        </w:tc>
        <w:tc>
          <w:tcPr>
            <w:tcW w:w="783" w:type="dxa"/>
            <w:vAlign w:val="center"/>
          </w:tcPr>
          <w:p w:rsidR="00280D09" w:rsidRDefault="00280D09" w:rsidP="00E83597">
            <w:r w:rsidRPr="00184B1B">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IT</w:t>
            </w:r>
          </w:p>
        </w:tc>
        <w:tc>
          <w:tcPr>
            <w:tcW w:w="784" w:type="dxa"/>
            <w:tcBorders>
              <w:left w:val="single" w:sz="12" w:space="0" w:color="auto"/>
            </w:tcBorders>
            <w:vAlign w:val="center"/>
          </w:tcPr>
          <w:p w:rsidR="00280D09" w:rsidRDefault="00280D09" w:rsidP="00E83597">
            <w:r w:rsidRPr="001E3FA6">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vAlign w:val="center"/>
          </w:tcPr>
          <w:p w:rsidR="00280D09" w:rsidRDefault="00280D09" w:rsidP="00E83597">
            <w:r w:rsidRPr="006052BF">
              <w:rPr>
                <w:rFonts w:cs="Arial"/>
                <w:sz w:val="18"/>
                <w:szCs w:val="18"/>
              </w:rPr>
              <w:t>√</w:t>
            </w:r>
          </w:p>
        </w:tc>
        <w:tc>
          <w:tcPr>
            <w:tcW w:w="777" w:type="dxa"/>
            <w:vAlign w:val="center"/>
          </w:tcPr>
          <w:p w:rsidR="00280D09" w:rsidRDefault="00280D09" w:rsidP="00E83597">
            <w:r w:rsidRPr="006052BF">
              <w:rPr>
                <w:rFonts w:cs="Arial"/>
                <w:sz w:val="18"/>
                <w:szCs w:val="18"/>
              </w:rPr>
              <w:t>√</w:t>
            </w:r>
          </w:p>
        </w:tc>
        <w:tc>
          <w:tcPr>
            <w:tcW w:w="778" w:type="dxa"/>
            <w:vAlign w:val="center"/>
          </w:tcPr>
          <w:p w:rsidR="00280D09" w:rsidRDefault="00280D09" w:rsidP="00E83597">
            <w:r w:rsidRPr="006052BF">
              <w:rPr>
                <w:rFonts w:cs="Arial"/>
                <w:sz w:val="18"/>
                <w:szCs w:val="18"/>
              </w:rPr>
              <w:t>√</w:t>
            </w:r>
          </w:p>
        </w:tc>
        <w:tc>
          <w:tcPr>
            <w:tcW w:w="778" w:type="dxa"/>
            <w:vAlign w:val="center"/>
          </w:tcPr>
          <w:p w:rsidR="00280D09" w:rsidRDefault="00280D09" w:rsidP="00E83597">
            <w:r w:rsidRPr="006052BF">
              <w:rPr>
                <w:rFonts w:cs="Arial"/>
                <w:sz w:val="18"/>
                <w:szCs w:val="18"/>
              </w:rPr>
              <w:t>√</w:t>
            </w:r>
          </w:p>
        </w:tc>
        <w:tc>
          <w:tcPr>
            <w:tcW w:w="778" w:type="dxa"/>
            <w:vAlign w:val="center"/>
          </w:tcPr>
          <w:p w:rsidR="00280D09" w:rsidRDefault="00280D09" w:rsidP="00E83597">
            <w:r w:rsidRPr="008535F4">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Default="00280D09" w:rsidP="00E83597">
            <w:r w:rsidRPr="003425C4">
              <w:rPr>
                <w:rFonts w:cs="Arial"/>
                <w:sz w:val="18"/>
                <w:szCs w:val="18"/>
              </w:rPr>
              <w:t>√</w:t>
            </w:r>
          </w:p>
        </w:tc>
        <w:tc>
          <w:tcPr>
            <w:tcW w:w="778" w:type="dxa"/>
            <w:tcBorders>
              <w:left w:val="single" w:sz="12" w:space="0" w:color="auto"/>
            </w:tcBorders>
            <w:vAlign w:val="center"/>
          </w:tcPr>
          <w:p w:rsidR="00280D09" w:rsidRDefault="00280D09" w:rsidP="00E83597">
            <w:r w:rsidRPr="003425C4">
              <w:rPr>
                <w:rFonts w:cs="Arial"/>
                <w:sz w:val="18"/>
                <w:szCs w:val="18"/>
              </w:rPr>
              <w:t>√</w:t>
            </w:r>
          </w:p>
        </w:tc>
        <w:tc>
          <w:tcPr>
            <w:tcW w:w="778" w:type="dxa"/>
            <w:vAlign w:val="center"/>
          </w:tcPr>
          <w:p w:rsidR="00280D09" w:rsidRDefault="00280D09" w:rsidP="00E83597">
            <w:r w:rsidRPr="003425C4">
              <w:rPr>
                <w:rFonts w:cs="Arial"/>
                <w:sz w:val="18"/>
                <w:szCs w:val="18"/>
              </w:rPr>
              <w:t>√</w:t>
            </w:r>
          </w:p>
        </w:tc>
        <w:tc>
          <w:tcPr>
            <w:tcW w:w="778" w:type="dxa"/>
            <w:vAlign w:val="center"/>
          </w:tcPr>
          <w:p w:rsidR="00280D09" w:rsidRDefault="00280D09" w:rsidP="00E83597">
            <w:r w:rsidRPr="003425C4">
              <w:rPr>
                <w:rFonts w:cs="Arial"/>
                <w:sz w:val="18"/>
                <w:szCs w:val="18"/>
              </w:rPr>
              <w:t>√</w:t>
            </w:r>
          </w:p>
        </w:tc>
        <w:tc>
          <w:tcPr>
            <w:tcW w:w="783" w:type="dxa"/>
            <w:vAlign w:val="center"/>
          </w:tcPr>
          <w:p w:rsidR="00280D09" w:rsidRDefault="00280D09" w:rsidP="00E83597">
            <w:r w:rsidRPr="003425C4">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LT</w:t>
            </w:r>
          </w:p>
        </w:tc>
        <w:tc>
          <w:tcPr>
            <w:tcW w:w="784" w:type="dxa"/>
            <w:tcBorders>
              <w:left w:val="single" w:sz="12" w:space="0" w:color="auto"/>
            </w:tcBorders>
            <w:vAlign w:val="center"/>
          </w:tcPr>
          <w:p w:rsidR="00280D09" w:rsidRPr="00E217F3" w:rsidRDefault="00280D09" w:rsidP="00E83597">
            <w:pPr>
              <w:rPr>
                <w:sz w:val="18"/>
                <w:szCs w:val="18"/>
              </w:rPr>
            </w:pPr>
            <w:r>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sidRPr="007D5DBC">
              <w:rPr>
                <w:rFonts w:cs="Arial"/>
                <w:sz w:val="18"/>
                <w:szCs w:val="18"/>
              </w:rPr>
              <w:t>√</w:t>
            </w:r>
          </w:p>
        </w:tc>
        <w:tc>
          <w:tcPr>
            <w:tcW w:w="778" w:type="dxa"/>
            <w:vAlign w:val="center"/>
          </w:tcPr>
          <w:p w:rsidR="00280D09" w:rsidRDefault="00280D09" w:rsidP="00E83597">
            <w:r w:rsidRPr="007D5DBC">
              <w:rPr>
                <w:rFonts w:cs="Arial"/>
                <w:sz w:val="18"/>
                <w:szCs w:val="18"/>
              </w:rPr>
              <w:t>√</w:t>
            </w:r>
          </w:p>
        </w:tc>
        <w:tc>
          <w:tcPr>
            <w:tcW w:w="778" w:type="dxa"/>
            <w:vAlign w:val="center"/>
          </w:tcPr>
          <w:p w:rsidR="00280D09" w:rsidRDefault="00280D09" w:rsidP="00E83597">
            <w:r w:rsidRPr="007D5DBC">
              <w:rPr>
                <w:rFonts w:cs="Arial"/>
                <w:sz w:val="18"/>
                <w:szCs w:val="18"/>
              </w:rPr>
              <w:t>√</w:t>
            </w:r>
          </w:p>
        </w:tc>
        <w:tc>
          <w:tcPr>
            <w:tcW w:w="783" w:type="dxa"/>
            <w:shd w:val="clear" w:color="auto" w:fill="D9D9D9" w:themeFill="background1" w:themeFillShade="D9"/>
            <w:vAlign w:val="center"/>
          </w:tcPr>
          <w:p w:rsidR="00280D09" w:rsidRDefault="00280D09" w:rsidP="00E83597"/>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LU</w:t>
            </w:r>
          </w:p>
        </w:tc>
        <w:tc>
          <w:tcPr>
            <w:tcW w:w="784" w:type="dxa"/>
            <w:tcBorders>
              <w:left w:val="single" w:sz="12" w:space="0" w:color="auto"/>
            </w:tcBorders>
            <w:vAlign w:val="center"/>
          </w:tcPr>
          <w:p w:rsidR="00280D09" w:rsidRDefault="00280D09" w:rsidP="00E83597">
            <w:r w:rsidRPr="005C3B11">
              <w:rPr>
                <w:rFonts w:cs="Arial"/>
                <w:sz w:val="18"/>
                <w:szCs w:val="18"/>
              </w:rPr>
              <w:t>√</w:t>
            </w:r>
          </w:p>
        </w:tc>
        <w:tc>
          <w:tcPr>
            <w:tcW w:w="777" w:type="dxa"/>
            <w:vAlign w:val="center"/>
          </w:tcPr>
          <w:p w:rsidR="00280D09" w:rsidRDefault="00280D09" w:rsidP="00E83597">
            <w:r w:rsidRPr="005C3B11">
              <w:rPr>
                <w:rFonts w:cs="Arial"/>
                <w:sz w:val="18"/>
                <w:szCs w:val="18"/>
              </w:rPr>
              <w:t>√</w:t>
            </w:r>
          </w:p>
        </w:tc>
        <w:tc>
          <w:tcPr>
            <w:tcW w:w="777" w:type="dxa"/>
            <w:vAlign w:val="center"/>
          </w:tcPr>
          <w:p w:rsidR="00280D09" w:rsidRDefault="00280D09" w:rsidP="00E83597">
            <w:r w:rsidRPr="005C3B11">
              <w:rPr>
                <w:rFonts w:cs="Arial"/>
                <w:sz w:val="18"/>
                <w:szCs w:val="18"/>
              </w:rPr>
              <w:t>√</w:t>
            </w:r>
          </w:p>
        </w:tc>
        <w:tc>
          <w:tcPr>
            <w:tcW w:w="777" w:type="dxa"/>
            <w:vAlign w:val="center"/>
          </w:tcPr>
          <w:p w:rsidR="00280D09" w:rsidRDefault="00280D09" w:rsidP="00E83597">
            <w:r w:rsidRPr="005C3B11">
              <w:rPr>
                <w:rFonts w:cs="Arial"/>
                <w:sz w:val="18"/>
                <w:szCs w:val="18"/>
              </w:rPr>
              <w:t>√</w:t>
            </w:r>
          </w:p>
        </w:tc>
        <w:tc>
          <w:tcPr>
            <w:tcW w:w="778" w:type="dxa"/>
            <w:vAlign w:val="center"/>
          </w:tcPr>
          <w:p w:rsidR="00280D09" w:rsidRDefault="00280D09" w:rsidP="00E83597">
            <w:r w:rsidRPr="005C3B11">
              <w:rPr>
                <w:rFonts w:cs="Arial"/>
                <w:sz w:val="18"/>
                <w:szCs w:val="18"/>
              </w:rPr>
              <w:t>√</w:t>
            </w:r>
          </w:p>
        </w:tc>
        <w:tc>
          <w:tcPr>
            <w:tcW w:w="778" w:type="dxa"/>
            <w:vAlign w:val="center"/>
          </w:tcPr>
          <w:p w:rsidR="00280D09" w:rsidRDefault="00280D09" w:rsidP="00E83597">
            <w:r w:rsidRPr="005C3B11">
              <w:rPr>
                <w:rFonts w:cs="Arial"/>
                <w:sz w:val="18"/>
                <w:szCs w:val="18"/>
              </w:rPr>
              <w:t>√</w:t>
            </w:r>
          </w:p>
        </w:tc>
        <w:tc>
          <w:tcPr>
            <w:tcW w:w="778" w:type="dxa"/>
            <w:vAlign w:val="center"/>
          </w:tcPr>
          <w:p w:rsidR="00280D09" w:rsidRDefault="00280D09" w:rsidP="00E83597">
            <w:r w:rsidRPr="005C3B11">
              <w:rPr>
                <w:rFonts w:cs="Arial"/>
                <w:sz w:val="18"/>
                <w:szCs w:val="18"/>
              </w:rPr>
              <w:t>√</w:t>
            </w:r>
          </w:p>
        </w:tc>
        <w:tc>
          <w:tcPr>
            <w:tcW w:w="778" w:type="dxa"/>
            <w:vAlign w:val="center"/>
          </w:tcPr>
          <w:p w:rsidR="00280D09" w:rsidRDefault="00280D09" w:rsidP="00E83597">
            <w:r w:rsidRPr="005C3B11">
              <w:rPr>
                <w:rFonts w:cs="Arial"/>
                <w:sz w:val="18"/>
                <w:szCs w:val="18"/>
              </w:rPr>
              <w:t>√</w:t>
            </w:r>
          </w:p>
        </w:tc>
        <w:tc>
          <w:tcPr>
            <w:tcW w:w="777" w:type="dxa"/>
            <w:tcBorders>
              <w:right w:val="single" w:sz="12" w:space="0" w:color="auto"/>
            </w:tcBorders>
            <w:vAlign w:val="center"/>
          </w:tcPr>
          <w:p w:rsidR="00280D09" w:rsidRDefault="00280D09" w:rsidP="00E83597">
            <w:r w:rsidRPr="005C3B11">
              <w:rPr>
                <w:rFonts w:cs="Arial"/>
                <w:sz w:val="18"/>
                <w:szCs w:val="18"/>
              </w:rPr>
              <w:t>√</w:t>
            </w:r>
          </w:p>
        </w:tc>
        <w:tc>
          <w:tcPr>
            <w:tcW w:w="778" w:type="dxa"/>
            <w:tcBorders>
              <w:left w:val="single" w:sz="12" w:space="0" w:color="auto"/>
            </w:tcBorders>
            <w:vAlign w:val="center"/>
          </w:tcPr>
          <w:p w:rsidR="00280D09" w:rsidRDefault="00280D09" w:rsidP="00E83597">
            <w:r w:rsidRPr="005C3B11">
              <w:rPr>
                <w:rFonts w:cs="Arial"/>
                <w:sz w:val="18"/>
                <w:szCs w:val="18"/>
              </w:rPr>
              <w:t>√</w:t>
            </w:r>
          </w:p>
        </w:tc>
        <w:tc>
          <w:tcPr>
            <w:tcW w:w="778" w:type="dxa"/>
            <w:vAlign w:val="center"/>
          </w:tcPr>
          <w:p w:rsidR="00280D09" w:rsidRDefault="00280D09" w:rsidP="00E83597">
            <w:r w:rsidRPr="005C3B11">
              <w:rPr>
                <w:rFonts w:cs="Arial"/>
                <w:sz w:val="18"/>
                <w:szCs w:val="18"/>
              </w:rPr>
              <w:t>√</w:t>
            </w:r>
          </w:p>
        </w:tc>
        <w:tc>
          <w:tcPr>
            <w:tcW w:w="778" w:type="dxa"/>
            <w:vAlign w:val="center"/>
          </w:tcPr>
          <w:p w:rsidR="00280D09" w:rsidRDefault="00280D09" w:rsidP="00E83597">
            <w:r w:rsidRPr="005C3B11">
              <w:rPr>
                <w:rFonts w:cs="Arial"/>
                <w:sz w:val="18"/>
                <w:szCs w:val="18"/>
              </w:rPr>
              <w:t>√</w:t>
            </w:r>
          </w:p>
        </w:tc>
        <w:tc>
          <w:tcPr>
            <w:tcW w:w="783" w:type="dxa"/>
            <w:vAlign w:val="center"/>
          </w:tcPr>
          <w:p w:rsidR="00280D09" w:rsidRDefault="00280D09" w:rsidP="00E83597">
            <w:r w:rsidRPr="005C3B11">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LV</w:t>
            </w:r>
          </w:p>
        </w:tc>
        <w:tc>
          <w:tcPr>
            <w:tcW w:w="784" w:type="dxa"/>
            <w:tcBorders>
              <w:lef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shd w:val="clear" w:color="auto" w:fill="D9D9D9" w:themeFill="background1" w:themeFillShade="D9"/>
            <w:vAlign w:val="center"/>
          </w:tcPr>
          <w:p w:rsidR="00280D09" w:rsidRDefault="00280D09" w:rsidP="00E83597"/>
        </w:tc>
        <w:tc>
          <w:tcPr>
            <w:tcW w:w="778" w:type="dxa"/>
            <w:shd w:val="clear" w:color="auto" w:fill="D9D9D9" w:themeFill="background1" w:themeFillShade="D9"/>
            <w:vAlign w:val="center"/>
          </w:tcPr>
          <w:p w:rsidR="00280D09" w:rsidRDefault="00280D09" w:rsidP="00E83597"/>
        </w:tc>
        <w:tc>
          <w:tcPr>
            <w:tcW w:w="783" w:type="dxa"/>
            <w:shd w:val="clear" w:color="auto" w:fill="D9D9D9" w:themeFill="background1" w:themeFillShade="D9"/>
            <w:vAlign w:val="center"/>
          </w:tcPr>
          <w:p w:rsidR="00280D09" w:rsidRDefault="00280D09" w:rsidP="00E83597"/>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MT</w:t>
            </w:r>
          </w:p>
        </w:tc>
        <w:tc>
          <w:tcPr>
            <w:tcW w:w="784" w:type="dxa"/>
            <w:tcBorders>
              <w:left w:val="single" w:sz="12" w:space="0" w:color="auto"/>
            </w:tcBorders>
            <w:vAlign w:val="center"/>
          </w:tcPr>
          <w:p w:rsidR="00280D09" w:rsidRDefault="00280D09" w:rsidP="00E83597">
            <w:r w:rsidRPr="00DB3BBF">
              <w:rPr>
                <w:rFonts w:cs="Arial"/>
                <w:sz w:val="18"/>
                <w:szCs w:val="18"/>
              </w:rPr>
              <w:t>√</w:t>
            </w:r>
          </w:p>
        </w:tc>
        <w:tc>
          <w:tcPr>
            <w:tcW w:w="777" w:type="dxa"/>
            <w:vAlign w:val="center"/>
          </w:tcPr>
          <w:p w:rsidR="00280D09" w:rsidRDefault="00280D09" w:rsidP="00E83597">
            <w:r w:rsidRPr="00DB3BBF">
              <w:rPr>
                <w:rFonts w:cs="Arial"/>
                <w:sz w:val="18"/>
                <w:szCs w:val="18"/>
              </w:rPr>
              <w:t>√</w:t>
            </w:r>
          </w:p>
        </w:tc>
        <w:tc>
          <w:tcPr>
            <w:tcW w:w="777" w:type="dxa"/>
            <w:vAlign w:val="center"/>
          </w:tcPr>
          <w:p w:rsidR="00280D09" w:rsidRDefault="00280D09" w:rsidP="00E83597">
            <w:r w:rsidRPr="00DB3BBF">
              <w:rPr>
                <w:rFonts w:cs="Arial"/>
                <w:sz w:val="18"/>
                <w:szCs w:val="18"/>
              </w:rPr>
              <w:t>√</w:t>
            </w:r>
          </w:p>
        </w:tc>
        <w:tc>
          <w:tcPr>
            <w:tcW w:w="777" w:type="dxa"/>
            <w:vAlign w:val="center"/>
          </w:tcPr>
          <w:p w:rsidR="00280D09" w:rsidRDefault="00280D09" w:rsidP="00E83597">
            <w:r w:rsidRPr="00DB3BBF">
              <w:rPr>
                <w:rFonts w:cs="Arial"/>
                <w:sz w:val="18"/>
                <w:szCs w:val="18"/>
              </w:rPr>
              <w:t>√</w:t>
            </w:r>
          </w:p>
        </w:tc>
        <w:tc>
          <w:tcPr>
            <w:tcW w:w="778" w:type="dxa"/>
            <w:vAlign w:val="center"/>
          </w:tcPr>
          <w:p w:rsidR="00280D09" w:rsidRDefault="00280D09" w:rsidP="00E83597">
            <w:r w:rsidRPr="00DB3BBF">
              <w:rPr>
                <w:rFonts w:cs="Arial"/>
                <w:sz w:val="18"/>
                <w:szCs w:val="18"/>
              </w:rPr>
              <w:t>√</w:t>
            </w:r>
          </w:p>
        </w:tc>
        <w:tc>
          <w:tcPr>
            <w:tcW w:w="778" w:type="dxa"/>
            <w:vAlign w:val="center"/>
          </w:tcPr>
          <w:p w:rsidR="00280D09" w:rsidRDefault="00280D09" w:rsidP="00E83597">
            <w:r w:rsidRPr="00DB3BBF">
              <w:rPr>
                <w:rFonts w:cs="Arial"/>
                <w:sz w:val="18"/>
                <w:szCs w:val="18"/>
              </w:rPr>
              <w:t>√</w:t>
            </w:r>
          </w:p>
        </w:tc>
        <w:tc>
          <w:tcPr>
            <w:tcW w:w="778" w:type="dxa"/>
            <w:vAlign w:val="center"/>
          </w:tcPr>
          <w:p w:rsidR="00280D09" w:rsidRDefault="00280D09" w:rsidP="00E83597">
            <w:r w:rsidRPr="00DB3BBF">
              <w:rPr>
                <w:rFonts w:cs="Arial"/>
                <w:sz w:val="18"/>
                <w:szCs w:val="18"/>
              </w:rPr>
              <w:t>√</w:t>
            </w:r>
          </w:p>
        </w:tc>
        <w:tc>
          <w:tcPr>
            <w:tcW w:w="778" w:type="dxa"/>
            <w:vAlign w:val="center"/>
          </w:tcPr>
          <w:p w:rsidR="00280D09" w:rsidRDefault="00280D09" w:rsidP="00E83597">
            <w:r w:rsidRPr="00DB3BBF">
              <w:rPr>
                <w:rFonts w:cs="Arial"/>
                <w:sz w:val="18"/>
                <w:szCs w:val="18"/>
              </w:rPr>
              <w:t>√</w:t>
            </w:r>
          </w:p>
        </w:tc>
        <w:tc>
          <w:tcPr>
            <w:tcW w:w="777" w:type="dxa"/>
            <w:tcBorders>
              <w:right w:val="single" w:sz="12" w:space="0" w:color="auto"/>
            </w:tcBorders>
            <w:vAlign w:val="center"/>
          </w:tcPr>
          <w:p w:rsidR="00280D09" w:rsidRDefault="00280D09" w:rsidP="00E83597">
            <w:r w:rsidRPr="00DB3BBF">
              <w:rPr>
                <w:rFonts w:cs="Arial"/>
                <w:sz w:val="18"/>
                <w:szCs w:val="18"/>
              </w:rPr>
              <w:t>√</w:t>
            </w:r>
          </w:p>
        </w:tc>
        <w:tc>
          <w:tcPr>
            <w:tcW w:w="778" w:type="dxa"/>
            <w:tcBorders>
              <w:left w:val="single" w:sz="12" w:space="0" w:color="auto"/>
            </w:tcBorders>
            <w:vAlign w:val="center"/>
          </w:tcPr>
          <w:p w:rsidR="00280D09" w:rsidRDefault="00280D09" w:rsidP="00E83597">
            <w:r w:rsidRPr="00011C53">
              <w:rPr>
                <w:rFonts w:cs="Arial"/>
                <w:sz w:val="18"/>
                <w:szCs w:val="18"/>
              </w:rPr>
              <w:t>√</w:t>
            </w:r>
          </w:p>
        </w:tc>
        <w:tc>
          <w:tcPr>
            <w:tcW w:w="778" w:type="dxa"/>
            <w:vAlign w:val="center"/>
          </w:tcPr>
          <w:p w:rsidR="00280D09" w:rsidRDefault="00280D09" w:rsidP="00E83597">
            <w:r w:rsidRPr="00011C53">
              <w:rPr>
                <w:rFonts w:cs="Arial"/>
                <w:sz w:val="18"/>
                <w:szCs w:val="18"/>
              </w:rPr>
              <w:t>√</w:t>
            </w:r>
          </w:p>
        </w:tc>
        <w:tc>
          <w:tcPr>
            <w:tcW w:w="778" w:type="dxa"/>
            <w:vAlign w:val="center"/>
          </w:tcPr>
          <w:p w:rsidR="00280D09" w:rsidRDefault="00280D09" w:rsidP="00E83597">
            <w:r w:rsidRPr="00011C53">
              <w:rPr>
                <w:rFonts w:cs="Arial"/>
                <w:sz w:val="18"/>
                <w:szCs w:val="18"/>
              </w:rPr>
              <w:t>√</w:t>
            </w:r>
          </w:p>
        </w:tc>
        <w:tc>
          <w:tcPr>
            <w:tcW w:w="783" w:type="dxa"/>
            <w:vAlign w:val="center"/>
          </w:tcPr>
          <w:p w:rsidR="00280D09" w:rsidRDefault="00280D09" w:rsidP="00E83597">
            <w:r w:rsidRPr="00011C53">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NL</w:t>
            </w:r>
          </w:p>
        </w:tc>
        <w:tc>
          <w:tcPr>
            <w:tcW w:w="784" w:type="dxa"/>
            <w:tcBorders>
              <w:left w:val="single" w:sz="12" w:space="0" w:color="auto"/>
            </w:tcBorders>
            <w:vAlign w:val="center"/>
          </w:tcPr>
          <w:p w:rsidR="00280D09" w:rsidRDefault="00280D09" w:rsidP="00E83597">
            <w:r w:rsidRPr="00CB6FA2">
              <w:rPr>
                <w:rFonts w:cs="Arial"/>
                <w:sz w:val="18"/>
                <w:szCs w:val="18"/>
              </w:rPr>
              <w:t>√</w:t>
            </w:r>
          </w:p>
        </w:tc>
        <w:tc>
          <w:tcPr>
            <w:tcW w:w="777" w:type="dxa"/>
            <w:vAlign w:val="center"/>
          </w:tcPr>
          <w:p w:rsidR="00280D09" w:rsidRDefault="00280D09" w:rsidP="00E83597">
            <w:r w:rsidRPr="00CB6FA2">
              <w:rPr>
                <w:rFonts w:cs="Arial"/>
                <w:sz w:val="18"/>
                <w:szCs w:val="18"/>
              </w:rPr>
              <w:t>√</w:t>
            </w:r>
          </w:p>
        </w:tc>
        <w:tc>
          <w:tcPr>
            <w:tcW w:w="777" w:type="dxa"/>
            <w:vAlign w:val="center"/>
          </w:tcPr>
          <w:p w:rsidR="00280D09" w:rsidRDefault="00280D09" w:rsidP="00E83597">
            <w:r w:rsidRPr="00CB6FA2">
              <w:rPr>
                <w:rFonts w:cs="Arial"/>
                <w:sz w:val="18"/>
                <w:szCs w:val="18"/>
              </w:rPr>
              <w:t>√</w:t>
            </w:r>
          </w:p>
        </w:tc>
        <w:tc>
          <w:tcPr>
            <w:tcW w:w="777" w:type="dxa"/>
            <w:vAlign w:val="center"/>
          </w:tcPr>
          <w:p w:rsidR="00280D09" w:rsidRDefault="00280D09" w:rsidP="00E83597">
            <w:r w:rsidRPr="00CB6FA2">
              <w:rPr>
                <w:rFonts w:cs="Arial"/>
                <w:sz w:val="18"/>
                <w:szCs w:val="18"/>
              </w:rPr>
              <w:t>√</w:t>
            </w:r>
          </w:p>
        </w:tc>
        <w:tc>
          <w:tcPr>
            <w:tcW w:w="778" w:type="dxa"/>
            <w:vAlign w:val="center"/>
          </w:tcPr>
          <w:p w:rsidR="00280D09" w:rsidRDefault="00280D09" w:rsidP="00E83597">
            <w:r w:rsidRPr="00CB6FA2">
              <w:rPr>
                <w:rFonts w:cs="Arial"/>
                <w:sz w:val="18"/>
                <w:szCs w:val="18"/>
              </w:rPr>
              <w:t>√</w:t>
            </w:r>
          </w:p>
        </w:tc>
        <w:tc>
          <w:tcPr>
            <w:tcW w:w="778" w:type="dxa"/>
            <w:vAlign w:val="center"/>
          </w:tcPr>
          <w:p w:rsidR="00280D09" w:rsidRDefault="00280D09" w:rsidP="00E83597">
            <w:r w:rsidRPr="00CB6FA2">
              <w:rPr>
                <w:rFonts w:cs="Arial"/>
                <w:sz w:val="18"/>
                <w:szCs w:val="18"/>
              </w:rPr>
              <w:t>√</w:t>
            </w: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Pr>
                <w:rFonts w:cs="Arial"/>
                <w:sz w:val="18"/>
                <w:szCs w:val="18"/>
              </w:rPr>
              <w:t>√</w:t>
            </w:r>
            <w:r>
              <w:rPr>
                <w:rStyle w:val="EndnoteReference"/>
              </w:rPr>
              <w:endnoteReference w:id="312"/>
            </w:r>
          </w:p>
        </w:tc>
        <w:tc>
          <w:tcPr>
            <w:tcW w:w="778" w:type="dxa"/>
            <w:vAlign w:val="center"/>
          </w:tcPr>
          <w:p w:rsidR="00280D09" w:rsidRDefault="00280D09" w:rsidP="00E83597">
            <w:r>
              <w:rPr>
                <w:rFonts w:cs="Arial"/>
                <w:sz w:val="18"/>
                <w:szCs w:val="18"/>
              </w:rPr>
              <w:t>√</w:t>
            </w:r>
          </w:p>
        </w:tc>
        <w:tc>
          <w:tcPr>
            <w:tcW w:w="778" w:type="dxa"/>
            <w:vAlign w:val="center"/>
          </w:tcPr>
          <w:p w:rsidR="00280D09" w:rsidRDefault="00280D09" w:rsidP="00E83597">
            <w:r>
              <w:rPr>
                <w:rFonts w:cs="Arial"/>
                <w:sz w:val="18"/>
                <w:szCs w:val="18"/>
              </w:rPr>
              <w:t>√</w:t>
            </w:r>
            <w:r>
              <w:rPr>
                <w:rStyle w:val="EndnoteReference"/>
              </w:rPr>
              <w:endnoteReference w:id="313"/>
            </w:r>
          </w:p>
        </w:tc>
        <w:tc>
          <w:tcPr>
            <w:tcW w:w="783" w:type="dxa"/>
            <w:vAlign w:val="center"/>
          </w:tcPr>
          <w:p w:rsidR="00280D09" w:rsidRDefault="00280D09" w:rsidP="00E83597">
            <w:r>
              <w:rPr>
                <w:rFonts w:cs="Arial"/>
                <w:sz w:val="18"/>
                <w:szCs w:val="18"/>
              </w:rPr>
              <w:t>√</w:t>
            </w:r>
            <w:r>
              <w:rPr>
                <w:rStyle w:val="EndnoteReference"/>
              </w:rPr>
              <w:endnoteReference w:id="314"/>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PL</w:t>
            </w:r>
          </w:p>
        </w:tc>
        <w:tc>
          <w:tcPr>
            <w:tcW w:w="784" w:type="dxa"/>
            <w:tcBorders>
              <w:left w:val="single" w:sz="12" w:space="0" w:color="auto"/>
            </w:tcBorders>
            <w:vAlign w:val="center"/>
          </w:tcPr>
          <w:p w:rsidR="00280D09" w:rsidRDefault="00280D09" w:rsidP="00E83597">
            <w:r w:rsidRPr="00315F45">
              <w:rPr>
                <w:rFonts w:cs="Arial"/>
                <w:sz w:val="18"/>
                <w:szCs w:val="18"/>
              </w:rPr>
              <w:t>√</w:t>
            </w:r>
          </w:p>
        </w:tc>
        <w:tc>
          <w:tcPr>
            <w:tcW w:w="777" w:type="dxa"/>
            <w:vAlign w:val="center"/>
          </w:tcPr>
          <w:p w:rsidR="00280D09" w:rsidRDefault="00280D09" w:rsidP="00E83597">
            <w:r w:rsidRPr="00315F45">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D73443">
              <w:rPr>
                <w:rFonts w:cs="Arial"/>
                <w:sz w:val="18"/>
                <w:szCs w:val="18"/>
              </w:rPr>
              <w:t>√</w:t>
            </w:r>
          </w:p>
        </w:tc>
        <w:tc>
          <w:tcPr>
            <w:tcW w:w="778" w:type="dxa"/>
            <w:vAlign w:val="center"/>
          </w:tcPr>
          <w:p w:rsidR="00280D09" w:rsidRDefault="00280D09" w:rsidP="00E83597">
            <w:r w:rsidRPr="00D73443">
              <w:rPr>
                <w:rFonts w:cs="Arial"/>
                <w:sz w:val="18"/>
                <w:szCs w:val="18"/>
              </w:rPr>
              <w:t>√</w:t>
            </w:r>
          </w:p>
        </w:tc>
        <w:tc>
          <w:tcPr>
            <w:tcW w:w="777" w:type="dxa"/>
            <w:tcBorders>
              <w:right w:val="single" w:sz="12" w:space="0" w:color="auto"/>
            </w:tcBorders>
            <w:vAlign w:val="center"/>
          </w:tcPr>
          <w:p w:rsidR="00280D09" w:rsidRDefault="00280D09" w:rsidP="00E83597">
            <w:r w:rsidRPr="000E414C">
              <w:rPr>
                <w:rFonts w:cs="Arial"/>
                <w:sz w:val="18"/>
                <w:szCs w:val="18"/>
              </w:rPr>
              <w:t>√</w:t>
            </w: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Pr>
                <w:rFonts w:cs="Arial"/>
                <w:sz w:val="18"/>
                <w:szCs w:val="18"/>
              </w:rPr>
              <w:t>√</w:t>
            </w:r>
            <w:r>
              <w:rPr>
                <w:rStyle w:val="EndnoteReference"/>
              </w:rPr>
              <w:endnoteReference w:id="315"/>
            </w:r>
          </w:p>
        </w:tc>
        <w:tc>
          <w:tcPr>
            <w:tcW w:w="778" w:type="dxa"/>
            <w:vAlign w:val="center"/>
          </w:tcPr>
          <w:p w:rsidR="00280D09" w:rsidRDefault="00280D09" w:rsidP="00E83597">
            <w:r>
              <w:rPr>
                <w:rFonts w:cs="Arial"/>
                <w:sz w:val="18"/>
                <w:szCs w:val="18"/>
              </w:rPr>
              <w:t>√</w:t>
            </w:r>
            <w:r>
              <w:rPr>
                <w:rStyle w:val="EndnoteReference"/>
              </w:rPr>
              <w:endnoteReference w:id="316"/>
            </w:r>
          </w:p>
        </w:tc>
        <w:tc>
          <w:tcPr>
            <w:tcW w:w="783" w:type="dxa"/>
            <w:vAlign w:val="center"/>
          </w:tcPr>
          <w:p w:rsidR="00280D09" w:rsidRDefault="00280D09" w:rsidP="00E83597">
            <w:r>
              <w:rPr>
                <w:rFonts w:cs="Arial"/>
                <w:sz w:val="18"/>
                <w:szCs w:val="18"/>
              </w:rPr>
              <w:t>√</w:t>
            </w:r>
            <w:r>
              <w:rPr>
                <w:rStyle w:val="EndnoteReference"/>
              </w:rPr>
              <w:endnoteReference w:id="317"/>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PT</w:t>
            </w:r>
          </w:p>
        </w:tc>
        <w:tc>
          <w:tcPr>
            <w:tcW w:w="784" w:type="dxa"/>
            <w:tcBorders>
              <w:left w:val="single" w:sz="12" w:space="0" w:color="auto"/>
            </w:tcBorders>
            <w:vAlign w:val="center"/>
          </w:tcPr>
          <w:p w:rsidR="00280D09" w:rsidRDefault="00280D09" w:rsidP="00E83597">
            <w:r w:rsidRPr="005D16A5">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Default="00280D09" w:rsidP="00E83597">
            <w:r w:rsidRPr="000E414C">
              <w:rPr>
                <w:rFonts w:cs="Arial"/>
                <w:sz w:val="18"/>
                <w:szCs w:val="18"/>
              </w:rPr>
              <w:t>√</w:t>
            </w: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A903D6">
              <w:rPr>
                <w:rFonts w:cs="Arial"/>
                <w:sz w:val="18"/>
                <w:szCs w:val="18"/>
              </w:rPr>
              <w:t>√</w:t>
            </w:r>
          </w:p>
        </w:tc>
        <w:tc>
          <w:tcPr>
            <w:tcW w:w="778" w:type="dxa"/>
            <w:vAlign w:val="center"/>
          </w:tcPr>
          <w:p w:rsidR="00280D09" w:rsidRDefault="00280D09" w:rsidP="00E83597">
            <w:r>
              <w:rPr>
                <w:rFonts w:cs="Arial"/>
                <w:sz w:val="18"/>
                <w:szCs w:val="18"/>
              </w:rPr>
              <w:t>√</w:t>
            </w:r>
            <w:r>
              <w:rPr>
                <w:rStyle w:val="EndnoteReference"/>
              </w:rPr>
              <w:endnoteReference w:id="318"/>
            </w:r>
          </w:p>
        </w:tc>
        <w:tc>
          <w:tcPr>
            <w:tcW w:w="783" w:type="dxa"/>
            <w:vAlign w:val="center"/>
          </w:tcPr>
          <w:p w:rsidR="00280D09" w:rsidRDefault="00280D09" w:rsidP="00E83597">
            <w:r>
              <w:rPr>
                <w:rFonts w:cs="Arial"/>
                <w:sz w:val="18"/>
                <w:szCs w:val="18"/>
              </w:rPr>
              <w:t>√</w:t>
            </w:r>
            <w:r>
              <w:rPr>
                <w:rStyle w:val="EndnoteReference"/>
              </w:rPr>
              <w:endnoteReference w:id="319"/>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RO</w:t>
            </w:r>
          </w:p>
        </w:tc>
        <w:tc>
          <w:tcPr>
            <w:tcW w:w="784" w:type="dxa"/>
            <w:tcBorders>
              <w:left w:val="single" w:sz="12" w:space="0" w:color="auto"/>
            </w:tcBorders>
            <w:vAlign w:val="center"/>
          </w:tcPr>
          <w:p w:rsidR="00280D09" w:rsidRDefault="00280D09" w:rsidP="00E83597">
            <w:r w:rsidRPr="005D16A5">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A903D6">
              <w:rPr>
                <w:rFonts w:cs="Arial"/>
                <w:sz w:val="18"/>
                <w:szCs w:val="18"/>
              </w:rPr>
              <w:t>√</w:t>
            </w:r>
          </w:p>
        </w:tc>
        <w:tc>
          <w:tcPr>
            <w:tcW w:w="778" w:type="dxa"/>
            <w:vAlign w:val="center"/>
          </w:tcPr>
          <w:p w:rsidR="00280D09" w:rsidRDefault="00280D09" w:rsidP="00E83597">
            <w:r w:rsidRPr="00042DE8">
              <w:rPr>
                <w:rFonts w:cs="Arial"/>
                <w:sz w:val="18"/>
                <w:szCs w:val="18"/>
              </w:rPr>
              <w:t>√</w:t>
            </w:r>
          </w:p>
        </w:tc>
        <w:tc>
          <w:tcPr>
            <w:tcW w:w="783" w:type="dxa"/>
            <w:vAlign w:val="center"/>
          </w:tcPr>
          <w:p w:rsidR="00280D09" w:rsidRDefault="00280D09" w:rsidP="00E83597">
            <w:r>
              <w:rPr>
                <w:rFonts w:cs="Arial"/>
                <w:sz w:val="18"/>
                <w:szCs w:val="18"/>
              </w:rPr>
              <w:t>√</w:t>
            </w:r>
            <w:r>
              <w:rPr>
                <w:rStyle w:val="EndnoteReference"/>
              </w:rPr>
              <w:endnoteReference w:id="320"/>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SE</w:t>
            </w:r>
          </w:p>
        </w:tc>
        <w:tc>
          <w:tcPr>
            <w:tcW w:w="784" w:type="dxa"/>
            <w:tcBorders>
              <w:lef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A903D6">
              <w:rPr>
                <w:rFonts w:cs="Arial"/>
                <w:sz w:val="18"/>
                <w:szCs w:val="18"/>
              </w:rPr>
              <w:t>√</w:t>
            </w:r>
          </w:p>
        </w:tc>
        <w:tc>
          <w:tcPr>
            <w:tcW w:w="778" w:type="dxa"/>
            <w:vAlign w:val="center"/>
          </w:tcPr>
          <w:p w:rsidR="00280D09" w:rsidRDefault="00280D09" w:rsidP="00E83597">
            <w:r w:rsidRPr="00042DE8">
              <w:rPr>
                <w:rFonts w:cs="Arial"/>
                <w:sz w:val="18"/>
                <w:szCs w:val="18"/>
              </w:rPr>
              <w:t>√</w:t>
            </w:r>
          </w:p>
        </w:tc>
        <w:tc>
          <w:tcPr>
            <w:tcW w:w="783" w:type="dxa"/>
            <w:shd w:val="clear" w:color="auto" w:fill="D9D9D9" w:themeFill="background1" w:themeFillShade="D9"/>
            <w:vAlign w:val="center"/>
          </w:tcPr>
          <w:p w:rsidR="00280D09" w:rsidRDefault="00280D09" w:rsidP="00E83597"/>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SI</w:t>
            </w:r>
          </w:p>
        </w:tc>
        <w:tc>
          <w:tcPr>
            <w:tcW w:w="784" w:type="dxa"/>
            <w:tcBorders>
              <w:left w:val="single" w:sz="12" w:space="0" w:color="auto"/>
            </w:tcBorders>
            <w:vAlign w:val="center"/>
          </w:tcPr>
          <w:p w:rsidR="00280D09" w:rsidRDefault="00280D09" w:rsidP="00E83597">
            <w:r w:rsidRPr="0013780E">
              <w:rPr>
                <w:rFonts w:cs="Arial"/>
                <w:sz w:val="18"/>
                <w:szCs w:val="18"/>
              </w:rPr>
              <w:t>√</w:t>
            </w:r>
          </w:p>
        </w:tc>
        <w:tc>
          <w:tcPr>
            <w:tcW w:w="777" w:type="dxa"/>
            <w:vAlign w:val="center"/>
          </w:tcPr>
          <w:p w:rsidR="00280D09" w:rsidRDefault="00280D09" w:rsidP="00E83597">
            <w:r w:rsidRPr="0013780E">
              <w:rPr>
                <w:rFonts w:cs="Arial"/>
                <w:sz w:val="18"/>
                <w:szCs w:val="18"/>
              </w:rPr>
              <w:t>√</w:t>
            </w:r>
          </w:p>
        </w:tc>
        <w:tc>
          <w:tcPr>
            <w:tcW w:w="777" w:type="dxa"/>
            <w:vAlign w:val="center"/>
          </w:tcPr>
          <w:p w:rsidR="00280D09" w:rsidRDefault="00280D09" w:rsidP="00E83597">
            <w:r w:rsidRPr="0013780E">
              <w:rPr>
                <w:rFonts w:cs="Arial"/>
                <w:sz w:val="18"/>
                <w:szCs w:val="18"/>
              </w:rPr>
              <w:t>√</w:t>
            </w:r>
          </w:p>
        </w:tc>
        <w:tc>
          <w:tcPr>
            <w:tcW w:w="777" w:type="dxa"/>
            <w:vAlign w:val="center"/>
          </w:tcPr>
          <w:p w:rsidR="00280D09" w:rsidRDefault="00280D09" w:rsidP="00E83597">
            <w:r w:rsidRPr="0013780E">
              <w:rPr>
                <w:rFonts w:cs="Arial"/>
                <w:sz w:val="18"/>
                <w:szCs w:val="18"/>
              </w:rPr>
              <w:t>√</w:t>
            </w:r>
          </w:p>
        </w:tc>
        <w:tc>
          <w:tcPr>
            <w:tcW w:w="778" w:type="dxa"/>
            <w:vAlign w:val="center"/>
          </w:tcPr>
          <w:p w:rsidR="00280D09" w:rsidRDefault="00280D09" w:rsidP="00E83597">
            <w:r w:rsidRPr="0013780E">
              <w:rPr>
                <w:rFonts w:cs="Arial"/>
                <w:sz w:val="18"/>
                <w:szCs w:val="18"/>
              </w:rPr>
              <w:t>√</w:t>
            </w:r>
          </w:p>
        </w:tc>
        <w:tc>
          <w:tcPr>
            <w:tcW w:w="778" w:type="dxa"/>
            <w:vAlign w:val="center"/>
          </w:tcPr>
          <w:p w:rsidR="00280D09" w:rsidRDefault="00280D09" w:rsidP="00E83597">
            <w:r w:rsidRPr="0013780E">
              <w:rPr>
                <w:rFonts w:cs="Arial"/>
                <w:sz w:val="18"/>
                <w:szCs w:val="18"/>
              </w:rPr>
              <w:t>√</w:t>
            </w:r>
          </w:p>
        </w:tc>
        <w:tc>
          <w:tcPr>
            <w:tcW w:w="778" w:type="dxa"/>
            <w:vAlign w:val="center"/>
          </w:tcPr>
          <w:p w:rsidR="00280D09" w:rsidRDefault="00280D09" w:rsidP="00E83597">
            <w:r w:rsidRPr="00B932C7">
              <w:rPr>
                <w:rFonts w:cs="Arial"/>
                <w:sz w:val="18"/>
                <w:szCs w:val="18"/>
              </w:rPr>
              <w:t>√</w:t>
            </w:r>
          </w:p>
        </w:tc>
        <w:tc>
          <w:tcPr>
            <w:tcW w:w="778" w:type="dxa"/>
            <w:vAlign w:val="center"/>
          </w:tcPr>
          <w:p w:rsidR="00280D09" w:rsidRDefault="00280D09" w:rsidP="00E83597">
            <w:r w:rsidRPr="0013780E">
              <w:rPr>
                <w:rFonts w:cs="Arial"/>
                <w:sz w:val="18"/>
                <w:szCs w:val="18"/>
              </w:rPr>
              <w:t>√</w:t>
            </w: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A903D6">
              <w:rPr>
                <w:rFonts w:cs="Arial"/>
                <w:sz w:val="18"/>
                <w:szCs w:val="18"/>
              </w:rPr>
              <w:t>√</w:t>
            </w:r>
          </w:p>
        </w:tc>
        <w:tc>
          <w:tcPr>
            <w:tcW w:w="778" w:type="dxa"/>
            <w:vAlign w:val="center"/>
          </w:tcPr>
          <w:p w:rsidR="00280D09" w:rsidRDefault="00280D09" w:rsidP="00E83597">
            <w:r>
              <w:rPr>
                <w:rFonts w:cs="Arial"/>
                <w:sz w:val="18"/>
                <w:szCs w:val="18"/>
              </w:rPr>
              <w:t>√</w:t>
            </w:r>
            <w:r>
              <w:rPr>
                <w:rStyle w:val="EndnoteReference"/>
              </w:rPr>
              <w:endnoteReference w:id="321"/>
            </w:r>
          </w:p>
        </w:tc>
        <w:tc>
          <w:tcPr>
            <w:tcW w:w="783" w:type="dxa"/>
            <w:vAlign w:val="center"/>
          </w:tcPr>
          <w:p w:rsidR="00280D09" w:rsidRDefault="00280D09" w:rsidP="00E83597">
            <w:r>
              <w:rPr>
                <w:rFonts w:cs="Arial"/>
                <w:sz w:val="18"/>
                <w:szCs w:val="18"/>
              </w:rPr>
              <w:t>√</w:t>
            </w:r>
            <w:r>
              <w:rPr>
                <w:rStyle w:val="EndnoteReference"/>
              </w:rPr>
              <w:endnoteReference w:id="322"/>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SK</w:t>
            </w:r>
          </w:p>
        </w:tc>
        <w:tc>
          <w:tcPr>
            <w:tcW w:w="784" w:type="dxa"/>
            <w:tcBorders>
              <w:left w:val="single" w:sz="12" w:space="0" w:color="auto"/>
            </w:tcBorders>
            <w:vAlign w:val="center"/>
          </w:tcPr>
          <w:p w:rsidR="00280D09" w:rsidRDefault="00280D09" w:rsidP="00E83597">
            <w:r w:rsidRPr="00E06324">
              <w:rPr>
                <w:rFonts w:cs="Arial"/>
                <w:sz w:val="18"/>
                <w:szCs w:val="18"/>
              </w:rPr>
              <w:t>√</w:t>
            </w:r>
          </w:p>
        </w:tc>
        <w:tc>
          <w:tcPr>
            <w:tcW w:w="777" w:type="dxa"/>
            <w:vAlign w:val="center"/>
          </w:tcPr>
          <w:p w:rsidR="00280D09" w:rsidRDefault="00280D09" w:rsidP="00E83597">
            <w:r w:rsidRPr="0013780E">
              <w:rPr>
                <w:rFonts w:cs="Arial"/>
                <w:sz w:val="18"/>
                <w:szCs w:val="18"/>
              </w:rPr>
              <w:t>√</w:t>
            </w:r>
          </w:p>
        </w:tc>
        <w:tc>
          <w:tcPr>
            <w:tcW w:w="777" w:type="dxa"/>
            <w:vAlign w:val="center"/>
          </w:tcPr>
          <w:p w:rsidR="00280D09" w:rsidRDefault="00280D09" w:rsidP="00E83597">
            <w:r w:rsidRPr="0013780E">
              <w:rPr>
                <w:rFonts w:cs="Arial"/>
                <w:sz w:val="18"/>
                <w:szCs w:val="18"/>
              </w:rPr>
              <w:t>√</w:t>
            </w:r>
          </w:p>
        </w:tc>
        <w:tc>
          <w:tcPr>
            <w:tcW w:w="777" w:type="dxa"/>
            <w:vAlign w:val="center"/>
          </w:tcPr>
          <w:p w:rsidR="00280D09" w:rsidRDefault="00280D09" w:rsidP="00E83597">
            <w:r w:rsidRPr="0013780E">
              <w:rPr>
                <w:rFonts w:cs="Arial"/>
                <w:sz w:val="18"/>
                <w:szCs w:val="18"/>
              </w:rPr>
              <w:t>√</w:t>
            </w:r>
          </w:p>
        </w:tc>
        <w:tc>
          <w:tcPr>
            <w:tcW w:w="778" w:type="dxa"/>
            <w:vAlign w:val="center"/>
          </w:tcPr>
          <w:p w:rsidR="00280D09" w:rsidRDefault="00280D09" w:rsidP="00E83597">
            <w:r w:rsidRPr="0013780E">
              <w:rPr>
                <w:rFonts w:cs="Arial"/>
                <w:sz w:val="18"/>
                <w:szCs w:val="18"/>
              </w:rPr>
              <w:t>√</w:t>
            </w:r>
          </w:p>
        </w:tc>
        <w:tc>
          <w:tcPr>
            <w:tcW w:w="778" w:type="dxa"/>
            <w:vAlign w:val="center"/>
          </w:tcPr>
          <w:p w:rsidR="00280D09" w:rsidRDefault="00280D09" w:rsidP="00E83597">
            <w:r w:rsidRPr="0013780E">
              <w:rPr>
                <w:rFonts w:cs="Arial"/>
                <w:sz w:val="18"/>
                <w:szCs w:val="18"/>
              </w:rPr>
              <w:t>√</w:t>
            </w:r>
          </w:p>
        </w:tc>
        <w:tc>
          <w:tcPr>
            <w:tcW w:w="778" w:type="dxa"/>
            <w:vAlign w:val="center"/>
          </w:tcPr>
          <w:p w:rsidR="00280D09" w:rsidRDefault="00280D09" w:rsidP="00E83597">
            <w:r w:rsidRPr="00B932C7">
              <w:rPr>
                <w:rFonts w:cs="Arial"/>
                <w:sz w:val="18"/>
                <w:szCs w:val="18"/>
              </w:rPr>
              <w:t>√</w:t>
            </w:r>
          </w:p>
        </w:tc>
        <w:tc>
          <w:tcPr>
            <w:tcW w:w="778" w:type="dxa"/>
            <w:vAlign w:val="center"/>
          </w:tcPr>
          <w:p w:rsidR="00280D09" w:rsidRDefault="00280D09" w:rsidP="00E83597">
            <w:r w:rsidRPr="0013780E">
              <w:rPr>
                <w:rFonts w:cs="Arial"/>
                <w:sz w:val="18"/>
                <w:szCs w:val="18"/>
              </w:rPr>
              <w:t>√</w:t>
            </w:r>
          </w:p>
        </w:tc>
        <w:tc>
          <w:tcPr>
            <w:tcW w:w="777" w:type="dxa"/>
            <w:tcBorders>
              <w:right w:val="single" w:sz="12" w:space="0" w:color="auto"/>
            </w:tcBorders>
            <w:vAlign w:val="center"/>
          </w:tcPr>
          <w:p w:rsidR="00280D09" w:rsidRDefault="00280D09" w:rsidP="00E83597">
            <w:r w:rsidRPr="00B2771D">
              <w:rPr>
                <w:rFonts w:cs="Arial"/>
                <w:sz w:val="18"/>
                <w:szCs w:val="18"/>
              </w:rPr>
              <w:t>√</w:t>
            </w:r>
          </w:p>
        </w:tc>
        <w:tc>
          <w:tcPr>
            <w:tcW w:w="778" w:type="dxa"/>
            <w:tcBorders>
              <w:left w:val="single" w:sz="12" w:space="0" w:color="auto"/>
            </w:tcBorders>
            <w:vAlign w:val="center"/>
          </w:tcPr>
          <w:p w:rsidR="00280D09" w:rsidRDefault="00280D09" w:rsidP="00E83597">
            <w:r w:rsidRPr="003C3EBD">
              <w:rPr>
                <w:rFonts w:cs="Arial"/>
                <w:sz w:val="18"/>
                <w:szCs w:val="18"/>
              </w:rPr>
              <w:t>√</w:t>
            </w:r>
          </w:p>
        </w:tc>
        <w:tc>
          <w:tcPr>
            <w:tcW w:w="778" w:type="dxa"/>
            <w:vAlign w:val="center"/>
          </w:tcPr>
          <w:p w:rsidR="00280D09" w:rsidRDefault="00280D09" w:rsidP="00E83597">
            <w:r w:rsidRPr="003C3EBD">
              <w:rPr>
                <w:rFonts w:cs="Arial"/>
                <w:sz w:val="18"/>
                <w:szCs w:val="18"/>
              </w:rPr>
              <w:t>√</w:t>
            </w:r>
          </w:p>
        </w:tc>
        <w:tc>
          <w:tcPr>
            <w:tcW w:w="778" w:type="dxa"/>
            <w:vAlign w:val="center"/>
          </w:tcPr>
          <w:p w:rsidR="00280D09" w:rsidRDefault="00280D09" w:rsidP="00E83597">
            <w:r w:rsidRPr="003C3EBD">
              <w:rPr>
                <w:rFonts w:cs="Arial"/>
                <w:sz w:val="18"/>
                <w:szCs w:val="18"/>
              </w:rPr>
              <w:t>√</w:t>
            </w:r>
          </w:p>
        </w:tc>
        <w:tc>
          <w:tcPr>
            <w:tcW w:w="783" w:type="dxa"/>
            <w:shd w:val="clear" w:color="auto" w:fill="D9D9D9" w:themeFill="background1" w:themeFillShade="D9"/>
            <w:vAlign w:val="center"/>
          </w:tcPr>
          <w:p w:rsidR="00280D09" w:rsidRDefault="00280D09" w:rsidP="00E83597"/>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UK-E&amp;W</w:t>
            </w:r>
          </w:p>
        </w:tc>
        <w:tc>
          <w:tcPr>
            <w:tcW w:w="784" w:type="dxa"/>
            <w:tcBorders>
              <w:left w:val="single" w:sz="12" w:space="0" w:color="auto"/>
            </w:tcBorders>
            <w:vAlign w:val="center"/>
          </w:tcPr>
          <w:p w:rsidR="00280D09" w:rsidRDefault="00280D09" w:rsidP="00E83597">
            <w:r w:rsidRPr="00E06324">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Default="00280D09" w:rsidP="00E83597">
            <w:r w:rsidRPr="00B2771D">
              <w:rPr>
                <w:rFonts w:cs="Arial"/>
                <w:sz w:val="18"/>
                <w:szCs w:val="18"/>
              </w:rPr>
              <w:t>√</w:t>
            </w:r>
          </w:p>
        </w:tc>
        <w:tc>
          <w:tcPr>
            <w:tcW w:w="778" w:type="dxa"/>
            <w:tcBorders>
              <w:left w:val="single" w:sz="12" w:space="0" w:color="auto"/>
            </w:tcBorders>
            <w:shd w:val="clear" w:color="auto" w:fill="D9D9D9" w:themeFill="background1" w:themeFillShade="D9"/>
            <w:vAlign w:val="center"/>
          </w:tcPr>
          <w:p w:rsidR="00280D09" w:rsidRDefault="00280D09" w:rsidP="00E83597"/>
        </w:tc>
        <w:tc>
          <w:tcPr>
            <w:tcW w:w="778" w:type="dxa"/>
            <w:vAlign w:val="center"/>
          </w:tcPr>
          <w:p w:rsidR="00280D09" w:rsidRDefault="00280D09" w:rsidP="00E83597">
            <w:r w:rsidRPr="004E6445">
              <w:rPr>
                <w:rFonts w:cs="Arial"/>
                <w:sz w:val="18"/>
                <w:szCs w:val="18"/>
              </w:rPr>
              <w:t>√</w:t>
            </w:r>
          </w:p>
        </w:tc>
        <w:tc>
          <w:tcPr>
            <w:tcW w:w="778" w:type="dxa"/>
            <w:vAlign w:val="center"/>
          </w:tcPr>
          <w:p w:rsidR="00280D09" w:rsidRDefault="00280D09" w:rsidP="00E83597">
            <w:r w:rsidRPr="004E6445">
              <w:rPr>
                <w:rFonts w:cs="Arial"/>
                <w:sz w:val="18"/>
                <w:szCs w:val="18"/>
              </w:rPr>
              <w:t>√</w:t>
            </w:r>
          </w:p>
        </w:tc>
        <w:tc>
          <w:tcPr>
            <w:tcW w:w="783" w:type="dxa"/>
            <w:vAlign w:val="center"/>
          </w:tcPr>
          <w:p w:rsidR="00280D09" w:rsidRDefault="00280D09" w:rsidP="00E83597">
            <w:r w:rsidRPr="004E6445">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280D09" w:rsidP="00E83597">
            <w:pPr>
              <w:pStyle w:val="BTBullet1"/>
              <w:numPr>
                <w:ilvl w:val="0"/>
                <w:numId w:val="0"/>
              </w:numPr>
              <w:rPr>
                <w:b/>
                <w:sz w:val="16"/>
                <w:szCs w:val="16"/>
              </w:rPr>
            </w:pPr>
            <w:r w:rsidRPr="00731E82">
              <w:rPr>
                <w:b/>
                <w:sz w:val="16"/>
                <w:szCs w:val="16"/>
              </w:rPr>
              <w:t>UK-NI</w:t>
            </w:r>
          </w:p>
        </w:tc>
        <w:tc>
          <w:tcPr>
            <w:tcW w:w="784" w:type="dxa"/>
            <w:tcBorders>
              <w:left w:val="single" w:sz="12" w:space="0" w:color="auto"/>
            </w:tcBorders>
            <w:vAlign w:val="center"/>
          </w:tcPr>
          <w:p w:rsidR="00280D09" w:rsidRDefault="00280D09" w:rsidP="00E83597">
            <w:r w:rsidRPr="00E06324">
              <w:rPr>
                <w:rFonts w:cs="Arial"/>
                <w:sz w:val="18"/>
                <w:szCs w:val="18"/>
              </w:rPr>
              <w:t>√</w:t>
            </w: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vAlign w:val="center"/>
          </w:tcPr>
          <w:p w:rsidR="00280D09" w:rsidRDefault="00280D09" w:rsidP="00E83597">
            <w:r w:rsidRPr="00B2771D">
              <w:rPr>
                <w:rFonts w:cs="Arial"/>
                <w:sz w:val="18"/>
                <w:szCs w:val="18"/>
              </w:rPr>
              <w:t>√</w:t>
            </w:r>
          </w:p>
        </w:tc>
        <w:tc>
          <w:tcPr>
            <w:tcW w:w="778" w:type="dxa"/>
            <w:tcBorders>
              <w:left w:val="single" w:sz="12" w:space="0" w:color="auto"/>
            </w:tcBorders>
            <w:vAlign w:val="center"/>
          </w:tcPr>
          <w:p w:rsidR="00280D09" w:rsidRDefault="00280D09" w:rsidP="00E83597">
            <w:r>
              <w:rPr>
                <w:rFonts w:cs="Arial"/>
                <w:sz w:val="18"/>
                <w:szCs w:val="18"/>
              </w:rPr>
              <w:t>√</w:t>
            </w:r>
            <w:r>
              <w:rPr>
                <w:rStyle w:val="EndnoteReference"/>
              </w:rPr>
              <w:endnoteReference w:id="323"/>
            </w:r>
          </w:p>
        </w:tc>
        <w:tc>
          <w:tcPr>
            <w:tcW w:w="778" w:type="dxa"/>
            <w:vAlign w:val="center"/>
          </w:tcPr>
          <w:p w:rsidR="00280D09" w:rsidRDefault="00280D09" w:rsidP="00E83597">
            <w:r w:rsidRPr="00C73CA3">
              <w:rPr>
                <w:rFonts w:cs="Arial"/>
                <w:sz w:val="18"/>
                <w:szCs w:val="18"/>
              </w:rPr>
              <w:t>√</w:t>
            </w:r>
          </w:p>
        </w:tc>
        <w:tc>
          <w:tcPr>
            <w:tcW w:w="778" w:type="dxa"/>
            <w:vAlign w:val="center"/>
          </w:tcPr>
          <w:p w:rsidR="00280D09" w:rsidRDefault="00280D09" w:rsidP="00E83597">
            <w:r w:rsidRPr="00C73CA3">
              <w:rPr>
                <w:rFonts w:cs="Arial"/>
                <w:sz w:val="18"/>
                <w:szCs w:val="18"/>
              </w:rPr>
              <w:t>√</w:t>
            </w:r>
          </w:p>
        </w:tc>
        <w:tc>
          <w:tcPr>
            <w:tcW w:w="783" w:type="dxa"/>
            <w:vAlign w:val="center"/>
          </w:tcPr>
          <w:p w:rsidR="00280D09" w:rsidRDefault="00280D09" w:rsidP="00E83597">
            <w:r w:rsidRPr="00C73CA3">
              <w:rPr>
                <w:rFonts w:cs="Arial"/>
                <w:sz w:val="18"/>
                <w:szCs w:val="18"/>
              </w:rPr>
              <w:t>√</w:t>
            </w:r>
          </w:p>
        </w:tc>
      </w:tr>
      <w:tr w:rsidR="00280D09" w:rsidTr="00731E82">
        <w:trPr>
          <w:cantSplit/>
          <w:trHeight w:hRule="exact" w:val="360"/>
          <w:jc w:val="center"/>
        </w:trPr>
        <w:tc>
          <w:tcPr>
            <w:tcW w:w="990" w:type="dxa"/>
            <w:tcBorders>
              <w:right w:val="single" w:sz="12" w:space="0" w:color="auto"/>
            </w:tcBorders>
            <w:shd w:val="clear" w:color="auto" w:fill="DBE5F1" w:themeFill="accent1" w:themeFillTint="33"/>
            <w:vAlign w:val="center"/>
          </w:tcPr>
          <w:p w:rsidR="00280D09" w:rsidRPr="00731E82" w:rsidRDefault="00CD7610" w:rsidP="00E83597">
            <w:pPr>
              <w:pStyle w:val="BTBullet1"/>
              <w:numPr>
                <w:ilvl w:val="0"/>
                <w:numId w:val="0"/>
              </w:numPr>
              <w:rPr>
                <w:b/>
                <w:sz w:val="16"/>
                <w:szCs w:val="16"/>
              </w:rPr>
            </w:pPr>
            <w:r w:rsidRPr="00731E82">
              <w:rPr>
                <w:b/>
                <w:sz w:val="16"/>
                <w:szCs w:val="16"/>
              </w:rPr>
              <w:t>UK-S</w:t>
            </w:r>
          </w:p>
        </w:tc>
        <w:tc>
          <w:tcPr>
            <w:tcW w:w="784" w:type="dxa"/>
            <w:tcBorders>
              <w:lef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7"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8" w:type="dxa"/>
            <w:vAlign w:val="center"/>
          </w:tcPr>
          <w:p w:rsidR="00280D09" w:rsidRDefault="00280D09" w:rsidP="00E83597">
            <w:r w:rsidRPr="00B932C7">
              <w:rPr>
                <w:rFonts w:cs="Arial"/>
                <w:sz w:val="18"/>
                <w:szCs w:val="18"/>
              </w:rPr>
              <w:t>√</w:t>
            </w:r>
          </w:p>
        </w:tc>
        <w:tc>
          <w:tcPr>
            <w:tcW w:w="778" w:type="dxa"/>
            <w:shd w:val="clear" w:color="auto" w:fill="D9D9D9" w:themeFill="background1" w:themeFillShade="D9"/>
            <w:vAlign w:val="center"/>
          </w:tcPr>
          <w:p w:rsidR="00280D09" w:rsidRPr="00E217F3" w:rsidRDefault="00280D09" w:rsidP="00E83597">
            <w:pPr>
              <w:rPr>
                <w:sz w:val="18"/>
                <w:szCs w:val="18"/>
              </w:rPr>
            </w:pPr>
          </w:p>
        </w:tc>
        <w:tc>
          <w:tcPr>
            <w:tcW w:w="777" w:type="dxa"/>
            <w:tcBorders>
              <w:right w:val="single" w:sz="12" w:space="0" w:color="auto"/>
            </w:tcBorders>
            <w:shd w:val="clear" w:color="auto" w:fill="D9D9D9" w:themeFill="background1" w:themeFillShade="D9"/>
            <w:vAlign w:val="center"/>
          </w:tcPr>
          <w:p w:rsidR="00280D09" w:rsidRPr="00E217F3" w:rsidRDefault="00280D09" w:rsidP="00E83597">
            <w:pPr>
              <w:rPr>
                <w:sz w:val="18"/>
                <w:szCs w:val="18"/>
              </w:rPr>
            </w:pPr>
          </w:p>
        </w:tc>
        <w:tc>
          <w:tcPr>
            <w:tcW w:w="778" w:type="dxa"/>
            <w:tcBorders>
              <w:left w:val="single" w:sz="12" w:space="0" w:color="auto"/>
            </w:tcBorders>
            <w:vAlign w:val="center"/>
          </w:tcPr>
          <w:p w:rsidR="00280D09" w:rsidRDefault="00280D09" w:rsidP="00E83597">
            <w:r w:rsidRPr="001C1685">
              <w:rPr>
                <w:rFonts w:cs="Arial"/>
                <w:sz w:val="18"/>
                <w:szCs w:val="18"/>
              </w:rPr>
              <w:t>√</w:t>
            </w:r>
          </w:p>
        </w:tc>
        <w:tc>
          <w:tcPr>
            <w:tcW w:w="778" w:type="dxa"/>
            <w:vAlign w:val="center"/>
          </w:tcPr>
          <w:p w:rsidR="00280D09" w:rsidRDefault="00280D09" w:rsidP="00E83597">
            <w:r w:rsidRPr="001C1685">
              <w:rPr>
                <w:rFonts w:cs="Arial"/>
                <w:sz w:val="18"/>
                <w:szCs w:val="18"/>
              </w:rPr>
              <w:t>√</w:t>
            </w:r>
          </w:p>
        </w:tc>
        <w:tc>
          <w:tcPr>
            <w:tcW w:w="778" w:type="dxa"/>
            <w:vAlign w:val="center"/>
          </w:tcPr>
          <w:p w:rsidR="00280D09" w:rsidRDefault="00280D09" w:rsidP="00E83597">
            <w:r w:rsidRPr="001C1685">
              <w:rPr>
                <w:rFonts w:cs="Arial"/>
                <w:sz w:val="18"/>
                <w:szCs w:val="18"/>
              </w:rPr>
              <w:t>√</w:t>
            </w:r>
          </w:p>
        </w:tc>
        <w:tc>
          <w:tcPr>
            <w:tcW w:w="783" w:type="dxa"/>
            <w:vAlign w:val="center"/>
          </w:tcPr>
          <w:p w:rsidR="00280D09" w:rsidRDefault="00280D09" w:rsidP="00E83597">
            <w:r w:rsidRPr="001C1685">
              <w:rPr>
                <w:rFonts w:cs="Arial"/>
                <w:sz w:val="18"/>
                <w:szCs w:val="18"/>
              </w:rPr>
              <w:t>√</w:t>
            </w:r>
          </w:p>
        </w:tc>
      </w:tr>
      <w:tr w:rsidR="00280D09" w:rsidTr="00BC51E4">
        <w:trPr>
          <w:cantSplit/>
          <w:trHeight w:hRule="exact" w:val="360"/>
          <w:jc w:val="center"/>
        </w:trPr>
        <w:tc>
          <w:tcPr>
            <w:tcW w:w="990" w:type="dxa"/>
            <w:tcBorders>
              <w:right w:val="single" w:sz="12" w:space="0" w:color="auto"/>
            </w:tcBorders>
            <w:shd w:val="clear" w:color="auto" w:fill="FFFFFF" w:themeFill="background1"/>
            <w:vAlign w:val="center"/>
          </w:tcPr>
          <w:p w:rsidR="00280D09" w:rsidRPr="006C6959" w:rsidRDefault="00280D09" w:rsidP="00E83597">
            <w:pPr>
              <w:pStyle w:val="BTBullet1"/>
              <w:numPr>
                <w:ilvl w:val="0"/>
                <w:numId w:val="0"/>
              </w:numPr>
              <w:rPr>
                <w:b/>
                <w:sz w:val="16"/>
                <w:szCs w:val="16"/>
              </w:rPr>
            </w:pPr>
            <w:r>
              <w:rPr>
                <w:b/>
                <w:sz w:val="16"/>
                <w:szCs w:val="16"/>
              </w:rPr>
              <w:t>Total Yes</w:t>
            </w:r>
          </w:p>
        </w:tc>
        <w:tc>
          <w:tcPr>
            <w:tcW w:w="784" w:type="dxa"/>
            <w:tcBorders>
              <w:left w:val="single" w:sz="12" w:space="0" w:color="auto"/>
            </w:tcBorders>
            <w:shd w:val="clear" w:color="auto" w:fill="FFFFFF" w:themeFill="background1"/>
            <w:vAlign w:val="center"/>
          </w:tcPr>
          <w:p w:rsidR="00280D09" w:rsidRPr="00BB1F58" w:rsidRDefault="00280D09" w:rsidP="00E83597">
            <w:pPr>
              <w:rPr>
                <w:b/>
                <w:sz w:val="16"/>
                <w:szCs w:val="16"/>
              </w:rPr>
            </w:pPr>
            <w:r w:rsidRPr="00BB1F58">
              <w:rPr>
                <w:b/>
                <w:sz w:val="16"/>
                <w:szCs w:val="16"/>
              </w:rPr>
              <w:t>26</w:t>
            </w:r>
          </w:p>
        </w:tc>
        <w:tc>
          <w:tcPr>
            <w:tcW w:w="777" w:type="dxa"/>
            <w:shd w:val="clear" w:color="auto" w:fill="FFFFFF" w:themeFill="background1"/>
            <w:vAlign w:val="center"/>
          </w:tcPr>
          <w:p w:rsidR="00280D09" w:rsidRPr="00BB1F58" w:rsidRDefault="00280D09" w:rsidP="00E83597">
            <w:pPr>
              <w:rPr>
                <w:b/>
                <w:sz w:val="16"/>
                <w:szCs w:val="16"/>
              </w:rPr>
            </w:pPr>
            <w:r w:rsidRPr="00BB1F58">
              <w:rPr>
                <w:b/>
                <w:sz w:val="16"/>
                <w:szCs w:val="16"/>
              </w:rPr>
              <w:t>15</w:t>
            </w:r>
          </w:p>
        </w:tc>
        <w:tc>
          <w:tcPr>
            <w:tcW w:w="777" w:type="dxa"/>
            <w:shd w:val="clear" w:color="auto" w:fill="FFFFFF" w:themeFill="background1"/>
            <w:vAlign w:val="center"/>
          </w:tcPr>
          <w:p w:rsidR="00280D09" w:rsidRPr="00BB1F58" w:rsidRDefault="00280D09" w:rsidP="00E83597">
            <w:pPr>
              <w:rPr>
                <w:b/>
                <w:sz w:val="16"/>
                <w:szCs w:val="16"/>
              </w:rPr>
            </w:pPr>
            <w:r w:rsidRPr="00BB1F58">
              <w:rPr>
                <w:b/>
                <w:sz w:val="16"/>
                <w:szCs w:val="16"/>
              </w:rPr>
              <w:t>14</w:t>
            </w:r>
          </w:p>
        </w:tc>
        <w:tc>
          <w:tcPr>
            <w:tcW w:w="777" w:type="dxa"/>
            <w:shd w:val="clear" w:color="auto" w:fill="FFFFFF" w:themeFill="background1"/>
            <w:vAlign w:val="center"/>
          </w:tcPr>
          <w:p w:rsidR="00280D09" w:rsidRPr="00BB1F58" w:rsidRDefault="00280D09" w:rsidP="00E83597">
            <w:pPr>
              <w:rPr>
                <w:b/>
                <w:sz w:val="16"/>
                <w:szCs w:val="16"/>
              </w:rPr>
            </w:pPr>
            <w:r w:rsidRPr="00BB1F58">
              <w:rPr>
                <w:b/>
                <w:sz w:val="16"/>
                <w:szCs w:val="16"/>
              </w:rPr>
              <w:t>14</w:t>
            </w:r>
          </w:p>
        </w:tc>
        <w:tc>
          <w:tcPr>
            <w:tcW w:w="778" w:type="dxa"/>
            <w:shd w:val="clear" w:color="auto" w:fill="FFFFFF" w:themeFill="background1"/>
            <w:vAlign w:val="center"/>
          </w:tcPr>
          <w:p w:rsidR="00280D09" w:rsidRPr="00BB1F58" w:rsidRDefault="00280D09" w:rsidP="00E83597">
            <w:pPr>
              <w:rPr>
                <w:b/>
                <w:sz w:val="16"/>
                <w:szCs w:val="16"/>
              </w:rPr>
            </w:pPr>
            <w:r w:rsidRPr="00BB1F58">
              <w:rPr>
                <w:b/>
                <w:sz w:val="16"/>
                <w:szCs w:val="16"/>
              </w:rPr>
              <w:t>14</w:t>
            </w:r>
          </w:p>
        </w:tc>
        <w:tc>
          <w:tcPr>
            <w:tcW w:w="778" w:type="dxa"/>
            <w:shd w:val="clear" w:color="auto" w:fill="FFFFFF" w:themeFill="background1"/>
            <w:vAlign w:val="center"/>
          </w:tcPr>
          <w:p w:rsidR="00280D09" w:rsidRPr="00BB1F58" w:rsidRDefault="00280D09" w:rsidP="00E83597">
            <w:pPr>
              <w:rPr>
                <w:b/>
                <w:sz w:val="16"/>
                <w:szCs w:val="16"/>
              </w:rPr>
            </w:pPr>
            <w:r w:rsidRPr="00BB1F58">
              <w:rPr>
                <w:b/>
                <w:sz w:val="16"/>
                <w:szCs w:val="16"/>
              </w:rPr>
              <w:t>15</w:t>
            </w:r>
          </w:p>
        </w:tc>
        <w:tc>
          <w:tcPr>
            <w:tcW w:w="778" w:type="dxa"/>
            <w:shd w:val="clear" w:color="auto" w:fill="FFFFFF" w:themeFill="background1"/>
            <w:vAlign w:val="center"/>
          </w:tcPr>
          <w:p w:rsidR="00280D09" w:rsidRPr="00BB1F58" w:rsidRDefault="00280D09" w:rsidP="00E83597">
            <w:pPr>
              <w:rPr>
                <w:rFonts w:cs="Arial"/>
                <w:b/>
                <w:sz w:val="16"/>
                <w:szCs w:val="16"/>
              </w:rPr>
            </w:pPr>
            <w:r w:rsidRPr="00BB1F58">
              <w:rPr>
                <w:rFonts w:cs="Arial"/>
                <w:b/>
                <w:sz w:val="16"/>
                <w:szCs w:val="16"/>
              </w:rPr>
              <w:t>27</w:t>
            </w:r>
          </w:p>
        </w:tc>
        <w:tc>
          <w:tcPr>
            <w:tcW w:w="778" w:type="dxa"/>
            <w:shd w:val="clear" w:color="auto" w:fill="FFFFFF" w:themeFill="background1"/>
            <w:vAlign w:val="center"/>
          </w:tcPr>
          <w:p w:rsidR="00280D09" w:rsidRPr="00BB1F58" w:rsidRDefault="00280D09" w:rsidP="00E83597">
            <w:pPr>
              <w:rPr>
                <w:b/>
                <w:sz w:val="16"/>
                <w:szCs w:val="16"/>
              </w:rPr>
            </w:pPr>
            <w:r w:rsidRPr="00BB1F58">
              <w:rPr>
                <w:b/>
                <w:sz w:val="16"/>
                <w:szCs w:val="16"/>
              </w:rPr>
              <w:t>12</w:t>
            </w:r>
          </w:p>
        </w:tc>
        <w:tc>
          <w:tcPr>
            <w:tcW w:w="777" w:type="dxa"/>
            <w:tcBorders>
              <w:right w:val="single" w:sz="12" w:space="0" w:color="auto"/>
            </w:tcBorders>
            <w:shd w:val="clear" w:color="auto" w:fill="FFFFFF" w:themeFill="background1"/>
            <w:vAlign w:val="center"/>
          </w:tcPr>
          <w:p w:rsidR="00280D09" w:rsidRPr="00BB1F58" w:rsidRDefault="00280D09" w:rsidP="00E83597">
            <w:pPr>
              <w:rPr>
                <w:b/>
                <w:sz w:val="16"/>
                <w:szCs w:val="16"/>
              </w:rPr>
            </w:pPr>
            <w:r w:rsidRPr="00BB1F58">
              <w:rPr>
                <w:b/>
                <w:sz w:val="16"/>
                <w:szCs w:val="16"/>
              </w:rPr>
              <w:t>15</w:t>
            </w:r>
          </w:p>
        </w:tc>
        <w:tc>
          <w:tcPr>
            <w:tcW w:w="778" w:type="dxa"/>
            <w:tcBorders>
              <w:left w:val="single" w:sz="12" w:space="0" w:color="auto"/>
            </w:tcBorders>
            <w:shd w:val="clear" w:color="auto" w:fill="FFFFFF" w:themeFill="background1"/>
            <w:vAlign w:val="center"/>
          </w:tcPr>
          <w:p w:rsidR="00280D09" w:rsidRPr="00BB1F58" w:rsidRDefault="00280D09" w:rsidP="00E83597">
            <w:pPr>
              <w:rPr>
                <w:rFonts w:cs="Arial"/>
                <w:b/>
                <w:sz w:val="16"/>
                <w:szCs w:val="16"/>
              </w:rPr>
            </w:pPr>
            <w:r w:rsidRPr="00BB1F58">
              <w:rPr>
                <w:rFonts w:cs="Arial"/>
                <w:b/>
                <w:sz w:val="16"/>
                <w:szCs w:val="16"/>
              </w:rPr>
              <w:t>18</w:t>
            </w:r>
          </w:p>
        </w:tc>
        <w:tc>
          <w:tcPr>
            <w:tcW w:w="778" w:type="dxa"/>
            <w:shd w:val="clear" w:color="auto" w:fill="FFFFFF" w:themeFill="background1"/>
            <w:vAlign w:val="center"/>
          </w:tcPr>
          <w:p w:rsidR="00280D09" w:rsidRPr="00BB1F58" w:rsidRDefault="00280D09" w:rsidP="00E83597">
            <w:pPr>
              <w:rPr>
                <w:rFonts w:cs="Arial"/>
                <w:b/>
                <w:sz w:val="16"/>
                <w:szCs w:val="16"/>
              </w:rPr>
            </w:pPr>
            <w:r w:rsidRPr="00BB1F58">
              <w:rPr>
                <w:rFonts w:cs="Arial"/>
                <w:b/>
                <w:sz w:val="16"/>
                <w:szCs w:val="16"/>
              </w:rPr>
              <w:t>28</w:t>
            </w:r>
          </w:p>
        </w:tc>
        <w:tc>
          <w:tcPr>
            <w:tcW w:w="778" w:type="dxa"/>
            <w:shd w:val="clear" w:color="auto" w:fill="FFFFFF" w:themeFill="background1"/>
            <w:vAlign w:val="center"/>
          </w:tcPr>
          <w:p w:rsidR="00280D09" w:rsidRPr="00BB1F58" w:rsidRDefault="00280D09" w:rsidP="00E83597">
            <w:pPr>
              <w:rPr>
                <w:rFonts w:cs="Arial"/>
                <w:b/>
                <w:sz w:val="16"/>
                <w:szCs w:val="16"/>
              </w:rPr>
            </w:pPr>
            <w:r w:rsidRPr="00BB1F58">
              <w:rPr>
                <w:rFonts w:cs="Arial"/>
                <w:b/>
                <w:sz w:val="16"/>
                <w:szCs w:val="16"/>
              </w:rPr>
              <w:t>27</w:t>
            </w:r>
          </w:p>
        </w:tc>
        <w:tc>
          <w:tcPr>
            <w:tcW w:w="783" w:type="dxa"/>
            <w:shd w:val="clear" w:color="auto" w:fill="FFFFFF" w:themeFill="background1"/>
            <w:vAlign w:val="center"/>
          </w:tcPr>
          <w:p w:rsidR="00280D09" w:rsidRPr="00BB1F58" w:rsidRDefault="00280D09" w:rsidP="00E83597">
            <w:pPr>
              <w:rPr>
                <w:rFonts w:cs="Arial"/>
                <w:b/>
                <w:sz w:val="16"/>
                <w:szCs w:val="16"/>
              </w:rPr>
            </w:pPr>
            <w:r w:rsidRPr="00BB1F58">
              <w:rPr>
                <w:rFonts w:cs="Arial"/>
                <w:b/>
                <w:sz w:val="16"/>
                <w:szCs w:val="16"/>
              </w:rPr>
              <w:t>24</w:t>
            </w:r>
          </w:p>
        </w:tc>
      </w:tr>
      <w:tr w:rsidR="006949EA" w:rsidTr="004D603A">
        <w:trPr>
          <w:cantSplit/>
          <w:trHeight w:hRule="exact" w:val="462"/>
          <w:jc w:val="center"/>
        </w:trPr>
        <w:tc>
          <w:tcPr>
            <w:tcW w:w="11111" w:type="dxa"/>
            <w:gridSpan w:val="14"/>
            <w:shd w:val="clear" w:color="auto" w:fill="FFFFFF" w:themeFill="background1"/>
            <w:vAlign w:val="center"/>
          </w:tcPr>
          <w:p w:rsidR="006949EA" w:rsidRPr="00BB1F58" w:rsidRDefault="004D603A" w:rsidP="00E83597">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280D09" w:rsidRDefault="00280D09" w:rsidP="00356378">
      <w:pPr>
        <w:sectPr w:rsidR="00280D09"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280D09" w:rsidRDefault="00280D09" w:rsidP="00356378">
      <w:r>
        <w:br w:type="page"/>
      </w:r>
    </w:p>
    <w:p w:rsidR="00683D29" w:rsidRDefault="00683D29" w:rsidP="00731E82">
      <w:pPr>
        <w:pStyle w:val="AnnexTable"/>
        <w:tabs>
          <w:tab w:val="clear" w:pos="2687"/>
          <w:tab w:val="num" w:pos="1440"/>
        </w:tabs>
        <w:ind w:left="1440" w:hanging="1440"/>
      </w:pPr>
      <w:bookmarkStart w:id="379" w:name="_Ref395830247"/>
      <w:bookmarkStart w:id="380" w:name="_Toc408908676"/>
      <w:r w:rsidRPr="00683D29">
        <w:t>Existence of a statutory provision on the right of children to legal counsel and representation, in their own name, in proceedings where there are potential conflicts of interest between child and parents</w:t>
      </w:r>
      <w:r>
        <w:t xml:space="preserve"> (CivAdm148a</w:t>
      </w:r>
      <w:r w:rsidRPr="006822D9">
        <w:t>)</w:t>
      </w:r>
      <w:bookmarkEnd w:id="379"/>
      <w:bookmarkEnd w:id="380"/>
      <w:r>
        <w:t xml:space="preserve"> </w:t>
      </w:r>
    </w:p>
    <w:p w:rsidR="0021506B" w:rsidRDefault="0021506B" w:rsidP="009B1CF3">
      <w:pPr>
        <w:pStyle w:val="TableTitle"/>
        <w:sectPr w:rsidR="0021506B" w:rsidSect="002C3D52">
          <w:type w:val="continuous"/>
          <w:pgSz w:w="11907" w:h="16840" w:code="9"/>
          <w:pgMar w:top="1276" w:right="1418" w:bottom="851" w:left="1418" w:header="680" w:footer="567" w:gutter="0"/>
          <w:cols w:space="708"/>
          <w:docGrid w:linePitch="360"/>
        </w:sectPr>
      </w:pPr>
    </w:p>
    <w:tbl>
      <w:tblPr>
        <w:tblStyle w:val="Tabellenraster1"/>
        <w:tblW w:w="10967" w:type="dxa"/>
        <w:jc w:val="center"/>
        <w:tblLayout w:type="fixed"/>
        <w:tblLook w:val="04A0" w:firstRow="1" w:lastRow="0" w:firstColumn="1" w:lastColumn="0" w:noHBand="0" w:noVBand="1"/>
      </w:tblPr>
      <w:tblGrid>
        <w:gridCol w:w="977"/>
        <w:gridCol w:w="711"/>
        <w:gridCol w:w="774"/>
        <w:gridCol w:w="774"/>
        <w:gridCol w:w="774"/>
        <w:gridCol w:w="775"/>
        <w:gridCol w:w="774"/>
        <w:gridCol w:w="774"/>
        <w:gridCol w:w="774"/>
        <w:gridCol w:w="775"/>
        <w:gridCol w:w="28"/>
        <w:gridCol w:w="746"/>
        <w:gridCol w:w="774"/>
        <w:gridCol w:w="774"/>
        <w:gridCol w:w="763"/>
      </w:tblGrid>
      <w:tr w:rsidR="0021506B" w:rsidRPr="00593387" w:rsidTr="0021506B">
        <w:trPr>
          <w:trHeight w:val="235"/>
          <w:tblHeader/>
          <w:jc w:val="center"/>
        </w:trPr>
        <w:tc>
          <w:tcPr>
            <w:tcW w:w="977" w:type="dxa"/>
            <w:tcBorders>
              <w:right w:val="single" w:sz="12" w:space="0" w:color="auto"/>
            </w:tcBorders>
          </w:tcPr>
          <w:p w:rsidR="0021506B" w:rsidRDefault="0021506B" w:rsidP="009B1CF3">
            <w:pPr>
              <w:pStyle w:val="TableTitle"/>
            </w:pPr>
            <w:r>
              <w:t>MS</w:t>
            </w:r>
          </w:p>
        </w:tc>
        <w:tc>
          <w:tcPr>
            <w:tcW w:w="6933" w:type="dxa"/>
            <w:gridSpan w:val="10"/>
            <w:tcBorders>
              <w:left w:val="single" w:sz="12" w:space="0" w:color="auto"/>
              <w:right w:val="single" w:sz="12" w:space="0" w:color="auto"/>
            </w:tcBorders>
          </w:tcPr>
          <w:p w:rsidR="0021506B" w:rsidRDefault="0021506B" w:rsidP="009B1CF3">
            <w:pPr>
              <w:pStyle w:val="TableTitle"/>
            </w:pPr>
            <w:r>
              <w:t>Areas of law</w:t>
            </w:r>
          </w:p>
        </w:tc>
        <w:tc>
          <w:tcPr>
            <w:tcW w:w="3057" w:type="dxa"/>
            <w:gridSpan w:val="4"/>
            <w:tcBorders>
              <w:left w:val="single" w:sz="12" w:space="0" w:color="auto"/>
            </w:tcBorders>
          </w:tcPr>
          <w:p w:rsidR="0021506B" w:rsidRDefault="0021506B" w:rsidP="009B1CF3">
            <w:pPr>
              <w:pStyle w:val="TableTitle"/>
            </w:pPr>
            <w:r>
              <w:t>Roles of the child</w:t>
            </w:r>
          </w:p>
        </w:tc>
      </w:tr>
      <w:tr w:rsidR="0021506B" w:rsidTr="00731E82">
        <w:trPr>
          <w:cantSplit/>
          <w:trHeight w:val="964"/>
          <w:tblHeader/>
          <w:jc w:val="center"/>
        </w:trPr>
        <w:tc>
          <w:tcPr>
            <w:tcW w:w="977" w:type="dxa"/>
            <w:tcBorders>
              <w:right w:val="single" w:sz="12" w:space="0" w:color="auto"/>
            </w:tcBorders>
            <w:shd w:val="clear" w:color="auto" w:fill="DBE5F1" w:themeFill="accent1" w:themeFillTint="33"/>
          </w:tcPr>
          <w:p w:rsidR="0021506B" w:rsidRPr="00E217F3" w:rsidRDefault="0021506B" w:rsidP="009B1CF3">
            <w:pPr>
              <w:rPr>
                <w:b/>
              </w:rPr>
            </w:pPr>
          </w:p>
        </w:tc>
        <w:tc>
          <w:tcPr>
            <w:tcW w:w="711" w:type="dxa"/>
            <w:tcBorders>
              <w:lef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Family</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Employment</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Asylum</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Migration</w:t>
            </w:r>
          </w:p>
        </w:tc>
        <w:tc>
          <w:tcPr>
            <w:tcW w:w="775"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Education</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Health</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Placement</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Admin Sanctions</w:t>
            </w:r>
          </w:p>
        </w:tc>
        <w:tc>
          <w:tcPr>
            <w:tcW w:w="775" w:type="dxa"/>
            <w:tcBorders>
              <w:righ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Offences &lt;MACR</w:t>
            </w:r>
          </w:p>
        </w:tc>
        <w:tc>
          <w:tcPr>
            <w:tcW w:w="774" w:type="dxa"/>
            <w:gridSpan w:val="2"/>
            <w:tcBorders>
              <w:lef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Witnesses</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Plaintiffs</w:t>
            </w:r>
          </w:p>
        </w:tc>
        <w:tc>
          <w:tcPr>
            <w:tcW w:w="774"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Defendants</w:t>
            </w:r>
          </w:p>
        </w:tc>
        <w:tc>
          <w:tcPr>
            <w:tcW w:w="763"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Subjects</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AT</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BE</w:t>
            </w:r>
          </w:p>
        </w:tc>
        <w:tc>
          <w:tcPr>
            <w:tcW w:w="711" w:type="dxa"/>
            <w:tcBorders>
              <w:left w:val="single" w:sz="12" w:space="0" w:color="auto"/>
            </w:tcBorders>
            <w:vAlign w:val="center"/>
          </w:tcPr>
          <w:p w:rsidR="0021506B" w:rsidRDefault="0021506B" w:rsidP="009B1CF3">
            <w:r w:rsidRPr="00E9334C">
              <w:rPr>
                <w:rFonts w:cs="Arial"/>
                <w:sz w:val="18"/>
                <w:szCs w:val="18"/>
              </w:rPr>
              <w:t>√</w:t>
            </w:r>
          </w:p>
        </w:tc>
        <w:tc>
          <w:tcPr>
            <w:tcW w:w="774" w:type="dxa"/>
            <w:vAlign w:val="center"/>
          </w:tcPr>
          <w:p w:rsidR="0021506B" w:rsidRDefault="0021506B" w:rsidP="009B1CF3">
            <w:r w:rsidRPr="00E9334C">
              <w:rPr>
                <w:rFonts w:cs="Arial"/>
                <w:sz w:val="18"/>
                <w:szCs w:val="18"/>
              </w:rPr>
              <w:t>√</w:t>
            </w:r>
          </w:p>
        </w:tc>
        <w:tc>
          <w:tcPr>
            <w:tcW w:w="774" w:type="dxa"/>
            <w:vAlign w:val="center"/>
          </w:tcPr>
          <w:p w:rsidR="0021506B" w:rsidRDefault="0021506B" w:rsidP="009B1CF3">
            <w:r w:rsidRPr="00E9334C">
              <w:rPr>
                <w:rFonts w:cs="Arial"/>
                <w:sz w:val="18"/>
                <w:szCs w:val="18"/>
              </w:rPr>
              <w:t>√</w:t>
            </w:r>
          </w:p>
        </w:tc>
        <w:tc>
          <w:tcPr>
            <w:tcW w:w="774" w:type="dxa"/>
            <w:vAlign w:val="center"/>
          </w:tcPr>
          <w:p w:rsidR="0021506B" w:rsidRDefault="0021506B" w:rsidP="009B1CF3">
            <w:r w:rsidRPr="00E9334C">
              <w:rPr>
                <w:rFonts w:cs="Arial"/>
                <w:sz w:val="18"/>
                <w:szCs w:val="18"/>
              </w:rPr>
              <w:t>√</w:t>
            </w:r>
          </w:p>
        </w:tc>
        <w:tc>
          <w:tcPr>
            <w:tcW w:w="775" w:type="dxa"/>
            <w:vAlign w:val="center"/>
          </w:tcPr>
          <w:p w:rsidR="0021506B" w:rsidRDefault="0021506B" w:rsidP="009B1CF3">
            <w:r w:rsidRPr="00E9334C">
              <w:rPr>
                <w:rFonts w:cs="Arial"/>
                <w:sz w:val="18"/>
                <w:szCs w:val="18"/>
              </w:rPr>
              <w:t>√</w:t>
            </w:r>
          </w:p>
        </w:tc>
        <w:tc>
          <w:tcPr>
            <w:tcW w:w="774" w:type="dxa"/>
            <w:vAlign w:val="center"/>
          </w:tcPr>
          <w:p w:rsidR="0021506B" w:rsidRDefault="0021506B" w:rsidP="009B1CF3">
            <w:r w:rsidRPr="00E9334C">
              <w:rPr>
                <w:rFonts w:cs="Arial"/>
                <w:sz w:val="18"/>
                <w:szCs w:val="18"/>
              </w:rPr>
              <w:t>√</w:t>
            </w:r>
          </w:p>
        </w:tc>
        <w:tc>
          <w:tcPr>
            <w:tcW w:w="774" w:type="dxa"/>
            <w:vAlign w:val="center"/>
          </w:tcPr>
          <w:p w:rsidR="0021506B" w:rsidRDefault="0021506B" w:rsidP="009B1CF3">
            <w:r w:rsidRPr="00E9334C">
              <w:rPr>
                <w:rFonts w:cs="Arial"/>
                <w:sz w:val="18"/>
                <w:szCs w:val="18"/>
              </w:rPr>
              <w:t>√</w:t>
            </w:r>
          </w:p>
        </w:tc>
        <w:tc>
          <w:tcPr>
            <w:tcW w:w="774" w:type="dxa"/>
            <w:vAlign w:val="center"/>
          </w:tcPr>
          <w:p w:rsidR="0021506B" w:rsidRDefault="0021506B" w:rsidP="009B1CF3">
            <w:r w:rsidRPr="00E9334C">
              <w:rPr>
                <w:rFonts w:cs="Arial"/>
                <w:sz w:val="18"/>
                <w:szCs w:val="18"/>
              </w:rPr>
              <w:t>√</w:t>
            </w:r>
          </w:p>
        </w:tc>
        <w:tc>
          <w:tcPr>
            <w:tcW w:w="775" w:type="dxa"/>
            <w:tcBorders>
              <w:right w:val="single" w:sz="12" w:space="0" w:color="auto"/>
            </w:tcBorders>
            <w:vAlign w:val="center"/>
          </w:tcPr>
          <w:p w:rsidR="0021506B" w:rsidRDefault="0021506B" w:rsidP="009B1CF3">
            <w:r w:rsidRPr="00E9334C">
              <w:rPr>
                <w:rFonts w:cs="Arial"/>
                <w:sz w:val="18"/>
                <w:szCs w:val="18"/>
              </w:rPr>
              <w:t>√</w:t>
            </w:r>
          </w:p>
        </w:tc>
        <w:tc>
          <w:tcPr>
            <w:tcW w:w="774" w:type="dxa"/>
            <w:gridSpan w:val="2"/>
            <w:tcBorders>
              <w:left w:val="single" w:sz="12" w:space="0" w:color="auto"/>
            </w:tcBorders>
            <w:vAlign w:val="center"/>
          </w:tcPr>
          <w:p w:rsidR="0021506B" w:rsidRDefault="0021506B" w:rsidP="009B1CF3">
            <w:r w:rsidRPr="002757F2">
              <w:rPr>
                <w:rFonts w:cs="Arial"/>
                <w:sz w:val="18"/>
                <w:szCs w:val="18"/>
              </w:rPr>
              <w:t>√</w:t>
            </w:r>
          </w:p>
        </w:tc>
        <w:tc>
          <w:tcPr>
            <w:tcW w:w="774" w:type="dxa"/>
            <w:vAlign w:val="center"/>
          </w:tcPr>
          <w:p w:rsidR="0021506B" w:rsidRDefault="0021506B" w:rsidP="009B1CF3">
            <w:r w:rsidRPr="002757F2">
              <w:rPr>
                <w:rFonts w:cs="Arial"/>
                <w:sz w:val="18"/>
                <w:szCs w:val="18"/>
              </w:rPr>
              <w:t>√</w:t>
            </w:r>
          </w:p>
        </w:tc>
        <w:tc>
          <w:tcPr>
            <w:tcW w:w="774" w:type="dxa"/>
            <w:vAlign w:val="center"/>
          </w:tcPr>
          <w:p w:rsidR="0021506B" w:rsidRDefault="0021506B" w:rsidP="009B1CF3">
            <w:r w:rsidRPr="002757F2">
              <w:rPr>
                <w:rFonts w:cs="Arial"/>
                <w:sz w:val="18"/>
                <w:szCs w:val="18"/>
              </w:rPr>
              <w:t>√</w:t>
            </w:r>
          </w:p>
        </w:tc>
        <w:tc>
          <w:tcPr>
            <w:tcW w:w="763" w:type="dxa"/>
            <w:vAlign w:val="center"/>
          </w:tcPr>
          <w:p w:rsidR="0021506B" w:rsidRDefault="0021506B" w:rsidP="009B1CF3">
            <w:r>
              <w:rPr>
                <w:rFonts w:cs="Arial"/>
                <w:sz w:val="18"/>
                <w:szCs w:val="18"/>
              </w:rPr>
              <w:t>√</w:t>
            </w:r>
            <w:r>
              <w:rPr>
                <w:rStyle w:val="EndnoteReference"/>
              </w:rPr>
              <w:endnoteReference w:id="324"/>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BG</w:t>
            </w:r>
          </w:p>
        </w:tc>
        <w:tc>
          <w:tcPr>
            <w:tcW w:w="711" w:type="dxa"/>
            <w:tcBorders>
              <w:left w:val="single" w:sz="12" w:space="0" w:color="auto"/>
            </w:tcBorders>
            <w:vAlign w:val="center"/>
          </w:tcPr>
          <w:p w:rsidR="0021506B" w:rsidRPr="00E217F3" w:rsidRDefault="0021506B" w:rsidP="009B1CF3">
            <w:pPr>
              <w:rPr>
                <w:sz w:val="18"/>
                <w:szCs w:val="18"/>
              </w:rPr>
            </w:pPr>
            <w:r>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Default="0021506B" w:rsidP="009B1CF3">
            <w:r w:rsidRPr="00320D1C">
              <w:rPr>
                <w:rFonts w:cs="Arial"/>
                <w:sz w:val="18"/>
                <w:szCs w:val="18"/>
              </w:rPr>
              <w:t>√</w:t>
            </w:r>
          </w:p>
        </w:tc>
        <w:tc>
          <w:tcPr>
            <w:tcW w:w="774" w:type="dxa"/>
            <w:vAlign w:val="center"/>
          </w:tcPr>
          <w:p w:rsidR="0021506B" w:rsidRDefault="0021506B" w:rsidP="009B1CF3">
            <w:r w:rsidRPr="00320D1C">
              <w:rPr>
                <w:rFonts w:cs="Arial"/>
                <w:sz w:val="18"/>
                <w:szCs w:val="18"/>
              </w:rPr>
              <w:t>√</w:t>
            </w:r>
          </w:p>
        </w:tc>
        <w:tc>
          <w:tcPr>
            <w:tcW w:w="775" w:type="dxa"/>
            <w:vAlign w:val="center"/>
          </w:tcPr>
          <w:p w:rsidR="0021506B" w:rsidRDefault="0021506B" w:rsidP="009B1CF3">
            <w:r w:rsidRPr="00320D1C">
              <w:rPr>
                <w:rFonts w:cs="Arial"/>
                <w:sz w:val="18"/>
                <w:szCs w:val="18"/>
              </w:rPr>
              <w:t>√</w:t>
            </w:r>
          </w:p>
        </w:tc>
        <w:tc>
          <w:tcPr>
            <w:tcW w:w="774" w:type="dxa"/>
            <w:vAlign w:val="center"/>
          </w:tcPr>
          <w:p w:rsidR="0021506B" w:rsidRDefault="0021506B" w:rsidP="009B1CF3">
            <w:r w:rsidRPr="00320D1C">
              <w:rPr>
                <w:rFonts w:cs="Arial"/>
                <w:sz w:val="18"/>
                <w:szCs w:val="18"/>
              </w:rPr>
              <w:t>√</w:t>
            </w:r>
          </w:p>
        </w:tc>
        <w:tc>
          <w:tcPr>
            <w:tcW w:w="774" w:type="dxa"/>
            <w:vAlign w:val="center"/>
          </w:tcPr>
          <w:p w:rsidR="0021506B" w:rsidRDefault="0021506B" w:rsidP="009B1CF3">
            <w:r w:rsidRPr="00320D1C">
              <w:rPr>
                <w:rFonts w:cs="Arial"/>
                <w:sz w:val="18"/>
                <w:szCs w:val="18"/>
              </w:rPr>
              <w:t>√</w:t>
            </w:r>
          </w:p>
        </w:tc>
        <w:tc>
          <w:tcPr>
            <w:tcW w:w="774" w:type="dxa"/>
            <w:vAlign w:val="center"/>
          </w:tcPr>
          <w:p w:rsidR="0021506B" w:rsidRDefault="0021506B" w:rsidP="009B1CF3">
            <w:r w:rsidRPr="00320D1C">
              <w:rPr>
                <w:rFonts w:cs="Arial"/>
                <w:sz w:val="18"/>
                <w:szCs w:val="18"/>
              </w:rPr>
              <w:t>√</w:t>
            </w:r>
          </w:p>
        </w:tc>
        <w:tc>
          <w:tcPr>
            <w:tcW w:w="775" w:type="dxa"/>
            <w:tcBorders>
              <w:right w:val="single" w:sz="12" w:space="0" w:color="auto"/>
            </w:tcBorders>
            <w:vAlign w:val="center"/>
          </w:tcPr>
          <w:p w:rsidR="0021506B" w:rsidRDefault="0021506B" w:rsidP="009B1CF3">
            <w:r w:rsidRPr="00320D1C">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D43AEC">
              <w:rPr>
                <w:rFonts w:cs="Arial"/>
                <w:sz w:val="18"/>
                <w:szCs w:val="18"/>
              </w:rPr>
              <w:t>√</w:t>
            </w:r>
          </w:p>
        </w:tc>
        <w:tc>
          <w:tcPr>
            <w:tcW w:w="774" w:type="dxa"/>
            <w:vAlign w:val="center"/>
          </w:tcPr>
          <w:p w:rsidR="0021506B" w:rsidRDefault="0021506B" w:rsidP="009B1CF3">
            <w:r w:rsidRPr="00D43AEC">
              <w:rPr>
                <w:rFonts w:cs="Arial"/>
                <w:sz w:val="18"/>
                <w:szCs w:val="18"/>
              </w:rPr>
              <w:t>√</w:t>
            </w:r>
          </w:p>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CY</w:t>
            </w:r>
          </w:p>
        </w:tc>
        <w:tc>
          <w:tcPr>
            <w:tcW w:w="711" w:type="dxa"/>
            <w:tcBorders>
              <w:left w:val="single" w:sz="12" w:space="0" w:color="auto"/>
            </w:tcBorders>
            <w:vAlign w:val="center"/>
          </w:tcPr>
          <w:p w:rsidR="0021506B" w:rsidRDefault="0021506B" w:rsidP="009B1CF3">
            <w:r w:rsidRPr="00E2705D">
              <w:rPr>
                <w:rFonts w:cs="Arial"/>
                <w:sz w:val="18"/>
                <w:szCs w:val="18"/>
              </w:rPr>
              <w:t>√</w:t>
            </w:r>
          </w:p>
        </w:tc>
        <w:tc>
          <w:tcPr>
            <w:tcW w:w="774" w:type="dxa"/>
            <w:vAlign w:val="center"/>
          </w:tcPr>
          <w:p w:rsidR="0021506B" w:rsidRDefault="0021506B" w:rsidP="009B1CF3">
            <w:r w:rsidRPr="00E2705D">
              <w:rPr>
                <w:rFonts w:cs="Arial"/>
                <w:sz w:val="18"/>
                <w:szCs w:val="18"/>
              </w:rPr>
              <w:t>√</w:t>
            </w:r>
          </w:p>
        </w:tc>
        <w:tc>
          <w:tcPr>
            <w:tcW w:w="774" w:type="dxa"/>
            <w:vAlign w:val="center"/>
          </w:tcPr>
          <w:p w:rsidR="0021506B" w:rsidRDefault="0021506B" w:rsidP="009B1CF3">
            <w:r w:rsidRPr="00E2705D">
              <w:rPr>
                <w:rFonts w:cs="Arial"/>
                <w:sz w:val="18"/>
                <w:szCs w:val="18"/>
              </w:rPr>
              <w:t>√</w:t>
            </w:r>
          </w:p>
        </w:tc>
        <w:tc>
          <w:tcPr>
            <w:tcW w:w="774" w:type="dxa"/>
            <w:vAlign w:val="center"/>
          </w:tcPr>
          <w:p w:rsidR="0021506B" w:rsidRDefault="0021506B" w:rsidP="009B1CF3">
            <w:r w:rsidRPr="00E2705D">
              <w:rPr>
                <w:rFonts w:cs="Arial"/>
                <w:sz w:val="18"/>
                <w:szCs w:val="18"/>
              </w:rPr>
              <w:t>√</w:t>
            </w:r>
          </w:p>
        </w:tc>
        <w:tc>
          <w:tcPr>
            <w:tcW w:w="775" w:type="dxa"/>
            <w:vAlign w:val="center"/>
          </w:tcPr>
          <w:p w:rsidR="0021506B" w:rsidRDefault="0021506B" w:rsidP="009B1CF3">
            <w:r w:rsidRPr="00E2705D">
              <w:rPr>
                <w:rFonts w:cs="Arial"/>
                <w:sz w:val="18"/>
                <w:szCs w:val="18"/>
              </w:rPr>
              <w:t>√</w:t>
            </w:r>
          </w:p>
        </w:tc>
        <w:tc>
          <w:tcPr>
            <w:tcW w:w="774" w:type="dxa"/>
            <w:vAlign w:val="center"/>
          </w:tcPr>
          <w:p w:rsidR="0021506B" w:rsidRDefault="0021506B" w:rsidP="009B1CF3">
            <w:r w:rsidRPr="00E2705D">
              <w:rPr>
                <w:rFonts w:cs="Arial"/>
                <w:sz w:val="18"/>
                <w:szCs w:val="18"/>
              </w:rPr>
              <w:t>√</w:t>
            </w:r>
          </w:p>
        </w:tc>
        <w:tc>
          <w:tcPr>
            <w:tcW w:w="774" w:type="dxa"/>
            <w:vAlign w:val="center"/>
          </w:tcPr>
          <w:p w:rsidR="0021506B" w:rsidRDefault="0021506B" w:rsidP="009B1CF3">
            <w:r w:rsidRPr="00E2705D">
              <w:rPr>
                <w:rFonts w:cs="Arial"/>
                <w:sz w:val="18"/>
                <w:szCs w:val="18"/>
              </w:rPr>
              <w:t>√</w:t>
            </w:r>
          </w:p>
        </w:tc>
        <w:tc>
          <w:tcPr>
            <w:tcW w:w="774" w:type="dxa"/>
            <w:vAlign w:val="center"/>
          </w:tcPr>
          <w:p w:rsidR="0021506B" w:rsidRDefault="0021506B" w:rsidP="009B1CF3">
            <w:r w:rsidRPr="00E2705D">
              <w:rPr>
                <w:rFonts w:cs="Arial"/>
                <w:sz w:val="18"/>
                <w:szCs w:val="18"/>
              </w:rPr>
              <w:t>√</w:t>
            </w: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vAlign w:val="center"/>
          </w:tcPr>
          <w:p w:rsidR="0021506B" w:rsidRDefault="0021506B" w:rsidP="009B1CF3">
            <w:r w:rsidRPr="00133236">
              <w:rPr>
                <w:rFonts w:cs="Arial"/>
                <w:sz w:val="18"/>
                <w:szCs w:val="18"/>
              </w:rPr>
              <w:t>√</w:t>
            </w:r>
          </w:p>
        </w:tc>
        <w:tc>
          <w:tcPr>
            <w:tcW w:w="774" w:type="dxa"/>
            <w:vAlign w:val="center"/>
          </w:tcPr>
          <w:p w:rsidR="0021506B" w:rsidRDefault="0021506B" w:rsidP="009B1CF3">
            <w:r w:rsidRPr="00133236">
              <w:rPr>
                <w:rFonts w:cs="Arial"/>
                <w:sz w:val="18"/>
                <w:szCs w:val="18"/>
              </w:rPr>
              <w:t>√</w:t>
            </w:r>
          </w:p>
        </w:tc>
        <w:tc>
          <w:tcPr>
            <w:tcW w:w="774" w:type="dxa"/>
            <w:vAlign w:val="center"/>
          </w:tcPr>
          <w:p w:rsidR="0021506B" w:rsidRDefault="0021506B" w:rsidP="009B1CF3">
            <w:r w:rsidRPr="00133236">
              <w:rPr>
                <w:rFonts w:cs="Arial"/>
                <w:sz w:val="18"/>
                <w:szCs w:val="18"/>
              </w:rPr>
              <w:t>√</w:t>
            </w:r>
          </w:p>
        </w:tc>
        <w:tc>
          <w:tcPr>
            <w:tcW w:w="763" w:type="dxa"/>
            <w:vAlign w:val="center"/>
          </w:tcPr>
          <w:p w:rsidR="0021506B" w:rsidRDefault="0021506B" w:rsidP="009B1CF3">
            <w:r w:rsidRPr="00133236">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CZ</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DE</w:t>
            </w:r>
          </w:p>
        </w:tc>
        <w:tc>
          <w:tcPr>
            <w:tcW w:w="711" w:type="dxa"/>
            <w:tcBorders>
              <w:left w:val="single" w:sz="12" w:space="0" w:color="auto"/>
            </w:tcBorders>
            <w:vAlign w:val="center"/>
          </w:tcPr>
          <w:p w:rsidR="0021506B" w:rsidRDefault="0021506B" w:rsidP="009B1CF3">
            <w:r w:rsidRPr="005A2BB5">
              <w:rPr>
                <w:rFonts w:cs="Arial"/>
                <w:sz w:val="18"/>
                <w:szCs w:val="18"/>
              </w:rPr>
              <w:t>√</w:t>
            </w:r>
          </w:p>
        </w:tc>
        <w:tc>
          <w:tcPr>
            <w:tcW w:w="774" w:type="dxa"/>
            <w:vAlign w:val="center"/>
          </w:tcPr>
          <w:p w:rsidR="0021506B" w:rsidRDefault="0021506B" w:rsidP="009B1CF3">
            <w:r w:rsidRPr="005A2BB5">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Pr="00E217F3" w:rsidRDefault="0021506B" w:rsidP="009B1CF3">
            <w:pPr>
              <w:rPr>
                <w:sz w:val="18"/>
                <w:szCs w:val="18"/>
              </w:rPr>
            </w:pPr>
            <w:r>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CB6CD7">
              <w:rPr>
                <w:rFonts w:cs="Arial"/>
                <w:sz w:val="18"/>
                <w:szCs w:val="18"/>
              </w:rPr>
              <w:t>√</w:t>
            </w:r>
          </w:p>
        </w:tc>
        <w:tc>
          <w:tcPr>
            <w:tcW w:w="774" w:type="dxa"/>
            <w:vAlign w:val="center"/>
          </w:tcPr>
          <w:p w:rsidR="0021506B" w:rsidRDefault="0021506B" w:rsidP="009B1CF3">
            <w:r w:rsidRPr="00CB6CD7">
              <w:rPr>
                <w:rFonts w:cs="Arial"/>
                <w:sz w:val="18"/>
                <w:szCs w:val="18"/>
              </w:rPr>
              <w:t>√</w:t>
            </w:r>
          </w:p>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DK</w:t>
            </w:r>
          </w:p>
        </w:tc>
        <w:tc>
          <w:tcPr>
            <w:tcW w:w="711" w:type="dxa"/>
            <w:tcBorders>
              <w:left w:val="single" w:sz="12" w:space="0" w:color="auto"/>
            </w:tcBorders>
            <w:vAlign w:val="center"/>
          </w:tcPr>
          <w:p w:rsidR="0021506B" w:rsidRDefault="0021506B" w:rsidP="009B1CF3">
            <w:r w:rsidRPr="005A2BB5">
              <w:rPr>
                <w:rFonts w:cs="Arial"/>
                <w:sz w:val="18"/>
                <w:szCs w:val="18"/>
              </w:rPr>
              <w:t>√</w:t>
            </w:r>
          </w:p>
        </w:tc>
        <w:tc>
          <w:tcPr>
            <w:tcW w:w="774" w:type="dxa"/>
            <w:vAlign w:val="center"/>
          </w:tcPr>
          <w:p w:rsidR="0021506B" w:rsidRDefault="0021506B" w:rsidP="009B1CF3">
            <w:r w:rsidRPr="005A2BB5">
              <w:rPr>
                <w:rFonts w:cs="Arial"/>
                <w:sz w:val="18"/>
                <w:szCs w:val="18"/>
              </w:rPr>
              <w:t>√</w:t>
            </w:r>
          </w:p>
        </w:tc>
        <w:tc>
          <w:tcPr>
            <w:tcW w:w="774" w:type="dxa"/>
            <w:vAlign w:val="center"/>
          </w:tcPr>
          <w:p w:rsidR="0021506B" w:rsidRDefault="0021506B" w:rsidP="009B1CF3">
            <w:r w:rsidRPr="00B145CC">
              <w:rPr>
                <w:rFonts w:cs="Arial"/>
                <w:sz w:val="18"/>
                <w:szCs w:val="18"/>
              </w:rPr>
              <w:t>√</w:t>
            </w:r>
          </w:p>
        </w:tc>
        <w:tc>
          <w:tcPr>
            <w:tcW w:w="774" w:type="dxa"/>
            <w:vAlign w:val="center"/>
          </w:tcPr>
          <w:p w:rsidR="0021506B" w:rsidRDefault="0021506B" w:rsidP="009B1CF3">
            <w:r w:rsidRPr="00B145CC">
              <w:rPr>
                <w:rFonts w:cs="Arial"/>
                <w:sz w:val="18"/>
                <w:szCs w:val="18"/>
              </w:rPr>
              <w:t>√</w:t>
            </w:r>
          </w:p>
        </w:tc>
        <w:tc>
          <w:tcPr>
            <w:tcW w:w="775" w:type="dxa"/>
            <w:vAlign w:val="center"/>
          </w:tcPr>
          <w:p w:rsidR="0021506B" w:rsidRDefault="0021506B" w:rsidP="009B1CF3">
            <w:r w:rsidRPr="00B145CC">
              <w:rPr>
                <w:rFonts w:cs="Arial"/>
                <w:sz w:val="18"/>
                <w:szCs w:val="18"/>
              </w:rPr>
              <w:t>√</w:t>
            </w:r>
          </w:p>
        </w:tc>
        <w:tc>
          <w:tcPr>
            <w:tcW w:w="774" w:type="dxa"/>
            <w:vAlign w:val="center"/>
          </w:tcPr>
          <w:p w:rsidR="0021506B" w:rsidRDefault="0021506B" w:rsidP="009B1CF3">
            <w:r w:rsidRPr="00B145CC">
              <w:rPr>
                <w:rFonts w:cs="Arial"/>
                <w:sz w:val="18"/>
                <w:szCs w:val="18"/>
              </w:rPr>
              <w:t>√</w:t>
            </w:r>
          </w:p>
        </w:tc>
        <w:tc>
          <w:tcPr>
            <w:tcW w:w="774" w:type="dxa"/>
            <w:vAlign w:val="center"/>
          </w:tcPr>
          <w:p w:rsidR="0021506B" w:rsidRDefault="0021506B" w:rsidP="009B1CF3">
            <w:r w:rsidRPr="00B145CC">
              <w:rPr>
                <w:rFonts w:cs="Arial"/>
                <w:sz w:val="18"/>
                <w:szCs w:val="18"/>
              </w:rPr>
              <w:t>√</w:t>
            </w:r>
          </w:p>
        </w:tc>
        <w:tc>
          <w:tcPr>
            <w:tcW w:w="774" w:type="dxa"/>
            <w:vAlign w:val="center"/>
          </w:tcPr>
          <w:p w:rsidR="0021506B" w:rsidRDefault="0021506B" w:rsidP="009B1CF3">
            <w:r w:rsidRPr="00B145CC">
              <w:rPr>
                <w:rFonts w:cs="Arial"/>
                <w:sz w:val="18"/>
                <w:szCs w:val="18"/>
              </w:rPr>
              <w:t>√</w:t>
            </w:r>
          </w:p>
        </w:tc>
        <w:tc>
          <w:tcPr>
            <w:tcW w:w="775" w:type="dxa"/>
            <w:tcBorders>
              <w:right w:val="single" w:sz="12" w:space="0" w:color="auto"/>
            </w:tcBorders>
            <w:vAlign w:val="center"/>
          </w:tcPr>
          <w:p w:rsidR="0021506B" w:rsidRDefault="0021506B" w:rsidP="009B1CF3">
            <w:r w:rsidRPr="00B145CC">
              <w:rPr>
                <w:rFonts w:cs="Arial"/>
                <w:sz w:val="18"/>
                <w:szCs w:val="18"/>
              </w:rPr>
              <w:t>√</w:t>
            </w:r>
          </w:p>
        </w:tc>
        <w:tc>
          <w:tcPr>
            <w:tcW w:w="774" w:type="dxa"/>
            <w:gridSpan w:val="2"/>
            <w:tcBorders>
              <w:left w:val="single" w:sz="12" w:space="0" w:color="auto"/>
            </w:tcBorders>
            <w:vAlign w:val="center"/>
          </w:tcPr>
          <w:p w:rsidR="0021506B" w:rsidRDefault="0021506B" w:rsidP="009B1CF3">
            <w:r w:rsidRPr="00B145CC">
              <w:rPr>
                <w:rFonts w:cs="Arial"/>
                <w:sz w:val="18"/>
                <w:szCs w:val="18"/>
              </w:rPr>
              <w:t>√</w:t>
            </w:r>
          </w:p>
        </w:tc>
        <w:tc>
          <w:tcPr>
            <w:tcW w:w="774" w:type="dxa"/>
            <w:vAlign w:val="center"/>
          </w:tcPr>
          <w:p w:rsidR="0021506B" w:rsidRDefault="0021506B" w:rsidP="009B1CF3">
            <w:r>
              <w:rPr>
                <w:rFonts w:cs="Arial"/>
                <w:sz w:val="18"/>
                <w:szCs w:val="18"/>
              </w:rPr>
              <w:t>√</w:t>
            </w:r>
            <w:r>
              <w:rPr>
                <w:rStyle w:val="EndnoteReference"/>
              </w:rPr>
              <w:endnoteReference w:id="325"/>
            </w:r>
          </w:p>
        </w:tc>
        <w:tc>
          <w:tcPr>
            <w:tcW w:w="774" w:type="dxa"/>
            <w:vAlign w:val="center"/>
          </w:tcPr>
          <w:p w:rsidR="0021506B" w:rsidRDefault="0021506B" w:rsidP="009B1CF3">
            <w:r>
              <w:rPr>
                <w:rFonts w:cs="Arial"/>
                <w:sz w:val="18"/>
                <w:szCs w:val="18"/>
              </w:rPr>
              <w:t>√</w:t>
            </w:r>
            <w:r>
              <w:rPr>
                <w:rStyle w:val="EndnoteReference"/>
              </w:rPr>
              <w:endnoteReference w:id="326"/>
            </w:r>
          </w:p>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EE</w:t>
            </w:r>
          </w:p>
        </w:tc>
        <w:tc>
          <w:tcPr>
            <w:tcW w:w="711" w:type="dxa"/>
            <w:tcBorders>
              <w:left w:val="single" w:sz="12" w:space="0" w:color="auto"/>
            </w:tcBorders>
            <w:vAlign w:val="center"/>
          </w:tcPr>
          <w:p w:rsidR="0021506B" w:rsidRDefault="0021506B" w:rsidP="009B1CF3">
            <w:r w:rsidRPr="005A2BB5">
              <w:rPr>
                <w:rFonts w:cs="Arial"/>
                <w:sz w:val="18"/>
                <w:szCs w:val="18"/>
              </w:rPr>
              <w:t>√</w:t>
            </w:r>
          </w:p>
        </w:tc>
        <w:tc>
          <w:tcPr>
            <w:tcW w:w="774" w:type="dxa"/>
            <w:vAlign w:val="center"/>
          </w:tcPr>
          <w:p w:rsidR="0021506B" w:rsidRDefault="0021506B" w:rsidP="009B1CF3">
            <w:r w:rsidRPr="005A2BB5">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vAlign w:val="center"/>
          </w:tcPr>
          <w:p w:rsidR="0021506B" w:rsidRDefault="0021506B" w:rsidP="009B1CF3">
            <w:r>
              <w:rPr>
                <w:rFonts w:cs="Arial"/>
                <w:sz w:val="18"/>
                <w:szCs w:val="18"/>
              </w:rPr>
              <w:t>√</w:t>
            </w:r>
          </w:p>
        </w:tc>
        <w:tc>
          <w:tcPr>
            <w:tcW w:w="774" w:type="dxa"/>
            <w:vAlign w:val="center"/>
          </w:tcPr>
          <w:p w:rsidR="0021506B" w:rsidRDefault="0021506B" w:rsidP="009B1CF3">
            <w:r w:rsidRPr="0026034F">
              <w:rPr>
                <w:rFonts w:cs="Arial"/>
                <w:sz w:val="18"/>
                <w:szCs w:val="18"/>
              </w:rPr>
              <w:t>√</w:t>
            </w:r>
          </w:p>
        </w:tc>
        <w:tc>
          <w:tcPr>
            <w:tcW w:w="774" w:type="dxa"/>
            <w:vAlign w:val="center"/>
          </w:tcPr>
          <w:p w:rsidR="0021506B" w:rsidRDefault="0021506B" w:rsidP="009B1CF3">
            <w:r w:rsidRPr="007360FD">
              <w:rPr>
                <w:rFonts w:cs="Arial"/>
                <w:sz w:val="18"/>
                <w:szCs w:val="18"/>
              </w:rPr>
              <w:t>√</w:t>
            </w:r>
          </w:p>
        </w:tc>
        <w:tc>
          <w:tcPr>
            <w:tcW w:w="763" w:type="dxa"/>
            <w:vAlign w:val="center"/>
          </w:tcPr>
          <w:p w:rsidR="0021506B" w:rsidRDefault="0021506B" w:rsidP="009B1CF3">
            <w:r w:rsidRPr="007360FD">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EL</w:t>
            </w:r>
          </w:p>
        </w:tc>
        <w:tc>
          <w:tcPr>
            <w:tcW w:w="711" w:type="dxa"/>
            <w:tcBorders>
              <w:left w:val="single" w:sz="12" w:space="0" w:color="auto"/>
            </w:tcBorders>
            <w:vAlign w:val="center"/>
          </w:tcPr>
          <w:p w:rsidR="0021506B" w:rsidRDefault="0021506B" w:rsidP="009B1CF3">
            <w:r w:rsidRPr="005A2BB5">
              <w:rPr>
                <w:rFonts w:cs="Arial"/>
                <w:sz w:val="18"/>
                <w:szCs w:val="18"/>
              </w:rPr>
              <w:t>√</w:t>
            </w:r>
          </w:p>
        </w:tc>
        <w:tc>
          <w:tcPr>
            <w:tcW w:w="774" w:type="dxa"/>
            <w:vAlign w:val="center"/>
          </w:tcPr>
          <w:p w:rsidR="0021506B" w:rsidRDefault="0021506B" w:rsidP="009B1CF3">
            <w:r w:rsidRPr="005A2BB5">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vAlign w:val="center"/>
          </w:tcPr>
          <w:p w:rsidR="0021506B" w:rsidRPr="00E217F3" w:rsidRDefault="0021506B" w:rsidP="009B1CF3">
            <w:pPr>
              <w:rPr>
                <w:sz w:val="18"/>
                <w:szCs w:val="18"/>
              </w:rPr>
            </w:pPr>
            <w:r>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26034F">
              <w:rPr>
                <w:rFonts w:cs="Arial"/>
                <w:sz w:val="18"/>
                <w:szCs w:val="18"/>
              </w:rPr>
              <w:t>√</w:t>
            </w:r>
          </w:p>
        </w:tc>
        <w:tc>
          <w:tcPr>
            <w:tcW w:w="774" w:type="dxa"/>
            <w:vAlign w:val="center"/>
          </w:tcPr>
          <w:p w:rsidR="0021506B" w:rsidRDefault="0021506B" w:rsidP="009B1CF3">
            <w:r w:rsidRPr="0026034F">
              <w:rPr>
                <w:rFonts w:cs="Arial"/>
                <w:sz w:val="18"/>
                <w:szCs w:val="18"/>
              </w:rPr>
              <w:t>√</w:t>
            </w:r>
          </w:p>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ES</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FI</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FR</w:t>
            </w:r>
          </w:p>
        </w:tc>
        <w:tc>
          <w:tcPr>
            <w:tcW w:w="711" w:type="dxa"/>
            <w:tcBorders>
              <w:left w:val="single" w:sz="12" w:space="0" w:color="auto"/>
            </w:tcBorders>
            <w:vAlign w:val="center"/>
          </w:tcPr>
          <w:p w:rsidR="0021506B" w:rsidRDefault="0021506B" w:rsidP="009B1CF3">
            <w:r w:rsidRPr="00DD2AD5">
              <w:rPr>
                <w:rFonts w:cs="Arial"/>
                <w:sz w:val="18"/>
                <w:szCs w:val="18"/>
              </w:rPr>
              <w:t>√</w:t>
            </w:r>
          </w:p>
        </w:tc>
        <w:tc>
          <w:tcPr>
            <w:tcW w:w="774" w:type="dxa"/>
            <w:vAlign w:val="center"/>
          </w:tcPr>
          <w:p w:rsidR="0021506B" w:rsidRDefault="0021506B" w:rsidP="009B1CF3">
            <w:r w:rsidRPr="00DD2AD5">
              <w:rPr>
                <w:rFonts w:cs="Arial"/>
                <w:sz w:val="18"/>
                <w:szCs w:val="18"/>
              </w:rPr>
              <w:t>√</w:t>
            </w:r>
          </w:p>
        </w:tc>
        <w:tc>
          <w:tcPr>
            <w:tcW w:w="774" w:type="dxa"/>
            <w:vAlign w:val="center"/>
          </w:tcPr>
          <w:p w:rsidR="0021506B" w:rsidRDefault="0021506B" w:rsidP="009B1CF3">
            <w:r w:rsidRPr="00DD2AD5">
              <w:rPr>
                <w:rFonts w:cs="Arial"/>
                <w:sz w:val="18"/>
                <w:szCs w:val="18"/>
              </w:rPr>
              <w:t>√</w:t>
            </w:r>
          </w:p>
        </w:tc>
        <w:tc>
          <w:tcPr>
            <w:tcW w:w="774" w:type="dxa"/>
            <w:vAlign w:val="center"/>
          </w:tcPr>
          <w:p w:rsidR="0021506B" w:rsidRDefault="0021506B" w:rsidP="009B1CF3">
            <w:r w:rsidRPr="00DD2AD5">
              <w:rPr>
                <w:rFonts w:cs="Arial"/>
                <w:sz w:val="18"/>
                <w:szCs w:val="18"/>
              </w:rPr>
              <w:t>√</w:t>
            </w:r>
          </w:p>
        </w:tc>
        <w:tc>
          <w:tcPr>
            <w:tcW w:w="775" w:type="dxa"/>
            <w:vAlign w:val="center"/>
          </w:tcPr>
          <w:p w:rsidR="0021506B" w:rsidRDefault="0021506B" w:rsidP="009B1CF3">
            <w:r w:rsidRPr="00DD2AD5">
              <w:rPr>
                <w:rFonts w:cs="Arial"/>
                <w:sz w:val="18"/>
                <w:szCs w:val="18"/>
              </w:rPr>
              <w:t>√</w:t>
            </w:r>
          </w:p>
        </w:tc>
        <w:tc>
          <w:tcPr>
            <w:tcW w:w="774" w:type="dxa"/>
            <w:vAlign w:val="center"/>
          </w:tcPr>
          <w:p w:rsidR="0021506B" w:rsidRDefault="0021506B" w:rsidP="009B1CF3">
            <w:r w:rsidRPr="00DD2AD5">
              <w:rPr>
                <w:rFonts w:cs="Arial"/>
                <w:sz w:val="18"/>
                <w:szCs w:val="18"/>
              </w:rPr>
              <w:t>√</w:t>
            </w:r>
          </w:p>
        </w:tc>
        <w:tc>
          <w:tcPr>
            <w:tcW w:w="774" w:type="dxa"/>
            <w:vAlign w:val="center"/>
          </w:tcPr>
          <w:p w:rsidR="0021506B" w:rsidRDefault="0021506B" w:rsidP="009B1CF3">
            <w:r w:rsidRPr="00DD2AD5">
              <w:rPr>
                <w:rFonts w:cs="Arial"/>
                <w:sz w:val="18"/>
                <w:szCs w:val="18"/>
              </w:rPr>
              <w:t>√</w:t>
            </w:r>
          </w:p>
        </w:tc>
        <w:tc>
          <w:tcPr>
            <w:tcW w:w="774" w:type="dxa"/>
            <w:vAlign w:val="center"/>
          </w:tcPr>
          <w:p w:rsidR="0021506B" w:rsidRDefault="0021506B" w:rsidP="009B1CF3">
            <w:r w:rsidRPr="00DD2AD5">
              <w:rPr>
                <w:rFonts w:cs="Arial"/>
                <w:sz w:val="18"/>
                <w:szCs w:val="18"/>
              </w:rPr>
              <w:t>√</w:t>
            </w: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vAlign w:val="center"/>
          </w:tcPr>
          <w:p w:rsidR="0021506B" w:rsidRDefault="0021506B" w:rsidP="009B1CF3">
            <w:r>
              <w:rPr>
                <w:rFonts w:cs="Arial"/>
                <w:sz w:val="18"/>
                <w:szCs w:val="18"/>
              </w:rPr>
              <w:t>√</w:t>
            </w:r>
            <w:r>
              <w:rPr>
                <w:rStyle w:val="EndnoteReference"/>
              </w:rPr>
              <w:endnoteReference w:id="327"/>
            </w:r>
          </w:p>
        </w:tc>
        <w:tc>
          <w:tcPr>
            <w:tcW w:w="774" w:type="dxa"/>
            <w:vAlign w:val="center"/>
          </w:tcPr>
          <w:p w:rsidR="0021506B" w:rsidRDefault="0021506B" w:rsidP="009B1CF3">
            <w:r w:rsidRPr="00DE7561">
              <w:rPr>
                <w:rFonts w:cs="Arial"/>
                <w:sz w:val="18"/>
                <w:szCs w:val="18"/>
              </w:rPr>
              <w:t>√</w:t>
            </w:r>
          </w:p>
        </w:tc>
        <w:tc>
          <w:tcPr>
            <w:tcW w:w="774" w:type="dxa"/>
            <w:vAlign w:val="center"/>
          </w:tcPr>
          <w:p w:rsidR="0021506B" w:rsidRDefault="0021506B" w:rsidP="009B1CF3">
            <w:r w:rsidRPr="00DE7561">
              <w:rPr>
                <w:rFonts w:cs="Arial"/>
                <w:sz w:val="18"/>
                <w:szCs w:val="18"/>
              </w:rPr>
              <w:t>√</w:t>
            </w:r>
          </w:p>
        </w:tc>
        <w:tc>
          <w:tcPr>
            <w:tcW w:w="763" w:type="dxa"/>
            <w:vAlign w:val="center"/>
          </w:tcPr>
          <w:p w:rsidR="0021506B" w:rsidRDefault="0021506B" w:rsidP="009B1CF3">
            <w:r w:rsidRPr="00DE7561">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HR</w:t>
            </w:r>
          </w:p>
        </w:tc>
        <w:tc>
          <w:tcPr>
            <w:tcW w:w="711" w:type="dxa"/>
            <w:tcBorders>
              <w:left w:val="single" w:sz="12" w:space="0" w:color="auto"/>
            </w:tcBorders>
            <w:vAlign w:val="center"/>
          </w:tcPr>
          <w:p w:rsidR="0021506B" w:rsidRDefault="0021506B" w:rsidP="009B1CF3">
            <w:r w:rsidRPr="0067371D">
              <w:rPr>
                <w:rFonts w:cs="Arial"/>
                <w:sz w:val="18"/>
                <w:szCs w:val="18"/>
              </w:rPr>
              <w:t>√</w:t>
            </w:r>
          </w:p>
        </w:tc>
        <w:tc>
          <w:tcPr>
            <w:tcW w:w="774" w:type="dxa"/>
            <w:vAlign w:val="center"/>
          </w:tcPr>
          <w:p w:rsidR="0021506B" w:rsidRDefault="0021506B" w:rsidP="009B1CF3">
            <w:r w:rsidRPr="0067371D">
              <w:rPr>
                <w:rFonts w:cs="Arial"/>
                <w:sz w:val="18"/>
                <w:szCs w:val="18"/>
              </w:rPr>
              <w:t>√</w:t>
            </w:r>
          </w:p>
        </w:tc>
        <w:tc>
          <w:tcPr>
            <w:tcW w:w="774" w:type="dxa"/>
            <w:vAlign w:val="center"/>
          </w:tcPr>
          <w:p w:rsidR="0021506B" w:rsidRDefault="0021506B" w:rsidP="009B1CF3">
            <w:r w:rsidRPr="0067371D">
              <w:rPr>
                <w:rFonts w:cs="Arial"/>
                <w:sz w:val="18"/>
                <w:szCs w:val="18"/>
              </w:rPr>
              <w:t>√</w:t>
            </w:r>
          </w:p>
        </w:tc>
        <w:tc>
          <w:tcPr>
            <w:tcW w:w="774" w:type="dxa"/>
            <w:vAlign w:val="center"/>
          </w:tcPr>
          <w:p w:rsidR="0021506B" w:rsidRDefault="0021506B" w:rsidP="009B1CF3">
            <w:r w:rsidRPr="0067371D">
              <w:rPr>
                <w:rFonts w:cs="Arial"/>
                <w:sz w:val="18"/>
                <w:szCs w:val="18"/>
              </w:rPr>
              <w:t>√</w:t>
            </w: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Default="0021506B" w:rsidP="009B1CF3">
            <w:r w:rsidRPr="00B22F11">
              <w:rPr>
                <w:rFonts w:cs="Arial"/>
                <w:sz w:val="18"/>
                <w:szCs w:val="18"/>
              </w:rPr>
              <w:t>√</w:t>
            </w:r>
          </w:p>
        </w:tc>
        <w:tc>
          <w:tcPr>
            <w:tcW w:w="774" w:type="dxa"/>
            <w:vAlign w:val="center"/>
          </w:tcPr>
          <w:p w:rsidR="0021506B" w:rsidRDefault="0021506B" w:rsidP="009B1CF3">
            <w:r w:rsidRPr="00B22F11">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vAlign w:val="center"/>
          </w:tcPr>
          <w:p w:rsidR="0021506B" w:rsidRDefault="0021506B" w:rsidP="009B1CF3">
            <w:r w:rsidRPr="003C413C">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Pr>
                <w:rFonts w:cs="Arial"/>
                <w:sz w:val="18"/>
                <w:szCs w:val="18"/>
              </w:rPr>
              <w:t>√</w:t>
            </w:r>
            <w:r>
              <w:rPr>
                <w:rStyle w:val="EndnoteReference"/>
              </w:rPr>
              <w:endnoteReference w:id="328"/>
            </w:r>
          </w:p>
        </w:tc>
        <w:tc>
          <w:tcPr>
            <w:tcW w:w="774" w:type="dxa"/>
            <w:vAlign w:val="center"/>
          </w:tcPr>
          <w:p w:rsidR="0021506B" w:rsidRDefault="0021506B" w:rsidP="009B1CF3">
            <w:r>
              <w:rPr>
                <w:rFonts w:cs="Arial"/>
                <w:sz w:val="18"/>
                <w:szCs w:val="18"/>
              </w:rPr>
              <w:t>√</w:t>
            </w:r>
            <w:r>
              <w:rPr>
                <w:rStyle w:val="EndnoteReference"/>
              </w:rPr>
              <w:endnoteReference w:id="329"/>
            </w:r>
          </w:p>
        </w:tc>
        <w:tc>
          <w:tcPr>
            <w:tcW w:w="763" w:type="dxa"/>
            <w:vAlign w:val="center"/>
          </w:tcPr>
          <w:p w:rsidR="0021506B" w:rsidRDefault="0021506B" w:rsidP="009B1CF3">
            <w:r>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HU</w:t>
            </w:r>
          </w:p>
        </w:tc>
        <w:tc>
          <w:tcPr>
            <w:tcW w:w="711" w:type="dxa"/>
            <w:tcBorders>
              <w:left w:val="single" w:sz="12" w:space="0" w:color="auto"/>
            </w:tcBorders>
            <w:vAlign w:val="center"/>
          </w:tcPr>
          <w:p w:rsidR="0021506B" w:rsidRDefault="0021506B" w:rsidP="009B1CF3">
            <w:r w:rsidRPr="00C8643B">
              <w:rPr>
                <w:rFonts w:cs="Arial"/>
                <w:sz w:val="18"/>
                <w:szCs w:val="18"/>
              </w:rPr>
              <w:t>√</w:t>
            </w:r>
          </w:p>
        </w:tc>
        <w:tc>
          <w:tcPr>
            <w:tcW w:w="774" w:type="dxa"/>
            <w:vAlign w:val="center"/>
          </w:tcPr>
          <w:p w:rsidR="0021506B" w:rsidRDefault="0021506B" w:rsidP="009B1CF3">
            <w:r w:rsidRPr="00C8643B">
              <w:rPr>
                <w:rFonts w:cs="Arial"/>
                <w:sz w:val="18"/>
                <w:szCs w:val="18"/>
              </w:rPr>
              <w:t>√</w:t>
            </w:r>
          </w:p>
        </w:tc>
        <w:tc>
          <w:tcPr>
            <w:tcW w:w="774" w:type="dxa"/>
            <w:vAlign w:val="center"/>
          </w:tcPr>
          <w:p w:rsidR="0021506B" w:rsidRDefault="0021506B" w:rsidP="009B1CF3">
            <w:r w:rsidRPr="00C8643B">
              <w:rPr>
                <w:rFonts w:cs="Arial"/>
                <w:sz w:val="18"/>
                <w:szCs w:val="18"/>
              </w:rPr>
              <w:t>√</w:t>
            </w:r>
          </w:p>
        </w:tc>
        <w:tc>
          <w:tcPr>
            <w:tcW w:w="774" w:type="dxa"/>
            <w:vAlign w:val="center"/>
          </w:tcPr>
          <w:p w:rsidR="0021506B" w:rsidRDefault="0021506B" w:rsidP="009B1CF3">
            <w:r w:rsidRPr="00C8643B">
              <w:rPr>
                <w:rFonts w:cs="Arial"/>
                <w:sz w:val="18"/>
                <w:szCs w:val="18"/>
              </w:rPr>
              <w:t>√</w:t>
            </w:r>
          </w:p>
        </w:tc>
        <w:tc>
          <w:tcPr>
            <w:tcW w:w="775" w:type="dxa"/>
            <w:vAlign w:val="center"/>
          </w:tcPr>
          <w:p w:rsidR="0021506B" w:rsidRDefault="0021506B" w:rsidP="009B1CF3">
            <w:r w:rsidRPr="00C8643B">
              <w:rPr>
                <w:rFonts w:cs="Arial"/>
                <w:sz w:val="18"/>
                <w:szCs w:val="18"/>
              </w:rPr>
              <w:t>√</w:t>
            </w:r>
          </w:p>
        </w:tc>
        <w:tc>
          <w:tcPr>
            <w:tcW w:w="774" w:type="dxa"/>
            <w:vAlign w:val="center"/>
          </w:tcPr>
          <w:p w:rsidR="0021506B" w:rsidRDefault="0021506B" w:rsidP="009B1CF3">
            <w:r w:rsidRPr="00C8643B">
              <w:rPr>
                <w:rFonts w:cs="Arial"/>
                <w:sz w:val="18"/>
                <w:szCs w:val="18"/>
              </w:rPr>
              <w:t>√</w:t>
            </w:r>
          </w:p>
        </w:tc>
        <w:tc>
          <w:tcPr>
            <w:tcW w:w="774" w:type="dxa"/>
            <w:vAlign w:val="center"/>
          </w:tcPr>
          <w:p w:rsidR="0021506B" w:rsidRDefault="0021506B" w:rsidP="009B1CF3">
            <w:r w:rsidRPr="00C8643B">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vAlign w:val="center"/>
          </w:tcPr>
          <w:p w:rsidR="0021506B" w:rsidRDefault="0021506B" w:rsidP="009B1CF3">
            <w:r w:rsidRPr="003C413C">
              <w:rPr>
                <w:rFonts w:cs="Arial"/>
                <w:sz w:val="18"/>
                <w:szCs w:val="18"/>
              </w:rPr>
              <w:t>√</w:t>
            </w:r>
          </w:p>
        </w:tc>
        <w:tc>
          <w:tcPr>
            <w:tcW w:w="774" w:type="dxa"/>
            <w:gridSpan w:val="2"/>
            <w:tcBorders>
              <w:left w:val="single" w:sz="12" w:space="0" w:color="auto"/>
            </w:tcBorders>
            <w:vAlign w:val="center"/>
          </w:tcPr>
          <w:p w:rsidR="0021506B" w:rsidRDefault="0021506B" w:rsidP="009B1CF3">
            <w:r>
              <w:rPr>
                <w:rFonts w:cs="Arial"/>
                <w:sz w:val="18"/>
                <w:szCs w:val="18"/>
              </w:rPr>
              <w:t>√</w:t>
            </w:r>
          </w:p>
        </w:tc>
        <w:tc>
          <w:tcPr>
            <w:tcW w:w="774" w:type="dxa"/>
            <w:vAlign w:val="center"/>
          </w:tcPr>
          <w:p w:rsidR="0021506B" w:rsidRDefault="0021506B" w:rsidP="009B1CF3">
            <w:r>
              <w:rPr>
                <w:rFonts w:cs="Arial"/>
                <w:sz w:val="18"/>
                <w:szCs w:val="18"/>
              </w:rPr>
              <w:t>√</w:t>
            </w:r>
          </w:p>
        </w:tc>
        <w:tc>
          <w:tcPr>
            <w:tcW w:w="774" w:type="dxa"/>
            <w:vAlign w:val="center"/>
          </w:tcPr>
          <w:p w:rsidR="0021506B" w:rsidRDefault="0021506B" w:rsidP="009B1CF3">
            <w:r>
              <w:rPr>
                <w:rFonts w:cs="Arial"/>
                <w:sz w:val="18"/>
                <w:szCs w:val="18"/>
              </w:rPr>
              <w:t>√</w:t>
            </w:r>
            <w:r>
              <w:rPr>
                <w:rStyle w:val="EndnoteReference"/>
              </w:rPr>
              <w:endnoteReference w:id="330"/>
            </w:r>
          </w:p>
        </w:tc>
        <w:tc>
          <w:tcPr>
            <w:tcW w:w="763" w:type="dxa"/>
            <w:vAlign w:val="center"/>
          </w:tcPr>
          <w:p w:rsidR="0021506B" w:rsidRDefault="0021506B" w:rsidP="009B1CF3">
            <w:r>
              <w:rPr>
                <w:rFonts w:cs="Arial"/>
                <w:sz w:val="18"/>
                <w:szCs w:val="18"/>
              </w:rPr>
              <w:t>√</w:t>
            </w:r>
            <w:r>
              <w:rPr>
                <w:rStyle w:val="EndnoteReference"/>
              </w:rPr>
              <w:endnoteReference w:id="331"/>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IE</w:t>
            </w:r>
          </w:p>
        </w:tc>
        <w:tc>
          <w:tcPr>
            <w:tcW w:w="711" w:type="dxa"/>
            <w:tcBorders>
              <w:left w:val="single" w:sz="12" w:space="0" w:color="auto"/>
            </w:tcBorders>
            <w:vAlign w:val="center"/>
          </w:tcPr>
          <w:p w:rsidR="0021506B" w:rsidRPr="00E217F3" w:rsidRDefault="0021506B" w:rsidP="009B1CF3">
            <w:pPr>
              <w:rPr>
                <w:sz w:val="18"/>
                <w:szCs w:val="18"/>
              </w:rPr>
            </w:pPr>
            <w:r>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Pr="00E217F3" w:rsidRDefault="0021506B" w:rsidP="009B1CF3">
            <w:pPr>
              <w:rPr>
                <w:sz w:val="18"/>
                <w:szCs w:val="18"/>
              </w:rPr>
            </w:pPr>
            <w:r>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vAlign w:val="center"/>
          </w:tcPr>
          <w:p w:rsidR="0021506B" w:rsidRDefault="0021506B" w:rsidP="009B1CF3">
            <w:r>
              <w:rPr>
                <w:rFonts w:cs="Arial"/>
                <w:sz w:val="18"/>
                <w:szCs w:val="18"/>
              </w:rPr>
              <w:t>√</w:t>
            </w:r>
          </w:p>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vAlign w:val="center"/>
          </w:tcPr>
          <w:p w:rsidR="0021506B" w:rsidRDefault="0021506B" w:rsidP="009B1CF3">
            <w:r>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IT</w:t>
            </w:r>
          </w:p>
        </w:tc>
        <w:tc>
          <w:tcPr>
            <w:tcW w:w="711" w:type="dxa"/>
            <w:tcBorders>
              <w:left w:val="single" w:sz="12" w:space="0" w:color="auto"/>
            </w:tcBorders>
            <w:vAlign w:val="center"/>
          </w:tcPr>
          <w:p w:rsidR="0021506B" w:rsidRDefault="0021506B" w:rsidP="009B1CF3">
            <w:r w:rsidRPr="00405654">
              <w:rPr>
                <w:rFonts w:cs="Arial"/>
                <w:sz w:val="18"/>
                <w:szCs w:val="18"/>
              </w:rPr>
              <w:t>√</w:t>
            </w:r>
          </w:p>
        </w:tc>
        <w:tc>
          <w:tcPr>
            <w:tcW w:w="774" w:type="dxa"/>
            <w:vAlign w:val="center"/>
          </w:tcPr>
          <w:p w:rsidR="0021506B" w:rsidRDefault="0021506B" w:rsidP="009B1CF3">
            <w:r w:rsidRPr="00405654">
              <w:rPr>
                <w:rFonts w:cs="Arial"/>
                <w:sz w:val="18"/>
                <w:szCs w:val="18"/>
              </w:rPr>
              <w:t>√</w:t>
            </w:r>
          </w:p>
        </w:tc>
        <w:tc>
          <w:tcPr>
            <w:tcW w:w="774" w:type="dxa"/>
            <w:vAlign w:val="center"/>
          </w:tcPr>
          <w:p w:rsidR="0021506B" w:rsidRDefault="0021506B" w:rsidP="009B1CF3">
            <w:r w:rsidRPr="00405654">
              <w:rPr>
                <w:rFonts w:cs="Arial"/>
                <w:sz w:val="18"/>
                <w:szCs w:val="18"/>
              </w:rPr>
              <w:t>√</w:t>
            </w:r>
          </w:p>
        </w:tc>
        <w:tc>
          <w:tcPr>
            <w:tcW w:w="774" w:type="dxa"/>
            <w:vAlign w:val="center"/>
          </w:tcPr>
          <w:p w:rsidR="0021506B" w:rsidRDefault="0021506B" w:rsidP="009B1CF3">
            <w:r w:rsidRPr="00405654">
              <w:rPr>
                <w:rFonts w:cs="Arial"/>
                <w:sz w:val="18"/>
                <w:szCs w:val="18"/>
              </w:rPr>
              <w:t>√</w:t>
            </w:r>
          </w:p>
        </w:tc>
        <w:tc>
          <w:tcPr>
            <w:tcW w:w="775" w:type="dxa"/>
            <w:vAlign w:val="center"/>
          </w:tcPr>
          <w:p w:rsidR="0021506B" w:rsidRDefault="0021506B" w:rsidP="009B1CF3">
            <w:r w:rsidRPr="00405654">
              <w:rPr>
                <w:rFonts w:cs="Arial"/>
                <w:sz w:val="18"/>
                <w:szCs w:val="18"/>
              </w:rPr>
              <w:t>√</w:t>
            </w:r>
          </w:p>
        </w:tc>
        <w:tc>
          <w:tcPr>
            <w:tcW w:w="774" w:type="dxa"/>
            <w:vAlign w:val="center"/>
          </w:tcPr>
          <w:p w:rsidR="0021506B" w:rsidRDefault="0021506B" w:rsidP="009B1CF3">
            <w:r w:rsidRPr="00405654">
              <w:rPr>
                <w:rFonts w:cs="Arial"/>
                <w:sz w:val="18"/>
                <w:szCs w:val="18"/>
              </w:rPr>
              <w:t>√</w:t>
            </w:r>
          </w:p>
        </w:tc>
        <w:tc>
          <w:tcPr>
            <w:tcW w:w="774" w:type="dxa"/>
            <w:vAlign w:val="center"/>
          </w:tcPr>
          <w:p w:rsidR="0021506B" w:rsidRDefault="0021506B" w:rsidP="009B1CF3">
            <w:r w:rsidRPr="00405654">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vAlign w:val="center"/>
          </w:tcPr>
          <w:p w:rsidR="0021506B" w:rsidRPr="00E217F3" w:rsidRDefault="0021506B" w:rsidP="009B1CF3">
            <w:pPr>
              <w:rPr>
                <w:sz w:val="18"/>
                <w:szCs w:val="18"/>
              </w:rPr>
            </w:pPr>
            <w:r>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A37A10">
              <w:rPr>
                <w:rFonts w:cs="Arial"/>
                <w:sz w:val="18"/>
                <w:szCs w:val="18"/>
              </w:rPr>
              <w:t>√</w:t>
            </w:r>
          </w:p>
        </w:tc>
        <w:tc>
          <w:tcPr>
            <w:tcW w:w="774" w:type="dxa"/>
            <w:vAlign w:val="center"/>
          </w:tcPr>
          <w:p w:rsidR="0021506B" w:rsidRDefault="0021506B" w:rsidP="009B1CF3">
            <w:r w:rsidRPr="00A37A10">
              <w:rPr>
                <w:rFonts w:cs="Arial"/>
                <w:sz w:val="18"/>
                <w:szCs w:val="18"/>
              </w:rPr>
              <w:t>√</w:t>
            </w:r>
          </w:p>
        </w:tc>
        <w:tc>
          <w:tcPr>
            <w:tcW w:w="763" w:type="dxa"/>
            <w:vAlign w:val="center"/>
          </w:tcPr>
          <w:p w:rsidR="0021506B" w:rsidRDefault="0021506B" w:rsidP="009B1CF3">
            <w:r w:rsidRPr="00A37A10">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LT</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LU</w:t>
            </w:r>
          </w:p>
        </w:tc>
        <w:tc>
          <w:tcPr>
            <w:tcW w:w="711" w:type="dxa"/>
            <w:tcBorders>
              <w:left w:val="single" w:sz="12" w:space="0" w:color="auto"/>
            </w:tcBorders>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5" w:type="dxa"/>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5" w:type="dxa"/>
            <w:tcBorders>
              <w:right w:val="single" w:sz="12" w:space="0" w:color="auto"/>
            </w:tcBorders>
            <w:vAlign w:val="center"/>
          </w:tcPr>
          <w:p w:rsidR="0021506B" w:rsidRDefault="0021506B" w:rsidP="009B1CF3">
            <w:r w:rsidRPr="00957278">
              <w:rPr>
                <w:rFonts w:cs="Arial"/>
                <w:sz w:val="18"/>
                <w:szCs w:val="18"/>
              </w:rPr>
              <w:t>√</w:t>
            </w:r>
          </w:p>
        </w:tc>
        <w:tc>
          <w:tcPr>
            <w:tcW w:w="774" w:type="dxa"/>
            <w:gridSpan w:val="2"/>
            <w:tcBorders>
              <w:left w:val="single" w:sz="12" w:space="0" w:color="auto"/>
            </w:tcBorders>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74" w:type="dxa"/>
            <w:vAlign w:val="center"/>
          </w:tcPr>
          <w:p w:rsidR="0021506B" w:rsidRDefault="0021506B" w:rsidP="009B1CF3">
            <w:r w:rsidRPr="00957278">
              <w:rPr>
                <w:rFonts w:cs="Arial"/>
                <w:sz w:val="18"/>
                <w:szCs w:val="18"/>
              </w:rPr>
              <w:t>√</w:t>
            </w:r>
          </w:p>
        </w:tc>
        <w:tc>
          <w:tcPr>
            <w:tcW w:w="763" w:type="dxa"/>
            <w:vAlign w:val="center"/>
          </w:tcPr>
          <w:p w:rsidR="0021506B" w:rsidRDefault="0021506B" w:rsidP="009B1CF3">
            <w:r w:rsidRPr="00957278">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LV</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MT</w:t>
            </w:r>
          </w:p>
        </w:tc>
        <w:tc>
          <w:tcPr>
            <w:tcW w:w="711" w:type="dxa"/>
            <w:tcBorders>
              <w:left w:val="single" w:sz="12" w:space="0" w:color="auto"/>
            </w:tcBorders>
            <w:vAlign w:val="center"/>
          </w:tcPr>
          <w:p w:rsidR="0021506B" w:rsidRDefault="0021506B" w:rsidP="009B1CF3">
            <w:r w:rsidRPr="00907444">
              <w:rPr>
                <w:rFonts w:cs="Arial"/>
                <w:sz w:val="18"/>
                <w:szCs w:val="18"/>
              </w:rPr>
              <w:t>√</w:t>
            </w:r>
          </w:p>
        </w:tc>
        <w:tc>
          <w:tcPr>
            <w:tcW w:w="774" w:type="dxa"/>
            <w:vAlign w:val="center"/>
          </w:tcPr>
          <w:p w:rsidR="0021506B" w:rsidRDefault="0021506B" w:rsidP="009B1CF3">
            <w:r w:rsidRPr="00907444">
              <w:rPr>
                <w:rFonts w:cs="Arial"/>
                <w:sz w:val="18"/>
                <w:szCs w:val="18"/>
              </w:rPr>
              <w:t>√</w:t>
            </w:r>
          </w:p>
        </w:tc>
        <w:tc>
          <w:tcPr>
            <w:tcW w:w="774" w:type="dxa"/>
            <w:vAlign w:val="center"/>
          </w:tcPr>
          <w:p w:rsidR="0021506B" w:rsidRDefault="0021506B" w:rsidP="009B1CF3">
            <w:r w:rsidRPr="00907444">
              <w:rPr>
                <w:rFonts w:cs="Arial"/>
                <w:sz w:val="18"/>
                <w:szCs w:val="18"/>
              </w:rPr>
              <w:t>√</w:t>
            </w:r>
          </w:p>
        </w:tc>
        <w:tc>
          <w:tcPr>
            <w:tcW w:w="774" w:type="dxa"/>
            <w:vAlign w:val="center"/>
          </w:tcPr>
          <w:p w:rsidR="0021506B" w:rsidRDefault="0021506B" w:rsidP="009B1CF3">
            <w:r w:rsidRPr="00907444">
              <w:rPr>
                <w:rFonts w:cs="Arial"/>
                <w:sz w:val="18"/>
                <w:szCs w:val="18"/>
              </w:rPr>
              <w:t>√</w:t>
            </w:r>
          </w:p>
        </w:tc>
        <w:tc>
          <w:tcPr>
            <w:tcW w:w="775" w:type="dxa"/>
            <w:vAlign w:val="center"/>
          </w:tcPr>
          <w:p w:rsidR="0021506B" w:rsidRDefault="0021506B" w:rsidP="009B1CF3">
            <w:r w:rsidRPr="00907444">
              <w:rPr>
                <w:rFonts w:cs="Arial"/>
                <w:sz w:val="18"/>
                <w:szCs w:val="18"/>
              </w:rPr>
              <w:t>√</w:t>
            </w:r>
          </w:p>
        </w:tc>
        <w:tc>
          <w:tcPr>
            <w:tcW w:w="774" w:type="dxa"/>
            <w:vAlign w:val="center"/>
          </w:tcPr>
          <w:p w:rsidR="0021506B" w:rsidRDefault="0021506B" w:rsidP="009B1CF3">
            <w:r w:rsidRPr="00907444">
              <w:rPr>
                <w:rFonts w:cs="Arial"/>
                <w:sz w:val="18"/>
                <w:szCs w:val="18"/>
              </w:rPr>
              <w:t>√</w:t>
            </w:r>
          </w:p>
        </w:tc>
        <w:tc>
          <w:tcPr>
            <w:tcW w:w="774" w:type="dxa"/>
            <w:vAlign w:val="center"/>
          </w:tcPr>
          <w:p w:rsidR="0021506B" w:rsidRDefault="0021506B" w:rsidP="009B1CF3">
            <w:r w:rsidRPr="00907444">
              <w:rPr>
                <w:rFonts w:cs="Arial"/>
                <w:sz w:val="18"/>
                <w:szCs w:val="18"/>
              </w:rPr>
              <w:t>√</w:t>
            </w:r>
          </w:p>
        </w:tc>
        <w:tc>
          <w:tcPr>
            <w:tcW w:w="774" w:type="dxa"/>
            <w:vAlign w:val="center"/>
          </w:tcPr>
          <w:p w:rsidR="0021506B" w:rsidRDefault="0021506B" w:rsidP="009B1CF3">
            <w:r w:rsidRPr="00907444">
              <w:rPr>
                <w:rFonts w:cs="Arial"/>
                <w:sz w:val="18"/>
                <w:szCs w:val="18"/>
              </w:rPr>
              <w:t>√</w:t>
            </w:r>
          </w:p>
        </w:tc>
        <w:tc>
          <w:tcPr>
            <w:tcW w:w="775" w:type="dxa"/>
            <w:tcBorders>
              <w:right w:val="single" w:sz="12" w:space="0" w:color="auto"/>
            </w:tcBorders>
            <w:vAlign w:val="center"/>
          </w:tcPr>
          <w:p w:rsidR="0021506B" w:rsidRDefault="0021506B" w:rsidP="009B1CF3">
            <w:r w:rsidRPr="00907444">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EB0D99">
              <w:rPr>
                <w:rFonts w:cs="Arial"/>
                <w:sz w:val="18"/>
                <w:szCs w:val="18"/>
              </w:rPr>
              <w:t>√</w:t>
            </w:r>
          </w:p>
        </w:tc>
        <w:tc>
          <w:tcPr>
            <w:tcW w:w="774" w:type="dxa"/>
            <w:vAlign w:val="center"/>
          </w:tcPr>
          <w:p w:rsidR="0021506B" w:rsidRDefault="0021506B" w:rsidP="009B1CF3">
            <w:r w:rsidRPr="00E12EAE">
              <w:rPr>
                <w:rFonts w:cs="Arial"/>
                <w:sz w:val="18"/>
                <w:szCs w:val="18"/>
              </w:rPr>
              <w:t>√</w:t>
            </w:r>
          </w:p>
        </w:tc>
        <w:tc>
          <w:tcPr>
            <w:tcW w:w="763" w:type="dxa"/>
            <w:vAlign w:val="center"/>
          </w:tcPr>
          <w:p w:rsidR="0021506B" w:rsidRDefault="0021506B" w:rsidP="009B1CF3">
            <w:r w:rsidRPr="00E12EAE">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NL</w:t>
            </w:r>
          </w:p>
        </w:tc>
        <w:tc>
          <w:tcPr>
            <w:tcW w:w="711" w:type="dxa"/>
            <w:tcBorders>
              <w:left w:val="single" w:sz="12" w:space="0" w:color="auto"/>
            </w:tcBorders>
            <w:vAlign w:val="center"/>
          </w:tcPr>
          <w:p w:rsidR="0021506B" w:rsidRDefault="0021506B" w:rsidP="009B1CF3">
            <w:r w:rsidRPr="00C5471D">
              <w:rPr>
                <w:rFonts w:cs="Arial"/>
                <w:sz w:val="18"/>
                <w:szCs w:val="18"/>
              </w:rPr>
              <w:t>√</w:t>
            </w:r>
          </w:p>
        </w:tc>
        <w:tc>
          <w:tcPr>
            <w:tcW w:w="774" w:type="dxa"/>
            <w:vAlign w:val="center"/>
          </w:tcPr>
          <w:p w:rsidR="0021506B" w:rsidRDefault="0021506B" w:rsidP="009B1CF3">
            <w:r w:rsidRPr="00C5471D">
              <w:rPr>
                <w:rFonts w:cs="Arial"/>
                <w:sz w:val="18"/>
                <w:szCs w:val="18"/>
              </w:rPr>
              <w:t>√</w:t>
            </w:r>
          </w:p>
        </w:tc>
        <w:tc>
          <w:tcPr>
            <w:tcW w:w="774" w:type="dxa"/>
            <w:vAlign w:val="center"/>
          </w:tcPr>
          <w:p w:rsidR="0021506B" w:rsidRDefault="0021506B" w:rsidP="009B1CF3">
            <w:r w:rsidRPr="00C5471D">
              <w:rPr>
                <w:rFonts w:cs="Arial"/>
                <w:sz w:val="18"/>
                <w:szCs w:val="18"/>
              </w:rPr>
              <w:t>√</w:t>
            </w:r>
          </w:p>
        </w:tc>
        <w:tc>
          <w:tcPr>
            <w:tcW w:w="774" w:type="dxa"/>
            <w:vAlign w:val="center"/>
          </w:tcPr>
          <w:p w:rsidR="0021506B" w:rsidRDefault="0021506B" w:rsidP="009B1CF3">
            <w:r w:rsidRPr="00C5471D">
              <w:rPr>
                <w:rFonts w:cs="Arial"/>
                <w:sz w:val="18"/>
                <w:szCs w:val="18"/>
              </w:rPr>
              <w:t>√</w:t>
            </w:r>
          </w:p>
        </w:tc>
        <w:tc>
          <w:tcPr>
            <w:tcW w:w="775" w:type="dxa"/>
            <w:vAlign w:val="center"/>
          </w:tcPr>
          <w:p w:rsidR="0021506B" w:rsidRDefault="0021506B" w:rsidP="009B1CF3">
            <w:r w:rsidRPr="00C5471D">
              <w:rPr>
                <w:rFonts w:cs="Arial"/>
                <w:sz w:val="18"/>
                <w:szCs w:val="18"/>
              </w:rPr>
              <w:t>√</w:t>
            </w:r>
          </w:p>
        </w:tc>
        <w:tc>
          <w:tcPr>
            <w:tcW w:w="774" w:type="dxa"/>
            <w:vAlign w:val="center"/>
          </w:tcPr>
          <w:p w:rsidR="0021506B" w:rsidRDefault="0021506B" w:rsidP="009B1CF3">
            <w:r w:rsidRPr="00C5471D">
              <w:rPr>
                <w:rFonts w:cs="Arial"/>
                <w:sz w:val="18"/>
                <w:szCs w:val="18"/>
              </w:rPr>
              <w:t>√</w:t>
            </w:r>
          </w:p>
        </w:tc>
        <w:tc>
          <w:tcPr>
            <w:tcW w:w="774" w:type="dxa"/>
            <w:vAlign w:val="center"/>
          </w:tcPr>
          <w:p w:rsidR="0021506B" w:rsidRDefault="0021506B" w:rsidP="009B1CF3">
            <w:r w:rsidRPr="00C5471D">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EB0D99">
              <w:rPr>
                <w:rFonts w:cs="Arial"/>
                <w:sz w:val="18"/>
                <w:szCs w:val="18"/>
              </w:rPr>
              <w:t>√</w:t>
            </w:r>
          </w:p>
        </w:tc>
        <w:tc>
          <w:tcPr>
            <w:tcW w:w="774" w:type="dxa"/>
            <w:vAlign w:val="center"/>
          </w:tcPr>
          <w:p w:rsidR="0021506B" w:rsidRDefault="0021506B" w:rsidP="009B1CF3">
            <w:r>
              <w:rPr>
                <w:rFonts w:cs="Arial"/>
                <w:sz w:val="18"/>
                <w:szCs w:val="18"/>
              </w:rPr>
              <w:t>√</w:t>
            </w:r>
            <w:r>
              <w:rPr>
                <w:rStyle w:val="EndnoteReference"/>
              </w:rPr>
              <w:endnoteReference w:id="332"/>
            </w:r>
          </w:p>
        </w:tc>
        <w:tc>
          <w:tcPr>
            <w:tcW w:w="763" w:type="dxa"/>
            <w:vAlign w:val="center"/>
          </w:tcPr>
          <w:p w:rsidR="0021506B" w:rsidRDefault="0021506B" w:rsidP="009B1CF3">
            <w:r>
              <w:rPr>
                <w:rFonts w:cs="Arial"/>
                <w:sz w:val="18"/>
                <w:szCs w:val="18"/>
              </w:rPr>
              <w:t>√</w:t>
            </w:r>
            <w:r>
              <w:rPr>
                <w:rStyle w:val="EndnoteReference"/>
              </w:rPr>
              <w:endnoteReference w:id="333"/>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PL</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74" w:type="dxa"/>
            <w:shd w:val="clear" w:color="auto" w:fill="D9D9D9" w:themeFill="background1" w:themeFillShade="D9"/>
            <w:vAlign w:val="center"/>
          </w:tcPr>
          <w:p w:rsidR="0021506B" w:rsidRDefault="0021506B" w:rsidP="009B1CF3"/>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PT</w:t>
            </w:r>
          </w:p>
        </w:tc>
        <w:tc>
          <w:tcPr>
            <w:tcW w:w="711"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Pr="00E217F3" w:rsidRDefault="0021506B" w:rsidP="009B1CF3">
            <w:pPr>
              <w:rPr>
                <w:sz w:val="18"/>
                <w:szCs w:val="18"/>
              </w:rPr>
            </w:pPr>
            <w:r>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vAlign w:val="center"/>
          </w:tcPr>
          <w:p w:rsidR="0021506B" w:rsidRPr="00E217F3" w:rsidRDefault="0021506B" w:rsidP="009B1CF3">
            <w:pPr>
              <w:rPr>
                <w:sz w:val="18"/>
                <w:szCs w:val="18"/>
              </w:rPr>
            </w:pPr>
            <w:r>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Pr>
                <w:rFonts w:cs="Arial"/>
                <w:sz w:val="18"/>
                <w:szCs w:val="18"/>
              </w:rPr>
              <w:t>√</w:t>
            </w:r>
            <w:r>
              <w:rPr>
                <w:rStyle w:val="EndnoteReference"/>
              </w:rPr>
              <w:endnoteReference w:id="334"/>
            </w:r>
          </w:p>
        </w:tc>
        <w:tc>
          <w:tcPr>
            <w:tcW w:w="774" w:type="dxa"/>
            <w:vAlign w:val="center"/>
          </w:tcPr>
          <w:p w:rsidR="0021506B" w:rsidRDefault="0021506B" w:rsidP="009B1CF3">
            <w:r>
              <w:rPr>
                <w:rFonts w:cs="Arial"/>
                <w:sz w:val="18"/>
                <w:szCs w:val="18"/>
              </w:rPr>
              <w:t>√</w:t>
            </w:r>
            <w:r>
              <w:rPr>
                <w:rStyle w:val="EndnoteReference"/>
              </w:rPr>
              <w:endnoteReference w:id="335"/>
            </w:r>
          </w:p>
        </w:tc>
        <w:tc>
          <w:tcPr>
            <w:tcW w:w="763" w:type="dxa"/>
            <w:vAlign w:val="center"/>
          </w:tcPr>
          <w:p w:rsidR="0021506B" w:rsidRDefault="0021506B" w:rsidP="009B1CF3">
            <w:r>
              <w:rPr>
                <w:rFonts w:cs="Arial"/>
                <w:sz w:val="18"/>
                <w:szCs w:val="18"/>
              </w:rPr>
              <w:t>√</w:t>
            </w:r>
            <w:r>
              <w:rPr>
                <w:rStyle w:val="EndnoteReference"/>
              </w:rPr>
              <w:endnoteReference w:id="336"/>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RO</w:t>
            </w:r>
          </w:p>
        </w:tc>
        <w:tc>
          <w:tcPr>
            <w:tcW w:w="711" w:type="dxa"/>
            <w:tcBorders>
              <w:left w:val="single" w:sz="12" w:space="0" w:color="auto"/>
            </w:tcBorders>
            <w:vAlign w:val="center"/>
          </w:tcPr>
          <w:p w:rsidR="0021506B" w:rsidRDefault="0021506B" w:rsidP="009B1CF3">
            <w:r w:rsidRPr="00803A9F">
              <w:rPr>
                <w:rFonts w:cs="Arial"/>
                <w:sz w:val="18"/>
                <w:szCs w:val="18"/>
              </w:rPr>
              <w:t>√</w:t>
            </w:r>
          </w:p>
        </w:tc>
        <w:tc>
          <w:tcPr>
            <w:tcW w:w="774" w:type="dxa"/>
            <w:vAlign w:val="center"/>
          </w:tcPr>
          <w:p w:rsidR="0021506B" w:rsidRDefault="0021506B" w:rsidP="009B1CF3">
            <w:r w:rsidRPr="00803A9F">
              <w:rPr>
                <w:rFonts w:cs="Arial"/>
                <w:sz w:val="18"/>
                <w:szCs w:val="18"/>
              </w:rPr>
              <w:t>√</w:t>
            </w:r>
          </w:p>
        </w:tc>
        <w:tc>
          <w:tcPr>
            <w:tcW w:w="774" w:type="dxa"/>
            <w:vAlign w:val="center"/>
          </w:tcPr>
          <w:p w:rsidR="0021506B" w:rsidRDefault="0021506B" w:rsidP="009B1CF3">
            <w:r w:rsidRPr="00803A9F">
              <w:rPr>
                <w:rFonts w:cs="Arial"/>
                <w:sz w:val="18"/>
                <w:szCs w:val="18"/>
              </w:rPr>
              <w:t>√</w:t>
            </w:r>
          </w:p>
        </w:tc>
        <w:tc>
          <w:tcPr>
            <w:tcW w:w="774" w:type="dxa"/>
            <w:vAlign w:val="center"/>
          </w:tcPr>
          <w:p w:rsidR="0021506B" w:rsidRDefault="0021506B" w:rsidP="009B1CF3">
            <w:r w:rsidRPr="00803A9F">
              <w:rPr>
                <w:rFonts w:cs="Arial"/>
                <w:sz w:val="18"/>
                <w:szCs w:val="18"/>
              </w:rPr>
              <w:t>√</w:t>
            </w:r>
          </w:p>
        </w:tc>
        <w:tc>
          <w:tcPr>
            <w:tcW w:w="775" w:type="dxa"/>
            <w:vAlign w:val="center"/>
          </w:tcPr>
          <w:p w:rsidR="0021506B" w:rsidRDefault="0021506B" w:rsidP="009B1CF3">
            <w:r w:rsidRPr="00803A9F">
              <w:rPr>
                <w:rFonts w:cs="Arial"/>
                <w:sz w:val="18"/>
                <w:szCs w:val="18"/>
              </w:rPr>
              <w:t>√</w:t>
            </w:r>
          </w:p>
        </w:tc>
        <w:tc>
          <w:tcPr>
            <w:tcW w:w="774" w:type="dxa"/>
            <w:vAlign w:val="center"/>
          </w:tcPr>
          <w:p w:rsidR="0021506B" w:rsidRDefault="0021506B" w:rsidP="009B1CF3">
            <w:r w:rsidRPr="00803A9F">
              <w:rPr>
                <w:rFonts w:cs="Arial"/>
                <w:sz w:val="18"/>
                <w:szCs w:val="18"/>
              </w:rPr>
              <w:t>√</w:t>
            </w:r>
          </w:p>
        </w:tc>
        <w:tc>
          <w:tcPr>
            <w:tcW w:w="774" w:type="dxa"/>
            <w:vAlign w:val="center"/>
          </w:tcPr>
          <w:p w:rsidR="0021506B" w:rsidRDefault="0021506B" w:rsidP="009B1CF3">
            <w:r w:rsidRPr="00803A9F">
              <w:rPr>
                <w:rFonts w:cs="Arial"/>
                <w:sz w:val="18"/>
                <w:szCs w:val="18"/>
              </w:rPr>
              <w:t>√</w:t>
            </w:r>
          </w:p>
        </w:tc>
        <w:tc>
          <w:tcPr>
            <w:tcW w:w="774" w:type="dxa"/>
            <w:vAlign w:val="center"/>
          </w:tcPr>
          <w:p w:rsidR="0021506B" w:rsidRDefault="0021506B" w:rsidP="009B1CF3">
            <w:r w:rsidRPr="00803A9F">
              <w:rPr>
                <w:rFonts w:cs="Arial"/>
                <w:sz w:val="18"/>
                <w:szCs w:val="18"/>
              </w:rPr>
              <w:t>√</w:t>
            </w:r>
          </w:p>
        </w:tc>
        <w:tc>
          <w:tcPr>
            <w:tcW w:w="775" w:type="dxa"/>
            <w:tcBorders>
              <w:right w:val="single" w:sz="12" w:space="0" w:color="auto"/>
            </w:tcBorders>
            <w:vAlign w:val="center"/>
          </w:tcPr>
          <w:p w:rsidR="0021506B" w:rsidRDefault="0021506B" w:rsidP="009B1CF3">
            <w:r w:rsidRPr="00803A9F">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F117A5">
              <w:rPr>
                <w:rFonts w:cs="Arial"/>
                <w:sz w:val="18"/>
                <w:szCs w:val="18"/>
              </w:rPr>
              <w:t>√</w:t>
            </w:r>
          </w:p>
        </w:tc>
        <w:tc>
          <w:tcPr>
            <w:tcW w:w="774" w:type="dxa"/>
            <w:vAlign w:val="center"/>
          </w:tcPr>
          <w:p w:rsidR="0021506B" w:rsidRDefault="0021506B" w:rsidP="009B1CF3">
            <w:r w:rsidRPr="00F117A5">
              <w:rPr>
                <w:rFonts w:cs="Arial"/>
                <w:sz w:val="18"/>
                <w:szCs w:val="18"/>
              </w:rPr>
              <w:t>√</w:t>
            </w:r>
          </w:p>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SE</w:t>
            </w:r>
          </w:p>
        </w:tc>
        <w:tc>
          <w:tcPr>
            <w:tcW w:w="711" w:type="dxa"/>
            <w:tcBorders>
              <w:left w:val="single" w:sz="12" w:space="0" w:color="auto"/>
            </w:tcBorders>
            <w:vAlign w:val="center"/>
          </w:tcPr>
          <w:p w:rsidR="0021506B" w:rsidRDefault="0021506B" w:rsidP="009B1CF3">
            <w:r w:rsidRPr="008654DF">
              <w:rPr>
                <w:rFonts w:cs="Arial"/>
                <w:sz w:val="18"/>
                <w:szCs w:val="18"/>
              </w:rPr>
              <w:t>√</w:t>
            </w:r>
          </w:p>
        </w:tc>
        <w:tc>
          <w:tcPr>
            <w:tcW w:w="774" w:type="dxa"/>
            <w:vAlign w:val="center"/>
          </w:tcPr>
          <w:p w:rsidR="0021506B" w:rsidRDefault="0021506B" w:rsidP="009B1CF3">
            <w:r w:rsidRPr="008654DF">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Default="0021506B" w:rsidP="009B1CF3">
            <w:r w:rsidRPr="009D11FD">
              <w:rPr>
                <w:rFonts w:cs="Arial"/>
                <w:sz w:val="18"/>
                <w:szCs w:val="18"/>
              </w:rPr>
              <w:t>√</w:t>
            </w:r>
          </w:p>
        </w:tc>
        <w:tc>
          <w:tcPr>
            <w:tcW w:w="774" w:type="dxa"/>
            <w:vAlign w:val="center"/>
          </w:tcPr>
          <w:p w:rsidR="0021506B" w:rsidRDefault="0021506B" w:rsidP="009B1CF3">
            <w:r w:rsidRPr="00AE584F">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F117A5">
              <w:rPr>
                <w:rFonts w:cs="Arial"/>
                <w:sz w:val="18"/>
                <w:szCs w:val="18"/>
              </w:rPr>
              <w:t>√</w:t>
            </w:r>
          </w:p>
        </w:tc>
        <w:tc>
          <w:tcPr>
            <w:tcW w:w="774" w:type="dxa"/>
            <w:vAlign w:val="center"/>
          </w:tcPr>
          <w:p w:rsidR="0021506B" w:rsidRDefault="0021506B" w:rsidP="009B1CF3">
            <w:r w:rsidRPr="00F117A5">
              <w:rPr>
                <w:rFonts w:cs="Arial"/>
                <w:sz w:val="18"/>
                <w:szCs w:val="18"/>
              </w:rPr>
              <w:t>√</w:t>
            </w:r>
          </w:p>
        </w:tc>
        <w:tc>
          <w:tcPr>
            <w:tcW w:w="763" w:type="dxa"/>
            <w:vAlign w:val="center"/>
          </w:tcPr>
          <w:p w:rsidR="0021506B" w:rsidRDefault="0021506B" w:rsidP="009B1CF3">
            <w:r>
              <w:rPr>
                <w:rFonts w:cs="Arial"/>
                <w:sz w:val="18"/>
                <w:szCs w:val="18"/>
              </w:rPr>
              <w:t>√</w:t>
            </w:r>
            <w:r>
              <w:rPr>
                <w:rStyle w:val="EndnoteReference"/>
              </w:rPr>
              <w:endnoteReference w:id="337"/>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SI</w:t>
            </w:r>
          </w:p>
        </w:tc>
        <w:tc>
          <w:tcPr>
            <w:tcW w:w="711" w:type="dxa"/>
            <w:tcBorders>
              <w:left w:val="single" w:sz="12" w:space="0" w:color="auto"/>
            </w:tcBorders>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5"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9D11FD">
              <w:rPr>
                <w:rFonts w:cs="Arial"/>
                <w:sz w:val="18"/>
                <w:szCs w:val="18"/>
              </w:rPr>
              <w:t>√</w:t>
            </w:r>
          </w:p>
        </w:tc>
        <w:tc>
          <w:tcPr>
            <w:tcW w:w="774" w:type="dxa"/>
            <w:vAlign w:val="center"/>
          </w:tcPr>
          <w:p w:rsidR="0021506B" w:rsidRDefault="0021506B" w:rsidP="009B1CF3">
            <w:r w:rsidRPr="00AE584F">
              <w:rPr>
                <w:rFonts w:cs="Arial"/>
                <w:sz w:val="18"/>
                <w:szCs w:val="18"/>
              </w:rPr>
              <w:t>√</w:t>
            </w:r>
          </w:p>
        </w:tc>
        <w:tc>
          <w:tcPr>
            <w:tcW w:w="774" w:type="dxa"/>
            <w:vAlign w:val="center"/>
          </w:tcPr>
          <w:p w:rsidR="0021506B" w:rsidRDefault="0021506B" w:rsidP="009B1CF3">
            <w:r w:rsidRPr="00E3781A">
              <w:rPr>
                <w:rFonts w:cs="Arial"/>
                <w:sz w:val="18"/>
                <w:szCs w:val="18"/>
              </w:rPr>
              <w:t>√</w:t>
            </w:r>
          </w:p>
        </w:tc>
        <w:tc>
          <w:tcPr>
            <w:tcW w:w="775"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74" w:type="dxa"/>
            <w:gridSpan w:val="2"/>
            <w:tcBorders>
              <w:left w:val="single" w:sz="12" w:space="0" w:color="auto"/>
            </w:tcBorders>
            <w:vAlign w:val="center"/>
          </w:tcPr>
          <w:p w:rsidR="0021506B" w:rsidRDefault="0021506B" w:rsidP="009B1CF3">
            <w:r>
              <w:rPr>
                <w:rFonts w:cs="Arial"/>
                <w:sz w:val="18"/>
                <w:szCs w:val="18"/>
              </w:rPr>
              <w:t>√</w:t>
            </w:r>
          </w:p>
        </w:tc>
        <w:tc>
          <w:tcPr>
            <w:tcW w:w="774" w:type="dxa"/>
            <w:vAlign w:val="center"/>
          </w:tcPr>
          <w:p w:rsidR="0021506B" w:rsidRDefault="0021506B" w:rsidP="009B1CF3">
            <w:r w:rsidRPr="00F117A5">
              <w:rPr>
                <w:rFonts w:cs="Arial"/>
                <w:sz w:val="18"/>
                <w:szCs w:val="18"/>
              </w:rPr>
              <w:t>√</w:t>
            </w:r>
          </w:p>
        </w:tc>
        <w:tc>
          <w:tcPr>
            <w:tcW w:w="774" w:type="dxa"/>
            <w:vAlign w:val="center"/>
          </w:tcPr>
          <w:p w:rsidR="0021506B" w:rsidRDefault="0021506B" w:rsidP="009B1CF3">
            <w:r w:rsidRPr="00F117A5">
              <w:rPr>
                <w:rFonts w:cs="Arial"/>
                <w:sz w:val="18"/>
                <w:szCs w:val="18"/>
              </w:rPr>
              <w:t>√</w:t>
            </w:r>
          </w:p>
        </w:tc>
        <w:tc>
          <w:tcPr>
            <w:tcW w:w="763" w:type="dxa"/>
            <w:vAlign w:val="center"/>
          </w:tcPr>
          <w:p w:rsidR="0021506B" w:rsidRDefault="0021506B" w:rsidP="009B1CF3">
            <w:r>
              <w:rPr>
                <w:rFonts w:cs="Arial"/>
                <w:sz w:val="18"/>
                <w:szCs w:val="18"/>
              </w:rPr>
              <w:t>√</w:t>
            </w:r>
            <w:r>
              <w:rPr>
                <w:rStyle w:val="EndnoteReference"/>
              </w:rPr>
              <w:endnoteReference w:id="338"/>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SK</w:t>
            </w:r>
          </w:p>
        </w:tc>
        <w:tc>
          <w:tcPr>
            <w:tcW w:w="711" w:type="dxa"/>
            <w:tcBorders>
              <w:left w:val="single" w:sz="12" w:space="0" w:color="auto"/>
            </w:tcBorders>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5"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9D11FD">
              <w:rPr>
                <w:rFonts w:cs="Arial"/>
                <w:sz w:val="18"/>
                <w:szCs w:val="18"/>
              </w:rPr>
              <w:t>√</w:t>
            </w:r>
          </w:p>
        </w:tc>
        <w:tc>
          <w:tcPr>
            <w:tcW w:w="774" w:type="dxa"/>
            <w:vAlign w:val="center"/>
          </w:tcPr>
          <w:p w:rsidR="0021506B" w:rsidRDefault="0021506B" w:rsidP="009B1CF3">
            <w:r w:rsidRPr="00AE584F">
              <w:rPr>
                <w:rFonts w:cs="Arial"/>
                <w:sz w:val="18"/>
                <w:szCs w:val="18"/>
              </w:rPr>
              <w:t>√</w:t>
            </w:r>
          </w:p>
        </w:tc>
        <w:tc>
          <w:tcPr>
            <w:tcW w:w="774" w:type="dxa"/>
            <w:vAlign w:val="center"/>
          </w:tcPr>
          <w:p w:rsidR="0021506B" w:rsidRDefault="0021506B" w:rsidP="009B1CF3">
            <w:r w:rsidRPr="00E3781A">
              <w:rPr>
                <w:rFonts w:cs="Arial"/>
                <w:sz w:val="18"/>
                <w:szCs w:val="18"/>
              </w:rPr>
              <w:t>√</w:t>
            </w:r>
          </w:p>
        </w:tc>
        <w:tc>
          <w:tcPr>
            <w:tcW w:w="775" w:type="dxa"/>
            <w:tcBorders>
              <w:right w:val="single" w:sz="12" w:space="0" w:color="auto"/>
            </w:tcBorders>
            <w:vAlign w:val="center"/>
          </w:tcPr>
          <w:p w:rsidR="0021506B" w:rsidRDefault="0021506B" w:rsidP="009B1CF3">
            <w:r w:rsidRPr="00FB19C9">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F117A5">
              <w:rPr>
                <w:rFonts w:cs="Arial"/>
                <w:sz w:val="18"/>
                <w:szCs w:val="18"/>
              </w:rPr>
              <w:t>√</w:t>
            </w:r>
          </w:p>
        </w:tc>
        <w:tc>
          <w:tcPr>
            <w:tcW w:w="774" w:type="dxa"/>
            <w:vAlign w:val="center"/>
          </w:tcPr>
          <w:p w:rsidR="0021506B" w:rsidRDefault="0021506B" w:rsidP="009B1CF3">
            <w:r w:rsidRPr="00F117A5">
              <w:rPr>
                <w:rFonts w:cs="Arial"/>
                <w:sz w:val="18"/>
                <w:szCs w:val="18"/>
              </w:rPr>
              <w:t>√</w:t>
            </w:r>
          </w:p>
        </w:tc>
        <w:tc>
          <w:tcPr>
            <w:tcW w:w="763" w:type="dxa"/>
            <w:shd w:val="clear" w:color="auto" w:fill="D9D9D9" w:themeFill="background1" w:themeFillShade="D9"/>
            <w:vAlign w:val="center"/>
          </w:tcPr>
          <w:p w:rsidR="0021506B" w:rsidRDefault="0021506B" w:rsidP="009B1CF3"/>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UK-E&amp;W</w:t>
            </w:r>
          </w:p>
        </w:tc>
        <w:tc>
          <w:tcPr>
            <w:tcW w:w="711" w:type="dxa"/>
            <w:tcBorders>
              <w:left w:val="single" w:sz="12" w:space="0" w:color="auto"/>
            </w:tcBorders>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5"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9D11FD">
              <w:rPr>
                <w:rFonts w:cs="Arial"/>
                <w:sz w:val="18"/>
                <w:szCs w:val="18"/>
              </w:rPr>
              <w:t>√</w:t>
            </w:r>
          </w:p>
        </w:tc>
        <w:tc>
          <w:tcPr>
            <w:tcW w:w="774" w:type="dxa"/>
            <w:vAlign w:val="center"/>
          </w:tcPr>
          <w:p w:rsidR="0021506B" w:rsidRDefault="0021506B" w:rsidP="009B1CF3">
            <w:r w:rsidRPr="00AE584F">
              <w:rPr>
                <w:rFonts w:cs="Arial"/>
                <w:sz w:val="18"/>
                <w:szCs w:val="18"/>
              </w:rPr>
              <w:t>√</w:t>
            </w:r>
          </w:p>
        </w:tc>
        <w:tc>
          <w:tcPr>
            <w:tcW w:w="774" w:type="dxa"/>
            <w:vAlign w:val="center"/>
          </w:tcPr>
          <w:p w:rsidR="0021506B" w:rsidRDefault="0021506B" w:rsidP="009B1CF3">
            <w:r w:rsidRPr="00E3781A">
              <w:rPr>
                <w:rFonts w:cs="Arial"/>
                <w:sz w:val="18"/>
                <w:szCs w:val="18"/>
              </w:rPr>
              <w:t>√</w:t>
            </w:r>
          </w:p>
        </w:tc>
        <w:tc>
          <w:tcPr>
            <w:tcW w:w="775" w:type="dxa"/>
            <w:tcBorders>
              <w:right w:val="single" w:sz="12" w:space="0" w:color="auto"/>
            </w:tcBorders>
            <w:vAlign w:val="center"/>
          </w:tcPr>
          <w:p w:rsidR="0021506B" w:rsidRDefault="0021506B" w:rsidP="009B1CF3">
            <w:r w:rsidRPr="00FB19C9">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6E6952">
              <w:rPr>
                <w:rFonts w:cs="Arial"/>
                <w:sz w:val="18"/>
                <w:szCs w:val="18"/>
              </w:rPr>
              <w:t>√</w:t>
            </w:r>
          </w:p>
        </w:tc>
        <w:tc>
          <w:tcPr>
            <w:tcW w:w="774" w:type="dxa"/>
            <w:vAlign w:val="center"/>
          </w:tcPr>
          <w:p w:rsidR="0021506B" w:rsidRDefault="0021506B" w:rsidP="009B1CF3">
            <w:r w:rsidRPr="006E6952">
              <w:rPr>
                <w:rFonts w:cs="Arial"/>
                <w:sz w:val="18"/>
                <w:szCs w:val="18"/>
              </w:rPr>
              <w:t>√</w:t>
            </w:r>
          </w:p>
        </w:tc>
        <w:tc>
          <w:tcPr>
            <w:tcW w:w="763" w:type="dxa"/>
            <w:vAlign w:val="center"/>
          </w:tcPr>
          <w:p w:rsidR="0021506B" w:rsidRDefault="0021506B" w:rsidP="009B1CF3">
            <w:r w:rsidRPr="006E6952">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UK-NI</w:t>
            </w:r>
          </w:p>
        </w:tc>
        <w:tc>
          <w:tcPr>
            <w:tcW w:w="711" w:type="dxa"/>
            <w:tcBorders>
              <w:left w:val="single" w:sz="12" w:space="0" w:color="auto"/>
            </w:tcBorders>
            <w:vAlign w:val="center"/>
          </w:tcPr>
          <w:p w:rsidR="0021506B" w:rsidRDefault="0021506B" w:rsidP="009B1CF3">
            <w:r w:rsidRPr="00FA74E8">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444A4A">
              <w:rPr>
                <w:rFonts w:cs="Arial"/>
                <w:sz w:val="18"/>
                <w:szCs w:val="18"/>
              </w:rPr>
              <w:t>√</w:t>
            </w:r>
          </w:p>
        </w:tc>
        <w:tc>
          <w:tcPr>
            <w:tcW w:w="775" w:type="dxa"/>
            <w:vAlign w:val="center"/>
          </w:tcPr>
          <w:p w:rsidR="0021506B" w:rsidRDefault="0021506B" w:rsidP="009B1CF3">
            <w:r w:rsidRPr="00444A4A">
              <w:rPr>
                <w:rFonts w:cs="Arial"/>
                <w:sz w:val="18"/>
                <w:szCs w:val="18"/>
              </w:rPr>
              <w:t>√</w:t>
            </w:r>
          </w:p>
        </w:tc>
        <w:tc>
          <w:tcPr>
            <w:tcW w:w="774" w:type="dxa"/>
            <w:vAlign w:val="center"/>
          </w:tcPr>
          <w:p w:rsidR="0021506B" w:rsidRDefault="0021506B" w:rsidP="009B1CF3">
            <w:r w:rsidRPr="009D11FD">
              <w:rPr>
                <w:rFonts w:cs="Arial"/>
                <w:sz w:val="18"/>
                <w:szCs w:val="18"/>
              </w:rPr>
              <w:t>√</w:t>
            </w:r>
          </w:p>
        </w:tc>
        <w:tc>
          <w:tcPr>
            <w:tcW w:w="774" w:type="dxa"/>
            <w:vAlign w:val="center"/>
          </w:tcPr>
          <w:p w:rsidR="0021506B" w:rsidRDefault="0021506B" w:rsidP="009B1CF3">
            <w:r w:rsidRPr="00AE584F">
              <w:rPr>
                <w:rFonts w:cs="Arial"/>
                <w:sz w:val="18"/>
                <w:szCs w:val="18"/>
              </w:rPr>
              <w:t>√</w:t>
            </w:r>
          </w:p>
        </w:tc>
        <w:tc>
          <w:tcPr>
            <w:tcW w:w="774" w:type="dxa"/>
            <w:vAlign w:val="center"/>
          </w:tcPr>
          <w:p w:rsidR="0021506B" w:rsidRDefault="0021506B" w:rsidP="009B1CF3">
            <w:r w:rsidRPr="00E3781A">
              <w:rPr>
                <w:rFonts w:cs="Arial"/>
                <w:sz w:val="18"/>
                <w:szCs w:val="18"/>
              </w:rPr>
              <w:t>√</w:t>
            </w:r>
          </w:p>
        </w:tc>
        <w:tc>
          <w:tcPr>
            <w:tcW w:w="775" w:type="dxa"/>
            <w:tcBorders>
              <w:right w:val="single" w:sz="12" w:space="0" w:color="auto"/>
            </w:tcBorders>
            <w:vAlign w:val="center"/>
          </w:tcPr>
          <w:p w:rsidR="0021506B" w:rsidRDefault="0021506B" w:rsidP="009B1CF3">
            <w:r w:rsidRPr="00FB19C9">
              <w:rPr>
                <w:rFonts w:cs="Arial"/>
                <w:sz w:val="18"/>
                <w:szCs w:val="18"/>
              </w:rPr>
              <w:t>√</w:t>
            </w:r>
          </w:p>
        </w:tc>
        <w:tc>
          <w:tcPr>
            <w:tcW w:w="774" w:type="dxa"/>
            <w:gridSpan w:val="2"/>
            <w:tcBorders>
              <w:left w:val="single" w:sz="12" w:space="0" w:color="auto"/>
            </w:tcBorders>
            <w:shd w:val="clear" w:color="auto" w:fill="D9D9D9" w:themeFill="background1" w:themeFillShade="D9"/>
            <w:vAlign w:val="center"/>
          </w:tcPr>
          <w:p w:rsidR="0021506B" w:rsidRDefault="0021506B" w:rsidP="009B1CF3"/>
        </w:tc>
        <w:tc>
          <w:tcPr>
            <w:tcW w:w="774" w:type="dxa"/>
            <w:vAlign w:val="center"/>
          </w:tcPr>
          <w:p w:rsidR="0021506B" w:rsidRDefault="0021506B" w:rsidP="009B1CF3">
            <w:r w:rsidRPr="006E6952">
              <w:rPr>
                <w:rFonts w:cs="Arial"/>
                <w:sz w:val="18"/>
                <w:szCs w:val="18"/>
              </w:rPr>
              <w:t>√</w:t>
            </w:r>
          </w:p>
        </w:tc>
        <w:tc>
          <w:tcPr>
            <w:tcW w:w="774" w:type="dxa"/>
            <w:vAlign w:val="center"/>
          </w:tcPr>
          <w:p w:rsidR="0021506B" w:rsidRDefault="0021506B" w:rsidP="009B1CF3">
            <w:r w:rsidRPr="006E6952">
              <w:rPr>
                <w:rFonts w:cs="Arial"/>
                <w:sz w:val="18"/>
                <w:szCs w:val="18"/>
              </w:rPr>
              <w:t>√</w:t>
            </w:r>
          </w:p>
        </w:tc>
        <w:tc>
          <w:tcPr>
            <w:tcW w:w="763" w:type="dxa"/>
            <w:vAlign w:val="center"/>
          </w:tcPr>
          <w:p w:rsidR="0021506B" w:rsidRDefault="0021506B" w:rsidP="009B1CF3">
            <w:r w:rsidRPr="006E6952">
              <w:rPr>
                <w:rFonts w:cs="Arial"/>
                <w:sz w:val="18"/>
                <w:szCs w:val="18"/>
              </w:rPr>
              <w:t>√</w:t>
            </w:r>
          </w:p>
        </w:tc>
      </w:tr>
      <w:tr w:rsidR="0021506B" w:rsidTr="00731E82">
        <w:trPr>
          <w:cantSplit/>
          <w:trHeight w:hRule="exact" w:val="360"/>
          <w:jc w:val="center"/>
        </w:trPr>
        <w:tc>
          <w:tcPr>
            <w:tcW w:w="977" w:type="dxa"/>
            <w:tcBorders>
              <w:right w:val="single" w:sz="12" w:space="0" w:color="auto"/>
            </w:tcBorders>
            <w:shd w:val="clear" w:color="auto" w:fill="DBE5F1" w:themeFill="accent1" w:themeFillTint="33"/>
            <w:vAlign w:val="center"/>
          </w:tcPr>
          <w:p w:rsidR="0021506B" w:rsidRPr="00731E82" w:rsidRDefault="00CD7610" w:rsidP="009B1CF3">
            <w:pPr>
              <w:pStyle w:val="BTBullet1"/>
              <w:numPr>
                <w:ilvl w:val="0"/>
                <w:numId w:val="0"/>
              </w:numPr>
              <w:rPr>
                <w:b/>
                <w:sz w:val="16"/>
                <w:szCs w:val="16"/>
              </w:rPr>
            </w:pPr>
            <w:r w:rsidRPr="00731E82">
              <w:rPr>
                <w:b/>
                <w:sz w:val="16"/>
                <w:szCs w:val="16"/>
              </w:rPr>
              <w:t>UK-S</w:t>
            </w:r>
          </w:p>
        </w:tc>
        <w:tc>
          <w:tcPr>
            <w:tcW w:w="711" w:type="dxa"/>
            <w:tcBorders>
              <w:left w:val="single" w:sz="12" w:space="0" w:color="auto"/>
            </w:tcBorders>
            <w:vAlign w:val="center"/>
          </w:tcPr>
          <w:p w:rsidR="0021506B" w:rsidRDefault="0021506B" w:rsidP="009B1CF3">
            <w:r w:rsidRPr="00FA74E8">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shd w:val="clear" w:color="auto" w:fill="D9D9D9" w:themeFill="background1" w:themeFillShade="D9"/>
            <w:vAlign w:val="center"/>
          </w:tcPr>
          <w:p w:rsidR="0021506B" w:rsidRPr="00E217F3" w:rsidRDefault="0021506B" w:rsidP="009B1CF3">
            <w:pPr>
              <w:rPr>
                <w:sz w:val="18"/>
                <w:szCs w:val="18"/>
              </w:rPr>
            </w:pP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4" w:type="dxa"/>
            <w:vAlign w:val="center"/>
          </w:tcPr>
          <w:p w:rsidR="0021506B" w:rsidRDefault="0021506B" w:rsidP="009B1CF3">
            <w:r w:rsidRPr="00AE584F">
              <w:rPr>
                <w:rFonts w:cs="Arial"/>
                <w:sz w:val="18"/>
                <w:szCs w:val="18"/>
              </w:rPr>
              <w:t>√</w:t>
            </w:r>
          </w:p>
        </w:tc>
        <w:tc>
          <w:tcPr>
            <w:tcW w:w="774" w:type="dxa"/>
            <w:shd w:val="clear" w:color="auto" w:fill="D9D9D9" w:themeFill="background1" w:themeFillShade="D9"/>
            <w:vAlign w:val="center"/>
          </w:tcPr>
          <w:p w:rsidR="0021506B" w:rsidRPr="00E217F3" w:rsidRDefault="0021506B" w:rsidP="009B1CF3">
            <w:pPr>
              <w:rPr>
                <w:sz w:val="18"/>
                <w:szCs w:val="18"/>
              </w:rPr>
            </w:pPr>
          </w:p>
        </w:tc>
        <w:tc>
          <w:tcPr>
            <w:tcW w:w="775" w:type="dxa"/>
            <w:tcBorders>
              <w:right w:val="single" w:sz="12" w:space="0" w:color="auto"/>
            </w:tcBorders>
            <w:vAlign w:val="center"/>
          </w:tcPr>
          <w:p w:rsidR="0021506B" w:rsidRDefault="0021506B" w:rsidP="009B1CF3">
            <w:r w:rsidRPr="00FB19C9">
              <w:rPr>
                <w:rFonts w:cs="Arial"/>
                <w:sz w:val="18"/>
                <w:szCs w:val="18"/>
              </w:rPr>
              <w:t>√</w:t>
            </w:r>
          </w:p>
        </w:tc>
        <w:tc>
          <w:tcPr>
            <w:tcW w:w="774" w:type="dxa"/>
            <w:gridSpan w:val="2"/>
            <w:tcBorders>
              <w:left w:val="single" w:sz="12" w:space="0" w:color="auto"/>
            </w:tcBorders>
            <w:vAlign w:val="center"/>
          </w:tcPr>
          <w:p w:rsidR="0021506B" w:rsidRDefault="0021506B" w:rsidP="009B1CF3">
            <w:r w:rsidRPr="00283D64">
              <w:rPr>
                <w:rFonts w:cs="Arial"/>
                <w:sz w:val="18"/>
                <w:szCs w:val="18"/>
              </w:rPr>
              <w:t>√</w:t>
            </w:r>
          </w:p>
        </w:tc>
        <w:tc>
          <w:tcPr>
            <w:tcW w:w="774" w:type="dxa"/>
            <w:vAlign w:val="center"/>
          </w:tcPr>
          <w:p w:rsidR="0021506B" w:rsidRDefault="0021506B" w:rsidP="009B1CF3">
            <w:r w:rsidRPr="00283D64">
              <w:rPr>
                <w:rFonts w:cs="Arial"/>
                <w:sz w:val="18"/>
                <w:szCs w:val="18"/>
              </w:rPr>
              <w:t>√</w:t>
            </w:r>
          </w:p>
        </w:tc>
        <w:tc>
          <w:tcPr>
            <w:tcW w:w="774" w:type="dxa"/>
            <w:vAlign w:val="center"/>
          </w:tcPr>
          <w:p w:rsidR="0021506B" w:rsidRDefault="0021506B" w:rsidP="009B1CF3">
            <w:r w:rsidRPr="00283D64">
              <w:rPr>
                <w:rFonts w:cs="Arial"/>
                <w:sz w:val="18"/>
                <w:szCs w:val="18"/>
              </w:rPr>
              <w:t>√</w:t>
            </w:r>
          </w:p>
        </w:tc>
        <w:tc>
          <w:tcPr>
            <w:tcW w:w="763" w:type="dxa"/>
            <w:vAlign w:val="center"/>
          </w:tcPr>
          <w:p w:rsidR="0021506B" w:rsidRDefault="0021506B" w:rsidP="009B1CF3">
            <w:r w:rsidRPr="00283D64">
              <w:rPr>
                <w:rFonts w:cs="Arial"/>
                <w:sz w:val="18"/>
                <w:szCs w:val="18"/>
              </w:rPr>
              <w:t>√</w:t>
            </w:r>
          </w:p>
        </w:tc>
      </w:tr>
      <w:tr w:rsidR="0021506B" w:rsidTr="00BC51E4">
        <w:trPr>
          <w:cantSplit/>
          <w:trHeight w:hRule="exact" w:val="360"/>
          <w:jc w:val="center"/>
        </w:trPr>
        <w:tc>
          <w:tcPr>
            <w:tcW w:w="977" w:type="dxa"/>
            <w:tcBorders>
              <w:right w:val="single" w:sz="12" w:space="0" w:color="auto"/>
            </w:tcBorders>
            <w:shd w:val="clear" w:color="auto" w:fill="FFFFFF" w:themeFill="background1"/>
            <w:vAlign w:val="center"/>
          </w:tcPr>
          <w:p w:rsidR="0021506B" w:rsidRPr="00FC64BB" w:rsidRDefault="0021506B" w:rsidP="009B1CF3">
            <w:pPr>
              <w:pStyle w:val="BTBullet1"/>
              <w:numPr>
                <w:ilvl w:val="0"/>
                <w:numId w:val="0"/>
              </w:numPr>
              <w:rPr>
                <w:b/>
                <w:sz w:val="16"/>
                <w:szCs w:val="16"/>
              </w:rPr>
            </w:pPr>
            <w:r>
              <w:rPr>
                <w:b/>
                <w:sz w:val="16"/>
                <w:szCs w:val="16"/>
              </w:rPr>
              <w:t>Total Yes</w:t>
            </w:r>
          </w:p>
        </w:tc>
        <w:tc>
          <w:tcPr>
            <w:tcW w:w="711" w:type="dxa"/>
            <w:tcBorders>
              <w:left w:val="single" w:sz="12" w:space="0" w:color="auto"/>
            </w:tcBorders>
            <w:shd w:val="clear" w:color="auto" w:fill="auto"/>
            <w:vAlign w:val="center"/>
          </w:tcPr>
          <w:p w:rsidR="0021506B" w:rsidRPr="00DF2AF0" w:rsidRDefault="0021506B" w:rsidP="009B1CF3">
            <w:pPr>
              <w:rPr>
                <w:rFonts w:cs="Arial"/>
                <w:b/>
                <w:sz w:val="16"/>
                <w:szCs w:val="16"/>
              </w:rPr>
            </w:pPr>
            <w:r>
              <w:rPr>
                <w:rFonts w:cs="Arial"/>
                <w:b/>
                <w:sz w:val="16"/>
                <w:szCs w:val="16"/>
              </w:rPr>
              <w:t>22</w:t>
            </w:r>
          </w:p>
        </w:tc>
        <w:tc>
          <w:tcPr>
            <w:tcW w:w="774" w:type="dxa"/>
            <w:shd w:val="clear" w:color="auto" w:fill="auto"/>
            <w:vAlign w:val="center"/>
          </w:tcPr>
          <w:p w:rsidR="0021506B" w:rsidRPr="00DF2AF0" w:rsidRDefault="0021506B" w:rsidP="009B1CF3">
            <w:pPr>
              <w:rPr>
                <w:b/>
                <w:sz w:val="16"/>
                <w:szCs w:val="16"/>
              </w:rPr>
            </w:pPr>
            <w:r>
              <w:rPr>
                <w:b/>
                <w:sz w:val="16"/>
                <w:szCs w:val="16"/>
              </w:rPr>
              <w:t>19</w:t>
            </w:r>
          </w:p>
        </w:tc>
        <w:tc>
          <w:tcPr>
            <w:tcW w:w="774" w:type="dxa"/>
            <w:shd w:val="clear" w:color="auto" w:fill="auto"/>
            <w:vAlign w:val="center"/>
          </w:tcPr>
          <w:p w:rsidR="0021506B" w:rsidRPr="00DF2AF0" w:rsidRDefault="0021506B" w:rsidP="009B1CF3">
            <w:pPr>
              <w:rPr>
                <w:b/>
                <w:sz w:val="16"/>
                <w:szCs w:val="16"/>
              </w:rPr>
            </w:pPr>
            <w:r>
              <w:rPr>
                <w:b/>
                <w:sz w:val="16"/>
                <w:szCs w:val="16"/>
              </w:rPr>
              <w:t>16</w:t>
            </w:r>
          </w:p>
        </w:tc>
        <w:tc>
          <w:tcPr>
            <w:tcW w:w="774" w:type="dxa"/>
            <w:shd w:val="clear" w:color="auto" w:fill="auto"/>
            <w:vAlign w:val="center"/>
          </w:tcPr>
          <w:p w:rsidR="0021506B" w:rsidRPr="00DF2AF0" w:rsidRDefault="0021506B" w:rsidP="009B1CF3">
            <w:pPr>
              <w:rPr>
                <w:b/>
                <w:sz w:val="16"/>
                <w:szCs w:val="16"/>
              </w:rPr>
            </w:pPr>
            <w:r>
              <w:rPr>
                <w:b/>
                <w:sz w:val="16"/>
                <w:szCs w:val="16"/>
              </w:rPr>
              <w:t>16</w:t>
            </w:r>
          </w:p>
        </w:tc>
        <w:tc>
          <w:tcPr>
            <w:tcW w:w="775" w:type="dxa"/>
            <w:shd w:val="clear" w:color="auto" w:fill="auto"/>
            <w:vAlign w:val="center"/>
          </w:tcPr>
          <w:p w:rsidR="0021506B" w:rsidRPr="00DF2AF0" w:rsidRDefault="0021506B" w:rsidP="009B1CF3">
            <w:pPr>
              <w:rPr>
                <w:b/>
                <w:sz w:val="16"/>
                <w:szCs w:val="16"/>
              </w:rPr>
            </w:pPr>
            <w:r>
              <w:rPr>
                <w:b/>
                <w:sz w:val="16"/>
                <w:szCs w:val="16"/>
              </w:rPr>
              <w:t>15</w:t>
            </w:r>
          </w:p>
        </w:tc>
        <w:tc>
          <w:tcPr>
            <w:tcW w:w="774" w:type="dxa"/>
            <w:shd w:val="clear" w:color="auto" w:fill="auto"/>
            <w:vAlign w:val="center"/>
          </w:tcPr>
          <w:p w:rsidR="0021506B" w:rsidRPr="00DF2AF0" w:rsidRDefault="0021506B" w:rsidP="009B1CF3">
            <w:pPr>
              <w:rPr>
                <w:b/>
                <w:sz w:val="16"/>
                <w:szCs w:val="16"/>
              </w:rPr>
            </w:pPr>
            <w:r>
              <w:rPr>
                <w:b/>
                <w:sz w:val="16"/>
                <w:szCs w:val="16"/>
              </w:rPr>
              <w:t>17</w:t>
            </w:r>
          </w:p>
        </w:tc>
        <w:tc>
          <w:tcPr>
            <w:tcW w:w="774" w:type="dxa"/>
            <w:shd w:val="clear" w:color="auto" w:fill="auto"/>
            <w:vAlign w:val="center"/>
          </w:tcPr>
          <w:p w:rsidR="0021506B" w:rsidRPr="00DF2AF0" w:rsidRDefault="0021506B" w:rsidP="009B1CF3">
            <w:pPr>
              <w:rPr>
                <w:rFonts w:cs="Arial"/>
                <w:b/>
                <w:sz w:val="16"/>
                <w:szCs w:val="16"/>
              </w:rPr>
            </w:pPr>
            <w:r>
              <w:rPr>
                <w:rFonts w:cs="Arial"/>
                <w:b/>
                <w:sz w:val="16"/>
                <w:szCs w:val="16"/>
              </w:rPr>
              <w:t>21</w:t>
            </w:r>
          </w:p>
        </w:tc>
        <w:tc>
          <w:tcPr>
            <w:tcW w:w="774" w:type="dxa"/>
            <w:shd w:val="clear" w:color="auto" w:fill="auto"/>
            <w:vAlign w:val="center"/>
          </w:tcPr>
          <w:p w:rsidR="0021506B" w:rsidRPr="00DF2AF0" w:rsidRDefault="0021506B" w:rsidP="009B1CF3">
            <w:pPr>
              <w:rPr>
                <w:b/>
                <w:sz w:val="16"/>
                <w:szCs w:val="16"/>
              </w:rPr>
            </w:pPr>
            <w:r>
              <w:rPr>
                <w:b/>
                <w:sz w:val="16"/>
                <w:szCs w:val="16"/>
              </w:rPr>
              <w:t>12</w:t>
            </w:r>
          </w:p>
        </w:tc>
        <w:tc>
          <w:tcPr>
            <w:tcW w:w="775" w:type="dxa"/>
            <w:tcBorders>
              <w:right w:val="single" w:sz="12" w:space="0" w:color="auto"/>
            </w:tcBorders>
            <w:shd w:val="clear" w:color="auto" w:fill="auto"/>
            <w:vAlign w:val="center"/>
          </w:tcPr>
          <w:p w:rsidR="0021506B" w:rsidRPr="00DF2AF0" w:rsidRDefault="0021506B" w:rsidP="009B1CF3">
            <w:pPr>
              <w:rPr>
                <w:rFonts w:cs="Arial"/>
                <w:b/>
                <w:sz w:val="16"/>
                <w:szCs w:val="16"/>
              </w:rPr>
            </w:pPr>
            <w:r>
              <w:rPr>
                <w:rFonts w:cs="Arial"/>
                <w:b/>
                <w:sz w:val="16"/>
                <w:szCs w:val="16"/>
              </w:rPr>
              <w:t>15</w:t>
            </w:r>
          </w:p>
        </w:tc>
        <w:tc>
          <w:tcPr>
            <w:tcW w:w="774" w:type="dxa"/>
            <w:gridSpan w:val="2"/>
            <w:tcBorders>
              <w:left w:val="single" w:sz="12" w:space="0" w:color="auto"/>
            </w:tcBorders>
            <w:shd w:val="clear" w:color="auto" w:fill="auto"/>
            <w:vAlign w:val="center"/>
          </w:tcPr>
          <w:p w:rsidR="0021506B" w:rsidRPr="00DF2AF0" w:rsidRDefault="0021506B" w:rsidP="009B1CF3">
            <w:pPr>
              <w:rPr>
                <w:rFonts w:cs="Arial"/>
                <w:b/>
                <w:sz w:val="16"/>
                <w:szCs w:val="16"/>
              </w:rPr>
            </w:pPr>
            <w:r>
              <w:rPr>
                <w:rFonts w:cs="Arial"/>
                <w:b/>
                <w:sz w:val="16"/>
                <w:szCs w:val="16"/>
              </w:rPr>
              <w:t>10</w:t>
            </w:r>
          </w:p>
        </w:tc>
        <w:tc>
          <w:tcPr>
            <w:tcW w:w="774" w:type="dxa"/>
            <w:shd w:val="clear" w:color="auto" w:fill="auto"/>
            <w:vAlign w:val="center"/>
          </w:tcPr>
          <w:p w:rsidR="0021506B" w:rsidRPr="00DF2AF0" w:rsidRDefault="0021506B" w:rsidP="009B1CF3">
            <w:pPr>
              <w:rPr>
                <w:rFonts w:cs="Arial"/>
                <w:b/>
                <w:sz w:val="16"/>
                <w:szCs w:val="16"/>
              </w:rPr>
            </w:pPr>
            <w:r>
              <w:rPr>
                <w:rFonts w:cs="Arial"/>
                <w:b/>
                <w:sz w:val="16"/>
                <w:szCs w:val="16"/>
              </w:rPr>
              <w:t>22</w:t>
            </w:r>
          </w:p>
        </w:tc>
        <w:tc>
          <w:tcPr>
            <w:tcW w:w="774" w:type="dxa"/>
            <w:shd w:val="clear" w:color="auto" w:fill="auto"/>
            <w:vAlign w:val="center"/>
          </w:tcPr>
          <w:p w:rsidR="0021506B" w:rsidRPr="00DF2AF0" w:rsidRDefault="0021506B" w:rsidP="009B1CF3">
            <w:pPr>
              <w:rPr>
                <w:rFonts w:cs="Arial"/>
                <w:b/>
                <w:sz w:val="16"/>
                <w:szCs w:val="16"/>
              </w:rPr>
            </w:pPr>
            <w:r>
              <w:rPr>
                <w:rFonts w:cs="Arial"/>
                <w:b/>
                <w:sz w:val="16"/>
                <w:szCs w:val="16"/>
              </w:rPr>
              <w:t>22</w:t>
            </w:r>
          </w:p>
        </w:tc>
        <w:tc>
          <w:tcPr>
            <w:tcW w:w="763" w:type="dxa"/>
            <w:shd w:val="clear" w:color="auto" w:fill="auto"/>
            <w:vAlign w:val="center"/>
          </w:tcPr>
          <w:p w:rsidR="0021506B" w:rsidRPr="00DF2AF0" w:rsidRDefault="0021506B" w:rsidP="009B1CF3">
            <w:pPr>
              <w:rPr>
                <w:rFonts w:cs="Arial"/>
                <w:b/>
                <w:sz w:val="16"/>
                <w:szCs w:val="16"/>
              </w:rPr>
            </w:pPr>
            <w:r>
              <w:rPr>
                <w:rFonts w:cs="Arial"/>
                <w:b/>
                <w:sz w:val="16"/>
                <w:szCs w:val="16"/>
              </w:rPr>
              <w:t>17</w:t>
            </w:r>
          </w:p>
        </w:tc>
      </w:tr>
      <w:tr w:rsidR="0021506B" w:rsidTr="00252D92">
        <w:trPr>
          <w:cantSplit/>
          <w:trHeight w:hRule="exact" w:val="390"/>
          <w:jc w:val="center"/>
        </w:trPr>
        <w:tc>
          <w:tcPr>
            <w:tcW w:w="10967" w:type="dxa"/>
            <w:gridSpan w:val="15"/>
            <w:shd w:val="clear" w:color="auto" w:fill="FFFFFF" w:themeFill="background1"/>
            <w:vAlign w:val="center"/>
          </w:tcPr>
          <w:p w:rsidR="0021506B" w:rsidRDefault="00252D92" w:rsidP="009B1CF3">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21506B" w:rsidRDefault="0021506B" w:rsidP="00FD3DF8">
      <w:pPr>
        <w:sectPr w:rsidR="0021506B"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FD3DF8" w:rsidRDefault="00FD3DF8" w:rsidP="00FD3DF8"/>
    <w:p w:rsidR="00200CFE" w:rsidRDefault="00200CFE">
      <w:pPr>
        <w:spacing w:before="0" w:after="0" w:line="240" w:lineRule="auto"/>
      </w:pPr>
      <w:r>
        <w:br w:type="page"/>
      </w:r>
    </w:p>
    <w:p w:rsidR="00200CFE" w:rsidRDefault="00200CFE" w:rsidP="00731E82">
      <w:pPr>
        <w:pStyle w:val="AnnexTable"/>
        <w:tabs>
          <w:tab w:val="clear" w:pos="2687"/>
          <w:tab w:val="num" w:pos="1440"/>
        </w:tabs>
        <w:ind w:left="1530" w:hanging="1530"/>
      </w:pPr>
      <w:bookmarkStart w:id="381" w:name="_Ref395879374"/>
      <w:bookmarkStart w:id="382" w:name="_Toc408908677"/>
      <w:r w:rsidRPr="00200CFE">
        <w:t>Existence of a statutory provision on the right of children involved in judicial proceedings to free legal aid</w:t>
      </w:r>
      <w:r>
        <w:t xml:space="preserve"> (CivAdm151</w:t>
      </w:r>
      <w:r w:rsidRPr="006822D9">
        <w:t>)</w:t>
      </w:r>
      <w:bookmarkEnd w:id="381"/>
      <w:bookmarkEnd w:id="382"/>
      <w:r>
        <w:t xml:space="preserve"> </w:t>
      </w:r>
    </w:p>
    <w:p w:rsidR="0021506B" w:rsidRDefault="0021506B" w:rsidP="009B1CF3">
      <w:pPr>
        <w:pStyle w:val="TableTitle"/>
        <w:sectPr w:rsidR="0021506B" w:rsidSect="002C3D52">
          <w:type w:val="continuous"/>
          <w:pgSz w:w="11907" w:h="16840" w:code="9"/>
          <w:pgMar w:top="1276" w:right="1418" w:bottom="851" w:left="1418" w:header="680" w:footer="567" w:gutter="0"/>
          <w:cols w:space="708"/>
          <w:docGrid w:linePitch="360"/>
        </w:sectPr>
      </w:pPr>
    </w:p>
    <w:tbl>
      <w:tblPr>
        <w:tblStyle w:val="Tabellenraster1"/>
        <w:tblW w:w="11069" w:type="dxa"/>
        <w:jc w:val="center"/>
        <w:tblLayout w:type="fixed"/>
        <w:tblLook w:val="04A0" w:firstRow="1" w:lastRow="0" w:firstColumn="1" w:lastColumn="0" w:noHBand="0" w:noVBand="1"/>
      </w:tblPr>
      <w:tblGrid>
        <w:gridCol w:w="1069"/>
        <w:gridCol w:w="769"/>
        <w:gridCol w:w="768"/>
        <w:gridCol w:w="769"/>
        <w:gridCol w:w="768"/>
        <w:gridCol w:w="770"/>
        <w:gridCol w:w="769"/>
        <w:gridCol w:w="770"/>
        <w:gridCol w:w="769"/>
        <w:gridCol w:w="770"/>
        <w:gridCol w:w="9"/>
        <w:gridCol w:w="760"/>
        <w:gridCol w:w="770"/>
        <w:gridCol w:w="769"/>
        <w:gridCol w:w="770"/>
      </w:tblGrid>
      <w:tr w:rsidR="0021506B" w:rsidRPr="00593387" w:rsidTr="009B1CF3">
        <w:trPr>
          <w:trHeight w:val="350"/>
          <w:tblHeader/>
          <w:jc w:val="center"/>
        </w:trPr>
        <w:tc>
          <w:tcPr>
            <w:tcW w:w="1069" w:type="dxa"/>
            <w:tcBorders>
              <w:right w:val="single" w:sz="12" w:space="0" w:color="auto"/>
            </w:tcBorders>
          </w:tcPr>
          <w:p w:rsidR="0021506B" w:rsidRDefault="0021506B" w:rsidP="009B1CF3">
            <w:pPr>
              <w:pStyle w:val="TableTitle"/>
            </w:pPr>
            <w:r>
              <w:t>MS</w:t>
            </w:r>
          </w:p>
        </w:tc>
        <w:tc>
          <w:tcPr>
            <w:tcW w:w="6931" w:type="dxa"/>
            <w:gridSpan w:val="10"/>
            <w:tcBorders>
              <w:left w:val="single" w:sz="12" w:space="0" w:color="auto"/>
              <w:right w:val="single" w:sz="12" w:space="0" w:color="auto"/>
            </w:tcBorders>
          </w:tcPr>
          <w:p w:rsidR="0021506B" w:rsidRDefault="0021506B" w:rsidP="009B1CF3">
            <w:pPr>
              <w:pStyle w:val="TableTitle"/>
            </w:pPr>
            <w:r>
              <w:t>Areas of law</w:t>
            </w:r>
          </w:p>
        </w:tc>
        <w:tc>
          <w:tcPr>
            <w:tcW w:w="3069" w:type="dxa"/>
            <w:gridSpan w:val="4"/>
            <w:tcBorders>
              <w:left w:val="single" w:sz="12" w:space="0" w:color="auto"/>
            </w:tcBorders>
          </w:tcPr>
          <w:p w:rsidR="0021506B" w:rsidRDefault="0021506B" w:rsidP="009B1CF3">
            <w:pPr>
              <w:pStyle w:val="TableTitle"/>
            </w:pPr>
            <w:r>
              <w:t>Roles of the child</w:t>
            </w:r>
          </w:p>
        </w:tc>
      </w:tr>
      <w:tr w:rsidR="0021506B" w:rsidTr="00731E82">
        <w:trPr>
          <w:cantSplit/>
          <w:trHeight w:val="1009"/>
          <w:tblHeader/>
          <w:jc w:val="center"/>
        </w:trPr>
        <w:tc>
          <w:tcPr>
            <w:tcW w:w="1069" w:type="dxa"/>
            <w:tcBorders>
              <w:right w:val="single" w:sz="12" w:space="0" w:color="auto"/>
            </w:tcBorders>
            <w:shd w:val="clear" w:color="auto" w:fill="DBE5F1" w:themeFill="accent1" w:themeFillTint="33"/>
          </w:tcPr>
          <w:p w:rsidR="0021506B" w:rsidRPr="00E217F3" w:rsidRDefault="0021506B" w:rsidP="009B1CF3">
            <w:pPr>
              <w:rPr>
                <w:b/>
              </w:rPr>
            </w:pPr>
          </w:p>
        </w:tc>
        <w:tc>
          <w:tcPr>
            <w:tcW w:w="769" w:type="dxa"/>
            <w:tcBorders>
              <w:lef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Family</w:t>
            </w:r>
          </w:p>
        </w:tc>
        <w:tc>
          <w:tcPr>
            <w:tcW w:w="768"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Employment</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Asylum</w:t>
            </w:r>
          </w:p>
        </w:tc>
        <w:tc>
          <w:tcPr>
            <w:tcW w:w="768"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Migration</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Education</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Health</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Placement</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Admin Sanctions</w:t>
            </w:r>
          </w:p>
        </w:tc>
        <w:tc>
          <w:tcPr>
            <w:tcW w:w="770" w:type="dxa"/>
            <w:tcBorders>
              <w:righ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Offences &lt;MACR</w:t>
            </w:r>
          </w:p>
        </w:tc>
        <w:tc>
          <w:tcPr>
            <w:tcW w:w="769" w:type="dxa"/>
            <w:gridSpan w:val="2"/>
            <w:tcBorders>
              <w:lef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Witnesses</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Plaintiffs</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Defendants</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Subjects</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AT</w:t>
            </w:r>
          </w:p>
        </w:tc>
        <w:tc>
          <w:tcPr>
            <w:tcW w:w="769" w:type="dxa"/>
            <w:tcBorders>
              <w:left w:val="single" w:sz="12" w:space="0" w:color="auto"/>
            </w:tcBorders>
            <w:vAlign w:val="center"/>
          </w:tcPr>
          <w:p w:rsidR="0021506B" w:rsidRDefault="0021506B" w:rsidP="009B1CF3">
            <w:r w:rsidRPr="00D40A1B">
              <w:rPr>
                <w:rFonts w:cs="Arial"/>
                <w:sz w:val="18"/>
                <w:szCs w:val="18"/>
              </w:rPr>
              <w:t>√</w:t>
            </w:r>
          </w:p>
        </w:tc>
        <w:tc>
          <w:tcPr>
            <w:tcW w:w="768"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68" w:type="dxa"/>
            <w:vAlign w:val="center"/>
          </w:tcPr>
          <w:p w:rsidR="0021506B" w:rsidRDefault="0021506B" w:rsidP="009B1CF3">
            <w:r w:rsidRPr="00D40A1B">
              <w:rPr>
                <w:rFonts w:cs="Arial"/>
                <w:sz w:val="18"/>
                <w:szCs w:val="18"/>
              </w:rPr>
              <w:t>√</w:t>
            </w:r>
          </w:p>
        </w:tc>
        <w:tc>
          <w:tcPr>
            <w:tcW w:w="770"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70"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70" w:type="dxa"/>
            <w:tcBorders>
              <w:right w:val="single" w:sz="12" w:space="0" w:color="auto"/>
            </w:tcBorders>
            <w:vAlign w:val="center"/>
          </w:tcPr>
          <w:p w:rsidR="0021506B" w:rsidRDefault="0021506B" w:rsidP="009B1CF3">
            <w:r w:rsidRPr="00D40A1B">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409ED">
              <w:rPr>
                <w:rFonts w:cs="Arial"/>
                <w:sz w:val="18"/>
                <w:szCs w:val="18"/>
              </w:rPr>
              <w:t>√</w:t>
            </w:r>
          </w:p>
        </w:tc>
        <w:tc>
          <w:tcPr>
            <w:tcW w:w="769" w:type="dxa"/>
            <w:vAlign w:val="center"/>
          </w:tcPr>
          <w:p w:rsidR="0021506B" w:rsidRDefault="0021506B" w:rsidP="009B1CF3">
            <w:r w:rsidRPr="00C409E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BE</w:t>
            </w:r>
          </w:p>
        </w:tc>
        <w:tc>
          <w:tcPr>
            <w:tcW w:w="769" w:type="dxa"/>
            <w:tcBorders>
              <w:left w:val="single" w:sz="12" w:space="0" w:color="auto"/>
            </w:tcBorders>
            <w:vAlign w:val="center"/>
          </w:tcPr>
          <w:p w:rsidR="0021506B" w:rsidRDefault="0021506B" w:rsidP="009B1CF3">
            <w:r w:rsidRPr="00D40A1B">
              <w:rPr>
                <w:rFonts w:cs="Arial"/>
                <w:sz w:val="18"/>
                <w:szCs w:val="18"/>
              </w:rPr>
              <w:t>√</w:t>
            </w:r>
          </w:p>
        </w:tc>
        <w:tc>
          <w:tcPr>
            <w:tcW w:w="768"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68" w:type="dxa"/>
            <w:vAlign w:val="center"/>
          </w:tcPr>
          <w:p w:rsidR="0021506B" w:rsidRDefault="0021506B" w:rsidP="009B1CF3">
            <w:r w:rsidRPr="00D40A1B">
              <w:rPr>
                <w:rFonts w:cs="Arial"/>
                <w:sz w:val="18"/>
                <w:szCs w:val="18"/>
              </w:rPr>
              <w:t>√</w:t>
            </w:r>
          </w:p>
        </w:tc>
        <w:tc>
          <w:tcPr>
            <w:tcW w:w="770"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70"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70" w:type="dxa"/>
            <w:tcBorders>
              <w:right w:val="single" w:sz="12" w:space="0" w:color="auto"/>
            </w:tcBorders>
            <w:vAlign w:val="center"/>
          </w:tcPr>
          <w:p w:rsidR="0021506B" w:rsidRDefault="0021506B" w:rsidP="009B1CF3">
            <w:r w:rsidRPr="00D40A1B">
              <w:rPr>
                <w:rFonts w:cs="Arial"/>
                <w:sz w:val="18"/>
                <w:szCs w:val="18"/>
              </w:rPr>
              <w:t>√</w:t>
            </w:r>
          </w:p>
        </w:tc>
        <w:tc>
          <w:tcPr>
            <w:tcW w:w="769" w:type="dxa"/>
            <w:gridSpan w:val="2"/>
            <w:tcBorders>
              <w:left w:val="single" w:sz="12" w:space="0" w:color="auto"/>
            </w:tcBorders>
            <w:vAlign w:val="center"/>
          </w:tcPr>
          <w:p w:rsidR="0021506B" w:rsidRDefault="0021506B" w:rsidP="009B1CF3">
            <w:r>
              <w:rPr>
                <w:rFonts w:cs="Arial"/>
                <w:sz w:val="18"/>
                <w:szCs w:val="18"/>
              </w:rPr>
              <w:t>√</w:t>
            </w:r>
          </w:p>
        </w:tc>
        <w:tc>
          <w:tcPr>
            <w:tcW w:w="770" w:type="dxa"/>
            <w:vAlign w:val="center"/>
          </w:tcPr>
          <w:p w:rsidR="0021506B" w:rsidRDefault="0021506B" w:rsidP="009B1CF3">
            <w:r w:rsidRPr="00C409ED">
              <w:rPr>
                <w:rFonts w:cs="Arial"/>
                <w:sz w:val="18"/>
                <w:szCs w:val="18"/>
              </w:rPr>
              <w:t>√</w:t>
            </w:r>
          </w:p>
        </w:tc>
        <w:tc>
          <w:tcPr>
            <w:tcW w:w="769" w:type="dxa"/>
            <w:vAlign w:val="center"/>
          </w:tcPr>
          <w:p w:rsidR="0021506B" w:rsidRDefault="0021506B" w:rsidP="009B1CF3">
            <w:r w:rsidRPr="00C409ED">
              <w:rPr>
                <w:rFonts w:cs="Arial"/>
                <w:sz w:val="18"/>
                <w:szCs w:val="18"/>
              </w:rPr>
              <w:t>√</w:t>
            </w:r>
          </w:p>
        </w:tc>
        <w:tc>
          <w:tcPr>
            <w:tcW w:w="770" w:type="dxa"/>
            <w:vAlign w:val="center"/>
          </w:tcPr>
          <w:p w:rsidR="0021506B" w:rsidRDefault="0021506B" w:rsidP="009B1CF3">
            <w:r>
              <w:rPr>
                <w:rFonts w:cs="Arial"/>
                <w:sz w:val="18"/>
                <w:szCs w:val="18"/>
              </w:rPr>
              <w:t>√</w:t>
            </w:r>
            <w:r>
              <w:rPr>
                <w:rStyle w:val="EndnoteReference"/>
              </w:rPr>
              <w:endnoteReference w:id="339"/>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BG</w:t>
            </w:r>
          </w:p>
        </w:tc>
        <w:tc>
          <w:tcPr>
            <w:tcW w:w="769" w:type="dxa"/>
            <w:tcBorders>
              <w:left w:val="single" w:sz="12" w:space="0" w:color="auto"/>
            </w:tcBorders>
            <w:vAlign w:val="center"/>
          </w:tcPr>
          <w:p w:rsidR="0021506B" w:rsidRDefault="0021506B" w:rsidP="009B1CF3">
            <w:r w:rsidRPr="00D40A1B">
              <w:rPr>
                <w:rFonts w:cs="Arial"/>
                <w:sz w:val="18"/>
                <w:szCs w:val="18"/>
              </w:rPr>
              <w:t>√</w:t>
            </w:r>
          </w:p>
        </w:tc>
        <w:tc>
          <w:tcPr>
            <w:tcW w:w="768"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68" w:type="dxa"/>
            <w:vAlign w:val="center"/>
          </w:tcPr>
          <w:p w:rsidR="0021506B" w:rsidRDefault="0021506B" w:rsidP="009B1CF3">
            <w:r w:rsidRPr="00D40A1B">
              <w:rPr>
                <w:rFonts w:cs="Arial"/>
                <w:sz w:val="18"/>
                <w:szCs w:val="18"/>
              </w:rPr>
              <w:t>√</w:t>
            </w:r>
          </w:p>
        </w:tc>
        <w:tc>
          <w:tcPr>
            <w:tcW w:w="770" w:type="dxa"/>
            <w:vAlign w:val="center"/>
          </w:tcPr>
          <w:p w:rsidR="0021506B" w:rsidRDefault="0021506B" w:rsidP="009B1CF3">
            <w:r w:rsidRPr="00D40A1B">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70" w:type="dxa"/>
            <w:vAlign w:val="center"/>
          </w:tcPr>
          <w:p w:rsidR="0021506B" w:rsidRDefault="0021506B" w:rsidP="009B1CF3">
            <w:r w:rsidRPr="00491711">
              <w:rPr>
                <w:rFonts w:cs="Arial"/>
                <w:sz w:val="18"/>
                <w:szCs w:val="18"/>
              </w:rPr>
              <w:t>√</w:t>
            </w:r>
          </w:p>
        </w:tc>
        <w:tc>
          <w:tcPr>
            <w:tcW w:w="769" w:type="dxa"/>
            <w:vAlign w:val="center"/>
          </w:tcPr>
          <w:p w:rsidR="0021506B" w:rsidRDefault="0021506B" w:rsidP="009B1CF3">
            <w:r w:rsidRPr="00D40A1B">
              <w:rPr>
                <w:rFonts w:cs="Arial"/>
                <w:sz w:val="18"/>
                <w:szCs w:val="18"/>
              </w:rPr>
              <w:t>√</w:t>
            </w:r>
          </w:p>
        </w:tc>
        <w:tc>
          <w:tcPr>
            <w:tcW w:w="770" w:type="dxa"/>
            <w:tcBorders>
              <w:right w:val="single" w:sz="12" w:space="0" w:color="auto"/>
            </w:tcBorders>
            <w:vAlign w:val="center"/>
          </w:tcPr>
          <w:p w:rsidR="0021506B" w:rsidRDefault="0021506B" w:rsidP="009B1CF3">
            <w:r w:rsidRPr="00D40A1B">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409ED">
              <w:rPr>
                <w:rFonts w:cs="Arial"/>
                <w:sz w:val="18"/>
                <w:szCs w:val="18"/>
              </w:rPr>
              <w:t>√</w:t>
            </w:r>
          </w:p>
        </w:tc>
        <w:tc>
          <w:tcPr>
            <w:tcW w:w="769" w:type="dxa"/>
            <w:vAlign w:val="center"/>
          </w:tcPr>
          <w:p w:rsidR="0021506B" w:rsidRDefault="0021506B" w:rsidP="009B1CF3">
            <w:r w:rsidRPr="00C409E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CY</w:t>
            </w:r>
          </w:p>
        </w:tc>
        <w:tc>
          <w:tcPr>
            <w:tcW w:w="769" w:type="dxa"/>
            <w:tcBorders>
              <w:left w:val="single" w:sz="12" w:space="0" w:color="auto"/>
            </w:tcBorders>
            <w:vAlign w:val="center"/>
          </w:tcPr>
          <w:p w:rsidR="0021506B" w:rsidRPr="00E217F3" w:rsidRDefault="0021506B" w:rsidP="009B1CF3">
            <w:pPr>
              <w:rPr>
                <w:sz w:val="18"/>
                <w:szCs w:val="18"/>
              </w:rPr>
            </w:pPr>
            <w:r>
              <w:rPr>
                <w:rFonts w:cs="Arial"/>
                <w:sz w:val="18"/>
                <w:szCs w:val="18"/>
              </w:rPr>
              <w:t>√</w:t>
            </w: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110115">
              <w:rPr>
                <w:rFonts w:cs="Arial"/>
                <w:sz w:val="18"/>
                <w:szCs w:val="18"/>
              </w:rPr>
              <w:t>√</w:t>
            </w:r>
          </w:p>
        </w:tc>
        <w:tc>
          <w:tcPr>
            <w:tcW w:w="768" w:type="dxa"/>
            <w:vAlign w:val="center"/>
          </w:tcPr>
          <w:p w:rsidR="0021506B" w:rsidRDefault="0021506B" w:rsidP="009B1CF3">
            <w:r w:rsidRPr="00110115">
              <w:rPr>
                <w:rFonts w:cs="Arial"/>
                <w:sz w:val="18"/>
                <w:szCs w:val="18"/>
              </w:rPr>
              <w:t>√</w:t>
            </w: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vAlign w:val="center"/>
          </w:tcPr>
          <w:p w:rsidR="0021506B" w:rsidRDefault="0021506B" w:rsidP="009B1CF3">
            <w:r w:rsidRPr="00491711">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409ED">
              <w:rPr>
                <w:rFonts w:cs="Arial"/>
                <w:sz w:val="18"/>
                <w:szCs w:val="18"/>
              </w:rPr>
              <w:t>√</w:t>
            </w:r>
          </w:p>
        </w:tc>
        <w:tc>
          <w:tcPr>
            <w:tcW w:w="769" w:type="dxa"/>
            <w:vAlign w:val="center"/>
          </w:tcPr>
          <w:p w:rsidR="0021506B" w:rsidRDefault="0021506B" w:rsidP="009B1CF3">
            <w:r w:rsidRPr="00C409ED">
              <w:rPr>
                <w:rFonts w:cs="Arial"/>
                <w:sz w:val="18"/>
                <w:szCs w:val="18"/>
              </w:rPr>
              <w:t>√</w:t>
            </w:r>
          </w:p>
        </w:tc>
        <w:tc>
          <w:tcPr>
            <w:tcW w:w="770" w:type="dxa"/>
            <w:vAlign w:val="center"/>
          </w:tcPr>
          <w:p w:rsidR="0021506B" w:rsidRDefault="0021506B" w:rsidP="009B1CF3">
            <w:r>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CZ</w:t>
            </w:r>
          </w:p>
        </w:tc>
        <w:tc>
          <w:tcPr>
            <w:tcW w:w="769"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shd w:val="clear" w:color="auto" w:fill="D9D9D9" w:themeFill="background1" w:themeFillShade="D9"/>
            <w:vAlign w:val="center"/>
          </w:tcPr>
          <w:p w:rsidR="0021506B" w:rsidRDefault="0021506B" w:rsidP="009B1CF3"/>
        </w:tc>
        <w:tc>
          <w:tcPr>
            <w:tcW w:w="769" w:type="dxa"/>
            <w:shd w:val="clear" w:color="auto" w:fill="D9D9D9" w:themeFill="background1" w:themeFillShade="D9"/>
            <w:vAlign w:val="center"/>
          </w:tcPr>
          <w:p w:rsidR="0021506B" w:rsidRDefault="0021506B" w:rsidP="009B1CF3"/>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DE</w:t>
            </w:r>
          </w:p>
        </w:tc>
        <w:tc>
          <w:tcPr>
            <w:tcW w:w="769" w:type="dxa"/>
            <w:tcBorders>
              <w:left w:val="single" w:sz="12" w:space="0" w:color="auto"/>
            </w:tcBorders>
            <w:vAlign w:val="center"/>
          </w:tcPr>
          <w:p w:rsidR="0021506B" w:rsidRDefault="0021506B" w:rsidP="009B1CF3">
            <w:r w:rsidRPr="0044433D">
              <w:rPr>
                <w:rFonts w:cs="Arial"/>
                <w:sz w:val="18"/>
                <w:szCs w:val="18"/>
              </w:rPr>
              <w:t>√</w:t>
            </w:r>
          </w:p>
        </w:tc>
        <w:tc>
          <w:tcPr>
            <w:tcW w:w="768" w:type="dxa"/>
            <w:vAlign w:val="center"/>
          </w:tcPr>
          <w:p w:rsidR="0021506B" w:rsidRDefault="0021506B" w:rsidP="009B1CF3">
            <w:r w:rsidRPr="00F82089">
              <w:rPr>
                <w:rFonts w:cs="Arial"/>
                <w:sz w:val="18"/>
                <w:szCs w:val="18"/>
              </w:rPr>
              <w:t>√</w:t>
            </w:r>
          </w:p>
        </w:tc>
        <w:tc>
          <w:tcPr>
            <w:tcW w:w="769" w:type="dxa"/>
            <w:vAlign w:val="center"/>
          </w:tcPr>
          <w:p w:rsidR="0021506B" w:rsidRDefault="0021506B" w:rsidP="009B1CF3">
            <w:r w:rsidRPr="00F82089">
              <w:rPr>
                <w:rFonts w:cs="Arial"/>
                <w:sz w:val="18"/>
                <w:szCs w:val="18"/>
              </w:rPr>
              <w:t>√</w:t>
            </w:r>
          </w:p>
        </w:tc>
        <w:tc>
          <w:tcPr>
            <w:tcW w:w="768" w:type="dxa"/>
            <w:vAlign w:val="center"/>
          </w:tcPr>
          <w:p w:rsidR="0021506B" w:rsidRDefault="0021506B" w:rsidP="009B1CF3">
            <w:r w:rsidRPr="00F82089">
              <w:rPr>
                <w:rFonts w:cs="Arial"/>
                <w:sz w:val="18"/>
                <w:szCs w:val="18"/>
              </w:rPr>
              <w:t>√</w:t>
            </w:r>
          </w:p>
        </w:tc>
        <w:tc>
          <w:tcPr>
            <w:tcW w:w="770" w:type="dxa"/>
            <w:vAlign w:val="center"/>
          </w:tcPr>
          <w:p w:rsidR="0021506B" w:rsidRDefault="0021506B" w:rsidP="009B1CF3">
            <w:r w:rsidRPr="00F82089">
              <w:rPr>
                <w:rFonts w:cs="Arial"/>
                <w:sz w:val="18"/>
                <w:szCs w:val="18"/>
              </w:rPr>
              <w:t>√</w:t>
            </w:r>
          </w:p>
        </w:tc>
        <w:tc>
          <w:tcPr>
            <w:tcW w:w="769" w:type="dxa"/>
            <w:vAlign w:val="center"/>
          </w:tcPr>
          <w:p w:rsidR="0021506B" w:rsidRDefault="0021506B" w:rsidP="009B1CF3">
            <w:r w:rsidRPr="00F82089">
              <w:rPr>
                <w:rFonts w:cs="Arial"/>
                <w:sz w:val="18"/>
                <w:szCs w:val="18"/>
              </w:rPr>
              <w:t>√</w:t>
            </w:r>
          </w:p>
        </w:tc>
        <w:tc>
          <w:tcPr>
            <w:tcW w:w="770" w:type="dxa"/>
            <w:vAlign w:val="center"/>
          </w:tcPr>
          <w:p w:rsidR="0021506B" w:rsidRDefault="0021506B" w:rsidP="009B1CF3">
            <w:r w:rsidRPr="00A8329E">
              <w:rPr>
                <w:rFonts w:cs="Arial"/>
                <w:sz w:val="18"/>
                <w:szCs w:val="18"/>
              </w:rPr>
              <w:t>√</w:t>
            </w:r>
          </w:p>
        </w:tc>
        <w:tc>
          <w:tcPr>
            <w:tcW w:w="769" w:type="dxa"/>
            <w:vAlign w:val="center"/>
          </w:tcPr>
          <w:p w:rsidR="0021506B" w:rsidRDefault="0021506B" w:rsidP="009B1CF3">
            <w:r w:rsidRPr="00F82089">
              <w:rPr>
                <w:rFonts w:cs="Arial"/>
                <w:sz w:val="18"/>
                <w:szCs w:val="18"/>
              </w:rPr>
              <w:t>√</w:t>
            </w:r>
          </w:p>
        </w:tc>
        <w:tc>
          <w:tcPr>
            <w:tcW w:w="770" w:type="dxa"/>
            <w:tcBorders>
              <w:right w:val="single" w:sz="12" w:space="0" w:color="auto"/>
            </w:tcBorders>
            <w:vAlign w:val="center"/>
          </w:tcPr>
          <w:p w:rsidR="0021506B" w:rsidRDefault="0021506B" w:rsidP="009B1CF3">
            <w:r w:rsidRPr="00F82089">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sidRPr="004E5B0E">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DK</w:t>
            </w:r>
          </w:p>
        </w:tc>
        <w:tc>
          <w:tcPr>
            <w:tcW w:w="769" w:type="dxa"/>
            <w:tcBorders>
              <w:left w:val="single" w:sz="12" w:space="0" w:color="auto"/>
            </w:tcBorders>
            <w:vAlign w:val="center"/>
          </w:tcPr>
          <w:p w:rsidR="0021506B" w:rsidRDefault="0021506B" w:rsidP="009B1CF3">
            <w:r w:rsidRPr="0044433D">
              <w:rPr>
                <w:rFonts w:cs="Arial"/>
                <w:sz w:val="18"/>
                <w:szCs w:val="18"/>
              </w:rPr>
              <w:t>√</w:t>
            </w: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vAlign w:val="center"/>
          </w:tcPr>
          <w:p w:rsidR="0021506B" w:rsidRDefault="0021506B" w:rsidP="009B1CF3">
            <w:r w:rsidRPr="00A8329E">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sidRPr="004E5B0E">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EE</w:t>
            </w:r>
          </w:p>
        </w:tc>
        <w:tc>
          <w:tcPr>
            <w:tcW w:w="769" w:type="dxa"/>
            <w:tcBorders>
              <w:left w:val="single" w:sz="12" w:space="0" w:color="auto"/>
            </w:tcBorders>
            <w:vAlign w:val="center"/>
          </w:tcPr>
          <w:p w:rsidR="0021506B" w:rsidRDefault="0021506B" w:rsidP="009B1CF3">
            <w:r w:rsidRPr="0044433D">
              <w:rPr>
                <w:rFonts w:cs="Arial"/>
                <w:sz w:val="18"/>
                <w:szCs w:val="18"/>
              </w:rPr>
              <w:t>√</w:t>
            </w:r>
          </w:p>
        </w:tc>
        <w:tc>
          <w:tcPr>
            <w:tcW w:w="768" w:type="dxa"/>
            <w:vAlign w:val="center"/>
          </w:tcPr>
          <w:p w:rsidR="0021506B" w:rsidRDefault="0021506B" w:rsidP="009B1CF3">
            <w:r w:rsidRPr="0047279A">
              <w:rPr>
                <w:rFonts w:cs="Arial"/>
                <w:sz w:val="18"/>
                <w:szCs w:val="18"/>
              </w:rPr>
              <w:t>√</w:t>
            </w:r>
          </w:p>
        </w:tc>
        <w:tc>
          <w:tcPr>
            <w:tcW w:w="769" w:type="dxa"/>
            <w:vAlign w:val="center"/>
          </w:tcPr>
          <w:p w:rsidR="0021506B" w:rsidRDefault="0021506B" w:rsidP="009B1CF3">
            <w:r w:rsidRPr="0047279A">
              <w:rPr>
                <w:rFonts w:cs="Arial"/>
                <w:sz w:val="18"/>
                <w:szCs w:val="18"/>
              </w:rPr>
              <w:t>√</w:t>
            </w:r>
          </w:p>
        </w:tc>
        <w:tc>
          <w:tcPr>
            <w:tcW w:w="768" w:type="dxa"/>
            <w:vAlign w:val="center"/>
          </w:tcPr>
          <w:p w:rsidR="0021506B" w:rsidRDefault="0021506B" w:rsidP="009B1CF3">
            <w:r w:rsidRPr="0047279A">
              <w:rPr>
                <w:rFonts w:cs="Arial"/>
                <w:sz w:val="18"/>
                <w:szCs w:val="18"/>
              </w:rPr>
              <w:t>√</w:t>
            </w:r>
          </w:p>
        </w:tc>
        <w:tc>
          <w:tcPr>
            <w:tcW w:w="770" w:type="dxa"/>
            <w:vAlign w:val="center"/>
          </w:tcPr>
          <w:p w:rsidR="0021506B" w:rsidRDefault="0021506B" w:rsidP="009B1CF3">
            <w:r w:rsidRPr="0047279A">
              <w:rPr>
                <w:rFonts w:cs="Arial"/>
                <w:sz w:val="18"/>
                <w:szCs w:val="18"/>
              </w:rPr>
              <w:t>√</w:t>
            </w:r>
          </w:p>
        </w:tc>
        <w:tc>
          <w:tcPr>
            <w:tcW w:w="769" w:type="dxa"/>
            <w:vAlign w:val="center"/>
          </w:tcPr>
          <w:p w:rsidR="0021506B" w:rsidRDefault="0021506B" w:rsidP="009B1CF3">
            <w:r w:rsidRPr="0047279A">
              <w:rPr>
                <w:rFonts w:cs="Arial"/>
                <w:sz w:val="18"/>
                <w:szCs w:val="18"/>
              </w:rPr>
              <w:t>√</w:t>
            </w:r>
          </w:p>
        </w:tc>
        <w:tc>
          <w:tcPr>
            <w:tcW w:w="770" w:type="dxa"/>
            <w:vAlign w:val="center"/>
          </w:tcPr>
          <w:p w:rsidR="0021506B" w:rsidRDefault="0021506B" w:rsidP="009B1CF3">
            <w:r w:rsidRPr="00A8329E">
              <w:rPr>
                <w:rFonts w:cs="Arial"/>
                <w:sz w:val="18"/>
                <w:szCs w:val="18"/>
              </w:rPr>
              <w:t>√</w:t>
            </w:r>
          </w:p>
        </w:tc>
        <w:tc>
          <w:tcPr>
            <w:tcW w:w="769" w:type="dxa"/>
            <w:vAlign w:val="center"/>
          </w:tcPr>
          <w:p w:rsidR="0021506B" w:rsidRDefault="0021506B" w:rsidP="009B1CF3">
            <w:r w:rsidRPr="0047279A">
              <w:rPr>
                <w:rFonts w:cs="Arial"/>
                <w:sz w:val="18"/>
                <w:szCs w:val="18"/>
              </w:rPr>
              <w:t>√</w:t>
            </w: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vAlign w:val="center"/>
          </w:tcPr>
          <w:p w:rsidR="0021506B" w:rsidRDefault="0021506B" w:rsidP="009B1CF3">
            <w:r>
              <w:rPr>
                <w:rFonts w:cs="Arial"/>
                <w:sz w:val="18"/>
                <w:szCs w:val="18"/>
              </w:rPr>
              <w:t>√</w:t>
            </w:r>
            <w:r>
              <w:rPr>
                <w:rStyle w:val="EndnoteReference"/>
              </w:rPr>
              <w:endnoteReference w:id="340"/>
            </w:r>
          </w:p>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Pr>
                <w:rFonts w:cs="Arial"/>
                <w:sz w:val="18"/>
                <w:szCs w:val="18"/>
              </w:rPr>
              <w:t>√</w:t>
            </w:r>
            <w:r>
              <w:rPr>
                <w:rStyle w:val="EndnoteReference"/>
              </w:rPr>
              <w:endnoteReference w:id="341"/>
            </w:r>
          </w:p>
        </w:tc>
        <w:tc>
          <w:tcPr>
            <w:tcW w:w="770" w:type="dxa"/>
            <w:vAlign w:val="center"/>
          </w:tcPr>
          <w:p w:rsidR="0021506B" w:rsidRDefault="0021506B" w:rsidP="009B1CF3">
            <w:r>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EL</w:t>
            </w:r>
          </w:p>
        </w:tc>
        <w:tc>
          <w:tcPr>
            <w:tcW w:w="769" w:type="dxa"/>
            <w:tcBorders>
              <w:left w:val="single" w:sz="12" w:space="0" w:color="auto"/>
            </w:tcBorders>
            <w:vAlign w:val="center"/>
          </w:tcPr>
          <w:p w:rsidR="0021506B" w:rsidRDefault="0021506B" w:rsidP="009B1CF3">
            <w:r w:rsidRPr="0044433D">
              <w:rPr>
                <w:rFonts w:cs="Arial"/>
                <w:sz w:val="18"/>
                <w:szCs w:val="18"/>
              </w:rPr>
              <w:t>√</w:t>
            </w:r>
          </w:p>
        </w:tc>
        <w:tc>
          <w:tcPr>
            <w:tcW w:w="768" w:type="dxa"/>
            <w:vAlign w:val="center"/>
          </w:tcPr>
          <w:p w:rsidR="0021506B" w:rsidRDefault="0021506B" w:rsidP="009B1CF3">
            <w:r w:rsidRPr="00EE5841">
              <w:rPr>
                <w:rFonts w:cs="Arial"/>
                <w:sz w:val="18"/>
                <w:szCs w:val="18"/>
              </w:rPr>
              <w:t>√</w:t>
            </w:r>
          </w:p>
        </w:tc>
        <w:tc>
          <w:tcPr>
            <w:tcW w:w="769" w:type="dxa"/>
            <w:vAlign w:val="center"/>
          </w:tcPr>
          <w:p w:rsidR="0021506B" w:rsidRDefault="0021506B" w:rsidP="009B1CF3">
            <w:r w:rsidRPr="00EE5841">
              <w:rPr>
                <w:rFonts w:cs="Arial"/>
                <w:sz w:val="18"/>
                <w:szCs w:val="18"/>
              </w:rPr>
              <w:t>√</w:t>
            </w:r>
          </w:p>
        </w:tc>
        <w:tc>
          <w:tcPr>
            <w:tcW w:w="768" w:type="dxa"/>
            <w:vAlign w:val="center"/>
          </w:tcPr>
          <w:p w:rsidR="0021506B" w:rsidRDefault="0021506B" w:rsidP="009B1CF3">
            <w:r w:rsidRPr="00EE5841">
              <w:rPr>
                <w:rFonts w:cs="Arial"/>
                <w:sz w:val="18"/>
                <w:szCs w:val="18"/>
              </w:rPr>
              <w:t>√</w:t>
            </w:r>
          </w:p>
        </w:tc>
        <w:tc>
          <w:tcPr>
            <w:tcW w:w="770" w:type="dxa"/>
            <w:vAlign w:val="center"/>
          </w:tcPr>
          <w:p w:rsidR="0021506B" w:rsidRDefault="0021506B" w:rsidP="009B1CF3">
            <w:r w:rsidRPr="00EE5841">
              <w:rPr>
                <w:rFonts w:cs="Arial"/>
                <w:sz w:val="18"/>
                <w:szCs w:val="18"/>
              </w:rPr>
              <w:t>√</w:t>
            </w:r>
          </w:p>
        </w:tc>
        <w:tc>
          <w:tcPr>
            <w:tcW w:w="769" w:type="dxa"/>
            <w:vAlign w:val="center"/>
          </w:tcPr>
          <w:p w:rsidR="0021506B" w:rsidRDefault="0021506B" w:rsidP="009B1CF3">
            <w:r w:rsidRPr="00EE5841">
              <w:rPr>
                <w:rFonts w:cs="Arial"/>
                <w:sz w:val="18"/>
                <w:szCs w:val="18"/>
              </w:rPr>
              <w:t>√</w:t>
            </w: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DA0AB4">
              <w:rPr>
                <w:rFonts w:cs="Arial"/>
                <w:sz w:val="18"/>
                <w:szCs w:val="18"/>
              </w:rPr>
              <w:t>√</w:t>
            </w:r>
          </w:p>
        </w:tc>
        <w:tc>
          <w:tcPr>
            <w:tcW w:w="770" w:type="dxa"/>
            <w:tcBorders>
              <w:right w:val="single" w:sz="12" w:space="0" w:color="auto"/>
            </w:tcBorders>
            <w:vAlign w:val="center"/>
          </w:tcPr>
          <w:p w:rsidR="0021506B" w:rsidRDefault="0021506B" w:rsidP="009B1CF3">
            <w:r w:rsidRPr="00DA0AB4">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ES</w:t>
            </w:r>
          </w:p>
        </w:tc>
        <w:tc>
          <w:tcPr>
            <w:tcW w:w="769" w:type="dxa"/>
            <w:tcBorders>
              <w:left w:val="single" w:sz="12" w:space="0" w:color="auto"/>
            </w:tcBorders>
            <w:vAlign w:val="center"/>
          </w:tcPr>
          <w:p w:rsidR="0021506B" w:rsidRDefault="0021506B" w:rsidP="009B1CF3">
            <w:r w:rsidRPr="0044433D">
              <w:rPr>
                <w:rFonts w:cs="Arial"/>
                <w:sz w:val="18"/>
                <w:szCs w:val="18"/>
              </w:rPr>
              <w:t>√</w:t>
            </w:r>
          </w:p>
        </w:tc>
        <w:tc>
          <w:tcPr>
            <w:tcW w:w="768" w:type="dxa"/>
            <w:vAlign w:val="center"/>
          </w:tcPr>
          <w:p w:rsidR="0021506B" w:rsidRDefault="0021506B" w:rsidP="009B1CF3">
            <w:r w:rsidRPr="008D048F">
              <w:rPr>
                <w:rFonts w:cs="Arial"/>
                <w:sz w:val="18"/>
                <w:szCs w:val="18"/>
              </w:rPr>
              <w:t>√</w:t>
            </w:r>
          </w:p>
        </w:tc>
        <w:tc>
          <w:tcPr>
            <w:tcW w:w="769" w:type="dxa"/>
            <w:vAlign w:val="center"/>
          </w:tcPr>
          <w:p w:rsidR="0021506B" w:rsidRDefault="0021506B" w:rsidP="009B1CF3">
            <w:r w:rsidRPr="008D048F">
              <w:rPr>
                <w:rFonts w:cs="Arial"/>
                <w:sz w:val="18"/>
                <w:szCs w:val="18"/>
              </w:rPr>
              <w:t>√</w:t>
            </w:r>
          </w:p>
        </w:tc>
        <w:tc>
          <w:tcPr>
            <w:tcW w:w="768" w:type="dxa"/>
            <w:vAlign w:val="center"/>
          </w:tcPr>
          <w:p w:rsidR="0021506B" w:rsidRDefault="0021506B" w:rsidP="009B1CF3">
            <w:r w:rsidRPr="008D048F">
              <w:rPr>
                <w:rFonts w:cs="Arial"/>
                <w:sz w:val="18"/>
                <w:szCs w:val="18"/>
              </w:rPr>
              <w:t>√</w:t>
            </w:r>
          </w:p>
        </w:tc>
        <w:tc>
          <w:tcPr>
            <w:tcW w:w="770" w:type="dxa"/>
            <w:vAlign w:val="center"/>
          </w:tcPr>
          <w:p w:rsidR="0021506B" w:rsidRDefault="0021506B" w:rsidP="009B1CF3">
            <w:r w:rsidRPr="008D048F">
              <w:rPr>
                <w:rFonts w:cs="Arial"/>
                <w:sz w:val="18"/>
                <w:szCs w:val="18"/>
              </w:rPr>
              <w:t>√</w:t>
            </w:r>
          </w:p>
        </w:tc>
        <w:tc>
          <w:tcPr>
            <w:tcW w:w="769" w:type="dxa"/>
            <w:vAlign w:val="center"/>
          </w:tcPr>
          <w:p w:rsidR="0021506B" w:rsidRDefault="0021506B" w:rsidP="009B1CF3">
            <w:r w:rsidRPr="008D048F">
              <w:rPr>
                <w:rFonts w:cs="Arial"/>
                <w:sz w:val="18"/>
                <w:szCs w:val="18"/>
              </w:rPr>
              <w:t>√</w:t>
            </w:r>
          </w:p>
        </w:tc>
        <w:tc>
          <w:tcPr>
            <w:tcW w:w="770" w:type="dxa"/>
            <w:vAlign w:val="center"/>
          </w:tcPr>
          <w:p w:rsidR="0021506B" w:rsidRDefault="0021506B" w:rsidP="009B1CF3">
            <w:r w:rsidRPr="008D048F">
              <w:rPr>
                <w:rFonts w:cs="Arial"/>
                <w:sz w:val="18"/>
                <w:szCs w:val="18"/>
              </w:rPr>
              <w:t>√</w:t>
            </w:r>
          </w:p>
        </w:tc>
        <w:tc>
          <w:tcPr>
            <w:tcW w:w="769" w:type="dxa"/>
            <w:vAlign w:val="center"/>
          </w:tcPr>
          <w:p w:rsidR="0021506B" w:rsidRDefault="0021506B" w:rsidP="009B1CF3">
            <w:r w:rsidRPr="008D048F">
              <w:rPr>
                <w:rFonts w:cs="Arial"/>
                <w:sz w:val="18"/>
                <w:szCs w:val="18"/>
              </w:rPr>
              <w:t>√</w:t>
            </w: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Pr>
                <w:rFonts w:cs="Arial"/>
                <w:sz w:val="18"/>
                <w:szCs w:val="18"/>
              </w:rPr>
              <w:t>√</w:t>
            </w:r>
            <w:r>
              <w:rPr>
                <w:rStyle w:val="EndnoteReference"/>
              </w:rPr>
              <w:endnoteReference w:id="342"/>
            </w:r>
          </w:p>
        </w:tc>
        <w:tc>
          <w:tcPr>
            <w:tcW w:w="770" w:type="dxa"/>
            <w:vAlign w:val="center"/>
          </w:tcPr>
          <w:p w:rsidR="0021506B" w:rsidRDefault="0021506B" w:rsidP="009B1CF3">
            <w:r>
              <w:rPr>
                <w:rFonts w:cs="Arial"/>
                <w:sz w:val="18"/>
                <w:szCs w:val="18"/>
              </w:rPr>
              <w:t>√</w:t>
            </w:r>
            <w:r>
              <w:rPr>
                <w:rStyle w:val="EndnoteReference"/>
              </w:rPr>
              <w:endnoteReference w:id="343"/>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FI</w:t>
            </w:r>
          </w:p>
        </w:tc>
        <w:tc>
          <w:tcPr>
            <w:tcW w:w="769" w:type="dxa"/>
            <w:tcBorders>
              <w:left w:val="single" w:sz="12" w:space="0" w:color="auto"/>
            </w:tcBorders>
            <w:vAlign w:val="center"/>
          </w:tcPr>
          <w:p w:rsidR="0021506B" w:rsidRDefault="0021506B" w:rsidP="009B1CF3">
            <w:r w:rsidRPr="00775B6E">
              <w:rPr>
                <w:rFonts w:cs="Arial"/>
                <w:sz w:val="18"/>
                <w:szCs w:val="18"/>
              </w:rPr>
              <w:t>√</w:t>
            </w:r>
          </w:p>
        </w:tc>
        <w:tc>
          <w:tcPr>
            <w:tcW w:w="768" w:type="dxa"/>
            <w:vAlign w:val="center"/>
          </w:tcPr>
          <w:p w:rsidR="0021506B" w:rsidRDefault="0021506B" w:rsidP="009B1CF3">
            <w:r w:rsidRPr="00775B6E">
              <w:rPr>
                <w:rFonts w:cs="Arial"/>
                <w:sz w:val="18"/>
                <w:szCs w:val="18"/>
              </w:rPr>
              <w:t>√</w:t>
            </w:r>
          </w:p>
        </w:tc>
        <w:tc>
          <w:tcPr>
            <w:tcW w:w="769" w:type="dxa"/>
            <w:vAlign w:val="center"/>
          </w:tcPr>
          <w:p w:rsidR="0021506B" w:rsidRDefault="0021506B" w:rsidP="009B1CF3">
            <w:r w:rsidRPr="00775B6E">
              <w:rPr>
                <w:rFonts w:cs="Arial"/>
                <w:sz w:val="18"/>
                <w:szCs w:val="18"/>
              </w:rPr>
              <w:t>√</w:t>
            </w:r>
          </w:p>
        </w:tc>
        <w:tc>
          <w:tcPr>
            <w:tcW w:w="768" w:type="dxa"/>
            <w:vAlign w:val="center"/>
          </w:tcPr>
          <w:p w:rsidR="0021506B" w:rsidRDefault="0021506B" w:rsidP="009B1CF3">
            <w:r w:rsidRPr="00775B6E">
              <w:rPr>
                <w:rFonts w:cs="Arial"/>
                <w:sz w:val="18"/>
                <w:szCs w:val="18"/>
              </w:rPr>
              <w:t>√</w:t>
            </w:r>
          </w:p>
        </w:tc>
        <w:tc>
          <w:tcPr>
            <w:tcW w:w="770" w:type="dxa"/>
            <w:vAlign w:val="center"/>
          </w:tcPr>
          <w:p w:rsidR="0021506B" w:rsidRDefault="0021506B" w:rsidP="009B1CF3">
            <w:r w:rsidRPr="00775B6E">
              <w:rPr>
                <w:rFonts w:cs="Arial"/>
                <w:sz w:val="18"/>
                <w:szCs w:val="18"/>
              </w:rPr>
              <w:t>√</w:t>
            </w:r>
          </w:p>
        </w:tc>
        <w:tc>
          <w:tcPr>
            <w:tcW w:w="769" w:type="dxa"/>
            <w:vAlign w:val="center"/>
          </w:tcPr>
          <w:p w:rsidR="0021506B" w:rsidRDefault="0021506B" w:rsidP="009B1CF3">
            <w:r w:rsidRPr="00775B6E">
              <w:rPr>
                <w:rFonts w:cs="Arial"/>
                <w:sz w:val="18"/>
                <w:szCs w:val="18"/>
              </w:rPr>
              <w:t>√</w:t>
            </w:r>
          </w:p>
        </w:tc>
        <w:tc>
          <w:tcPr>
            <w:tcW w:w="770" w:type="dxa"/>
            <w:vAlign w:val="center"/>
          </w:tcPr>
          <w:p w:rsidR="0021506B" w:rsidRDefault="0021506B" w:rsidP="009B1CF3">
            <w:r w:rsidRPr="00775B6E">
              <w:rPr>
                <w:rFonts w:cs="Arial"/>
                <w:sz w:val="18"/>
                <w:szCs w:val="18"/>
              </w:rPr>
              <w:t>√</w:t>
            </w:r>
          </w:p>
        </w:tc>
        <w:tc>
          <w:tcPr>
            <w:tcW w:w="769" w:type="dxa"/>
            <w:vAlign w:val="center"/>
          </w:tcPr>
          <w:p w:rsidR="0021506B" w:rsidRDefault="0021506B" w:rsidP="009B1CF3">
            <w:r w:rsidRPr="00775B6E">
              <w:rPr>
                <w:rFonts w:cs="Arial"/>
                <w:sz w:val="18"/>
                <w:szCs w:val="18"/>
              </w:rPr>
              <w:t>√</w:t>
            </w:r>
          </w:p>
        </w:tc>
        <w:tc>
          <w:tcPr>
            <w:tcW w:w="770" w:type="dxa"/>
            <w:tcBorders>
              <w:right w:val="single" w:sz="12" w:space="0" w:color="auto"/>
            </w:tcBorders>
            <w:vAlign w:val="center"/>
          </w:tcPr>
          <w:p w:rsidR="0021506B" w:rsidRDefault="0021506B" w:rsidP="009B1CF3">
            <w:r w:rsidRPr="00775B6E">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Pr>
                <w:rFonts w:cs="Arial"/>
                <w:sz w:val="18"/>
                <w:szCs w:val="18"/>
              </w:rPr>
              <w:t>√</w:t>
            </w:r>
            <w:r>
              <w:rPr>
                <w:rStyle w:val="EndnoteReference"/>
              </w:rPr>
              <w:endnoteReference w:id="344"/>
            </w:r>
          </w:p>
        </w:tc>
        <w:tc>
          <w:tcPr>
            <w:tcW w:w="770" w:type="dxa"/>
            <w:vAlign w:val="center"/>
          </w:tcPr>
          <w:p w:rsidR="0021506B" w:rsidRDefault="0021506B" w:rsidP="009B1CF3">
            <w:r>
              <w:rPr>
                <w:rFonts w:cs="Arial"/>
                <w:sz w:val="18"/>
                <w:szCs w:val="18"/>
              </w:rPr>
              <w:t>√</w:t>
            </w:r>
            <w:r>
              <w:rPr>
                <w:rStyle w:val="EndnoteReference"/>
              </w:rPr>
              <w:endnoteReference w:id="345"/>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FR</w:t>
            </w:r>
          </w:p>
        </w:tc>
        <w:tc>
          <w:tcPr>
            <w:tcW w:w="769" w:type="dxa"/>
            <w:tcBorders>
              <w:left w:val="single" w:sz="12" w:space="0" w:color="auto"/>
            </w:tcBorders>
            <w:vAlign w:val="center"/>
          </w:tcPr>
          <w:p w:rsidR="0021506B" w:rsidRDefault="0021506B" w:rsidP="009B1CF3">
            <w:r w:rsidRPr="00FC544C">
              <w:rPr>
                <w:rFonts w:cs="Arial"/>
                <w:sz w:val="18"/>
                <w:szCs w:val="18"/>
              </w:rPr>
              <w:t>√</w:t>
            </w:r>
          </w:p>
        </w:tc>
        <w:tc>
          <w:tcPr>
            <w:tcW w:w="768" w:type="dxa"/>
            <w:vAlign w:val="center"/>
          </w:tcPr>
          <w:p w:rsidR="0021506B" w:rsidRDefault="0021506B" w:rsidP="009B1CF3">
            <w:r w:rsidRPr="00FC544C">
              <w:rPr>
                <w:rFonts w:cs="Arial"/>
                <w:sz w:val="18"/>
                <w:szCs w:val="18"/>
              </w:rPr>
              <w:t>√</w:t>
            </w:r>
          </w:p>
        </w:tc>
        <w:tc>
          <w:tcPr>
            <w:tcW w:w="769" w:type="dxa"/>
            <w:vAlign w:val="center"/>
          </w:tcPr>
          <w:p w:rsidR="0021506B" w:rsidRDefault="0021506B" w:rsidP="009B1CF3">
            <w:r w:rsidRPr="00FC544C">
              <w:rPr>
                <w:rFonts w:cs="Arial"/>
                <w:sz w:val="18"/>
                <w:szCs w:val="18"/>
              </w:rPr>
              <w:t>√</w:t>
            </w:r>
          </w:p>
        </w:tc>
        <w:tc>
          <w:tcPr>
            <w:tcW w:w="768" w:type="dxa"/>
            <w:vAlign w:val="center"/>
          </w:tcPr>
          <w:p w:rsidR="0021506B" w:rsidRDefault="0021506B" w:rsidP="009B1CF3">
            <w:r w:rsidRPr="00FC544C">
              <w:rPr>
                <w:rFonts w:cs="Arial"/>
                <w:sz w:val="18"/>
                <w:szCs w:val="18"/>
              </w:rPr>
              <w:t>√</w:t>
            </w:r>
          </w:p>
        </w:tc>
        <w:tc>
          <w:tcPr>
            <w:tcW w:w="770" w:type="dxa"/>
            <w:vAlign w:val="center"/>
          </w:tcPr>
          <w:p w:rsidR="0021506B" w:rsidRDefault="0021506B" w:rsidP="009B1CF3">
            <w:r w:rsidRPr="00FC544C">
              <w:rPr>
                <w:rFonts w:cs="Arial"/>
                <w:sz w:val="18"/>
                <w:szCs w:val="18"/>
              </w:rPr>
              <w:t>√</w:t>
            </w:r>
          </w:p>
        </w:tc>
        <w:tc>
          <w:tcPr>
            <w:tcW w:w="769" w:type="dxa"/>
            <w:vAlign w:val="center"/>
          </w:tcPr>
          <w:p w:rsidR="0021506B" w:rsidRDefault="0021506B" w:rsidP="009B1CF3">
            <w:r w:rsidRPr="00FC544C">
              <w:rPr>
                <w:rFonts w:cs="Arial"/>
                <w:sz w:val="18"/>
                <w:szCs w:val="18"/>
              </w:rPr>
              <w:t>√</w:t>
            </w:r>
          </w:p>
        </w:tc>
        <w:tc>
          <w:tcPr>
            <w:tcW w:w="770" w:type="dxa"/>
            <w:vAlign w:val="center"/>
          </w:tcPr>
          <w:p w:rsidR="0021506B" w:rsidRDefault="0021506B" w:rsidP="009B1CF3">
            <w:r w:rsidRPr="00FC544C">
              <w:rPr>
                <w:rFonts w:cs="Arial"/>
                <w:sz w:val="18"/>
                <w:szCs w:val="18"/>
              </w:rPr>
              <w:t>√</w:t>
            </w:r>
          </w:p>
        </w:tc>
        <w:tc>
          <w:tcPr>
            <w:tcW w:w="769" w:type="dxa"/>
            <w:vAlign w:val="center"/>
          </w:tcPr>
          <w:p w:rsidR="0021506B" w:rsidRDefault="0021506B" w:rsidP="009B1CF3">
            <w:r w:rsidRPr="00FC544C">
              <w:rPr>
                <w:rFonts w:cs="Arial"/>
                <w:sz w:val="18"/>
                <w:szCs w:val="18"/>
              </w:rPr>
              <w:t>√</w:t>
            </w: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vAlign w:val="center"/>
          </w:tcPr>
          <w:p w:rsidR="0021506B" w:rsidRDefault="0021506B" w:rsidP="009B1CF3">
            <w:r>
              <w:rPr>
                <w:rFonts w:cs="Arial"/>
                <w:sz w:val="18"/>
                <w:szCs w:val="18"/>
              </w:rPr>
              <w:t>√</w:t>
            </w:r>
            <w:r>
              <w:rPr>
                <w:rStyle w:val="EndnoteReference"/>
              </w:rPr>
              <w:endnoteReference w:id="346"/>
            </w:r>
          </w:p>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sidRPr="00AC3BF1">
              <w:rPr>
                <w:rFonts w:cs="Arial"/>
                <w:sz w:val="18"/>
                <w:szCs w:val="18"/>
              </w:rPr>
              <w:t>√</w:t>
            </w:r>
          </w:p>
        </w:tc>
        <w:tc>
          <w:tcPr>
            <w:tcW w:w="770" w:type="dxa"/>
            <w:vAlign w:val="center"/>
          </w:tcPr>
          <w:p w:rsidR="0021506B" w:rsidRDefault="0021506B" w:rsidP="009B1CF3">
            <w:r w:rsidRPr="00AC3BF1">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HR</w:t>
            </w:r>
          </w:p>
        </w:tc>
        <w:tc>
          <w:tcPr>
            <w:tcW w:w="769" w:type="dxa"/>
            <w:tcBorders>
              <w:left w:val="single" w:sz="12" w:space="0" w:color="auto"/>
            </w:tcBorders>
            <w:vAlign w:val="center"/>
          </w:tcPr>
          <w:p w:rsidR="0021506B" w:rsidRDefault="0021506B" w:rsidP="009B1CF3">
            <w:r w:rsidRPr="00EC5E82">
              <w:rPr>
                <w:rFonts w:cs="Arial"/>
                <w:sz w:val="18"/>
                <w:szCs w:val="18"/>
              </w:rPr>
              <w:t>√</w:t>
            </w:r>
          </w:p>
        </w:tc>
        <w:tc>
          <w:tcPr>
            <w:tcW w:w="768" w:type="dxa"/>
            <w:vAlign w:val="center"/>
          </w:tcPr>
          <w:p w:rsidR="0021506B" w:rsidRDefault="0021506B" w:rsidP="009B1CF3">
            <w:r w:rsidRPr="00EC5E82">
              <w:rPr>
                <w:rFonts w:cs="Arial"/>
                <w:sz w:val="18"/>
                <w:szCs w:val="18"/>
              </w:rPr>
              <w:t>√</w:t>
            </w:r>
          </w:p>
        </w:tc>
        <w:tc>
          <w:tcPr>
            <w:tcW w:w="769" w:type="dxa"/>
            <w:vAlign w:val="center"/>
          </w:tcPr>
          <w:p w:rsidR="0021506B" w:rsidRDefault="0021506B" w:rsidP="009B1CF3">
            <w:r w:rsidRPr="00EC5E82">
              <w:rPr>
                <w:rFonts w:cs="Arial"/>
                <w:sz w:val="18"/>
                <w:szCs w:val="18"/>
              </w:rPr>
              <w:t>√</w:t>
            </w:r>
          </w:p>
        </w:tc>
        <w:tc>
          <w:tcPr>
            <w:tcW w:w="768" w:type="dxa"/>
            <w:vAlign w:val="center"/>
          </w:tcPr>
          <w:p w:rsidR="0021506B" w:rsidRDefault="0021506B" w:rsidP="009B1CF3">
            <w:r w:rsidRPr="00EC5E82">
              <w:rPr>
                <w:rFonts w:cs="Arial"/>
                <w:sz w:val="18"/>
                <w:szCs w:val="18"/>
              </w:rPr>
              <w:t>√</w:t>
            </w:r>
          </w:p>
        </w:tc>
        <w:tc>
          <w:tcPr>
            <w:tcW w:w="770" w:type="dxa"/>
            <w:vAlign w:val="center"/>
          </w:tcPr>
          <w:p w:rsidR="0021506B" w:rsidRDefault="0021506B" w:rsidP="009B1CF3">
            <w:r w:rsidRPr="00EC5E82">
              <w:rPr>
                <w:rFonts w:cs="Arial"/>
                <w:sz w:val="18"/>
                <w:szCs w:val="18"/>
              </w:rPr>
              <w:t>√</w:t>
            </w:r>
          </w:p>
        </w:tc>
        <w:tc>
          <w:tcPr>
            <w:tcW w:w="769" w:type="dxa"/>
            <w:vAlign w:val="center"/>
          </w:tcPr>
          <w:p w:rsidR="0021506B" w:rsidRDefault="0021506B" w:rsidP="009B1CF3">
            <w:r w:rsidRPr="00EC5E82">
              <w:rPr>
                <w:rFonts w:cs="Arial"/>
                <w:sz w:val="18"/>
                <w:szCs w:val="18"/>
              </w:rPr>
              <w:t>√</w:t>
            </w:r>
          </w:p>
        </w:tc>
        <w:tc>
          <w:tcPr>
            <w:tcW w:w="770" w:type="dxa"/>
            <w:vAlign w:val="center"/>
          </w:tcPr>
          <w:p w:rsidR="0021506B" w:rsidRDefault="0021506B" w:rsidP="009B1CF3">
            <w:r w:rsidRPr="00EC5E82">
              <w:rPr>
                <w:rFonts w:cs="Arial"/>
                <w:sz w:val="18"/>
                <w:szCs w:val="18"/>
              </w:rPr>
              <w:t>√</w:t>
            </w:r>
          </w:p>
        </w:tc>
        <w:tc>
          <w:tcPr>
            <w:tcW w:w="769" w:type="dxa"/>
            <w:vAlign w:val="center"/>
          </w:tcPr>
          <w:p w:rsidR="0021506B" w:rsidRDefault="0021506B" w:rsidP="009B1CF3">
            <w:r w:rsidRPr="00EC5E82">
              <w:rPr>
                <w:rFonts w:cs="Arial"/>
                <w:sz w:val="18"/>
                <w:szCs w:val="18"/>
              </w:rPr>
              <w:t>√</w:t>
            </w:r>
          </w:p>
        </w:tc>
        <w:tc>
          <w:tcPr>
            <w:tcW w:w="770" w:type="dxa"/>
            <w:tcBorders>
              <w:right w:val="single" w:sz="12" w:space="0" w:color="auto"/>
            </w:tcBorders>
            <w:vAlign w:val="center"/>
          </w:tcPr>
          <w:p w:rsidR="0021506B" w:rsidRDefault="0021506B" w:rsidP="009B1CF3">
            <w:r w:rsidRPr="00FD06DA">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sidRPr="00670C81">
              <w:rPr>
                <w:rFonts w:cs="Arial"/>
                <w:sz w:val="18"/>
                <w:szCs w:val="18"/>
              </w:rPr>
              <w:t>√</w:t>
            </w:r>
          </w:p>
        </w:tc>
        <w:tc>
          <w:tcPr>
            <w:tcW w:w="770" w:type="dxa"/>
            <w:vAlign w:val="center"/>
          </w:tcPr>
          <w:p w:rsidR="0021506B" w:rsidRDefault="0021506B" w:rsidP="009B1CF3">
            <w:r w:rsidRPr="00670C81">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HU</w:t>
            </w:r>
          </w:p>
        </w:tc>
        <w:tc>
          <w:tcPr>
            <w:tcW w:w="769" w:type="dxa"/>
            <w:tcBorders>
              <w:left w:val="single" w:sz="12" w:space="0" w:color="auto"/>
            </w:tcBorders>
            <w:vAlign w:val="center"/>
          </w:tcPr>
          <w:p w:rsidR="0021506B" w:rsidRDefault="0021506B" w:rsidP="009B1CF3">
            <w:r w:rsidRPr="001B3711">
              <w:rPr>
                <w:rFonts w:cs="Arial"/>
                <w:sz w:val="18"/>
                <w:szCs w:val="18"/>
              </w:rPr>
              <w:t>√</w:t>
            </w:r>
          </w:p>
        </w:tc>
        <w:tc>
          <w:tcPr>
            <w:tcW w:w="768" w:type="dxa"/>
            <w:vAlign w:val="center"/>
          </w:tcPr>
          <w:p w:rsidR="0021506B" w:rsidRDefault="0021506B" w:rsidP="009B1CF3">
            <w:r w:rsidRPr="001B3711">
              <w:rPr>
                <w:rFonts w:cs="Arial"/>
                <w:sz w:val="18"/>
                <w:szCs w:val="18"/>
              </w:rPr>
              <w:t>√</w:t>
            </w:r>
          </w:p>
        </w:tc>
        <w:tc>
          <w:tcPr>
            <w:tcW w:w="769" w:type="dxa"/>
            <w:vAlign w:val="center"/>
          </w:tcPr>
          <w:p w:rsidR="0021506B" w:rsidRDefault="0021506B" w:rsidP="009B1CF3">
            <w:r w:rsidRPr="00292BDB">
              <w:rPr>
                <w:rFonts w:cs="Arial"/>
                <w:sz w:val="18"/>
                <w:szCs w:val="18"/>
              </w:rPr>
              <w:t>√</w:t>
            </w:r>
          </w:p>
        </w:tc>
        <w:tc>
          <w:tcPr>
            <w:tcW w:w="768" w:type="dxa"/>
            <w:vAlign w:val="center"/>
          </w:tcPr>
          <w:p w:rsidR="0021506B" w:rsidRDefault="0021506B" w:rsidP="009B1CF3">
            <w:r w:rsidRPr="001B3711">
              <w:rPr>
                <w:rFonts w:cs="Arial"/>
                <w:sz w:val="18"/>
                <w:szCs w:val="18"/>
              </w:rPr>
              <w:t>√</w:t>
            </w:r>
          </w:p>
        </w:tc>
        <w:tc>
          <w:tcPr>
            <w:tcW w:w="770" w:type="dxa"/>
            <w:vAlign w:val="center"/>
          </w:tcPr>
          <w:p w:rsidR="0021506B" w:rsidRDefault="0021506B" w:rsidP="009B1CF3">
            <w:r w:rsidRPr="001B3711">
              <w:rPr>
                <w:rFonts w:cs="Arial"/>
                <w:sz w:val="18"/>
                <w:szCs w:val="18"/>
              </w:rPr>
              <w:t>√</w:t>
            </w:r>
          </w:p>
        </w:tc>
        <w:tc>
          <w:tcPr>
            <w:tcW w:w="769" w:type="dxa"/>
            <w:vAlign w:val="center"/>
          </w:tcPr>
          <w:p w:rsidR="0021506B" w:rsidRDefault="0021506B" w:rsidP="009B1CF3">
            <w:r w:rsidRPr="001B3711">
              <w:rPr>
                <w:rFonts w:cs="Arial"/>
                <w:sz w:val="18"/>
                <w:szCs w:val="18"/>
              </w:rPr>
              <w:t>√</w:t>
            </w:r>
          </w:p>
        </w:tc>
        <w:tc>
          <w:tcPr>
            <w:tcW w:w="770" w:type="dxa"/>
            <w:vAlign w:val="center"/>
          </w:tcPr>
          <w:p w:rsidR="0021506B" w:rsidRDefault="0021506B" w:rsidP="009B1CF3">
            <w:r w:rsidRPr="001B3711">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vAlign w:val="center"/>
          </w:tcPr>
          <w:p w:rsidR="0021506B" w:rsidRDefault="0021506B" w:rsidP="009B1CF3">
            <w:r w:rsidRPr="00FD06DA">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6A69AF">
              <w:rPr>
                <w:rFonts w:cs="Arial"/>
                <w:sz w:val="18"/>
                <w:szCs w:val="18"/>
              </w:rPr>
              <w:t>√</w:t>
            </w:r>
          </w:p>
        </w:tc>
        <w:tc>
          <w:tcPr>
            <w:tcW w:w="769" w:type="dxa"/>
            <w:vAlign w:val="center"/>
          </w:tcPr>
          <w:p w:rsidR="0021506B" w:rsidRDefault="0021506B" w:rsidP="009B1CF3">
            <w:r>
              <w:rPr>
                <w:rFonts w:cs="Arial"/>
                <w:sz w:val="18"/>
                <w:szCs w:val="18"/>
              </w:rPr>
              <w:t>√</w:t>
            </w:r>
            <w:r>
              <w:rPr>
                <w:rStyle w:val="EndnoteReference"/>
              </w:rPr>
              <w:endnoteReference w:id="347"/>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IE</w:t>
            </w:r>
          </w:p>
        </w:tc>
        <w:tc>
          <w:tcPr>
            <w:tcW w:w="769" w:type="dxa"/>
            <w:tcBorders>
              <w:left w:val="single" w:sz="12" w:space="0" w:color="auto"/>
            </w:tcBorders>
            <w:vAlign w:val="center"/>
          </w:tcPr>
          <w:p w:rsidR="0021506B" w:rsidRDefault="0021506B" w:rsidP="009B1CF3">
            <w:r w:rsidRPr="00B96BA8">
              <w:rPr>
                <w:rFonts w:cs="Arial"/>
                <w:sz w:val="18"/>
                <w:szCs w:val="18"/>
              </w:rPr>
              <w:t>√</w:t>
            </w: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292BDB">
              <w:rPr>
                <w:rFonts w:cs="Arial"/>
                <w:sz w:val="18"/>
                <w:szCs w:val="18"/>
              </w:rPr>
              <w:t>√</w:t>
            </w: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5768D8">
              <w:rPr>
                <w:rFonts w:cs="Arial"/>
                <w:sz w:val="18"/>
                <w:szCs w:val="18"/>
              </w:rPr>
              <w:t>√</w:t>
            </w:r>
          </w:p>
        </w:tc>
        <w:tc>
          <w:tcPr>
            <w:tcW w:w="769" w:type="dxa"/>
            <w:vAlign w:val="center"/>
          </w:tcPr>
          <w:p w:rsidR="0021506B" w:rsidRDefault="0021506B" w:rsidP="009B1CF3">
            <w:r w:rsidRPr="005768D8">
              <w:rPr>
                <w:rFonts w:cs="Arial"/>
                <w:sz w:val="18"/>
                <w:szCs w:val="18"/>
              </w:rPr>
              <w:t>√</w:t>
            </w:r>
          </w:p>
        </w:tc>
        <w:tc>
          <w:tcPr>
            <w:tcW w:w="770" w:type="dxa"/>
            <w:vAlign w:val="center"/>
          </w:tcPr>
          <w:p w:rsidR="0021506B" w:rsidRDefault="0021506B" w:rsidP="009B1CF3">
            <w:r w:rsidRPr="008C1A58">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IT</w:t>
            </w:r>
          </w:p>
        </w:tc>
        <w:tc>
          <w:tcPr>
            <w:tcW w:w="769" w:type="dxa"/>
            <w:tcBorders>
              <w:left w:val="single" w:sz="12" w:space="0" w:color="auto"/>
            </w:tcBorders>
            <w:vAlign w:val="center"/>
          </w:tcPr>
          <w:p w:rsidR="0021506B" w:rsidRDefault="0021506B" w:rsidP="009B1CF3">
            <w:r w:rsidRPr="00B96BA8">
              <w:rPr>
                <w:rFonts w:cs="Arial"/>
                <w:sz w:val="18"/>
                <w:szCs w:val="18"/>
              </w:rPr>
              <w:t>√</w:t>
            </w:r>
          </w:p>
        </w:tc>
        <w:tc>
          <w:tcPr>
            <w:tcW w:w="768" w:type="dxa"/>
            <w:vAlign w:val="center"/>
          </w:tcPr>
          <w:p w:rsidR="0021506B" w:rsidRDefault="0021506B" w:rsidP="009B1CF3">
            <w:r w:rsidRPr="00A3125B">
              <w:rPr>
                <w:rFonts w:cs="Arial"/>
                <w:sz w:val="18"/>
                <w:szCs w:val="18"/>
              </w:rPr>
              <w:t>√</w:t>
            </w:r>
          </w:p>
        </w:tc>
        <w:tc>
          <w:tcPr>
            <w:tcW w:w="769" w:type="dxa"/>
            <w:vAlign w:val="center"/>
          </w:tcPr>
          <w:p w:rsidR="0021506B" w:rsidRDefault="0021506B" w:rsidP="009B1CF3">
            <w:r w:rsidRPr="00A3125B">
              <w:rPr>
                <w:rFonts w:cs="Arial"/>
                <w:sz w:val="18"/>
                <w:szCs w:val="18"/>
              </w:rPr>
              <w:t>√</w:t>
            </w:r>
          </w:p>
        </w:tc>
        <w:tc>
          <w:tcPr>
            <w:tcW w:w="768" w:type="dxa"/>
            <w:vAlign w:val="center"/>
          </w:tcPr>
          <w:p w:rsidR="0021506B" w:rsidRDefault="0021506B" w:rsidP="009B1CF3">
            <w:r w:rsidRPr="00A3125B">
              <w:rPr>
                <w:rFonts w:cs="Arial"/>
                <w:sz w:val="18"/>
                <w:szCs w:val="18"/>
              </w:rPr>
              <w:t>√</w:t>
            </w:r>
          </w:p>
        </w:tc>
        <w:tc>
          <w:tcPr>
            <w:tcW w:w="770" w:type="dxa"/>
            <w:vAlign w:val="center"/>
          </w:tcPr>
          <w:p w:rsidR="0021506B" w:rsidRDefault="0021506B" w:rsidP="009B1CF3">
            <w:r w:rsidRPr="00A3125B">
              <w:rPr>
                <w:rFonts w:cs="Arial"/>
                <w:sz w:val="18"/>
                <w:szCs w:val="18"/>
              </w:rPr>
              <w:t>√</w:t>
            </w:r>
          </w:p>
        </w:tc>
        <w:tc>
          <w:tcPr>
            <w:tcW w:w="769" w:type="dxa"/>
            <w:vAlign w:val="center"/>
          </w:tcPr>
          <w:p w:rsidR="0021506B" w:rsidRDefault="0021506B" w:rsidP="009B1CF3">
            <w:r w:rsidRPr="00A3125B">
              <w:rPr>
                <w:rFonts w:cs="Arial"/>
                <w:sz w:val="18"/>
                <w:szCs w:val="18"/>
              </w:rPr>
              <w:t>√</w:t>
            </w:r>
          </w:p>
        </w:tc>
        <w:tc>
          <w:tcPr>
            <w:tcW w:w="770" w:type="dxa"/>
            <w:vAlign w:val="center"/>
          </w:tcPr>
          <w:p w:rsidR="0021506B" w:rsidRDefault="0021506B" w:rsidP="009B1CF3">
            <w:r w:rsidRPr="00A3125B">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vAlign w:val="center"/>
          </w:tcPr>
          <w:p w:rsidR="0021506B" w:rsidRPr="00E217F3" w:rsidRDefault="0021506B" w:rsidP="009B1CF3">
            <w:pPr>
              <w:rPr>
                <w:sz w:val="18"/>
                <w:szCs w:val="18"/>
              </w:rPr>
            </w:pPr>
            <w:r>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5768D8">
              <w:rPr>
                <w:rFonts w:cs="Arial"/>
                <w:sz w:val="18"/>
                <w:szCs w:val="18"/>
              </w:rPr>
              <w:t>√</w:t>
            </w:r>
          </w:p>
        </w:tc>
        <w:tc>
          <w:tcPr>
            <w:tcW w:w="769" w:type="dxa"/>
            <w:vAlign w:val="center"/>
          </w:tcPr>
          <w:p w:rsidR="0021506B" w:rsidRDefault="0021506B" w:rsidP="009B1CF3">
            <w:r w:rsidRPr="005768D8">
              <w:rPr>
                <w:rFonts w:cs="Arial"/>
                <w:sz w:val="18"/>
                <w:szCs w:val="18"/>
              </w:rPr>
              <w:t>√</w:t>
            </w:r>
          </w:p>
        </w:tc>
        <w:tc>
          <w:tcPr>
            <w:tcW w:w="770" w:type="dxa"/>
            <w:vAlign w:val="center"/>
          </w:tcPr>
          <w:p w:rsidR="0021506B" w:rsidRDefault="0021506B" w:rsidP="009B1CF3">
            <w:r w:rsidRPr="008C1A58">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LT</w:t>
            </w:r>
          </w:p>
        </w:tc>
        <w:tc>
          <w:tcPr>
            <w:tcW w:w="769" w:type="dxa"/>
            <w:tcBorders>
              <w:left w:val="single" w:sz="12" w:space="0" w:color="auto"/>
            </w:tcBorders>
            <w:vAlign w:val="center"/>
          </w:tcPr>
          <w:p w:rsidR="0021506B" w:rsidRDefault="0021506B" w:rsidP="009B1CF3">
            <w:r w:rsidRPr="00B96BA8">
              <w:rPr>
                <w:rFonts w:cs="Arial"/>
                <w:sz w:val="18"/>
                <w:szCs w:val="18"/>
              </w:rPr>
              <w:t>√</w:t>
            </w:r>
          </w:p>
        </w:tc>
        <w:tc>
          <w:tcPr>
            <w:tcW w:w="768" w:type="dxa"/>
            <w:vAlign w:val="center"/>
          </w:tcPr>
          <w:p w:rsidR="0021506B" w:rsidRDefault="0021506B" w:rsidP="009B1CF3">
            <w:r w:rsidRPr="002E0ACE">
              <w:rPr>
                <w:rFonts w:cs="Arial"/>
                <w:sz w:val="18"/>
                <w:szCs w:val="18"/>
              </w:rPr>
              <w:t>√</w:t>
            </w:r>
          </w:p>
        </w:tc>
        <w:tc>
          <w:tcPr>
            <w:tcW w:w="769" w:type="dxa"/>
            <w:vAlign w:val="center"/>
          </w:tcPr>
          <w:p w:rsidR="0021506B" w:rsidRDefault="0021506B" w:rsidP="009B1CF3">
            <w:r w:rsidRPr="002E0ACE">
              <w:rPr>
                <w:rFonts w:cs="Arial"/>
                <w:sz w:val="18"/>
                <w:szCs w:val="18"/>
              </w:rPr>
              <w:t>√</w:t>
            </w:r>
          </w:p>
        </w:tc>
        <w:tc>
          <w:tcPr>
            <w:tcW w:w="768" w:type="dxa"/>
            <w:vAlign w:val="center"/>
          </w:tcPr>
          <w:p w:rsidR="0021506B" w:rsidRDefault="0021506B" w:rsidP="009B1CF3">
            <w:r w:rsidRPr="002E0ACE">
              <w:rPr>
                <w:rFonts w:cs="Arial"/>
                <w:sz w:val="18"/>
                <w:szCs w:val="18"/>
              </w:rPr>
              <w:t>√</w:t>
            </w:r>
          </w:p>
        </w:tc>
        <w:tc>
          <w:tcPr>
            <w:tcW w:w="770" w:type="dxa"/>
            <w:vAlign w:val="center"/>
          </w:tcPr>
          <w:p w:rsidR="0021506B" w:rsidRDefault="0021506B" w:rsidP="009B1CF3">
            <w:r w:rsidRPr="002E0ACE">
              <w:rPr>
                <w:rFonts w:cs="Arial"/>
                <w:sz w:val="18"/>
                <w:szCs w:val="18"/>
              </w:rPr>
              <w:t>√</w:t>
            </w:r>
          </w:p>
        </w:tc>
        <w:tc>
          <w:tcPr>
            <w:tcW w:w="769" w:type="dxa"/>
            <w:vAlign w:val="center"/>
          </w:tcPr>
          <w:p w:rsidR="0021506B" w:rsidRDefault="0021506B" w:rsidP="009B1CF3">
            <w:r w:rsidRPr="002E0ACE">
              <w:rPr>
                <w:rFonts w:cs="Arial"/>
                <w:sz w:val="18"/>
                <w:szCs w:val="18"/>
              </w:rPr>
              <w:t>√</w:t>
            </w:r>
          </w:p>
        </w:tc>
        <w:tc>
          <w:tcPr>
            <w:tcW w:w="770" w:type="dxa"/>
            <w:vAlign w:val="center"/>
          </w:tcPr>
          <w:p w:rsidR="0021506B" w:rsidRDefault="0021506B" w:rsidP="009B1CF3">
            <w:r w:rsidRPr="002E0ACE">
              <w:rPr>
                <w:rFonts w:cs="Arial"/>
                <w:sz w:val="18"/>
                <w:szCs w:val="18"/>
              </w:rPr>
              <w:t>√</w:t>
            </w:r>
          </w:p>
        </w:tc>
        <w:tc>
          <w:tcPr>
            <w:tcW w:w="769" w:type="dxa"/>
            <w:vAlign w:val="center"/>
          </w:tcPr>
          <w:p w:rsidR="0021506B" w:rsidRDefault="0021506B" w:rsidP="009B1CF3">
            <w:r w:rsidRPr="002E0ACE">
              <w:rPr>
                <w:rFonts w:cs="Arial"/>
                <w:sz w:val="18"/>
                <w:szCs w:val="18"/>
              </w:rPr>
              <w:t>√</w:t>
            </w: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5768D8">
              <w:rPr>
                <w:rFonts w:cs="Arial"/>
                <w:sz w:val="18"/>
                <w:szCs w:val="18"/>
              </w:rPr>
              <w:t>√</w:t>
            </w:r>
          </w:p>
        </w:tc>
        <w:tc>
          <w:tcPr>
            <w:tcW w:w="769" w:type="dxa"/>
            <w:vAlign w:val="center"/>
          </w:tcPr>
          <w:p w:rsidR="0021506B" w:rsidRDefault="0021506B" w:rsidP="009B1CF3">
            <w:r w:rsidRPr="005768D8">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LU</w:t>
            </w:r>
          </w:p>
        </w:tc>
        <w:tc>
          <w:tcPr>
            <w:tcW w:w="769" w:type="dxa"/>
            <w:tcBorders>
              <w:left w:val="single" w:sz="12" w:space="0" w:color="auto"/>
            </w:tcBorders>
            <w:vAlign w:val="center"/>
          </w:tcPr>
          <w:p w:rsidR="0021506B" w:rsidRDefault="0021506B" w:rsidP="009B1CF3">
            <w:r w:rsidRPr="00B96BA8">
              <w:rPr>
                <w:rFonts w:cs="Arial"/>
                <w:sz w:val="18"/>
                <w:szCs w:val="18"/>
              </w:rPr>
              <w:t>√</w:t>
            </w:r>
          </w:p>
        </w:tc>
        <w:tc>
          <w:tcPr>
            <w:tcW w:w="768" w:type="dxa"/>
            <w:vAlign w:val="center"/>
          </w:tcPr>
          <w:p w:rsidR="0021506B" w:rsidRDefault="0021506B" w:rsidP="009B1CF3">
            <w:r w:rsidRPr="00D61F70">
              <w:rPr>
                <w:rFonts w:cs="Arial"/>
                <w:sz w:val="18"/>
                <w:szCs w:val="18"/>
              </w:rPr>
              <w:t>√</w:t>
            </w:r>
          </w:p>
        </w:tc>
        <w:tc>
          <w:tcPr>
            <w:tcW w:w="769" w:type="dxa"/>
            <w:vAlign w:val="center"/>
          </w:tcPr>
          <w:p w:rsidR="0021506B" w:rsidRDefault="0021506B" w:rsidP="009B1CF3">
            <w:r w:rsidRPr="00D61F70">
              <w:rPr>
                <w:rFonts w:cs="Arial"/>
                <w:sz w:val="18"/>
                <w:szCs w:val="18"/>
              </w:rPr>
              <w:t>√</w:t>
            </w:r>
          </w:p>
        </w:tc>
        <w:tc>
          <w:tcPr>
            <w:tcW w:w="768" w:type="dxa"/>
            <w:vAlign w:val="center"/>
          </w:tcPr>
          <w:p w:rsidR="0021506B" w:rsidRDefault="0021506B" w:rsidP="009B1CF3">
            <w:r w:rsidRPr="00D61F70">
              <w:rPr>
                <w:rFonts w:cs="Arial"/>
                <w:sz w:val="18"/>
                <w:szCs w:val="18"/>
              </w:rPr>
              <w:t>√</w:t>
            </w:r>
          </w:p>
        </w:tc>
        <w:tc>
          <w:tcPr>
            <w:tcW w:w="770" w:type="dxa"/>
            <w:vAlign w:val="center"/>
          </w:tcPr>
          <w:p w:rsidR="0021506B" w:rsidRDefault="0021506B" w:rsidP="009B1CF3">
            <w:r w:rsidRPr="00D61F70">
              <w:rPr>
                <w:rFonts w:cs="Arial"/>
                <w:sz w:val="18"/>
                <w:szCs w:val="18"/>
              </w:rPr>
              <w:t>√</w:t>
            </w:r>
          </w:p>
        </w:tc>
        <w:tc>
          <w:tcPr>
            <w:tcW w:w="769" w:type="dxa"/>
            <w:vAlign w:val="center"/>
          </w:tcPr>
          <w:p w:rsidR="0021506B" w:rsidRDefault="0021506B" w:rsidP="009B1CF3">
            <w:r w:rsidRPr="00D61F70">
              <w:rPr>
                <w:rFonts w:cs="Arial"/>
                <w:sz w:val="18"/>
                <w:szCs w:val="18"/>
              </w:rPr>
              <w:t>√</w:t>
            </w:r>
          </w:p>
        </w:tc>
        <w:tc>
          <w:tcPr>
            <w:tcW w:w="770" w:type="dxa"/>
            <w:vAlign w:val="center"/>
          </w:tcPr>
          <w:p w:rsidR="0021506B" w:rsidRDefault="0021506B" w:rsidP="009B1CF3">
            <w:r w:rsidRPr="00D61F70">
              <w:rPr>
                <w:rFonts w:cs="Arial"/>
                <w:sz w:val="18"/>
                <w:szCs w:val="18"/>
              </w:rPr>
              <w:t>√</w:t>
            </w:r>
          </w:p>
        </w:tc>
        <w:tc>
          <w:tcPr>
            <w:tcW w:w="769" w:type="dxa"/>
            <w:vAlign w:val="center"/>
          </w:tcPr>
          <w:p w:rsidR="0021506B" w:rsidRDefault="0021506B" w:rsidP="009B1CF3">
            <w:r w:rsidRPr="00D61F70">
              <w:rPr>
                <w:rFonts w:cs="Arial"/>
                <w:sz w:val="18"/>
                <w:szCs w:val="18"/>
              </w:rPr>
              <w:t>√</w:t>
            </w:r>
          </w:p>
        </w:tc>
        <w:tc>
          <w:tcPr>
            <w:tcW w:w="770" w:type="dxa"/>
            <w:tcBorders>
              <w:right w:val="single" w:sz="12" w:space="0" w:color="auto"/>
            </w:tcBorders>
            <w:vAlign w:val="center"/>
          </w:tcPr>
          <w:p w:rsidR="0021506B" w:rsidRDefault="0021506B" w:rsidP="009B1CF3">
            <w:r w:rsidRPr="00D61F70">
              <w:rPr>
                <w:rFonts w:cs="Arial"/>
                <w:sz w:val="18"/>
                <w:szCs w:val="18"/>
              </w:rPr>
              <w:t>√</w:t>
            </w:r>
          </w:p>
        </w:tc>
        <w:tc>
          <w:tcPr>
            <w:tcW w:w="769" w:type="dxa"/>
            <w:gridSpan w:val="2"/>
            <w:tcBorders>
              <w:left w:val="single" w:sz="12" w:space="0" w:color="auto"/>
            </w:tcBorders>
            <w:vAlign w:val="center"/>
          </w:tcPr>
          <w:p w:rsidR="0021506B" w:rsidRDefault="0021506B" w:rsidP="009B1CF3">
            <w:r w:rsidRPr="006441BC">
              <w:rPr>
                <w:rFonts w:cs="Arial"/>
                <w:sz w:val="18"/>
                <w:szCs w:val="18"/>
              </w:rPr>
              <w:t>√</w:t>
            </w:r>
          </w:p>
        </w:tc>
        <w:tc>
          <w:tcPr>
            <w:tcW w:w="770" w:type="dxa"/>
            <w:vAlign w:val="center"/>
          </w:tcPr>
          <w:p w:rsidR="0021506B" w:rsidRDefault="0021506B" w:rsidP="009B1CF3">
            <w:r w:rsidRPr="006441BC">
              <w:rPr>
                <w:rFonts w:cs="Arial"/>
                <w:sz w:val="18"/>
                <w:szCs w:val="18"/>
              </w:rPr>
              <w:t>√</w:t>
            </w:r>
          </w:p>
        </w:tc>
        <w:tc>
          <w:tcPr>
            <w:tcW w:w="769" w:type="dxa"/>
            <w:vAlign w:val="center"/>
          </w:tcPr>
          <w:p w:rsidR="0021506B" w:rsidRDefault="0021506B" w:rsidP="009B1CF3">
            <w:r w:rsidRPr="006441BC">
              <w:rPr>
                <w:rFonts w:cs="Arial"/>
                <w:sz w:val="18"/>
                <w:szCs w:val="18"/>
              </w:rPr>
              <w:t>√</w:t>
            </w:r>
          </w:p>
        </w:tc>
        <w:tc>
          <w:tcPr>
            <w:tcW w:w="770" w:type="dxa"/>
            <w:vAlign w:val="center"/>
          </w:tcPr>
          <w:p w:rsidR="0021506B" w:rsidRDefault="0021506B" w:rsidP="009B1CF3">
            <w:r w:rsidRPr="006441BC">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LV</w:t>
            </w:r>
          </w:p>
        </w:tc>
        <w:tc>
          <w:tcPr>
            <w:tcW w:w="769"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C237C9">
              <w:rPr>
                <w:rFonts w:cs="Arial"/>
                <w:sz w:val="18"/>
                <w:szCs w:val="18"/>
              </w:rPr>
              <w:t>√</w:t>
            </w:r>
          </w:p>
        </w:tc>
        <w:tc>
          <w:tcPr>
            <w:tcW w:w="768" w:type="dxa"/>
            <w:vAlign w:val="center"/>
          </w:tcPr>
          <w:p w:rsidR="0021506B" w:rsidRDefault="0021506B" w:rsidP="009B1CF3">
            <w:r w:rsidRPr="00C237C9">
              <w:rPr>
                <w:rFonts w:cs="Arial"/>
                <w:sz w:val="18"/>
                <w:szCs w:val="18"/>
              </w:rPr>
              <w:t>√</w:t>
            </w: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B544A0">
              <w:rPr>
                <w:rFonts w:cs="Arial"/>
                <w:sz w:val="18"/>
                <w:szCs w:val="18"/>
              </w:rPr>
              <w:t>√</w:t>
            </w:r>
          </w:p>
        </w:tc>
        <w:tc>
          <w:tcPr>
            <w:tcW w:w="769" w:type="dxa"/>
            <w:vAlign w:val="center"/>
          </w:tcPr>
          <w:p w:rsidR="0021506B" w:rsidRDefault="0021506B" w:rsidP="009B1CF3">
            <w:r w:rsidRPr="00B544A0">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MT</w:t>
            </w:r>
          </w:p>
        </w:tc>
        <w:tc>
          <w:tcPr>
            <w:tcW w:w="769" w:type="dxa"/>
            <w:tcBorders>
              <w:left w:val="single" w:sz="12" w:space="0" w:color="auto"/>
            </w:tcBorders>
            <w:vAlign w:val="center"/>
          </w:tcPr>
          <w:p w:rsidR="0021506B" w:rsidRDefault="0021506B" w:rsidP="009B1CF3">
            <w:r w:rsidRPr="002D5920">
              <w:rPr>
                <w:rFonts w:cs="Arial"/>
                <w:sz w:val="18"/>
                <w:szCs w:val="18"/>
              </w:rPr>
              <w:t>√</w:t>
            </w:r>
          </w:p>
        </w:tc>
        <w:tc>
          <w:tcPr>
            <w:tcW w:w="768" w:type="dxa"/>
            <w:vAlign w:val="center"/>
          </w:tcPr>
          <w:p w:rsidR="0021506B" w:rsidRDefault="0021506B" w:rsidP="009B1CF3">
            <w:r w:rsidRPr="002D5920">
              <w:rPr>
                <w:rFonts w:cs="Arial"/>
                <w:sz w:val="18"/>
                <w:szCs w:val="18"/>
              </w:rPr>
              <w:t>√</w:t>
            </w:r>
          </w:p>
        </w:tc>
        <w:tc>
          <w:tcPr>
            <w:tcW w:w="769" w:type="dxa"/>
            <w:vAlign w:val="center"/>
          </w:tcPr>
          <w:p w:rsidR="0021506B" w:rsidRDefault="0021506B" w:rsidP="009B1CF3">
            <w:r w:rsidRPr="002D5920">
              <w:rPr>
                <w:rFonts w:cs="Arial"/>
                <w:sz w:val="18"/>
                <w:szCs w:val="18"/>
              </w:rPr>
              <w:t>√</w:t>
            </w:r>
          </w:p>
        </w:tc>
        <w:tc>
          <w:tcPr>
            <w:tcW w:w="768" w:type="dxa"/>
            <w:vAlign w:val="center"/>
          </w:tcPr>
          <w:p w:rsidR="0021506B" w:rsidRDefault="0021506B" w:rsidP="009B1CF3">
            <w:r w:rsidRPr="002D5920">
              <w:rPr>
                <w:rFonts w:cs="Arial"/>
                <w:sz w:val="18"/>
                <w:szCs w:val="18"/>
              </w:rPr>
              <w:t>√</w:t>
            </w:r>
          </w:p>
        </w:tc>
        <w:tc>
          <w:tcPr>
            <w:tcW w:w="770" w:type="dxa"/>
            <w:vAlign w:val="center"/>
          </w:tcPr>
          <w:p w:rsidR="0021506B" w:rsidRDefault="0021506B" w:rsidP="009B1CF3">
            <w:r w:rsidRPr="002D5920">
              <w:rPr>
                <w:rFonts w:cs="Arial"/>
                <w:sz w:val="18"/>
                <w:szCs w:val="18"/>
              </w:rPr>
              <w:t>√</w:t>
            </w:r>
          </w:p>
        </w:tc>
        <w:tc>
          <w:tcPr>
            <w:tcW w:w="769" w:type="dxa"/>
            <w:vAlign w:val="center"/>
          </w:tcPr>
          <w:p w:rsidR="0021506B" w:rsidRDefault="0021506B" w:rsidP="009B1CF3">
            <w:r w:rsidRPr="002D5920">
              <w:rPr>
                <w:rFonts w:cs="Arial"/>
                <w:sz w:val="18"/>
                <w:szCs w:val="18"/>
              </w:rPr>
              <w:t>√</w:t>
            </w:r>
          </w:p>
        </w:tc>
        <w:tc>
          <w:tcPr>
            <w:tcW w:w="770" w:type="dxa"/>
            <w:vAlign w:val="center"/>
          </w:tcPr>
          <w:p w:rsidR="0021506B" w:rsidRDefault="0021506B" w:rsidP="009B1CF3">
            <w:r w:rsidRPr="002D5920">
              <w:rPr>
                <w:rFonts w:cs="Arial"/>
                <w:sz w:val="18"/>
                <w:szCs w:val="18"/>
              </w:rPr>
              <w:t>√</w:t>
            </w:r>
          </w:p>
        </w:tc>
        <w:tc>
          <w:tcPr>
            <w:tcW w:w="769" w:type="dxa"/>
            <w:vAlign w:val="center"/>
          </w:tcPr>
          <w:p w:rsidR="0021506B" w:rsidRDefault="0021506B" w:rsidP="009B1CF3">
            <w:r w:rsidRPr="002D5920">
              <w:rPr>
                <w:rFonts w:cs="Arial"/>
                <w:sz w:val="18"/>
                <w:szCs w:val="18"/>
              </w:rPr>
              <w:t>√</w:t>
            </w:r>
          </w:p>
        </w:tc>
        <w:tc>
          <w:tcPr>
            <w:tcW w:w="770" w:type="dxa"/>
            <w:tcBorders>
              <w:right w:val="single" w:sz="12" w:space="0" w:color="auto"/>
            </w:tcBorders>
            <w:vAlign w:val="center"/>
          </w:tcPr>
          <w:p w:rsidR="0021506B" w:rsidRDefault="0021506B" w:rsidP="009B1CF3">
            <w:r w:rsidRPr="002D5920">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B544A0">
              <w:rPr>
                <w:rFonts w:cs="Arial"/>
                <w:sz w:val="18"/>
                <w:szCs w:val="18"/>
              </w:rPr>
              <w:t>√</w:t>
            </w:r>
          </w:p>
        </w:tc>
        <w:tc>
          <w:tcPr>
            <w:tcW w:w="769" w:type="dxa"/>
            <w:vAlign w:val="center"/>
          </w:tcPr>
          <w:p w:rsidR="0021506B" w:rsidRDefault="0021506B" w:rsidP="009B1CF3">
            <w:r w:rsidRPr="00B544A0">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NL</w:t>
            </w:r>
          </w:p>
        </w:tc>
        <w:tc>
          <w:tcPr>
            <w:tcW w:w="769" w:type="dxa"/>
            <w:tcBorders>
              <w:left w:val="single" w:sz="12" w:space="0" w:color="auto"/>
            </w:tcBorders>
            <w:vAlign w:val="center"/>
          </w:tcPr>
          <w:p w:rsidR="0021506B" w:rsidRDefault="0021506B" w:rsidP="009B1CF3">
            <w:r w:rsidRPr="001E3C99">
              <w:rPr>
                <w:rFonts w:cs="Arial"/>
                <w:sz w:val="18"/>
                <w:szCs w:val="18"/>
              </w:rPr>
              <w:t>√</w:t>
            </w:r>
          </w:p>
        </w:tc>
        <w:tc>
          <w:tcPr>
            <w:tcW w:w="768" w:type="dxa"/>
            <w:vAlign w:val="center"/>
          </w:tcPr>
          <w:p w:rsidR="0021506B" w:rsidRDefault="0021506B" w:rsidP="009B1CF3">
            <w:r w:rsidRPr="001E3C99">
              <w:rPr>
                <w:rFonts w:cs="Arial"/>
                <w:sz w:val="18"/>
                <w:szCs w:val="18"/>
              </w:rPr>
              <w:t>√</w:t>
            </w:r>
          </w:p>
        </w:tc>
        <w:tc>
          <w:tcPr>
            <w:tcW w:w="769" w:type="dxa"/>
            <w:vAlign w:val="center"/>
          </w:tcPr>
          <w:p w:rsidR="0021506B" w:rsidRDefault="0021506B" w:rsidP="009B1CF3">
            <w:r w:rsidRPr="001E3C99">
              <w:rPr>
                <w:rFonts w:cs="Arial"/>
                <w:sz w:val="18"/>
                <w:szCs w:val="18"/>
              </w:rPr>
              <w:t>√</w:t>
            </w:r>
          </w:p>
        </w:tc>
        <w:tc>
          <w:tcPr>
            <w:tcW w:w="768" w:type="dxa"/>
            <w:vAlign w:val="center"/>
          </w:tcPr>
          <w:p w:rsidR="0021506B" w:rsidRDefault="0021506B" w:rsidP="009B1CF3">
            <w:r w:rsidRPr="001E3C99">
              <w:rPr>
                <w:rFonts w:cs="Arial"/>
                <w:sz w:val="18"/>
                <w:szCs w:val="18"/>
              </w:rPr>
              <w:t>√</w:t>
            </w:r>
          </w:p>
        </w:tc>
        <w:tc>
          <w:tcPr>
            <w:tcW w:w="770" w:type="dxa"/>
            <w:vAlign w:val="center"/>
          </w:tcPr>
          <w:p w:rsidR="0021506B" w:rsidRDefault="0021506B" w:rsidP="009B1CF3">
            <w:r w:rsidRPr="001E3C99">
              <w:rPr>
                <w:rFonts w:cs="Arial"/>
                <w:sz w:val="18"/>
                <w:szCs w:val="18"/>
              </w:rPr>
              <w:t>√</w:t>
            </w:r>
          </w:p>
        </w:tc>
        <w:tc>
          <w:tcPr>
            <w:tcW w:w="769" w:type="dxa"/>
            <w:vAlign w:val="center"/>
          </w:tcPr>
          <w:p w:rsidR="0021506B" w:rsidRDefault="0021506B" w:rsidP="009B1CF3">
            <w:r w:rsidRPr="001E3C99">
              <w:rPr>
                <w:rFonts w:cs="Arial"/>
                <w:sz w:val="18"/>
                <w:szCs w:val="18"/>
              </w:rPr>
              <w:t>√</w:t>
            </w:r>
          </w:p>
        </w:tc>
        <w:tc>
          <w:tcPr>
            <w:tcW w:w="770" w:type="dxa"/>
            <w:vAlign w:val="center"/>
          </w:tcPr>
          <w:p w:rsidR="0021506B" w:rsidRDefault="0021506B" w:rsidP="009B1CF3">
            <w:r w:rsidRPr="001E3C99">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vAlign w:val="center"/>
          </w:tcPr>
          <w:p w:rsidR="0021506B" w:rsidRDefault="0021506B" w:rsidP="009B1CF3">
            <w:r>
              <w:rPr>
                <w:rFonts w:cs="Arial"/>
                <w:sz w:val="18"/>
                <w:szCs w:val="18"/>
              </w:rPr>
              <w:t>√</w:t>
            </w:r>
            <w:r>
              <w:rPr>
                <w:rStyle w:val="EndnoteReference"/>
              </w:rPr>
              <w:endnoteReference w:id="348"/>
            </w:r>
          </w:p>
        </w:tc>
        <w:tc>
          <w:tcPr>
            <w:tcW w:w="770" w:type="dxa"/>
            <w:vAlign w:val="center"/>
          </w:tcPr>
          <w:p w:rsidR="0021506B" w:rsidRDefault="0021506B" w:rsidP="009B1CF3">
            <w:r w:rsidRPr="00E050C4">
              <w:rPr>
                <w:rFonts w:cs="Arial"/>
                <w:sz w:val="18"/>
                <w:szCs w:val="18"/>
              </w:rPr>
              <w:t>√</w:t>
            </w:r>
          </w:p>
        </w:tc>
        <w:tc>
          <w:tcPr>
            <w:tcW w:w="769" w:type="dxa"/>
            <w:vAlign w:val="center"/>
          </w:tcPr>
          <w:p w:rsidR="0021506B" w:rsidRDefault="0021506B" w:rsidP="009B1CF3">
            <w:r>
              <w:rPr>
                <w:rFonts w:cs="Arial"/>
                <w:sz w:val="18"/>
                <w:szCs w:val="18"/>
              </w:rPr>
              <w:t>√</w:t>
            </w:r>
            <w:r>
              <w:rPr>
                <w:rStyle w:val="EndnoteReference"/>
              </w:rPr>
              <w:endnoteReference w:id="349"/>
            </w:r>
          </w:p>
        </w:tc>
        <w:tc>
          <w:tcPr>
            <w:tcW w:w="770" w:type="dxa"/>
            <w:vAlign w:val="center"/>
          </w:tcPr>
          <w:p w:rsidR="0021506B" w:rsidRDefault="0021506B" w:rsidP="009B1CF3">
            <w:r>
              <w:rPr>
                <w:rFonts w:cs="Arial"/>
                <w:sz w:val="18"/>
                <w:szCs w:val="18"/>
              </w:rPr>
              <w:t>√</w:t>
            </w:r>
            <w:r>
              <w:rPr>
                <w:rStyle w:val="EndnoteReference"/>
              </w:rPr>
              <w:endnoteReference w:id="350"/>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PL</w:t>
            </w:r>
          </w:p>
        </w:tc>
        <w:tc>
          <w:tcPr>
            <w:tcW w:w="769" w:type="dxa"/>
            <w:tcBorders>
              <w:left w:val="single" w:sz="12" w:space="0" w:color="auto"/>
            </w:tcBorders>
            <w:vAlign w:val="center"/>
          </w:tcPr>
          <w:p w:rsidR="0021506B" w:rsidRDefault="0021506B" w:rsidP="009B1CF3">
            <w:r w:rsidRPr="00060E3C">
              <w:rPr>
                <w:rFonts w:cs="Arial"/>
                <w:sz w:val="18"/>
                <w:szCs w:val="18"/>
              </w:rPr>
              <w:t>√</w:t>
            </w:r>
          </w:p>
        </w:tc>
        <w:tc>
          <w:tcPr>
            <w:tcW w:w="768" w:type="dxa"/>
            <w:vAlign w:val="center"/>
          </w:tcPr>
          <w:p w:rsidR="0021506B" w:rsidRDefault="0021506B" w:rsidP="009B1CF3">
            <w:r w:rsidRPr="00060E3C">
              <w:rPr>
                <w:rFonts w:cs="Arial"/>
                <w:sz w:val="18"/>
                <w:szCs w:val="18"/>
              </w:rPr>
              <w:t>√</w:t>
            </w:r>
          </w:p>
        </w:tc>
        <w:tc>
          <w:tcPr>
            <w:tcW w:w="769" w:type="dxa"/>
            <w:vAlign w:val="center"/>
          </w:tcPr>
          <w:p w:rsidR="0021506B" w:rsidRDefault="0021506B" w:rsidP="009B1CF3">
            <w:r w:rsidRPr="00060E3C">
              <w:rPr>
                <w:rFonts w:cs="Arial"/>
                <w:sz w:val="18"/>
                <w:szCs w:val="18"/>
              </w:rPr>
              <w:t>√</w:t>
            </w:r>
          </w:p>
        </w:tc>
        <w:tc>
          <w:tcPr>
            <w:tcW w:w="768" w:type="dxa"/>
            <w:vAlign w:val="center"/>
          </w:tcPr>
          <w:p w:rsidR="0021506B" w:rsidRDefault="0021506B" w:rsidP="009B1CF3">
            <w:r w:rsidRPr="00060E3C">
              <w:rPr>
                <w:rFonts w:cs="Arial"/>
                <w:sz w:val="18"/>
                <w:szCs w:val="18"/>
              </w:rPr>
              <w:t>√</w:t>
            </w:r>
          </w:p>
        </w:tc>
        <w:tc>
          <w:tcPr>
            <w:tcW w:w="770" w:type="dxa"/>
            <w:vAlign w:val="center"/>
          </w:tcPr>
          <w:p w:rsidR="0021506B" w:rsidRDefault="0021506B" w:rsidP="009B1CF3">
            <w:r w:rsidRPr="00060E3C">
              <w:rPr>
                <w:rFonts w:cs="Arial"/>
                <w:sz w:val="18"/>
                <w:szCs w:val="18"/>
              </w:rPr>
              <w:t>√</w:t>
            </w:r>
          </w:p>
        </w:tc>
        <w:tc>
          <w:tcPr>
            <w:tcW w:w="769" w:type="dxa"/>
            <w:vAlign w:val="center"/>
          </w:tcPr>
          <w:p w:rsidR="0021506B" w:rsidRDefault="0021506B" w:rsidP="009B1CF3">
            <w:r w:rsidRPr="00060E3C">
              <w:rPr>
                <w:rFonts w:cs="Arial"/>
                <w:sz w:val="18"/>
                <w:szCs w:val="18"/>
              </w:rPr>
              <w:t>√</w:t>
            </w: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504AC5">
              <w:rPr>
                <w:rFonts w:cs="Arial"/>
                <w:sz w:val="18"/>
                <w:szCs w:val="18"/>
              </w:rPr>
              <w:t>√</w:t>
            </w:r>
          </w:p>
        </w:tc>
        <w:tc>
          <w:tcPr>
            <w:tcW w:w="770" w:type="dxa"/>
            <w:tcBorders>
              <w:right w:val="single" w:sz="12" w:space="0" w:color="auto"/>
            </w:tcBorders>
            <w:vAlign w:val="center"/>
          </w:tcPr>
          <w:p w:rsidR="0021506B" w:rsidRDefault="0021506B" w:rsidP="009B1CF3">
            <w:r w:rsidRPr="00E30055">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E050C4">
              <w:rPr>
                <w:rFonts w:cs="Arial"/>
                <w:sz w:val="18"/>
                <w:szCs w:val="18"/>
              </w:rPr>
              <w:t>√</w:t>
            </w:r>
          </w:p>
        </w:tc>
        <w:tc>
          <w:tcPr>
            <w:tcW w:w="769" w:type="dxa"/>
            <w:vAlign w:val="center"/>
          </w:tcPr>
          <w:p w:rsidR="0021506B" w:rsidRDefault="0021506B" w:rsidP="009B1CF3">
            <w:r>
              <w:rPr>
                <w:rFonts w:cs="Arial"/>
                <w:sz w:val="18"/>
                <w:szCs w:val="18"/>
              </w:rPr>
              <w:t>√</w:t>
            </w:r>
            <w:r>
              <w:rPr>
                <w:rStyle w:val="EndnoteReference"/>
              </w:rPr>
              <w:endnoteReference w:id="351"/>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PT</w:t>
            </w:r>
          </w:p>
        </w:tc>
        <w:tc>
          <w:tcPr>
            <w:tcW w:w="769" w:type="dxa"/>
            <w:tcBorders>
              <w:left w:val="single" w:sz="12" w:space="0" w:color="auto"/>
            </w:tcBorders>
            <w:vAlign w:val="center"/>
          </w:tcPr>
          <w:p w:rsidR="0021506B" w:rsidRDefault="0021506B" w:rsidP="009B1CF3">
            <w:r w:rsidRPr="006E347A">
              <w:rPr>
                <w:rFonts w:cs="Arial"/>
                <w:sz w:val="18"/>
                <w:szCs w:val="18"/>
              </w:rPr>
              <w:t>√</w:t>
            </w:r>
          </w:p>
        </w:tc>
        <w:tc>
          <w:tcPr>
            <w:tcW w:w="768" w:type="dxa"/>
            <w:vAlign w:val="center"/>
          </w:tcPr>
          <w:p w:rsidR="0021506B" w:rsidRDefault="0021506B" w:rsidP="009B1CF3">
            <w:r w:rsidRPr="006E347A">
              <w:rPr>
                <w:rFonts w:cs="Arial"/>
                <w:sz w:val="18"/>
                <w:szCs w:val="18"/>
              </w:rPr>
              <w:t>√</w:t>
            </w:r>
          </w:p>
        </w:tc>
        <w:tc>
          <w:tcPr>
            <w:tcW w:w="769" w:type="dxa"/>
            <w:vAlign w:val="center"/>
          </w:tcPr>
          <w:p w:rsidR="0021506B" w:rsidRDefault="0021506B" w:rsidP="009B1CF3">
            <w:r w:rsidRPr="006E347A">
              <w:rPr>
                <w:rFonts w:cs="Arial"/>
                <w:sz w:val="18"/>
                <w:szCs w:val="18"/>
              </w:rPr>
              <w:t>√</w:t>
            </w:r>
          </w:p>
        </w:tc>
        <w:tc>
          <w:tcPr>
            <w:tcW w:w="768" w:type="dxa"/>
            <w:vAlign w:val="center"/>
          </w:tcPr>
          <w:p w:rsidR="0021506B" w:rsidRDefault="0021506B" w:rsidP="009B1CF3">
            <w:r w:rsidRPr="006E347A">
              <w:rPr>
                <w:rFonts w:cs="Arial"/>
                <w:sz w:val="18"/>
                <w:szCs w:val="18"/>
              </w:rPr>
              <w:t>√</w:t>
            </w:r>
          </w:p>
        </w:tc>
        <w:tc>
          <w:tcPr>
            <w:tcW w:w="770" w:type="dxa"/>
            <w:vAlign w:val="center"/>
          </w:tcPr>
          <w:p w:rsidR="0021506B" w:rsidRDefault="0021506B" w:rsidP="009B1CF3">
            <w:r w:rsidRPr="006E347A">
              <w:rPr>
                <w:rFonts w:cs="Arial"/>
                <w:sz w:val="18"/>
                <w:szCs w:val="18"/>
              </w:rPr>
              <w:t>√</w:t>
            </w:r>
          </w:p>
        </w:tc>
        <w:tc>
          <w:tcPr>
            <w:tcW w:w="769" w:type="dxa"/>
            <w:vAlign w:val="center"/>
          </w:tcPr>
          <w:p w:rsidR="0021506B" w:rsidRDefault="0021506B" w:rsidP="009B1CF3">
            <w:r w:rsidRPr="006E347A">
              <w:rPr>
                <w:rFonts w:cs="Arial"/>
                <w:sz w:val="18"/>
                <w:szCs w:val="18"/>
              </w:rPr>
              <w:t>√</w:t>
            </w:r>
          </w:p>
        </w:tc>
        <w:tc>
          <w:tcPr>
            <w:tcW w:w="770" w:type="dxa"/>
            <w:vAlign w:val="center"/>
          </w:tcPr>
          <w:p w:rsidR="0021506B" w:rsidRDefault="0021506B" w:rsidP="009B1CF3">
            <w:r w:rsidRPr="006E347A">
              <w:rPr>
                <w:rFonts w:cs="Arial"/>
                <w:sz w:val="18"/>
                <w:szCs w:val="18"/>
              </w:rPr>
              <w:t>√</w:t>
            </w:r>
          </w:p>
        </w:tc>
        <w:tc>
          <w:tcPr>
            <w:tcW w:w="769" w:type="dxa"/>
            <w:vAlign w:val="center"/>
          </w:tcPr>
          <w:p w:rsidR="0021506B" w:rsidRDefault="0021506B" w:rsidP="009B1CF3">
            <w:r w:rsidRPr="00504AC5">
              <w:rPr>
                <w:rFonts w:cs="Arial"/>
                <w:sz w:val="18"/>
                <w:szCs w:val="18"/>
              </w:rPr>
              <w:t>√</w:t>
            </w:r>
          </w:p>
        </w:tc>
        <w:tc>
          <w:tcPr>
            <w:tcW w:w="770" w:type="dxa"/>
            <w:tcBorders>
              <w:right w:val="single" w:sz="12" w:space="0" w:color="auto"/>
            </w:tcBorders>
            <w:vAlign w:val="center"/>
          </w:tcPr>
          <w:p w:rsidR="0021506B" w:rsidRDefault="0021506B" w:rsidP="009B1CF3">
            <w:r w:rsidRPr="00E30055">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Pr>
                <w:rFonts w:cs="Arial"/>
                <w:sz w:val="18"/>
                <w:szCs w:val="18"/>
              </w:rPr>
              <w:t>√</w:t>
            </w:r>
            <w:r>
              <w:rPr>
                <w:rStyle w:val="EndnoteReference"/>
              </w:rPr>
              <w:endnoteReference w:id="352"/>
            </w:r>
          </w:p>
        </w:tc>
        <w:tc>
          <w:tcPr>
            <w:tcW w:w="769" w:type="dxa"/>
            <w:vAlign w:val="center"/>
          </w:tcPr>
          <w:p w:rsidR="0021506B" w:rsidRDefault="0021506B" w:rsidP="009B1CF3">
            <w:r>
              <w:rPr>
                <w:rFonts w:cs="Arial"/>
                <w:sz w:val="18"/>
                <w:szCs w:val="18"/>
              </w:rPr>
              <w:t>√</w:t>
            </w:r>
            <w:r>
              <w:rPr>
                <w:rStyle w:val="EndnoteReference"/>
              </w:rPr>
              <w:endnoteReference w:id="353"/>
            </w:r>
          </w:p>
        </w:tc>
        <w:tc>
          <w:tcPr>
            <w:tcW w:w="770" w:type="dxa"/>
            <w:vAlign w:val="center"/>
          </w:tcPr>
          <w:p w:rsidR="0021506B" w:rsidRDefault="0021506B" w:rsidP="009B1CF3">
            <w:r>
              <w:rPr>
                <w:rFonts w:cs="Arial"/>
                <w:sz w:val="18"/>
                <w:szCs w:val="18"/>
              </w:rPr>
              <w:t>√</w:t>
            </w:r>
            <w:r>
              <w:rPr>
                <w:rStyle w:val="EndnoteReference"/>
              </w:rPr>
              <w:endnoteReference w:id="354"/>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RO</w:t>
            </w:r>
          </w:p>
        </w:tc>
        <w:tc>
          <w:tcPr>
            <w:tcW w:w="769"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vAlign w:val="center"/>
          </w:tcPr>
          <w:p w:rsidR="0021506B" w:rsidRDefault="0021506B" w:rsidP="009B1CF3">
            <w:r w:rsidRPr="003715BC">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vAlign w:val="center"/>
          </w:tcPr>
          <w:p w:rsidR="0021506B" w:rsidRDefault="0021506B" w:rsidP="009B1CF3">
            <w:r w:rsidRPr="00E30055">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96A8D">
              <w:rPr>
                <w:rFonts w:cs="Arial"/>
                <w:sz w:val="18"/>
                <w:szCs w:val="18"/>
              </w:rPr>
              <w:t>√</w:t>
            </w:r>
          </w:p>
        </w:tc>
        <w:tc>
          <w:tcPr>
            <w:tcW w:w="769" w:type="dxa"/>
            <w:vAlign w:val="center"/>
          </w:tcPr>
          <w:p w:rsidR="0021506B" w:rsidRDefault="0021506B" w:rsidP="009B1CF3">
            <w:r w:rsidRPr="00C96A8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SE</w:t>
            </w:r>
          </w:p>
        </w:tc>
        <w:tc>
          <w:tcPr>
            <w:tcW w:w="769" w:type="dxa"/>
            <w:tcBorders>
              <w:lef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8" w:type="dxa"/>
            <w:vAlign w:val="center"/>
          </w:tcPr>
          <w:p w:rsidR="0021506B" w:rsidRDefault="0021506B" w:rsidP="009B1CF3">
            <w:r w:rsidRPr="00E74EA3">
              <w:rPr>
                <w:rFonts w:cs="Arial"/>
                <w:sz w:val="18"/>
                <w:szCs w:val="18"/>
              </w:rPr>
              <w:t>√</w:t>
            </w:r>
          </w:p>
        </w:tc>
        <w:tc>
          <w:tcPr>
            <w:tcW w:w="769" w:type="dxa"/>
            <w:vAlign w:val="center"/>
          </w:tcPr>
          <w:p w:rsidR="0021506B" w:rsidRDefault="0021506B" w:rsidP="009B1CF3">
            <w:r w:rsidRPr="007331E1">
              <w:rPr>
                <w:rFonts w:cs="Arial"/>
                <w:sz w:val="18"/>
                <w:szCs w:val="18"/>
              </w:rPr>
              <w:t>√</w:t>
            </w:r>
          </w:p>
        </w:tc>
        <w:tc>
          <w:tcPr>
            <w:tcW w:w="768" w:type="dxa"/>
            <w:vAlign w:val="center"/>
          </w:tcPr>
          <w:p w:rsidR="0021506B" w:rsidRDefault="0021506B" w:rsidP="009B1CF3">
            <w:r w:rsidRPr="007331E1">
              <w:rPr>
                <w:rFonts w:cs="Arial"/>
                <w:sz w:val="18"/>
                <w:szCs w:val="18"/>
              </w:rPr>
              <w:t>√</w:t>
            </w:r>
          </w:p>
        </w:tc>
        <w:tc>
          <w:tcPr>
            <w:tcW w:w="770" w:type="dxa"/>
            <w:vAlign w:val="center"/>
          </w:tcPr>
          <w:p w:rsidR="0021506B" w:rsidRDefault="0021506B" w:rsidP="009B1CF3">
            <w:r w:rsidRPr="003E4501">
              <w:rPr>
                <w:rFonts w:cs="Arial"/>
                <w:sz w:val="18"/>
                <w:szCs w:val="18"/>
              </w:rPr>
              <w:t>√</w:t>
            </w:r>
          </w:p>
        </w:tc>
        <w:tc>
          <w:tcPr>
            <w:tcW w:w="769" w:type="dxa"/>
            <w:vAlign w:val="center"/>
          </w:tcPr>
          <w:p w:rsidR="0021506B" w:rsidRDefault="0021506B" w:rsidP="009B1CF3">
            <w:r w:rsidRPr="00FB6801">
              <w:rPr>
                <w:rFonts w:cs="Arial"/>
                <w:sz w:val="18"/>
                <w:szCs w:val="18"/>
              </w:rPr>
              <w:t>√</w:t>
            </w:r>
          </w:p>
        </w:tc>
        <w:tc>
          <w:tcPr>
            <w:tcW w:w="770" w:type="dxa"/>
            <w:vAlign w:val="center"/>
          </w:tcPr>
          <w:p w:rsidR="0021506B" w:rsidRDefault="0021506B" w:rsidP="009B1CF3">
            <w:r w:rsidRPr="003715BC">
              <w:rPr>
                <w:rFonts w:cs="Arial"/>
                <w:sz w:val="18"/>
                <w:szCs w:val="18"/>
              </w:rPr>
              <w:t>√</w:t>
            </w:r>
          </w:p>
        </w:tc>
        <w:tc>
          <w:tcPr>
            <w:tcW w:w="769" w:type="dxa"/>
            <w:vAlign w:val="center"/>
          </w:tcPr>
          <w:p w:rsidR="0021506B" w:rsidRDefault="0021506B" w:rsidP="009B1CF3">
            <w:r w:rsidRPr="00E9045C">
              <w:rPr>
                <w:rFonts w:cs="Arial"/>
                <w:sz w:val="18"/>
                <w:szCs w:val="18"/>
              </w:rPr>
              <w:t>√</w:t>
            </w: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96A8D">
              <w:rPr>
                <w:rFonts w:cs="Arial"/>
                <w:sz w:val="18"/>
                <w:szCs w:val="18"/>
              </w:rPr>
              <w:t>√</w:t>
            </w:r>
          </w:p>
        </w:tc>
        <w:tc>
          <w:tcPr>
            <w:tcW w:w="769" w:type="dxa"/>
            <w:vAlign w:val="center"/>
          </w:tcPr>
          <w:p w:rsidR="0021506B" w:rsidRDefault="0021506B" w:rsidP="009B1CF3">
            <w:r w:rsidRPr="00C96A8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SI</w:t>
            </w:r>
          </w:p>
        </w:tc>
        <w:tc>
          <w:tcPr>
            <w:tcW w:w="769" w:type="dxa"/>
            <w:tcBorders>
              <w:left w:val="single" w:sz="12" w:space="0" w:color="auto"/>
            </w:tcBorders>
            <w:vAlign w:val="center"/>
          </w:tcPr>
          <w:p w:rsidR="0021506B" w:rsidRDefault="0021506B" w:rsidP="009B1CF3">
            <w:r w:rsidRPr="00C23D59">
              <w:rPr>
                <w:rFonts w:cs="Arial"/>
                <w:sz w:val="18"/>
                <w:szCs w:val="18"/>
              </w:rPr>
              <w:t>√</w:t>
            </w:r>
          </w:p>
        </w:tc>
        <w:tc>
          <w:tcPr>
            <w:tcW w:w="768" w:type="dxa"/>
            <w:vAlign w:val="center"/>
          </w:tcPr>
          <w:p w:rsidR="0021506B" w:rsidRDefault="0021506B" w:rsidP="009B1CF3">
            <w:r w:rsidRPr="00E74EA3">
              <w:rPr>
                <w:rFonts w:cs="Arial"/>
                <w:sz w:val="18"/>
                <w:szCs w:val="18"/>
              </w:rPr>
              <w:t>√</w:t>
            </w:r>
          </w:p>
        </w:tc>
        <w:tc>
          <w:tcPr>
            <w:tcW w:w="769" w:type="dxa"/>
            <w:vAlign w:val="center"/>
          </w:tcPr>
          <w:p w:rsidR="0021506B" w:rsidRDefault="0021506B" w:rsidP="009B1CF3">
            <w:r w:rsidRPr="007331E1">
              <w:rPr>
                <w:rFonts w:cs="Arial"/>
                <w:sz w:val="18"/>
                <w:szCs w:val="18"/>
              </w:rPr>
              <w:t>√</w:t>
            </w:r>
          </w:p>
        </w:tc>
        <w:tc>
          <w:tcPr>
            <w:tcW w:w="768" w:type="dxa"/>
            <w:vAlign w:val="center"/>
          </w:tcPr>
          <w:p w:rsidR="0021506B" w:rsidRDefault="0021506B" w:rsidP="009B1CF3">
            <w:r w:rsidRPr="007331E1">
              <w:rPr>
                <w:rFonts w:cs="Arial"/>
                <w:sz w:val="18"/>
                <w:szCs w:val="18"/>
              </w:rPr>
              <w:t>√</w:t>
            </w:r>
          </w:p>
        </w:tc>
        <w:tc>
          <w:tcPr>
            <w:tcW w:w="770" w:type="dxa"/>
            <w:vAlign w:val="center"/>
          </w:tcPr>
          <w:p w:rsidR="0021506B" w:rsidRDefault="0021506B" w:rsidP="009B1CF3">
            <w:r w:rsidRPr="003E4501">
              <w:rPr>
                <w:rFonts w:cs="Arial"/>
                <w:sz w:val="18"/>
                <w:szCs w:val="18"/>
              </w:rPr>
              <w:t>√</w:t>
            </w:r>
          </w:p>
        </w:tc>
        <w:tc>
          <w:tcPr>
            <w:tcW w:w="769" w:type="dxa"/>
            <w:vAlign w:val="center"/>
          </w:tcPr>
          <w:p w:rsidR="0021506B" w:rsidRDefault="0021506B" w:rsidP="009B1CF3">
            <w:r w:rsidRPr="00FB6801">
              <w:rPr>
                <w:rFonts w:cs="Arial"/>
                <w:sz w:val="18"/>
                <w:szCs w:val="18"/>
              </w:rPr>
              <w:t>√</w:t>
            </w:r>
          </w:p>
        </w:tc>
        <w:tc>
          <w:tcPr>
            <w:tcW w:w="770" w:type="dxa"/>
            <w:vAlign w:val="center"/>
          </w:tcPr>
          <w:p w:rsidR="0021506B" w:rsidRDefault="0021506B" w:rsidP="009B1CF3">
            <w:r w:rsidRPr="003715BC">
              <w:rPr>
                <w:rFonts w:cs="Arial"/>
                <w:sz w:val="18"/>
                <w:szCs w:val="18"/>
              </w:rPr>
              <w:t>√</w:t>
            </w:r>
          </w:p>
        </w:tc>
        <w:tc>
          <w:tcPr>
            <w:tcW w:w="769" w:type="dxa"/>
            <w:vAlign w:val="center"/>
          </w:tcPr>
          <w:p w:rsidR="0021506B" w:rsidRDefault="0021506B" w:rsidP="009B1CF3">
            <w:r w:rsidRPr="00E9045C">
              <w:rPr>
                <w:rFonts w:cs="Arial"/>
                <w:sz w:val="18"/>
                <w:szCs w:val="18"/>
              </w:rPr>
              <w:t>√</w:t>
            </w:r>
          </w:p>
        </w:tc>
        <w:tc>
          <w:tcPr>
            <w:tcW w:w="770" w:type="dxa"/>
            <w:tcBorders>
              <w:right w:val="single" w:sz="12" w:space="0" w:color="auto"/>
            </w:tcBorders>
            <w:shd w:val="clear" w:color="auto" w:fill="D9D9D9" w:themeFill="background1" w:themeFillShade="D9"/>
            <w:vAlign w:val="center"/>
          </w:tcPr>
          <w:p w:rsidR="0021506B" w:rsidRPr="00E217F3" w:rsidRDefault="0021506B" w:rsidP="009B1CF3">
            <w:pPr>
              <w:rPr>
                <w:sz w:val="18"/>
                <w:szCs w:val="18"/>
              </w:rPr>
            </w:pP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96A8D">
              <w:rPr>
                <w:rFonts w:cs="Arial"/>
                <w:sz w:val="18"/>
                <w:szCs w:val="18"/>
              </w:rPr>
              <w:t>√</w:t>
            </w:r>
          </w:p>
        </w:tc>
        <w:tc>
          <w:tcPr>
            <w:tcW w:w="769" w:type="dxa"/>
            <w:vAlign w:val="center"/>
          </w:tcPr>
          <w:p w:rsidR="0021506B" w:rsidRDefault="0021506B" w:rsidP="009B1CF3">
            <w:r w:rsidRPr="00C96A8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SK</w:t>
            </w:r>
          </w:p>
        </w:tc>
        <w:tc>
          <w:tcPr>
            <w:tcW w:w="769" w:type="dxa"/>
            <w:tcBorders>
              <w:left w:val="single" w:sz="12" w:space="0" w:color="auto"/>
            </w:tcBorders>
            <w:vAlign w:val="center"/>
          </w:tcPr>
          <w:p w:rsidR="0021506B" w:rsidRDefault="0021506B" w:rsidP="009B1CF3">
            <w:r w:rsidRPr="00C23D59">
              <w:rPr>
                <w:rFonts w:cs="Arial"/>
                <w:sz w:val="18"/>
                <w:szCs w:val="18"/>
              </w:rPr>
              <w:t>√</w:t>
            </w:r>
          </w:p>
        </w:tc>
        <w:tc>
          <w:tcPr>
            <w:tcW w:w="768" w:type="dxa"/>
            <w:vAlign w:val="center"/>
          </w:tcPr>
          <w:p w:rsidR="0021506B" w:rsidRDefault="0021506B" w:rsidP="009B1CF3">
            <w:r w:rsidRPr="00E74EA3">
              <w:rPr>
                <w:rFonts w:cs="Arial"/>
                <w:sz w:val="18"/>
                <w:szCs w:val="18"/>
              </w:rPr>
              <w:t>√</w:t>
            </w:r>
          </w:p>
        </w:tc>
        <w:tc>
          <w:tcPr>
            <w:tcW w:w="769" w:type="dxa"/>
            <w:vAlign w:val="center"/>
          </w:tcPr>
          <w:p w:rsidR="0021506B" w:rsidRDefault="0021506B" w:rsidP="009B1CF3">
            <w:r w:rsidRPr="007331E1">
              <w:rPr>
                <w:rFonts w:cs="Arial"/>
                <w:sz w:val="18"/>
                <w:szCs w:val="18"/>
              </w:rPr>
              <w:t>√</w:t>
            </w:r>
          </w:p>
        </w:tc>
        <w:tc>
          <w:tcPr>
            <w:tcW w:w="768" w:type="dxa"/>
            <w:vAlign w:val="center"/>
          </w:tcPr>
          <w:p w:rsidR="0021506B" w:rsidRDefault="0021506B" w:rsidP="009B1CF3">
            <w:r w:rsidRPr="007331E1">
              <w:rPr>
                <w:rFonts w:cs="Arial"/>
                <w:sz w:val="18"/>
                <w:szCs w:val="18"/>
              </w:rPr>
              <w:t>√</w:t>
            </w:r>
          </w:p>
        </w:tc>
        <w:tc>
          <w:tcPr>
            <w:tcW w:w="770" w:type="dxa"/>
            <w:vAlign w:val="center"/>
          </w:tcPr>
          <w:p w:rsidR="0021506B" w:rsidRDefault="0021506B" w:rsidP="009B1CF3">
            <w:r w:rsidRPr="003E4501">
              <w:rPr>
                <w:rFonts w:cs="Arial"/>
                <w:sz w:val="18"/>
                <w:szCs w:val="18"/>
              </w:rPr>
              <w:t>√</w:t>
            </w:r>
          </w:p>
        </w:tc>
        <w:tc>
          <w:tcPr>
            <w:tcW w:w="769" w:type="dxa"/>
            <w:vAlign w:val="center"/>
          </w:tcPr>
          <w:p w:rsidR="0021506B" w:rsidRDefault="0021506B" w:rsidP="009B1CF3">
            <w:r w:rsidRPr="00FB6801">
              <w:rPr>
                <w:rFonts w:cs="Arial"/>
                <w:sz w:val="18"/>
                <w:szCs w:val="18"/>
              </w:rPr>
              <w:t>√</w:t>
            </w:r>
          </w:p>
        </w:tc>
        <w:tc>
          <w:tcPr>
            <w:tcW w:w="770" w:type="dxa"/>
            <w:vAlign w:val="center"/>
          </w:tcPr>
          <w:p w:rsidR="0021506B" w:rsidRDefault="0021506B" w:rsidP="009B1CF3">
            <w:r w:rsidRPr="003715BC">
              <w:rPr>
                <w:rFonts w:cs="Arial"/>
                <w:sz w:val="18"/>
                <w:szCs w:val="18"/>
              </w:rPr>
              <w:t>√</w:t>
            </w:r>
          </w:p>
        </w:tc>
        <w:tc>
          <w:tcPr>
            <w:tcW w:w="769" w:type="dxa"/>
            <w:vAlign w:val="center"/>
          </w:tcPr>
          <w:p w:rsidR="0021506B" w:rsidRDefault="0021506B" w:rsidP="009B1CF3">
            <w:r w:rsidRPr="00E9045C">
              <w:rPr>
                <w:rFonts w:cs="Arial"/>
                <w:sz w:val="18"/>
                <w:szCs w:val="18"/>
              </w:rPr>
              <w:t>√</w:t>
            </w:r>
          </w:p>
        </w:tc>
        <w:tc>
          <w:tcPr>
            <w:tcW w:w="770" w:type="dxa"/>
            <w:tcBorders>
              <w:right w:val="single" w:sz="12" w:space="0" w:color="auto"/>
            </w:tcBorders>
            <w:vAlign w:val="center"/>
          </w:tcPr>
          <w:p w:rsidR="0021506B" w:rsidRDefault="0021506B" w:rsidP="009B1CF3">
            <w:r w:rsidRPr="0057204A">
              <w:rPr>
                <w:rFonts w:cs="Arial"/>
                <w:sz w:val="18"/>
                <w:szCs w:val="18"/>
              </w:rPr>
              <w:t>√</w:t>
            </w:r>
          </w:p>
        </w:tc>
        <w:tc>
          <w:tcPr>
            <w:tcW w:w="769" w:type="dxa"/>
            <w:gridSpan w:val="2"/>
            <w:tcBorders>
              <w:left w:val="single" w:sz="12" w:space="0" w:color="auto"/>
            </w:tcBorders>
            <w:vAlign w:val="center"/>
          </w:tcPr>
          <w:p w:rsidR="0021506B" w:rsidRDefault="0021506B" w:rsidP="009B1CF3">
            <w:r>
              <w:rPr>
                <w:rFonts w:cs="Arial"/>
                <w:sz w:val="18"/>
                <w:szCs w:val="18"/>
              </w:rPr>
              <w:t>√</w:t>
            </w:r>
          </w:p>
        </w:tc>
        <w:tc>
          <w:tcPr>
            <w:tcW w:w="770" w:type="dxa"/>
            <w:vAlign w:val="center"/>
          </w:tcPr>
          <w:p w:rsidR="0021506B" w:rsidRDefault="0021506B" w:rsidP="009B1CF3">
            <w:r w:rsidRPr="00C96A8D">
              <w:rPr>
                <w:rFonts w:cs="Arial"/>
                <w:sz w:val="18"/>
                <w:szCs w:val="18"/>
              </w:rPr>
              <w:t>√</w:t>
            </w:r>
          </w:p>
        </w:tc>
        <w:tc>
          <w:tcPr>
            <w:tcW w:w="769" w:type="dxa"/>
            <w:vAlign w:val="center"/>
          </w:tcPr>
          <w:p w:rsidR="0021506B" w:rsidRDefault="0021506B" w:rsidP="009B1CF3">
            <w:r w:rsidRPr="00C96A8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UK-E&amp;W</w:t>
            </w:r>
          </w:p>
        </w:tc>
        <w:tc>
          <w:tcPr>
            <w:tcW w:w="769" w:type="dxa"/>
            <w:tcBorders>
              <w:left w:val="single" w:sz="12" w:space="0" w:color="auto"/>
            </w:tcBorders>
            <w:vAlign w:val="center"/>
          </w:tcPr>
          <w:p w:rsidR="0021506B" w:rsidRDefault="0021506B" w:rsidP="009B1CF3">
            <w:r w:rsidRPr="00C23D59">
              <w:rPr>
                <w:rFonts w:cs="Arial"/>
                <w:sz w:val="18"/>
                <w:szCs w:val="18"/>
              </w:rPr>
              <w:t>√</w:t>
            </w:r>
          </w:p>
        </w:tc>
        <w:tc>
          <w:tcPr>
            <w:tcW w:w="768" w:type="dxa"/>
            <w:vAlign w:val="center"/>
          </w:tcPr>
          <w:p w:rsidR="0021506B" w:rsidRDefault="0021506B" w:rsidP="009B1CF3">
            <w:r w:rsidRPr="00E74EA3">
              <w:rPr>
                <w:rFonts w:cs="Arial"/>
                <w:sz w:val="18"/>
                <w:szCs w:val="18"/>
              </w:rPr>
              <w:t>√</w:t>
            </w:r>
          </w:p>
        </w:tc>
        <w:tc>
          <w:tcPr>
            <w:tcW w:w="769" w:type="dxa"/>
            <w:vAlign w:val="center"/>
          </w:tcPr>
          <w:p w:rsidR="0021506B" w:rsidRDefault="0021506B" w:rsidP="009B1CF3">
            <w:r w:rsidRPr="007331E1">
              <w:rPr>
                <w:rFonts w:cs="Arial"/>
                <w:sz w:val="18"/>
                <w:szCs w:val="18"/>
              </w:rPr>
              <w:t>√</w:t>
            </w:r>
          </w:p>
        </w:tc>
        <w:tc>
          <w:tcPr>
            <w:tcW w:w="768" w:type="dxa"/>
            <w:vAlign w:val="center"/>
          </w:tcPr>
          <w:p w:rsidR="0021506B" w:rsidRDefault="0021506B" w:rsidP="009B1CF3">
            <w:r w:rsidRPr="007331E1">
              <w:rPr>
                <w:rFonts w:cs="Arial"/>
                <w:sz w:val="18"/>
                <w:szCs w:val="18"/>
              </w:rPr>
              <w:t>√</w:t>
            </w:r>
          </w:p>
        </w:tc>
        <w:tc>
          <w:tcPr>
            <w:tcW w:w="770" w:type="dxa"/>
            <w:vAlign w:val="center"/>
          </w:tcPr>
          <w:p w:rsidR="0021506B" w:rsidRDefault="0021506B" w:rsidP="009B1CF3">
            <w:r w:rsidRPr="003E4501">
              <w:rPr>
                <w:rFonts w:cs="Arial"/>
                <w:sz w:val="18"/>
                <w:szCs w:val="18"/>
              </w:rPr>
              <w:t>√</w:t>
            </w:r>
          </w:p>
        </w:tc>
        <w:tc>
          <w:tcPr>
            <w:tcW w:w="769" w:type="dxa"/>
            <w:vAlign w:val="center"/>
          </w:tcPr>
          <w:p w:rsidR="0021506B" w:rsidRDefault="0021506B" w:rsidP="009B1CF3">
            <w:r w:rsidRPr="00FB6801">
              <w:rPr>
                <w:rFonts w:cs="Arial"/>
                <w:sz w:val="18"/>
                <w:szCs w:val="18"/>
              </w:rPr>
              <w:t>√</w:t>
            </w:r>
          </w:p>
        </w:tc>
        <w:tc>
          <w:tcPr>
            <w:tcW w:w="770" w:type="dxa"/>
            <w:vAlign w:val="center"/>
          </w:tcPr>
          <w:p w:rsidR="0021506B" w:rsidRDefault="0021506B" w:rsidP="009B1CF3">
            <w:r w:rsidRPr="003715BC">
              <w:rPr>
                <w:rFonts w:cs="Arial"/>
                <w:sz w:val="18"/>
                <w:szCs w:val="18"/>
              </w:rPr>
              <w:t>√</w:t>
            </w:r>
          </w:p>
        </w:tc>
        <w:tc>
          <w:tcPr>
            <w:tcW w:w="769" w:type="dxa"/>
            <w:vAlign w:val="center"/>
          </w:tcPr>
          <w:p w:rsidR="0021506B" w:rsidRDefault="0021506B" w:rsidP="009B1CF3">
            <w:r w:rsidRPr="00E9045C">
              <w:rPr>
                <w:rFonts w:cs="Arial"/>
                <w:sz w:val="18"/>
                <w:szCs w:val="18"/>
              </w:rPr>
              <w:t>√</w:t>
            </w:r>
          </w:p>
        </w:tc>
        <w:tc>
          <w:tcPr>
            <w:tcW w:w="770" w:type="dxa"/>
            <w:tcBorders>
              <w:right w:val="single" w:sz="12" w:space="0" w:color="auto"/>
            </w:tcBorders>
            <w:vAlign w:val="center"/>
          </w:tcPr>
          <w:p w:rsidR="0021506B" w:rsidRDefault="0021506B" w:rsidP="009B1CF3">
            <w:r w:rsidRPr="0057204A">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C96A8D">
              <w:rPr>
                <w:rFonts w:cs="Arial"/>
                <w:sz w:val="18"/>
                <w:szCs w:val="18"/>
              </w:rPr>
              <w:t>√</w:t>
            </w:r>
          </w:p>
        </w:tc>
        <w:tc>
          <w:tcPr>
            <w:tcW w:w="769" w:type="dxa"/>
            <w:vAlign w:val="center"/>
          </w:tcPr>
          <w:p w:rsidR="0021506B" w:rsidRDefault="0021506B" w:rsidP="009B1CF3">
            <w:r w:rsidRPr="00C96A8D">
              <w:rPr>
                <w:rFonts w:cs="Arial"/>
                <w:sz w:val="18"/>
                <w:szCs w:val="18"/>
              </w:rPr>
              <w:t>√</w:t>
            </w:r>
          </w:p>
        </w:tc>
        <w:tc>
          <w:tcPr>
            <w:tcW w:w="770" w:type="dxa"/>
            <w:shd w:val="clear" w:color="auto" w:fill="D9D9D9" w:themeFill="background1" w:themeFillShade="D9"/>
            <w:vAlign w:val="center"/>
          </w:tcPr>
          <w:p w:rsidR="0021506B" w:rsidRDefault="0021506B" w:rsidP="009B1CF3"/>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21506B" w:rsidP="009B1CF3">
            <w:pPr>
              <w:pStyle w:val="BTBullet1"/>
              <w:numPr>
                <w:ilvl w:val="0"/>
                <w:numId w:val="0"/>
              </w:numPr>
              <w:rPr>
                <w:b/>
                <w:sz w:val="16"/>
                <w:szCs w:val="16"/>
              </w:rPr>
            </w:pPr>
            <w:r w:rsidRPr="00731E82">
              <w:rPr>
                <w:b/>
                <w:sz w:val="16"/>
                <w:szCs w:val="16"/>
              </w:rPr>
              <w:t>UK-NI</w:t>
            </w:r>
          </w:p>
        </w:tc>
        <w:tc>
          <w:tcPr>
            <w:tcW w:w="769" w:type="dxa"/>
            <w:tcBorders>
              <w:left w:val="single" w:sz="12" w:space="0" w:color="auto"/>
            </w:tcBorders>
            <w:vAlign w:val="center"/>
          </w:tcPr>
          <w:p w:rsidR="0021506B" w:rsidRDefault="0021506B" w:rsidP="009B1CF3">
            <w:r w:rsidRPr="00C23D59">
              <w:rPr>
                <w:rFonts w:cs="Arial"/>
                <w:sz w:val="18"/>
                <w:szCs w:val="18"/>
              </w:rPr>
              <w:t>√</w:t>
            </w:r>
          </w:p>
        </w:tc>
        <w:tc>
          <w:tcPr>
            <w:tcW w:w="768" w:type="dxa"/>
            <w:vAlign w:val="center"/>
          </w:tcPr>
          <w:p w:rsidR="0021506B" w:rsidRDefault="0021506B" w:rsidP="009B1CF3">
            <w:r w:rsidRPr="00E74EA3">
              <w:rPr>
                <w:rFonts w:cs="Arial"/>
                <w:sz w:val="18"/>
                <w:szCs w:val="18"/>
              </w:rPr>
              <w:t>√</w:t>
            </w:r>
          </w:p>
        </w:tc>
        <w:tc>
          <w:tcPr>
            <w:tcW w:w="769" w:type="dxa"/>
            <w:vAlign w:val="center"/>
          </w:tcPr>
          <w:p w:rsidR="0021506B" w:rsidRDefault="0021506B" w:rsidP="009B1CF3">
            <w:r w:rsidRPr="007331E1">
              <w:rPr>
                <w:rFonts w:cs="Arial"/>
                <w:sz w:val="18"/>
                <w:szCs w:val="18"/>
              </w:rPr>
              <w:t>√</w:t>
            </w:r>
          </w:p>
        </w:tc>
        <w:tc>
          <w:tcPr>
            <w:tcW w:w="768" w:type="dxa"/>
            <w:vAlign w:val="center"/>
          </w:tcPr>
          <w:p w:rsidR="0021506B" w:rsidRDefault="0021506B" w:rsidP="009B1CF3">
            <w:r w:rsidRPr="007331E1">
              <w:rPr>
                <w:rFonts w:cs="Arial"/>
                <w:sz w:val="18"/>
                <w:szCs w:val="18"/>
              </w:rPr>
              <w:t>√</w:t>
            </w:r>
          </w:p>
        </w:tc>
        <w:tc>
          <w:tcPr>
            <w:tcW w:w="770" w:type="dxa"/>
            <w:vAlign w:val="center"/>
          </w:tcPr>
          <w:p w:rsidR="0021506B" w:rsidRDefault="0021506B" w:rsidP="009B1CF3">
            <w:r w:rsidRPr="003E4501">
              <w:rPr>
                <w:rFonts w:cs="Arial"/>
                <w:sz w:val="18"/>
                <w:szCs w:val="18"/>
              </w:rPr>
              <w:t>√</w:t>
            </w:r>
          </w:p>
        </w:tc>
        <w:tc>
          <w:tcPr>
            <w:tcW w:w="769" w:type="dxa"/>
            <w:vAlign w:val="center"/>
          </w:tcPr>
          <w:p w:rsidR="0021506B" w:rsidRDefault="0021506B" w:rsidP="009B1CF3">
            <w:r w:rsidRPr="00FB6801">
              <w:rPr>
                <w:rFonts w:cs="Arial"/>
                <w:sz w:val="18"/>
                <w:szCs w:val="18"/>
              </w:rPr>
              <w:t>√</w:t>
            </w:r>
          </w:p>
        </w:tc>
        <w:tc>
          <w:tcPr>
            <w:tcW w:w="770" w:type="dxa"/>
            <w:vAlign w:val="center"/>
          </w:tcPr>
          <w:p w:rsidR="0021506B" w:rsidRDefault="0021506B" w:rsidP="009B1CF3">
            <w:r w:rsidRPr="003715BC">
              <w:rPr>
                <w:rFonts w:cs="Arial"/>
                <w:sz w:val="18"/>
                <w:szCs w:val="18"/>
              </w:rPr>
              <w:t>√</w:t>
            </w:r>
          </w:p>
        </w:tc>
        <w:tc>
          <w:tcPr>
            <w:tcW w:w="769" w:type="dxa"/>
            <w:vAlign w:val="center"/>
          </w:tcPr>
          <w:p w:rsidR="0021506B" w:rsidRDefault="0021506B" w:rsidP="009B1CF3">
            <w:r w:rsidRPr="00E9045C">
              <w:rPr>
                <w:rFonts w:cs="Arial"/>
                <w:sz w:val="18"/>
                <w:szCs w:val="18"/>
              </w:rPr>
              <w:t>√</w:t>
            </w:r>
          </w:p>
        </w:tc>
        <w:tc>
          <w:tcPr>
            <w:tcW w:w="770" w:type="dxa"/>
            <w:tcBorders>
              <w:right w:val="single" w:sz="12" w:space="0" w:color="auto"/>
            </w:tcBorders>
            <w:vAlign w:val="center"/>
          </w:tcPr>
          <w:p w:rsidR="0021506B" w:rsidRDefault="0021506B" w:rsidP="009B1CF3">
            <w:r w:rsidRPr="0057204A">
              <w:rPr>
                <w:rFonts w:cs="Arial"/>
                <w:sz w:val="18"/>
                <w:szCs w:val="18"/>
              </w:rPr>
              <w:t>√</w:t>
            </w:r>
          </w:p>
        </w:tc>
        <w:tc>
          <w:tcPr>
            <w:tcW w:w="769" w:type="dxa"/>
            <w:gridSpan w:val="2"/>
            <w:tcBorders>
              <w:left w:val="single" w:sz="12" w:space="0" w:color="auto"/>
            </w:tcBorders>
            <w:shd w:val="clear" w:color="auto" w:fill="D9D9D9" w:themeFill="background1" w:themeFillShade="D9"/>
            <w:vAlign w:val="center"/>
          </w:tcPr>
          <w:p w:rsidR="0021506B" w:rsidRDefault="0021506B" w:rsidP="009B1CF3"/>
        </w:tc>
        <w:tc>
          <w:tcPr>
            <w:tcW w:w="770" w:type="dxa"/>
            <w:vAlign w:val="center"/>
          </w:tcPr>
          <w:p w:rsidR="0021506B" w:rsidRDefault="0021506B" w:rsidP="009B1CF3">
            <w:r w:rsidRPr="009F063F">
              <w:rPr>
                <w:rFonts w:cs="Arial"/>
                <w:sz w:val="18"/>
                <w:szCs w:val="18"/>
              </w:rPr>
              <w:t>√</w:t>
            </w:r>
          </w:p>
        </w:tc>
        <w:tc>
          <w:tcPr>
            <w:tcW w:w="769" w:type="dxa"/>
            <w:vAlign w:val="center"/>
          </w:tcPr>
          <w:p w:rsidR="0021506B" w:rsidRDefault="0021506B" w:rsidP="009B1CF3">
            <w:r w:rsidRPr="009F063F">
              <w:rPr>
                <w:rFonts w:cs="Arial"/>
                <w:sz w:val="18"/>
                <w:szCs w:val="18"/>
              </w:rPr>
              <w:t>√</w:t>
            </w:r>
          </w:p>
        </w:tc>
        <w:tc>
          <w:tcPr>
            <w:tcW w:w="770" w:type="dxa"/>
            <w:vAlign w:val="center"/>
          </w:tcPr>
          <w:p w:rsidR="0021506B" w:rsidRDefault="0021506B" w:rsidP="009B1CF3">
            <w:r w:rsidRPr="009F063F">
              <w:rPr>
                <w:rFonts w:cs="Arial"/>
                <w:sz w:val="18"/>
                <w:szCs w:val="18"/>
              </w:rPr>
              <w:t>√</w:t>
            </w:r>
          </w:p>
        </w:tc>
      </w:tr>
      <w:tr w:rsidR="0021506B" w:rsidTr="00731E82">
        <w:trPr>
          <w:cantSplit/>
          <w:trHeight w:hRule="exact" w:val="288"/>
          <w:jc w:val="center"/>
        </w:trPr>
        <w:tc>
          <w:tcPr>
            <w:tcW w:w="1069" w:type="dxa"/>
            <w:tcBorders>
              <w:right w:val="single" w:sz="12" w:space="0" w:color="auto"/>
            </w:tcBorders>
            <w:shd w:val="clear" w:color="auto" w:fill="DBE5F1" w:themeFill="accent1" w:themeFillTint="33"/>
            <w:vAlign w:val="center"/>
          </w:tcPr>
          <w:p w:rsidR="0021506B" w:rsidRPr="00731E82" w:rsidRDefault="00CD7610" w:rsidP="009B1CF3">
            <w:pPr>
              <w:pStyle w:val="BTBullet1"/>
              <w:numPr>
                <w:ilvl w:val="0"/>
                <w:numId w:val="0"/>
              </w:numPr>
              <w:rPr>
                <w:b/>
                <w:sz w:val="16"/>
                <w:szCs w:val="16"/>
              </w:rPr>
            </w:pPr>
            <w:r w:rsidRPr="00731E82">
              <w:rPr>
                <w:b/>
                <w:sz w:val="16"/>
                <w:szCs w:val="16"/>
              </w:rPr>
              <w:t>UK-S</w:t>
            </w:r>
          </w:p>
        </w:tc>
        <w:tc>
          <w:tcPr>
            <w:tcW w:w="769" w:type="dxa"/>
            <w:tcBorders>
              <w:left w:val="single" w:sz="12" w:space="0" w:color="auto"/>
            </w:tcBorders>
            <w:vAlign w:val="center"/>
          </w:tcPr>
          <w:p w:rsidR="0021506B" w:rsidRDefault="0021506B" w:rsidP="009B1CF3">
            <w:r w:rsidRPr="00C23D59">
              <w:rPr>
                <w:rFonts w:cs="Arial"/>
                <w:sz w:val="18"/>
                <w:szCs w:val="18"/>
              </w:rPr>
              <w:t>√</w:t>
            </w:r>
          </w:p>
        </w:tc>
        <w:tc>
          <w:tcPr>
            <w:tcW w:w="768"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7331E1">
              <w:rPr>
                <w:rFonts w:cs="Arial"/>
                <w:sz w:val="18"/>
                <w:szCs w:val="18"/>
              </w:rPr>
              <w:t>√</w:t>
            </w:r>
          </w:p>
        </w:tc>
        <w:tc>
          <w:tcPr>
            <w:tcW w:w="768" w:type="dxa"/>
            <w:vAlign w:val="center"/>
          </w:tcPr>
          <w:p w:rsidR="0021506B" w:rsidRDefault="0021506B" w:rsidP="009B1CF3">
            <w:r w:rsidRPr="007331E1">
              <w:rPr>
                <w:rFonts w:cs="Arial"/>
                <w:sz w:val="18"/>
                <w:szCs w:val="18"/>
              </w:rPr>
              <w:t>√</w:t>
            </w:r>
          </w:p>
        </w:tc>
        <w:tc>
          <w:tcPr>
            <w:tcW w:w="770" w:type="dxa"/>
            <w:shd w:val="clear" w:color="auto" w:fill="D9D9D9" w:themeFill="background1" w:themeFillShade="D9"/>
            <w:vAlign w:val="center"/>
          </w:tcPr>
          <w:p w:rsidR="0021506B" w:rsidRPr="00E217F3" w:rsidRDefault="0021506B" w:rsidP="009B1CF3">
            <w:pPr>
              <w:rPr>
                <w:sz w:val="18"/>
                <w:szCs w:val="18"/>
              </w:rPr>
            </w:pPr>
          </w:p>
        </w:tc>
        <w:tc>
          <w:tcPr>
            <w:tcW w:w="769" w:type="dxa"/>
            <w:vAlign w:val="center"/>
          </w:tcPr>
          <w:p w:rsidR="0021506B" w:rsidRDefault="0021506B" w:rsidP="009B1CF3">
            <w:r w:rsidRPr="00FB6801">
              <w:rPr>
                <w:rFonts w:cs="Arial"/>
                <w:sz w:val="18"/>
                <w:szCs w:val="18"/>
              </w:rPr>
              <w:t>√</w:t>
            </w:r>
          </w:p>
        </w:tc>
        <w:tc>
          <w:tcPr>
            <w:tcW w:w="770" w:type="dxa"/>
            <w:vAlign w:val="center"/>
          </w:tcPr>
          <w:p w:rsidR="0021506B" w:rsidRDefault="0021506B" w:rsidP="009B1CF3">
            <w:r w:rsidRPr="003715BC">
              <w:rPr>
                <w:rFonts w:cs="Arial"/>
                <w:sz w:val="18"/>
                <w:szCs w:val="18"/>
              </w:rPr>
              <w:t>√</w:t>
            </w:r>
          </w:p>
        </w:tc>
        <w:tc>
          <w:tcPr>
            <w:tcW w:w="769" w:type="dxa"/>
            <w:shd w:val="clear" w:color="auto" w:fill="D9D9D9" w:themeFill="background1" w:themeFillShade="D9"/>
            <w:vAlign w:val="center"/>
          </w:tcPr>
          <w:p w:rsidR="0021506B" w:rsidRPr="00E217F3" w:rsidRDefault="0021506B" w:rsidP="009B1CF3">
            <w:pPr>
              <w:rPr>
                <w:sz w:val="18"/>
                <w:szCs w:val="18"/>
              </w:rPr>
            </w:pPr>
          </w:p>
        </w:tc>
        <w:tc>
          <w:tcPr>
            <w:tcW w:w="770" w:type="dxa"/>
            <w:tcBorders>
              <w:right w:val="single" w:sz="12" w:space="0" w:color="auto"/>
            </w:tcBorders>
            <w:vAlign w:val="center"/>
          </w:tcPr>
          <w:p w:rsidR="0021506B" w:rsidRDefault="0021506B" w:rsidP="009B1CF3">
            <w:r w:rsidRPr="0057204A">
              <w:rPr>
                <w:rFonts w:cs="Arial"/>
                <w:sz w:val="18"/>
                <w:szCs w:val="18"/>
              </w:rPr>
              <w:t>√</w:t>
            </w:r>
          </w:p>
        </w:tc>
        <w:tc>
          <w:tcPr>
            <w:tcW w:w="769" w:type="dxa"/>
            <w:gridSpan w:val="2"/>
            <w:tcBorders>
              <w:left w:val="single" w:sz="12" w:space="0" w:color="auto"/>
            </w:tcBorders>
            <w:vAlign w:val="center"/>
          </w:tcPr>
          <w:p w:rsidR="0021506B" w:rsidRDefault="0021506B" w:rsidP="009B1CF3">
            <w:r w:rsidRPr="00266FDF">
              <w:rPr>
                <w:rFonts w:cs="Arial"/>
                <w:sz w:val="18"/>
                <w:szCs w:val="18"/>
              </w:rPr>
              <w:t>√</w:t>
            </w:r>
          </w:p>
        </w:tc>
        <w:tc>
          <w:tcPr>
            <w:tcW w:w="770" w:type="dxa"/>
            <w:vAlign w:val="center"/>
          </w:tcPr>
          <w:p w:rsidR="0021506B" w:rsidRDefault="0021506B" w:rsidP="009B1CF3">
            <w:r w:rsidRPr="00266FDF">
              <w:rPr>
                <w:rFonts w:cs="Arial"/>
                <w:sz w:val="18"/>
                <w:szCs w:val="18"/>
              </w:rPr>
              <w:t>√</w:t>
            </w:r>
          </w:p>
        </w:tc>
        <w:tc>
          <w:tcPr>
            <w:tcW w:w="769" w:type="dxa"/>
            <w:vAlign w:val="center"/>
          </w:tcPr>
          <w:p w:rsidR="0021506B" w:rsidRDefault="0021506B" w:rsidP="009B1CF3">
            <w:r w:rsidRPr="00266FDF">
              <w:rPr>
                <w:rFonts w:cs="Arial"/>
                <w:sz w:val="18"/>
                <w:szCs w:val="18"/>
              </w:rPr>
              <w:t>√</w:t>
            </w:r>
          </w:p>
        </w:tc>
        <w:tc>
          <w:tcPr>
            <w:tcW w:w="770" w:type="dxa"/>
            <w:vAlign w:val="center"/>
          </w:tcPr>
          <w:p w:rsidR="0021506B" w:rsidRDefault="0021506B" w:rsidP="009B1CF3">
            <w:r w:rsidRPr="00266FDF">
              <w:rPr>
                <w:rFonts w:cs="Arial"/>
                <w:sz w:val="18"/>
                <w:szCs w:val="18"/>
              </w:rPr>
              <w:t>√</w:t>
            </w:r>
          </w:p>
        </w:tc>
      </w:tr>
      <w:tr w:rsidR="0021506B" w:rsidTr="00731E82">
        <w:trPr>
          <w:cantSplit/>
          <w:trHeight w:hRule="exact" w:val="462"/>
          <w:jc w:val="center"/>
        </w:trPr>
        <w:tc>
          <w:tcPr>
            <w:tcW w:w="1069" w:type="dxa"/>
            <w:tcBorders>
              <w:right w:val="single" w:sz="12" w:space="0" w:color="auto"/>
            </w:tcBorders>
            <w:shd w:val="clear" w:color="auto" w:fill="FFFFFF" w:themeFill="background1"/>
            <w:vAlign w:val="center"/>
          </w:tcPr>
          <w:p w:rsidR="0021506B" w:rsidRPr="0041334B" w:rsidRDefault="0021506B" w:rsidP="009B1CF3">
            <w:pPr>
              <w:pStyle w:val="BTBullet1"/>
              <w:numPr>
                <w:ilvl w:val="0"/>
                <w:numId w:val="0"/>
              </w:numPr>
              <w:rPr>
                <w:b/>
                <w:sz w:val="16"/>
                <w:szCs w:val="16"/>
              </w:rPr>
            </w:pPr>
            <w:r>
              <w:rPr>
                <w:b/>
                <w:sz w:val="16"/>
                <w:szCs w:val="16"/>
              </w:rPr>
              <w:t>Total Yes</w:t>
            </w:r>
          </w:p>
        </w:tc>
        <w:tc>
          <w:tcPr>
            <w:tcW w:w="769" w:type="dxa"/>
            <w:tcBorders>
              <w:left w:val="single" w:sz="12" w:space="0" w:color="auto"/>
            </w:tcBorders>
            <w:shd w:val="clear" w:color="auto" w:fill="auto"/>
            <w:vAlign w:val="center"/>
          </w:tcPr>
          <w:p w:rsidR="0021506B" w:rsidRPr="00BD6B4A" w:rsidRDefault="0021506B" w:rsidP="009B1CF3">
            <w:pPr>
              <w:rPr>
                <w:rFonts w:cs="Arial"/>
                <w:b/>
                <w:sz w:val="16"/>
                <w:szCs w:val="16"/>
              </w:rPr>
            </w:pPr>
            <w:r>
              <w:rPr>
                <w:rFonts w:cs="Arial"/>
                <w:b/>
                <w:sz w:val="16"/>
                <w:szCs w:val="16"/>
              </w:rPr>
              <w:t>26</w:t>
            </w:r>
          </w:p>
        </w:tc>
        <w:tc>
          <w:tcPr>
            <w:tcW w:w="768" w:type="dxa"/>
            <w:shd w:val="clear" w:color="auto" w:fill="auto"/>
            <w:vAlign w:val="center"/>
          </w:tcPr>
          <w:p w:rsidR="0021506B" w:rsidRPr="00BD6B4A" w:rsidRDefault="0021506B" w:rsidP="009B1CF3">
            <w:pPr>
              <w:rPr>
                <w:b/>
                <w:sz w:val="16"/>
                <w:szCs w:val="16"/>
              </w:rPr>
            </w:pPr>
            <w:r>
              <w:rPr>
                <w:b/>
                <w:sz w:val="16"/>
                <w:szCs w:val="16"/>
              </w:rPr>
              <w:t>23</w:t>
            </w:r>
          </w:p>
        </w:tc>
        <w:tc>
          <w:tcPr>
            <w:tcW w:w="769" w:type="dxa"/>
            <w:shd w:val="clear" w:color="auto" w:fill="auto"/>
            <w:vAlign w:val="center"/>
          </w:tcPr>
          <w:p w:rsidR="0021506B" w:rsidRPr="00BD6B4A" w:rsidRDefault="0021506B" w:rsidP="009B1CF3">
            <w:pPr>
              <w:rPr>
                <w:rFonts w:cs="Arial"/>
                <w:b/>
                <w:sz w:val="16"/>
                <w:szCs w:val="16"/>
              </w:rPr>
            </w:pPr>
            <w:r>
              <w:rPr>
                <w:rFonts w:cs="Arial"/>
                <w:b/>
                <w:sz w:val="16"/>
                <w:szCs w:val="16"/>
              </w:rPr>
              <w:t>27</w:t>
            </w:r>
          </w:p>
        </w:tc>
        <w:tc>
          <w:tcPr>
            <w:tcW w:w="768" w:type="dxa"/>
            <w:shd w:val="clear" w:color="auto" w:fill="auto"/>
            <w:vAlign w:val="center"/>
          </w:tcPr>
          <w:p w:rsidR="0021506B" w:rsidRPr="00BD6B4A" w:rsidRDefault="0021506B" w:rsidP="009B1CF3">
            <w:pPr>
              <w:rPr>
                <w:rFonts w:cs="Arial"/>
                <w:b/>
                <w:sz w:val="16"/>
                <w:szCs w:val="16"/>
              </w:rPr>
            </w:pPr>
            <w:r>
              <w:rPr>
                <w:rFonts w:cs="Arial"/>
                <w:b/>
                <w:sz w:val="16"/>
                <w:szCs w:val="16"/>
              </w:rPr>
              <w:t>26</w:t>
            </w:r>
          </w:p>
        </w:tc>
        <w:tc>
          <w:tcPr>
            <w:tcW w:w="770" w:type="dxa"/>
            <w:shd w:val="clear" w:color="auto" w:fill="auto"/>
            <w:vAlign w:val="center"/>
          </w:tcPr>
          <w:p w:rsidR="0021506B" w:rsidRPr="00BD6B4A" w:rsidRDefault="0021506B" w:rsidP="009B1CF3">
            <w:pPr>
              <w:rPr>
                <w:b/>
                <w:sz w:val="16"/>
                <w:szCs w:val="16"/>
              </w:rPr>
            </w:pPr>
            <w:r>
              <w:rPr>
                <w:b/>
                <w:sz w:val="16"/>
                <w:szCs w:val="16"/>
              </w:rPr>
              <w:t>23</w:t>
            </w:r>
          </w:p>
        </w:tc>
        <w:tc>
          <w:tcPr>
            <w:tcW w:w="769" w:type="dxa"/>
            <w:shd w:val="clear" w:color="auto" w:fill="auto"/>
            <w:vAlign w:val="center"/>
          </w:tcPr>
          <w:p w:rsidR="0021506B" w:rsidRPr="00BD6B4A" w:rsidRDefault="0021506B" w:rsidP="009B1CF3">
            <w:pPr>
              <w:rPr>
                <w:rFonts w:cs="Arial"/>
                <w:b/>
                <w:sz w:val="16"/>
                <w:szCs w:val="16"/>
              </w:rPr>
            </w:pPr>
            <w:r>
              <w:rPr>
                <w:rFonts w:cs="Arial"/>
                <w:b/>
                <w:sz w:val="16"/>
                <w:szCs w:val="16"/>
              </w:rPr>
              <w:t>24</w:t>
            </w:r>
          </w:p>
        </w:tc>
        <w:tc>
          <w:tcPr>
            <w:tcW w:w="770" w:type="dxa"/>
            <w:shd w:val="clear" w:color="auto" w:fill="auto"/>
            <w:vAlign w:val="center"/>
          </w:tcPr>
          <w:p w:rsidR="0021506B" w:rsidRPr="00BD6B4A" w:rsidRDefault="0021506B" w:rsidP="009B1CF3">
            <w:pPr>
              <w:rPr>
                <w:rFonts w:cs="Arial"/>
                <w:b/>
                <w:sz w:val="16"/>
                <w:szCs w:val="16"/>
              </w:rPr>
            </w:pPr>
            <w:r>
              <w:rPr>
                <w:rFonts w:cs="Arial"/>
                <w:b/>
                <w:sz w:val="16"/>
                <w:szCs w:val="16"/>
              </w:rPr>
              <w:t>25</w:t>
            </w:r>
          </w:p>
        </w:tc>
        <w:tc>
          <w:tcPr>
            <w:tcW w:w="769" w:type="dxa"/>
            <w:shd w:val="clear" w:color="auto" w:fill="auto"/>
            <w:vAlign w:val="center"/>
          </w:tcPr>
          <w:p w:rsidR="0021506B" w:rsidRPr="00BD6B4A" w:rsidRDefault="0021506B" w:rsidP="009B1CF3">
            <w:pPr>
              <w:rPr>
                <w:b/>
                <w:sz w:val="16"/>
                <w:szCs w:val="16"/>
              </w:rPr>
            </w:pPr>
            <w:r>
              <w:rPr>
                <w:b/>
                <w:sz w:val="16"/>
                <w:szCs w:val="16"/>
              </w:rPr>
              <w:t>20</w:t>
            </w:r>
          </w:p>
        </w:tc>
        <w:tc>
          <w:tcPr>
            <w:tcW w:w="770" w:type="dxa"/>
            <w:tcBorders>
              <w:right w:val="single" w:sz="12" w:space="0" w:color="auto"/>
            </w:tcBorders>
            <w:shd w:val="clear" w:color="auto" w:fill="auto"/>
            <w:vAlign w:val="center"/>
          </w:tcPr>
          <w:p w:rsidR="0021506B" w:rsidRPr="00BD6B4A" w:rsidRDefault="0021506B" w:rsidP="009B1CF3">
            <w:pPr>
              <w:rPr>
                <w:rFonts w:cs="Arial"/>
                <w:b/>
                <w:sz w:val="16"/>
                <w:szCs w:val="16"/>
              </w:rPr>
            </w:pPr>
            <w:r>
              <w:rPr>
                <w:rFonts w:cs="Arial"/>
                <w:b/>
                <w:sz w:val="16"/>
                <w:szCs w:val="16"/>
              </w:rPr>
              <w:t>18</w:t>
            </w:r>
          </w:p>
        </w:tc>
        <w:tc>
          <w:tcPr>
            <w:tcW w:w="769" w:type="dxa"/>
            <w:gridSpan w:val="2"/>
            <w:tcBorders>
              <w:left w:val="single" w:sz="12" w:space="0" w:color="auto"/>
            </w:tcBorders>
            <w:shd w:val="clear" w:color="auto" w:fill="auto"/>
            <w:vAlign w:val="center"/>
          </w:tcPr>
          <w:p w:rsidR="0021506B" w:rsidRPr="00BD6B4A" w:rsidRDefault="0021506B" w:rsidP="009B1CF3">
            <w:pPr>
              <w:rPr>
                <w:rFonts w:cs="Arial"/>
                <w:b/>
                <w:sz w:val="16"/>
                <w:szCs w:val="16"/>
              </w:rPr>
            </w:pPr>
            <w:r>
              <w:rPr>
                <w:rFonts w:cs="Arial"/>
                <w:b/>
                <w:sz w:val="16"/>
                <w:szCs w:val="16"/>
              </w:rPr>
              <w:t>7</w:t>
            </w:r>
          </w:p>
        </w:tc>
        <w:tc>
          <w:tcPr>
            <w:tcW w:w="770" w:type="dxa"/>
            <w:shd w:val="clear" w:color="auto" w:fill="auto"/>
            <w:vAlign w:val="center"/>
          </w:tcPr>
          <w:p w:rsidR="0021506B" w:rsidRPr="00BD6B4A" w:rsidRDefault="0021506B" w:rsidP="009B1CF3">
            <w:pPr>
              <w:rPr>
                <w:rFonts w:cs="Arial"/>
                <w:b/>
                <w:sz w:val="16"/>
                <w:szCs w:val="16"/>
              </w:rPr>
            </w:pPr>
            <w:r>
              <w:rPr>
                <w:rFonts w:cs="Arial"/>
                <w:b/>
                <w:sz w:val="16"/>
                <w:szCs w:val="16"/>
              </w:rPr>
              <w:t>29</w:t>
            </w:r>
          </w:p>
        </w:tc>
        <w:tc>
          <w:tcPr>
            <w:tcW w:w="769" w:type="dxa"/>
            <w:shd w:val="clear" w:color="auto" w:fill="auto"/>
            <w:vAlign w:val="center"/>
          </w:tcPr>
          <w:p w:rsidR="0021506B" w:rsidRPr="00BD6B4A" w:rsidRDefault="0021506B" w:rsidP="009B1CF3">
            <w:pPr>
              <w:rPr>
                <w:rFonts w:cs="Arial"/>
                <w:b/>
                <w:sz w:val="16"/>
                <w:szCs w:val="16"/>
              </w:rPr>
            </w:pPr>
            <w:r>
              <w:rPr>
                <w:rFonts w:cs="Arial"/>
                <w:b/>
                <w:sz w:val="16"/>
                <w:szCs w:val="16"/>
              </w:rPr>
              <w:t>29</w:t>
            </w:r>
          </w:p>
        </w:tc>
        <w:tc>
          <w:tcPr>
            <w:tcW w:w="770" w:type="dxa"/>
            <w:shd w:val="clear" w:color="auto" w:fill="auto"/>
            <w:vAlign w:val="center"/>
          </w:tcPr>
          <w:p w:rsidR="0021506B" w:rsidRPr="00BD6B4A" w:rsidRDefault="0021506B" w:rsidP="009B1CF3">
            <w:pPr>
              <w:rPr>
                <w:rFonts w:cs="Arial"/>
                <w:b/>
                <w:sz w:val="16"/>
                <w:szCs w:val="16"/>
              </w:rPr>
            </w:pPr>
            <w:r>
              <w:rPr>
                <w:rFonts w:cs="Arial"/>
                <w:b/>
                <w:sz w:val="16"/>
                <w:szCs w:val="16"/>
              </w:rPr>
              <w:t>14</w:t>
            </w:r>
          </w:p>
        </w:tc>
      </w:tr>
      <w:tr w:rsidR="0021506B" w:rsidTr="00252D92">
        <w:trPr>
          <w:cantSplit/>
          <w:trHeight w:hRule="exact" w:val="462"/>
          <w:jc w:val="center"/>
        </w:trPr>
        <w:tc>
          <w:tcPr>
            <w:tcW w:w="11069" w:type="dxa"/>
            <w:gridSpan w:val="15"/>
            <w:shd w:val="clear" w:color="auto" w:fill="FFFFFF" w:themeFill="background1"/>
            <w:vAlign w:val="center"/>
          </w:tcPr>
          <w:p w:rsidR="0021506B" w:rsidRDefault="00252D92" w:rsidP="009B1CF3">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21506B" w:rsidRDefault="0021506B">
      <w:pPr>
        <w:spacing w:before="0" w:after="0" w:line="240" w:lineRule="auto"/>
        <w:sectPr w:rsidR="0021506B"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200CFE" w:rsidRDefault="00200CFE">
      <w:pPr>
        <w:spacing w:before="0" w:after="0" w:line="240" w:lineRule="auto"/>
      </w:pPr>
      <w:r>
        <w:br w:type="page"/>
      </w:r>
    </w:p>
    <w:p w:rsidR="00200CFE" w:rsidRDefault="00200CFE" w:rsidP="00731E82">
      <w:pPr>
        <w:pStyle w:val="AnnexTable"/>
        <w:ind w:left="1440" w:hanging="1440"/>
      </w:pPr>
      <w:bookmarkStart w:id="383" w:name="_Ref395879411"/>
      <w:bookmarkStart w:id="384" w:name="_Toc408908678"/>
      <w:r w:rsidRPr="00200CFE">
        <w:t>Existence of a statutory provision on the appointment by the court of a guardian ad litem or special legal representative to represent child where there are potential conflicts of interest between child and parents</w:t>
      </w:r>
      <w:r>
        <w:t xml:space="preserve"> (CivAdm154)</w:t>
      </w:r>
      <w:bookmarkEnd w:id="383"/>
      <w:bookmarkEnd w:id="384"/>
      <w:r>
        <w:t xml:space="preserve"> </w:t>
      </w:r>
    </w:p>
    <w:p w:rsidR="0021506B" w:rsidRDefault="0021506B" w:rsidP="009B1CF3">
      <w:pPr>
        <w:pStyle w:val="TableTitle"/>
        <w:sectPr w:rsidR="0021506B" w:rsidSect="002C3D52">
          <w:type w:val="continuous"/>
          <w:pgSz w:w="11907" w:h="16840" w:code="9"/>
          <w:pgMar w:top="1276" w:right="1418" w:bottom="851" w:left="1418" w:header="680" w:footer="567" w:gutter="0"/>
          <w:cols w:space="708"/>
          <w:docGrid w:linePitch="360"/>
        </w:sectPr>
      </w:pPr>
    </w:p>
    <w:tbl>
      <w:tblPr>
        <w:tblStyle w:val="Tabellenraster1"/>
        <w:tblW w:w="11037" w:type="dxa"/>
        <w:jc w:val="center"/>
        <w:tblLayout w:type="fixed"/>
        <w:tblLook w:val="04A0" w:firstRow="1" w:lastRow="0" w:firstColumn="1" w:lastColumn="0" w:noHBand="0" w:noVBand="1"/>
      </w:tblPr>
      <w:tblGrid>
        <w:gridCol w:w="1037"/>
        <w:gridCol w:w="769"/>
        <w:gridCol w:w="768"/>
        <w:gridCol w:w="769"/>
        <w:gridCol w:w="768"/>
        <w:gridCol w:w="770"/>
        <w:gridCol w:w="769"/>
        <w:gridCol w:w="770"/>
        <w:gridCol w:w="769"/>
        <w:gridCol w:w="821"/>
        <w:gridCol w:w="718"/>
        <w:gridCol w:w="770"/>
        <w:gridCol w:w="769"/>
        <w:gridCol w:w="770"/>
      </w:tblGrid>
      <w:tr w:rsidR="0021506B" w:rsidRPr="00593387" w:rsidTr="0021506B">
        <w:trPr>
          <w:trHeight w:val="235"/>
          <w:tblHeader/>
          <w:jc w:val="center"/>
        </w:trPr>
        <w:tc>
          <w:tcPr>
            <w:tcW w:w="1037" w:type="dxa"/>
            <w:tcBorders>
              <w:right w:val="single" w:sz="12" w:space="0" w:color="auto"/>
            </w:tcBorders>
          </w:tcPr>
          <w:p w:rsidR="0021506B" w:rsidRDefault="0021506B" w:rsidP="009B1CF3">
            <w:pPr>
              <w:pStyle w:val="TableTitle"/>
            </w:pPr>
            <w:r>
              <w:t>MS</w:t>
            </w:r>
          </w:p>
        </w:tc>
        <w:tc>
          <w:tcPr>
            <w:tcW w:w="6973" w:type="dxa"/>
            <w:gridSpan w:val="9"/>
            <w:tcBorders>
              <w:left w:val="single" w:sz="12" w:space="0" w:color="auto"/>
              <w:right w:val="single" w:sz="12" w:space="0" w:color="auto"/>
            </w:tcBorders>
          </w:tcPr>
          <w:p w:rsidR="0021506B" w:rsidRDefault="0021506B" w:rsidP="009B1CF3">
            <w:pPr>
              <w:pStyle w:val="TableTitle"/>
            </w:pPr>
            <w:r>
              <w:t>Areas of law</w:t>
            </w:r>
          </w:p>
        </w:tc>
        <w:tc>
          <w:tcPr>
            <w:tcW w:w="3027" w:type="dxa"/>
            <w:gridSpan w:val="4"/>
            <w:tcBorders>
              <w:left w:val="single" w:sz="12" w:space="0" w:color="auto"/>
            </w:tcBorders>
          </w:tcPr>
          <w:p w:rsidR="0021506B" w:rsidRDefault="0021506B" w:rsidP="009B1CF3">
            <w:pPr>
              <w:pStyle w:val="TableTitle"/>
            </w:pPr>
            <w:r>
              <w:t>Roles of the child</w:t>
            </w:r>
          </w:p>
        </w:tc>
      </w:tr>
      <w:tr w:rsidR="0021506B" w:rsidTr="00731E82">
        <w:trPr>
          <w:cantSplit/>
          <w:trHeight w:val="964"/>
          <w:tblHeader/>
          <w:jc w:val="center"/>
        </w:trPr>
        <w:tc>
          <w:tcPr>
            <w:tcW w:w="1037" w:type="dxa"/>
            <w:tcBorders>
              <w:right w:val="single" w:sz="12" w:space="0" w:color="auto"/>
            </w:tcBorders>
            <w:shd w:val="clear" w:color="auto" w:fill="DBE5F1" w:themeFill="accent1" w:themeFillTint="33"/>
          </w:tcPr>
          <w:p w:rsidR="0021506B" w:rsidRPr="00E217F3" w:rsidRDefault="0021506B" w:rsidP="009B1CF3">
            <w:pPr>
              <w:rPr>
                <w:b/>
              </w:rPr>
            </w:pPr>
          </w:p>
        </w:tc>
        <w:tc>
          <w:tcPr>
            <w:tcW w:w="769" w:type="dxa"/>
            <w:tcBorders>
              <w:lef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Family</w:t>
            </w:r>
          </w:p>
        </w:tc>
        <w:tc>
          <w:tcPr>
            <w:tcW w:w="768"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Employment</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Asylum</w:t>
            </w:r>
          </w:p>
        </w:tc>
        <w:tc>
          <w:tcPr>
            <w:tcW w:w="768"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Migration</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Education</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Health</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Placement</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Admin Sanctions</w:t>
            </w:r>
          </w:p>
        </w:tc>
        <w:tc>
          <w:tcPr>
            <w:tcW w:w="821" w:type="dxa"/>
            <w:tcBorders>
              <w:righ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Offences &lt;MACR</w:t>
            </w:r>
          </w:p>
        </w:tc>
        <w:tc>
          <w:tcPr>
            <w:tcW w:w="718" w:type="dxa"/>
            <w:tcBorders>
              <w:left w:val="single" w:sz="12" w:space="0" w:color="auto"/>
            </w:tcBorders>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Witnesses</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Plaintiffs</w:t>
            </w:r>
          </w:p>
        </w:tc>
        <w:tc>
          <w:tcPr>
            <w:tcW w:w="769"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Defendants</w:t>
            </w:r>
          </w:p>
        </w:tc>
        <w:tc>
          <w:tcPr>
            <w:tcW w:w="770" w:type="dxa"/>
            <w:shd w:val="clear" w:color="auto" w:fill="DBE5F1" w:themeFill="accent1" w:themeFillTint="33"/>
            <w:textDirection w:val="btLr"/>
          </w:tcPr>
          <w:p w:rsidR="0021506B" w:rsidRPr="0021506B" w:rsidRDefault="0021506B" w:rsidP="009B1CF3">
            <w:pPr>
              <w:ind w:left="113" w:right="113"/>
              <w:rPr>
                <w:b/>
                <w:sz w:val="12"/>
                <w:szCs w:val="12"/>
              </w:rPr>
            </w:pPr>
            <w:r w:rsidRPr="0021506B">
              <w:rPr>
                <w:b/>
                <w:sz w:val="12"/>
                <w:szCs w:val="12"/>
              </w:rPr>
              <w:t>Subjects</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AT</w:t>
            </w:r>
          </w:p>
        </w:tc>
        <w:tc>
          <w:tcPr>
            <w:tcW w:w="769" w:type="dxa"/>
            <w:tcBorders>
              <w:left w:val="single" w:sz="12" w:space="0" w:color="auto"/>
            </w:tcBorders>
            <w:shd w:val="clear" w:color="auto" w:fill="FFFFFF" w:themeFill="background1"/>
            <w:vAlign w:val="center"/>
          </w:tcPr>
          <w:p w:rsidR="0021506B" w:rsidRPr="00E217F3" w:rsidRDefault="0021506B" w:rsidP="00731E82">
            <w:pPr>
              <w:spacing w:line="240" w:lineRule="auto"/>
              <w:rPr>
                <w:sz w:val="18"/>
                <w:szCs w:val="18"/>
              </w:rPr>
            </w:pPr>
            <w:r>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FFFFFF" w:themeFill="background1"/>
            <w:vAlign w:val="center"/>
          </w:tcPr>
          <w:p w:rsidR="0021506B" w:rsidRDefault="0021506B" w:rsidP="00731E82">
            <w:pPr>
              <w:spacing w:line="240" w:lineRule="auto"/>
            </w:pPr>
            <w:r w:rsidRPr="00666B6A">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D9718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525D4">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BE</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0235CE">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235CE">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sidRPr="005E0477">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D9718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525D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55"/>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BG</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FF1B57">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D9718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525D4">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CY</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666B6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D9718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525D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CZ</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666B6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86181D">
              <w:rPr>
                <w:rFonts w:cs="Arial"/>
                <w:sz w:val="18"/>
                <w:szCs w:val="18"/>
              </w:rPr>
              <w:t>√</w:t>
            </w:r>
          </w:p>
        </w:tc>
        <w:tc>
          <w:tcPr>
            <w:tcW w:w="821" w:type="dxa"/>
            <w:tcBorders>
              <w:right w:val="single" w:sz="12" w:space="0" w:color="auto"/>
            </w:tcBorders>
            <w:shd w:val="clear" w:color="auto" w:fill="FFFFFF" w:themeFill="background1"/>
            <w:vAlign w:val="center"/>
          </w:tcPr>
          <w:p w:rsidR="0021506B" w:rsidRPr="00E217F3" w:rsidRDefault="0021506B" w:rsidP="00731E82">
            <w:pPr>
              <w:spacing w:line="240" w:lineRule="auto"/>
              <w:rPr>
                <w:sz w:val="18"/>
                <w:szCs w:val="18"/>
              </w:rPr>
            </w:pPr>
            <w:r>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D9718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525D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56"/>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DE</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FFFFFF" w:themeFill="background1"/>
            <w:vAlign w:val="center"/>
          </w:tcPr>
          <w:p w:rsidR="0021506B" w:rsidRDefault="0021506B" w:rsidP="00731E82">
            <w:pPr>
              <w:spacing w:line="240" w:lineRule="auto"/>
            </w:pPr>
            <w:r w:rsidRPr="00666B6A">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D9718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F525D4">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DK</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sidRPr="004A6BEE">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57"/>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58"/>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EE</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210CE3">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sidRPr="005844E8">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5844E8">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5844E8">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5844E8">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EL</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210CE3">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ED3BD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ES</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FFFFFF" w:themeFill="background1"/>
            <w:vAlign w:val="center"/>
          </w:tcPr>
          <w:p w:rsidR="0021506B" w:rsidRDefault="0021506B" w:rsidP="00731E82">
            <w:pPr>
              <w:spacing w:line="240" w:lineRule="auto"/>
            </w:pPr>
            <w:r w:rsidRPr="00773B4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773B4D">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773B4D">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773B4D">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773B4D">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773B4D">
              <w:rPr>
                <w:rFonts w:cs="Arial"/>
                <w:sz w:val="18"/>
                <w:szCs w:val="18"/>
              </w:rPr>
              <w:t>√</w:t>
            </w: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ED3BD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59"/>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0"/>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FI</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1D4364">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1D4364">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ED3BD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1"/>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2"/>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FR</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Pr="00E217F3" w:rsidRDefault="0021506B" w:rsidP="00731E82">
            <w:pPr>
              <w:spacing w:line="240" w:lineRule="auto"/>
              <w:rPr>
                <w:sz w:val="18"/>
                <w:szCs w:val="18"/>
              </w:rPr>
            </w:pPr>
            <w:r>
              <w:rPr>
                <w:rFonts w:cs="Arial"/>
                <w:sz w:val="18"/>
                <w:szCs w:val="18"/>
              </w:rPr>
              <w:t>√</w:t>
            </w: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3"/>
            </w:r>
          </w:p>
        </w:tc>
        <w:tc>
          <w:tcPr>
            <w:tcW w:w="770" w:type="dxa"/>
            <w:shd w:val="clear" w:color="auto" w:fill="FFFFFF" w:themeFill="background1"/>
            <w:vAlign w:val="center"/>
          </w:tcPr>
          <w:p w:rsidR="0021506B" w:rsidRDefault="0021506B" w:rsidP="00731E82">
            <w:pPr>
              <w:spacing w:line="240" w:lineRule="auto"/>
            </w:pPr>
            <w:r w:rsidRPr="0017717C">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17717C">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17717C">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0</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C72BE6">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C72BE6">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17717C">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17717C">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17717C">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HU</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A27BD">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0351CA">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6C0D59">
              <w:rPr>
                <w:rFonts w:cs="Arial"/>
                <w:sz w:val="18"/>
                <w:szCs w:val="18"/>
              </w:rPr>
              <w:t>√</w:t>
            </w: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sidRPr="006C0D59">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6C0D5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4"/>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5"/>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IE</w:t>
            </w:r>
          </w:p>
        </w:tc>
        <w:tc>
          <w:tcPr>
            <w:tcW w:w="769" w:type="dxa"/>
            <w:tcBorders>
              <w:lef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D9D9D9" w:themeFill="background1" w:themeFillShade="D9"/>
            <w:vAlign w:val="center"/>
          </w:tcPr>
          <w:p w:rsidR="0021506B" w:rsidRDefault="0021506B" w:rsidP="00731E82">
            <w:pPr>
              <w:spacing w:line="240" w:lineRule="auto"/>
            </w:pPr>
          </w:p>
        </w:tc>
        <w:tc>
          <w:tcPr>
            <w:tcW w:w="769" w:type="dxa"/>
            <w:shd w:val="clear" w:color="auto" w:fill="D9D9D9" w:themeFill="background1" w:themeFillShade="D9"/>
            <w:vAlign w:val="center"/>
          </w:tcPr>
          <w:p w:rsidR="0021506B" w:rsidRDefault="0021506B" w:rsidP="00731E82">
            <w:pPr>
              <w:spacing w:line="240" w:lineRule="auto"/>
            </w:pP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IT</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E15310">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FFFFFF" w:themeFill="background1"/>
            <w:vAlign w:val="center"/>
          </w:tcPr>
          <w:p w:rsidR="0021506B" w:rsidRPr="00E217F3" w:rsidRDefault="0021506B" w:rsidP="00731E82">
            <w:pPr>
              <w:spacing w:line="240" w:lineRule="auto"/>
              <w:rPr>
                <w:sz w:val="18"/>
                <w:szCs w:val="18"/>
              </w:rPr>
            </w:pPr>
            <w:r>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915267">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915267">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915267">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LT</w:t>
            </w:r>
          </w:p>
        </w:tc>
        <w:tc>
          <w:tcPr>
            <w:tcW w:w="769" w:type="dxa"/>
            <w:tcBorders>
              <w:lef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D9D9D9" w:themeFill="background1" w:themeFillShade="D9"/>
            <w:vAlign w:val="center"/>
          </w:tcPr>
          <w:p w:rsidR="0021506B" w:rsidRDefault="0021506B" w:rsidP="00731E82">
            <w:pPr>
              <w:spacing w:line="240" w:lineRule="auto"/>
            </w:pPr>
          </w:p>
        </w:tc>
        <w:tc>
          <w:tcPr>
            <w:tcW w:w="769" w:type="dxa"/>
            <w:shd w:val="clear" w:color="auto" w:fill="D9D9D9" w:themeFill="background1" w:themeFillShade="D9"/>
            <w:vAlign w:val="center"/>
          </w:tcPr>
          <w:p w:rsidR="0021506B" w:rsidRDefault="0021506B" w:rsidP="00731E82">
            <w:pPr>
              <w:spacing w:line="240" w:lineRule="auto"/>
            </w:pP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LU</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2439D2">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LV</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7A5B4C">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2B065E">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2B065E">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MT</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903079">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sidRPr="005D1000">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5D1000">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5D1000">
              <w:rPr>
                <w:rFonts w:cs="Arial"/>
                <w:sz w:val="18"/>
                <w:szCs w:val="18"/>
              </w:rPr>
              <w:t>√</w:t>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NL</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9442E4">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6"/>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7"/>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8"/>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PL</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1005D3">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1005D3">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FFFFFF" w:themeFill="background1"/>
            <w:vAlign w:val="center"/>
          </w:tcPr>
          <w:p w:rsidR="0021506B" w:rsidRDefault="0021506B" w:rsidP="00731E82">
            <w:pPr>
              <w:spacing w:line="240" w:lineRule="auto"/>
            </w:pPr>
            <w:r w:rsidRPr="00D07A8B">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D07A8B">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D07A8B">
              <w:rPr>
                <w:rFonts w:cs="Arial"/>
                <w:sz w:val="18"/>
                <w:szCs w:val="18"/>
              </w:rPr>
              <w:t>√</w:t>
            </w: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69"/>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0"/>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1"/>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2"/>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PT</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1005D3">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1005D3">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3"/>
            </w:r>
          </w:p>
        </w:tc>
        <w:tc>
          <w:tcPr>
            <w:tcW w:w="769"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4"/>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5"/>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RO</w:t>
            </w:r>
          </w:p>
        </w:tc>
        <w:tc>
          <w:tcPr>
            <w:tcW w:w="769" w:type="dxa"/>
            <w:tcBorders>
              <w:left w:val="single" w:sz="12" w:space="0" w:color="auto"/>
            </w:tcBorders>
            <w:shd w:val="clear" w:color="auto" w:fill="FFFFFF" w:themeFill="background1"/>
            <w:vAlign w:val="center"/>
          </w:tcPr>
          <w:p w:rsidR="0021506B" w:rsidRDefault="0021506B" w:rsidP="00731E82">
            <w:pPr>
              <w:spacing w:line="240" w:lineRule="auto"/>
            </w:pPr>
            <w:r w:rsidRPr="001005D3">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1005D3">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68"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821" w:type="dxa"/>
            <w:tcBorders>
              <w:right w:val="single" w:sz="12" w:space="0" w:color="auto"/>
            </w:tcBorders>
            <w:shd w:val="clear" w:color="auto" w:fill="FFFFFF" w:themeFill="background1"/>
            <w:vAlign w:val="center"/>
          </w:tcPr>
          <w:p w:rsidR="0021506B" w:rsidRDefault="0021506B" w:rsidP="00731E82">
            <w:pPr>
              <w:spacing w:line="240" w:lineRule="auto"/>
            </w:pPr>
            <w:r w:rsidRPr="004824F4">
              <w:rPr>
                <w:rFonts w:cs="Arial"/>
                <w:sz w:val="18"/>
                <w:szCs w:val="18"/>
              </w:rPr>
              <w:t>√</w:t>
            </w:r>
          </w:p>
        </w:tc>
        <w:tc>
          <w:tcPr>
            <w:tcW w:w="718" w:type="dxa"/>
            <w:tcBorders>
              <w:left w:val="single" w:sz="12" w:space="0" w:color="auto"/>
            </w:tcBorders>
            <w:shd w:val="clear" w:color="auto" w:fill="FFFFFF" w:themeFill="background1"/>
            <w:vAlign w:val="center"/>
          </w:tcPr>
          <w:p w:rsidR="0021506B" w:rsidRDefault="0021506B" w:rsidP="00731E82">
            <w:pPr>
              <w:spacing w:line="240" w:lineRule="auto"/>
            </w:pPr>
            <w:r>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sidRPr="00B34942">
              <w:rPr>
                <w:rFonts w:cs="Arial"/>
                <w:sz w:val="18"/>
                <w:szCs w:val="18"/>
              </w:rPr>
              <w:t>√</w:t>
            </w:r>
          </w:p>
        </w:tc>
        <w:tc>
          <w:tcPr>
            <w:tcW w:w="769" w:type="dxa"/>
            <w:shd w:val="clear" w:color="auto" w:fill="FFFFFF" w:themeFill="background1"/>
            <w:vAlign w:val="center"/>
          </w:tcPr>
          <w:p w:rsidR="0021506B" w:rsidRDefault="0021506B" w:rsidP="00731E82">
            <w:pPr>
              <w:spacing w:line="240" w:lineRule="auto"/>
            </w:pPr>
            <w:r w:rsidRPr="00B34942">
              <w:rPr>
                <w:rFonts w:cs="Arial"/>
                <w:sz w:val="18"/>
                <w:szCs w:val="18"/>
              </w:rPr>
              <w:t>√</w:t>
            </w:r>
          </w:p>
        </w:tc>
        <w:tc>
          <w:tcPr>
            <w:tcW w:w="770" w:type="dxa"/>
            <w:shd w:val="clear" w:color="auto" w:fill="FFFFFF" w:themeFill="background1"/>
            <w:vAlign w:val="center"/>
          </w:tcPr>
          <w:p w:rsidR="0021506B" w:rsidRDefault="0021506B" w:rsidP="00731E82">
            <w:pPr>
              <w:spacing w:line="240" w:lineRule="auto"/>
            </w:pPr>
            <w:r>
              <w:rPr>
                <w:rFonts w:cs="Arial"/>
                <w:sz w:val="18"/>
                <w:szCs w:val="18"/>
              </w:rPr>
              <w:t>√</w:t>
            </w:r>
            <w:r>
              <w:rPr>
                <w:rStyle w:val="EndnoteReference"/>
              </w:rPr>
              <w:endnoteReference w:id="376"/>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SE</w:t>
            </w:r>
          </w:p>
        </w:tc>
        <w:tc>
          <w:tcPr>
            <w:tcW w:w="769" w:type="dxa"/>
            <w:tcBorders>
              <w:left w:val="single" w:sz="12" w:space="0" w:color="auto"/>
            </w:tcBorders>
            <w:vAlign w:val="center"/>
          </w:tcPr>
          <w:p w:rsidR="0021506B" w:rsidRDefault="0021506B" w:rsidP="00731E82">
            <w:pPr>
              <w:spacing w:line="240" w:lineRule="auto"/>
            </w:pPr>
            <w:r w:rsidRPr="001005D3">
              <w:rPr>
                <w:rFonts w:cs="Arial"/>
                <w:sz w:val="18"/>
                <w:szCs w:val="18"/>
              </w:rPr>
              <w:t>√</w:t>
            </w:r>
          </w:p>
        </w:tc>
        <w:tc>
          <w:tcPr>
            <w:tcW w:w="768" w:type="dxa"/>
            <w:vAlign w:val="center"/>
          </w:tcPr>
          <w:p w:rsidR="0021506B" w:rsidRDefault="0021506B" w:rsidP="00731E82">
            <w:pPr>
              <w:spacing w:line="240" w:lineRule="auto"/>
            </w:pPr>
            <w:r w:rsidRPr="001005D3">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vAlign w:val="center"/>
          </w:tcPr>
          <w:p w:rsidR="0021506B" w:rsidRDefault="0021506B" w:rsidP="00731E82">
            <w:pPr>
              <w:spacing w:line="240" w:lineRule="auto"/>
            </w:pPr>
            <w:r w:rsidRPr="00E51D00">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vAlign w:val="center"/>
          </w:tcPr>
          <w:p w:rsidR="0021506B" w:rsidRDefault="0021506B" w:rsidP="00731E82">
            <w:pPr>
              <w:spacing w:line="240" w:lineRule="auto"/>
            </w:pPr>
            <w:r w:rsidRPr="00B34942">
              <w:rPr>
                <w:rFonts w:cs="Arial"/>
                <w:sz w:val="18"/>
                <w:szCs w:val="18"/>
              </w:rPr>
              <w:t>√</w:t>
            </w:r>
          </w:p>
        </w:tc>
        <w:tc>
          <w:tcPr>
            <w:tcW w:w="769" w:type="dxa"/>
            <w:vAlign w:val="center"/>
          </w:tcPr>
          <w:p w:rsidR="0021506B" w:rsidRDefault="0021506B" w:rsidP="00731E82">
            <w:pPr>
              <w:spacing w:line="240" w:lineRule="auto"/>
            </w:pPr>
            <w:r w:rsidRPr="00B34942">
              <w:rPr>
                <w:rFonts w:cs="Arial"/>
                <w:sz w:val="18"/>
                <w:szCs w:val="18"/>
              </w:rPr>
              <w:t>√</w:t>
            </w:r>
          </w:p>
        </w:tc>
        <w:tc>
          <w:tcPr>
            <w:tcW w:w="770" w:type="dxa"/>
            <w:vAlign w:val="center"/>
          </w:tcPr>
          <w:p w:rsidR="0021506B" w:rsidRDefault="0021506B" w:rsidP="00731E82">
            <w:pPr>
              <w:spacing w:line="240" w:lineRule="auto"/>
            </w:pPr>
            <w:r>
              <w:rPr>
                <w:rFonts w:cs="Arial"/>
                <w:sz w:val="18"/>
                <w:szCs w:val="18"/>
              </w:rPr>
              <w:t>√</w:t>
            </w:r>
            <w:r>
              <w:rPr>
                <w:rStyle w:val="EndnoteReference"/>
              </w:rPr>
              <w:endnoteReference w:id="377"/>
            </w: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SI</w:t>
            </w:r>
          </w:p>
        </w:tc>
        <w:tc>
          <w:tcPr>
            <w:tcW w:w="769" w:type="dxa"/>
            <w:tcBorders>
              <w:left w:val="single" w:sz="12" w:space="0" w:color="auto"/>
            </w:tcBorders>
            <w:vAlign w:val="center"/>
          </w:tcPr>
          <w:p w:rsidR="0021506B" w:rsidRDefault="0021506B" w:rsidP="00731E82">
            <w:pPr>
              <w:spacing w:line="240" w:lineRule="auto"/>
            </w:pPr>
            <w:r w:rsidRPr="001005D3">
              <w:rPr>
                <w:rFonts w:cs="Arial"/>
                <w:sz w:val="18"/>
                <w:szCs w:val="18"/>
              </w:rPr>
              <w:t>√</w:t>
            </w:r>
          </w:p>
        </w:tc>
        <w:tc>
          <w:tcPr>
            <w:tcW w:w="768" w:type="dxa"/>
            <w:vAlign w:val="center"/>
          </w:tcPr>
          <w:p w:rsidR="0021506B" w:rsidRDefault="0021506B" w:rsidP="00731E82">
            <w:pPr>
              <w:spacing w:line="240" w:lineRule="auto"/>
            </w:pPr>
            <w:r w:rsidRPr="001005D3">
              <w:rPr>
                <w:rFonts w:cs="Arial"/>
                <w:sz w:val="18"/>
                <w:szCs w:val="18"/>
              </w:rPr>
              <w:t>√</w:t>
            </w:r>
          </w:p>
        </w:tc>
        <w:tc>
          <w:tcPr>
            <w:tcW w:w="769" w:type="dxa"/>
            <w:vAlign w:val="center"/>
          </w:tcPr>
          <w:p w:rsidR="0021506B" w:rsidRDefault="0021506B" w:rsidP="00731E82">
            <w:pPr>
              <w:spacing w:line="240" w:lineRule="auto"/>
            </w:pPr>
            <w:r w:rsidRPr="005F6A25">
              <w:rPr>
                <w:rFonts w:cs="Arial"/>
                <w:sz w:val="18"/>
                <w:szCs w:val="18"/>
              </w:rPr>
              <w:t>√</w:t>
            </w:r>
          </w:p>
        </w:tc>
        <w:tc>
          <w:tcPr>
            <w:tcW w:w="768" w:type="dxa"/>
            <w:vAlign w:val="center"/>
          </w:tcPr>
          <w:p w:rsidR="0021506B" w:rsidRDefault="0021506B" w:rsidP="00731E82">
            <w:pPr>
              <w:spacing w:line="240" w:lineRule="auto"/>
            </w:pPr>
            <w:r w:rsidRPr="005F6A25">
              <w:rPr>
                <w:rFonts w:cs="Arial"/>
                <w:sz w:val="18"/>
                <w:szCs w:val="18"/>
              </w:rPr>
              <w:t>√</w:t>
            </w:r>
          </w:p>
        </w:tc>
        <w:tc>
          <w:tcPr>
            <w:tcW w:w="770" w:type="dxa"/>
            <w:vAlign w:val="center"/>
          </w:tcPr>
          <w:p w:rsidR="0021506B" w:rsidRDefault="0021506B" w:rsidP="00731E82">
            <w:pPr>
              <w:spacing w:line="240" w:lineRule="auto"/>
            </w:pPr>
            <w:r w:rsidRPr="005F6A25">
              <w:rPr>
                <w:rFonts w:cs="Arial"/>
                <w:sz w:val="18"/>
                <w:szCs w:val="18"/>
              </w:rPr>
              <w:t>√</w:t>
            </w:r>
          </w:p>
        </w:tc>
        <w:tc>
          <w:tcPr>
            <w:tcW w:w="769" w:type="dxa"/>
            <w:vAlign w:val="center"/>
          </w:tcPr>
          <w:p w:rsidR="0021506B" w:rsidRDefault="0021506B" w:rsidP="00731E82">
            <w:pPr>
              <w:spacing w:line="240" w:lineRule="auto"/>
            </w:pPr>
            <w:r w:rsidRPr="005F6A25">
              <w:rPr>
                <w:rFonts w:cs="Arial"/>
                <w:sz w:val="18"/>
                <w:szCs w:val="18"/>
              </w:rPr>
              <w:t>√</w:t>
            </w:r>
          </w:p>
        </w:tc>
        <w:tc>
          <w:tcPr>
            <w:tcW w:w="770" w:type="dxa"/>
            <w:vAlign w:val="center"/>
          </w:tcPr>
          <w:p w:rsidR="0021506B" w:rsidRDefault="0021506B" w:rsidP="00731E82">
            <w:pPr>
              <w:spacing w:line="240" w:lineRule="auto"/>
            </w:pPr>
            <w:r w:rsidRPr="005F6A25">
              <w:rPr>
                <w:rFonts w:cs="Arial"/>
                <w:sz w:val="18"/>
                <w:szCs w:val="18"/>
              </w:rPr>
              <w:t>√</w:t>
            </w:r>
          </w:p>
        </w:tc>
        <w:tc>
          <w:tcPr>
            <w:tcW w:w="769" w:type="dxa"/>
            <w:vAlign w:val="center"/>
          </w:tcPr>
          <w:p w:rsidR="0021506B" w:rsidRDefault="0021506B" w:rsidP="00731E82">
            <w:pPr>
              <w:spacing w:line="240" w:lineRule="auto"/>
            </w:pPr>
            <w:r w:rsidRPr="005F6A25">
              <w:rPr>
                <w:rFonts w:cs="Arial"/>
                <w:sz w:val="18"/>
                <w:szCs w:val="18"/>
              </w:rPr>
              <w:t>√</w:t>
            </w: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vAlign w:val="center"/>
          </w:tcPr>
          <w:p w:rsidR="0021506B" w:rsidRDefault="0021506B" w:rsidP="00731E82">
            <w:pPr>
              <w:spacing w:line="240" w:lineRule="auto"/>
            </w:pPr>
            <w:r w:rsidRPr="00B34942">
              <w:rPr>
                <w:rFonts w:cs="Arial"/>
                <w:sz w:val="18"/>
                <w:szCs w:val="18"/>
              </w:rPr>
              <w:t>√</w:t>
            </w:r>
          </w:p>
        </w:tc>
        <w:tc>
          <w:tcPr>
            <w:tcW w:w="769" w:type="dxa"/>
            <w:vAlign w:val="center"/>
          </w:tcPr>
          <w:p w:rsidR="0021506B" w:rsidRDefault="0021506B" w:rsidP="00731E82">
            <w:pPr>
              <w:spacing w:line="240" w:lineRule="auto"/>
            </w:pPr>
            <w:r w:rsidRPr="00B34942">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SK</w:t>
            </w:r>
          </w:p>
        </w:tc>
        <w:tc>
          <w:tcPr>
            <w:tcW w:w="769" w:type="dxa"/>
            <w:tcBorders>
              <w:left w:val="single" w:sz="12" w:space="0" w:color="auto"/>
            </w:tcBorders>
            <w:vAlign w:val="center"/>
          </w:tcPr>
          <w:p w:rsidR="0021506B" w:rsidRDefault="0021506B" w:rsidP="00731E82">
            <w:pPr>
              <w:spacing w:line="240" w:lineRule="auto"/>
            </w:pPr>
            <w:r w:rsidRPr="001005D3">
              <w:rPr>
                <w:rFonts w:cs="Arial"/>
                <w:sz w:val="18"/>
                <w:szCs w:val="18"/>
              </w:rPr>
              <w:t>√</w:t>
            </w:r>
          </w:p>
        </w:tc>
        <w:tc>
          <w:tcPr>
            <w:tcW w:w="768" w:type="dxa"/>
            <w:vAlign w:val="center"/>
          </w:tcPr>
          <w:p w:rsidR="0021506B" w:rsidRDefault="0021506B" w:rsidP="00731E82">
            <w:pPr>
              <w:spacing w:line="240" w:lineRule="auto"/>
            </w:pPr>
            <w:r w:rsidRPr="001005D3">
              <w:rPr>
                <w:rFonts w:cs="Arial"/>
                <w:sz w:val="18"/>
                <w:szCs w:val="18"/>
              </w:rPr>
              <w:t>√</w:t>
            </w:r>
          </w:p>
        </w:tc>
        <w:tc>
          <w:tcPr>
            <w:tcW w:w="769" w:type="dxa"/>
            <w:vAlign w:val="center"/>
          </w:tcPr>
          <w:p w:rsidR="0021506B" w:rsidRDefault="0021506B" w:rsidP="00731E82">
            <w:pPr>
              <w:spacing w:line="240" w:lineRule="auto"/>
            </w:pPr>
            <w:r w:rsidRPr="00A42471">
              <w:rPr>
                <w:rFonts w:cs="Arial"/>
                <w:sz w:val="18"/>
                <w:szCs w:val="18"/>
              </w:rPr>
              <w:t>√</w:t>
            </w:r>
          </w:p>
        </w:tc>
        <w:tc>
          <w:tcPr>
            <w:tcW w:w="768" w:type="dxa"/>
            <w:vAlign w:val="center"/>
          </w:tcPr>
          <w:p w:rsidR="0021506B" w:rsidRDefault="0021506B" w:rsidP="00731E82">
            <w:pPr>
              <w:spacing w:line="240" w:lineRule="auto"/>
            </w:pPr>
            <w:r w:rsidRPr="00A42471">
              <w:rPr>
                <w:rFonts w:cs="Arial"/>
                <w:sz w:val="18"/>
                <w:szCs w:val="18"/>
              </w:rPr>
              <w:t>√</w:t>
            </w:r>
          </w:p>
        </w:tc>
        <w:tc>
          <w:tcPr>
            <w:tcW w:w="770" w:type="dxa"/>
            <w:vAlign w:val="center"/>
          </w:tcPr>
          <w:p w:rsidR="0021506B" w:rsidRDefault="0021506B" w:rsidP="00731E82">
            <w:pPr>
              <w:spacing w:line="240" w:lineRule="auto"/>
            </w:pPr>
            <w:r w:rsidRPr="00A42471">
              <w:rPr>
                <w:rFonts w:cs="Arial"/>
                <w:sz w:val="18"/>
                <w:szCs w:val="18"/>
              </w:rPr>
              <w:t>√</w:t>
            </w:r>
          </w:p>
        </w:tc>
        <w:tc>
          <w:tcPr>
            <w:tcW w:w="769" w:type="dxa"/>
            <w:vAlign w:val="center"/>
          </w:tcPr>
          <w:p w:rsidR="0021506B" w:rsidRDefault="0021506B" w:rsidP="00731E82">
            <w:pPr>
              <w:spacing w:line="240" w:lineRule="auto"/>
            </w:pPr>
            <w:r w:rsidRPr="00A42471">
              <w:rPr>
                <w:rFonts w:cs="Arial"/>
                <w:sz w:val="18"/>
                <w:szCs w:val="18"/>
              </w:rPr>
              <w:t>√</w:t>
            </w:r>
          </w:p>
        </w:tc>
        <w:tc>
          <w:tcPr>
            <w:tcW w:w="770" w:type="dxa"/>
            <w:vAlign w:val="center"/>
          </w:tcPr>
          <w:p w:rsidR="0021506B" w:rsidRDefault="0021506B" w:rsidP="00731E82">
            <w:pPr>
              <w:spacing w:line="240" w:lineRule="auto"/>
            </w:pPr>
            <w:r w:rsidRPr="00A42471">
              <w:rPr>
                <w:rFonts w:cs="Arial"/>
                <w:sz w:val="18"/>
                <w:szCs w:val="18"/>
              </w:rPr>
              <w:t>√</w:t>
            </w:r>
          </w:p>
        </w:tc>
        <w:tc>
          <w:tcPr>
            <w:tcW w:w="769" w:type="dxa"/>
            <w:vAlign w:val="center"/>
          </w:tcPr>
          <w:p w:rsidR="0021506B" w:rsidRDefault="0021506B" w:rsidP="00731E82">
            <w:pPr>
              <w:spacing w:line="240" w:lineRule="auto"/>
            </w:pPr>
            <w:r w:rsidRPr="00A42471">
              <w:rPr>
                <w:rFonts w:cs="Arial"/>
                <w:sz w:val="18"/>
                <w:szCs w:val="18"/>
              </w:rPr>
              <w:t>√</w:t>
            </w:r>
          </w:p>
        </w:tc>
        <w:tc>
          <w:tcPr>
            <w:tcW w:w="821" w:type="dxa"/>
            <w:tcBorders>
              <w:right w:val="single" w:sz="12" w:space="0" w:color="auto"/>
            </w:tcBorders>
            <w:vAlign w:val="center"/>
          </w:tcPr>
          <w:p w:rsidR="0021506B" w:rsidRDefault="0021506B" w:rsidP="00731E82">
            <w:pPr>
              <w:spacing w:line="240" w:lineRule="auto"/>
            </w:pPr>
            <w:r w:rsidRPr="00A42471">
              <w:rPr>
                <w:rFonts w:cs="Arial"/>
                <w:sz w:val="18"/>
                <w:szCs w:val="18"/>
              </w:rPr>
              <w:t>√</w:t>
            </w: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vAlign w:val="center"/>
          </w:tcPr>
          <w:p w:rsidR="0021506B" w:rsidRDefault="0021506B" w:rsidP="00731E82">
            <w:pPr>
              <w:spacing w:line="240" w:lineRule="auto"/>
            </w:pPr>
            <w:r w:rsidRPr="00B34942">
              <w:rPr>
                <w:rFonts w:cs="Arial"/>
                <w:sz w:val="18"/>
                <w:szCs w:val="18"/>
              </w:rPr>
              <w:t>√</w:t>
            </w:r>
          </w:p>
        </w:tc>
        <w:tc>
          <w:tcPr>
            <w:tcW w:w="769" w:type="dxa"/>
            <w:vAlign w:val="center"/>
          </w:tcPr>
          <w:p w:rsidR="0021506B" w:rsidRDefault="0021506B" w:rsidP="00731E82">
            <w:pPr>
              <w:spacing w:line="240" w:lineRule="auto"/>
            </w:pPr>
            <w:r w:rsidRPr="00B34942">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UK-E&amp;W</w:t>
            </w:r>
          </w:p>
        </w:tc>
        <w:tc>
          <w:tcPr>
            <w:tcW w:w="769" w:type="dxa"/>
            <w:tcBorders>
              <w:left w:val="single" w:sz="12" w:space="0" w:color="auto"/>
            </w:tcBorders>
            <w:vAlign w:val="center"/>
          </w:tcPr>
          <w:p w:rsidR="0021506B" w:rsidRDefault="0021506B" w:rsidP="00731E82">
            <w:pPr>
              <w:spacing w:line="240" w:lineRule="auto"/>
            </w:pPr>
            <w:r w:rsidRPr="005F44A1">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vAlign w:val="center"/>
          </w:tcPr>
          <w:p w:rsidR="0021506B" w:rsidRDefault="0021506B" w:rsidP="00731E82">
            <w:pPr>
              <w:spacing w:line="240" w:lineRule="auto"/>
            </w:pPr>
            <w:r w:rsidRPr="00E51D00">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vAlign w:val="center"/>
          </w:tcPr>
          <w:p w:rsidR="0021506B" w:rsidRDefault="0021506B" w:rsidP="00731E82">
            <w:pPr>
              <w:spacing w:line="240" w:lineRule="auto"/>
            </w:pPr>
            <w:r w:rsidRPr="00B34942">
              <w:rPr>
                <w:rFonts w:cs="Arial"/>
                <w:sz w:val="18"/>
                <w:szCs w:val="18"/>
              </w:rPr>
              <w:t>√</w:t>
            </w:r>
          </w:p>
        </w:tc>
        <w:tc>
          <w:tcPr>
            <w:tcW w:w="769" w:type="dxa"/>
            <w:vAlign w:val="center"/>
          </w:tcPr>
          <w:p w:rsidR="0021506B" w:rsidRDefault="0021506B" w:rsidP="00731E82">
            <w:pPr>
              <w:spacing w:line="240" w:lineRule="auto"/>
            </w:pPr>
            <w:r w:rsidRPr="00B34942">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21506B" w:rsidP="00731E82">
            <w:pPr>
              <w:pStyle w:val="BTBullet1"/>
              <w:numPr>
                <w:ilvl w:val="0"/>
                <w:numId w:val="0"/>
              </w:numPr>
              <w:spacing w:line="240" w:lineRule="auto"/>
              <w:rPr>
                <w:b/>
                <w:sz w:val="16"/>
                <w:szCs w:val="16"/>
              </w:rPr>
            </w:pPr>
            <w:r w:rsidRPr="00731E82">
              <w:rPr>
                <w:b/>
                <w:sz w:val="16"/>
                <w:szCs w:val="16"/>
              </w:rPr>
              <w:t>UK-NI</w:t>
            </w:r>
          </w:p>
        </w:tc>
        <w:tc>
          <w:tcPr>
            <w:tcW w:w="769" w:type="dxa"/>
            <w:tcBorders>
              <w:left w:val="single" w:sz="12" w:space="0" w:color="auto"/>
            </w:tcBorders>
            <w:vAlign w:val="center"/>
          </w:tcPr>
          <w:p w:rsidR="0021506B" w:rsidRDefault="0021506B" w:rsidP="00731E82">
            <w:pPr>
              <w:spacing w:line="240" w:lineRule="auto"/>
            </w:pPr>
            <w:r w:rsidRPr="005F44A1">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vAlign w:val="center"/>
          </w:tcPr>
          <w:p w:rsidR="0021506B" w:rsidRDefault="0021506B" w:rsidP="00731E82">
            <w:pPr>
              <w:spacing w:line="240" w:lineRule="auto"/>
            </w:pPr>
            <w:r w:rsidRPr="00E51D00">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shd w:val="clear" w:color="auto" w:fill="D9D9D9" w:themeFill="background1" w:themeFillShade="D9"/>
            <w:vAlign w:val="center"/>
          </w:tcPr>
          <w:p w:rsidR="0021506B" w:rsidRPr="00E217F3" w:rsidRDefault="0021506B" w:rsidP="00731E82">
            <w:pPr>
              <w:spacing w:line="240" w:lineRule="auto"/>
              <w:rPr>
                <w:sz w:val="18"/>
                <w:szCs w:val="18"/>
              </w:rPr>
            </w:pPr>
          </w:p>
        </w:tc>
        <w:tc>
          <w:tcPr>
            <w:tcW w:w="718" w:type="dxa"/>
            <w:tcBorders>
              <w:left w:val="single" w:sz="12" w:space="0" w:color="auto"/>
            </w:tcBorders>
            <w:shd w:val="clear" w:color="auto" w:fill="D9D9D9" w:themeFill="background1" w:themeFillShade="D9"/>
            <w:vAlign w:val="center"/>
          </w:tcPr>
          <w:p w:rsidR="0021506B" w:rsidRDefault="0021506B" w:rsidP="00731E82">
            <w:pPr>
              <w:spacing w:line="240" w:lineRule="auto"/>
            </w:pPr>
          </w:p>
        </w:tc>
        <w:tc>
          <w:tcPr>
            <w:tcW w:w="770" w:type="dxa"/>
            <w:vAlign w:val="center"/>
          </w:tcPr>
          <w:p w:rsidR="0021506B" w:rsidRDefault="0021506B" w:rsidP="00731E82">
            <w:pPr>
              <w:spacing w:line="240" w:lineRule="auto"/>
            </w:pPr>
            <w:r w:rsidRPr="00B34942">
              <w:rPr>
                <w:rFonts w:cs="Arial"/>
                <w:sz w:val="18"/>
                <w:szCs w:val="18"/>
              </w:rPr>
              <w:t>√</w:t>
            </w:r>
          </w:p>
        </w:tc>
        <w:tc>
          <w:tcPr>
            <w:tcW w:w="769" w:type="dxa"/>
            <w:vAlign w:val="center"/>
          </w:tcPr>
          <w:p w:rsidR="0021506B" w:rsidRDefault="0021506B" w:rsidP="00731E82">
            <w:pPr>
              <w:spacing w:line="240" w:lineRule="auto"/>
            </w:pPr>
            <w:r w:rsidRPr="00B34942">
              <w:rPr>
                <w:rFonts w:cs="Arial"/>
                <w:sz w:val="18"/>
                <w:szCs w:val="18"/>
              </w:rPr>
              <w:t>√</w:t>
            </w:r>
          </w:p>
        </w:tc>
        <w:tc>
          <w:tcPr>
            <w:tcW w:w="770" w:type="dxa"/>
            <w:shd w:val="clear" w:color="auto" w:fill="D9D9D9" w:themeFill="background1" w:themeFillShade="D9"/>
            <w:vAlign w:val="center"/>
          </w:tcPr>
          <w:p w:rsidR="0021506B" w:rsidRDefault="0021506B" w:rsidP="00731E82">
            <w:pPr>
              <w:spacing w:line="240" w:lineRule="auto"/>
            </w:pPr>
          </w:p>
        </w:tc>
      </w:tr>
      <w:tr w:rsidR="0021506B" w:rsidTr="00731E82">
        <w:trPr>
          <w:cantSplit/>
          <w:trHeight w:hRule="exact" w:val="288"/>
          <w:jc w:val="center"/>
        </w:trPr>
        <w:tc>
          <w:tcPr>
            <w:tcW w:w="1037" w:type="dxa"/>
            <w:tcBorders>
              <w:right w:val="single" w:sz="12" w:space="0" w:color="auto"/>
            </w:tcBorders>
            <w:shd w:val="clear" w:color="auto" w:fill="DBE5F1" w:themeFill="accent1" w:themeFillTint="33"/>
            <w:vAlign w:val="center"/>
          </w:tcPr>
          <w:p w:rsidR="0021506B" w:rsidRPr="00731E82" w:rsidRDefault="00CD7610" w:rsidP="00731E82">
            <w:pPr>
              <w:pStyle w:val="BTBullet1"/>
              <w:numPr>
                <w:ilvl w:val="0"/>
                <w:numId w:val="0"/>
              </w:numPr>
              <w:spacing w:line="240" w:lineRule="auto"/>
              <w:rPr>
                <w:b/>
                <w:sz w:val="16"/>
                <w:szCs w:val="16"/>
              </w:rPr>
            </w:pPr>
            <w:r w:rsidRPr="00731E82">
              <w:rPr>
                <w:b/>
                <w:sz w:val="16"/>
                <w:szCs w:val="16"/>
              </w:rPr>
              <w:t>UK-S</w:t>
            </w:r>
          </w:p>
        </w:tc>
        <w:tc>
          <w:tcPr>
            <w:tcW w:w="769" w:type="dxa"/>
            <w:tcBorders>
              <w:left w:val="single" w:sz="12" w:space="0" w:color="auto"/>
            </w:tcBorders>
            <w:vAlign w:val="center"/>
          </w:tcPr>
          <w:p w:rsidR="0021506B" w:rsidRDefault="0021506B" w:rsidP="00731E82">
            <w:pPr>
              <w:spacing w:line="240" w:lineRule="auto"/>
            </w:pPr>
            <w:r w:rsidRPr="005F44A1">
              <w:rPr>
                <w:rFonts w:cs="Arial"/>
                <w:sz w:val="18"/>
                <w:szCs w:val="18"/>
              </w:rPr>
              <w:t>√</w:t>
            </w:r>
          </w:p>
        </w:tc>
        <w:tc>
          <w:tcPr>
            <w:tcW w:w="768"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vAlign w:val="center"/>
          </w:tcPr>
          <w:p w:rsidR="0021506B" w:rsidRDefault="0021506B" w:rsidP="00731E82">
            <w:pPr>
              <w:spacing w:line="240" w:lineRule="auto"/>
            </w:pPr>
            <w:r w:rsidRPr="00B27139">
              <w:rPr>
                <w:rFonts w:cs="Arial"/>
                <w:sz w:val="18"/>
                <w:szCs w:val="18"/>
              </w:rPr>
              <w:t>√</w:t>
            </w:r>
          </w:p>
        </w:tc>
        <w:tc>
          <w:tcPr>
            <w:tcW w:w="768" w:type="dxa"/>
            <w:vAlign w:val="center"/>
          </w:tcPr>
          <w:p w:rsidR="0021506B" w:rsidRDefault="0021506B" w:rsidP="00731E82">
            <w:pPr>
              <w:spacing w:line="240" w:lineRule="auto"/>
            </w:pPr>
            <w:r w:rsidRPr="00B27139">
              <w:rPr>
                <w:rFonts w:cs="Arial"/>
                <w:sz w:val="18"/>
                <w:szCs w:val="18"/>
              </w:rPr>
              <w:t>√</w:t>
            </w:r>
          </w:p>
        </w:tc>
        <w:tc>
          <w:tcPr>
            <w:tcW w:w="770"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770" w:type="dxa"/>
            <w:vAlign w:val="center"/>
          </w:tcPr>
          <w:p w:rsidR="0021506B" w:rsidRDefault="0021506B" w:rsidP="00731E82">
            <w:pPr>
              <w:spacing w:line="240" w:lineRule="auto"/>
            </w:pPr>
            <w:r w:rsidRPr="00E51D00">
              <w:rPr>
                <w:rFonts w:cs="Arial"/>
                <w:sz w:val="18"/>
                <w:szCs w:val="18"/>
              </w:rPr>
              <w:t>√</w:t>
            </w:r>
          </w:p>
        </w:tc>
        <w:tc>
          <w:tcPr>
            <w:tcW w:w="769" w:type="dxa"/>
            <w:shd w:val="clear" w:color="auto" w:fill="D9D9D9" w:themeFill="background1" w:themeFillShade="D9"/>
            <w:vAlign w:val="center"/>
          </w:tcPr>
          <w:p w:rsidR="0021506B" w:rsidRPr="00E217F3" w:rsidRDefault="0021506B" w:rsidP="00731E82">
            <w:pPr>
              <w:spacing w:line="240" w:lineRule="auto"/>
              <w:rPr>
                <w:sz w:val="18"/>
                <w:szCs w:val="18"/>
              </w:rPr>
            </w:pPr>
          </w:p>
        </w:tc>
        <w:tc>
          <w:tcPr>
            <w:tcW w:w="821" w:type="dxa"/>
            <w:tcBorders>
              <w:right w:val="single" w:sz="12" w:space="0" w:color="auto"/>
            </w:tcBorders>
            <w:vAlign w:val="center"/>
          </w:tcPr>
          <w:p w:rsidR="0021506B" w:rsidRDefault="0021506B" w:rsidP="00731E82">
            <w:pPr>
              <w:spacing w:line="240" w:lineRule="auto"/>
            </w:pPr>
            <w:r w:rsidRPr="00955153">
              <w:rPr>
                <w:rFonts w:cs="Arial"/>
                <w:sz w:val="18"/>
                <w:szCs w:val="18"/>
              </w:rPr>
              <w:t>√</w:t>
            </w:r>
          </w:p>
        </w:tc>
        <w:tc>
          <w:tcPr>
            <w:tcW w:w="718" w:type="dxa"/>
            <w:tcBorders>
              <w:left w:val="single" w:sz="12" w:space="0" w:color="auto"/>
            </w:tcBorders>
            <w:vAlign w:val="center"/>
          </w:tcPr>
          <w:p w:rsidR="0021506B" w:rsidRDefault="0021506B" w:rsidP="00731E82">
            <w:pPr>
              <w:spacing w:line="240" w:lineRule="auto"/>
            </w:pPr>
            <w:r w:rsidRPr="00955153">
              <w:rPr>
                <w:rFonts w:cs="Arial"/>
                <w:sz w:val="18"/>
                <w:szCs w:val="18"/>
              </w:rPr>
              <w:t>√</w:t>
            </w:r>
          </w:p>
        </w:tc>
        <w:tc>
          <w:tcPr>
            <w:tcW w:w="770" w:type="dxa"/>
            <w:vAlign w:val="center"/>
          </w:tcPr>
          <w:p w:rsidR="0021506B" w:rsidRDefault="0021506B" w:rsidP="00731E82">
            <w:pPr>
              <w:spacing w:line="240" w:lineRule="auto"/>
            </w:pPr>
            <w:r w:rsidRPr="00955153">
              <w:rPr>
                <w:rFonts w:cs="Arial"/>
                <w:sz w:val="18"/>
                <w:szCs w:val="18"/>
              </w:rPr>
              <w:t>√</w:t>
            </w:r>
          </w:p>
        </w:tc>
        <w:tc>
          <w:tcPr>
            <w:tcW w:w="769" w:type="dxa"/>
            <w:vAlign w:val="center"/>
          </w:tcPr>
          <w:p w:rsidR="0021506B" w:rsidRDefault="0021506B" w:rsidP="00731E82">
            <w:pPr>
              <w:spacing w:line="240" w:lineRule="auto"/>
            </w:pPr>
            <w:r w:rsidRPr="00955153">
              <w:rPr>
                <w:rFonts w:cs="Arial"/>
                <w:sz w:val="18"/>
                <w:szCs w:val="18"/>
              </w:rPr>
              <w:t>√</w:t>
            </w:r>
          </w:p>
        </w:tc>
        <w:tc>
          <w:tcPr>
            <w:tcW w:w="770" w:type="dxa"/>
            <w:vAlign w:val="center"/>
          </w:tcPr>
          <w:p w:rsidR="0021506B" w:rsidRDefault="0021506B" w:rsidP="00731E82">
            <w:pPr>
              <w:spacing w:line="240" w:lineRule="auto"/>
            </w:pPr>
            <w:r w:rsidRPr="00955153">
              <w:rPr>
                <w:rFonts w:cs="Arial"/>
                <w:sz w:val="18"/>
                <w:szCs w:val="18"/>
              </w:rPr>
              <w:t>√</w:t>
            </w:r>
          </w:p>
        </w:tc>
      </w:tr>
      <w:tr w:rsidR="0021506B" w:rsidTr="00731E82">
        <w:trPr>
          <w:cantSplit/>
          <w:trHeight w:hRule="exact" w:val="372"/>
          <w:jc w:val="center"/>
        </w:trPr>
        <w:tc>
          <w:tcPr>
            <w:tcW w:w="1037" w:type="dxa"/>
            <w:tcBorders>
              <w:right w:val="single" w:sz="12" w:space="0" w:color="auto"/>
            </w:tcBorders>
            <w:shd w:val="clear" w:color="auto" w:fill="FFFFFF" w:themeFill="background1"/>
            <w:vAlign w:val="center"/>
          </w:tcPr>
          <w:p w:rsidR="0021506B" w:rsidRPr="006D36D3" w:rsidRDefault="0021506B" w:rsidP="00731E82">
            <w:pPr>
              <w:pStyle w:val="BTBullet1"/>
              <w:numPr>
                <w:ilvl w:val="0"/>
                <w:numId w:val="0"/>
              </w:numPr>
              <w:spacing w:line="240" w:lineRule="auto"/>
              <w:rPr>
                <w:b/>
                <w:sz w:val="16"/>
                <w:szCs w:val="16"/>
              </w:rPr>
            </w:pPr>
            <w:r>
              <w:rPr>
                <w:b/>
                <w:sz w:val="16"/>
                <w:szCs w:val="16"/>
              </w:rPr>
              <w:t>Total Yes</w:t>
            </w:r>
          </w:p>
        </w:tc>
        <w:tc>
          <w:tcPr>
            <w:tcW w:w="769" w:type="dxa"/>
            <w:tcBorders>
              <w:left w:val="single" w:sz="12" w:space="0" w:color="auto"/>
            </w:tcBorders>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28</w:t>
            </w:r>
          </w:p>
        </w:tc>
        <w:tc>
          <w:tcPr>
            <w:tcW w:w="768" w:type="dxa"/>
            <w:shd w:val="clear" w:color="auto" w:fill="auto"/>
            <w:vAlign w:val="center"/>
          </w:tcPr>
          <w:p w:rsidR="0021506B" w:rsidRPr="00EC47D1" w:rsidRDefault="0021506B" w:rsidP="00731E82">
            <w:pPr>
              <w:spacing w:line="240" w:lineRule="auto"/>
              <w:rPr>
                <w:b/>
                <w:sz w:val="16"/>
                <w:szCs w:val="16"/>
              </w:rPr>
            </w:pPr>
            <w:r>
              <w:rPr>
                <w:b/>
                <w:sz w:val="16"/>
                <w:szCs w:val="16"/>
              </w:rPr>
              <w:t>21</w:t>
            </w:r>
          </w:p>
        </w:tc>
        <w:tc>
          <w:tcPr>
            <w:tcW w:w="769" w:type="dxa"/>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20</w:t>
            </w:r>
          </w:p>
        </w:tc>
        <w:tc>
          <w:tcPr>
            <w:tcW w:w="768" w:type="dxa"/>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20</w:t>
            </w:r>
          </w:p>
        </w:tc>
        <w:tc>
          <w:tcPr>
            <w:tcW w:w="770" w:type="dxa"/>
            <w:shd w:val="clear" w:color="auto" w:fill="auto"/>
            <w:vAlign w:val="center"/>
          </w:tcPr>
          <w:p w:rsidR="0021506B" w:rsidRPr="00EC47D1" w:rsidRDefault="0021506B" w:rsidP="00731E82">
            <w:pPr>
              <w:spacing w:line="240" w:lineRule="auto"/>
              <w:rPr>
                <w:b/>
                <w:sz w:val="16"/>
                <w:szCs w:val="16"/>
              </w:rPr>
            </w:pPr>
            <w:r>
              <w:rPr>
                <w:b/>
                <w:sz w:val="16"/>
                <w:szCs w:val="16"/>
              </w:rPr>
              <w:t>19</w:t>
            </w:r>
          </w:p>
        </w:tc>
        <w:tc>
          <w:tcPr>
            <w:tcW w:w="769" w:type="dxa"/>
            <w:shd w:val="clear" w:color="auto" w:fill="auto"/>
            <w:vAlign w:val="center"/>
          </w:tcPr>
          <w:p w:rsidR="0021506B" w:rsidRPr="00EC47D1" w:rsidRDefault="0021506B" w:rsidP="00731E82">
            <w:pPr>
              <w:spacing w:line="240" w:lineRule="auto"/>
              <w:rPr>
                <w:b/>
                <w:sz w:val="16"/>
                <w:szCs w:val="16"/>
              </w:rPr>
            </w:pPr>
            <w:r>
              <w:rPr>
                <w:b/>
                <w:sz w:val="16"/>
                <w:szCs w:val="16"/>
              </w:rPr>
              <w:t>19</w:t>
            </w:r>
          </w:p>
        </w:tc>
        <w:tc>
          <w:tcPr>
            <w:tcW w:w="770" w:type="dxa"/>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26</w:t>
            </w:r>
          </w:p>
        </w:tc>
        <w:tc>
          <w:tcPr>
            <w:tcW w:w="769" w:type="dxa"/>
            <w:shd w:val="clear" w:color="auto" w:fill="auto"/>
            <w:vAlign w:val="center"/>
          </w:tcPr>
          <w:p w:rsidR="0021506B" w:rsidRPr="00EC47D1" w:rsidRDefault="0021506B" w:rsidP="00731E82">
            <w:pPr>
              <w:spacing w:line="240" w:lineRule="auto"/>
              <w:rPr>
                <w:b/>
                <w:sz w:val="16"/>
                <w:szCs w:val="16"/>
              </w:rPr>
            </w:pPr>
            <w:r>
              <w:rPr>
                <w:b/>
                <w:sz w:val="16"/>
                <w:szCs w:val="16"/>
              </w:rPr>
              <w:t>17</w:t>
            </w:r>
          </w:p>
        </w:tc>
        <w:tc>
          <w:tcPr>
            <w:tcW w:w="821" w:type="dxa"/>
            <w:tcBorders>
              <w:right w:val="single" w:sz="12" w:space="0" w:color="auto"/>
            </w:tcBorders>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16</w:t>
            </w:r>
          </w:p>
        </w:tc>
        <w:tc>
          <w:tcPr>
            <w:tcW w:w="718" w:type="dxa"/>
            <w:tcBorders>
              <w:left w:val="single" w:sz="12" w:space="0" w:color="auto"/>
            </w:tcBorders>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11</w:t>
            </w:r>
          </w:p>
        </w:tc>
        <w:tc>
          <w:tcPr>
            <w:tcW w:w="770" w:type="dxa"/>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28</w:t>
            </w:r>
          </w:p>
        </w:tc>
        <w:tc>
          <w:tcPr>
            <w:tcW w:w="769" w:type="dxa"/>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28</w:t>
            </w:r>
          </w:p>
        </w:tc>
        <w:tc>
          <w:tcPr>
            <w:tcW w:w="770" w:type="dxa"/>
            <w:shd w:val="clear" w:color="auto" w:fill="auto"/>
            <w:vAlign w:val="center"/>
          </w:tcPr>
          <w:p w:rsidR="0021506B" w:rsidRPr="00EC47D1" w:rsidRDefault="0021506B" w:rsidP="00731E82">
            <w:pPr>
              <w:spacing w:line="240" w:lineRule="auto"/>
              <w:rPr>
                <w:rFonts w:cs="Arial"/>
                <w:b/>
                <w:sz w:val="16"/>
                <w:szCs w:val="16"/>
              </w:rPr>
            </w:pPr>
            <w:r>
              <w:rPr>
                <w:rFonts w:cs="Arial"/>
                <w:b/>
                <w:sz w:val="16"/>
                <w:szCs w:val="16"/>
              </w:rPr>
              <w:t>18</w:t>
            </w:r>
          </w:p>
        </w:tc>
      </w:tr>
      <w:tr w:rsidR="0021506B" w:rsidTr="00252D92">
        <w:trPr>
          <w:cantSplit/>
          <w:trHeight w:hRule="exact" w:val="390"/>
          <w:jc w:val="center"/>
        </w:trPr>
        <w:tc>
          <w:tcPr>
            <w:tcW w:w="11037" w:type="dxa"/>
            <w:gridSpan w:val="14"/>
            <w:shd w:val="clear" w:color="auto" w:fill="FFFFFF" w:themeFill="background1"/>
            <w:vAlign w:val="center"/>
          </w:tcPr>
          <w:p w:rsidR="0021506B" w:rsidRDefault="00252D92" w:rsidP="009B1CF3">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21506B" w:rsidRDefault="0021506B" w:rsidP="00200CFE">
      <w:pPr>
        <w:sectPr w:rsidR="0021506B"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200CFE" w:rsidRDefault="00200CFE" w:rsidP="00200CFE"/>
    <w:p w:rsidR="00200CFE" w:rsidRDefault="00200CFE">
      <w:pPr>
        <w:spacing w:before="0" w:after="0" w:line="240" w:lineRule="auto"/>
      </w:pPr>
      <w:r>
        <w:br w:type="page"/>
      </w:r>
    </w:p>
    <w:p w:rsidR="00200CFE" w:rsidRDefault="00200CFE" w:rsidP="00731E82">
      <w:pPr>
        <w:pStyle w:val="AnnexTable"/>
        <w:tabs>
          <w:tab w:val="clear" w:pos="2687"/>
          <w:tab w:val="num" w:pos="1440"/>
        </w:tabs>
        <w:ind w:left="1440" w:hanging="1440"/>
      </w:pPr>
      <w:bookmarkStart w:id="385" w:name="_Ref395879541"/>
      <w:bookmarkStart w:id="386" w:name="_Toc408908679"/>
      <w:r w:rsidRPr="00200CFE">
        <w:t>Existence of a statutory provision on the right of a child to have recourse to Alternative Dispute Resolution (ADR)</w:t>
      </w:r>
      <w:r>
        <w:t xml:space="preserve"> (CivAdm157)</w:t>
      </w:r>
      <w:bookmarkEnd w:id="385"/>
      <w:bookmarkEnd w:id="386"/>
      <w:r>
        <w:t xml:space="preserve"> </w:t>
      </w:r>
    </w:p>
    <w:p w:rsidR="00011B02" w:rsidRDefault="00011B02" w:rsidP="009B1CF3">
      <w:pPr>
        <w:pStyle w:val="TableTitle"/>
        <w:sectPr w:rsidR="00011B02" w:rsidSect="002C3D52">
          <w:type w:val="continuous"/>
          <w:pgSz w:w="11907" w:h="16840" w:code="9"/>
          <w:pgMar w:top="1276" w:right="1418" w:bottom="851" w:left="1418" w:header="680" w:footer="567" w:gutter="0"/>
          <w:cols w:space="708"/>
          <w:docGrid w:linePitch="360"/>
        </w:sectPr>
      </w:pPr>
    </w:p>
    <w:tbl>
      <w:tblPr>
        <w:tblStyle w:val="Tabellenraster1"/>
        <w:tblW w:w="10773" w:type="dxa"/>
        <w:jc w:val="center"/>
        <w:tblLayout w:type="fixed"/>
        <w:tblLook w:val="04A0" w:firstRow="1" w:lastRow="0" w:firstColumn="1" w:lastColumn="0" w:noHBand="0" w:noVBand="1"/>
      </w:tblPr>
      <w:tblGrid>
        <w:gridCol w:w="954"/>
        <w:gridCol w:w="630"/>
        <w:gridCol w:w="630"/>
        <w:gridCol w:w="540"/>
        <w:gridCol w:w="507"/>
        <w:gridCol w:w="850"/>
        <w:gridCol w:w="851"/>
        <w:gridCol w:w="850"/>
        <w:gridCol w:w="992"/>
        <w:gridCol w:w="1134"/>
        <w:gridCol w:w="709"/>
        <w:gridCol w:w="709"/>
        <w:gridCol w:w="709"/>
        <w:gridCol w:w="708"/>
      </w:tblGrid>
      <w:tr w:rsidR="00011B02" w:rsidRPr="00593387" w:rsidTr="00011B02">
        <w:trPr>
          <w:trHeight w:val="289"/>
          <w:tblHeader/>
          <w:jc w:val="center"/>
        </w:trPr>
        <w:tc>
          <w:tcPr>
            <w:tcW w:w="954" w:type="dxa"/>
            <w:tcBorders>
              <w:right w:val="single" w:sz="12" w:space="0" w:color="auto"/>
            </w:tcBorders>
          </w:tcPr>
          <w:p w:rsidR="00011B02" w:rsidRDefault="00011B02" w:rsidP="009B1CF3">
            <w:pPr>
              <w:pStyle w:val="TableTitle"/>
            </w:pPr>
            <w:r>
              <w:t>MS</w:t>
            </w:r>
          </w:p>
        </w:tc>
        <w:tc>
          <w:tcPr>
            <w:tcW w:w="6984" w:type="dxa"/>
            <w:gridSpan w:val="9"/>
            <w:tcBorders>
              <w:left w:val="single" w:sz="12" w:space="0" w:color="auto"/>
              <w:right w:val="single" w:sz="12" w:space="0" w:color="auto"/>
            </w:tcBorders>
          </w:tcPr>
          <w:p w:rsidR="00011B02" w:rsidRDefault="00011B02" w:rsidP="009B1CF3">
            <w:pPr>
              <w:pStyle w:val="TableTitle"/>
            </w:pPr>
            <w:r>
              <w:t>Areas of law</w:t>
            </w:r>
          </w:p>
        </w:tc>
        <w:tc>
          <w:tcPr>
            <w:tcW w:w="2835" w:type="dxa"/>
            <w:gridSpan w:val="4"/>
            <w:tcBorders>
              <w:left w:val="single" w:sz="12" w:space="0" w:color="auto"/>
            </w:tcBorders>
          </w:tcPr>
          <w:p w:rsidR="00011B02" w:rsidRDefault="00011B02" w:rsidP="009B1CF3">
            <w:pPr>
              <w:pStyle w:val="TableTitle"/>
            </w:pPr>
            <w:r>
              <w:t>Roles of the child</w:t>
            </w:r>
          </w:p>
        </w:tc>
      </w:tr>
      <w:tr w:rsidR="00011B02" w:rsidTr="00731E82">
        <w:trPr>
          <w:cantSplit/>
          <w:trHeight w:val="982"/>
          <w:tblHeader/>
          <w:jc w:val="center"/>
        </w:trPr>
        <w:tc>
          <w:tcPr>
            <w:tcW w:w="954" w:type="dxa"/>
            <w:tcBorders>
              <w:right w:val="single" w:sz="12" w:space="0" w:color="auto"/>
            </w:tcBorders>
            <w:shd w:val="clear" w:color="auto" w:fill="DBE5F1" w:themeFill="accent1" w:themeFillTint="33"/>
          </w:tcPr>
          <w:p w:rsidR="00011B02" w:rsidRPr="00011B02" w:rsidRDefault="00011B02" w:rsidP="009B1CF3"/>
        </w:tc>
        <w:tc>
          <w:tcPr>
            <w:tcW w:w="630" w:type="dxa"/>
            <w:tcBorders>
              <w:left w:val="single" w:sz="12" w:space="0" w:color="auto"/>
            </w:tcBorders>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Family</w:t>
            </w:r>
          </w:p>
        </w:tc>
        <w:tc>
          <w:tcPr>
            <w:tcW w:w="630"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Employment</w:t>
            </w:r>
          </w:p>
        </w:tc>
        <w:tc>
          <w:tcPr>
            <w:tcW w:w="540"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Asylum</w:t>
            </w:r>
          </w:p>
        </w:tc>
        <w:tc>
          <w:tcPr>
            <w:tcW w:w="507"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Migration</w:t>
            </w:r>
          </w:p>
        </w:tc>
        <w:tc>
          <w:tcPr>
            <w:tcW w:w="850"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Education</w:t>
            </w:r>
          </w:p>
        </w:tc>
        <w:tc>
          <w:tcPr>
            <w:tcW w:w="851"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Health</w:t>
            </w:r>
          </w:p>
        </w:tc>
        <w:tc>
          <w:tcPr>
            <w:tcW w:w="850"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Placement</w:t>
            </w:r>
          </w:p>
        </w:tc>
        <w:tc>
          <w:tcPr>
            <w:tcW w:w="992"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Admin Sanctions</w:t>
            </w:r>
          </w:p>
        </w:tc>
        <w:tc>
          <w:tcPr>
            <w:tcW w:w="1134" w:type="dxa"/>
            <w:tcBorders>
              <w:right w:val="single" w:sz="12" w:space="0" w:color="auto"/>
            </w:tcBorders>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Offences &lt;MACR</w:t>
            </w:r>
          </w:p>
        </w:tc>
        <w:tc>
          <w:tcPr>
            <w:tcW w:w="709" w:type="dxa"/>
            <w:tcBorders>
              <w:left w:val="single" w:sz="12" w:space="0" w:color="auto"/>
            </w:tcBorders>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Witnesses</w:t>
            </w:r>
          </w:p>
        </w:tc>
        <w:tc>
          <w:tcPr>
            <w:tcW w:w="709"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Plaintiffs</w:t>
            </w:r>
          </w:p>
        </w:tc>
        <w:tc>
          <w:tcPr>
            <w:tcW w:w="709"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Defendants</w:t>
            </w:r>
          </w:p>
        </w:tc>
        <w:tc>
          <w:tcPr>
            <w:tcW w:w="708" w:type="dxa"/>
            <w:shd w:val="clear" w:color="auto" w:fill="DBE5F1" w:themeFill="accent1" w:themeFillTint="33"/>
            <w:textDirection w:val="btLr"/>
            <w:vAlign w:val="center"/>
          </w:tcPr>
          <w:p w:rsidR="00011B02" w:rsidRPr="00011B02" w:rsidRDefault="00011B02" w:rsidP="009B1CF3">
            <w:pPr>
              <w:ind w:left="113" w:right="113"/>
              <w:rPr>
                <w:b/>
                <w:sz w:val="12"/>
                <w:szCs w:val="12"/>
              </w:rPr>
            </w:pPr>
            <w:r w:rsidRPr="00011B02">
              <w:rPr>
                <w:b/>
                <w:sz w:val="12"/>
                <w:szCs w:val="12"/>
              </w:rPr>
              <w:t>Subjects</w:t>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AT</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BE</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auto"/>
          </w:tcPr>
          <w:p w:rsidR="00011B02" w:rsidRPr="00CD49A4" w:rsidRDefault="005E3054" w:rsidP="00731E82">
            <w:pPr>
              <w:spacing w:line="240" w:lineRule="auto"/>
              <w:rPr>
                <w:sz w:val="18"/>
                <w:szCs w:val="18"/>
              </w:rPr>
            </w:pPr>
            <w:r w:rsidRPr="00CD49A4">
              <w:rPr>
                <w:rFonts w:cs="Arial"/>
                <w:sz w:val="18"/>
                <w:szCs w:val="18"/>
              </w:rPr>
              <w:t>√</w:t>
            </w:r>
          </w:p>
        </w:tc>
        <w:tc>
          <w:tcPr>
            <w:tcW w:w="1134" w:type="dxa"/>
            <w:tcBorders>
              <w:right w:val="single" w:sz="12" w:space="0" w:color="auto"/>
            </w:tcBorders>
            <w:shd w:val="clear" w:color="auto" w:fill="auto"/>
          </w:tcPr>
          <w:p w:rsidR="00011B02" w:rsidRPr="00CD49A4" w:rsidRDefault="005E3054" w:rsidP="00731E82">
            <w:pPr>
              <w:spacing w:line="240" w:lineRule="auto"/>
              <w:rPr>
                <w:sz w:val="18"/>
                <w:szCs w:val="18"/>
              </w:rPr>
            </w:pPr>
            <w:r w:rsidRPr="00CD49A4">
              <w:rPr>
                <w:rFonts w:cs="Arial"/>
                <w:sz w:val="18"/>
                <w:szCs w:val="18"/>
              </w:rPr>
              <w:t>√</w:t>
            </w: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BG</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CY</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CZ</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DE</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DK</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EE</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EL</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r w:rsidRPr="00CD49A4">
              <w:rPr>
                <w:rStyle w:val="EndnoteReference"/>
                <w:sz w:val="18"/>
                <w:szCs w:val="18"/>
              </w:rPr>
              <w:endnoteReference w:id="378"/>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ES</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r w:rsidRPr="00CD49A4">
              <w:rPr>
                <w:rStyle w:val="EndnoteReference"/>
                <w:sz w:val="18"/>
                <w:szCs w:val="18"/>
              </w:rPr>
              <w:endnoteReference w:id="379"/>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FI</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FR</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HR</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HU</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IE</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IT</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LT</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LU</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LV</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MT</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NL</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r w:rsidRPr="00CD49A4">
              <w:rPr>
                <w:rStyle w:val="EndnoteReference"/>
                <w:sz w:val="18"/>
                <w:szCs w:val="18"/>
              </w:rPr>
              <w:endnoteReference w:id="380"/>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r w:rsidRPr="00CD49A4">
              <w:rPr>
                <w:rStyle w:val="EndnoteReference"/>
                <w:sz w:val="18"/>
                <w:szCs w:val="18"/>
              </w:rPr>
              <w:endnoteReference w:id="381"/>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PL</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tcPr>
          <w:p w:rsidR="00011B02" w:rsidRPr="00CD49A4" w:rsidRDefault="00011B02" w:rsidP="00731E82">
            <w:pPr>
              <w:spacing w:line="240" w:lineRule="auto"/>
              <w:rPr>
                <w:sz w:val="18"/>
                <w:szCs w:val="18"/>
              </w:rPr>
            </w:pPr>
            <w:r w:rsidRPr="00CD49A4">
              <w:rPr>
                <w:rFonts w:cs="Arial"/>
                <w:sz w:val="18"/>
                <w:szCs w:val="18"/>
              </w:rPr>
              <w:t>√</w:t>
            </w:r>
          </w:p>
        </w:tc>
        <w:tc>
          <w:tcPr>
            <w:tcW w:w="992" w:type="dxa"/>
          </w:tcPr>
          <w:p w:rsidR="00011B02" w:rsidRPr="00CD49A4" w:rsidRDefault="00011B02" w:rsidP="00731E82">
            <w:pPr>
              <w:spacing w:line="240" w:lineRule="auto"/>
              <w:rPr>
                <w:sz w:val="18"/>
                <w:szCs w:val="18"/>
              </w:rPr>
            </w:pPr>
            <w:r w:rsidRPr="00CD49A4">
              <w:rPr>
                <w:rFonts w:cs="Arial"/>
                <w:sz w:val="18"/>
                <w:szCs w:val="18"/>
              </w:rPr>
              <w:t>√</w:t>
            </w:r>
          </w:p>
        </w:tc>
        <w:tc>
          <w:tcPr>
            <w:tcW w:w="1134" w:type="dxa"/>
            <w:tcBorders>
              <w:righ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709" w:type="dxa"/>
            <w:tcBorders>
              <w:left w:val="single" w:sz="12" w:space="0" w:color="auto"/>
            </w:tcBorders>
          </w:tcPr>
          <w:p w:rsidR="00011B02" w:rsidRPr="00CD49A4" w:rsidRDefault="00011B02" w:rsidP="00731E82">
            <w:pPr>
              <w:spacing w:line="240" w:lineRule="auto"/>
              <w:rPr>
                <w:sz w:val="18"/>
                <w:szCs w:val="18"/>
              </w:rPr>
            </w:pPr>
            <w:r>
              <w:rPr>
                <w:rFonts w:cs="Arial"/>
                <w:sz w:val="18"/>
                <w:szCs w:val="18"/>
              </w:rPr>
              <w:t>√</w:t>
            </w:r>
            <w:r w:rsidRPr="00CD49A4">
              <w:rPr>
                <w:rStyle w:val="EndnoteReference"/>
                <w:sz w:val="18"/>
                <w:szCs w:val="18"/>
              </w:rPr>
              <w:endnoteReference w:id="382"/>
            </w:r>
          </w:p>
        </w:tc>
        <w:tc>
          <w:tcPr>
            <w:tcW w:w="709" w:type="dxa"/>
          </w:tcPr>
          <w:p w:rsidR="00011B02" w:rsidRPr="00CD49A4" w:rsidRDefault="00011B02" w:rsidP="00731E82">
            <w:pPr>
              <w:spacing w:line="240" w:lineRule="auto"/>
              <w:rPr>
                <w:sz w:val="18"/>
                <w:szCs w:val="18"/>
              </w:rPr>
            </w:pPr>
            <w:r>
              <w:rPr>
                <w:rFonts w:cs="Arial"/>
                <w:sz w:val="18"/>
                <w:szCs w:val="18"/>
              </w:rPr>
              <w:t>√</w:t>
            </w:r>
            <w:r w:rsidRPr="00CD49A4">
              <w:rPr>
                <w:rStyle w:val="EndnoteReference"/>
                <w:sz w:val="18"/>
                <w:szCs w:val="18"/>
              </w:rPr>
              <w:endnoteReference w:id="383"/>
            </w:r>
          </w:p>
        </w:tc>
        <w:tc>
          <w:tcPr>
            <w:tcW w:w="709" w:type="dxa"/>
          </w:tcPr>
          <w:p w:rsidR="00011B02" w:rsidRPr="00CD49A4" w:rsidRDefault="00011B02" w:rsidP="00731E82">
            <w:pPr>
              <w:spacing w:line="240" w:lineRule="auto"/>
              <w:rPr>
                <w:sz w:val="18"/>
                <w:szCs w:val="18"/>
              </w:rPr>
            </w:pPr>
            <w:r>
              <w:rPr>
                <w:rFonts w:cs="Arial"/>
                <w:sz w:val="18"/>
                <w:szCs w:val="18"/>
              </w:rPr>
              <w:t>√</w:t>
            </w:r>
            <w:r w:rsidRPr="00CD49A4">
              <w:rPr>
                <w:rStyle w:val="EndnoteReference"/>
                <w:sz w:val="18"/>
                <w:szCs w:val="18"/>
              </w:rPr>
              <w:endnoteReference w:id="384"/>
            </w:r>
          </w:p>
        </w:tc>
        <w:tc>
          <w:tcPr>
            <w:tcW w:w="708" w:type="dxa"/>
          </w:tcPr>
          <w:p w:rsidR="00011B02" w:rsidRPr="00CD49A4" w:rsidRDefault="00011B02" w:rsidP="00731E82">
            <w:pPr>
              <w:spacing w:line="240" w:lineRule="auto"/>
              <w:rPr>
                <w:sz w:val="18"/>
                <w:szCs w:val="18"/>
              </w:rPr>
            </w:pPr>
            <w:r>
              <w:rPr>
                <w:rFonts w:cs="Arial"/>
                <w:sz w:val="18"/>
                <w:szCs w:val="18"/>
              </w:rPr>
              <w:t>√</w:t>
            </w:r>
            <w:r w:rsidRPr="00CD49A4">
              <w:rPr>
                <w:rStyle w:val="EndnoteReference"/>
                <w:sz w:val="18"/>
                <w:szCs w:val="18"/>
              </w:rPr>
              <w:endnoteReference w:id="385"/>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PT</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RO</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SE</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SI</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r w:rsidRPr="00CD49A4">
              <w:rPr>
                <w:rStyle w:val="EndnoteReference"/>
                <w:sz w:val="18"/>
                <w:szCs w:val="18"/>
              </w:rPr>
              <w:endnoteReference w:id="386"/>
            </w: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SK</w:t>
            </w:r>
          </w:p>
        </w:tc>
        <w:tc>
          <w:tcPr>
            <w:tcW w:w="630"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9" w:type="dxa"/>
            <w:shd w:val="clear" w:color="auto" w:fill="D9D9D9" w:themeFill="background1" w:themeFillShade="D9"/>
          </w:tcPr>
          <w:p w:rsidR="00011B02" w:rsidRPr="00CD49A4" w:rsidRDefault="00011B02" w:rsidP="00731E82">
            <w:pPr>
              <w:spacing w:line="240" w:lineRule="auto"/>
              <w:rPr>
                <w:sz w:val="18"/>
                <w:szCs w:val="18"/>
              </w:rPr>
            </w:pP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UK-E&amp;W</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011B02" w:rsidP="00731E82">
            <w:pPr>
              <w:pStyle w:val="BTBullet1"/>
              <w:numPr>
                <w:ilvl w:val="0"/>
                <w:numId w:val="0"/>
              </w:numPr>
              <w:spacing w:line="240" w:lineRule="auto"/>
              <w:rPr>
                <w:b/>
                <w:sz w:val="16"/>
                <w:szCs w:val="16"/>
              </w:rPr>
            </w:pPr>
            <w:r w:rsidRPr="00731E82">
              <w:rPr>
                <w:b/>
                <w:sz w:val="16"/>
                <w:szCs w:val="16"/>
              </w:rPr>
              <w:t>UK-NI</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tcPr>
          <w:p w:rsidR="00011B02" w:rsidRPr="00CD49A4" w:rsidRDefault="00011B02" w:rsidP="00731E82">
            <w:pPr>
              <w:spacing w:line="240" w:lineRule="auto"/>
              <w:rPr>
                <w:sz w:val="18"/>
                <w:szCs w:val="18"/>
              </w:rPr>
            </w:pPr>
            <w:r w:rsidRPr="00CD49A4">
              <w:rPr>
                <w:rFonts w:cs="Arial"/>
                <w:sz w:val="18"/>
                <w:szCs w:val="18"/>
              </w:rPr>
              <w:t>√</w:t>
            </w: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shd w:val="clear" w:color="auto" w:fill="D9D9D9" w:themeFill="background1" w:themeFillShade="D9"/>
          </w:tcPr>
          <w:p w:rsidR="00011B02" w:rsidRPr="00CD49A4" w:rsidRDefault="00011B02" w:rsidP="00731E82">
            <w:pPr>
              <w:spacing w:line="240" w:lineRule="auto"/>
              <w:rPr>
                <w:sz w:val="18"/>
                <w:szCs w:val="18"/>
              </w:rPr>
            </w:pPr>
          </w:p>
        </w:tc>
      </w:tr>
      <w:tr w:rsidR="00011B02" w:rsidTr="00731E82">
        <w:trPr>
          <w:cantSplit/>
          <w:trHeight w:hRule="exact" w:val="288"/>
          <w:jc w:val="center"/>
        </w:trPr>
        <w:tc>
          <w:tcPr>
            <w:tcW w:w="954" w:type="dxa"/>
            <w:tcBorders>
              <w:right w:val="single" w:sz="12" w:space="0" w:color="auto"/>
            </w:tcBorders>
            <w:shd w:val="clear" w:color="auto" w:fill="DBE5F1" w:themeFill="accent1" w:themeFillTint="33"/>
          </w:tcPr>
          <w:p w:rsidR="00011B02" w:rsidRPr="00731E82" w:rsidRDefault="00CD7610" w:rsidP="00731E82">
            <w:pPr>
              <w:pStyle w:val="BTBullet1"/>
              <w:numPr>
                <w:ilvl w:val="0"/>
                <w:numId w:val="0"/>
              </w:numPr>
              <w:spacing w:line="240" w:lineRule="auto"/>
              <w:rPr>
                <w:b/>
                <w:sz w:val="16"/>
                <w:szCs w:val="16"/>
              </w:rPr>
            </w:pPr>
            <w:r w:rsidRPr="00731E82">
              <w:rPr>
                <w:b/>
                <w:sz w:val="16"/>
                <w:szCs w:val="16"/>
              </w:rPr>
              <w:t>UK-S</w:t>
            </w:r>
          </w:p>
        </w:tc>
        <w:tc>
          <w:tcPr>
            <w:tcW w:w="630"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630" w:type="dxa"/>
            <w:shd w:val="clear" w:color="auto" w:fill="D9D9D9" w:themeFill="background1" w:themeFillShade="D9"/>
          </w:tcPr>
          <w:p w:rsidR="00011B02" w:rsidRPr="00CD49A4" w:rsidRDefault="00011B02" w:rsidP="00731E82">
            <w:pPr>
              <w:spacing w:line="240" w:lineRule="auto"/>
              <w:rPr>
                <w:sz w:val="18"/>
                <w:szCs w:val="18"/>
              </w:rPr>
            </w:pPr>
          </w:p>
        </w:tc>
        <w:tc>
          <w:tcPr>
            <w:tcW w:w="540" w:type="dxa"/>
            <w:shd w:val="clear" w:color="auto" w:fill="D9D9D9" w:themeFill="background1" w:themeFillShade="D9"/>
          </w:tcPr>
          <w:p w:rsidR="00011B02" w:rsidRPr="00CD49A4" w:rsidRDefault="00011B02" w:rsidP="00731E82">
            <w:pPr>
              <w:spacing w:line="240" w:lineRule="auto"/>
              <w:rPr>
                <w:sz w:val="18"/>
                <w:szCs w:val="18"/>
              </w:rPr>
            </w:pPr>
          </w:p>
        </w:tc>
        <w:tc>
          <w:tcPr>
            <w:tcW w:w="507"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851" w:type="dxa"/>
            <w:shd w:val="clear" w:color="auto" w:fill="D9D9D9" w:themeFill="background1" w:themeFillShade="D9"/>
          </w:tcPr>
          <w:p w:rsidR="00011B02" w:rsidRPr="00CD49A4" w:rsidRDefault="00011B02" w:rsidP="00731E82">
            <w:pPr>
              <w:spacing w:line="240" w:lineRule="auto"/>
              <w:rPr>
                <w:sz w:val="18"/>
                <w:szCs w:val="18"/>
              </w:rPr>
            </w:pPr>
          </w:p>
        </w:tc>
        <w:tc>
          <w:tcPr>
            <w:tcW w:w="850" w:type="dxa"/>
            <w:shd w:val="clear" w:color="auto" w:fill="D9D9D9" w:themeFill="background1" w:themeFillShade="D9"/>
          </w:tcPr>
          <w:p w:rsidR="00011B02" w:rsidRPr="00CD49A4" w:rsidRDefault="00011B02" w:rsidP="00731E82">
            <w:pPr>
              <w:spacing w:line="240" w:lineRule="auto"/>
              <w:rPr>
                <w:sz w:val="18"/>
                <w:szCs w:val="18"/>
              </w:rPr>
            </w:pPr>
          </w:p>
        </w:tc>
        <w:tc>
          <w:tcPr>
            <w:tcW w:w="992" w:type="dxa"/>
            <w:shd w:val="clear" w:color="auto" w:fill="D9D9D9" w:themeFill="background1" w:themeFillShade="D9"/>
          </w:tcPr>
          <w:p w:rsidR="00011B02" w:rsidRPr="00CD49A4" w:rsidRDefault="00011B02" w:rsidP="00731E82">
            <w:pPr>
              <w:spacing w:line="240" w:lineRule="auto"/>
              <w:rPr>
                <w:sz w:val="18"/>
                <w:szCs w:val="18"/>
              </w:rPr>
            </w:pPr>
          </w:p>
        </w:tc>
        <w:tc>
          <w:tcPr>
            <w:tcW w:w="1134" w:type="dxa"/>
            <w:tcBorders>
              <w:right w:val="single" w:sz="12" w:space="0" w:color="auto"/>
            </w:tcBorders>
            <w:shd w:val="clear" w:color="auto" w:fill="D9D9D9" w:themeFill="background1" w:themeFillShade="D9"/>
          </w:tcPr>
          <w:p w:rsidR="00011B02" w:rsidRPr="00CD49A4" w:rsidRDefault="00011B02" w:rsidP="00731E82">
            <w:pPr>
              <w:spacing w:line="240" w:lineRule="auto"/>
              <w:rPr>
                <w:sz w:val="18"/>
                <w:szCs w:val="18"/>
              </w:rPr>
            </w:pPr>
          </w:p>
        </w:tc>
        <w:tc>
          <w:tcPr>
            <w:tcW w:w="709" w:type="dxa"/>
            <w:tcBorders>
              <w:left w:val="single" w:sz="12" w:space="0" w:color="auto"/>
            </w:tcBorders>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9" w:type="dxa"/>
          </w:tcPr>
          <w:p w:rsidR="00011B02" w:rsidRPr="00CD49A4" w:rsidRDefault="00011B02" w:rsidP="00731E82">
            <w:pPr>
              <w:spacing w:line="240" w:lineRule="auto"/>
              <w:rPr>
                <w:sz w:val="18"/>
                <w:szCs w:val="18"/>
              </w:rPr>
            </w:pPr>
            <w:r w:rsidRPr="00CD49A4">
              <w:rPr>
                <w:rFonts w:cs="Arial"/>
                <w:sz w:val="18"/>
                <w:szCs w:val="18"/>
              </w:rPr>
              <w:t>√</w:t>
            </w:r>
          </w:p>
        </w:tc>
        <w:tc>
          <w:tcPr>
            <w:tcW w:w="708" w:type="dxa"/>
          </w:tcPr>
          <w:p w:rsidR="00011B02" w:rsidRPr="00CD49A4" w:rsidRDefault="00011B02" w:rsidP="00731E82">
            <w:pPr>
              <w:spacing w:line="240" w:lineRule="auto"/>
              <w:rPr>
                <w:sz w:val="18"/>
                <w:szCs w:val="18"/>
              </w:rPr>
            </w:pPr>
            <w:r w:rsidRPr="00CD49A4">
              <w:rPr>
                <w:rFonts w:cs="Arial"/>
                <w:sz w:val="18"/>
                <w:szCs w:val="18"/>
              </w:rPr>
              <w:t>√</w:t>
            </w:r>
          </w:p>
        </w:tc>
      </w:tr>
      <w:tr w:rsidR="00011B02" w:rsidTr="00731E82">
        <w:trPr>
          <w:cantSplit/>
          <w:trHeight w:hRule="exact" w:val="552"/>
          <w:jc w:val="center"/>
        </w:trPr>
        <w:tc>
          <w:tcPr>
            <w:tcW w:w="954" w:type="dxa"/>
            <w:tcBorders>
              <w:right w:val="single" w:sz="12" w:space="0" w:color="auto"/>
            </w:tcBorders>
            <w:shd w:val="clear" w:color="auto" w:fill="FFFFFF" w:themeFill="background1"/>
          </w:tcPr>
          <w:p w:rsidR="00011B02" w:rsidRPr="00CD49A4" w:rsidRDefault="00011B02" w:rsidP="00731E82">
            <w:pPr>
              <w:pStyle w:val="BTBullet1"/>
              <w:numPr>
                <w:ilvl w:val="0"/>
                <w:numId w:val="0"/>
              </w:numPr>
              <w:spacing w:line="240" w:lineRule="auto"/>
              <w:rPr>
                <w:b/>
                <w:sz w:val="16"/>
                <w:szCs w:val="16"/>
              </w:rPr>
            </w:pPr>
            <w:r>
              <w:rPr>
                <w:b/>
                <w:sz w:val="16"/>
                <w:szCs w:val="16"/>
              </w:rPr>
              <w:t>Total Yes</w:t>
            </w:r>
          </w:p>
        </w:tc>
        <w:tc>
          <w:tcPr>
            <w:tcW w:w="630" w:type="dxa"/>
            <w:tcBorders>
              <w:left w:val="single" w:sz="12" w:space="0" w:color="auto"/>
            </w:tcBorders>
          </w:tcPr>
          <w:p w:rsidR="00011B02" w:rsidRPr="001F277D" w:rsidRDefault="00011B02" w:rsidP="00731E82">
            <w:pPr>
              <w:spacing w:line="240" w:lineRule="auto"/>
              <w:rPr>
                <w:rFonts w:cs="Arial"/>
                <w:b/>
                <w:sz w:val="16"/>
                <w:szCs w:val="16"/>
              </w:rPr>
            </w:pPr>
            <w:r w:rsidRPr="001F277D">
              <w:rPr>
                <w:rFonts w:cs="Arial"/>
                <w:b/>
                <w:sz w:val="16"/>
                <w:szCs w:val="16"/>
              </w:rPr>
              <w:t>21</w:t>
            </w:r>
          </w:p>
        </w:tc>
        <w:tc>
          <w:tcPr>
            <w:tcW w:w="630" w:type="dxa"/>
            <w:shd w:val="clear" w:color="auto" w:fill="auto"/>
          </w:tcPr>
          <w:p w:rsidR="00011B02" w:rsidRPr="001F277D" w:rsidRDefault="00011B02" w:rsidP="00731E82">
            <w:pPr>
              <w:spacing w:line="240" w:lineRule="auto"/>
              <w:rPr>
                <w:b/>
                <w:sz w:val="16"/>
                <w:szCs w:val="16"/>
              </w:rPr>
            </w:pPr>
            <w:r w:rsidRPr="001F277D">
              <w:rPr>
                <w:b/>
                <w:sz w:val="16"/>
                <w:szCs w:val="16"/>
              </w:rPr>
              <w:t>21</w:t>
            </w:r>
          </w:p>
        </w:tc>
        <w:tc>
          <w:tcPr>
            <w:tcW w:w="540" w:type="dxa"/>
            <w:shd w:val="clear" w:color="auto" w:fill="D9D9D9" w:themeFill="background1" w:themeFillShade="D9"/>
          </w:tcPr>
          <w:p w:rsidR="00011B02" w:rsidRPr="001F277D" w:rsidRDefault="00011B02" w:rsidP="00731E82">
            <w:pPr>
              <w:spacing w:line="240" w:lineRule="auto"/>
              <w:rPr>
                <w:b/>
                <w:sz w:val="16"/>
                <w:szCs w:val="16"/>
              </w:rPr>
            </w:pPr>
          </w:p>
        </w:tc>
        <w:tc>
          <w:tcPr>
            <w:tcW w:w="507" w:type="dxa"/>
            <w:shd w:val="clear" w:color="auto" w:fill="D9D9D9" w:themeFill="background1" w:themeFillShade="D9"/>
          </w:tcPr>
          <w:p w:rsidR="00011B02" w:rsidRPr="001F277D" w:rsidRDefault="00011B02" w:rsidP="00731E82">
            <w:pPr>
              <w:spacing w:line="240" w:lineRule="auto"/>
              <w:rPr>
                <w:b/>
                <w:sz w:val="16"/>
                <w:szCs w:val="16"/>
              </w:rPr>
            </w:pPr>
          </w:p>
        </w:tc>
        <w:tc>
          <w:tcPr>
            <w:tcW w:w="850" w:type="dxa"/>
            <w:shd w:val="clear" w:color="auto" w:fill="D9D9D9" w:themeFill="background1" w:themeFillShade="D9"/>
          </w:tcPr>
          <w:p w:rsidR="00011B02" w:rsidRPr="001F277D" w:rsidRDefault="00011B02" w:rsidP="00731E82">
            <w:pPr>
              <w:spacing w:line="240" w:lineRule="auto"/>
              <w:rPr>
                <w:b/>
                <w:sz w:val="16"/>
                <w:szCs w:val="16"/>
              </w:rPr>
            </w:pPr>
          </w:p>
        </w:tc>
        <w:tc>
          <w:tcPr>
            <w:tcW w:w="851" w:type="dxa"/>
            <w:shd w:val="clear" w:color="auto" w:fill="D9D9D9" w:themeFill="background1" w:themeFillShade="D9"/>
          </w:tcPr>
          <w:p w:rsidR="00011B02" w:rsidRPr="001F277D" w:rsidRDefault="00011B02" w:rsidP="00731E82">
            <w:pPr>
              <w:spacing w:line="240" w:lineRule="auto"/>
              <w:rPr>
                <w:b/>
                <w:sz w:val="16"/>
                <w:szCs w:val="16"/>
              </w:rPr>
            </w:pPr>
          </w:p>
        </w:tc>
        <w:tc>
          <w:tcPr>
            <w:tcW w:w="850" w:type="dxa"/>
            <w:shd w:val="clear" w:color="auto" w:fill="auto"/>
          </w:tcPr>
          <w:p w:rsidR="00011B02" w:rsidRPr="001F277D" w:rsidRDefault="00011B02" w:rsidP="00731E82">
            <w:pPr>
              <w:spacing w:line="240" w:lineRule="auto"/>
              <w:rPr>
                <w:b/>
                <w:sz w:val="16"/>
                <w:szCs w:val="16"/>
              </w:rPr>
            </w:pPr>
            <w:r w:rsidRPr="001F277D">
              <w:rPr>
                <w:b/>
                <w:sz w:val="16"/>
                <w:szCs w:val="16"/>
              </w:rPr>
              <w:t>1</w:t>
            </w:r>
          </w:p>
        </w:tc>
        <w:tc>
          <w:tcPr>
            <w:tcW w:w="992" w:type="dxa"/>
            <w:shd w:val="clear" w:color="auto" w:fill="auto"/>
          </w:tcPr>
          <w:p w:rsidR="00011B02" w:rsidRPr="001F277D" w:rsidRDefault="00011B02" w:rsidP="00731E82">
            <w:pPr>
              <w:spacing w:line="240" w:lineRule="auto"/>
              <w:rPr>
                <w:b/>
                <w:sz w:val="16"/>
                <w:szCs w:val="16"/>
              </w:rPr>
            </w:pPr>
            <w:r w:rsidRPr="001F277D">
              <w:rPr>
                <w:b/>
                <w:sz w:val="16"/>
                <w:szCs w:val="16"/>
              </w:rPr>
              <w:t>1</w:t>
            </w:r>
          </w:p>
        </w:tc>
        <w:tc>
          <w:tcPr>
            <w:tcW w:w="1134" w:type="dxa"/>
            <w:tcBorders>
              <w:right w:val="single" w:sz="12" w:space="0" w:color="auto"/>
            </w:tcBorders>
            <w:shd w:val="clear" w:color="auto" w:fill="auto"/>
          </w:tcPr>
          <w:p w:rsidR="00011B02" w:rsidRPr="001F277D" w:rsidRDefault="00011B02" w:rsidP="00731E82">
            <w:pPr>
              <w:spacing w:line="240" w:lineRule="auto"/>
              <w:rPr>
                <w:b/>
                <w:sz w:val="16"/>
                <w:szCs w:val="16"/>
              </w:rPr>
            </w:pPr>
            <w:r w:rsidRPr="001F277D">
              <w:rPr>
                <w:b/>
                <w:sz w:val="16"/>
                <w:szCs w:val="16"/>
              </w:rPr>
              <w:t>1</w:t>
            </w:r>
          </w:p>
        </w:tc>
        <w:tc>
          <w:tcPr>
            <w:tcW w:w="709" w:type="dxa"/>
            <w:tcBorders>
              <w:left w:val="single" w:sz="12" w:space="0" w:color="auto"/>
            </w:tcBorders>
            <w:shd w:val="clear" w:color="auto" w:fill="auto"/>
          </w:tcPr>
          <w:p w:rsidR="00011B02" w:rsidRPr="001F277D" w:rsidRDefault="00011B02" w:rsidP="00731E82">
            <w:pPr>
              <w:spacing w:line="240" w:lineRule="auto"/>
              <w:rPr>
                <w:rFonts w:cs="Arial"/>
                <w:b/>
                <w:sz w:val="16"/>
                <w:szCs w:val="16"/>
              </w:rPr>
            </w:pPr>
            <w:r w:rsidRPr="001F277D">
              <w:rPr>
                <w:rFonts w:cs="Arial"/>
                <w:b/>
                <w:sz w:val="16"/>
                <w:szCs w:val="16"/>
              </w:rPr>
              <w:t>5</w:t>
            </w:r>
          </w:p>
        </w:tc>
        <w:tc>
          <w:tcPr>
            <w:tcW w:w="709" w:type="dxa"/>
            <w:shd w:val="clear" w:color="auto" w:fill="auto"/>
          </w:tcPr>
          <w:p w:rsidR="00011B02" w:rsidRPr="001F277D" w:rsidRDefault="00011B02" w:rsidP="00731E82">
            <w:pPr>
              <w:spacing w:line="240" w:lineRule="auto"/>
              <w:rPr>
                <w:rFonts w:cs="Arial"/>
                <w:b/>
                <w:sz w:val="16"/>
                <w:szCs w:val="16"/>
              </w:rPr>
            </w:pPr>
            <w:r w:rsidRPr="001F277D">
              <w:rPr>
                <w:rFonts w:cs="Arial"/>
                <w:b/>
                <w:sz w:val="16"/>
                <w:szCs w:val="16"/>
              </w:rPr>
              <w:t>22</w:t>
            </w:r>
          </w:p>
        </w:tc>
        <w:tc>
          <w:tcPr>
            <w:tcW w:w="709" w:type="dxa"/>
            <w:shd w:val="clear" w:color="auto" w:fill="auto"/>
          </w:tcPr>
          <w:p w:rsidR="00011B02" w:rsidRPr="001F277D" w:rsidRDefault="00011B02" w:rsidP="00731E82">
            <w:pPr>
              <w:spacing w:line="240" w:lineRule="auto"/>
              <w:rPr>
                <w:rFonts w:cs="Arial"/>
                <w:b/>
                <w:sz w:val="16"/>
                <w:szCs w:val="16"/>
              </w:rPr>
            </w:pPr>
            <w:r w:rsidRPr="001F277D">
              <w:rPr>
                <w:rFonts w:cs="Arial"/>
                <w:b/>
                <w:sz w:val="16"/>
                <w:szCs w:val="16"/>
              </w:rPr>
              <w:t>22</w:t>
            </w:r>
          </w:p>
        </w:tc>
        <w:tc>
          <w:tcPr>
            <w:tcW w:w="708" w:type="dxa"/>
            <w:shd w:val="clear" w:color="auto" w:fill="auto"/>
          </w:tcPr>
          <w:p w:rsidR="00011B02" w:rsidRPr="001F277D" w:rsidRDefault="00011B02" w:rsidP="00731E82">
            <w:pPr>
              <w:spacing w:line="240" w:lineRule="auto"/>
              <w:rPr>
                <w:rFonts w:cs="Arial"/>
                <w:b/>
                <w:sz w:val="16"/>
                <w:szCs w:val="16"/>
              </w:rPr>
            </w:pPr>
            <w:r w:rsidRPr="001F277D">
              <w:rPr>
                <w:rFonts w:cs="Arial"/>
                <w:b/>
                <w:sz w:val="16"/>
                <w:szCs w:val="16"/>
              </w:rPr>
              <w:t>9</w:t>
            </w:r>
          </w:p>
        </w:tc>
      </w:tr>
      <w:tr w:rsidR="00011B02" w:rsidTr="00252D92">
        <w:trPr>
          <w:cantSplit/>
          <w:trHeight w:hRule="exact" w:val="372"/>
          <w:jc w:val="center"/>
        </w:trPr>
        <w:tc>
          <w:tcPr>
            <w:tcW w:w="10773" w:type="dxa"/>
            <w:gridSpan w:val="14"/>
            <w:shd w:val="clear" w:color="auto" w:fill="FFFFFF" w:themeFill="background1"/>
          </w:tcPr>
          <w:p w:rsidR="00011B02" w:rsidRPr="001F277D" w:rsidRDefault="00252D92" w:rsidP="009B1CF3">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011B02" w:rsidRDefault="00011B02" w:rsidP="00200CFE">
      <w:pPr>
        <w:sectPr w:rsidR="00011B02"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DA3F2F" w:rsidRDefault="00DA3F2F" w:rsidP="00200CFE"/>
    <w:p w:rsidR="00DA3F2F" w:rsidRDefault="00DA3F2F">
      <w:pPr>
        <w:spacing w:before="0" w:after="0" w:line="240" w:lineRule="auto"/>
      </w:pPr>
      <w:r>
        <w:br w:type="page"/>
      </w:r>
    </w:p>
    <w:p w:rsidR="00DA3F2F" w:rsidRDefault="00DA3F2F" w:rsidP="00731E82">
      <w:pPr>
        <w:pStyle w:val="AnnexTable"/>
        <w:tabs>
          <w:tab w:val="clear" w:pos="2687"/>
          <w:tab w:val="num" w:pos="1440"/>
        </w:tabs>
        <w:ind w:left="1440" w:hanging="1440"/>
      </w:pPr>
      <w:bookmarkStart w:id="387" w:name="_Ref395879978"/>
      <w:bookmarkStart w:id="388" w:name="_Toc408908680"/>
      <w:r w:rsidRPr="00DA3F2F">
        <w:t>Existence of statutory provision on the right of the child to appeal an administrative decision to restrict their liberty</w:t>
      </w:r>
      <w:r>
        <w:t xml:space="preserve"> (CivAdm168)</w:t>
      </w:r>
      <w:bookmarkEnd w:id="387"/>
      <w:bookmarkEnd w:id="388"/>
      <w:r>
        <w:t xml:space="preserve"> </w:t>
      </w:r>
    </w:p>
    <w:p w:rsidR="00EC0403" w:rsidRDefault="00EC0403" w:rsidP="009B1CF3">
      <w:pPr>
        <w:pStyle w:val="TableTitle"/>
        <w:sectPr w:rsidR="00EC0403" w:rsidSect="002C3D52">
          <w:type w:val="continuous"/>
          <w:pgSz w:w="11907" w:h="16840" w:code="9"/>
          <w:pgMar w:top="1276" w:right="1418" w:bottom="851" w:left="1418" w:header="680" w:footer="567" w:gutter="0"/>
          <w:cols w:space="708"/>
          <w:docGrid w:linePitch="360"/>
        </w:sectPr>
      </w:pPr>
    </w:p>
    <w:tbl>
      <w:tblPr>
        <w:tblStyle w:val="Tabellenraster1"/>
        <w:tblW w:w="10984" w:type="dxa"/>
        <w:jc w:val="center"/>
        <w:tblLayout w:type="fixed"/>
        <w:tblLook w:val="04A0" w:firstRow="1" w:lastRow="0" w:firstColumn="1" w:lastColumn="0" w:noHBand="0" w:noVBand="1"/>
      </w:tblPr>
      <w:tblGrid>
        <w:gridCol w:w="984"/>
        <w:gridCol w:w="769"/>
        <w:gridCol w:w="768"/>
        <w:gridCol w:w="769"/>
        <w:gridCol w:w="768"/>
        <w:gridCol w:w="770"/>
        <w:gridCol w:w="769"/>
        <w:gridCol w:w="770"/>
        <w:gridCol w:w="738"/>
        <w:gridCol w:w="852"/>
        <w:gridCol w:w="718"/>
        <w:gridCol w:w="770"/>
        <w:gridCol w:w="769"/>
        <w:gridCol w:w="770"/>
      </w:tblGrid>
      <w:tr w:rsidR="00EC0403" w:rsidRPr="00593387" w:rsidTr="00EC0403">
        <w:trPr>
          <w:trHeight w:val="289"/>
          <w:tblHeader/>
          <w:jc w:val="center"/>
        </w:trPr>
        <w:tc>
          <w:tcPr>
            <w:tcW w:w="984" w:type="dxa"/>
            <w:tcBorders>
              <w:right w:val="single" w:sz="12" w:space="0" w:color="auto"/>
            </w:tcBorders>
          </w:tcPr>
          <w:p w:rsidR="00EC0403" w:rsidRDefault="00EC0403" w:rsidP="009B1CF3">
            <w:pPr>
              <w:pStyle w:val="TableTitle"/>
            </w:pPr>
            <w:r>
              <w:t>MS</w:t>
            </w:r>
          </w:p>
        </w:tc>
        <w:tc>
          <w:tcPr>
            <w:tcW w:w="6973" w:type="dxa"/>
            <w:gridSpan w:val="9"/>
            <w:tcBorders>
              <w:left w:val="single" w:sz="12" w:space="0" w:color="auto"/>
              <w:right w:val="single" w:sz="12" w:space="0" w:color="auto"/>
            </w:tcBorders>
          </w:tcPr>
          <w:p w:rsidR="00EC0403" w:rsidRDefault="00EC0403" w:rsidP="009B1CF3">
            <w:pPr>
              <w:pStyle w:val="TableTitle"/>
            </w:pPr>
            <w:r>
              <w:t>Areas of law</w:t>
            </w:r>
          </w:p>
        </w:tc>
        <w:tc>
          <w:tcPr>
            <w:tcW w:w="3027" w:type="dxa"/>
            <w:gridSpan w:val="4"/>
            <w:tcBorders>
              <w:left w:val="single" w:sz="12" w:space="0" w:color="auto"/>
            </w:tcBorders>
          </w:tcPr>
          <w:p w:rsidR="00EC0403" w:rsidRDefault="00EC0403" w:rsidP="009B1CF3">
            <w:pPr>
              <w:pStyle w:val="TableTitle"/>
            </w:pPr>
            <w:r>
              <w:t>Roles of the child</w:t>
            </w:r>
          </w:p>
        </w:tc>
      </w:tr>
      <w:tr w:rsidR="00EC0403" w:rsidTr="00731E82">
        <w:trPr>
          <w:cantSplit/>
          <w:trHeight w:val="1072"/>
          <w:tblHeader/>
          <w:jc w:val="center"/>
        </w:trPr>
        <w:tc>
          <w:tcPr>
            <w:tcW w:w="984" w:type="dxa"/>
            <w:tcBorders>
              <w:right w:val="single" w:sz="12" w:space="0" w:color="auto"/>
            </w:tcBorders>
            <w:shd w:val="clear" w:color="auto" w:fill="DBE5F1" w:themeFill="accent1" w:themeFillTint="33"/>
          </w:tcPr>
          <w:p w:rsidR="00EC0403" w:rsidRPr="00E217F3" w:rsidRDefault="00EC0403" w:rsidP="009B1CF3">
            <w:pPr>
              <w:rPr>
                <w:b/>
              </w:rPr>
            </w:pPr>
          </w:p>
        </w:tc>
        <w:tc>
          <w:tcPr>
            <w:tcW w:w="769" w:type="dxa"/>
            <w:tcBorders>
              <w:left w:val="single" w:sz="12" w:space="0" w:color="auto"/>
            </w:tcBorders>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Family</w:t>
            </w:r>
          </w:p>
        </w:tc>
        <w:tc>
          <w:tcPr>
            <w:tcW w:w="768"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Employment</w:t>
            </w:r>
          </w:p>
        </w:tc>
        <w:tc>
          <w:tcPr>
            <w:tcW w:w="769"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Asylum</w:t>
            </w:r>
          </w:p>
        </w:tc>
        <w:tc>
          <w:tcPr>
            <w:tcW w:w="768"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Migration</w:t>
            </w:r>
          </w:p>
        </w:tc>
        <w:tc>
          <w:tcPr>
            <w:tcW w:w="770"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Education</w:t>
            </w:r>
          </w:p>
        </w:tc>
        <w:tc>
          <w:tcPr>
            <w:tcW w:w="769"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Health</w:t>
            </w:r>
          </w:p>
        </w:tc>
        <w:tc>
          <w:tcPr>
            <w:tcW w:w="770"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Placement</w:t>
            </w:r>
          </w:p>
        </w:tc>
        <w:tc>
          <w:tcPr>
            <w:tcW w:w="738"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Admin Sanctions</w:t>
            </w:r>
          </w:p>
        </w:tc>
        <w:tc>
          <w:tcPr>
            <w:tcW w:w="852" w:type="dxa"/>
            <w:tcBorders>
              <w:right w:val="single" w:sz="12" w:space="0" w:color="auto"/>
            </w:tcBorders>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Offences &lt;MACR</w:t>
            </w:r>
          </w:p>
        </w:tc>
        <w:tc>
          <w:tcPr>
            <w:tcW w:w="718" w:type="dxa"/>
            <w:tcBorders>
              <w:left w:val="single" w:sz="12" w:space="0" w:color="auto"/>
            </w:tcBorders>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Witnesses</w:t>
            </w:r>
          </w:p>
        </w:tc>
        <w:tc>
          <w:tcPr>
            <w:tcW w:w="770"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Plaintiffs</w:t>
            </w:r>
          </w:p>
        </w:tc>
        <w:tc>
          <w:tcPr>
            <w:tcW w:w="769"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Defendants</w:t>
            </w:r>
          </w:p>
        </w:tc>
        <w:tc>
          <w:tcPr>
            <w:tcW w:w="770" w:type="dxa"/>
            <w:shd w:val="clear" w:color="auto" w:fill="DBE5F1" w:themeFill="accent1" w:themeFillTint="33"/>
            <w:textDirection w:val="btLr"/>
          </w:tcPr>
          <w:p w:rsidR="00EC0403" w:rsidRPr="00EC0403" w:rsidRDefault="00EC0403" w:rsidP="009B1CF3">
            <w:pPr>
              <w:ind w:left="113" w:right="113"/>
              <w:rPr>
                <w:b/>
                <w:sz w:val="12"/>
                <w:szCs w:val="12"/>
              </w:rPr>
            </w:pPr>
            <w:r w:rsidRPr="00EC0403">
              <w:rPr>
                <w:b/>
                <w:sz w:val="12"/>
                <w:szCs w:val="12"/>
              </w:rPr>
              <w:t>Subjects</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AT</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vAlign w:val="center"/>
          </w:tcPr>
          <w:p w:rsidR="00EC0403" w:rsidRPr="00E217F3" w:rsidRDefault="00EC0403" w:rsidP="009B1CF3">
            <w:pPr>
              <w:rPr>
                <w:sz w:val="18"/>
                <w:szCs w:val="18"/>
              </w:rPr>
            </w:pPr>
            <w:r>
              <w:rPr>
                <w:rFonts w:cs="Arial"/>
                <w:sz w:val="18"/>
                <w:szCs w:val="18"/>
              </w:rPr>
              <w:t>√</w:t>
            </w: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BE</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6313BB">
              <w:rPr>
                <w:rFonts w:cs="Arial"/>
                <w:sz w:val="18"/>
                <w:szCs w:val="18"/>
              </w:rPr>
              <w:t>√</w:t>
            </w:r>
          </w:p>
        </w:tc>
        <w:tc>
          <w:tcPr>
            <w:tcW w:w="770" w:type="dxa"/>
            <w:vAlign w:val="center"/>
          </w:tcPr>
          <w:p w:rsidR="00EC0403" w:rsidRDefault="00EC0403" w:rsidP="009B1CF3">
            <w:r w:rsidRPr="001140A2">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C77407">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BG</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6313B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C77407">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r>
              <w:rPr>
                <w:rStyle w:val="EndnoteReference"/>
              </w:rPr>
              <w:endnoteReference w:id="387"/>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CY</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vAlign w:val="center"/>
          </w:tcPr>
          <w:p w:rsidR="00EC0403" w:rsidRPr="00E217F3" w:rsidRDefault="00EC0403" w:rsidP="009B1CF3">
            <w:pPr>
              <w:rPr>
                <w:sz w:val="18"/>
                <w:szCs w:val="18"/>
              </w:rPr>
            </w:pPr>
            <w:r>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CZ</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Pr="00E217F3" w:rsidRDefault="00EC0403" w:rsidP="009B1CF3">
            <w:pPr>
              <w:rPr>
                <w:sz w:val="18"/>
                <w:szCs w:val="18"/>
              </w:rPr>
            </w:pPr>
            <w:r>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DE</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vAlign w:val="center"/>
          </w:tcPr>
          <w:p w:rsidR="00EC0403" w:rsidRPr="00E217F3" w:rsidRDefault="00EC0403" w:rsidP="009B1CF3">
            <w:pPr>
              <w:rPr>
                <w:sz w:val="18"/>
                <w:szCs w:val="18"/>
              </w:rPr>
            </w:pPr>
            <w:r>
              <w:rPr>
                <w:rFonts w:cs="Arial"/>
                <w:sz w:val="18"/>
                <w:szCs w:val="18"/>
              </w:rPr>
              <w:t>√</w:t>
            </w: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DK</w:t>
            </w:r>
          </w:p>
        </w:tc>
        <w:tc>
          <w:tcPr>
            <w:tcW w:w="769" w:type="dxa"/>
            <w:tcBorders>
              <w:left w:val="single" w:sz="12" w:space="0" w:color="auto"/>
            </w:tcBorders>
            <w:vAlign w:val="center"/>
          </w:tcPr>
          <w:p w:rsidR="00EC0403" w:rsidRDefault="00EC0403" w:rsidP="009B1CF3">
            <w:r w:rsidRPr="007956FF">
              <w:rPr>
                <w:rFonts w:cs="Arial"/>
                <w:sz w:val="18"/>
                <w:szCs w:val="18"/>
              </w:rPr>
              <w:t>√</w:t>
            </w: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02345A">
              <w:rPr>
                <w:rFonts w:cs="Arial"/>
                <w:sz w:val="18"/>
                <w:szCs w:val="18"/>
              </w:rPr>
              <w:t>√</w:t>
            </w:r>
          </w:p>
        </w:tc>
        <w:tc>
          <w:tcPr>
            <w:tcW w:w="770" w:type="dxa"/>
            <w:vAlign w:val="center"/>
          </w:tcPr>
          <w:p w:rsidR="00EC0403" w:rsidRDefault="00EC0403" w:rsidP="009B1CF3">
            <w:r w:rsidRPr="0002345A">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595174">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EE</w:t>
            </w:r>
          </w:p>
        </w:tc>
        <w:tc>
          <w:tcPr>
            <w:tcW w:w="769" w:type="dxa"/>
            <w:tcBorders>
              <w:left w:val="single" w:sz="12" w:space="0" w:color="auto"/>
            </w:tcBorders>
            <w:vAlign w:val="center"/>
          </w:tcPr>
          <w:p w:rsidR="00EC0403" w:rsidRDefault="00EC0403" w:rsidP="009B1CF3">
            <w:r w:rsidRPr="007956FF">
              <w:rPr>
                <w:rFonts w:cs="Arial"/>
                <w:sz w:val="18"/>
                <w:szCs w:val="18"/>
              </w:rPr>
              <w:t>√</w:t>
            </w:r>
          </w:p>
        </w:tc>
        <w:tc>
          <w:tcPr>
            <w:tcW w:w="768" w:type="dxa"/>
            <w:vAlign w:val="center"/>
          </w:tcPr>
          <w:p w:rsidR="00EC0403" w:rsidRDefault="00EC0403" w:rsidP="009B1CF3">
            <w:r w:rsidRPr="000D0B26">
              <w:rPr>
                <w:rFonts w:cs="Arial"/>
                <w:sz w:val="18"/>
                <w:szCs w:val="18"/>
              </w:rPr>
              <w:t>√</w:t>
            </w: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vAlign w:val="center"/>
          </w:tcPr>
          <w:p w:rsidR="00EC0403" w:rsidRDefault="00EC0403" w:rsidP="009B1CF3">
            <w:r w:rsidRPr="00E0025B">
              <w:rPr>
                <w:rFonts w:cs="Arial"/>
                <w:sz w:val="18"/>
                <w:szCs w:val="18"/>
              </w:rPr>
              <w:t>√</w:t>
            </w:r>
          </w:p>
        </w:tc>
        <w:tc>
          <w:tcPr>
            <w:tcW w:w="769" w:type="dxa"/>
            <w:vAlign w:val="center"/>
          </w:tcPr>
          <w:p w:rsidR="00EC0403" w:rsidRDefault="00EC0403" w:rsidP="009B1CF3">
            <w:r w:rsidRPr="00E0025B">
              <w:rPr>
                <w:rFonts w:cs="Arial"/>
                <w:sz w:val="18"/>
                <w:szCs w:val="18"/>
              </w:rPr>
              <w:t>√</w:t>
            </w:r>
          </w:p>
        </w:tc>
        <w:tc>
          <w:tcPr>
            <w:tcW w:w="770" w:type="dxa"/>
            <w:vAlign w:val="center"/>
          </w:tcPr>
          <w:p w:rsidR="00EC0403" w:rsidRDefault="00EC0403" w:rsidP="009B1CF3">
            <w:r w:rsidRPr="001F49DA">
              <w:rPr>
                <w:rFonts w:cs="Arial"/>
                <w:sz w:val="18"/>
                <w:szCs w:val="18"/>
              </w:rPr>
              <w:t>√</w:t>
            </w:r>
          </w:p>
        </w:tc>
        <w:tc>
          <w:tcPr>
            <w:tcW w:w="738" w:type="dxa"/>
            <w:vAlign w:val="center"/>
          </w:tcPr>
          <w:p w:rsidR="00EC0403" w:rsidRDefault="00EC0403" w:rsidP="009B1CF3">
            <w:r w:rsidRPr="00E0025B">
              <w:rPr>
                <w:rFonts w:cs="Arial"/>
                <w:sz w:val="18"/>
                <w:szCs w:val="18"/>
              </w:rPr>
              <w:t>√</w:t>
            </w:r>
          </w:p>
        </w:tc>
        <w:tc>
          <w:tcPr>
            <w:tcW w:w="852" w:type="dxa"/>
            <w:tcBorders>
              <w:right w:val="single" w:sz="12" w:space="0" w:color="auto"/>
            </w:tcBorders>
            <w:vAlign w:val="center"/>
          </w:tcPr>
          <w:p w:rsidR="00EC0403" w:rsidRDefault="00EC0403" w:rsidP="009B1CF3">
            <w:r w:rsidRPr="00595174">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3288A">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EL</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vAlign w:val="center"/>
          </w:tcPr>
          <w:p w:rsidR="00EC0403" w:rsidRDefault="00EC0403" w:rsidP="009B1CF3">
            <w:r w:rsidRPr="001F49DA">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595174">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r>
              <w:rPr>
                <w:rStyle w:val="EndnoteReference"/>
              </w:rPr>
              <w:endnoteReference w:id="388"/>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r>
              <w:rPr>
                <w:rStyle w:val="EndnoteReference"/>
              </w:rPr>
              <w:endnoteReference w:id="389"/>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ES</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07358">
              <w:rPr>
                <w:rFonts w:cs="Arial"/>
                <w:sz w:val="18"/>
                <w:szCs w:val="18"/>
              </w:rPr>
              <w:t>√</w:t>
            </w:r>
          </w:p>
        </w:tc>
        <w:tc>
          <w:tcPr>
            <w:tcW w:w="768" w:type="dxa"/>
            <w:vAlign w:val="center"/>
          </w:tcPr>
          <w:p w:rsidR="00EC0403" w:rsidRDefault="00EC0403" w:rsidP="009B1CF3">
            <w:r w:rsidRPr="00D07358">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6C1122">
              <w:rPr>
                <w:rFonts w:cs="Arial"/>
                <w:sz w:val="18"/>
                <w:szCs w:val="18"/>
              </w:rPr>
              <w:t>√</w:t>
            </w:r>
          </w:p>
        </w:tc>
        <w:tc>
          <w:tcPr>
            <w:tcW w:w="770" w:type="dxa"/>
            <w:vAlign w:val="center"/>
          </w:tcPr>
          <w:p w:rsidR="00EC0403" w:rsidRDefault="00EC0403" w:rsidP="009B1CF3">
            <w:r w:rsidRPr="006C1122">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3765D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r>
              <w:rPr>
                <w:rStyle w:val="EndnoteReference"/>
              </w:rPr>
              <w:endnoteReference w:id="390"/>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FI</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4E5AE0">
              <w:rPr>
                <w:rFonts w:cs="Arial"/>
                <w:sz w:val="18"/>
                <w:szCs w:val="18"/>
              </w:rPr>
              <w:t>√</w:t>
            </w:r>
          </w:p>
        </w:tc>
        <w:tc>
          <w:tcPr>
            <w:tcW w:w="770" w:type="dxa"/>
            <w:vAlign w:val="center"/>
          </w:tcPr>
          <w:p w:rsidR="00EC0403" w:rsidRDefault="00EC0403" w:rsidP="009B1CF3">
            <w:r w:rsidRPr="006C1122">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Pr="00E217F3" w:rsidRDefault="00EC0403" w:rsidP="009B1CF3">
            <w:pPr>
              <w:rPr>
                <w:sz w:val="18"/>
                <w:szCs w:val="18"/>
              </w:rPr>
            </w:pPr>
            <w:r>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3765D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FR</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4E5AE0">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3765D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HR</w:t>
            </w:r>
          </w:p>
        </w:tc>
        <w:tc>
          <w:tcPr>
            <w:tcW w:w="769" w:type="dxa"/>
            <w:tcBorders>
              <w:left w:val="single" w:sz="12" w:space="0" w:color="auto"/>
            </w:tcBorders>
            <w:vAlign w:val="center"/>
          </w:tcPr>
          <w:p w:rsidR="00EC0403" w:rsidRPr="00E217F3" w:rsidRDefault="00EC0403" w:rsidP="009B1CF3">
            <w:pPr>
              <w:rPr>
                <w:sz w:val="18"/>
                <w:szCs w:val="18"/>
              </w:rPr>
            </w:pPr>
            <w:r>
              <w:rPr>
                <w:rFonts w:cs="Arial"/>
                <w:sz w:val="18"/>
                <w:szCs w:val="18"/>
              </w:rPr>
              <w:t>√</w:t>
            </w: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100969">
              <w:rPr>
                <w:rFonts w:cs="Arial"/>
                <w:sz w:val="18"/>
                <w:szCs w:val="18"/>
              </w:rPr>
              <w:t>√</w:t>
            </w: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4E5AE0">
              <w:rPr>
                <w:rFonts w:cs="Arial"/>
                <w:sz w:val="18"/>
                <w:szCs w:val="18"/>
              </w:rPr>
              <w:t>√</w:t>
            </w:r>
          </w:p>
        </w:tc>
        <w:tc>
          <w:tcPr>
            <w:tcW w:w="770" w:type="dxa"/>
            <w:vAlign w:val="center"/>
          </w:tcPr>
          <w:p w:rsidR="00EC0403" w:rsidRDefault="00EC0403" w:rsidP="009B1CF3">
            <w:r w:rsidRPr="00242DA3">
              <w:rPr>
                <w:rFonts w:cs="Arial"/>
                <w:sz w:val="18"/>
                <w:szCs w:val="18"/>
              </w:rPr>
              <w:t>√</w:t>
            </w:r>
          </w:p>
        </w:tc>
        <w:tc>
          <w:tcPr>
            <w:tcW w:w="738" w:type="dxa"/>
            <w:vAlign w:val="center"/>
          </w:tcPr>
          <w:p w:rsidR="00EC0403" w:rsidRDefault="00EC0403" w:rsidP="009B1CF3">
            <w:r w:rsidRPr="00F1408A">
              <w:rPr>
                <w:rFonts w:cs="Arial"/>
                <w:sz w:val="18"/>
                <w:szCs w:val="18"/>
              </w:rPr>
              <w:t>√</w:t>
            </w:r>
          </w:p>
        </w:tc>
        <w:tc>
          <w:tcPr>
            <w:tcW w:w="852" w:type="dxa"/>
            <w:tcBorders>
              <w:right w:val="single" w:sz="12" w:space="0" w:color="auto"/>
            </w:tcBorders>
            <w:vAlign w:val="center"/>
          </w:tcPr>
          <w:p w:rsidR="00EC0403" w:rsidRDefault="00EC0403" w:rsidP="009B1CF3">
            <w:r w:rsidRPr="00242DA3">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r>
              <w:rPr>
                <w:rStyle w:val="EndnoteReference"/>
              </w:rPr>
              <w:endnoteReference w:id="391"/>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HU</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100969">
              <w:rPr>
                <w:rFonts w:cs="Arial"/>
                <w:sz w:val="18"/>
                <w:szCs w:val="18"/>
              </w:rPr>
              <w:t>√</w:t>
            </w:r>
          </w:p>
        </w:tc>
        <w:tc>
          <w:tcPr>
            <w:tcW w:w="768" w:type="dxa"/>
            <w:vAlign w:val="center"/>
          </w:tcPr>
          <w:p w:rsidR="00EC0403" w:rsidRPr="00E217F3" w:rsidRDefault="00EC0403" w:rsidP="009B1CF3">
            <w:pPr>
              <w:rPr>
                <w:sz w:val="18"/>
                <w:szCs w:val="18"/>
              </w:rPr>
            </w:pPr>
            <w:r>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4E5AE0">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vAlign w:val="center"/>
          </w:tcPr>
          <w:p w:rsidR="00EC0403" w:rsidRDefault="00EC0403" w:rsidP="009B1CF3">
            <w:r w:rsidRPr="00F1408A">
              <w:rPr>
                <w:rFonts w:cs="Arial"/>
                <w:sz w:val="18"/>
                <w:szCs w:val="18"/>
              </w:rPr>
              <w:t>√</w:t>
            </w: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IE</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IT</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8E6532">
              <w:rPr>
                <w:rFonts w:cs="Arial"/>
                <w:sz w:val="18"/>
                <w:szCs w:val="18"/>
              </w:rPr>
              <w:t>√</w:t>
            </w:r>
          </w:p>
        </w:tc>
        <w:tc>
          <w:tcPr>
            <w:tcW w:w="768" w:type="dxa"/>
            <w:vAlign w:val="center"/>
          </w:tcPr>
          <w:p w:rsidR="00EC0403" w:rsidRDefault="00EC0403" w:rsidP="009B1CF3">
            <w:r w:rsidRPr="008E6532">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05607">
              <w:rPr>
                <w:rFonts w:cs="Arial"/>
                <w:sz w:val="18"/>
                <w:szCs w:val="18"/>
              </w:rPr>
              <w:t>√</w:t>
            </w:r>
          </w:p>
        </w:tc>
        <w:tc>
          <w:tcPr>
            <w:tcW w:w="770" w:type="dxa"/>
            <w:vAlign w:val="center"/>
          </w:tcPr>
          <w:p w:rsidR="00EC0403" w:rsidRDefault="00EC0403" w:rsidP="009B1CF3">
            <w:r w:rsidRPr="00205607">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Pr="00E217F3" w:rsidRDefault="00EC0403" w:rsidP="009B1CF3">
            <w:pPr>
              <w:rPr>
                <w:sz w:val="18"/>
                <w:szCs w:val="18"/>
              </w:rPr>
            </w:pPr>
            <w:r>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2967E1">
              <w:rPr>
                <w:rFonts w:cs="Arial"/>
                <w:sz w:val="18"/>
                <w:szCs w:val="18"/>
              </w:rPr>
              <w:t>√</w:t>
            </w:r>
          </w:p>
        </w:tc>
        <w:tc>
          <w:tcPr>
            <w:tcW w:w="769" w:type="dxa"/>
            <w:vAlign w:val="center"/>
          </w:tcPr>
          <w:p w:rsidR="00EC0403" w:rsidRDefault="00EC0403" w:rsidP="009B1CF3">
            <w:r w:rsidRPr="00C87CD5">
              <w:rPr>
                <w:rFonts w:cs="Arial"/>
                <w:sz w:val="18"/>
                <w:szCs w:val="18"/>
              </w:rPr>
              <w:t>√</w:t>
            </w:r>
          </w:p>
        </w:tc>
        <w:tc>
          <w:tcPr>
            <w:tcW w:w="770" w:type="dxa"/>
            <w:vAlign w:val="center"/>
          </w:tcPr>
          <w:p w:rsidR="00EC0403" w:rsidRDefault="00EC0403" w:rsidP="009B1CF3">
            <w:r w:rsidRPr="00C87CD5">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LT</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8E6532">
              <w:rPr>
                <w:rFonts w:cs="Arial"/>
                <w:sz w:val="18"/>
                <w:szCs w:val="18"/>
              </w:rPr>
              <w:t>√</w:t>
            </w:r>
          </w:p>
        </w:tc>
        <w:tc>
          <w:tcPr>
            <w:tcW w:w="768" w:type="dxa"/>
            <w:vAlign w:val="center"/>
          </w:tcPr>
          <w:p w:rsidR="00EC0403" w:rsidRDefault="00EC0403" w:rsidP="009B1CF3">
            <w:r w:rsidRPr="008E6532">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11432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2967E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LU</w:t>
            </w:r>
          </w:p>
        </w:tc>
        <w:tc>
          <w:tcPr>
            <w:tcW w:w="769" w:type="dxa"/>
            <w:tcBorders>
              <w:left w:val="single" w:sz="12" w:space="0" w:color="auto"/>
            </w:tcBorders>
            <w:vAlign w:val="center"/>
          </w:tcPr>
          <w:p w:rsidR="00EC0403" w:rsidRDefault="00EC0403" w:rsidP="009B1CF3">
            <w:r w:rsidRPr="00D64B7A">
              <w:rPr>
                <w:rFonts w:cs="Arial"/>
                <w:sz w:val="18"/>
                <w:szCs w:val="18"/>
              </w:rPr>
              <w:t>√</w:t>
            </w:r>
          </w:p>
        </w:tc>
        <w:tc>
          <w:tcPr>
            <w:tcW w:w="768" w:type="dxa"/>
            <w:vAlign w:val="center"/>
          </w:tcPr>
          <w:p w:rsidR="00EC0403" w:rsidRDefault="00EC0403" w:rsidP="009B1CF3">
            <w:r w:rsidRPr="00D64B7A">
              <w:rPr>
                <w:rFonts w:cs="Arial"/>
                <w:sz w:val="18"/>
                <w:szCs w:val="18"/>
              </w:rPr>
              <w:t>√</w:t>
            </w:r>
          </w:p>
        </w:tc>
        <w:tc>
          <w:tcPr>
            <w:tcW w:w="769" w:type="dxa"/>
            <w:vAlign w:val="center"/>
          </w:tcPr>
          <w:p w:rsidR="00EC0403" w:rsidRDefault="00EC0403" w:rsidP="009B1CF3">
            <w:r w:rsidRPr="008E6532">
              <w:rPr>
                <w:rFonts w:cs="Arial"/>
                <w:sz w:val="18"/>
                <w:szCs w:val="18"/>
              </w:rPr>
              <w:t>√</w:t>
            </w:r>
          </w:p>
        </w:tc>
        <w:tc>
          <w:tcPr>
            <w:tcW w:w="768" w:type="dxa"/>
            <w:vAlign w:val="center"/>
          </w:tcPr>
          <w:p w:rsidR="00EC0403" w:rsidRDefault="00EC0403" w:rsidP="009B1CF3">
            <w:r w:rsidRPr="008E6532">
              <w:rPr>
                <w:rFonts w:cs="Arial"/>
                <w:sz w:val="18"/>
                <w:szCs w:val="18"/>
              </w:rPr>
              <w:t>√</w:t>
            </w:r>
          </w:p>
        </w:tc>
        <w:tc>
          <w:tcPr>
            <w:tcW w:w="770" w:type="dxa"/>
            <w:vAlign w:val="center"/>
          </w:tcPr>
          <w:p w:rsidR="00EC0403" w:rsidRDefault="00EC0403" w:rsidP="009B1CF3">
            <w:r w:rsidRPr="00D64B7A">
              <w:rPr>
                <w:rFonts w:cs="Arial"/>
                <w:sz w:val="18"/>
                <w:szCs w:val="18"/>
              </w:rPr>
              <w:t>√</w:t>
            </w:r>
          </w:p>
        </w:tc>
        <w:tc>
          <w:tcPr>
            <w:tcW w:w="769" w:type="dxa"/>
            <w:vAlign w:val="center"/>
          </w:tcPr>
          <w:p w:rsidR="00EC0403" w:rsidRDefault="00EC0403" w:rsidP="009B1CF3">
            <w:r w:rsidRPr="0011432B">
              <w:rPr>
                <w:rFonts w:cs="Arial"/>
                <w:sz w:val="18"/>
                <w:szCs w:val="18"/>
              </w:rPr>
              <w:t>√</w:t>
            </w:r>
          </w:p>
        </w:tc>
        <w:tc>
          <w:tcPr>
            <w:tcW w:w="770" w:type="dxa"/>
            <w:vAlign w:val="center"/>
          </w:tcPr>
          <w:p w:rsidR="00EC0403" w:rsidRDefault="00EC0403" w:rsidP="009B1CF3">
            <w:r w:rsidRPr="00D64B7A">
              <w:rPr>
                <w:rFonts w:cs="Arial"/>
                <w:sz w:val="18"/>
                <w:szCs w:val="18"/>
              </w:rPr>
              <w:t>√</w:t>
            </w:r>
          </w:p>
        </w:tc>
        <w:tc>
          <w:tcPr>
            <w:tcW w:w="738" w:type="dxa"/>
            <w:vAlign w:val="center"/>
          </w:tcPr>
          <w:p w:rsidR="00EC0403" w:rsidRDefault="00EC0403" w:rsidP="009B1CF3">
            <w:r w:rsidRPr="00D64B7A">
              <w:rPr>
                <w:rFonts w:cs="Arial"/>
                <w:sz w:val="18"/>
                <w:szCs w:val="18"/>
              </w:rPr>
              <w:t>√</w:t>
            </w:r>
          </w:p>
        </w:tc>
        <w:tc>
          <w:tcPr>
            <w:tcW w:w="852" w:type="dxa"/>
            <w:tcBorders>
              <w:right w:val="single" w:sz="12" w:space="0" w:color="auto"/>
            </w:tcBorders>
            <w:vAlign w:val="center"/>
          </w:tcPr>
          <w:p w:rsidR="00EC0403" w:rsidRDefault="00EC0403" w:rsidP="009B1CF3">
            <w:r w:rsidRPr="00AA4699">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2967E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LV</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8E6532">
              <w:rPr>
                <w:rFonts w:cs="Arial"/>
                <w:sz w:val="18"/>
                <w:szCs w:val="18"/>
              </w:rPr>
              <w:t>√</w:t>
            </w:r>
          </w:p>
        </w:tc>
        <w:tc>
          <w:tcPr>
            <w:tcW w:w="768" w:type="dxa"/>
            <w:vAlign w:val="center"/>
          </w:tcPr>
          <w:p w:rsidR="00EC0403" w:rsidRDefault="00EC0403" w:rsidP="009B1CF3">
            <w:r w:rsidRPr="008E6532">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11432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AA4699">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2967E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MT</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8E6532">
              <w:rPr>
                <w:rFonts w:cs="Arial"/>
                <w:sz w:val="18"/>
                <w:szCs w:val="18"/>
              </w:rPr>
              <w:t>√</w:t>
            </w:r>
          </w:p>
        </w:tc>
        <w:tc>
          <w:tcPr>
            <w:tcW w:w="768" w:type="dxa"/>
            <w:vAlign w:val="center"/>
          </w:tcPr>
          <w:p w:rsidR="00EC0403" w:rsidRDefault="00EC0403" w:rsidP="009B1CF3">
            <w:r w:rsidRPr="008E6532">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11432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2967E1">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NL</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F6341">
              <w:rPr>
                <w:rFonts w:cs="Arial"/>
                <w:sz w:val="18"/>
                <w:szCs w:val="18"/>
              </w:rPr>
              <w:t>√</w:t>
            </w:r>
          </w:p>
        </w:tc>
        <w:tc>
          <w:tcPr>
            <w:tcW w:w="768" w:type="dxa"/>
            <w:vAlign w:val="center"/>
          </w:tcPr>
          <w:p w:rsidR="00EC0403" w:rsidRDefault="00EC0403" w:rsidP="009B1CF3">
            <w:r w:rsidRPr="00A14711">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PL</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F6341">
              <w:rPr>
                <w:rFonts w:cs="Arial"/>
                <w:sz w:val="18"/>
                <w:szCs w:val="18"/>
              </w:rPr>
              <w:t>√</w:t>
            </w:r>
          </w:p>
        </w:tc>
        <w:tc>
          <w:tcPr>
            <w:tcW w:w="768" w:type="dxa"/>
            <w:vAlign w:val="center"/>
          </w:tcPr>
          <w:p w:rsidR="00EC0403" w:rsidRDefault="00EC0403" w:rsidP="009B1CF3">
            <w:r w:rsidRPr="00A14711">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vAlign w:val="center"/>
          </w:tcPr>
          <w:p w:rsidR="00EC0403" w:rsidRPr="00E217F3" w:rsidRDefault="00EC0403" w:rsidP="009B1CF3">
            <w:pPr>
              <w:rPr>
                <w:sz w:val="18"/>
                <w:szCs w:val="18"/>
              </w:rPr>
            </w:pPr>
            <w:r>
              <w:rPr>
                <w:rFonts w:cs="Arial"/>
                <w:sz w:val="18"/>
                <w:szCs w:val="18"/>
              </w:rPr>
              <w:t>√</w:t>
            </w:r>
          </w:p>
        </w:tc>
        <w:tc>
          <w:tcPr>
            <w:tcW w:w="852" w:type="dxa"/>
            <w:tcBorders>
              <w:right w:val="single" w:sz="12" w:space="0" w:color="auto"/>
            </w:tcBorders>
            <w:vAlign w:val="center"/>
          </w:tcPr>
          <w:p w:rsidR="00EC0403" w:rsidRDefault="00EC0403" w:rsidP="009B1CF3">
            <w:r w:rsidRPr="00AB517C">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Pr>
                <w:rFonts w:cs="Arial"/>
                <w:sz w:val="18"/>
                <w:szCs w:val="18"/>
              </w:rPr>
              <w:t>√</w:t>
            </w:r>
            <w:r>
              <w:rPr>
                <w:rStyle w:val="EndnoteReference"/>
              </w:rPr>
              <w:endnoteReference w:id="392"/>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PT</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F6341">
              <w:rPr>
                <w:rFonts w:cs="Arial"/>
                <w:sz w:val="18"/>
                <w:szCs w:val="18"/>
              </w:rPr>
              <w:t>√</w:t>
            </w: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AB517C">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RO</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DF3DAD">
              <w:rPr>
                <w:rFonts w:cs="Arial"/>
                <w:sz w:val="18"/>
                <w:szCs w:val="18"/>
              </w:rPr>
              <w:t>√</w:t>
            </w:r>
          </w:p>
        </w:tc>
        <w:tc>
          <w:tcPr>
            <w:tcW w:w="770" w:type="dxa"/>
            <w:vAlign w:val="center"/>
          </w:tcPr>
          <w:p w:rsidR="00EC0403" w:rsidRDefault="00EC0403" w:rsidP="009B1CF3">
            <w:r w:rsidRPr="00DF3DAD">
              <w:rPr>
                <w:rFonts w:cs="Arial"/>
                <w:sz w:val="18"/>
                <w:szCs w:val="18"/>
              </w:rPr>
              <w:t>√</w:t>
            </w: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vAlign w:val="center"/>
          </w:tcPr>
          <w:p w:rsidR="00EC0403" w:rsidRDefault="00EC0403" w:rsidP="009B1CF3">
            <w:r w:rsidRPr="00AB517C">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SE</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A25CB">
              <w:rPr>
                <w:rFonts w:cs="Arial"/>
                <w:sz w:val="18"/>
                <w:szCs w:val="18"/>
              </w:rPr>
              <w:t>√</w:t>
            </w:r>
          </w:p>
        </w:tc>
        <w:tc>
          <w:tcPr>
            <w:tcW w:w="768" w:type="dxa"/>
            <w:vAlign w:val="center"/>
          </w:tcPr>
          <w:p w:rsidR="00EC0403" w:rsidRDefault="00EC0403" w:rsidP="009B1CF3">
            <w:r w:rsidRPr="002A25C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Pr="00E217F3" w:rsidRDefault="00EC0403" w:rsidP="009B1CF3">
            <w:pPr>
              <w:rPr>
                <w:sz w:val="18"/>
                <w:szCs w:val="18"/>
              </w:rPr>
            </w:pPr>
            <w:r>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SI</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A25CB">
              <w:rPr>
                <w:rFonts w:cs="Arial"/>
                <w:sz w:val="18"/>
                <w:szCs w:val="18"/>
              </w:rPr>
              <w:t>√</w:t>
            </w:r>
          </w:p>
        </w:tc>
        <w:tc>
          <w:tcPr>
            <w:tcW w:w="768" w:type="dxa"/>
            <w:vAlign w:val="center"/>
          </w:tcPr>
          <w:p w:rsidR="00EC0403" w:rsidRDefault="00EC0403" w:rsidP="009B1CF3">
            <w:r w:rsidRPr="002A25C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shd w:val="clear" w:color="auto" w:fill="D9D9D9" w:themeFill="background1" w:themeFillShade="D9"/>
            <w:vAlign w:val="center"/>
          </w:tcPr>
          <w:p w:rsidR="00EC0403" w:rsidRPr="00E217F3" w:rsidRDefault="00EC0403" w:rsidP="009B1CF3">
            <w:pPr>
              <w:rPr>
                <w:sz w:val="18"/>
                <w:szCs w:val="18"/>
              </w:rPr>
            </w:pP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SK</w:t>
            </w:r>
          </w:p>
        </w:tc>
        <w:tc>
          <w:tcPr>
            <w:tcW w:w="769" w:type="dxa"/>
            <w:tcBorders>
              <w:left w:val="single" w:sz="12" w:space="0" w:color="auto"/>
            </w:tcBorders>
            <w:vAlign w:val="center"/>
          </w:tcPr>
          <w:p w:rsidR="00EC0403" w:rsidRDefault="00EC0403" w:rsidP="009B1CF3">
            <w:r w:rsidRPr="005E11F5">
              <w:rPr>
                <w:rFonts w:cs="Arial"/>
                <w:sz w:val="18"/>
                <w:szCs w:val="18"/>
              </w:rPr>
              <w:t>√</w:t>
            </w:r>
          </w:p>
        </w:tc>
        <w:tc>
          <w:tcPr>
            <w:tcW w:w="768" w:type="dxa"/>
            <w:vAlign w:val="center"/>
          </w:tcPr>
          <w:p w:rsidR="00EC0403" w:rsidRDefault="00EC0403" w:rsidP="009B1CF3">
            <w:r w:rsidRPr="005E11F5">
              <w:rPr>
                <w:rFonts w:cs="Arial"/>
                <w:sz w:val="18"/>
                <w:szCs w:val="18"/>
              </w:rPr>
              <w:t>√</w:t>
            </w:r>
          </w:p>
        </w:tc>
        <w:tc>
          <w:tcPr>
            <w:tcW w:w="769" w:type="dxa"/>
            <w:vAlign w:val="center"/>
          </w:tcPr>
          <w:p w:rsidR="00EC0403" w:rsidRDefault="00EC0403" w:rsidP="009B1CF3">
            <w:r w:rsidRPr="002A25CB">
              <w:rPr>
                <w:rFonts w:cs="Arial"/>
                <w:sz w:val="18"/>
                <w:szCs w:val="18"/>
              </w:rPr>
              <w:t>√</w:t>
            </w:r>
          </w:p>
        </w:tc>
        <w:tc>
          <w:tcPr>
            <w:tcW w:w="768" w:type="dxa"/>
            <w:vAlign w:val="center"/>
          </w:tcPr>
          <w:p w:rsidR="00EC0403" w:rsidRDefault="00EC0403" w:rsidP="009B1CF3">
            <w:r w:rsidRPr="002A25CB">
              <w:rPr>
                <w:rFonts w:cs="Arial"/>
                <w:sz w:val="18"/>
                <w:szCs w:val="18"/>
              </w:rPr>
              <w:t>√</w:t>
            </w:r>
          </w:p>
        </w:tc>
        <w:tc>
          <w:tcPr>
            <w:tcW w:w="770" w:type="dxa"/>
            <w:vAlign w:val="center"/>
          </w:tcPr>
          <w:p w:rsidR="00EC0403" w:rsidRDefault="00EC0403" w:rsidP="009B1CF3">
            <w:r w:rsidRPr="00714FB8">
              <w:rPr>
                <w:rFonts w:cs="Arial"/>
                <w:sz w:val="18"/>
                <w:szCs w:val="18"/>
              </w:rPr>
              <w:t>√</w:t>
            </w:r>
          </w:p>
        </w:tc>
        <w:tc>
          <w:tcPr>
            <w:tcW w:w="769" w:type="dxa"/>
            <w:vAlign w:val="center"/>
          </w:tcPr>
          <w:p w:rsidR="00EC0403" w:rsidRDefault="00EC0403" w:rsidP="009B1CF3">
            <w:r w:rsidRPr="00714FB8">
              <w:rPr>
                <w:rFonts w:cs="Arial"/>
                <w:sz w:val="18"/>
                <w:szCs w:val="18"/>
              </w:rPr>
              <w:t>√</w:t>
            </w:r>
          </w:p>
        </w:tc>
        <w:tc>
          <w:tcPr>
            <w:tcW w:w="770" w:type="dxa"/>
            <w:vAlign w:val="center"/>
          </w:tcPr>
          <w:p w:rsidR="00EC0403" w:rsidRDefault="00EC0403" w:rsidP="009B1CF3">
            <w:r w:rsidRPr="00714FB8">
              <w:rPr>
                <w:rFonts w:cs="Arial"/>
                <w:sz w:val="18"/>
                <w:szCs w:val="18"/>
              </w:rPr>
              <w:t>√</w:t>
            </w:r>
          </w:p>
        </w:tc>
        <w:tc>
          <w:tcPr>
            <w:tcW w:w="738" w:type="dxa"/>
            <w:vAlign w:val="center"/>
          </w:tcPr>
          <w:p w:rsidR="00EC0403" w:rsidRDefault="00EC0403" w:rsidP="009B1CF3">
            <w:r w:rsidRPr="00714FB8">
              <w:rPr>
                <w:rFonts w:cs="Arial"/>
                <w:sz w:val="18"/>
                <w:szCs w:val="18"/>
              </w:rPr>
              <w:t>√</w:t>
            </w:r>
          </w:p>
        </w:tc>
        <w:tc>
          <w:tcPr>
            <w:tcW w:w="852" w:type="dxa"/>
            <w:tcBorders>
              <w:right w:val="single" w:sz="12" w:space="0" w:color="auto"/>
            </w:tcBorders>
            <w:vAlign w:val="center"/>
          </w:tcPr>
          <w:p w:rsidR="00EC0403" w:rsidRDefault="00EC0403" w:rsidP="009B1CF3">
            <w:r w:rsidRPr="00714FB8">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shd w:val="clear" w:color="auto" w:fill="D9D9D9" w:themeFill="background1" w:themeFillShade="D9"/>
            <w:vAlign w:val="center"/>
          </w:tcPr>
          <w:p w:rsidR="00EC0403" w:rsidRDefault="00EC0403" w:rsidP="009B1CF3"/>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UK-E&amp;W</w:t>
            </w:r>
          </w:p>
        </w:tc>
        <w:tc>
          <w:tcPr>
            <w:tcW w:w="769" w:type="dxa"/>
            <w:tcBorders>
              <w:left w:val="single" w:sz="12" w:space="0" w:color="auto"/>
            </w:tcBorders>
            <w:vAlign w:val="center"/>
          </w:tcPr>
          <w:p w:rsidR="00EC0403" w:rsidRDefault="00EC0403" w:rsidP="009B1CF3">
            <w:r w:rsidRPr="005E11F5">
              <w:rPr>
                <w:rFonts w:cs="Arial"/>
                <w:sz w:val="18"/>
                <w:szCs w:val="18"/>
              </w:rPr>
              <w:t>√</w:t>
            </w:r>
          </w:p>
        </w:tc>
        <w:tc>
          <w:tcPr>
            <w:tcW w:w="768" w:type="dxa"/>
            <w:vAlign w:val="center"/>
          </w:tcPr>
          <w:p w:rsidR="00EC0403" w:rsidRDefault="00EC0403" w:rsidP="009B1CF3">
            <w:r w:rsidRPr="005E11F5">
              <w:rPr>
                <w:rFonts w:cs="Arial"/>
                <w:sz w:val="18"/>
                <w:szCs w:val="18"/>
              </w:rPr>
              <w:t>√</w:t>
            </w:r>
          </w:p>
        </w:tc>
        <w:tc>
          <w:tcPr>
            <w:tcW w:w="769" w:type="dxa"/>
            <w:vAlign w:val="center"/>
          </w:tcPr>
          <w:p w:rsidR="00EC0403" w:rsidRDefault="00EC0403" w:rsidP="009B1CF3">
            <w:r w:rsidRPr="002A25CB">
              <w:rPr>
                <w:rFonts w:cs="Arial"/>
                <w:sz w:val="18"/>
                <w:szCs w:val="18"/>
              </w:rPr>
              <w:t>√</w:t>
            </w:r>
          </w:p>
        </w:tc>
        <w:tc>
          <w:tcPr>
            <w:tcW w:w="768" w:type="dxa"/>
            <w:vAlign w:val="center"/>
          </w:tcPr>
          <w:p w:rsidR="00EC0403" w:rsidRDefault="00EC0403" w:rsidP="009B1CF3">
            <w:r w:rsidRPr="002A25CB">
              <w:rPr>
                <w:rFonts w:cs="Arial"/>
                <w:sz w:val="18"/>
                <w:szCs w:val="18"/>
              </w:rPr>
              <w:t>√</w:t>
            </w:r>
          </w:p>
        </w:tc>
        <w:tc>
          <w:tcPr>
            <w:tcW w:w="770" w:type="dxa"/>
            <w:vAlign w:val="center"/>
          </w:tcPr>
          <w:p w:rsidR="00EC0403" w:rsidRDefault="00EC0403" w:rsidP="009B1CF3">
            <w:r w:rsidRPr="00714FB8">
              <w:rPr>
                <w:rFonts w:cs="Arial"/>
                <w:sz w:val="18"/>
                <w:szCs w:val="18"/>
              </w:rPr>
              <w:t>√</w:t>
            </w:r>
          </w:p>
        </w:tc>
        <w:tc>
          <w:tcPr>
            <w:tcW w:w="769" w:type="dxa"/>
            <w:vAlign w:val="center"/>
          </w:tcPr>
          <w:p w:rsidR="00EC0403" w:rsidRDefault="00EC0403" w:rsidP="009B1CF3">
            <w:r w:rsidRPr="00714FB8">
              <w:rPr>
                <w:rFonts w:cs="Arial"/>
                <w:sz w:val="18"/>
                <w:szCs w:val="18"/>
              </w:rPr>
              <w:t>√</w:t>
            </w:r>
          </w:p>
        </w:tc>
        <w:tc>
          <w:tcPr>
            <w:tcW w:w="770" w:type="dxa"/>
            <w:vAlign w:val="center"/>
          </w:tcPr>
          <w:p w:rsidR="00EC0403" w:rsidRDefault="00EC0403" w:rsidP="009B1CF3">
            <w:r w:rsidRPr="00714FB8">
              <w:rPr>
                <w:rFonts w:cs="Arial"/>
                <w:sz w:val="18"/>
                <w:szCs w:val="18"/>
              </w:rPr>
              <w:t>√</w:t>
            </w:r>
          </w:p>
        </w:tc>
        <w:tc>
          <w:tcPr>
            <w:tcW w:w="738" w:type="dxa"/>
            <w:vAlign w:val="center"/>
          </w:tcPr>
          <w:p w:rsidR="00EC0403" w:rsidRDefault="00EC0403" w:rsidP="009B1CF3">
            <w:r w:rsidRPr="00714FB8">
              <w:rPr>
                <w:rFonts w:cs="Arial"/>
                <w:sz w:val="18"/>
                <w:szCs w:val="18"/>
              </w:rPr>
              <w:t>√</w:t>
            </w:r>
          </w:p>
        </w:tc>
        <w:tc>
          <w:tcPr>
            <w:tcW w:w="852" w:type="dxa"/>
            <w:tcBorders>
              <w:right w:val="single" w:sz="12" w:space="0" w:color="auto"/>
            </w:tcBorders>
            <w:vAlign w:val="center"/>
          </w:tcPr>
          <w:p w:rsidR="00EC0403" w:rsidRDefault="00EC0403" w:rsidP="009B1CF3">
            <w:r w:rsidRPr="00714FB8">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D3847">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EC0403" w:rsidP="009B1CF3">
            <w:pPr>
              <w:pStyle w:val="BTBullet1"/>
              <w:numPr>
                <w:ilvl w:val="0"/>
                <w:numId w:val="0"/>
              </w:numPr>
              <w:rPr>
                <w:b/>
                <w:sz w:val="16"/>
                <w:szCs w:val="16"/>
              </w:rPr>
            </w:pPr>
            <w:r w:rsidRPr="00731E82">
              <w:rPr>
                <w:b/>
                <w:sz w:val="16"/>
                <w:szCs w:val="16"/>
              </w:rPr>
              <w:t>UK-NI</w:t>
            </w:r>
          </w:p>
        </w:tc>
        <w:tc>
          <w:tcPr>
            <w:tcW w:w="769" w:type="dxa"/>
            <w:tcBorders>
              <w:left w:val="single" w:sz="12" w:space="0" w:color="auto"/>
            </w:tcBorders>
            <w:vAlign w:val="center"/>
          </w:tcPr>
          <w:p w:rsidR="00EC0403" w:rsidRDefault="00EC0403" w:rsidP="009B1CF3">
            <w:r w:rsidRPr="005E11F5">
              <w:rPr>
                <w:rFonts w:cs="Arial"/>
                <w:sz w:val="18"/>
                <w:szCs w:val="18"/>
              </w:rPr>
              <w:t>√</w:t>
            </w:r>
          </w:p>
        </w:tc>
        <w:tc>
          <w:tcPr>
            <w:tcW w:w="768" w:type="dxa"/>
            <w:vAlign w:val="center"/>
          </w:tcPr>
          <w:p w:rsidR="00EC0403" w:rsidRDefault="00EC0403" w:rsidP="009B1CF3">
            <w:r w:rsidRPr="005E11F5">
              <w:rPr>
                <w:rFonts w:cs="Arial"/>
                <w:sz w:val="18"/>
                <w:szCs w:val="18"/>
              </w:rPr>
              <w:t>√</w:t>
            </w:r>
          </w:p>
        </w:tc>
        <w:tc>
          <w:tcPr>
            <w:tcW w:w="769" w:type="dxa"/>
            <w:vAlign w:val="center"/>
          </w:tcPr>
          <w:p w:rsidR="00EC0403" w:rsidRDefault="00EC0403" w:rsidP="009B1CF3">
            <w:r w:rsidRPr="002A25CB">
              <w:rPr>
                <w:rFonts w:cs="Arial"/>
                <w:sz w:val="18"/>
                <w:szCs w:val="18"/>
              </w:rPr>
              <w:t>√</w:t>
            </w:r>
          </w:p>
        </w:tc>
        <w:tc>
          <w:tcPr>
            <w:tcW w:w="768" w:type="dxa"/>
            <w:vAlign w:val="center"/>
          </w:tcPr>
          <w:p w:rsidR="00EC0403" w:rsidRDefault="00EC0403" w:rsidP="009B1CF3">
            <w:r w:rsidRPr="002A25CB">
              <w:rPr>
                <w:rFonts w:cs="Arial"/>
                <w:sz w:val="18"/>
                <w:szCs w:val="18"/>
              </w:rPr>
              <w:t>√</w:t>
            </w:r>
          </w:p>
        </w:tc>
        <w:tc>
          <w:tcPr>
            <w:tcW w:w="770" w:type="dxa"/>
            <w:vAlign w:val="center"/>
          </w:tcPr>
          <w:p w:rsidR="00EC0403" w:rsidRDefault="00EC0403" w:rsidP="009B1CF3">
            <w:r w:rsidRPr="00714FB8">
              <w:rPr>
                <w:rFonts w:cs="Arial"/>
                <w:sz w:val="18"/>
                <w:szCs w:val="18"/>
              </w:rPr>
              <w:t>√</w:t>
            </w:r>
          </w:p>
        </w:tc>
        <w:tc>
          <w:tcPr>
            <w:tcW w:w="769" w:type="dxa"/>
            <w:vAlign w:val="center"/>
          </w:tcPr>
          <w:p w:rsidR="00EC0403" w:rsidRDefault="00EC0403" w:rsidP="009B1CF3">
            <w:r w:rsidRPr="00714FB8">
              <w:rPr>
                <w:rFonts w:cs="Arial"/>
                <w:sz w:val="18"/>
                <w:szCs w:val="18"/>
              </w:rPr>
              <w:t>√</w:t>
            </w:r>
          </w:p>
        </w:tc>
        <w:tc>
          <w:tcPr>
            <w:tcW w:w="770" w:type="dxa"/>
            <w:vAlign w:val="center"/>
          </w:tcPr>
          <w:p w:rsidR="00EC0403" w:rsidRDefault="00EC0403" w:rsidP="009B1CF3">
            <w:r w:rsidRPr="00714FB8">
              <w:rPr>
                <w:rFonts w:cs="Arial"/>
                <w:sz w:val="18"/>
                <w:szCs w:val="18"/>
              </w:rPr>
              <w:t>√</w:t>
            </w:r>
          </w:p>
        </w:tc>
        <w:tc>
          <w:tcPr>
            <w:tcW w:w="738" w:type="dxa"/>
            <w:vAlign w:val="center"/>
          </w:tcPr>
          <w:p w:rsidR="00EC0403" w:rsidRDefault="00EC0403" w:rsidP="009B1CF3">
            <w:r w:rsidRPr="00714FB8">
              <w:rPr>
                <w:rFonts w:cs="Arial"/>
                <w:sz w:val="18"/>
                <w:szCs w:val="18"/>
              </w:rPr>
              <w:t>√</w:t>
            </w:r>
          </w:p>
        </w:tc>
        <w:tc>
          <w:tcPr>
            <w:tcW w:w="852" w:type="dxa"/>
            <w:tcBorders>
              <w:right w:val="single" w:sz="12" w:space="0" w:color="auto"/>
            </w:tcBorders>
            <w:vAlign w:val="center"/>
          </w:tcPr>
          <w:p w:rsidR="00EC0403" w:rsidRDefault="00EC0403" w:rsidP="009B1CF3">
            <w:r w:rsidRPr="00714FB8">
              <w:rPr>
                <w:rFonts w:cs="Arial"/>
                <w:sz w:val="18"/>
                <w:szCs w:val="18"/>
              </w:rPr>
              <w:t>√</w:t>
            </w: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D3847">
              <w:rPr>
                <w:rFonts w:cs="Arial"/>
                <w:sz w:val="18"/>
                <w:szCs w:val="18"/>
              </w:rPr>
              <w:t>√</w:t>
            </w:r>
          </w:p>
        </w:tc>
      </w:tr>
      <w:tr w:rsidR="00EC0403" w:rsidTr="00731E82">
        <w:trPr>
          <w:cantSplit/>
          <w:trHeight w:hRule="exact" w:val="288"/>
          <w:jc w:val="center"/>
        </w:trPr>
        <w:tc>
          <w:tcPr>
            <w:tcW w:w="984" w:type="dxa"/>
            <w:tcBorders>
              <w:right w:val="single" w:sz="12" w:space="0" w:color="auto"/>
            </w:tcBorders>
            <w:shd w:val="clear" w:color="auto" w:fill="DBE5F1" w:themeFill="accent1" w:themeFillTint="33"/>
            <w:vAlign w:val="center"/>
          </w:tcPr>
          <w:p w:rsidR="00EC0403" w:rsidRPr="00731E82" w:rsidRDefault="00CD7610" w:rsidP="009B1CF3">
            <w:pPr>
              <w:pStyle w:val="BTBullet1"/>
              <w:numPr>
                <w:ilvl w:val="0"/>
                <w:numId w:val="0"/>
              </w:numPr>
              <w:rPr>
                <w:b/>
                <w:sz w:val="16"/>
                <w:szCs w:val="16"/>
              </w:rPr>
            </w:pPr>
            <w:r w:rsidRPr="00731E82">
              <w:rPr>
                <w:b/>
                <w:sz w:val="16"/>
                <w:szCs w:val="16"/>
              </w:rPr>
              <w:t>UK-S</w:t>
            </w:r>
          </w:p>
        </w:tc>
        <w:tc>
          <w:tcPr>
            <w:tcW w:w="769" w:type="dxa"/>
            <w:tcBorders>
              <w:lef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68"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Default="00EC0403" w:rsidP="009B1CF3">
            <w:r w:rsidRPr="002A25CB">
              <w:rPr>
                <w:rFonts w:cs="Arial"/>
                <w:sz w:val="18"/>
                <w:szCs w:val="18"/>
              </w:rPr>
              <w:t>√</w:t>
            </w:r>
          </w:p>
        </w:tc>
        <w:tc>
          <w:tcPr>
            <w:tcW w:w="768" w:type="dxa"/>
            <w:vAlign w:val="center"/>
          </w:tcPr>
          <w:p w:rsidR="00EC0403" w:rsidRDefault="00EC0403" w:rsidP="009B1CF3">
            <w:r w:rsidRPr="002A25CB">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69" w:type="dxa"/>
            <w:vAlign w:val="center"/>
          </w:tcPr>
          <w:p w:rsidR="00EC0403" w:rsidRPr="00E217F3" w:rsidRDefault="00EC0403" w:rsidP="009B1CF3">
            <w:pPr>
              <w:rPr>
                <w:sz w:val="18"/>
                <w:szCs w:val="18"/>
              </w:rPr>
            </w:pPr>
            <w:r>
              <w:rPr>
                <w:rFonts w:cs="Arial"/>
                <w:sz w:val="18"/>
                <w:szCs w:val="18"/>
              </w:rPr>
              <w:t>√</w:t>
            </w:r>
          </w:p>
        </w:tc>
        <w:tc>
          <w:tcPr>
            <w:tcW w:w="770" w:type="dxa"/>
            <w:shd w:val="clear" w:color="auto" w:fill="D9D9D9" w:themeFill="background1" w:themeFillShade="D9"/>
            <w:vAlign w:val="center"/>
          </w:tcPr>
          <w:p w:rsidR="00EC0403" w:rsidRPr="00E217F3" w:rsidRDefault="00EC0403" w:rsidP="009B1CF3">
            <w:pPr>
              <w:rPr>
                <w:sz w:val="18"/>
                <w:szCs w:val="18"/>
              </w:rPr>
            </w:pPr>
          </w:p>
        </w:tc>
        <w:tc>
          <w:tcPr>
            <w:tcW w:w="738" w:type="dxa"/>
            <w:shd w:val="clear" w:color="auto" w:fill="D9D9D9" w:themeFill="background1" w:themeFillShade="D9"/>
            <w:vAlign w:val="center"/>
          </w:tcPr>
          <w:p w:rsidR="00EC0403" w:rsidRPr="00E217F3" w:rsidRDefault="00EC0403" w:rsidP="009B1CF3">
            <w:pPr>
              <w:rPr>
                <w:sz w:val="18"/>
                <w:szCs w:val="18"/>
              </w:rPr>
            </w:pPr>
          </w:p>
        </w:tc>
        <w:tc>
          <w:tcPr>
            <w:tcW w:w="852" w:type="dxa"/>
            <w:tcBorders>
              <w:right w:val="single" w:sz="12" w:space="0" w:color="auto"/>
            </w:tcBorders>
            <w:shd w:val="clear" w:color="auto" w:fill="D9D9D9" w:themeFill="background1" w:themeFillShade="D9"/>
            <w:vAlign w:val="center"/>
          </w:tcPr>
          <w:p w:rsidR="00EC0403" w:rsidRPr="00E217F3" w:rsidRDefault="00EC0403" w:rsidP="009B1CF3">
            <w:pPr>
              <w:rPr>
                <w:sz w:val="18"/>
                <w:szCs w:val="18"/>
              </w:rPr>
            </w:pPr>
          </w:p>
        </w:tc>
        <w:tc>
          <w:tcPr>
            <w:tcW w:w="718" w:type="dxa"/>
            <w:tcBorders>
              <w:left w:val="single" w:sz="12" w:space="0" w:color="auto"/>
            </w:tcBorders>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065CE3">
              <w:rPr>
                <w:rFonts w:cs="Arial"/>
                <w:sz w:val="18"/>
                <w:szCs w:val="18"/>
              </w:rPr>
              <w:t>√</w:t>
            </w:r>
          </w:p>
        </w:tc>
        <w:tc>
          <w:tcPr>
            <w:tcW w:w="769" w:type="dxa"/>
            <w:shd w:val="clear" w:color="auto" w:fill="D9D9D9" w:themeFill="background1" w:themeFillShade="D9"/>
            <w:vAlign w:val="center"/>
          </w:tcPr>
          <w:p w:rsidR="00EC0403" w:rsidRDefault="00EC0403" w:rsidP="009B1CF3"/>
        </w:tc>
        <w:tc>
          <w:tcPr>
            <w:tcW w:w="770" w:type="dxa"/>
            <w:vAlign w:val="center"/>
          </w:tcPr>
          <w:p w:rsidR="00EC0403" w:rsidRDefault="00EC0403" w:rsidP="009B1CF3">
            <w:r w:rsidRPr="004D3847">
              <w:rPr>
                <w:rFonts w:cs="Arial"/>
                <w:sz w:val="18"/>
                <w:szCs w:val="18"/>
              </w:rPr>
              <w:t>√</w:t>
            </w:r>
          </w:p>
        </w:tc>
      </w:tr>
      <w:tr w:rsidR="00EC0403" w:rsidTr="00731E82">
        <w:trPr>
          <w:cantSplit/>
          <w:trHeight w:hRule="exact" w:val="462"/>
          <w:jc w:val="center"/>
        </w:trPr>
        <w:tc>
          <w:tcPr>
            <w:tcW w:w="984" w:type="dxa"/>
            <w:tcBorders>
              <w:right w:val="single" w:sz="12" w:space="0" w:color="auto"/>
            </w:tcBorders>
            <w:shd w:val="clear" w:color="auto" w:fill="FFFFFF" w:themeFill="background1"/>
            <w:vAlign w:val="center"/>
          </w:tcPr>
          <w:p w:rsidR="00EC0403" w:rsidRPr="00CD55CA" w:rsidRDefault="00EC0403" w:rsidP="009B1CF3">
            <w:pPr>
              <w:pStyle w:val="BTBullet1"/>
              <w:numPr>
                <w:ilvl w:val="0"/>
                <w:numId w:val="0"/>
              </w:numPr>
              <w:rPr>
                <w:b/>
                <w:sz w:val="16"/>
                <w:szCs w:val="16"/>
              </w:rPr>
            </w:pPr>
            <w:r>
              <w:rPr>
                <w:b/>
                <w:sz w:val="16"/>
                <w:szCs w:val="16"/>
              </w:rPr>
              <w:t>Total Yes</w:t>
            </w:r>
          </w:p>
        </w:tc>
        <w:tc>
          <w:tcPr>
            <w:tcW w:w="769" w:type="dxa"/>
            <w:tcBorders>
              <w:left w:val="single" w:sz="12" w:space="0" w:color="auto"/>
            </w:tcBorders>
            <w:shd w:val="clear" w:color="auto" w:fill="auto"/>
            <w:vAlign w:val="center"/>
          </w:tcPr>
          <w:p w:rsidR="00EC0403" w:rsidRPr="00A12439" w:rsidRDefault="00EC0403" w:rsidP="009B1CF3">
            <w:pPr>
              <w:rPr>
                <w:b/>
                <w:sz w:val="16"/>
                <w:szCs w:val="16"/>
              </w:rPr>
            </w:pPr>
            <w:r w:rsidRPr="00A12439">
              <w:rPr>
                <w:b/>
                <w:sz w:val="16"/>
                <w:szCs w:val="16"/>
              </w:rPr>
              <w:t>7</w:t>
            </w:r>
          </w:p>
        </w:tc>
        <w:tc>
          <w:tcPr>
            <w:tcW w:w="768" w:type="dxa"/>
            <w:shd w:val="clear" w:color="auto" w:fill="auto"/>
            <w:vAlign w:val="center"/>
          </w:tcPr>
          <w:p w:rsidR="00EC0403" w:rsidRPr="00A12439" w:rsidRDefault="00EC0403" w:rsidP="009B1CF3">
            <w:pPr>
              <w:rPr>
                <w:b/>
                <w:sz w:val="16"/>
                <w:szCs w:val="16"/>
              </w:rPr>
            </w:pPr>
            <w:r w:rsidRPr="00A12439">
              <w:rPr>
                <w:b/>
                <w:sz w:val="16"/>
                <w:szCs w:val="16"/>
              </w:rPr>
              <w:t>5</w:t>
            </w:r>
          </w:p>
        </w:tc>
        <w:tc>
          <w:tcPr>
            <w:tcW w:w="769" w:type="dxa"/>
            <w:shd w:val="clear" w:color="auto" w:fill="auto"/>
            <w:vAlign w:val="center"/>
          </w:tcPr>
          <w:p w:rsidR="00EC0403" w:rsidRPr="00A12439" w:rsidRDefault="00EC0403" w:rsidP="009B1CF3">
            <w:pPr>
              <w:rPr>
                <w:rFonts w:cs="Arial"/>
                <w:b/>
                <w:sz w:val="16"/>
                <w:szCs w:val="16"/>
              </w:rPr>
            </w:pPr>
            <w:r w:rsidRPr="00A12439">
              <w:rPr>
                <w:rFonts w:cs="Arial"/>
                <w:b/>
                <w:sz w:val="16"/>
                <w:szCs w:val="16"/>
              </w:rPr>
              <w:t>26</w:t>
            </w:r>
          </w:p>
        </w:tc>
        <w:tc>
          <w:tcPr>
            <w:tcW w:w="768" w:type="dxa"/>
            <w:shd w:val="clear" w:color="auto" w:fill="auto"/>
            <w:vAlign w:val="center"/>
          </w:tcPr>
          <w:p w:rsidR="00EC0403" w:rsidRPr="00A12439" w:rsidRDefault="00EC0403" w:rsidP="009B1CF3">
            <w:pPr>
              <w:rPr>
                <w:rFonts w:cs="Arial"/>
                <w:b/>
                <w:sz w:val="16"/>
                <w:szCs w:val="16"/>
              </w:rPr>
            </w:pPr>
            <w:r w:rsidRPr="00A12439">
              <w:rPr>
                <w:rFonts w:cs="Arial"/>
                <w:b/>
                <w:sz w:val="16"/>
                <w:szCs w:val="16"/>
              </w:rPr>
              <w:t>24</w:t>
            </w:r>
          </w:p>
        </w:tc>
        <w:tc>
          <w:tcPr>
            <w:tcW w:w="770" w:type="dxa"/>
            <w:shd w:val="clear" w:color="auto" w:fill="auto"/>
            <w:vAlign w:val="center"/>
          </w:tcPr>
          <w:p w:rsidR="00EC0403" w:rsidRPr="00A12439" w:rsidRDefault="00EC0403" w:rsidP="009B1CF3">
            <w:pPr>
              <w:rPr>
                <w:b/>
                <w:sz w:val="16"/>
                <w:szCs w:val="16"/>
              </w:rPr>
            </w:pPr>
            <w:r w:rsidRPr="00A12439">
              <w:rPr>
                <w:b/>
                <w:sz w:val="16"/>
                <w:szCs w:val="16"/>
              </w:rPr>
              <w:t>5</w:t>
            </w:r>
          </w:p>
        </w:tc>
        <w:tc>
          <w:tcPr>
            <w:tcW w:w="769" w:type="dxa"/>
            <w:shd w:val="clear" w:color="auto" w:fill="auto"/>
            <w:vAlign w:val="center"/>
          </w:tcPr>
          <w:p w:rsidR="00EC0403" w:rsidRPr="00A12439" w:rsidRDefault="00EC0403" w:rsidP="009B1CF3">
            <w:pPr>
              <w:rPr>
                <w:rFonts w:cs="Arial"/>
                <w:b/>
                <w:sz w:val="16"/>
                <w:szCs w:val="16"/>
              </w:rPr>
            </w:pPr>
            <w:r w:rsidRPr="00A12439">
              <w:rPr>
                <w:rFonts w:cs="Arial"/>
                <w:b/>
                <w:sz w:val="16"/>
                <w:szCs w:val="16"/>
              </w:rPr>
              <w:t>20</w:t>
            </w:r>
          </w:p>
        </w:tc>
        <w:tc>
          <w:tcPr>
            <w:tcW w:w="770" w:type="dxa"/>
            <w:shd w:val="clear" w:color="auto" w:fill="auto"/>
            <w:vAlign w:val="center"/>
          </w:tcPr>
          <w:p w:rsidR="00EC0403" w:rsidRPr="00A12439" w:rsidRDefault="00EC0403" w:rsidP="009B1CF3">
            <w:pPr>
              <w:rPr>
                <w:b/>
                <w:sz w:val="16"/>
                <w:szCs w:val="16"/>
              </w:rPr>
            </w:pPr>
            <w:r w:rsidRPr="00A12439">
              <w:rPr>
                <w:b/>
                <w:sz w:val="16"/>
                <w:szCs w:val="16"/>
              </w:rPr>
              <w:t>14</w:t>
            </w:r>
          </w:p>
        </w:tc>
        <w:tc>
          <w:tcPr>
            <w:tcW w:w="738" w:type="dxa"/>
            <w:shd w:val="clear" w:color="auto" w:fill="auto"/>
            <w:vAlign w:val="center"/>
          </w:tcPr>
          <w:p w:rsidR="00EC0403" w:rsidRPr="00A12439" w:rsidRDefault="00EC0403" w:rsidP="009B1CF3">
            <w:pPr>
              <w:rPr>
                <w:b/>
                <w:sz w:val="16"/>
                <w:szCs w:val="16"/>
              </w:rPr>
            </w:pPr>
            <w:r w:rsidRPr="00A12439">
              <w:rPr>
                <w:b/>
                <w:sz w:val="16"/>
                <w:szCs w:val="16"/>
              </w:rPr>
              <w:t>10</w:t>
            </w:r>
          </w:p>
        </w:tc>
        <w:tc>
          <w:tcPr>
            <w:tcW w:w="852" w:type="dxa"/>
            <w:tcBorders>
              <w:right w:val="single" w:sz="12" w:space="0" w:color="auto"/>
            </w:tcBorders>
            <w:shd w:val="clear" w:color="auto" w:fill="auto"/>
            <w:vAlign w:val="center"/>
          </w:tcPr>
          <w:p w:rsidR="00EC0403" w:rsidRPr="00A12439" w:rsidRDefault="00EC0403" w:rsidP="009B1CF3">
            <w:pPr>
              <w:rPr>
                <w:b/>
                <w:sz w:val="16"/>
                <w:szCs w:val="16"/>
              </w:rPr>
            </w:pPr>
            <w:r w:rsidRPr="00A12439">
              <w:rPr>
                <w:b/>
                <w:sz w:val="16"/>
                <w:szCs w:val="16"/>
              </w:rPr>
              <w:t>17</w:t>
            </w:r>
          </w:p>
        </w:tc>
        <w:tc>
          <w:tcPr>
            <w:tcW w:w="718" w:type="dxa"/>
            <w:tcBorders>
              <w:left w:val="single" w:sz="12" w:space="0" w:color="auto"/>
            </w:tcBorders>
            <w:shd w:val="clear" w:color="auto" w:fill="D9D9D9" w:themeFill="background1" w:themeFillShade="D9"/>
            <w:vAlign w:val="center"/>
          </w:tcPr>
          <w:p w:rsidR="00EC0403" w:rsidRPr="00A12439" w:rsidRDefault="00EC0403" w:rsidP="009B1CF3">
            <w:pPr>
              <w:rPr>
                <w:b/>
                <w:sz w:val="16"/>
                <w:szCs w:val="16"/>
              </w:rPr>
            </w:pPr>
          </w:p>
        </w:tc>
        <w:tc>
          <w:tcPr>
            <w:tcW w:w="770" w:type="dxa"/>
            <w:shd w:val="clear" w:color="auto" w:fill="auto"/>
            <w:vAlign w:val="center"/>
          </w:tcPr>
          <w:p w:rsidR="00EC0403" w:rsidRPr="00A12439" w:rsidRDefault="00EC0403" w:rsidP="009B1CF3">
            <w:pPr>
              <w:rPr>
                <w:rFonts w:cs="Arial"/>
                <w:b/>
                <w:sz w:val="16"/>
                <w:szCs w:val="16"/>
              </w:rPr>
            </w:pPr>
            <w:r w:rsidRPr="00A12439">
              <w:rPr>
                <w:rFonts w:cs="Arial"/>
                <w:b/>
                <w:sz w:val="16"/>
                <w:szCs w:val="16"/>
              </w:rPr>
              <w:t>28</w:t>
            </w:r>
          </w:p>
        </w:tc>
        <w:tc>
          <w:tcPr>
            <w:tcW w:w="769" w:type="dxa"/>
            <w:shd w:val="clear" w:color="auto" w:fill="auto"/>
            <w:vAlign w:val="center"/>
          </w:tcPr>
          <w:p w:rsidR="00EC0403" w:rsidRPr="00A12439" w:rsidRDefault="00EC0403" w:rsidP="009B1CF3">
            <w:pPr>
              <w:rPr>
                <w:b/>
                <w:sz w:val="16"/>
                <w:szCs w:val="16"/>
              </w:rPr>
            </w:pPr>
            <w:r w:rsidRPr="00A12439">
              <w:rPr>
                <w:b/>
                <w:sz w:val="16"/>
                <w:szCs w:val="16"/>
              </w:rPr>
              <w:t>1</w:t>
            </w:r>
          </w:p>
        </w:tc>
        <w:tc>
          <w:tcPr>
            <w:tcW w:w="770" w:type="dxa"/>
            <w:shd w:val="clear" w:color="auto" w:fill="auto"/>
            <w:vAlign w:val="center"/>
          </w:tcPr>
          <w:p w:rsidR="00EC0403" w:rsidRPr="00A12439" w:rsidRDefault="00EC0403" w:rsidP="009B1CF3">
            <w:pPr>
              <w:rPr>
                <w:rFonts w:cs="Arial"/>
                <w:b/>
                <w:sz w:val="16"/>
                <w:szCs w:val="16"/>
              </w:rPr>
            </w:pPr>
            <w:r w:rsidRPr="00A12439">
              <w:rPr>
                <w:rFonts w:cs="Arial"/>
                <w:b/>
                <w:sz w:val="16"/>
                <w:szCs w:val="16"/>
              </w:rPr>
              <w:t>14</w:t>
            </w:r>
          </w:p>
        </w:tc>
      </w:tr>
      <w:tr w:rsidR="00EC0403" w:rsidTr="00252D92">
        <w:trPr>
          <w:cantSplit/>
          <w:trHeight w:hRule="exact" w:val="462"/>
          <w:jc w:val="center"/>
        </w:trPr>
        <w:tc>
          <w:tcPr>
            <w:tcW w:w="10984" w:type="dxa"/>
            <w:gridSpan w:val="14"/>
            <w:shd w:val="clear" w:color="auto" w:fill="FFFFFF" w:themeFill="background1"/>
            <w:vAlign w:val="center"/>
          </w:tcPr>
          <w:p w:rsidR="00EC0403" w:rsidRPr="00A12439" w:rsidRDefault="00252D92" w:rsidP="009B1CF3">
            <w:pPr>
              <w:rPr>
                <w:rFonts w:cs="Arial"/>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EC0403" w:rsidRDefault="00EC0403" w:rsidP="00DA3F2F">
      <w:pPr>
        <w:sectPr w:rsidR="00EC0403"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9F78A6" w:rsidRDefault="009F78A6" w:rsidP="00200CFE"/>
    <w:p w:rsidR="00200CFE" w:rsidRDefault="009F78A6" w:rsidP="00731E82">
      <w:pPr>
        <w:pStyle w:val="AnnexTable"/>
        <w:tabs>
          <w:tab w:val="clear" w:pos="2687"/>
          <w:tab w:val="num" w:pos="1440"/>
        </w:tabs>
        <w:ind w:left="1440" w:hanging="1440"/>
      </w:pPr>
      <w:bookmarkStart w:id="389" w:name="_Ref397955884"/>
      <w:bookmarkStart w:id="390" w:name="_Toc408908681"/>
      <w:r w:rsidRPr="00A11328">
        <w:t>Existence of statutory provision allowing a child care authority to appeal against certain court decisions involving children</w:t>
      </w:r>
      <w:r>
        <w:t xml:space="preserve"> (CivAdm177)</w:t>
      </w:r>
      <w:bookmarkEnd w:id="389"/>
      <w:bookmarkEnd w:id="390"/>
    </w:p>
    <w:p w:rsidR="00A61252" w:rsidRDefault="00A61252" w:rsidP="009F78A6">
      <w:pPr>
        <w:pStyle w:val="TableTitle"/>
        <w:rPr>
          <w:rFonts w:ascii="Arial" w:hAnsi="Arial" w:cs="Arial"/>
          <w:sz w:val="16"/>
          <w:szCs w:val="16"/>
        </w:rPr>
        <w:sectPr w:rsidR="00A61252" w:rsidSect="002C3D52">
          <w:type w:val="continuous"/>
          <w:pgSz w:w="11907" w:h="16840" w:code="9"/>
          <w:pgMar w:top="1276" w:right="1418" w:bottom="851" w:left="1418" w:header="680" w:footer="567" w:gutter="0"/>
          <w:cols w:space="708"/>
          <w:docGrid w:linePitch="360"/>
        </w:sectPr>
      </w:pPr>
    </w:p>
    <w:tbl>
      <w:tblPr>
        <w:tblStyle w:val="Tabellenraster1"/>
        <w:tblW w:w="10912" w:type="dxa"/>
        <w:jc w:val="center"/>
        <w:tblLayout w:type="fixed"/>
        <w:tblCellMar>
          <w:left w:w="115" w:type="dxa"/>
          <w:right w:w="115" w:type="dxa"/>
        </w:tblCellMar>
        <w:tblLook w:val="04A0" w:firstRow="1" w:lastRow="0" w:firstColumn="1" w:lastColumn="0" w:noHBand="0" w:noVBand="1"/>
      </w:tblPr>
      <w:tblGrid>
        <w:gridCol w:w="1034"/>
        <w:gridCol w:w="644"/>
        <w:gridCol w:w="769"/>
        <w:gridCol w:w="770"/>
        <w:gridCol w:w="769"/>
        <w:gridCol w:w="770"/>
        <w:gridCol w:w="769"/>
        <w:gridCol w:w="770"/>
        <w:gridCol w:w="769"/>
        <w:gridCol w:w="756"/>
        <w:gridCol w:w="14"/>
        <w:gridCol w:w="769"/>
        <w:gridCol w:w="770"/>
        <w:gridCol w:w="751"/>
        <w:gridCol w:w="788"/>
      </w:tblGrid>
      <w:tr w:rsidR="009F78A6" w:rsidRPr="00724C63" w:rsidTr="00A61252">
        <w:trPr>
          <w:trHeight w:hRule="exact" w:val="288"/>
          <w:jc w:val="center"/>
        </w:trPr>
        <w:tc>
          <w:tcPr>
            <w:tcW w:w="1034" w:type="dxa"/>
            <w:tcBorders>
              <w:right w:val="single" w:sz="12" w:space="0" w:color="auto"/>
            </w:tcBorders>
            <w:vAlign w:val="center"/>
          </w:tcPr>
          <w:p w:rsidR="009F78A6" w:rsidRPr="00724C63" w:rsidRDefault="009F78A6" w:rsidP="009F78A6">
            <w:pPr>
              <w:pStyle w:val="TableTitle"/>
              <w:rPr>
                <w:rFonts w:ascii="Arial" w:hAnsi="Arial" w:cs="Arial"/>
                <w:sz w:val="16"/>
                <w:szCs w:val="16"/>
              </w:rPr>
            </w:pPr>
            <w:r w:rsidRPr="00724C63">
              <w:rPr>
                <w:rFonts w:ascii="Arial" w:hAnsi="Arial" w:cs="Arial"/>
                <w:sz w:val="16"/>
                <w:szCs w:val="16"/>
              </w:rPr>
              <w:t>MS</w:t>
            </w:r>
          </w:p>
        </w:tc>
        <w:tc>
          <w:tcPr>
            <w:tcW w:w="6786" w:type="dxa"/>
            <w:gridSpan w:val="9"/>
            <w:tcBorders>
              <w:left w:val="single" w:sz="12" w:space="0" w:color="auto"/>
              <w:right w:val="single" w:sz="12" w:space="0" w:color="auto"/>
            </w:tcBorders>
            <w:vAlign w:val="center"/>
          </w:tcPr>
          <w:p w:rsidR="009F78A6" w:rsidRPr="00724C63" w:rsidRDefault="009F78A6" w:rsidP="009F78A6">
            <w:pPr>
              <w:pStyle w:val="TableTitle"/>
              <w:rPr>
                <w:rFonts w:ascii="Arial" w:hAnsi="Arial" w:cs="Arial"/>
                <w:sz w:val="16"/>
                <w:szCs w:val="16"/>
              </w:rPr>
            </w:pPr>
            <w:r w:rsidRPr="00724C63">
              <w:rPr>
                <w:rFonts w:ascii="Arial" w:hAnsi="Arial" w:cs="Arial"/>
                <w:sz w:val="16"/>
                <w:szCs w:val="16"/>
              </w:rPr>
              <w:t>Areas of law</w:t>
            </w:r>
          </w:p>
        </w:tc>
        <w:tc>
          <w:tcPr>
            <w:tcW w:w="3092" w:type="dxa"/>
            <w:gridSpan w:val="5"/>
            <w:tcBorders>
              <w:left w:val="single" w:sz="12" w:space="0" w:color="auto"/>
            </w:tcBorders>
            <w:vAlign w:val="center"/>
          </w:tcPr>
          <w:p w:rsidR="009F78A6" w:rsidRPr="00724C63" w:rsidRDefault="009F78A6" w:rsidP="009F78A6">
            <w:pPr>
              <w:pStyle w:val="TableTitle"/>
              <w:rPr>
                <w:rFonts w:ascii="Arial" w:hAnsi="Arial" w:cs="Arial"/>
                <w:sz w:val="16"/>
                <w:szCs w:val="16"/>
              </w:rPr>
            </w:pPr>
            <w:r w:rsidRPr="00724C63">
              <w:rPr>
                <w:rFonts w:ascii="Arial" w:hAnsi="Arial" w:cs="Arial"/>
                <w:sz w:val="16"/>
                <w:szCs w:val="16"/>
              </w:rPr>
              <w:t>Roles of the child</w:t>
            </w:r>
          </w:p>
        </w:tc>
      </w:tr>
      <w:tr w:rsidR="009F78A6" w:rsidRPr="00724C63" w:rsidTr="00731E82">
        <w:trPr>
          <w:cantSplit/>
          <w:trHeight w:hRule="exact" w:val="1200"/>
          <w:jc w:val="center"/>
        </w:trPr>
        <w:tc>
          <w:tcPr>
            <w:tcW w:w="1034" w:type="dxa"/>
            <w:tcBorders>
              <w:right w:val="single" w:sz="12" w:space="0" w:color="auto"/>
            </w:tcBorders>
            <w:shd w:val="clear" w:color="auto" w:fill="DBE5F1" w:themeFill="accent1" w:themeFillTint="33"/>
            <w:vAlign w:val="center"/>
          </w:tcPr>
          <w:p w:rsidR="009F78A6" w:rsidRPr="009F78A6" w:rsidRDefault="009F78A6" w:rsidP="009F78A6">
            <w:pPr>
              <w:rPr>
                <w:rFonts w:cs="Arial"/>
                <w:sz w:val="16"/>
                <w:szCs w:val="16"/>
              </w:rPr>
            </w:pPr>
          </w:p>
        </w:tc>
        <w:tc>
          <w:tcPr>
            <w:tcW w:w="644" w:type="dxa"/>
            <w:tcBorders>
              <w:left w:val="single" w:sz="12" w:space="0" w:color="auto"/>
            </w:tcBorders>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Family</w:t>
            </w:r>
          </w:p>
        </w:tc>
        <w:tc>
          <w:tcPr>
            <w:tcW w:w="769"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Employment</w:t>
            </w:r>
          </w:p>
        </w:tc>
        <w:tc>
          <w:tcPr>
            <w:tcW w:w="770"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Asylum</w:t>
            </w:r>
          </w:p>
        </w:tc>
        <w:tc>
          <w:tcPr>
            <w:tcW w:w="769"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Migration</w:t>
            </w:r>
          </w:p>
        </w:tc>
        <w:tc>
          <w:tcPr>
            <w:tcW w:w="770"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Education</w:t>
            </w:r>
          </w:p>
        </w:tc>
        <w:tc>
          <w:tcPr>
            <w:tcW w:w="769"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Health</w:t>
            </w:r>
          </w:p>
        </w:tc>
        <w:tc>
          <w:tcPr>
            <w:tcW w:w="770"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Placement</w:t>
            </w:r>
          </w:p>
        </w:tc>
        <w:tc>
          <w:tcPr>
            <w:tcW w:w="769"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Admin Sanctions</w:t>
            </w:r>
          </w:p>
        </w:tc>
        <w:tc>
          <w:tcPr>
            <w:tcW w:w="770" w:type="dxa"/>
            <w:gridSpan w:val="2"/>
            <w:tcBorders>
              <w:right w:val="single" w:sz="12" w:space="0" w:color="auto"/>
            </w:tcBorders>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Offences &lt;MACR</w:t>
            </w:r>
          </w:p>
        </w:tc>
        <w:tc>
          <w:tcPr>
            <w:tcW w:w="769" w:type="dxa"/>
            <w:tcBorders>
              <w:left w:val="single" w:sz="12" w:space="0" w:color="auto"/>
            </w:tcBorders>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Witnesses</w:t>
            </w:r>
          </w:p>
        </w:tc>
        <w:tc>
          <w:tcPr>
            <w:tcW w:w="770"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Plaintiffs</w:t>
            </w:r>
          </w:p>
        </w:tc>
        <w:tc>
          <w:tcPr>
            <w:tcW w:w="751"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Defendants</w:t>
            </w:r>
          </w:p>
        </w:tc>
        <w:tc>
          <w:tcPr>
            <w:tcW w:w="788" w:type="dxa"/>
            <w:shd w:val="clear" w:color="auto" w:fill="DBE5F1" w:themeFill="accent1" w:themeFillTint="33"/>
            <w:textDirection w:val="btLr"/>
            <w:vAlign w:val="center"/>
          </w:tcPr>
          <w:p w:rsidR="009F78A6" w:rsidRPr="009F78A6" w:rsidRDefault="009F78A6" w:rsidP="009F78A6">
            <w:pPr>
              <w:ind w:left="113" w:right="113"/>
              <w:rPr>
                <w:rFonts w:cs="Arial"/>
                <w:b/>
                <w:sz w:val="12"/>
                <w:szCs w:val="12"/>
              </w:rPr>
            </w:pPr>
            <w:r w:rsidRPr="009F78A6">
              <w:rPr>
                <w:rFonts w:cs="Arial"/>
                <w:b/>
                <w:sz w:val="12"/>
                <w:szCs w:val="12"/>
              </w:rPr>
              <w:t>Subjects</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AT</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BE</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BG</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CY</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3"/>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CZ</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DE</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DK</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EE</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EL</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4"/>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5"/>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6"/>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ES</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7"/>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8"/>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399"/>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FI</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0"/>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1"/>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FR</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HR</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HU</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2"/>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3"/>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IE</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IT</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4"/>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LT</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LU</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LV</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MT</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NL</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5"/>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PL</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6"/>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7"/>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8"/>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PT</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09"/>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10"/>
            </w:r>
          </w:p>
        </w:tc>
        <w:tc>
          <w:tcPr>
            <w:tcW w:w="788" w:type="dxa"/>
          </w:tcPr>
          <w:p w:rsidR="009F78A6" w:rsidRPr="00724C63" w:rsidRDefault="009F78A6" w:rsidP="00731E82">
            <w:pPr>
              <w:spacing w:line="240" w:lineRule="auto"/>
              <w:jc w:val="center"/>
              <w:rPr>
                <w:rFonts w:cs="Arial"/>
                <w:sz w:val="16"/>
                <w:szCs w:val="16"/>
              </w:rPr>
            </w:pPr>
            <w:r w:rsidRPr="00724C63">
              <w:rPr>
                <w:rFonts w:cs="Arial"/>
                <w:sz w:val="16"/>
                <w:szCs w:val="16"/>
              </w:rPr>
              <w:t>√</w:t>
            </w:r>
            <w:r w:rsidRPr="00724C63">
              <w:rPr>
                <w:rStyle w:val="EndnoteReference"/>
                <w:rFonts w:cs="Arial"/>
                <w:sz w:val="16"/>
                <w:szCs w:val="16"/>
              </w:rPr>
              <w:endnoteReference w:id="411"/>
            </w: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RO</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SE</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SI</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SK</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UK-E&amp;W</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9F78A6" w:rsidP="009F78A6">
            <w:pPr>
              <w:pStyle w:val="BTBullet1"/>
              <w:numPr>
                <w:ilvl w:val="0"/>
                <w:numId w:val="0"/>
              </w:numPr>
              <w:jc w:val="center"/>
              <w:rPr>
                <w:rFonts w:cs="Arial"/>
                <w:b/>
                <w:sz w:val="16"/>
                <w:szCs w:val="16"/>
              </w:rPr>
            </w:pPr>
            <w:r w:rsidRPr="00731E82">
              <w:rPr>
                <w:rFonts w:cs="Arial"/>
                <w:b/>
                <w:sz w:val="16"/>
                <w:szCs w:val="16"/>
              </w:rPr>
              <w:t>UK-NI</w:t>
            </w:r>
          </w:p>
        </w:tc>
        <w:tc>
          <w:tcPr>
            <w:tcW w:w="644" w:type="dxa"/>
            <w:tcBorders>
              <w:lef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70" w:type="dxa"/>
            <w:gridSpan w:val="2"/>
            <w:tcBorders>
              <w:right w:val="single" w:sz="12" w:space="0" w:color="auto"/>
            </w:tcBorders>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51" w:type="dxa"/>
          </w:tcPr>
          <w:p w:rsidR="009F78A6" w:rsidRPr="00724C63" w:rsidRDefault="009F78A6" w:rsidP="00731E82">
            <w:pPr>
              <w:spacing w:line="240" w:lineRule="auto"/>
              <w:jc w:val="center"/>
              <w:rPr>
                <w:rFonts w:cs="Arial"/>
                <w:sz w:val="16"/>
                <w:szCs w:val="16"/>
              </w:rPr>
            </w:pPr>
            <w:r w:rsidRPr="00724C63">
              <w:rPr>
                <w:rFonts w:cs="Arial"/>
                <w:sz w:val="16"/>
                <w:szCs w:val="16"/>
              </w:rPr>
              <w:t>√</w:t>
            </w: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288"/>
          <w:jc w:val="center"/>
        </w:trPr>
        <w:tc>
          <w:tcPr>
            <w:tcW w:w="1034" w:type="dxa"/>
            <w:tcBorders>
              <w:right w:val="single" w:sz="12" w:space="0" w:color="auto"/>
            </w:tcBorders>
            <w:shd w:val="clear" w:color="auto" w:fill="DBE5F1" w:themeFill="accent1" w:themeFillTint="33"/>
            <w:vAlign w:val="center"/>
          </w:tcPr>
          <w:p w:rsidR="009F78A6" w:rsidRPr="00731E82" w:rsidRDefault="00CD7610" w:rsidP="009F78A6">
            <w:pPr>
              <w:pStyle w:val="BTBullet1"/>
              <w:numPr>
                <w:ilvl w:val="0"/>
                <w:numId w:val="0"/>
              </w:numPr>
              <w:jc w:val="center"/>
              <w:rPr>
                <w:rFonts w:cs="Arial"/>
                <w:b/>
                <w:sz w:val="16"/>
                <w:szCs w:val="16"/>
              </w:rPr>
            </w:pPr>
            <w:r w:rsidRPr="00731E82">
              <w:rPr>
                <w:rFonts w:cs="Arial"/>
                <w:b/>
                <w:sz w:val="16"/>
                <w:szCs w:val="16"/>
              </w:rPr>
              <w:t>UK-S</w:t>
            </w:r>
          </w:p>
        </w:tc>
        <w:tc>
          <w:tcPr>
            <w:tcW w:w="644"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gridSpan w:val="2"/>
            <w:tcBorders>
              <w:righ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69" w:type="dxa"/>
            <w:tcBorders>
              <w:left w:val="single" w:sz="12" w:space="0" w:color="auto"/>
            </w:tcBorders>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70"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51"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c>
          <w:tcPr>
            <w:tcW w:w="788" w:type="dxa"/>
            <w:shd w:val="clear" w:color="auto" w:fill="D9D9D9" w:themeFill="background1" w:themeFillShade="D9"/>
          </w:tcPr>
          <w:p w:rsidR="009F78A6" w:rsidRPr="00724C63" w:rsidRDefault="009F78A6" w:rsidP="00731E82">
            <w:pPr>
              <w:spacing w:line="240" w:lineRule="auto"/>
              <w:jc w:val="center"/>
              <w:rPr>
                <w:rFonts w:cs="Arial"/>
                <w:sz w:val="16"/>
                <w:szCs w:val="16"/>
              </w:rPr>
            </w:pPr>
          </w:p>
        </w:tc>
      </w:tr>
      <w:tr w:rsidR="009F78A6" w:rsidRPr="00724C63" w:rsidTr="00731E82">
        <w:trPr>
          <w:cantSplit/>
          <w:trHeight w:hRule="exact" w:val="444"/>
          <w:jc w:val="center"/>
        </w:trPr>
        <w:tc>
          <w:tcPr>
            <w:tcW w:w="1034" w:type="dxa"/>
            <w:tcBorders>
              <w:right w:val="single" w:sz="12" w:space="0" w:color="auto"/>
            </w:tcBorders>
            <w:shd w:val="clear" w:color="auto" w:fill="FFFFFF" w:themeFill="background1"/>
            <w:vAlign w:val="center"/>
          </w:tcPr>
          <w:p w:rsidR="009F78A6" w:rsidRPr="00724C63" w:rsidRDefault="009F78A6" w:rsidP="009F78A6">
            <w:pPr>
              <w:pStyle w:val="BTBullet1"/>
              <w:numPr>
                <w:ilvl w:val="0"/>
                <w:numId w:val="0"/>
              </w:numPr>
              <w:jc w:val="center"/>
              <w:rPr>
                <w:rFonts w:cs="Arial"/>
                <w:b/>
                <w:sz w:val="16"/>
                <w:szCs w:val="16"/>
              </w:rPr>
            </w:pPr>
            <w:r w:rsidRPr="00724C63">
              <w:rPr>
                <w:rFonts w:cs="Arial"/>
                <w:b/>
                <w:sz w:val="16"/>
                <w:szCs w:val="16"/>
              </w:rPr>
              <w:t>Total yes</w:t>
            </w:r>
          </w:p>
        </w:tc>
        <w:tc>
          <w:tcPr>
            <w:tcW w:w="644" w:type="dxa"/>
            <w:tcBorders>
              <w:left w:val="single" w:sz="12" w:space="0" w:color="auto"/>
            </w:tcBorders>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20</w:t>
            </w:r>
          </w:p>
        </w:tc>
        <w:tc>
          <w:tcPr>
            <w:tcW w:w="769"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8</w:t>
            </w:r>
          </w:p>
        </w:tc>
        <w:tc>
          <w:tcPr>
            <w:tcW w:w="770"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16</w:t>
            </w:r>
          </w:p>
        </w:tc>
        <w:tc>
          <w:tcPr>
            <w:tcW w:w="769"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18</w:t>
            </w:r>
          </w:p>
        </w:tc>
        <w:tc>
          <w:tcPr>
            <w:tcW w:w="770"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15</w:t>
            </w:r>
          </w:p>
        </w:tc>
        <w:tc>
          <w:tcPr>
            <w:tcW w:w="769"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15</w:t>
            </w:r>
          </w:p>
        </w:tc>
        <w:tc>
          <w:tcPr>
            <w:tcW w:w="770"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25</w:t>
            </w:r>
          </w:p>
        </w:tc>
        <w:tc>
          <w:tcPr>
            <w:tcW w:w="769"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12</w:t>
            </w:r>
          </w:p>
        </w:tc>
        <w:tc>
          <w:tcPr>
            <w:tcW w:w="770" w:type="dxa"/>
            <w:gridSpan w:val="2"/>
            <w:tcBorders>
              <w:right w:val="single" w:sz="12" w:space="0" w:color="auto"/>
            </w:tcBorders>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14</w:t>
            </w:r>
          </w:p>
        </w:tc>
        <w:tc>
          <w:tcPr>
            <w:tcW w:w="769" w:type="dxa"/>
            <w:tcBorders>
              <w:left w:val="single" w:sz="12" w:space="0" w:color="auto"/>
            </w:tcBorders>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3</w:t>
            </w:r>
          </w:p>
        </w:tc>
        <w:tc>
          <w:tcPr>
            <w:tcW w:w="770"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25</w:t>
            </w:r>
          </w:p>
        </w:tc>
        <w:tc>
          <w:tcPr>
            <w:tcW w:w="751"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22</w:t>
            </w:r>
          </w:p>
        </w:tc>
        <w:tc>
          <w:tcPr>
            <w:tcW w:w="788" w:type="dxa"/>
            <w:shd w:val="clear" w:color="auto" w:fill="FFFFFF" w:themeFill="background1"/>
            <w:vAlign w:val="center"/>
          </w:tcPr>
          <w:p w:rsidR="009F78A6" w:rsidRPr="00724C63" w:rsidRDefault="009F78A6" w:rsidP="009F78A6">
            <w:pPr>
              <w:jc w:val="center"/>
              <w:rPr>
                <w:rFonts w:cs="Arial"/>
                <w:sz w:val="16"/>
                <w:szCs w:val="16"/>
              </w:rPr>
            </w:pPr>
            <w:r w:rsidRPr="00724C63">
              <w:rPr>
                <w:rFonts w:cs="Arial"/>
                <w:sz w:val="16"/>
                <w:szCs w:val="16"/>
              </w:rPr>
              <w:t>13</w:t>
            </w:r>
          </w:p>
        </w:tc>
      </w:tr>
      <w:tr w:rsidR="00A61252" w:rsidRPr="00724C63" w:rsidTr="00252D92">
        <w:trPr>
          <w:cantSplit/>
          <w:trHeight w:hRule="exact" w:val="444"/>
          <w:jc w:val="center"/>
        </w:trPr>
        <w:tc>
          <w:tcPr>
            <w:tcW w:w="10912" w:type="dxa"/>
            <w:gridSpan w:val="15"/>
            <w:shd w:val="clear" w:color="auto" w:fill="FFFFFF" w:themeFill="background1"/>
            <w:vAlign w:val="center"/>
          </w:tcPr>
          <w:p w:rsidR="00A61252" w:rsidRPr="00724C63" w:rsidRDefault="00252D92" w:rsidP="00252D92">
            <w:pPr>
              <w:rPr>
                <w:rFonts w:cs="Arial"/>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A61252" w:rsidRDefault="00A61252" w:rsidP="00200CFE">
      <w:pPr>
        <w:sectPr w:rsidR="00A61252"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200CFE" w:rsidRDefault="00200CFE" w:rsidP="00200CFE"/>
    <w:p w:rsidR="009B28BA" w:rsidRDefault="009B28BA" w:rsidP="00FD3DF8">
      <w:r>
        <w:br w:type="page"/>
      </w:r>
    </w:p>
    <w:p w:rsidR="00FD3DF8" w:rsidRDefault="009B28BA" w:rsidP="00731E82">
      <w:pPr>
        <w:pStyle w:val="AnnexTable"/>
        <w:tabs>
          <w:tab w:val="clear" w:pos="2687"/>
        </w:tabs>
        <w:ind w:left="1440" w:hanging="1440"/>
      </w:pPr>
      <w:bookmarkStart w:id="391" w:name="_Ref398098665"/>
      <w:bookmarkStart w:id="392" w:name="_Toc408908682"/>
      <w:r w:rsidRPr="00A01A9E">
        <w:t>Legal obligation to communicate a decision or judgement to a child involved in judicial proceedings</w:t>
      </w:r>
      <w:r w:rsidRPr="00110F0F">
        <w:t xml:space="preserve"> </w:t>
      </w:r>
      <w:r>
        <w:t>(</w:t>
      </w:r>
      <w:r w:rsidRPr="00A01A9E">
        <w:t>CivAdm188a</w:t>
      </w:r>
      <w:r>
        <w:t>)</w:t>
      </w:r>
      <w:bookmarkEnd w:id="391"/>
      <w:bookmarkEnd w:id="392"/>
    </w:p>
    <w:p w:rsidR="009B28BA" w:rsidRDefault="009B28BA" w:rsidP="00492255">
      <w:pPr>
        <w:pStyle w:val="TableTitle"/>
        <w:sectPr w:rsidR="009B28BA" w:rsidSect="002C3D52">
          <w:type w:val="continuous"/>
          <w:pgSz w:w="11907" w:h="16840" w:code="9"/>
          <w:pgMar w:top="1276" w:right="1418" w:bottom="851" w:left="1418" w:header="680" w:footer="567" w:gutter="0"/>
          <w:cols w:space="708"/>
          <w:docGrid w:linePitch="360"/>
        </w:sectPr>
      </w:pPr>
    </w:p>
    <w:tbl>
      <w:tblPr>
        <w:tblStyle w:val="Tabellenraster1"/>
        <w:tblW w:w="10979" w:type="dxa"/>
        <w:jc w:val="center"/>
        <w:tblLayout w:type="fixed"/>
        <w:tblLook w:val="04A0" w:firstRow="1" w:lastRow="0" w:firstColumn="1" w:lastColumn="0" w:noHBand="0" w:noVBand="1"/>
      </w:tblPr>
      <w:tblGrid>
        <w:gridCol w:w="1067"/>
        <w:gridCol w:w="630"/>
        <w:gridCol w:w="720"/>
        <w:gridCol w:w="720"/>
        <w:gridCol w:w="720"/>
        <w:gridCol w:w="810"/>
        <w:gridCol w:w="810"/>
        <w:gridCol w:w="810"/>
        <w:gridCol w:w="900"/>
        <w:gridCol w:w="957"/>
        <w:gridCol w:w="709"/>
        <w:gridCol w:w="709"/>
        <w:gridCol w:w="709"/>
        <w:gridCol w:w="708"/>
      </w:tblGrid>
      <w:tr w:rsidR="009B28BA" w:rsidRPr="00593387" w:rsidTr="00492255">
        <w:trPr>
          <w:trHeight w:hRule="exact" w:val="346"/>
          <w:tblHeader/>
          <w:jc w:val="center"/>
        </w:trPr>
        <w:tc>
          <w:tcPr>
            <w:tcW w:w="1067" w:type="dxa"/>
            <w:tcBorders>
              <w:right w:val="single" w:sz="12" w:space="0" w:color="auto"/>
            </w:tcBorders>
            <w:vAlign w:val="center"/>
          </w:tcPr>
          <w:p w:rsidR="009B28BA" w:rsidRDefault="009B28BA" w:rsidP="00492255">
            <w:pPr>
              <w:pStyle w:val="TableTitle"/>
            </w:pPr>
            <w:r>
              <w:t>MS</w:t>
            </w:r>
          </w:p>
        </w:tc>
        <w:tc>
          <w:tcPr>
            <w:tcW w:w="7077" w:type="dxa"/>
            <w:gridSpan w:val="9"/>
            <w:tcBorders>
              <w:left w:val="single" w:sz="12" w:space="0" w:color="auto"/>
              <w:right w:val="single" w:sz="12" w:space="0" w:color="auto"/>
            </w:tcBorders>
            <w:vAlign w:val="center"/>
          </w:tcPr>
          <w:p w:rsidR="009B28BA" w:rsidRDefault="009B28BA" w:rsidP="00492255">
            <w:pPr>
              <w:pStyle w:val="TableTitle"/>
            </w:pPr>
            <w:r>
              <w:t>Areas of law</w:t>
            </w:r>
          </w:p>
        </w:tc>
        <w:tc>
          <w:tcPr>
            <w:tcW w:w="2835" w:type="dxa"/>
            <w:gridSpan w:val="4"/>
            <w:tcBorders>
              <w:left w:val="single" w:sz="12" w:space="0" w:color="auto"/>
            </w:tcBorders>
            <w:vAlign w:val="center"/>
          </w:tcPr>
          <w:p w:rsidR="009B28BA" w:rsidRDefault="009B28BA" w:rsidP="00492255">
            <w:pPr>
              <w:pStyle w:val="TableTitle"/>
            </w:pPr>
            <w:r>
              <w:t>Roles of the child</w:t>
            </w:r>
          </w:p>
        </w:tc>
      </w:tr>
      <w:tr w:rsidR="009B28BA" w:rsidTr="00731E82">
        <w:trPr>
          <w:cantSplit/>
          <w:trHeight w:hRule="exact" w:val="1018"/>
          <w:tblHeader/>
          <w:jc w:val="center"/>
        </w:trPr>
        <w:tc>
          <w:tcPr>
            <w:tcW w:w="1067" w:type="dxa"/>
            <w:tcBorders>
              <w:right w:val="single" w:sz="12" w:space="0" w:color="auto"/>
            </w:tcBorders>
            <w:shd w:val="clear" w:color="auto" w:fill="DBE5F1" w:themeFill="accent1" w:themeFillTint="33"/>
            <w:vAlign w:val="center"/>
          </w:tcPr>
          <w:p w:rsidR="009B28BA" w:rsidRPr="00E217F3" w:rsidRDefault="009B28BA" w:rsidP="00492255">
            <w:pPr>
              <w:rPr>
                <w:b/>
              </w:rPr>
            </w:pPr>
          </w:p>
        </w:tc>
        <w:tc>
          <w:tcPr>
            <w:tcW w:w="630" w:type="dxa"/>
            <w:tcBorders>
              <w:left w:val="single" w:sz="12" w:space="0" w:color="auto"/>
            </w:tcBorders>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Family</w:t>
            </w:r>
          </w:p>
        </w:tc>
        <w:tc>
          <w:tcPr>
            <w:tcW w:w="72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Employment</w:t>
            </w:r>
          </w:p>
        </w:tc>
        <w:tc>
          <w:tcPr>
            <w:tcW w:w="72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Asylum</w:t>
            </w:r>
          </w:p>
        </w:tc>
        <w:tc>
          <w:tcPr>
            <w:tcW w:w="72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Migration</w:t>
            </w:r>
          </w:p>
        </w:tc>
        <w:tc>
          <w:tcPr>
            <w:tcW w:w="81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Education</w:t>
            </w:r>
          </w:p>
        </w:tc>
        <w:tc>
          <w:tcPr>
            <w:tcW w:w="81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Health</w:t>
            </w:r>
          </w:p>
        </w:tc>
        <w:tc>
          <w:tcPr>
            <w:tcW w:w="81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Placement</w:t>
            </w:r>
          </w:p>
        </w:tc>
        <w:tc>
          <w:tcPr>
            <w:tcW w:w="900"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Admin Sanctions</w:t>
            </w:r>
          </w:p>
        </w:tc>
        <w:tc>
          <w:tcPr>
            <w:tcW w:w="957" w:type="dxa"/>
            <w:tcBorders>
              <w:right w:val="single" w:sz="12" w:space="0" w:color="auto"/>
            </w:tcBorders>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Offences &lt;MACR</w:t>
            </w:r>
          </w:p>
        </w:tc>
        <w:tc>
          <w:tcPr>
            <w:tcW w:w="709" w:type="dxa"/>
            <w:tcBorders>
              <w:left w:val="single" w:sz="12" w:space="0" w:color="auto"/>
            </w:tcBorders>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Witnesses</w:t>
            </w:r>
          </w:p>
        </w:tc>
        <w:tc>
          <w:tcPr>
            <w:tcW w:w="709"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Plaintiffs</w:t>
            </w:r>
          </w:p>
        </w:tc>
        <w:tc>
          <w:tcPr>
            <w:tcW w:w="709"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Defendants</w:t>
            </w:r>
          </w:p>
        </w:tc>
        <w:tc>
          <w:tcPr>
            <w:tcW w:w="708" w:type="dxa"/>
            <w:shd w:val="clear" w:color="auto" w:fill="DBE5F1" w:themeFill="accent1" w:themeFillTint="33"/>
            <w:textDirection w:val="btLr"/>
            <w:vAlign w:val="center"/>
          </w:tcPr>
          <w:p w:rsidR="009B28BA" w:rsidRPr="00296384" w:rsidRDefault="009B28BA" w:rsidP="00492255">
            <w:pPr>
              <w:ind w:left="113" w:right="113"/>
              <w:rPr>
                <w:b/>
                <w:sz w:val="12"/>
                <w:szCs w:val="12"/>
              </w:rPr>
            </w:pPr>
            <w:r w:rsidRPr="00296384">
              <w:rPr>
                <w:b/>
                <w:sz w:val="12"/>
                <w:szCs w:val="12"/>
              </w:rPr>
              <w:t>Subjects</w:t>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AT</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tcPr>
          <w:p w:rsidR="009B28BA" w:rsidRDefault="009B28BA" w:rsidP="00492255">
            <w:r w:rsidRPr="00B4352E">
              <w:rPr>
                <w:rFonts w:cs="Arial"/>
                <w:sz w:val="18"/>
                <w:szCs w:val="18"/>
              </w:rPr>
              <w:t>√</w:t>
            </w:r>
          </w:p>
        </w:tc>
        <w:tc>
          <w:tcPr>
            <w:tcW w:w="720" w:type="dxa"/>
          </w:tcPr>
          <w:p w:rsidR="009B28BA" w:rsidRDefault="009B28BA" w:rsidP="00492255">
            <w:r w:rsidRPr="00B4352E">
              <w:rPr>
                <w:rFonts w:cs="Arial"/>
                <w:sz w:val="18"/>
                <w:szCs w:val="18"/>
              </w:rPr>
              <w:t>√</w:t>
            </w:r>
          </w:p>
        </w:tc>
        <w:tc>
          <w:tcPr>
            <w:tcW w:w="720" w:type="dxa"/>
          </w:tcPr>
          <w:p w:rsidR="009B28BA" w:rsidRDefault="009B28BA" w:rsidP="00492255">
            <w:r w:rsidRPr="00B4352E">
              <w:rPr>
                <w:rFonts w:cs="Arial"/>
                <w:sz w:val="18"/>
                <w:szCs w:val="18"/>
              </w:rPr>
              <w:t>√</w:t>
            </w:r>
          </w:p>
        </w:tc>
        <w:tc>
          <w:tcPr>
            <w:tcW w:w="810" w:type="dxa"/>
          </w:tcPr>
          <w:p w:rsidR="009B28BA" w:rsidRDefault="009B28BA" w:rsidP="00492255">
            <w:r w:rsidRPr="00B4352E">
              <w:rPr>
                <w:rFonts w:cs="Arial"/>
                <w:sz w:val="18"/>
                <w:szCs w:val="18"/>
              </w:rPr>
              <w:t>√</w:t>
            </w:r>
          </w:p>
        </w:tc>
        <w:tc>
          <w:tcPr>
            <w:tcW w:w="810" w:type="dxa"/>
          </w:tcPr>
          <w:p w:rsidR="009B28BA" w:rsidRDefault="009B28BA" w:rsidP="00492255">
            <w:r w:rsidRPr="00B4352E">
              <w:rPr>
                <w:rFonts w:cs="Arial"/>
                <w:sz w:val="18"/>
                <w:szCs w:val="18"/>
              </w:rPr>
              <w:t>√</w:t>
            </w:r>
          </w:p>
        </w:tc>
        <w:tc>
          <w:tcPr>
            <w:tcW w:w="810" w:type="dxa"/>
          </w:tcPr>
          <w:p w:rsidR="009B28BA" w:rsidRDefault="009B28BA" w:rsidP="00492255">
            <w:r w:rsidRPr="00B4352E">
              <w:rPr>
                <w:rFonts w:cs="Arial"/>
                <w:sz w:val="18"/>
                <w:szCs w:val="18"/>
              </w:rPr>
              <w:t>√</w:t>
            </w:r>
          </w:p>
        </w:tc>
        <w:tc>
          <w:tcPr>
            <w:tcW w:w="900" w:type="dxa"/>
          </w:tcPr>
          <w:p w:rsidR="009B28BA" w:rsidRDefault="009B28BA" w:rsidP="00492255">
            <w:r w:rsidRPr="00B4352E">
              <w:rPr>
                <w:rFonts w:cs="Arial"/>
                <w:sz w:val="18"/>
                <w:szCs w:val="18"/>
              </w:rPr>
              <w:t>√</w:t>
            </w: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124DBB">
              <w:rPr>
                <w:rFonts w:cs="Arial"/>
                <w:sz w:val="18"/>
                <w:szCs w:val="18"/>
              </w:rPr>
              <w:t>√</w:t>
            </w:r>
          </w:p>
        </w:tc>
        <w:tc>
          <w:tcPr>
            <w:tcW w:w="709" w:type="dxa"/>
          </w:tcPr>
          <w:p w:rsidR="009B28BA" w:rsidRDefault="009B28BA" w:rsidP="00492255">
            <w:r w:rsidRPr="00124DBB">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BE</w:t>
            </w:r>
          </w:p>
        </w:tc>
        <w:tc>
          <w:tcPr>
            <w:tcW w:w="630" w:type="dxa"/>
            <w:tcBorders>
              <w:left w:val="single" w:sz="12" w:space="0" w:color="auto"/>
            </w:tcBorders>
          </w:tcPr>
          <w:p w:rsidR="009B28BA" w:rsidRDefault="009B28BA" w:rsidP="00492255">
            <w:r w:rsidRPr="00BA6D62">
              <w:rPr>
                <w:rFonts w:cs="Arial"/>
                <w:sz w:val="18"/>
                <w:szCs w:val="18"/>
              </w:rPr>
              <w:t>√</w:t>
            </w:r>
          </w:p>
        </w:tc>
        <w:tc>
          <w:tcPr>
            <w:tcW w:w="720" w:type="dxa"/>
          </w:tcPr>
          <w:p w:rsidR="009B28BA" w:rsidRDefault="009B28BA" w:rsidP="00492255">
            <w:r w:rsidRPr="00BA6D62">
              <w:rPr>
                <w:rFonts w:cs="Arial"/>
                <w:sz w:val="18"/>
                <w:szCs w:val="18"/>
              </w:rPr>
              <w:t>√</w:t>
            </w:r>
          </w:p>
        </w:tc>
        <w:tc>
          <w:tcPr>
            <w:tcW w:w="720" w:type="dxa"/>
          </w:tcPr>
          <w:p w:rsidR="009B28BA" w:rsidRDefault="009B28BA" w:rsidP="00492255">
            <w:r w:rsidRPr="00BA6D62">
              <w:rPr>
                <w:rFonts w:cs="Arial"/>
                <w:sz w:val="18"/>
                <w:szCs w:val="18"/>
              </w:rPr>
              <w:t>√</w:t>
            </w:r>
          </w:p>
        </w:tc>
        <w:tc>
          <w:tcPr>
            <w:tcW w:w="720" w:type="dxa"/>
          </w:tcPr>
          <w:p w:rsidR="009B28BA" w:rsidRDefault="009B28BA" w:rsidP="00492255">
            <w:r w:rsidRPr="00BA6D62">
              <w:rPr>
                <w:rFonts w:cs="Arial"/>
                <w:sz w:val="18"/>
                <w:szCs w:val="18"/>
              </w:rPr>
              <w:t>√</w:t>
            </w:r>
          </w:p>
        </w:tc>
        <w:tc>
          <w:tcPr>
            <w:tcW w:w="810" w:type="dxa"/>
          </w:tcPr>
          <w:p w:rsidR="009B28BA" w:rsidRDefault="009B28BA" w:rsidP="00492255">
            <w:r w:rsidRPr="00BA6D62">
              <w:rPr>
                <w:rFonts w:cs="Arial"/>
                <w:sz w:val="18"/>
                <w:szCs w:val="18"/>
              </w:rPr>
              <w:t>√</w:t>
            </w:r>
          </w:p>
        </w:tc>
        <w:tc>
          <w:tcPr>
            <w:tcW w:w="810" w:type="dxa"/>
          </w:tcPr>
          <w:p w:rsidR="009B28BA" w:rsidRDefault="009B28BA" w:rsidP="00492255">
            <w:r w:rsidRPr="00BA6D62">
              <w:rPr>
                <w:rFonts w:cs="Arial"/>
                <w:sz w:val="18"/>
                <w:szCs w:val="18"/>
              </w:rPr>
              <w:t>√</w:t>
            </w:r>
          </w:p>
        </w:tc>
        <w:tc>
          <w:tcPr>
            <w:tcW w:w="810" w:type="dxa"/>
          </w:tcPr>
          <w:p w:rsidR="009B28BA" w:rsidRDefault="009B28BA" w:rsidP="00492255">
            <w:r w:rsidRPr="00BA6D62">
              <w:rPr>
                <w:rFonts w:cs="Arial"/>
                <w:sz w:val="18"/>
                <w:szCs w:val="18"/>
              </w:rPr>
              <w:t>√</w:t>
            </w:r>
          </w:p>
        </w:tc>
        <w:tc>
          <w:tcPr>
            <w:tcW w:w="900" w:type="dxa"/>
          </w:tcPr>
          <w:p w:rsidR="009B28BA" w:rsidRDefault="009B28BA" w:rsidP="00492255">
            <w:r w:rsidRPr="00BA6D62">
              <w:rPr>
                <w:rFonts w:cs="Arial"/>
                <w:sz w:val="18"/>
                <w:szCs w:val="18"/>
              </w:rPr>
              <w:t>√</w:t>
            </w:r>
          </w:p>
        </w:tc>
        <w:tc>
          <w:tcPr>
            <w:tcW w:w="957" w:type="dxa"/>
            <w:tcBorders>
              <w:right w:val="single" w:sz="12" w:space="0" w:color="auto"/>
            </w:tcBorders>
          </w:tcPr>
          <w:p w:rsidR="009B28BA" w:rsidRDefault="009B28BA" w:rsidP="00492255">
            <w:r w:rsidRPr="00BA6D62">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467A9F">
              <w:rPr>
                <w:rFonts w:cs="Arial"/>
                <w:sz w:val="18"/>
                <w:szCs w:val="18"/>
              </w:rPr>
              <w:t>√</w:t>
            </w:r>
          </w:p>
        </w:tc>
        <w:tc>
          <w:tcPr>
            <w:tcW w:w="709" w:type="dxa"/>
          </w:tcPr>
          <w:p w:rsidR="009B28BA" w:rsidRDefault="009B28BA" w:rsidP="00492255">
            <w:r w:rsidRPr="00467A9F">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BG</w:t>
            </w:r>
          </w:p>
        </w:tc>
        <w:tc>
          <w:tcPr>
            <w:tcW w:w="630" w:type="dxa"/>
            <w:tcBorders>
              <w:left w:val="single" w:sz="12" w:space="0" w:color="auto"/>
            </w:tcBorders>
          </w:tcPr>
          <w:p w:rsidR="009B28BA" w:rsidRDefault="009B28BA" w:rsidP="00492255">
            <w:r w:rsidRPr="007F6F4D">
              <w:rPr>
                <w:rFonts w:cs="Arial"/>
                <w:sz w:val="18"/>
                <w:szCs w:val="18"/>
              </w:rPr>
              <w:t>√</w:t>
            </w:r>
          </w:p>
        </w:tc>
        <w:tc>
          <w:tcPr>
            <w:tcW w:w="720" w:type="dxa"/>
          </w:tcPr>
          <w:p w:rsidR="009B28BA" w:rsidRDefault="009B28BA" w:rsidP="00492255">
            <w:r w:rsidRPr="007F6F4D">
              <w:rPr>
                <w:rFonts w:cs="Arial"/>
                <w:sz w:val="18"/>
                <w:szCs w:val="18"/>
              </w:rPr>
              <w:t>√</w:t>
            </w:r>
          </w:p>
        </w:tc>
        <w:tc>
          <w:tcPr>
            <w:tcW w:w="720" w:type="dxa"/>
          </w:tcPr>
          <w:p w:rsidR="009B28BA" w:rsidRDefault="009B28BA" w:rsidP="00492255">
            <w:r w:rsidRPr="007F6F4D">
              <w:rPr>
                <w:rFonts w:cs="Arial"/>
                <w:sz w:val="18"/>
                <w:szCs w:val="18"/>
              </w:rPr>
              <w:t>√</w:t>
            </w:r>
          </w:p>
        </w:tc>
        <w:tc>
          <w:tcPr>
            <w:tcW w:w="720" w:type="dxa"/>
          </w:tcPr>
          <w:p w:rsidR="009B28BA" w:rsidRDefault="009B28BA" w:rsidP="00492255">
            <w:r w:rsidRPr="007F6F4D">
              <w:rPr>
                <w:rFonts w:cs="Arial"/>
                <w:sz w:val="18"/>
                <w:szCs w:val="18"/>
              </w:rPr>
              <w:t>√</w:t>
            </w:r>
          </w:p>
        </w:tc>
        <w:tc>
          <w:tcPr>
            <w:tcW w:w="810" w:type="dxa"/>
          </w:tcPr>
          <w:p w:rsidR="009B28BA" w:rsidRDefault="009B28BA" w:rsidP="00492255">
            <w:r w:rsidRPr="007F6F4D">
              <w:rPr>
                <w:rFonts w:cs="Arial"/>
                <w:sz w:val="18"/>
                <w:szCs w:val="18"/>
              </w:rPr>
              <w:t>√</w:t>
            </w:r>
          </w:p>
        </w:tc>
        <w:tc>
          <w:tcPr>
            <w:tcW w:w="810" w:type="dxa"/>
          </w:tcPr>
          <w:p w:rsidR="009B28BA" w:rsidRDefault="009B28BA" w:rsidP="00492255">
            <w:r w:rsidRPr="007F6F4D">
              <w:rPr>
                <w:rFonts w:cs="Arial"/>
                <w:sz w:val="18"/>
                <w:szCs w:val="18"/>
              </w:rPr>
              <w:t>√</w:t>
            </w:r>
          </w:p>
        </w:tc>
        <w:tc>
          <w:tcPr>
            <w:tcW w:w="810" w:type="dxa"/>
          </w:tcPr>
          <w:p w:rsidR="009B28BA" w:rsidRDefault="009B28BA" w:rsidP="00492255">
            <w:r w:rsidRPr="007F6F4D">
              <w:rPr>
                <w:rFonts w:cs="Arial"/>
                <w:sz w:val="18"/>
                <w:szCs w:val="18"/>
              </w:rPr>
              <w:t>√</w:t>
            </w:r>
          </w:p>
        </w:tc>
        <w:tc>
          <w:tcPr>
            <w:tcW w:w="900" w:type="dxa"/>
          </w:tcPr>
          <w:p w:rsidR="009B28BA" w:rsidRDefault="009B28BA" w:rsidP="00492255">
            <w:r w:rsidRPr="007F6F4D">
              <w:rPr>
                <w:rFonts w:cs="Arial"/>
                <w:sz w:val="18"/>
                <w:szCs w:val="18"/>
              </w:rPr>
              <w:t>√</w:t>
            </w:r>
          </w:p>
        </w:tc>
        <w:tc>
          <w:tcPr>
            <w:tcW w:w="957" w:type="dxa"/>
            <w:tcBorders>
              <w:right w:val="single" w:sz="12" w:space="0" w:color="auto"/>
            </w:tcBorders>
          </w:tcPr>
          <w:p w:rsidR="009B28BA" w:rsidRDefault="009B28BA" w:rsidP="00492255">
            <w:r w:rsidRPr="007F6F4D">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21742F">
              <w:rPr>
                <w:rFonts w:cs="Arial"/>
                <w:sz w:val="18"/>
                <w:szCs w:val="18"/>
              </w:rPr>
              <w:t>√</w:t>
            </w:r>
          </w:p>
        </w:tc>
        <w:tc>
          <w:tcPr>
            <w:tcW w:w="709" w:type="dxa"/>
          </w:tcPr>
          <w:p w:rsidR="009B28BA" w:rsidRDefault="009B28BA" w:rsidP="00492255">
            <w:r w:rsidRPr="0021742F">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CY</w:t>
            </w:r>
          </w:p>
        </w:tc>
        <w:tc>
          <w:tcPr>
            <w:tcW w:w="630" w:type="dxa"/>
            <w:tcBorders>
              <w:left w:val="single" w:sz="12" w:space="0" w:color="auto"/>
            </w:tcBorders>
          </w:tcPr>
          <w:p w:rsidR="009B28BA" w:rsidRDefault="009B28BA" w:rsidP="00492255">
            <w:r w:rsidRPr="007C2F66">
              <w:rPr>
                <w:rFonts w:cs="Arial"/>
                <w:sz w:val="18"/>
                <w:szCs w:val="18"/>
              </w:rPr>
              <w:t>√</w:t>
            </w:r>
          </w:p>
        </w:tc>
        <w:tc>
          <w:tcPr>
            <w:tcW w:w="720" w:type="dxa"/>
          </w:tcPr>
          <w:p w:rsidR="009B28BA" w:rsidRDefault="009B28BA" w:rsidP="00492255">
            <w:r w:rsidRPr="007C2F66">
              <w:rPr>
                <w:rFonts w:cs="Arial"/>
                <w:sz w:val="18"/>
                <w:szCs w:val="18"/>
              </w:rPr>
              <w:t>√</w:t>
            </w:r>
          </w:p>
        </w:tc>
        <w:tc>
          <w:tcPr>
            <w:tcW w:w="720" w:type="dxa"/>
          </w:tcPr>
          <w:p w:rsidR="009B28BA" w:rsidRDefault="009B28BA" w:rsidP="00492255">
            <w:r w:rsidRPr="007C2F66">
              <w:rPr>
                <w:rFonts w:cs="Arial"/>
                <w:sz w:val="18"/>
                <w:szCs w:val="18"/>
              </w:rPr>
              <w:t>√</w:t>
            </w:r>
          </w:p>
        </w:tc>
        <w:tc>
          <w:tcPr>
            <w:tcW w:w="720" w:type="dxa"/>
          </w:tcPr>
          <w:p w:rsidR="009B28BA" w:rsidRDefault="009B28BA" w:rsidP="00492255">
            <w:r w:rsidRPr="007C2F66">
              <w:rPr>
                <w:rFonts w:cs="Arial"/>
                <w:sz w:val="18"/>
                <w:szCs w:val="18"/>
              </w:rPr>
              <w:t>√</w:t>
            </w:r>
          </w:p>
        </w:tc>
        <w:tc>
          <w:tcPr>
            <w:tcW w:w="810" w:type="dxa"/>
          </w:tcPr>
          <w:p w:rsidR="009B28BA" w:rsidRDefault="009B28BA" w:rsidP="00492255">
            <w:r w:rsidRPr="007C2F66">
              <w:rPr>
                <w:rFonts w:cs="Arial"/>
                <w:sz w:val="18"/>
                <w:szCs w:val="18"/>
              </w:rPr>
              <w:t>√</w:t>
            </w:r>
          </w:p>
        </w:tc>
        <w:tc>
          <w:tcPr>
            <w:tcW w:w="810" w:type="dxa"/>
          </w:tcPr>
          <w:p w:rsidR="009B28BA" w:rsidRDefault="009B28BA" w:rsidP="00492255">
            <w:r w:rsidRPr="007C2F66">
              <w:rPr>
                <w:rFonts w:cs="Arial"/>
                <w:sz w:val="18"/>
                <w:szCs w:val="18"/>
              </w:rPr>
              <w:t>√</w:t>
            </w:r>
          </w:p>
        </w:tc>
        <w:tc>
          <w:tcPr>
            <w:tcW w:w="810" w:type="dxa"/>
          </w:tcPr>
          <w:p w:rsidR="009B28BA" w:rsidRDefault="009B28BA" w:rsidP="00492255">
            <w:r w:rsidRPr="007C2F66">
              <w:rPr>
                <w:rFonts w:cs="Arial"/>
                <w:sz w:val="18"/>
                <w:szCs w:val="18"/>
              </w:rPr>
              <w:t>√</w:t>
            </w:r>
          </w:p>
        </w:tc>
        <w:tc>
          <w:tcPr>
            <w:tcW w:w="900" w:type="dxa"/>
          </w:tcPr>
          <w:p w:rsidR="009B28BA" w:rsidRDefault="009B28BA" w:rsidP="00492255">
            <w:r w:rsidRPr="007C2F66">
              <w:rPr>
                <w:rFonts w:cs="Arial"/>
                <w:sz w:val="18"/>
                <w:szCs w:val="18"/>
              </w:rPr>
              <w:t>√</w:t>
            </w: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0C1BBE">
              <w:rPr>
                <w:rFonts w:cs="Arial"/>
                <w:sz w:val="18"/>
                <w:szCs w:val="18"/>
              </w:rPr>
              <w:t>√</w:t>
            </w:r>
          </w:p>
        </w:tc>
        <w:tc>
          <w:tcPr>
            <w:tcW w:w="709" w:type="dxa"/>
          </w:tcPr>
          <w:p w:rsidR="009B28BA" w:rsidRDefault="009B28BA" w:rsidP="00492255">
            <w:r w:rsidRPr="000C1BBE">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CZ</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vAlign w:val="center"/>
          </w:tcPr>
          <w:p w:rsidR="009B28BA" w:rsidRDefault="009B28BA" w:rsidP="00492255">
            <w:r>
              <w:rPr>
                <w:rFonts w:cs="Arial"/>
                <w:sz w:val="18"/>
                <w:szCs w:val="18"/>
              </w:rPr>
              <w:t>√</w:t>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DE</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64073F">
              <w:rPr>
                <w:rFonts w:cs="Arial"/>
                <w:sz w:val="18"/>
                <w:szCs w:val="18"/>
              </w:rPr>
              <w:t>√</w:t>
            </w:r>
          </w:p>
        </w:tc>
        <w:tc>
          <w:tcPr>
            <w:tcW w:w="709" w:type="dxa"/>
          </w:tcPr>
          <w:p w:rsidR="009B28BA" w:rsidRDefault="009B28BA" w:rsidP="00492255">
            <w:r w:rsidRPr="0064073F">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DK</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A7472A">
              <w:rPr>
                <w:rFonts w:cs="Arial"/>
                <w:sz w:val="18"/>
                <w:szCs w:val="18"/>
              </w:rPr>
              <w:t>√</w:t>
            </w:r>
          </w:p>
        </w:tc>
        <w:tc>
          <w:tcPr>
            <w:tcW w:w="709" w:type="dxa"/>
          </w:tcPr>
          <w:p w:rsidR="009B28BA" w:rsidRDefault="009B28BA" w:rsidP="00492255">
            <w:r w:rsidRPr="00A7472A">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EE</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tcPr>
          <w:p w:rsidR="009B28BA" w:rsidRDefault="009B28BA" w:rsidP="00492255">
            <w:r w:rsidRPr="003A3045">
              <w:rPr>
                <w:rFonts w:cs="Arial"/>
                <w:sz w:val="18"/>
                <w:szCs w:val="18"/>
              </w:rPr>
              <w:t>√</w:t>
            </w:r>
          </w:p>
        </w:tc>
        <w:tc>
          <w:tcPr>
            <w:tcW w:w="720" w:type="dxa"/>
          </w:tcPr>
          <w:p w:rsidR="009B28BA" w:rsidRDefault="009B28BA" w:rsidP="00492255">
            <w:r w:rsidRPr="003A3045">
              <w:rPr>
                <w:rFonts w:cs="Arial"/>
                <w:sz w:val="18"/>
                <w:szCs w:val="18"/>
              </w:rPr>
              <w:t>√</w:t>
            </w:r>
          </w:p>
        </w:tc>
        <w:tc>
          <w:tcPr>
            <w:tcW w:w="720" w:type="dxa"/>
          </w:tcPr>
          <w:p w:rsidR="009B28BA" w:rsidRDefault="009B28BA" w:rsidP="00492255">
            <w:r w:rsidRPr="003A3045">
              <w:rPr>
                <w:rFonts w:cs="Arial"/>
                <w:sz w:val="18"/>
                <w:szCs w:val="18"/>
              </w:rPr>
              <w:t>√</w:t>
            </w:r>
          </w:p>
        </w:tc>
        <w:tc>
          <w:tcPr>
            <w:tcW w:w="810" w:type="dxa"/>
          </w:tcPr>
          <w:p w:rsidR="009B28BA" w:rsidRDefault="009B28BA" w:rsidP="00492255">
            <w:r w:rsidRPr="003A3045">
              <w:rPr>
                <w:rFonts w:cs="Arial"/>
                <w:sz w:val="18"/>
                <w:szCs w:val="18"/>
              </w:rPr>
              <w:t>√</w:t>
            </w:r>
          </w:p>
        </w:tc>
        <w:tc>
          <w:tcPr>
            <w:tcW w:w="810" w:type="dxa"/>
          </w:tcPr>
          <w:p w:rsidR="009B28BA" w:rsidRDefault="009B28BA" w:rsidP="00492255">
            <w:r w:rsidRPr="003A3045">
              <w:rPr>
                <w:rFonts w:cs="Arial"/>
                <w:sz w:val="18"/>
                <w:szCs w:val="18"/>
              </w:rPr>
              <w:t>√</w:t>
            </w:r>
          </w:p>
        </w:tc>
        <w:tc>
          <w:tcPr>
            <w:tcW w:w="810" w:type="dxa"/>
          </w:tcPr>
          <w:p w:rsidR="009B28BA" w:rsidRDefault="009B28BA" w:rsidP="00492255">
            <w:r w:rsidRPr="003A3045">
              <w:rPr>
                <w:rFonts w:cs="Arial"/>
                <w:sz w:val="18"/>
                <w:szCs w:val="18"/>
              </w:rPr>
              <w:t>√</w:t>
            </w:r>
          </w:p>
        </w:tc>
        <w:tc>
          <w:tcPr>
            <w:tcW w:w="900" w:type="dxa"/>
          </w:tcPr>
          <w:p w:rsidR="009B28BA" w:rsidRDefault="009B28BA" w:rsidP="00492255">
            <w:r w:rsidRPr="003A3045">
              <w:rPr>
                <w:rFonts w:cs="Arial"/>
                <w:sz w:val="18"/>
                <w:szCs w:val="18"/>
              </w:rPr>
              <w:t>√</w:t>
            </w:r>
          </w:p>
        </w:tc>
        <w:tc>
          <w:tcPr>
            <w:tcW w:w="957" w:type="dxa"/>
            <w:tcBorders>
              <w:right w:val="single" w:sz="12" w:space="0" w:color="auto"/>
            </w:tcBorders>
          </w:tcPr>
          <w:p w:rsidR="009B28BA" w:rsidRDefault="009B28BA" w:rsidP="00492255">
            <w:r w:rsidRPr="003A3045">
              <w:rPr>
                <w:rFonts w:cs="Arial"/>
                <w:sz w:val="18"/>
                <w:szCs w:val="18"/>
              </w:rPr>
              <w:t>√</w:t>
            </w:r>
          </w:p>
        </w:tc>
        <w:tc>
          <w:tcPr>
            <w:tcW w:w="709" w:type="dxa"/>
            <w:tcBorders>
              <w:left w:val="single" w:sz="12" w:space="0" w:color="auto"/>
            </w:tcBorders>
          </w:tcPr>
          <w:p w:rsidR="009B28BA" w:rsidRDefault="009B28BA" w:rsidP="00492255">
            <w:r w:rsidRPr="007E504D">
              <w:rPr>
                <w:rFonts w:cs="Arial"/>
                <w:sz w:val="18"/>
                <w:szCs w:val="18"/>
              </w:rPr>
              <w:t>√</w:t>
            </w:r>
            <w:r>
              <w:rPr>
                <w:rStyle w:val="EndnoteReference"/>
                <w:rFonts w:cs="Arial"/>
                <w:sz w:val="18"/>
                <w:szCs w:val="18"/>
              </w:rPr>
              <w:endnoteReference w:id="412"/>
            </w:r>
          </w:p>
        </w:tc>
        <w:tc>
          <w:tcPr>
            <w:tcW w:w="709" w:type="dxa"/>
          </w:tcPr>
          <w:p w:rsidR="009B28BA" w:rsidRDefault="009B28BA" w:rsidP="00492255">
            <w:r w:rsidRPr="007E504D">
              <w:rPr>
                <w:rFonts w:cs="Arial"/>
                <w:sz w:val="18"/>
                <w:szCs w:val="18"/>
              </w:rPr>
              <w:t>√</w:t>
            </w:r>
          </w:p>
        </w:tc>
        <w:tc>
          <w:tcPr>
            <w:tcW w:w="709" w:type="dxa"/>
          </w:tcPr>
          <w:p w:rsidR="009B28BA" w:rsidRDefault="009B28BA" w:rsidP="00492255">
            <w:r w:rsidRPr="007E504D">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EL</w:t>
            </w:r>
          </w:p>
        </w:tc>
        <w:tc>
          <w:tcPr>
            <w:tcW w:w="630" w:type="dxa"/>
            <w:tcBorders>
              <w:left w:val="single" w:sz="12" w:space="0" w:color="auto"/>
            </w:tcBorders>
          </w:tcPr>
          <w:p w:rsidR="009B28BA" w:rsidRDefault="009B28BA" w:rsidP="00492255">
            <w:r w:rsidRPr="002B486E">
              <w:rPr>
                <w:rFonts w:cs="Arial"/>
                <w:sz w:val="18"/>
                <w:szCs w:val="18"/>
              </w:rPr>
              <w:t>√</w:t>
            </w:r>
          </w:p>
        </w:tc>
        <w:tc>
          <w:tcPr>
            <w:tcW w:w="720" w:type="dxa"/>
          </w:tcPr>
          <w:p w:rsidR="009B28BA" w:rsidRDefault="009B28BA" w:rsidP="00492255">
            <w:r w:rsidRPr="002B486E">
              <w:rPr>
                <w:rFonts w:cs="Arial"/>
                <w:sz w:val="18"/>
                <w:szCs w:val="18"/>
              </w:rPr>
              <w:t>√</w:t>
            </w:r>
          </w:p>
        </w:tc>
        <w:tc>
          <w:tcPr>
            <w:tcW w:w="720" w:type="dxa"/>
          </w:tcPr>
          <w:p w:rsidR="009B28BA" w:rsidRDefault="009B28BA" w:rsidP="00492255">
            <w:r w:rsidRPr="002B486E">
              <w:rPr>
                <w:rFonts w:cs="Arial"/>
                <w:sz w:val="18"/>
                <w:szCs w:val="18"/>
              </w:rPr>
              <w:t>√</w:t>
            </w:r>
          </w:p>
        </w:tc>
        <w:tc>
          <w:tcPr>
            <w:tcW w:w="720" w:type="dxa"/>
          </w:tcPr>
          <w:p w:rsidR="009B28BA" w:rsidRDefault="009B28BA" w:rsidP="00492255">
            <w:r w:rsidRPr="002B486E">
              <w:rPr>
                <w:rFonts w:cs="Arial"/>
                <w:sz w:val="18"/>
                <w:szCs w:val="18"/>
              </w:rPr>
              <w:t>√</w:t>
            </w:r>
          </w:p>
        </w:tc>
        <w:tc>
          <w:tcPr>
            <w:tcW w:w="810" w:type="dxa"/>
          </w:tcPr>
          <w:p w:rsidR="009B28BA" w:rsidRDefault="009B28BA" w:rsidP="00492255">
            <w:r w:rsidRPr="002B486E">
              <w:rPr>
                <w:rFonts w:cs="Arial"/>
                <w:sz w:val="18"/>
                <w:szCs w:val="18"/>
              </w:rPr>
              <w:t>√</w:t>
            </w:r>
          </w:p>
        </w:tc>
        <w:tc>
          <w:tcPr>
            <w:tcW w:w="810" w:type="dxa"/>
          </w:tcPr>
          <w:p w:rsidR="009B28BA" w:rsidRDefault="009B28BA" w:rsidP="00492255">
            <w:r w:rsidRPr="002B486E">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tcPr>
          <w:p w:rsidR="009B28BA" w:rsidRDefault="009B28BA" w:rsidP="00492255">
            <w:r w:rsidRPr="00E007EE">
              <w:rPr>
                <w:rFonts w:cs="Arial"/>
                <w:sz w:val="18"/>
                <w:szCs w:val="18"/>
              </w:rPr>
              <w:t>√</w:t>
            </w:r>
          </w:p>
        </w:tc>
        <w:tc>
          <w:tcPr>
            <w:tcW w:w="957" w:type="dxa"/>
            <w:tcBorders>
              <w:right w:val="single" w:sz="12" w:space="0" w:color="auto"/>
            </w:tcBorders>
          </w:tcPr>
          <w:p w:rsidR="009B28BA" w:rsidRDefault="009B28BA" w:rsidP="00492255">
            <w:r w:rsidRPr="00E007EE">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7C531B">
              <w:rPr>
                <w:rFonts w:cs="Arial"/>
                <w:sz w:val="18"/>
                <w:szCs w:val="18"/>
              </w:rPr>
              <w:t>√</w:t>
            </w:r>
          </w:p>
        </w:tc>
        <w:tc>
          <w:tcPr>
            <w:tcW w:w="709" w:type="dxa"/>
          </w:tcPr>
          <w:p w:rsidR="009B28BA" w:rsidRDefault="009B28BA" w:rsidP="00492255">
            <w:r w:rsidRPr="007C531B">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ES</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0D2ED7">
              <w:rPr>
                <w:rFonts w:cs="Arial"/>
                <w:sz w:val="18"/>
                <w:szCs w:val="18"/>
              </w:rPr>
              <w:t>√</w:t>
            </w:r>
          </w:p>
        </w:tc>
        <w:tc>
          <w:tcPr>
            <w:tcW w:w="709" w:type="dxa"/>
          </w:tcPr>
          <w:p w:rsidR="009B28BA" w:rsidRDefault="009B28BA" w:rsidP="00492255">
            <w:r w:rsidRPr="000D2ED7">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FI</w:t>
            </w:r>
          </w:p>
        </w:tc>
        <w:tc>
          <w:tcPr>
            <w:tcW w:w="630" w:type="dxa"/>
            <w:tcBorders>
              <w:left w:val="single" w:sz="12" w:space="0" w:color="auto"/>
            </w:tcBorders>
          </w:tcPr>
          <w:p w:rsidR="009B28BA" w:rsidRDefault="009B28BA" w:rsidP="00492255">
            <w:r w:rsidRPr="00A426C0">
              <w:rPr>
                <w:rFonts w:cs="Arial"/>
                <w:sz w:val="18"/>
                <w:szCs w:val="18"/>
              </w:rPr>
              <w:t>√</w:t>
            </w:r>
          </w:p>
        </w:tc>
        <w:tc>
          <w:tcPr>
            <w:tcW w:w="720" w:type="dxa"/>
          </w:tcPr>
          <w:p w:rsidR="009B28BA" w:rsidRDefault="009B28BA" w:rsidP="00492255">
            <w:r w:rsidRPr="00A426C0">
              <w:rPr>
                <w:rFonts w:cs="Arial"/>
                <w:sz w:val="18"/>
                <w:szCs w:val="18"/>
              </w:rPr>
              <w:t>√</w:t>
            </w:r>
          </w:p>
        </w:tc>
        <w:tc>
          <w:tcPr>
            <w:tcW w:w="720" w:type="dxa"/>
          </w:tcPr>
          <w:p w:rsidR="009B28BA" w:rsidRDefault="009B28BA" w:rsidP="00492255">
            <w:r w:rsidRPr="00A426C0">
              <w:rPr>
                <w:rFonts w:cs="Arial"/>
                <w:sz w:val="18"/>
                <w:szCs w:val="18"/>
              </w:rPr>
              <w:t>√</w:t>
            </w:r>
          </w:p>
        </w:tc>
        <w:tc>
          <w:tcPr>
            <w:tcW w:w="720" w:type="dxa"/>
          </w:tcPr>
          <w:p w:rsidR="009B28BA" w:rsidRDefault="009B28BA" w:rsidP="00492255">
            <w:r w:rsidRPr="00A426C0">
              <w:rPr>
                <w:rFonts w:cs="Arial"/>
                <w:sz w:val="18"/>
                <w:szCs w:val="18"/>
              </w:rPr>
              <w:t>√</w:t>
            </w:r>
          </w:p>
        </w:tc>
        <w:tc>
          <w:tcPr>
            <w:tcW w:w="810" w:type="dxa"/>
          </w:tcPr>
          <w:p w:rsidR="009B28BA" w:rsidRDefault="009B28BA" w:rsidP="00492255">
            <w:r w:rsidRPr="00A426C0">
              <w:rPr>
                <w:rFonts w:cs="Arial"/>
                <w:sz w:val="18"/>
                <w:szCs w:val="18"/>
              </w:rPr>
              <w:t>√</w:t>
            </w:r>
          </w:p>
        </w:tc>
        <w:tc>
          <w:tcPr>
            <w:tcW w:w="810" w:type="dxa"/>
          </w:tcPr>
          <w:p w:rsidR="009B28BA" w:rsidRDefault="009B28BA" w:rsidP="00492255">
            <w:r w:rsidRPr="00A426C0">
              <w:rPr>
                <w:rFonts w:cs="Arial"/>
                <w:sz w:val="18"/>
                <w:szCs w:val="18"/>
              </w:rPr>
              <w:t>√</w:t>
            </w:r>
          </w:p>
        </w:tc>
        <w:tc>
          <w:tcPr>
            <w:tcW w:w="810" w:type="dxa"/>
          </w:tcPr>
          <w:p w:rsidR="009B28BA" w:rsidRDefault="009B28BA" w:rsidP="00492255">
            <w:r w:rsidRPr="00A426C0">
              <w:rPr>
                <w:rFonts w:cs="Arial"/>
                <w:sz w:val="18"/>
                <w:szCs w:val="18"/>
              </w:rPr>
              <w:t>√</w:t>
            </w:r>
          </w:p>
        </w:tc>
        <w:tc>
          <w:tcPr>
            <w:tcW w:w="900" w:type="dxa"/>
          </w:tcPr>
          <w:p w:rsidR="009B28BA" w:rsidRDefault="009B28BA" w:rsidP="00492255">
            <w:r w:rsidRPr="00A426C0">
              <w:rPr>
                <w:rFonts w:cs="Arial"/>
                <w:sz w:val="18"/>
                <w:szCs w:val="18"/>
              </w:rPr>
              <w:t>√</w:t>
            </w:r>
          </w:p>
        </w:tc>
        <w:tc>
          <w:tcPr>
            <w:tcW w:w="957" w:type="dxa"/>
            <w:tcBorders>
              <w:right w:val="single" w:sz="12" w:space="0" w:color="auto"/>
            </w:tcBorders>
          </w:tcPr>
          <w:p w:rsidR="009B28BA" w:rsidRDefault="009B28BA" w:rsidP="00492255">
            <w:r w:rsidRPr="00A426C0">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vAlign w:val="center"/>
          </w:tcPr>
          <w:p w:rsidR="009B28BA" w:rsidRDefault="009B28BA" w:rsidP="00492255">
            <w:r>
              <w:rPr>
                <w:rFonts w:cs="Arial"/>
                <w:sz w:val="18"/>
                <w:szCs w:val="18"/>
              </w:rPr>
              <w:t>√</w:t>
            </w:r>
          </w:p>
        </w:tc>
        <w:tc>
          <w:tcPr>
            <w:tcW w:w="709" w:type="dxa"/>
            <w:vAlign w:val="center"/>
          </w:tcPr>
          <w:p w:rsidR="009B28BA" w:rsidRDefault="009B28BA" w:rsidP="00492255">
            <w:r>
              <w:rPr>
                <w:rFonts w:cs="Arial"/>
                <w:sz w:val="18"/>
                <w:szCs w:val="18"/>
              </w:rPr>
              <w:t>√</w:t>
            </w:r>
            <w:r>
              <w:rPr>
                <w:rStyle w:val="EndnoteReference"/>
                <w:rFonts w:cs="Arial"/>
                <w:sz w:val="18"/>
                <w:szCs w:val="18"/>
              </w:rPr>
              <w:endnoteReference w:id="413"/>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FR</w:t>
            </w:r>
          </w:p>
        </w:tc>
        <w:tc>
          <w:tcPr>
            <w:tcW w:w="630" w:type="dxa"/>
            <w:tcBorders>
              <w:left w:val="single" w:sz="12" w:space="0" w:color="auto"/>
            </w:tcBorders>
          </w:tcPr>
          <w:p w:rsidR="009B28BA" w:rsidRDefault="009B28BA" w:rsidP="00492255">
            <w:r w:rsidRPr="006C3619">
              <w:rPr>
                <w:rFonts w:cs="Arial"/>
                <w:sz w:val="18"/>
                <w:szCs w:val="18"/>
              </w:rPr>
              <w:t>√</w:t>
            </w:r>
          </w:p>
        </w:tc>
        <w:tc>
          <w:tcPr>
            <w:tcW w:w="720" w:type="dxa"/>
          </w:tcPr>
          <w:p w:rsidR="009B28BA" w:rsidRDefault="009B28BA" w:rsidP="00492255">
            <w:r w:rsidRPr="006C3619">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tcPr>
          <w:p w:rsidR="009B28BA" w:rsidRDefault="009B28BA" w:rsidP="00492255">
            <w:r w:rsidRPr="00A94060">
              <w:rPr>
                <w:rFonts w:cs="Arial"/>
                <w:sz w:val="18"/>
                <w:szCs w:val="18"/>
              </w:rPr>
              <w:t>√</w:t>
            </w:r>
          </w:p>
        </w:tc>
        <w:tc>
          <w:tcPr>
            <w:tcW w:w="709" w:type="dxa"/>
          </w:tcPr>
          <w:p w:rsidR="009B28BA" w:rsidRDefault="009B28BA" w:rsidP="00492255">
            <w:r w:rsidRPr="00A94060">
              <w:rPr>
                <w:rFonts w:cs="Arial"/>
                <w:sz w:val="18"/>
                <w:szCs w:val="18"/>
              </w:rPr>
              <w:t>√</w:t>
            </w:r>
          </w:p>
        </w:tc>
        <w:tc>
          <w:tcPr>
            <w:tcW w:w="709" w:type="dxa"/>
          </w:tcPr>
          <w:p w:rsidR="009B28BA" w:rsidRDefault="009B28BA" w:rsidP="00492255">
            <w:r w:rsidRPr="00A94060">
              <w:rPr>
                <w:rFonts w:cs="Arial"/>
                <w:sz w:val="18"/>
                <w:szCs w:val="18"/>
              </w:rPr>
              <w:t>√</w:t>
            </w:r>
          </w:p>
        </w:tc>
        <w:tc>
          <w:tcPr>
            <w:tcW w:w="708" w:type="dxa"/>
          </w:tcPr>
          <w:p w:rsidR="009B28BA" w:rsidRDefault="009B28BA" w:rsidP="00492255">
            <w:r w:rsidRPr="00A94060">
              <w:rPr>
                <w:rFonts w:cs="Arial"/>
                <w:sz w:val="18"/>
                <w:szCs w:val="18"/>
              </w:rPr>
              <w:t>√</w:t>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HR</w:t>
            </w:r>
          </w:p>
        </w:tc>
        <w:tc>
          <w:tcPr>
            <w:tcW w:w="630" w:type="dxa"/>
            <w:tcBorders>
              <w:left w:val="single" w:sz="12" w:space="0" w:color="auto"/>
            </w:tcBorders>
          </w:tcPr>
          <w:p w:rsidR="009B28BA" w:rsidRDefault="009B28BA" w:rsidP="00492255">
            <w:r w:rsidRPr="00865087">
              <w:rPr>
                <w:rFonts w:cs="Arial"/>
                <w:sz w:val="18"/>
                <w:szCs w:val="18"/>
              </w:rPr>
              <w:t>√</w:t>
            </w:r>
          </w:p>
        </w:tc>
        <w:tc>
          <w:tcPr>
            <w:tcW w:w="720" w:type="dxa"/>
          </w:tcPr>
          <w:p w:rsidR="009B28BA" w:rsidRDefault="009B28BA" w:rsidP="00492255">
            <w:r w:rsidRPr="00865087">
              <w:rPr>
                <w:rFonts w:cs="Arial"/>
                <w:sz w:val="18"/>
                <w:szCs w:val="18"/>
              </w:rPr>
              <w:t>√</w:t>
            </w:r>
          </w:p>
        </w:tc>
        <w:tc>
          <w:tcPr>
            <w:tcW w:w="720" w:type="dxa"/>
          </w:tcPr>
          <w:p w:rsidR="009B28BA" w:rsidRDefault="009B28BA" w:rsidP="00492255">
            <w:r w:rsidRPr="00865087">
              <w:rPr>
                <w:rFonts w:cs="Arial"/>
                <w:sz w:val="18"/>
                <w:szCs w:val="18"/>
              </w:rPr>
              <w:t>√</w:t>
            </w:r>
          </w:p>
        </w:tc>
        <w:tc>
          <w:tcPr>
            <w:tcW w:w="720" w:type="dxa"/>
          </w:tcPr>
          <w:p w:rsidR="009B28BA" w:rsidRDefault="009B28BA" w:rsidP="00492255">
            <w:r w:rsidRPr="00865087">
              <w:rPr>
                <w:rFonts w:cs="Arial"/>
                <w:sz w:val="18"/>
                <w:szCs w:val="18"/>
              </w:rPr>
              <w:t>√</w:t>
            </w:r>
          </w:p>
        </w:tc>
        <w:tc>
          <w:tcPr>
            <w:tcW w:w="810" w:type="dxa"/>
          </w:tcPr>
          <w:p w:rsidR="009B28BA" w:rsidRDefault="009B28BA" w:rsidP="00492255">
            <w:r w:rsidRPr="00865087">
              <w:rPr>
                <w:rFonts w:cs="Arial"/>
                <w:sz w:val="18"/>
                <w:szCs w:val="18"/>
              </w:rPr>
              <w:t>√</w:t>
            </w:r>
          </w:p>
        </w:tc>
        <w:tc>
          <w:tcPr>
            <w:tcW w:w="810" w:type="dxa"/>
          </w:tcPr>
          <w:p w:rsidR="009B28BA" w:rsidRDefault="009B28BA" w:rsidP="00492255">
            <w:r w:rsidRPr="00865087">
              <w:rPr>
                <w:rFonts w:cs="Arial"/>
                <w:sz w:val="18"/>
                <w:szCs w:val="18"/>
              </w:rPr>
              <w:t>√</w:t>
            </w:r>
          </w:p>
        </w:tc>
        <w:tc>
          <w:tcPr>
            <w:tcW w:w="810" w:type="dxa"/>
          </w:tcPr>
          <w:p w:rsidR="009B28BA" w:rsidRDefault="009B28BA" w:rsidP="00492255">
            <w:r w:rsidRPr="00865087">
              <w:rPr>
                <w:rFonts w:cs="Arial"/>
                <w:sz w:val="18"/>
                <w:szCs w:val="18"/>
              </w:rPr>
              <w:t>√</w:t>
            </w:r>
          </w:p>
        </w:tc>
        <w:tc>
          <w:tcPr>
            <w:tcW w:w="900" w:type="dxa"/>
          </w:tcPr>
          <w:p w:rsidR="009B28BA" w:rsidRDefault="009B28BA" w:rsidP="00492255">
            <w:r w:rsidRPr="00865087">
              <w:rPr>
                <w:rFonts w:cs="Arial"/>
                <w:sz w:val="18"/>
                <w:szCs w:val="18"/>
              </w:rPr>
              <w:t>√</w:t>
            </w:r>
          </w:p>
        </w:tc>
        <w:tc>
          <w:tcPr>
            <w:tcW w:w="957" w:type="dxa"/>
            <w:tcBorders>
              <w:right w:val="single" w:sz="12" w:space="0" w:color="auto"/>
            </w:tcBorders>
          </w:tcPr>
          <w:p w:rsidR="009B28BA" w:rsidRDefault="009B28BA" w:rsidP="00492255">
            <w:r w:rsidRPr="00865087">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996C51">
              <w:rPr>
                <w:rFonts w:cs="Arial"/>
                <w:sz w:val="18"/>
                <w:szCs w:val="18"/>
              </w:rPr>
              <w:t>√</w:t>
            </w:r>
          </w:p>
        </w:tc>
        <w:tc>
          <w:tcPr>
            <w:tcW w:w="709" w:type="dxa"/>
          </w:tcPr>
          <w:p w:rsidR="009B28BA" w:rsidRDefault="009B28BA" w:rsidP="00492255">
            <w:r w:rsidRPr="00996C51">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HU</w:t>
            </w:r>
          </w:p>
        </w:tc>
        <w:tc>
          <w:tcPr>
            <w:tcW w:w="630" w:type="dxa"/>
            <w:tcBorders>
              <w:left w:val="single" w:sz="12" w:space="0" w:color="auto"/>
            </w:tcBorders>
          </w:tcPr>
          <w:p w:rsidR="009B28BA" w:rsidRDefault="009B28BA" w:rsidP="00492255">
            <w:r w:rsidRPr="00FD7501">
              <w:rPr>
                <w:rFonts w:cs="Arial"/>
                <w:sz w:val="18"/>
                <w:szCs w:val="18"/>
              </w:rPr>
              <w:t>√</w:t>
            </w:r>
          </w:p>
        </w:tc>
        <w:tc>
          <w:tcPr>
            <w:tcW w:w="720" w:type="dxa"/>
          </w:tcPr>
          <w:p w:rsidR="009B28BA" w:rsidRDefault="009B28BA" w:rsidP="00492255">
            <w:r w:rsidRPr="00FD7501">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vAlign w:val="center"/>
          </w:tcPr>
          <w:p w:rsidR="009B28BA" w:rsidRPr="00E217F3" w:rsidRDefault="009B28BA" w:rsidP="00492255">
            <w:pPr>
              <w:rPr>
                <w:sz w:val="18"/>
                <w:szCs w:val="18"/>
              </w:rPr>
            </w:pPr>
            <w:r>
              <w:rPr>
                <w:rFonts w:cs="Arial"/>
                <w:sz w:val="18"/>
                <w:szCs w:val="18"/>
              </w:rPr>
              <w:t>√</w:t>
            </w: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1B60A3">
              <w:rPr>
                <w:rFonts w:cs="Arial"/>
                <w:sz w:val="18"/>
                <w:szCs w:val="18"/>
              </w:rPr>
              <w:t>√</w:t>
            </w:r>
            <w:r>
              <w:rPr>
                <w:rStyle w:val="EndnoteReference"/>
                <w:rFonts w:cs="Arial"/>
                <w:sz w:val="18"/>
                <w:szCs w:val="18"/>
              </w:rPr>
              <w:endnoteReference w:id="414"/>
            </w:r>
          </w:p>
        </w:tc>
        <w:tc>
          <w:tcPr>
            <w:tcW w:w="709" w:type="dxa"/>
          </w:tcPr>
          <w:p w:rsidR="009B28BA" w:rsidRDefault="009B28BA" w:rsidP="00492255">
            <w:r w:rsidRPr="001B60A3">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IE</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IT</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tcPr>
          <w:p w:rsidR="009B28BA" w:rsidRDefault="009B28BA" w:rsidP="00492255">
            <w:r w:rsidRPr="00F265E2">
              <w:rPr>
                <w:rFonts w:cs="Arial"/>
                <w:sz w:val="18"/>
                <w:szCs w:val="18"/>
              </w:rPr>
              <w:t>√</w:t>
            </w:r>
          </w:p>
        </w:tc>
        <w:tc>
          <w:tcPr>
            <w:tcW w:w="720" w:type="dxa"/>
          </w:tcPr>
          <w:p w:rsidR="009B28BA" w:rsidRDefault="009B28BA" w:rsidP="00492255">
            <w:r w:rsidRPr="00F265E2">
              <w:rPr>
                <w:rFonts w:cs="Arial"/>
                <w:sz w:val="18"/>
                <w:szCs w:val="18"/>
              </w:rPr>
              <w:t>√</w:t>
            </w:r>
          </w:p>
        </w:tc>
        <w:tc>
          <w:tcPr>
            <w:tcW w:w="810" w:type="dxa"/>
          </w:tcPr>
          <w:p w:rsidR="009B28BA" w:rsidRDefault="009B28BA" w:rsidP="00492255">
            <w:r w:rsidRPr="00F265E2">
              <w:rPr>
                <w:rFonts w:cs="Arial"/>
                <w:sz w:val="18"/>
                <w:szCs w:val="18"/>
              </w:rPr>
              <w:t>√</w:t>
            </w:r>
          </w:p>
        </w:tc>
        <w:tc>
          <w:tcPr>
            <w:tcW w:w="810" w:type="dxa"/>
          </w:tcPr>
          <w:p w:rsidR="009B28BA" w:rsidRDefault="009B28BA" w:rsidP="00492255">
            <w:r w:rsidRPr="00F265E2">
              <w:rPr>
                <w:rFonts w:cs="Arial"/>
                <w:sz w:val="18"/>
                <w:szCs w:val="18"/>
              </w:rPr>
              <w:t>√</w:t>
            </w:r>
          </w:p>
        </w:tc>
        <w:tc>
          <w:tcPr>
            <w:tcW w:w="810" w:type="dxa"/>
          </w:tcPr>
          <w:p w:rsidR="009B28BA" w:rsidRDefault="009B28BA" w:rsidP="00492255">
            <w:r w:rsidRPr="00F265E2">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vAlign w:val="center"/>
          </w:tcPr>
          <w:p w:rsidR="009B28BA" w:rsidRPr="00E217F3" w:rsidRDefault="009B28BA" w:rsidP="00492255">
            <w:pPr>
              <w:rPr>
                <w:sz w:val="18"/>
                <w:szCs w:val="18"/>
              </w:rPr>
            </w:pPr>
            <w:r>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37467D">
              <w:rPr>
                <w:rFonts w:cs="Arial"/>
                <w:sz w:val="18"/>
                <w:szCs w:val="18"/>
              </w:rPr>
              <w:t>√</w:t>
            </w:r>
          </w:p>
        </w:tc>
        <w:tc>
          <w:tcPr>
            <w:tcW w:w="709" w:type="dxa"/>
          </w:tcPr>
          <w:p w:rsidR="009B28BA" w:rsidRDefault="009B28BA" w:rsidP="00492255">
            <w:r w:rsidRPr="0037467D">
              <w:rPr>
                <w:rFonts w:cs="Arial"/>
                <w:sz w:val="18"/>
                <w:szCs w:val="18"/>
              </w:rPr>
              <w:t>√</w:t>
            </w:r>
            <w:r>
              <w:rPr>
                <w:rStyle w:val="EndnoteReference"/>
                <w:rFonts w:cs="Arial"/>
                <w:sz w:val="18"/>
                <w:szCs w:val="18"/>
              </w:rPr>
              <w:endnoteReference w:id="415"/>
            </w:r>
          </w:p>
        </w:tc>
        <w:tc>
          <w:tcPr>
            <w:tcW w:w="708" w:type="dxa"/>
          </w:tcPr>
          <w:p w:rsidR="009B28BA" w:rsidRDefault="009B28BA" w:rsidP="00492255">
            <w:r w:rsidRPr="0037467D">
              <w:rPr>
                <w:rFonts w:cs="Arial"/>
                <w:sz w:val="18"/>
                <w:szCs w:val="18"/>
              </w:rPr>
              <w:t>√</w:t>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LT</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LU</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LV</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MT</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NL</w:t>
            </w:r>
          </w:p>
        </w:tc>
        <w:tc>
          <w:tcPr>
            <w:tcW w:w="630" w:type="dxa"/>
            <w:tcBorders>
              <w:left w:val="single" w:sz="12" w:space="0" w:color="auto"/>
            </w:tcBorders>
          </w:tcPr>
          <w:p w:rsidR="009B28BA" w:rsidRDefault="009B28BA" w:rsidP="00492255">
            <w:r w:rsidRPr="00931ADC">
              <w:rPr>
                <w:rFonts w:cs="Arial"/>
                <w:sz w:val="18"/>
                <w:szCs w:val="18"/>
              </w:rPr>
              <w:t>√</w:t>
            </w:r>
          </w:p>
        </w:tc>
        <w:tc>
          <w:tcPr>
            <w:tcW w:w="720" w:type="dxa"/>
          </w:tcPr>
          <w:p w:rsidR="009B28BA" w:rsidRDefault="009B28BA" w:rsidP="00492255">
            <w:r w:rsidRPr="00931ADC">
              <w:rPr>
                <w:rFonts w:cs="Arial"/>
                <w:sz w:val="18"/>
                <w:szCs w:val="18"/>
              </w:rPr>
              <w:t>√</w:t>
            </w:r>
          </w:p>
        </w:tc>
        <w:tc>
          <w:tcPr>
            <w:tcW w:w="720" w:type="dxa"/>
          </w:tcPr>
          <w:p w:rsidR="009B28BA" w:rsidRDefault="009B28BA" w:rsidP="00492255">
            <w:r w:rsidRPr="00931ADC">
              <w:rPr>
                <w:rFonts w:cs="Arial"/>
                <w:sz w:val="18"/>
                <w:szCs w:val="18"/>
              </w:rPr>
              <w:t>√</w:t>
            </w:r>
          </w:p>
        </w:tc>
        <w:tc>
          <w:tcPr>
            <w:tcW w:w="720" w:type="dxa"/>
          </w:tcPr>
          <w:p w:rsidR="009B28BA" w:rsidRDefault="009B28BA" w:rsidP="00492255">
            <w:r w:rsidRPr="00931ADC">
              <w:rPr>
                <w:rFonts w:cs="Arial"/>
                <w:sz w:val="18"/>
                <w:szCs w:val="18"/>
              </w:rPr>
              <w:t>√</w:t>
            </w:r>
          </w:p>
        </w:tc>
        <w:tc>
          <w:tcPr>
            <w:tcW w:w="810" w:type="dxa"/>
          </w:tcPr>
          <w:p w:rsidR="009B28BA" w:rsidRDefault="009B28BA" w:rsidP="00492255">
            <w:r w:rsidRPr="00931ADC">
              <w:rPr>
                <w:rFonts w:cs="Arial"/>
                <w:sz w:val="18"/>
                <w:szCs w:val="18"/>
              </w:rPr>
              <w:t>√</w:t>
            </w:r>
          </w:p>
        </w:tc>
        <w:tc>
          <w:tcPr>
            <w:tcW w:w="810" w:type="dxa"/>
          </w:tcPr>
          <w:p w:rsidR="009B28BA" w:rsidRDefault="009B28BA" w:rsidP="00492255">
            <w:r w:rsidRPr="00931ADC">
              <w:rPr>
                <w:rFonts w:cs="Arial"/>
                <w:sz w:val="18"/>
                <w:szCs w:val="18"/>
              </w:rPr>
              <w:t>√</w:t>
            </w:r>
          </w:p>
        </w:tc>
        <w:tc>
          <w:tcPr>
            <w:tcW w:w="810" w:type="dxa"/>
          </w:tcPr>
          <w:p w:rsidR="009B28BA" w:rsidRDefault="009B28BA" w:rsidP="00492255">
            <w:r w:rsidRPr="00931ADC">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vAlign w:val="center"/>
          </w:tcPr>
          <w:p w:rsidR="009B28BA" w:rsidRDefault="009B28BA" w:rsidP="00492255">
            <w:r>
              <w:rPr>
                <w:rFonts w:cs="Arial"/>
                <w:sz w:val="18"/>
                <w:szCs w:val="18"/>
              </w:rPr>
              <w:t>√</w:t>
            </w:r>
            <w:r>
              <w:rPr>
                <w:rStyle w:val="EndnoteReference"/>
                <w:rFonts w:cs="Arial"/>
                <w:sz w:val="18"/>
                <w:szCs w:val="18"/>
              </w:rPr>
              <w:endnoteReference w:id="416"/>
            </w:r>
          </w:p>
        </w:tc>
        <w:tc>
          <w:tcPr>
            <w:tcW w:w="709" w:type="dxa"/>
            <w:vAlign w:val="center"/>
          </w:tcPr>
          <w:p w:rsidR="009B28BA" w:rsidRDefault="009B28BA" w:rsidP="00492255">
            <w:r>
              <w:rPr>
                <w:rFonts w:cs="Arial"/>
                <w:sz w:val="18"/>
                <w:szCs w:val="18"/>
              </w:rPr>
              <w:t>√</w:t>
            </w:r>
          </w:p>
        </w:tc>
        <w:tc>
          <w:tcPr>
            <w:tcW w:w="709" w:type="dxa"/>
            <w:vAlign w:val="center"/>
          </w:tcPr>
          <w:p w:rsidR="009B28BA" w:rsidRDefault="009B28BA" w:rsidP="00492255">
            <w:r>
              <w:rPr>
                <w:rFonts w:cs="Arial"/>
                <w:sz w:val="18"/>
                <w:szCs w:val="18"/>
              </w:rPr>
              <w:t>√</w:t>
            </w:r>
            <w:r>
              <w:rPr>
                <w:rStyle w:val="EndnoteReference"/>
                <w:rFonts w:cs="Arial"/>
                <w:sz w:val="18"/>
                <w:szCs w:val="18"/>
              </w:rPr>
              <w:endnoteReference w:id="417"/>
            </w:r>
          </w:p>
        </w:tc>
        <w:tc>
          <w:tcPr>
            <w:tcW w:w="708" w:type="dxa"/>
            <w:vAlign w:val="center"/>
          </w:tcPr>
          <w:p w:rsidR="009B28BA" w:rsidRDefault="009B28BA" w:rsidP="00492255">
            <w:r>
              <w:rPr>
                <w:rFonts w:cs="Arial"/>
                <w:sz w:val="18"/>
                <w:szCs w:val="18"/>
              </w:rPr>
              <w:t>√</w:t>
            </w:r>
            <w:r>
              <w:rPr>
                <w:rStyle w:val="EndnoteReference"/>
                <w:rFonts w:cs="Arial"/>
                <w:sz w:val="18"/>
                <w:szCs w:val="18"/>
              </w:rPr>
              <w:endnoteReference w:id="418"/>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PL</w:t>
            </w:r>
          </w:p>
        </w:tc>
        <w:tc>
          <w:tcPr>
            <w:tcW w:w="630" w:type="dxa"/>
            <w:tcBorders>
              <w:left w:val="single" w:sz="12" w:space="0" w:color="auto"/>
            </w:tcBorders>
          </w:tcPr>
          <w:p w:rsidR="009B28BA" w:rsidRDefault="009B28BA" w:rsidP="00492255">
            <w:r w:rsidRPr="00AD19ED">
              <w:rPr>
                <w:rFonts w:cs="Arial"/>
                <w:sz w:val="18"/>
                <w:szCs w:val="18"/>
              </w:rPr>
              <w:t>√</w:t>
            </w:r>
          </w:p>
        </w:tc>
        <w:tc>
          <w:tcPr>
            <w:tcW w:w="720" w:type="dxa"/>
          </w:tcPr>
          <w:p w:rsidR="009B28BA" w:rsidRDefault="009B28BA" w:rsidP="00492255">
            <w:r w:rsidRPr="00AD19ED">
              <w:rPr>
                <w:rFonts w:cs="Arial"/>
                <w:sz w:val="18"/>
                <w:szCs w:val="18"/>
              </w:rPr>
              <w:t>√</w:t>
            </w:r>
          </w:p>
        </w:tc>
        <w:tc>
          <w:tcPr>
            <w:tcW w:w="720" w:type="dxa"/>
          </w:tcPr>
          <w:p w:rsidR="009B28BA" w:rsidRDefault="009B28BA" w:rsidP="00492255">
            <w:r w:rsidRPr="00AD19ED">
              <w:rPr>
                <w:rFonts w:cs="Arial"/>
                <w:sz w:val="18"/>
                <w:szCs w:val="18"/>
              </w:rPr>
              <w:t>√</w:t>
            </w:r>
          </w:p>
        </w:tc>
        <w:tc>
          <w:tcPr>
            <w:tcW w:w="720" w:type="dxa"/>
          </w:tcPr>
          <w:p w:rsidR="009B28BA" w:rsidRDefault="009B28BA" w:rsidP="00492255">
            <w:r w:rsidRPr="00AD19ED">
              <w:rPr>
                <w:rFonts w:cs="Arial"/>
                <w:sz w:val="18"/>
                <w:szCs w:val="18"/>
              </w:rPr>
              <w:t>√</w:t>
            </w:r>
          </w:p>
        </w:tc>
        <w:tc>
          <w:tcPr>
            <w:tcW w:w="810" w:type="dxa"/>
          </w:tcPr>
          <w:p w:rsidR="009B28BA" w:rsidRDefault="009B28BA" w:rsidP="00492255">
            <w:r w:rsidRPr="00AD19ED">
              <w:rPr>
                <w:rFonts w:cs="Arial"/>
                <w:sz w:val="18"/>
                <w:szCs w:val="18"/>
              </w:rPr>
              <w:t>√</w:t>
            </w:r>
          </w:p>
        </w:tc>
        <w:tc>
          <w:tcPr>
            <w:tcW w:w="810" w:type="dxa"/>
          </w:tcPr>
          <w:p w:rsidR="009B28BA" w:rsidRDefault="009B28BA" w:rsidP="00492255">
            <w:r w:rsidRPr="00AD19ED">
              <w:rPr>
                <w:rFonts w:cs="Arial"/>
                <w:sz w:val="18"/>
                <w:szCs w:val="18"/>
              </w:rPr>
              <w:t>√</w:t>
            </w:r>
          </w:p>
        </w:tc>
        <w:tc>
          <w:tcPr>
            <w:tcW w:w="810" w:type="dxa"/>
          </w:tcPr>
          <w:p w:rsidR="009B28BA" w:rsidRDefault="009B28BA" w:rsidP="00492255">
            <w:r w:rsidRPr="00AD19ED">
              <w:rPr>
                <w:rFonts w:cs="Arial"/>
                <w:sz w:val="18"/>
                <w:szCs w:val="18"/>
              </w:rPr>
              <w:t>√</w:t>
            </w:r>
          </w:p>
        </w:tc>
        <w:tc>
          <w:tcPr>
            <w:tcW w:w="900" w:type="dxa"/>
          </w:tcPr>
          <w:p w:rsidR="009B28BA" w:rsidRDefault="009B28BA" w:rsidP="00492255">
            <w:r w:rsidRPr="00AD19ED">
              <w:rPr>
                <w:rFonts w:cs="Arial"/>
                <w:sz w:val="18"/>
                <w:szCs w:val="18"/>
              </w:rPr>
              <w:t>√</w:t>
            </w:r>
          </w:p>
        </w:tc>
        <w:tc>
          <w:tcPr>
            <w:tcW w:w="957" w:type="dxa"/>
            <w:tcBorders>
              <w:right w:val="single" w:sz="12" w:space="0" w:color="auto"/>
            </w:tcBorders>
          </w:tcPr>
          <w:p w:rsidR="009B28BA" w:rsidRDefault="009B28BA" w:rsidP="00492255">
            <w:r w:rsidRPr="00AD19ED">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4930C4">
              <w:rPr>
                <w:rFonts w:cs="Arial"/>
                <w:sz w:val="18"/>
                <w:szCs w:val="18"/>
              </w:rPr>
              <w:t>√</w:t>
            </w:r>
            <w:r>
              <w:rPr>
                <w:rStyle w:val="EndnoteReference"/>
                <w:rFonts w:cs="Arial"/>
                <w:sz w:val="18"/>
                <w:szCs w:val="18"/>
              </w:rPr>
              <w:endnoteReference w:id="419"/>
            </w:r>
          </w:p>
        </w:tc>
        <w:tc>
          <w:tcPr>
            <w:tcW w:w="709" w:type="dxa"/>
          </w:tcPr>
          <w:p w:rsidR="009B28BA" w:rsidRDefault="009B28BA" w:rsidP="00492255">
            <w:r w:rsidRPr="004930C4">
              <w:rPr>
                <w:rFonts w:cs="Arial"/>
                <w:sz w:val="18"/>
                <w:szCs w:val="18"/>
              </w:rPr>
              <w:t>√</w:t>
            </w:r>
            <w:r>
              <w:rPr>
                <w:rStyle w:val="EndnoteReference"/>
                <w:rFonts w:cs="Arial"/>
                <w:sz w:val="18"/>
                <w:szCs w:val="18"/>
              </w:rPr>
              <w:endnoteReference w:id="420"/>
            </w:r>
          </w:p>
        </w:tc>
        <w:tc>
          <w:tcPr>
            <w:tcW w:w="708" w:type="dxa"/>
          </w:tcPr>
          <w:p w:rsidR="009B28BA" w:rsidRDefault="009B28BA" w:rsidP="00492255">
            <w:r w:rsidRPr="004930C4">
              <w:rPr>
                <w:rFonts w:cs="Arial"/>
                <w:sz w:val="18"/>
                <w:szCs w:val="18"/>
              </w:rPr>
              <w:t>√</w:t>
            </w:r>
            <w:r>
              <w:rPr>
                <w:rStyle w:val="EndnoteReference"/>
                <w:rFonts w:cs="Arial"/>
                <w:sz w:val="18"/>
                <w:szCs w:val="18"/>
              </w:rPr>
              <w:endnoteReference w:id="421"/>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PT</w:t>
            </w:r>
          </w:p>
        </w:tc>
        <w:tc>
          <w:tcPr>
            <w:tcW w:w="630" w:type="dxa"/>
            <w:tcBorders>
              <w:left w:val="single" w:sz="12" w:space="0" w:color="auto"/>
            </w:tcBorders>
          </w:tcPr>
          <w:p w:rsidR="009B28BA" w:rsidRDefault="009B28BA" w:rsidP="00492255">
            <w:r w:rsidRPr="007D4D7F">
              <w:rPr>
                <w:rFonts w:cs="Arial"/>
                <w:sz w:val="18"/>
                <w:szCs w:val="18"/>
              </w:rPr>
              <w:t>√</w:t>
            </w:r>
          </w:p>
        </w:tc>
        <w:tc>
          <w:tcPr>
            <w:tcW w:w="720" w:type="dxa"/>
          </w:tcPr>
          <w:p w:rsidR="009B28BA" w:rsidRDefault="009B28BA" w:rsidP="00492255">
            <w:r w:rsidRPr="007D4D7F">
              <w:rPr>
                <w:rFonts w:cs="Arial"/>
                <w:sz w:val="18"/>
                <w:szCs w:val="18"/>
              </w:rPr>
              <w:t>√</w:t>
            </w:r>
          </w:p>
        </w:tc>
        <w:tc>
          <w:tcPr>
            <w:tcW w:w="720" w:type="dxa"/>
          </w:tcPr>
          <w:p w:rsidR="009B28BA" w:rsidRDefault="009B28BA" w:rsidP="00492255">
            <w:r w:rsidRPr="007D4D7F">
              <w:rPr>
                <w:rFonts w:cs="Arial"/>
                <w:sz w:val="18"/>
                <w:szCs w:val="18"/>
              </w:rPr>
              <w:t>√</w:t>
            </w:r>
          </w:p>
        </w:tc>
        <w:tc>
          <w:tcPr>
            <w:tcW w:w="720" w:type="dxa"/>
          </w:tcPr>
          <w:p w:rsidR="009B28BA" w:rsidRDefault="009B28BA" w:rsidP="00492255">
            <w:r w:rsidRPr="007D4D7F">
              <w:rPr>
                <w:rFonts w:cs="Arial"/>
                <w:sz w:val="18"/>
                <w:szCs w:val="18"/>
              </w:rPr>
              <w:t>√</w:t>
            </w:r>
          </w:p>
        </w:tc>
        <w:tc>
          <w:tcPr>
            <w:tcW w:w="810" w:type="dxa"/>
          </w:tcPr>
          <w:p w:rsidR="009B28BA" w:rsidRDefault="009B28BA" w:rsidP="00492255">
            <w:r w:rsidRPr="007D4D7F">
              <w:rPr>
                <w:rFonts w:cs="Arial"/>
                <w:sz w:val="18"/>
                <w:szCs w:val="18"/>
              </w:rPr>
              <w:t>√</w:t>
            </w:r>
          </w:p>
        </w:tc>
        <w:tc>
          <w:tcPr>
            <w:tcW w:w="810" w:type="dxa"/>
          </w:tcPr>
          <w:p w:rsidR="009B28BA" w:rsidRDefault="009B28BA" w:rsidP="00492255">
            <w:r w:rsidRPr="007D4D7F">
              <w:rPr>
                <w:rFonts w:cs="Arial"/>
                <w:sz w:val="18"/>
                <w:szCs w:val="18"/>
              </w:rPr>
              <w:t>√</w:t>
            </w:r>
          </w:p>
        </w:tc>
        <w:tc>
          <w:tcPr>
            <w:tcW w:w="810" w:type="dxa"/>
          </w:tcPr>
          <w:p w:rsidR="009B28BA" w:rsidRDefault="009B28BA" w:rsidP="00492255">
            <w:r w:rsidRPr="007D4D7F">
              <w:rPr>
                <w:rFonts w:cs="Arial"/>
                <w:sz w:val="18"/>
                <w:szCs w:val="18"/>
              </w:rPr>
              <w:t>√</w:t>
            </w:r>
          </w:p>
        </w:tc>
        <w:tc>
          <w:tcPr>
            <w:tcW w:w="900" w:type="dxa"/>
          </w:tcPr>
          <w:p w:rsidR="009B28BA" w:rsidRDefault="009B28BA" w:rsidP="00492255">
            <w:r w:rsidRPr="007D4D7F">
              <w:rPr>
                <w:rFonts w:cs="Arial"/>
                <w:sz w:val="18"/>
                <w:szCs w:val="18"/>
              </w:rPr>
              <w:t>√</w:t>
            </w:r>
          </w:p>
        </w:tc>
        <w:tc>
          <w:tcPr>
            <w:tcW w:w="957" w:type="dxa"/>
            <w:tcBorders>
              <w:right w:val="single" w:sz="12" w:space="0" w:color="auto"/>
            </w:tcBorders>
          </w:tcPr>
          <w:p w:rsidR="009B28BA" w:rsidRDefault="009B28BA" w:rsidP="00492255">
            <w:r w:rsidRPr="007D4D7F">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4B3570">
              <w:rPr>
                <w:rFonts w:cs="Arial"/>
                <w:sz w:val="18"/>
                <w:szCs w:val="18"/>
              </w:rPr>
              <w:t>√</w:t>
            </w:r>
            <w:r>
              <w:rPr>
                <w:rStyle w:val="EndnoteReference"/>
                <w:rFonts w:cs="Arial"/>
                <w:sz w:val="18"/>
                <w:szCs w:val="18"/>
              </w:rPr>
              <w:endnoteReference w:id="422"/>
            </w:r>
          </w:p>
        </w:tc>
        <w:tc>
          <w:tcPr>
            <w:tcW w:w="709" w:type="dxa"/>
          </w:tcPr>
          <w:p w:rsidR="009B28BA" w:rsidRDefault="009B28BA" w:rsidP="00492255">
            <w:r w:rsidRPr="004B3570">
              <w:rPr>
                <w:rFonts w:cs="Arial"/>
                <w:sz w:val="18"/>
                <w:szCs w:val="18"/>
              </w:rPr>
              <w:t>√</w:t>
            </w:r>
            <w:r>
              <w:rPr>
                <w:rStyle w:val="EndnoteReference"/>
                <w:rFonts w:cs="Arial"/>
                <w:sz w:val="18"/>
                <w:szCs w:val="18"/>
              </w:rPr>
              <w:endnoteReference w:id="423"/>
            </w:r>
          </w:p>
        </w:tc>
        <w:tc>
          <w:tcPr>
            <w:tcW w:w="708" w:type="dxa"/>
          </w:tcPr>
          <w:p w:rsidR="009B28BA" w:rsidRDefault="009B28BA" w:rsidP="00492255">
            <w:r w:rsidRPr="004B3570">
              <w:rPr>
                <w:rFonts w:cs="Arial"/>
                <w:sz w:val="18"/>
                <w:szCs w:val="18"/>
              </w:rPr>
              <w:t>√</w:t>
            </w:r>
            <w:r>
              <w:rPr>
                <w:rStyle w:val="EndnoteReference"/>
                <w:rFonts w:cs="Arial"/>
                <w:sz w:val="18"/>
                <w:szCs w:val="18"/>
              </w:rPr>
              <w:endnoteReference w:id="424"/>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RO</w:t>
            </w:r>
          </w:p>
        </w:tc>
        <w:tc>
          <w:tcPr>
            <w:tcW w:w="630" w:type="dxa"/>
            <w:tcBorders>
              <w:left w:val="single" w:sz="12" w:space="0" w:color="auto"/>
            </w:tcBorders>
          </w:tcPr>
          <w:p w:rsidR="009B28BA" w:rsidRDefault="009B28BA" w:rsidP="00492255">
            <w:r w:rsidRPr="00F172AE">
              <w:rPr>
                <w:rFonts w:cs="Arial"/>
                <w:sz w:val="18"/>
                <w:szCs w:val="18"/>
              </w:rPr>
              <w:t>√</w:t>
            </w:r>
          </w:p>
        </w:tc>
        <w:tc>
          <w:tcPr>
            <w:tcW w:w="720" w:type="dxa"/>
          </w:tcPr>
          <w:p w:rsidR="009B28BA" w:rsidRDefault="009B28BA" w:rsidP="00492255">
            <w:r w:rsidRPr="00F172AE">
              <w:rPr>
                <w:rFonts w:cs="Arial"/>
                <w:sz w:val="18"/>
                <w:szCs w:val="18"/>
              </w:rPr>
              <w:t>√</w:t>
            </w:r>
          </w:p>
        </w:tc>
        <w:tc>
          <w:tcPr>
            <w:tcW w:w="720" w:type="dxa"/>
          </w:tcPr>
          <w:p w:rsidR="009B28BA" w:rsidRDefault="009B28BA" w:rsidP="00492255">
            <w:r w:rsidRPr="00F172AE">
              <w:rPr>
                <w:rFonts w:cs="Arial"/>
                <w:sz w:val="18"/>
                <w:szCs w:val="18"/>
              </w:rPr>
              <w:t>√</w:t>
            </w:r>
          </w:p>
        </w:tc>
        <w:tc>
          <w:tcPr>
            <w:tcW w:w="720" w:type="dxa"/>
          </w:tcPr>
          <w:p w:rsidR="009B28BA" w:rsidRDefault="009B28BA" w:rsidP="00492255">
            <w:r w:rsidRPr="00F172AE">
              <w:rPr>
                <w:rFonts w:cs="Arial"/>
                <w:sz w:val="18"/>
                <w:szCs w:val="18"/>
              </w:rPr>
              <w:t>√</w:t>
            </w:r>
          </w:p>
        </w:tc>
        <w:tc>
          <w:tcPr>
            <w:tcW w:w="810" w:type="dxa"/>
          </w:tcPr>
          <w:p w:rsidR="009B28BA" w:rsidRDefault="009B28BA" w:rsidP="00492255">
            <w:r w:rsidRPr="00F172AE">
              <w:rPr>
                <w:rFonts w:cs="Arial"/>
                <w:sz w:val="18"/>
                <w:szCs w:val="18"/>
              </w:rPr>
              <w:t>√</w:t>
            </w:r>
          </w:p>
        </w:tc>
        <w:tc>
          <w:tcPr>
            <w:tcW w:w="810" w:type="dxa"/>
          </w:tcPr>
          <w:p w:rsidR="009B28BA" w:rsidRDefault="009B28BA" w:rsidP="00492255">
            <w:r w:rsidRPr="00F172AE">
              <w:rPr>
                <w:rFonts w:cs="Arial"/>
                <w:sz w:val="18"/>
                <w:szCs w:val="18"/>
              </w:rPr>
              <w:t>√</w:t>
            </w:r>
          </w:p>
        </w:tc>
        <w:tc>
          <w:tcPr>
            <w:tcW w:w="810" w:type="dxa"/>
          </w:tcPr>
          <w:p w:rsidR="009B28BA" w:rsidRDefault="009B28BA" w:rsidP="00492255">
            <w:r w:rsidRPr="00F172AE">
              <w:rPr>
                <w:rFonts w:cs="Arial"/>
                <w:sz w:val="18"/>
                <w:szCs w:val="18"/>
              </w:rPr>
              <w:t>√</w:t>
            </w:r>
          </w:p>
        </w:tc>
        <w:tc>
          <w:tcPr>
            <w:tcW w:w="900" w:type="dxa"/>
          </w:tcPr>
          <w:p w:rsidR="009B28BA" w:rsidRDefault="009B28BA" w:rsidP="00492255">
            <w:r w:rsidRPr="00F172AE">
              <w:rPr>
                <w:rFonts w:cs="Arial"/>
                <w:sz w:val="18"/>
                <w:szCs w:val="18"/>
              </w:rPr>
              <w:t>√</w:t>
            </w:r>
          </w:p>
        </w:tc>
        <w:tc>
          <w:tcPr>
            <w:tcW w:w="957" w:type="dxa"/>
            <w:tcBorders>
              <w:right w:val="single" w:sz="12" w:space="0" w:color="auto"/>
            </w:tcBorders>
          </w:tcPr>
          <w:p w:rsidR="009B28BA" w:rsidRDefault="009B28BA" w:rsidP="00492255">
            <w:r w:rsidRPr="00F172AE">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6967D7">
              <w:rPr>
                <w:rFonts w:cs="Arial"/>
                <w:sz w:val="18"/>
                <w:szCs w:val="18"/>
              </w:rPr>
              <w:t>√</w:t>
            </w:r>
          </w:p>
        </w:tc>
        <w:tc>
          <w:tcPr>
            <w:tcW w:w="709" w:type="dxa"/>
          </w:tcPr>
          <w:p w:rsidR="009B28BA" w:rsidRDefault="009B28BA" w:rsidP="00492255">
            <w:r w:rsidRPr="006967D7">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SE</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tcPr>
          <w:p w:rsidR="009B28BA" w:rsidRDefault="009B28BA" w:rsidP="00492255">
            <w:r w:rsidRPr="00D56AFD">
              <w:rPr>
                <w:rFonts w:cs="Arial"/>
                <w:sz w:val="18"/>
                <w:szCs w:val="18"/>
              </w:rPr>
              <w:t>√</w:t>
            </w:r>
          </w:p>
        </w:tc>
        <w:tc>
          <w:tcPr>
            <w:tcW w:w="720" w:type="dxa"/>
          </w:tcPr>
          <w:p w:rsidR="009B28BA" w:rsidRDefault="009B28BA" w:rsidP="00492255">
            <w:r w:rsidRPr="00D56AFD">
              <w:rPr>
                <w:rFonts w:cs="Arial"/>
                <w:sz w:val="18"/>
                <w:szCs w:val="18"/>
              </w:rPr>
              <w:t>√</w:t>
            </w:r>
          </w:p>
        </w:tc>
        <w:tc>
          <w:tcPr>
            <w:tcW w:w="810" w:type="dxa"/>
          </w:tcPr>
          <w:p w:rsidR="009B28BA" w:rsidRDefault="009B28BA" w:rsidP="00492255">
            <w:r w:rsidRPr="00D56AFD">
              <w:rPr>
                <w:rFonts w:cs="Arial"/>
                <w:sz w:val="18"/>
                <w:szCs w:val="18"/>
              </w:rPr>
              <w:t>√</w:t>
            </w:r>
          </w:p>
        </w:tc>
        <w:tc>
          <w:tcPr>
            <w:tcW w:w="810" w:type="dxa"/>
          </w:tcPr>
          <w:p w:rsidR="009B28BA" w:rsidRDefault="009B28BA" w:rsidP="00492255">
            <w:r w:rsidRPr="00D56AFD">
              <w:rPr>
                <w:rFonts w:cs="Arial"/>
                <w:sz w:val="18"/>
                <w:szCs w:val="18"/>
              </w:rPr>
              <w:t>√</w:t>
            </w:r>
          </w:p>
        </w:tc>
        <w:tc>
          <w:tcPr>
            <w:tcW w:w="810" w:type="dxa"/>
          </w:tcPr>
          <w:p w:rsidR="009B28BA" w:rsidRDefault="009B28BA" w:rsidP="00492255">
            <w:r w:rsidRPr="00D56AFD">
              <w:rPr>
                <w:rFonts w:cs="Arial"/>
                <w:sz w:val="18"/>
                <w:szCs w:val="18"/>
              </w:rPr>
              <w:t>√</w:t>
            </w:r>
          </w:p>
        </w:tc>
        <w:tc>
          <w:tcPr>
            <w:tcW w:w="900" w:type="dxa"/>
          </w:tcPr>
          <w:p w:rsidR="009B28BA" w:rsidRDefault="009B28BA" w:rsidP="00492255">
            <w:r w:rsidRPr="00D56AFD">
              <w:rPr>
                <w:rFonts w:cs="Arial"/>
                <w:sz w:val="18"/>
                <w:szCs w:val="18"/>
              </w:rPr>
              <w:t>√</w:t>
            </w: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60082A">
              <w:rPr>
                <w:rFonts w:cs="Arial"/>
                <w:sz w:val="18"/>
                <w:szCs w:val="18"/>
              </w:rPr>
              <w:t>√</w:t>
            </w:r>
          </w:p>
        </w:tc>
        <w:tc>
          <w:tcPr>
            <w:tcW w:w="709" w:type="dxa"/>
          </w:tcPr>
          <w:p w:rsidR="009B28BA" w:rsidRDefault="009B28BA" w:rsidP="00492255">
            <w:r w:rsidRPr="0060082A">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SI</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SK</w:t>
            </w:r>
          </w:p>
        </w:tc>
        <w:tc>
          <w:tcPr>
            <w:tcW w:w="63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UK-E&amp;W</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123C56">
              <w:rPr>
                <w:rFonts w:cs="Arial"/>
                <w:sz w:val="18"/>
                <w:szCs w:val="18"/>
              </w:rPr>
              <w:t>√</w:t>
            </w:r>
          </w:p>
        </w:tc>
        <w:tc>
          <w:tcPr>
            <w:tcW w:w="709" w:type="dxa"/>
          </w:tcPr>
          <w:p w:rsidR="009B28BA" w:rsidRDefault="009B28BA" w:rsidP="00492255">
            <w:r w:rsidRPr="00123C56">
              <w:rPr>
                <w:rFonts w:cs="Arial"/>
                <w:sz w:val="18"/>
                <w:szCs w:val="18"/>
              </w:rPr>
              <w:t>√</w:t>
            </w:r>
          </w:p>
        </w:tc>
        <w:tc>
          <w:tcPr>
            <w:tcW w:w="708" w:type="dxa"/>
          </w:tcPr>
          <w:p w:rsidR="009B28BA" w:rsidRDefault="009B28BA" w:rsidP="00492255">
            <w:r w:rsidRPr="00123C56">
              <w:rPr>
                <w:rFonts w:cs="Arial"/>
                <w:sz w:val="18"/>
                <w:szCs w:val="18"/>
              </w:rPr>
              <w:t>√</w:t>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UK-NI</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6608B4">
              <w:rPr>
                <w:rFonts w:cs="Arial"/>
                <w:sz w:val="18"/>
                <w:szCs w:val="18"/>
              </w:rPr>
              <w:t>√</w:t>
            </w:r>
          </w:p>
        </w:tc>
        <w:tc>
          <w:tcPr>
            <w:tcW w:w="709" w:type="dxa"/>
          </w:tcPr>
          <w:p w:rsidR="009B28BA" w:rsidRDefault="009B28BA" w:rsidP="00492255">
            <w:r w:rsidRPr="006608B4">
              <w:rPr>
                <w:rFonts w:cs="Arial"/>
                <w:sz w:val="18"/>
                <w:szCs w:val="18"/>
              </w:rPr>
              <w:t>√</w:t>
            </w:r>
          </w:p>
        </w:tc>
        <w:tc>
          <w:tcPr>
            <w:tcW w:w="708" w:type="dxa"/>
          </w:tcPr>
          <w:p w:rsidR="009B28BA" w:rsidRDefault="009B28BA" w:rsidP="00492255">
            <w:r w:rsidRPr="006608B4">
              <w:rPr>
                <w:rFonts w:cs="Arial"/>
                <w:sz w:val="18"/>
                <w:szCs w:val="18"/>
              </w:rPr>
              <w:t>√</w:t>
            </w:r>
          </w:p>
        </w:tc>
      </w:tr>
      <w:tr w:rsidR="009B28BA" w:rsidTr="00731E82">
        <w:trPr>
          <w:trHeight w:hRule="exact" w:val="288"/>
          <w:jc w:val="center"/>
        </w:trPr>
        <w:tc>
          <w:tcPr>
            <w:tcW w:w="1067" w:type="dxa"/>
            <w:tcBorders>
              <w:right w:val="single" w:sz="12" w:space="0" w:color="auto"/>
            </w:tcBorders>
            <w:shd w:val="clear" w:color="auto" w:fill="DBE5F1" w:themeFill="accent1" w:themeFillTint="33"/>
            <w:vAlign w:val="center"/>
          </w:tcPr>
          <w:p w:rsidR="009B28BA" w:rsidRPr="00731E82" w:rsidRDefault="00CD7610" w:rsidP="00492255">
            <w:pPr>
              <w:pStyle w:val="BTBullet1"/>
              <w:numPr>
                <w:ilvl w:val="0"/>
                <w:numId w:val="0"/>
              </w:numPr>
              <w:rPr>
                <w:b/>
                <w:sz w:val="18"/>
                <w:szCs w:val="18"/>
              </w:rPr>
            </w:pPr>
            <w:r w:rsidRPr="00731E82">
              <w:rPr>
                <w:b/>
                <w:sz w:val="18"/>
                <w:szCs w:val="18"/>
              </w:rPr>
              <w:t>UK-S</w:t>
            </w:r>
          </w:p>
        </w:tc>
        <w:tc>
          <w:tcPr>
            <w:tcW w:w="63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tcPr>
          <w:p w:rsidR="009B28BA" w:rsidRDefault="009B28BA" w:rsidP="00492255">
            <w:r w:rsidRPr="00A0101C">
              <w:rPr>
                <w:rFonts w:cs="Arial"/>
                <w:sz w:val="18"/>
                <w:szCs w:val="18"/>
              </w:rPr>
              <w:t>√</w:t>
            </w:r>
          </w:p>
        </w:tc>
        <w:tc>
          <w:tcPr>
            <w:tcW w:w="720" w:type="dxa"/>
          </w:tcPr>
          <w:p w:rsidR="009B28BA" w:rsidRDefault="009B28BA" w:rsidP="00492255">
            <w:r w:rsidRPr="00A0101C">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tcPr>
          <w:p w:rsidR="009B28BA" w:rsidRDefault="009B28BA" w:rsidP="00492255">
            <w:r w:rsidRPr="00C41304">
              <w:rPr>
                <w:rFonts w:cs="Arial"/>
                <w:sz w:val="18"/>
                <w:szCs w:val="18"/>
              </w:rPr>
              <w:t>√</w:t>
            </w:r>
          </w:p>
        </w:tc>
        <w:tc>
          <w:tcPr>
            <w:tcW w:w="810" w:type="dxa"/>
          </w:tcPr>
          <w:p w:rsidR="009B28BA" w:rsidRDefault="009B28BA" w:rsidP="00492255">
            <w:r w:rsidRPr="00C41304">
              <w:rPr>
                <w:rFonts w:cs="Arial"/>
                <w:sz w:val="18"/>
                <w:szCs w:val="18"/>
              </w:rPr>
              <w:t>√</w:t>
            </w:r>
          </w:p>
        </w:tc>
        <w:tc>
          <w:tcPr>
            <w:tcW w:w="900" w:type="dxa"/>
            <w:shd w:val="clear" w:color="auto" w:fill="D9D9D9" w:themeFill="background1" w:themeFillShade="D9"/>
            <w:vAlign w:val="center"/>
          </w:tcPr>
          <w:p w:rsidR="009B28BA" w:rsidRPr="00E217F3" w:rsidRDefault="009B28BA" w:rsidP="00492255">
            <w:pPr>
              <w:rPr>
                <w:sz w:val="18"/>
                <w:szCs w:val="18"/>
              </w:rPr>
            </w:pPr>
          </w:p>
        </w:tc>
        <w:tc>
          <w:tcPr>
            <w:tcW w:w="957" w:type="dxa"/>
            <w:tcBorders>
              <w:right w:val="single" w:sz="12" w:space="0" w:color="auto"/>
            </w:tcBorders>
            <w:vAlign w:val="center"/>
          </w:tcPr>
          <w:p w:rsidR="009B28BA" w:rsidRPr="00E217F3" w:rsidRDefault="009B28BA" w:rsidP="00492255">
            <w:pPr>
              <w:rPr>
                <w:sz w:val="18"/>
                <w:szCs w:val="18"/>
              </w:rPr>
            </w:pPr>
            <w:r>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9545A0">
              <w:rPr>
                <w:rFonts w:cs="Arial"/>
                <w:sz w:val="18"/>
                <w:szCs w:val="18"/>
              </w:rPr>
              <w:t>√</w:t>
            </w:r>
          </w:p>
        </w:tc>
        <w:tc>
          <w:tcPr>
            <w:tcW w:w="709" w:type="dxa"/>
          </w:tcPr>
          <w:p w:rsidR="009B28BA" w:rsidRDefault="009B28BA" w:rsidP="00492255">
            <w:r w:rsidRPr="009545A0">
              <w:rPr>
                <w:rFonts w:cs="Arial"/>
                <w:sz w:val="18"/>
                <w:szCs w:val="18"/>
              </w:rPr>
              <w:t>√</w:t>
            </w:r>
          </w:p>
        </w:tc>
        <w:tc>
          <w:tcPr>
            <w:tcW w:w="708" w:type="dxa"/>
          </w:tcPr>
          <w:p w:rsidR="009B28BA" w:rsidRDefault="009B28BA" w:rsidP="00492255">
            <w:r w:rsidRPr="009545A0">
              <w:rPr>
                <w:rFonts w:cs="Arial"/>
                <w:sz w:val="18"/>
                <w:szCs w:val="18"/>
              </w:rPr>
              <w:t>√</w:t>
            </w:r>
          </w:p>
        </w:tc>
      </w:tr>
      <w:tr w:rsidR="009B28BA" w:rsidTr="00731E82">
        <w:trPr>
          <w:trHeight w:hRule="exact" w:val="480"/>
          <w:jc w:val="center"/>
        </w:trPr>
        <w:tc>
          <w:tcPr>
            <w:tcW w:w="1067" w:type="dxa"/>
            <w:tcBorders>
              <w:right w:val="single" w:sz="12" w:space="0" w:color="auto"/>
            </w:tcBorders>
            <w:shd w:val="clear" w:color="auto" w:fill="FFFFFF" w:themeFill="background1"/>
            <w:vAlign w:val="center"/>
          </w:tcPr>
          <w:p w:rsidR="009B28BA" w:rsidRPr="009B28BA" w:rsidRDefault="009B28BA" w:rsidP="00492255">
            <w:pPr>
              <w:pStyle w:val="BTBullet1"/>
              <w:numPr>
                <w:ilvl w:val="0"/>
                <w:numId w:val="0"/>
              </w:numPr>
              <w:rPr>
                <w:b/>
                <w:sz w:val="18"/>
                <w:szCs w:val="18"/>
              </w:rPr>
            </w:pPr>
            <w:r w:rsidRPr="009B28BA">
              <w:rPr>
                <w:b/>
                <w:sz w:val="18"/>
                <w:szCs w:val="18"/>
              </w:rPr>
              <w:t>Total Yes</w:t>
            </w:r>
          </w:p>
        </w:tc>
        <w:tc>
          <w:tcPr>
            <w:tcW w:w="630" w:type="dxa"/>
            <w:tcBorders>
              <w:left w:val="single" w:sz="12" w:space="0" w:color="auto"/>
            </w:tcBorders>
            <w:vAlign w:val="center"/>
          </w:tcPr>
          <w:p w:rsidR="009B28BA" w:rsidRPr="009B28BA" w:rsidRDefault="009B28BA" w:rsidP="00492255">
            <w:pPr>
              <w:rPr>
                <w:sz w:val="18"/>
                <w:szCs w:val="18"/>
              </w:rPr>
            </w:pPr>
            <w:r w:rsidRPr="009B28BA">
              <w:rPr>
                <w:sz w:val="18"/>
                <w:szCs w:val="18"/>
              </w:rPr>
              <w:t>19</w:t>
            </w:r>
          </w:p>
        </w:tc>
        <w:tc>
          <w:tcPr>
            <w:tcW w:w="720" w:type="dxa"/>
            <w:vAlign w:val="center"/>
          </w:tcPr>
          <w:p w:rsidR="009B28BA" w:rsidRPr="009B28BA" w:rsidRDefault="009B28BA" w:rsidP="00492255">
            <w:pPr>
              <w:rPr>
                <w:sz w:val="18"/>
                <w:szCs w:val="18"/>
              </w:rPr>
            </w:pPr>
            <w:r w:rsidRPr="009B28BA">
              <w:rPr>
                <w:sz w:val="18"/>
                <w:szCs w:val="18"/>
              </w:rPr>
              <w:t>15</w:t>
            </w:r>
          </w:p>
        </w:tc>
        <w:tc>
          <w:tcPr>
            <w:tcW w:w="720" w:type="dxa"/>
            <w:vAlign w:val="center"/>
          </w:tcPr>
          <w:p w:rsidR="009B28BA" w:rsidRPr="009B28BA" w:rsidRDefault="009B28BA" w:rsidP="00492255">
            <w:pPr>
              <w:rPr>
                <w:sz w:val="18"/>
                <w:szCs w:val="18"/>
              </w:rPr>
            </w:pPr>
            <w:r w:rsidRPr="009B28BA">
              <w:rPr>
                <w:sz w:val="18"/>
                <w:szCs w:val="18"/>
              </w:rPr>
              <w:t>15</w:t>
            </w:r>
          </w:p>
        </w:tc>
        <w:tc>
          <w:tcPr>
            <w:tcW w:w="720" w:type="dxa"/>
            <w:vAlign w:val="center"/>
          </w:tcPr>
          <w:p w:rsidR="009B28BA" w:rsidRPr="009B28BA" w:rsidRDefault="009B28BA" w:rsidP="00492255">
            <w:pPr>
              <w:rPr>
                <w:sz w:val="18"/>
                <w:szCs w:val="18"/>
              </w:rPr>
            </w:pPr>
            <w:r w:rsidRPr="009B28BA">
              <w:rPr>
                <w:sz w:val="18"/>
                <w:szCs w:val="18"/>
              </w:rPr>
              <w:t>15</w:t>
            </w:r>
          </w:p>
        </w:tc>
        <w:tc>
          <w:tcPr>
            <w:tcW w:w="810" w:type="dxa"/>
            <w:vAlign w:val="center"/>
          </w:tcPr>
          <w:p w:rsidR="009B28BA" w:rsidRPr="009B28BA" w:rsidRDefault="009B28BA" w:rsidP="00492255">
            <w:pPr>
              <w:rPr>
                <w:sz w:val="18"/>
                <w:szCs w:val="18"/>
              </w:rPr>
            </w:pPr>
            <w:r w:rsidRPr="009B28BA">
              <w:rPr>
                <w:sz w:val="18"/>
                <w:szCs w:val="18"/>
              </w:rPr>
              <w:t>14</w:t>
            </w:r>
          </w:p>
        </w:tc>
        <w:tc>
          <w:tcPr>
            <w:tcW w:w="810" w:type="dxa"/>
            <w:vAlign w:val="center"/>
          </w:tcPr>
          <w:p w:rsidR="009B28BA" w:rsidRPr="009B28BA" w:rsidRDefault="009B28BA" w:rsidP="00492255">
            <w:pPr>
              <w:rPr>
                <w:sz w:val="18"/>
                <w:szCs w:val="18"/>
              </w:rPr>
            </w:pPr>
            <w:r w:rsidRPr="009B28BA">
              <w:rPr>
                <w:sz w:val="18"/>
                <w:szCs w:val="18"/>
              </w:rPr>
              <w:t>16</w:t>
            </w:r>
          </w:p>
        </w:tc>
        <w:tc>
          <w:tcPr>
            <w:tcW w:w="810" w:type="dxa"/>
            <w:vAlign w:val="center"/>
          </w:tcPr>
          <w:p w:rsidR="009B28BA" w:rsidRPr="009B28BA" w:rsidRDefault="009B28BA" w:rsidP="00492255">
            <w:pPr>
              <w:rPr>
                <w:sz w:val="18"/>
                <w:szCs w:val="18"/>
              </w:rPr>
            </w:pPr>
            <w:r w:rsidRPr="009B28BA">
              <w:rPr>
                <w:sz w:val="18"/>
                <w:szCs w:val="18"/>
              </w:rPr>
              <w:t>18</w:t>
            </w:r>
          </w:p>
        </w:tc>
        <w:tc>
          <w:tcPr>
            <w:tcW w:w="900" w:type="dxa"/>
            <w:vAlign w:val="center"/>
          </w:tcPr>
          <w:p w:rsidR="009B28BA" w:rsidRPr="009B28BA" w:rsidRDefault="009B28BA" w:rsidP="00492255">
            <w:pPr>
              <w:rPr>
                <w:sz w:val="18"/>
                <w:szCs w:val="18"/>
              </w:rPr>
            </w:pPr>
            <w:r w:rsidRPr="009B28BA">
              <w:rPr>
                <w:sz w:val="18"/>
                <w:szCs w:val="18"/>
              </w:rPr>
              <w:t>13</w:t>
            </w:r>
          </w:p>
        </w:tc>
        <w:tc>
          <w:tcPr>
            <w:tcW w:w="957" w:type="dxa"/>
            <w:tcBorders>
              <w:right w:val="single" w:sz="12" w:space="0" w:color="auto"/>
            </w:tcBorders>
            <w:vAlign w:val="center"/>
          </w:tcPr>
          <w:p w:rsidR="009B28BA" w:rsidRPr="009B28BA" w:rsidRDefault="009B28BA" w:rsidP="00492255">
            <w:pPr>
              <w:rPr>
                <w:sz w:val="18"/>
                <w:szCs w:val="18"/>
              </w:rPr>
            </w:pPr>
            <w:r w:rsidRPr="009B28BA">
              <w:rPr>
                <w:sz w:val="18"/>
                <w:szCs w:val="18"/>
              </w:rPr>
              <w:t>11</w:t>
            </w:r>
          </w:p>
        </w:tc>
        <w:tc>
          <w:tcPr>
            <w:tcW w:w="709" w:type="dxa"/>
            <w:tcBorders>
              <w:left w:val="single" w:sz="12" w:space="0" w:color="auto"/>
            </w:tcBorders>
            <w:vAlign w:val="center"/>
          </w:tcPr>
          <w:p w:rsidR="009B28BA" w:rsidRPr="009B28BA" w:rsidRDefault="009B28BA" w:rsidP="00492255">
            <w:pPr>
              <w:rPr>
                <w:sz w:val="18"/>
                <w:szCs w:val="18"/>
              </w:rPr>
            </w:pPr>
            <w:r w:rsidRPr="009B28BA">
              <w:rPr>
                <w:sz w:val="18"/>
                <w:szCs w:val="18"/>
              </w:rPr>
              <w:t>3</w:t>
            </w:r>
          </w:p>
        </w:tc>
        <w:tc>
          <w:tcPr>
            <w:tcW w:w="709" w:type="dxa"/>
            <w:vAlign w:val="center"/>
          </w:tcPr>
          <w:p w:rsidR="009B28BA" w:rsidRPr="009B28BA" w:rsidRDefault="009B28BA" w:rsidP="00492255">
            <w:pPr>
              <w:rPr>
                <w:sz w:val="18"/>
                <w:szCs w:val="18"/>
              </w:rPr>
            </w:pPr>
            <w:r w:rsidRPr="009B28BA">
              <w:rPr>
                <w:sz w:val="18"/>
                <w:szCs w:val="18"/>
              </w:rPr>
              <w:t>22</w:t>
            </w:r>
          </w:p>
        </w:tc>
        <w:tc>
          <w:tcPr>
            <w:tcW w:w="709" w:type="dxa"/>
            <w:vAlign w:val="center"/>
          </w:tcPr>
          <w:p w:rsidR="009B28BA" w:rsidRPr="009B28BA" w:rsidRDefault="009B28BA" w:rsidP="00492255">
            <w:pPr>
              <w:rPr>
                <w:sz w:val="18"/>
                <w:szCs w:val="18"/>
              </w:rPr>
            </w:pPr>
            <w:r w:rsidRPr="009B28BA">
              <w:rPr>
                <w:sz w:val="18"/>
                <w:szCs w:val="18"/>
              </w:rPr>
              <w:t>22</w:t>
            </w:r>
          </w:p>
        </w:tc>
        <w:tc>
          <w:tcPr>
            <w:tcW w:w="708" w:type="dxa"/>
            <w:vAlign w:val="center"/>
          </w:tcPr>
          <w:p w:rsidR="009B28BA" w:rsidRPr="009B28BA" w:rsidRDefault="009B28BA" w:rsidP="00492255">
            <w:pPr>
              <w:rPr>
                <w:sz w:val="18"/>
                <w:szCs w:val="18"/>
              </w:rPr>
            </w:pPr>
            <w:r w:rsidRPr="009B28BA">
              <w:rPr>
                <w:sz w:val="18"/>
                <w:szCs w:val="18"/>
              </w:rPr>
              <w:t>9</w:t>
            </w:r>
          </w:p>
        </w:tc>
      </w:tr>
      <w:tr w:rsidR="009B28BA" w:rsidTr="00492255">
        <w:trPr>
          <w:trHeight w:hRule="exact" w:val="415"/>
          <w:jc w:val="center"/>
        </w:trPr>
        <w:tc>
          <w:tcPr>
            <w:tcW w:w="10979" w:type="dxa"/>
            <w:gridSpan w:val="14"/>
            <w:vAlign w:val="center"/>
          </w:tcPr>
          <w:p w:rsidR="009B28BA" w:rsidRDefault="007B4FEF" w:rsidP="00492255">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9B28BA" w:rsidRDefault="009B28BA" w:rsidP="00FD3DF8">
      <w:pPr>
        <w:sectPr w:rsidR="009B28BA"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FD3DF8" w:rsidRDefault="00FD3DF8" w:rsidP="00FD3DF8"/>
    <w:p w:rsidR="00FD3DF8" w:rsidRDefault="00FD3DF8" w:rsidP="00FD3DF8"/>
    <w:p w:rsidR="009B28BA" w:rsidRPr="009B28BA" w:rsidRDefault="00092232" w:rsidP="00731E82">
      <w:pPr>
        <w:pStyle w:val="AnnexTable"/>
        <w:tabs>
          <w:tab w:val="clear" w:pos="2687"/>
          <w:tab w:val="num" w:pos="1440"/>
        </w:tabs>
        <w:ind w:left="1440" w:hanging="1440"/>
        <w:rPr>
          <w:rFonts w:cs="Arial"/>
          <w:szCs w:val="18"/>
        </w:rPr>
      </w:pPr>
      <w:r>
        <w:rPr>
          <w:rFonts w:cs="Arial"/>
          <w:szCs w:val="18"/>
        </w:rPr>
        <w:br w:type="page"/>
      </w:r>
      <w:bookmarkStart w:id="393" w:name="_Ref398126706"/>
      <w:bookmarkStart w:id="394" w:name="_Toc408908683"/>
      <w:r w:rsidR="009B28BA" w:rsidRPr="006829D4">
        <w:t>Existence of statutory provision for judicial authorities to make decisions which concern children directly or immediately enforceable</w:t>
      </w:r>
      <w:r w:rsidR="009B28BA">
        <w:t xml:space="preserve"> (</w:t>
      </w:r>
      <w:r w:rsidR="009B28BA" w:rsidRPr="006829D4">
        <w:t>CivAdm192</w:t>
      </w:r>
      <w:r w:rsidR="009B28BA">
        <w:t>)</w:t>
      </w:r>
      <w:bookmarkEnd w:id="393"/>
      <w:bookmarkEnd w:id="394"/>
    </w:p>
    <w:p w:rsidR="009B28BA" w:rsidRDefault="009B28BA" w:rsidP="00492255">
      <w:pPr>
        <w:pStyle w:val="TableTitle"/>
        <w:sectPr w:rsidR="009B28BA" w:rsidSect="002C3D52">
          <w:type w:val="continuous"/>
          <w:pgSz w:w="11907" w:h="16840" w:code="9"/>
          <w:pgMar w:top="1276" w:right="1418" w:bottom="851" w:left="1418" w:header="680" w:footer="567" w:gutter="0"/>
          <w:cols w:space="708"/>
          <w:docGrid w:linePitch="360"/>
        </w:sectPr>
      </w:pPr>
    </w:p>
    <w:tbl>
      <w:tblPr>
        <w:tblStyle w:val="Tabellenraster1"/>
        <w:tblW w:w="11069" w:type="dxa"/>
        <w:jc w:val="center"/>
        <w:tblLayout w:type="fixed"/>
        <w:tblLook w:val="04A0" w:firstRow="1" w:lastRow="0" w:firstColumn="1" w:lastColumn="0" w:noHBand="0" w:noVBand="1"/>
      </w:tblPr>
      <w:tblGrid>
        <w:gridCol w:w="1112"/>
        <w:gridCol w:w="720"/>
        <w:gridCol w:w="720"/>
        <w:gridCol w:w="720"/>
        <w:gridCol w:w="810"/>
        <w:gridCol w:w="810"/>
        <w:gridCol w:w="810"/>
        <w:gridCol w:w="810"/>
        <w:gridCol w:w="810"/>
        <w:gridCol w:w="912"/>
        <w:gridCol w:w="709"/>
        <w:gridCol w:w="709"/>
        <w:gridCol w:w="709"/>
        <w:gridCol w:w="708"/>
      </w:tblGrid>
      <w:tr w:rsidR="009B28BA" w:rsidRPr="00593387" w:rsidTr="00492255">
        <w:trPr>
          <w:cantSplit/>
          <w:trHeight w:hRule="exact" w:val="346"/>
          <w:tblHeader/>
          <w:jc w:val="center"/>
        </w:trPr>
        <w:tc>
          <w:tcPr>
            <w:tcW w:w="1112" w:type="dxa"/>
            <w:tcBorders>
              <w:right w:val="single" w:sz="12" w:space="0" w:color="auto"/>
            </w:tcBorders>
            <w:vAlign w:val="center"/>
          </w:tcPr>
          <w:p w:rsidR="009B28BA" w:rsidRDefault="009B28BA" w:rsidP="00492255">
            <w:pPr>
              <w:pStyle w:val="TableTitle"/>
            </w:pPr>
            <w:r>
              <w:t>MS</w:t>
            </w:r>
          </w:p>
        </w:tc>
        <w:tc>
          <w:tcPr>
            <w:tcW w:w="7122" w:type="dxa"/>
            <w:gridSpan w:val="9"/>
            <w:tcBorders>
              <w:left w:val="single" w:sz="12" w:space="0" w:color="auto"/>
              <w:right w:val="single" w:sz="12" w:space="0" w:color="auto"/>
            </w:tcBorders>
            <w:vAlign w:val="center"/>
          </w:tcPr>
          <w:p w:rsidR="009B28BA" w:rsidRDefault="009B28BA" w:rsidP="00492255">
            <w:pPr>
              <w:pStyle w:val="TableTitle"/>
            </w:pPr>
            <w:r>
              <w:t>Areas of law</w:t>
            </w:r>
          </w:p>
        </w:tc>
        <w:tc>
          <w:tcPr>
            <w:tcW w:w="2835" w:type="dxa"/>
            <w:gridSpan w:val="4"/>
            <w:tcBorders>
              <w:left w:val="single" w:sz="12" w:space="0" w:color="auto"/>
            </w:tcBorders>
            <w:vAlign w:val="center"/>
          </w:tcPr>
          <w:p w:rsidR="009B28BA" w:rsidRDefault="009B28BA" w:rsidP="00492255">
            <w:pPr>
              <w:pStyle w:val="TableTitle"/>
            </w:pPr>
            <w:r>
              <w:t>Roles of the child</w:t>
            </w:r>
          </w:p>
        </w:tc>
      </w:tr>
      <w:tr w:rsidR="009B28BA" w:rsidTr="00731E82">
        <w:trPr>
          <w:cantSplit/>
          <w:trHeight w:hRule="exact" w:val="1134"/>
          <w:tblHeader/>
          <w:jc w:val="center"/>
        </w:trPr>
        <w:tc>
          <w:tcPr>
            <w:tcW w:w="1112" w:type="dxa"/>
            <w:tcBorders>
              <w:right w:val="single" w:sz="12" w:space="0" w:color="auto"/>
            </w:tcBorders>
            <w:shd w:val="clear" w:color="auto" w:fill="DBE5F1" w:themeFill="accent1" w:themeFillTint="33"/>
            <w:vAlign w:val="center"/>
          </w:tcPr>
          <w:p w:rsidR="009B28BA" w:rsidRPr="00E217F3" w:rsidRDefault="009B28BA" w:rsidP="00492255">
            <w:pPr>
              <w:rPr>
                <w:b/>
              </w:rPr>
            </w:pPr>
          </w:p>
        </w:tc>
        <w:tc>
          <w:tcPr>
            <w:tcW w:w="720" w:type="dxa"/>
            <w:tcBorders>
              <w:left w:val="single" w:sz="12" w:space="0" w:color="auto"/>
            </w:tcBorders>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Fam</w:t>
            </w:r>
            <w:r>
              <w:rPr>
                <w:b/>
                <w:sz w:val="12"/>
                <w:szCs w:val="12"/>
              </w:rPr>
              <w:t>ily</w:t>
            </w:r>
          </w:p>
        </w:tc>
        <w:tc>
          <w:tcPr>
            <w:tcW w:w="72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Empl</w:t>
            </w:r>
            <w:r>
              <w:rPr>
                <w:b/>
                <w:sz w:val="12"/>
                <w:szCs w:val="12"/>
              </w:rPr>
              <w:t>oyment</w:t>
            </w:r>
          </w:p>
        </w:tc>
        <w:tc>
          <w:tcPr>
            <w:tcW w:w="72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Asyl</w:t>
            </w:r>
            <w:r>
              <w:rPr>
                <w:b/>
                <w:sz w:val="12"/>
                <w:szCs w:val="12"/>
              </w:rPr>
              <w:t>um</w:t>
            </w:r>
          </w:p>
        </w:tc>
        <w:tc>
          <w:tcPr>
            <w:tcW w:w="81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Migr</w:t>
            </w:r>
            <w:r>
              <w:rPr>
                <w:b/>
                <w:sz w:val="12"/>
                <w:szCs w:val="12"/>
              </w:rPr>
              <w:t>ation</w:t>
            </w:r>
          </w:p>
        </w:tc>
        <w:tc>
          <w:tcPr>
            <w:tcW w:w="81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Edu</w:t>
            </w:r>
            <w:r>
              <w:rPr>
                <w:b/>
                <w:sz w:val="12"/>
                <w:szCs w:val="12"/>
              </w:rPr>
              <w:t>cation</w:t>
            </w:r>
          </w:p>
        </w:tc>
        <w:tc>
          <w:tcPr>
            <w:tcW w:w="81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Health</w:t>
            </w:r>
          </w:p>
        </w:tc>
        <w:tc>
          <w:tcPr>
            <w:tcW w:w="81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Placem</w:t>
            </w:r>
            <w:r>
              <w:rPr>
                <w:b/>
                <w:sz w:val="12"/>
                <w:szCs w:val="12"/>
              </w:rPr>
              <w:t>ent</w:t>
            </w:r>
          </w:p>
        </w:tc>
        <w:tc>
          <w:tcPr>
            <w:tcW w:w="810"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Adm</w:t>
            </w:r>
            <w:r>
              <w:rPr>
                <w:b/>
                <w:sz w:val="12"/>
                <w:szCs w:val="12"/>
              </w:rPr>
              <w:t>in</w:t>
            </w:r>
            <w:r w:rsidRPr="00D65E66">
              <w:rPr>
                <w:b/>
                <w:sz w:val="12"/>
                <w:szCs w:val="12"/>
              </w:rPr>
              <w:t xml:space="preserve"> San</w:t>
            </w:r>
            <w:r>
              <w:rPr>
                <w:b/>
                <w:sz w:val="12"/>
                <w:szCs w:val="12"/>
              </w:rPr>
              <w:t>ctions</w:t>
            </w:r>
          </w:p>
        </w:tc>
        <w:tc>
          <w:tcPr>
            <w:tcW w:w="912" w:type="dxa"/>
            <w:tcBorders>
              <w:right w:val="single" w:sz="12" w:space="0" w:color="auto"/>
            </w:tcBorders>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Offences &lt;MACR</w:t>
            </w:r>
          </w:p>
        </w:tc>
        <w:tc>
          <w:tcPr>
            <w:tcW w:w="709" w:type="dxa"/>
            <w:tcBorders>
              <w:left w:val="single" w:sz="12" w:space="0" w:color="auto"/>
            </w:tcBorders>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W</w:t>
            </w:r>
            <w:r>
              <w:rPr>
                <w:b/>
                <w:sz w:val="12"/>
                <w:szCs w:val="12"/>
              </w:rPr>
              <w:t>itnesses</w:t>
            </w:r>
          </w:p>
        </w:tc>
        <w:tc>
          <w:tcPr>
            <w:tcW w:w="709"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P</w:t>
            </w:r>
            <w:r>
              <w:rPr>
                <w:b/>
                <w:sz w:val="12"/>
                <w:szCs w:val="12"/>
              </w:rPr>
              <w:t>laintiffs</w:t>
            </w:r>
          </w:p>
        </w:tc>
        <w:tc>
          <w:tcPr>
            <w:tcW w:w="709"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D</w:t>
            </w:r>
            <w:r>
              <w:rPr>
                <w:b/>
                <w:sz w:val="12"/>
                <w:szCs w:val="12"/>
              </w:rPr>
              <w:t>efendants</w:t>
            </w:r>
          </w:p>
        </w:tc>
        <w:tc>
          <w:tcPr>
            <w:tcW w:w="708" w:type="dxa"/>
            <w:shd w:val="clear" w:color="auto" w:fill="DBE5F1" w:themeFill="accent1" w:themeFillTint="33"/>
            <w:textDirection w:val="btLr"/>
            <w:vAlign w:val="center"/>
          </w:tcPr>
          <w:p w:rsidR="009B28BA" w:rsidRPr="00D65E66" w:rsidRDefault="009B28BA" w:rsidP="00492255">
            <w:pPr>
              <w:ind w:left="113" w:right="113"/>
              <w:rPr>
                <w:b/>
                <w:sz w:val="12"/>
                <w:szCs w:val="12"/>
              </w:rPr>
            </w:pPr>
            <w:r w:rsidRPr="00D65E66">
              <w:rPr>
                <w:b/>
                <w:sz w:val="12"/>
                <w:szCs w:val="12"/>
              </w:rPr>
              <w:t>S</w:t>
            </w:r>
            <w:r>
              <w:rPr>
                <w:b/>
                <w:sz w:val="12"/>
                <w:szCs w:val="12"/>
              </w:rPr>
              <w:t>ubjects</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AT</w:t>
            </w:r>
          </w:p>
        </w:tc>
        <w:tc>
          <w:tcPr>
            <w:tcW w:w="720" w:type="dxa"/>
            <w:tcBorders>
              <w:left w:val="single" w:sz="12" w:space="0" w:color="auto"/>
            </w:tcBorders>
          </w:tcPr>
          <w:p w:rsidR="009B28BA" w:rsidRDefault="009B28BA" w:rsidP="00492255">
            <w:r w:rsidRPr="009B1569">
              <w:rPr>
                <w:rFonts w:cs="Arial"/>
                <w:sz w:val="18"/>
                <w:szCs w:val="18"/>
              </w:rPr>
              <w:t>√</w:t>
            </w:r>
          </w:p>
        </w:tc>
        <w:tc>
          <w:tcPr>
            <w:tcW w:w="720" w:type="dxa"/>
          </w:tcPr>
          <w:p w:rsidR="009B28BA" w:rsidRDefault="009B28BA" w:rsidP="00492255">
            <w:r w:rsidRPr="009B1569">
              <w:rPr>
                <w:rFonts w:cs="Arial"/>
                <w:sz w:val="18"/>
                <w:szCs w:val="18"/>
              </w:rPr>
              <w:t>√</w:t>
            </w:r>
          </w:p>
        </w:tc>
        <w:tc>
          <w:tcPr>
            <w:tcW w:w="720" w:type="dxa"/>
          </w:tcPr>
          <w:p w:rsidR="009B28BA" w:rsidRDefault="009B28BA" w:rsidP="00492255">
            <w:r w:rsidRPr="009B1569">
              <w:rPr>
                <w:rFonts w:cs="Arial"/>
                <w:sz w:val="18"/>
                <w:szCs w:val="18"/>
              </w:rPr>
              <w:t>√</w:t>
            </w:r>
          </w:p>
        </w:tc>
        <w:tc>
          <w:tcPr>
            <w:tcW w:w="810" w:type="dxa"/>
          </w:tcPr>
          <w:p w:rsidR="009B28BA" w:rsidRDefault="009B28BA" w:rsidP="00492255">
            <w:r w:rsidRPr="009B1569">
              <w:rPr>
                <w:rFonts w:cs="Arial"/>
                <w:sz w:val="18"/>
                <w:szCs w:val="18"/>
              </w:rPr>
              <w:t>√</w:t>
            </w:r>
          </w:p>
        </w:tc>
        <w:tc>
          <w:tcPr>
            <w:tcW w:w="810" w:type="dxa"/>
          </w:tcPr>
          <w:p w:rsidR="009B28BA" w:rsidRDefault="009B28BA" w:rsidP="00492255">
            <w:r w:rsidRPr="009B1569">
              <w:rPr>
                <w:rFonts w:cs="Arial"/>
                <w:sz w:val="18"/>
                <w:szCs w:val="18"/>
              </w:rPr>
              <w:t>√</w:t>
            </w:r>
          </w:p>
        </w:tc>
        <w:tc>
          <w:tcPr>
            <w:tcW w:w="810" w:type="dxa"/>
          </w:tcPr>
          <w:p w:rsidR="009B28BA" w:rsidRDefault="009B28BA" w:rsidP="00492255">
            <w:r w:rsidRPr="009B1569">
              <w:rPr>
                <w:rFonts w:cs="Arial"/>
                <w:sz w:val="18"/>
                <w:szCs w:val="18"/>
              </w:rPr>
              <w:t>√</w:t>
            </w:r>
          </w:p>
        </w:tc>
        <w:tc>
          <w:tcPr>
            <w:tcW w:w="810" w:type="dxa"/>
          </w:tcPr>
          <w:p w:rsidR="009B28BA" w:rsidRDefault="009B28BA" w:rsidP="00492255">
            <w:r w:rsidRPr="009B1569">
              <w:rPr>
                <w:rFonts w:cs="Arial"/>
                <w:sz w:val="18"/>
                <w:szCs w:val="18"/>
              </w:rPr>
              <w:t>√</w:t>
            </w:r>
          </w:p>
        </w:tc>
        <w:tc>
          <w:tcPr>
            <w:tcW w:w="810" w:type="dxa"/>
          </w:tcPr>
          <w:p w:rsidR="009B28BA" w:rsidRDefault="009B28BA" w:rsidP="00492255">
            <w:r w:rsidRPr="009B1569">
              <w:rPr>
                <w:rFonts w:cs="Arial"/>
                <w:sz w:val="18"/>
                <w:szCs w:val="18"/>
              </w:rPr>
              <w:t>√</w:t>
            </w:r>
          </w:p>
        </w:tc>
        <w:tc>
          <w:tcPr>
            <w:tcW w:w="912" w:type="dxa"/>
            <w:tcBorders>
              <w:right w:val="single" w:sz="12" w:space="0" w:color="auto"/>
            </w:tcBorders>
          </w:tcPr>
          <w:p w:rsidR="009B28BA" w:rsidRDefault="009B28BA" w:rsidP="00492255">
            <w:r w:rsidRPr="009B1569">
              <w:rPr>
                <w:rFonts w:cs="Arial"/>
                <w:sz w:val="18"/>
                <w:szCs w:val="18"/>
              </w:rPr>
              <w:t>√</w:t>
            </w:r>
          </w:p>
        </w:tc>
        <w:tc>
          <w:tcPr>
            <w:tcW w:w="709" w:type="dxa"/>
            <w:tcBorders>
              <w:left w:val="single" w:sz="12" w:space="0" w:color="auto"/>
            </w:tcBorders>
          </w:tcPr>
          <w:p w:rsidR="009B28BA" w:rsidRDefault="009B28BA" w:rsidP="00492255">
            <w:r w:rsidRPr="00A96CEB">
              <w:rPr>
                <w:rFonts w:cs="Arial"/>
                <w:sz w:val="18"/>
                <w:szCs w:val="18"/>
              </w:rPr>
              <w:t>√</w:t>
            </w:r>
          </w:p>
        </w:tc>
        <w:tc>
          <w:tcPr>
            <w:tcW w:w="709" w:type="dxa"/>
          </w:tcPr>
          <w:p w:rsidR="009B28BA" w:rsidRDefault="009B28BA" w:rsidP="00492255">
            <w:r w:rsidRPr="00A96CEB">
              <w:rPr>
                <w:rFonts w:cs="Arial"/>
                <w:sz w:val="18"/>
                <w:szCs w:val="18"/>
              </w:rPr>
              <w:t>√</w:t>
            </w:r>
          </w:p>
        </w:tc>
        <w:tc>
          <w:tcPr>
            <w:tcW w:w="709" w:type="dxa"/>
          </w:tcPr>
          <w:p w:rsidR="009B28BA" w:rsidRDefault="009B28BA" w:rsidP="00492255">
            <w:r w:rsidRPr="00A96CEB">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BE</w:t>
            </w:r>
          </w:p>
        </w:tc>
        <w:tc>
          <w:tcPr>
            <w:tcW w:w="720" w:type="dxa"/>
            <w:tcBorders>
              <w:left w:val="single" w:sz="12" w:space="0" w:color="auto"/>
            </w:tcBorders>
          </w:tcPr>
          <w:p w:rsidR="009B28BA" w:rsidRDefault="009B28BA" w:rsidP="00492255">
            <w:r w:rsidRPr="000904EF">
              <w:rPr>
                <w:rFonts w:cs="Arial"/>
                <w:sz w:val="18"/>
                <w:szCs w:val="18"/>
              </w:rPr>
              <w:t>√</w:t>
            </w:r>
          </w:p>
        </w:tc>
        <w:tc>
          <w:tcPr>
            <w:tcW w:w="720" w:type="dxa"/>
          </w:tcPr>
          <w:p w:rsidR="009B28BA" w:rsidRDefault="009B28BA" w:rsidP="00492255">
            <w:r w:rsidRPr="000904EF">
              <w:rPr>
                <w:rFonts w:cs="Arial"/>
                <w:sz w:val="18"/>
                <w:szCs w:val="18"/>
              </w:rPr>
              <w:t>√</w:t>
            </w:r>
          </w:p>
        </w:tc>
        <w:tc>
          <w:tcPr>
            <w:tcW w:w="720" w:type="dxa"/>
          </w:tcPr>
          <w:p w:rsidR="009B28BA" w:rsidRDefault="009B28BA" w:rsidP="00492255">
            <w:r w:rsidRPr="000904EF">
              <w:rPr>
                <w:rFonts w:cs="Arial"/>
                <w:sz w:val="18"/>
                <w:szCs w:val="18"/>
              </w:rPr>
              <w:t>√</w:t>
            </w:r>
          </w:p>
        </w:tc>
        <w:tc>
          <w:tcPr>
            <w:tcW w:w="810" w:type="dxa"/>
          </w:tcPr>
          <w:p w:rsidR="009B28BA" w:rsidRDefault="009B28BA" w:rsidP="00492255">
            <w:r w:rsidRPr="000904EF">
              <w:rPr>
                <w:rFonts w:cs="Arial"/>
                <w:sz w:val="18"/>
                <w:szCs w:val="18"/>
              </w:rPr>
              <w:t>√</w:t>
            </w:r>
          </w:p>
        </w:tc>
        <w:tc>
          <w:tcPr>
            <w:tcW w:w="810" w:type="dxa"/>
          </w:tcPr>
          <w:p w:rsidR="009B28BA" w:rsidRDefault="009B28BA" w:rsidP="00492255">
            <w:r w:rsidRPr="000904EF">
              <w:rPr>
                <w:rFonts w:cs="Arial"/>
                <w:sz w:val="18"/>
                <w:szCs w:val="18"/>
              </w:rPr>
              <w:t>√</w:t>
            </w:r>
          </w:p>
        </w:tc>
        <w:tc>
          <w:tcPr>
            <w:tcW w:w="810" w:type="dxa"/>
          </w:tcPr>
          <w:p w:rsidR="009B28BA" w:rsidRDefault="009B28BA" w:rsidP="00492255">
            <w:r w:rsidRPr="000904EF">
              <w:rPr>
                <w:rFonts w:cs="Arial"/>
                <w:sz w:val="18"/>
                <w:szCs w:val="18"/>
              </w:rPr>
              <w:t>√</w:t>
            </w:r>
          </w:p>
        </w:tc>
        <w:tc>
          <w:tcPr>
            <w:tcW w:w="810" w:type="dxa"/>
          </w:tcPr>
          <w:p w:rsidR="009B28BA" w:rsidRDefault="009B28BA" w:rsidP="00492255">
            <w:r w:rsidRPr="000904EF">
              <w:rPr>
                <w:rFonts w:cs="Arial"/>
                <w:sz w:val="18"/>
                <w:szCs w:val="18"/>
              </w:rPr>
              <w:t>√</w:t>
            </w:r>
          </w:p>
        </w:tc>
        <w:tc>
          <w:tcPr>
            <w:tcW w:w="810" w:type="dxa"/>
          </w:tcPr>
          <w:p w:rsidR="009B28BA" w:rsidRDefault="009B28BA" w:rsidP="00492255">
            <w:r w:rsidRPr="000904EF">
              <w:rPr>
                <w:rFonts w:cs="Arial"/>
                <w:sz w:val="18"/>
                <w:szCs w:val="18"/>
              </w:rPr>
              <w:t>√</w:t>
            </w:r>
          </w:p>
        </w:tc>
        <w:tc>
          <w:tcPr>
            <w:tcW w:w="912" w:type="dxa"/>
            <w:tcBorders>
              <w:right w:val="single" w:sz="12" w:space="0" w:color="auto"/>
            </w:tcBorders>
          </w:tcPr>
          <w:p w:rsidR="009B28BA" w:rsidRDefault="009B28BA" w:rsidP="00492255">
            <w:r w:rsidRPr="000904EF">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326F73">
              <w:rPr>
                <w:rFonts w:cs="Arial"/>
                <w:sz w:val="18"/>
                <w:szCs w:val="18"/>
              </w:rPr>
              <w:t>√</w:t>
            </w:r>
          </w:p>
        </w:tc>
        <w:tc>
          <w:tcPr>
            <w:tcW w:w="709" w:type="dxa"/>
          </w:tcPr>
          <w:p w:rsidR="009B28BA" w:rsidRDefault="009B28BA" w:rsidP="00492255">
            <w:r w:rsidRPr="00326F73">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BG</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CY</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CZ</w:t>
            </w:r>
          </w:p>
        </w:tc>
        <w:tc>
          <w:tcPr>
            <w:tcW w:w="720" w:type="dxa"/>
            <w:tcBorders>
              <w:left w:val="single" w:sz="12" w:space="0" w:color="auto"/>
            </w:tcBorders>
          </w:tcPr>
          <w:p w:rsidR="009B28BA" w:rsidRDefault="009B28BA" w:rsidP="00492255">
            <w:r w:rsidRPr="001C6208">
              <w:rPr>
                <w:rFonts w:cs="Arial"/>
                <w:sz w:val="18"/>
                <w:szCs w:val="18"/>
              </w:rPr>
              <w:t>√</w:t>
            </w:r>
          </w:p>
        </w:tc>
        <w:tc>
          <w:tcPr>
            <w:tcW w:w="720" w:type="dxa"/>
          </w:tcPr>
          <w:p w:rsidR="009B28BA" w:rsidRDefault="009B28BA" w:rsidP="00492255">
            <w:r w:rsidRPr="001C6208">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7125BA">
              <w:rPr>
                <w:rFonts w:cs="Arial"/>
                <w:sz w:val="18"/>
                <w:szCs w:val="18"/>
              </w:rPr>
              <w:t>√</w:t>
            </w:r>
          </w:p>
        </w:tc>
        <w:tc>
          <w:tcPr>
            <w:tcW w:w="709" w:type="dxa"/>
          </w:tcPr>
          <w:p w:rsidR="009B28BA" w:rsidRDefault="009B28BA" w:rsidP="00492255">
            <w:r w:rsidRPr="007125BA">
              <w:rPr>
                <w:rFonts w:cs="Arial"/>
                <w:sz w:val="18"/>
                <w:szCs w:val="18"/>
              </w:rPr>
              <w:t>√</w:t>
            </w:r>
          </w:p>
        </w:tc>
        <w:tc>
          <w:tcPr>
            <w:tcW w:w="708" w:type="dxa"/>
          </w:tcPr>
          <w:p w:rsidR="009B28BA" w:rsidRDefault="009B28BA" w:rsidP="00492255">
            <w:r w:rsidRPr="007125BA">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DE</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DK</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EE</w:t>
            </w:r>
          </w:p>
        </w:tc>
        <w:tc>
          <w:tcPr>
            <w:tcW w:w="720" w:type="dxa"/>
            <w:tcBorders>
              <w:left w:val="single" w:sz="12" w:space="0" w:color="auto"/>
            </w:tcBorders>
          </w:tcPr>
          <w:p w:rsidR="009B28BA" w:rsidRDefault="009B28BA" w:rsidP="00492255">
            <w:r w:rsidRPr="00624FAD">
              <w:rPr>
                <w:rFonts w:cs="Arial"/>
                <w:sz w:val="18"/>
                <w:szCs w:val="18"/>
              </w:rPr>
              <w:t>√</w:t>
            </w:r>
          </w:p>
        </w:tc>
        <w:tc>
          <w:tcPr>
            <w:tcW w:w="720" w:type="dxa"/>
          </w:tcPr>
          <w:p w:rsidR="009B28BA" w:rsidRDefault="009B28BA" w:rsidP="00492255">
            <w:r w:rsidRPr="00624FAD">
              <w:rPr>
                <w:rFonts w:cs="Arial"/>
                <w:sz w:val="18"/>
                <w:szCs w:val="18"/>
              </w:rPr>
              <w:t>√</w:t>
            </w:r>
          </w:p>
        </w:tc>
        <w:tc>
          <w:tcPr>
            <w:tcW w:w="720" w:type="dxa"/>
          </w:tcPr>
          <w:p w:rsidR="009B28BA" w:rsidRDefault="009B28BA" w:rsidP="00492255">
            <w:r w:rsidRPr="00624FAD">
              <w:rPr>
                <w:rFonts w:cs="Arial"/>
                <w:sz w:val="18"/>
                <w:szCs w:val="18"/>
              </w:rPr>
              <w:t>√</w:t>
            </w:r>
          </w:p>
        </w:tc>
        <w:tc>
          <w:tcPr>
            <w:tcW w:w="810" w:type="dxa"/>
          </w:tcPr>
          <w:p w:rsidR="009B28BA" w:rsidRDefault="009B28BA" w:rsidP="00492255">
            <w:r w:rsidRPr="00624FAD">
              <w:rPr>
                <w:rFonts w:cs="Arial"/>
                <w:sz w:val="18"/>
                <w:szCs w:val="18"/>
              </w:rPr>
              <w:t>√</w:t>
            </w:r>
          </w:p>
        </w:tc>
        <w:tc>
          <w:tcPr>
            <w:tcW w:w="810" w:type="dxa"/>
          </w:tcPr>
          <w:p w:rsidR="009B28BA" w:rsidRDefault="009B28BA" w:rsidP="00492255">
            <w:r w:rsidRPr="00624FAD">
              <w:rPr>
                <w:rFonts w:cs="Arial"/>
                <w:sz w:val="18"/>
                <w:szCs w:val="18"/>
              </w:rPr>
              <w:t>√</w:t>
            </w:r>
          </w:p>
        </w:tc>
        <w:tc>
          <w:tcPr>
            <w:tcW w:w="810" w:type="dxa"/>
          </w:tcPr>
          <w:p w:rsidR="009B28BA" w:rsidRDefault="009B28BA" w:rsidP="00492255">
            <w:r w:rsidRPr="00624FAD">
              <w:rPr>
                <w:rFonts w:cs="Arial"/>
                <w:sz w:val="18"/>
                <w:szCs w:val="18"/>
              </w:rPr>
              <w:t>√</w:t>
            </w:r>
          </w:p>
        </w:tc>
        <w:tc>
          <w:tcPr>
            <w:tcW w:w="810" w:type="dxa"/>
          </w:tcPr>
          <w:p w:rsidR="009B28BA" w:rsidRDefault="009B28BA" w:rsidP="00492255">
            <w:r w:rsidRPr="00624FAD">
              <w:rPr>
                <w:rFonts w:cs="Arial"/>
                <w:sz w:val="18"/>
                <w:szCs w:val="18"/>
              </w:rPr>
              <w:t>√</w:t>
            </w:r>
          </w:p>
        </w:tc>
        <w:tc>
          <w:tcPr>
            <w:tcW w:w="810" w:type="dxa"/>
          </w:tcPr>
          <w:p w:rsidR="009B28BA" w:rsidRDefault="009B28BA" w:rsidP="00492255">
            <w:r w:rsidRPr="00624FAD">
              <w:rPr>
                <w:rFonts w:cs="Arial"/>
                <w:sz w:val="18"/>
                <w:szCs w:val="18"/>
              </w:rPr>
              <w:t>√</w:t>
            </w:r>
          </w:p>
        </w:tc>
        <w:tc>
          <w:tcPr>
            <w:tcW w:w="912" w:type="dxa"/>
            <w:tcBorders>
              <w:right w:val="single" w:sz="12" w:space="0" w:color="auto"/>
            </w:tcBorders>
          </w:tcPr>
          <w:p w:rsidR="009B28BA" w:rsidRDefault="009B28BA" w:rsidP="00492255">
            <w:r w:rsidRPr="00624FAD">
              <w:rPr>
                <w:rFonts w:cs="Arial"/>
                <w:sz w:val="18"/>
                <w:szCs w:val="18"/>
              </w:rPr>
              <w:t>√</w:t>
            </w:r>
          </w:p>
        </w:tc>
        <w:tc>
          <w:tcPr>
            <w:tcW w:w="709" w:type="dxa"/>
            <w:tcBorders>
              <w:left w:val="single" w:sz="12" w:space="0" w:color="auto"/>
            </w:tcBorders>
          </w:tcPr>
          <w:p w:rsidR="009B28BA" w:rsidRDefault="009B28BA" w:rsidP="00492255">
            <w:r w:rsidRPr="00C1755D">
              <w:rPr>
                <w:rFonts w:cs="Arial"/>
                <w:sz w:val="18"/>
                <w:szCs w:val="18"/>
              </w:rPr>
              <w:t>√</w:t>
            </w:r>
          </w:p>
        </w:tc>
        <w:tc>
          <w:tcPr>
            <w:tcW w:w="709" w:type="dxa"/>
          </w:tcPr>
          <w:p w:rsidR="009B28BA" w:rsidRDefault="009B28BA" w:rsidP="00492255">
            <w:r w:rsidRPr="00C1755D">
              <w:rPr>
                <w:rFonts w:cs="Arial"/>
                <w:sz w:val="18"/>
                <w:szCs w:val="18"/>
              </w:rPr>
              <w:t>√</w:t>
            </w:r>
          </w:p>
        </w:tc>
        <w:tc>
          <w:tcPr>
            <w:tcW w:w="709" w:type="dxa"/>
          </w:tcPr>
          <w:p w:rsidR="009B28BA" w:rsidRDefault="009B28BA" w:rsidP="00492255">
            <w:r w:rsidRPr="00C1755D">
              <w:rPr>
                <w:rFonts w:cs="Arial"/>
                <w:sz w:val="18"/>
                <w:szCs w:val="18"/>
              </w:rPr>
              <w:t>√</w:t>
            </w:r>
          </w:p>
        </w:tc>
        <w:tc>
          <w:tcPr>
            <w:tcW w:w="708" w:type="dxa"/>
          </w:tcPr>
          <w:p w:rsidR="009B28BA" w:rsidRDefault="009B28BA" w:rsidP="00492255">
            <w:r w:rsidRPr="00C1755D">
              <w:rPr>
                <w:rFonts w:cs="Arial"/>
                <w:sz w:val="18"/>
                <w:szCs w:val="18"/>
              </w:rPr>
              <w:t>√</w:t>
            </w:r>
            <w:r>
              <w:rPr>
                <w:rStyle w:val="EndnoteReference"/>
                <w:rFonts w:cs="Arial"/>
                <w:sz w:val="18"/>
                <w:szCs w:val="18"/>
              </w:rPr>
              <w:endnoteReference w:id="425"/>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EL</w:t>
            </w:r>
          </w:p>
        </w:tc>
        <w:tc>
          <w:tcPr>
            <w:tcW w:w="720" w:type="dxa"/>
            <w:tcBorders>
              <w:left w:val="single" w:sz="12" w:space="0" w:color="auto"/>
            </w:tcBorders>
          </w:tcPr>
          <w:p w:rsidR="009B28BA" w:rsidRDefault="009B28BA" w:rsidP="00492255">
            <w:r w:rsidRPr="009C1498">
              <w:rPr>
                <w:rFonts w:cs="Arial"/>
                <w:sz w:val="18"/>
                <w:szCs w:val="18"/>
              </w:rPr>
              <w:t>√</w:t>
            </w:r>
          </w:p>
        </w:tc>
        <w:tc>
          <w:tcPr>
            <w:tcW w:w="720" w:type="dxa"/>
          </w:tcPr>
          <w:p w:rsidR="009B28BA" w:rsidRDefault="009B28BA" w:rsidP="00492255">
            <w:r w:rsidRPr="009C1498">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EC7FE2">
              <w:rPr>
                <w:rFonts w:cs="Arial"/>
                <w:sz w:val="18"/>
                <w:szCs w:val="18"/>
              </w:rPr>
              <w:t>√</w:t>
            </w:r>
          </w:p>
        </w:tc>
        <w:tc>
          <w:tcPr>
            <w:tcW w:w="709" w:type="dxa"/>
          </w:tcPr>
          <w:p w:rsidR="009B28BA" w:rsidRDefault="009B28BA" w:rsidP="00492255">
            <w:r w:rsidRPr="00EC7FE2">
              <w:rPr>
                <w:rFonts w:cs="Arial"/>
                <w:sz w:val="18"/>
                <w:szCs w:val="18"/>
              </w:rPr>
              <w:t>√</w:t>
            </w:r>
          </w:p>
        </w:tc>
        <w:tc>
          <w:tcPr>
            <w:tcW w:w="708" w:type="dxa"/>
          </w:tcPr>
          <w:p w:rsidR="009B28BA" w:rsidRDefault="009B28BA" w:rsidP="00492255">
            <w:r w:rsidRPr="00EC7FE2">
              <w:rPr>
                <w:rFonts w:cs="Arial"/>
                <w:sz w:val="18"/>
                <w:szCs w:val="18"/>
              </w:rPr>
              <w:t>√</w:t>
            </w:r>
            <w:r>
              <w:rPr>
                <w:rStyle w:val="EndnoteReference"/>
                <w:rFonts w:cs="Arial"/>
                <w:sz w:val="18"/>
                <w:szCs w:val="18"/>
              </w:rPr>
              <w:endnoteReference w:id="426"/>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ES</w:t>
            </w:r>
          </w:p>
        </w:tc>
        <w:tc>
          <w:tcPr>
            <w:tcW w:w="72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vAlign w:val="center"/>
          </w:tcPr>
          <w:p w:rsidR="009B28BA" w:rsidRDefault="009B28BA" w:rsidP="00492255">
            <w:r>
              <w:rPr>
                <w:rFonts w:cs="Arial"/>
                <w:sz w:val="18"/>
                <w:szCs w:val="18"/>
              </w:rPr>
              <w:t>√</w:t>
            </w:r>
            <w:r>
              <w:rPr>
                <w:rStyle w:val="EndnoteReference"/>
                <w:rFonts w:cs="Arial"/>
                <w:sz w:val="18"/>
                <w:szCs w:val="18"/>
              </w:rPr>
              <w:endnoteReference w:id="427"/>
            </w:r>
          </w:p>
        </w:tc>
        <w:tc>
          <w:tcPr>
            <w:tcW w:w="709" w:type="dxa"/>
            <w:vAlign w:val="center"/>
          </w:tcPr>
          <w:p w:rsidR="009B28BA" w:rsidRDefault="009B28BA" w:rsidP="00492255">
            <w:r>
              <w:rPr>
                <w:rFonts w:cs="Arial"/>
                <w:sz w:val="18"/>
                <w:szCs w:val="18"/>
              </w:rPr>
              <w:t>√</w:t>
            </w:r>
          </w:p>
        </w:tc>
        <w:tc>
          <w:tcPr>
            <w:tcW w:w="709" w:type="dxa"/>
            <w:vAlign w:val="center"/>
          </w:tcPr>
          <w:p w:rsidR="009B28BA" w:rsidRDefault="009B28BA" w:rsidP="00492255">
            <w:r>
              <w:rPr>
                <w:rFonts w:cs="Arial"/>
                <w:sz w:val="18"/>
                <w:szCs w:val="18"/>
              </w:rPr>
              <w:t>√</w:t>
            </w:r>
            <w:r>
              <w:rPr>
                <w:rStyle w:val="EndnoteReference"/>
                <w:rFonts w:cs="Arial"/>
                <w:sz w:val="18"/>
                <w:szCs w:val="18"/>
              </w:rPr>
              <w:endnoteReference w:id="428"/>
            </w:r>
          </w:p>
        </w:tc>
        <w:tc>
          <w:tcPr>
            <w:tcW w:w="708" w:type="dxa"/>
            <w:vAlign w:val="center"/>
          </w:tcPr>
          <w:p w:rsidR="009B28BA" w:rsidRDefault="009B28BA" w:rsidP="00492255">
            <w:r>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FI</w:t>
            </w:r>
          </w:p>
        </w:tc>
        <w:tc>
          <w:tcPr>
            <w:tcW w:w="72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vAlign w:val="center"/>
          </w:tcPr>
          <w:p w:rsidR="009B28BA" w:rsidRPr="00E217F3" w:rsidRDefault="009B28BA" w:rsidP="00492255">
            <w:pPr>
              <w:rPr>
                <w:sz w:val="18"/>
                <w:szCs w:val="18"/>
              </w:rPr>
            </w:pPr>
            <w:r>
              <w:rPr>
                <w:rFonts w:cs="Arial"/>
                <w:sz w:val="18"/>
                <w:szCs w:val="18"/>
              </w:rPr>
              <w:t>√</w:t>
            </w:r>
          </w:p>
        </w:tc>
        <w:tc>
          <w:tcPr>
            <w:tcW w:w="810" w:type="dxa"/>
            <w:vAlign w:val="center"/>
          </w:tcPr>
          <w:p w:rsidR="009B28BA" w:rsidRPr="00E217F3" w:rsidRDefault="009B28BA" w:rsidP="00492255">
            <w:pPr>
              <w:rPr>
                <w:sz w:val="18"/>
                <w:szCs w:val="18"/>
              </w:rPr>
            </w:pPr>
            <w:r>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vAlign w:val="center"/>
          </w:tcPr>
          <w:p w:rsidR="009B28BA" w:rsidRPr="00E217F3" w:rsidRDefault="009B28BA" w:rsidP="00492255">
            <w:pPr>
              <w:rPr>
                <w:sz w:val="18"/>
                <w:szCs w:val="18"/>
              </w:rPr>
            </w:pPr>
            <w:r>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vAlign w:val="center"/>
          </w:tcPr>
          <w:p w:rsidR="009B28BA" w:rsidRDefault="009B28BA" w:rsidP="00492255">
            <w:r>
              <w:rPr>
                <w:rFonts w:cs="Arial"/>
                <w:sz w:val="18"/>
                <w:szCs w:val="18"/>
              </w:rPr>
              <w:t>√</w:t>
            </w:r>
          </w:p>
        </w:tc>
        <w:tc>
          <w:tcPr>
            <w:tcW w:w="709" w:type="dxa"/>
            <w:shd w:val="clear" w:color="auto" w:fill="D9D9D9" w:themeFill="background1" w:themeFillShade="D9"/>
            <w:vAlign w:val="center"/>
          </w:tcPr>
          <w:p w:rsidR="009B28BA" w:rsidRDefault="009B28BA" w:rsidP="00492255"/>
        </w:tc>
        <w:tc>
          <w:tcPr>
            <w:tcW w:w="708" w:type="dxa"/>
            <w:vAlign w:val="center"/>
          </w:tcPr>
          <w:p w:rsidR="009B28BA" w:rsidRDefault="009B28BA" w:rsidP="00492255">
            <w:r>
              <w:rPr>
                <w:rFonts w:cs="Arial"/>
                <w:sz w:val="18"/>
                <w:szCs w:val="18"/>
              </w:rPr>
              <w:t>√</w:t>
            </w:r>
            <w:r>
              <w:rPr>
                <w:rStyle w:val="EndnoteReference"/>
                <w:rFonts w:cs="Arial"/>
                <w:sz w:val="18"/>
                <w:szCs w:val="18"/>
              </w:rPr>
              <w:endnoteReference w:id="429"/>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FR</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HR</w:t>
            </w:r>
          </w:p>
        </w:tc>
        <w:tc>
          <w:tcPr>
            <w:tcW w:w="72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tcPr>
          <w:p w:rsidR="009B28BA" w:rsidRDefault="009B28BA" w:rsidP="00492255">
            <w:r w:rsidRPr="001C19E4">
              <w:rPr>
                <w:rFonts w:cs="Arial"/>
                <w:sz w:val="18"/>
                <w:szCs w:val="18"/>
              </w:rPr>
              <w:t>√</w:t>
            </w:r>
          </w:p>
        </w:tc>
        <w:tc>
          <w:tcPr>
            <w:tcW w:w="810" w:type="dxa"/>
          </w:tcPr>
          <w:p w:rsidR="009B28BA" w:rsidRDefault="009B28BA" w:rsidP="00492255">
            <w:r w:rsidRPr="001C19E4">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tcPr>
          <w:p w:rsidR="009B28BA" w:rsidRDefault="009B28BA" w:rsidP="00492255">
            <w:r w:rsidRPr="008C1221">
              <w:rPr>
                <w:rFonts w:cs="Arial"/>
                <w:sz w:val="18"/>
                <w:szCs w:val="18"/>
              </w:rPr>
              <w:t>√</w:t>
            </w:r>
          </w:p>
        </w:tc>
        <w:tc>
          <w:tcPr>
            <w:tcW w:w="810" w:type="dxa"/>
          </w:tcPr>
          <w:p w:rsidR="009B28BA" w:rsidRDefault="009B28BA" w:rsidP="00492255">
            <w:r w:rsidRPr="008C1221">
              <w:rPr>
                <w:rFonts w:cs="Arial"/>
                <w:sz w:val="18"/>
                <w:szCs w:val="18"/>
              </w:rPr>
              <w:t>√</w:t>
            </w:r>
          </w:p>
        </w:tc>
        <w:tc>
          <w:tcPr>
            <w:tcW w:w="912" w:type="dxa"/>
            <w:tcBorders>
              <w:right w:val="single" w:sz="12" w:space="0" w:color="auto"/>
            </w:tcBorders>
          </w:tcPr>
          <w:p w:rsidR="009B28BA" w:rsidRDefault="009B28BA" w:rsidP="00492255">
            <w:r w:rsidRPr="008C1221">
              <w:rPr>
                <w:rFonts w:cs="Arial"/>
                <w:sz w:val="18"/>
                <w:szCs w:val="18"/>
              </w:rPr>
              <w:t>√</w:t>
            </w:r>
          </w:p>
        </w:tc>
        <w:tc>
          <w:tcPr>
            <w:tcW w:w="709" w:type="dxa"/>
            <w:tcBorders>
              <w:left w:val="single" w:sz="12" w:space="0" w:color="auto"/>
            </w:tcBorders>
          </w:tcPr>
          <w:p w:rsidR="009B28BA" w:rsidRDefault="009B28BA" w:rsidP="00492255">
            <w:r w:rsidRPr="0016164B">
              <w:rPr>
                <w:rFonts w:cs="Arial"/>
                <w:sz w:val="18"/>
                <w:szCs w:val="18"/>
              </w:rPr>
              <w:t>√</w:t>
            </w:r>
            <w:r>
              <w:rPr>
                <w:rStyle w:val="EndnoteReference"/>
                <w:rFonts w:cs="Arial"/>
                <w:sz w:val="18"/>
                <w:szCs w:val="18"/>
              </w:rPr>
              <w:endnoteReference w:id="430"/>
            </w:r>
          </w:p>
        </w:tc>
        <w:tc>
          <w:tcPr>
            <w:tcW w:w="709" w:type="dxa"/>
          </w:tcPr>
          <w:p w:rsidR="009B28BA" w:rsidRDefault="009B28BA" w:rsidP="00492255">
            <w:r w:rsidRPr="0016164B">
              <w:rPr>
                <w:rFonts w:cs="Arial"/>
                <w:sz w:val="18"/>
                <w:szCs w:val="18"/>
              </w:rPr>
              <w:t>√</w:t>
            </w:r>
            <w:r>
              <w:rPr>
                <w:rStyle w:val="EndnoteReference"/>
                <w:rFonts w:cs="Arial"/>
                <w:sz w:val="18"/>
                <w:szCs w:val="18"/>
              </w:rPr>
              <w:endnoteReference w:id="431"/>
            </w:r>
          </w:p>
        </w:tc>
        <w:tc>
          <w:tcPr>
            <w:tcW w:w="709" w:type="dxa"/>
          </w:tcPr>
          <w:p w:rsidR="009B28BA" w:rsidRDefault="009B28BA" w:rsidP="00492255">
            <w:r w:rsidRPr="0016164B">
              <w:rPr>
                <w:rFonts w:cs="Arial"/>
                <w:sz w:val="18"/>
                <w:szCs w:val="18"/>
              </w:rPr>
              <w:t>√</w:t>
            </w:r>
            <w:r>
              <w:rPr>
                <w:rStyle w:val="EndnoteReference"/>
                <w:rFonts w:cs="Arial"/>
                <w:sz w:val="18"/>
                <w:szCs w:val="18"/>
              </w:rPr>
              <w:endnoteReference w:id="432"/>
            </w:r>
          </w:p>
        </w:tc>
        <w:tc>
          <w:tcPr>
            <w:tcW w:w="708" w:type="dxa"/>
          </w:tcPr>
          <w:p w:rsidR="009B28BA" w:rsidRDefault="009B28BA" w:rsidP="00492255">
            <w:r w:rsidRPr="0016164B">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HU</w:t>
            </w:r>
          </w:p>
        </w:tc>
        <w:tc>
          <w:tcPr>
            <w:tcW w:w="720" w:type="dxa"/>
            <w:tcBorders>
              <w:left w:val="single" w:sz="12" w:space="0" w:color="auto"/>
            </w:tcBorders>
            <w:vAlign w:val="center"/>
          </w:tcPr>
          <w:p w:rsidR="009B28BA" w:rsidRPr="00E217F3" w:rsidRDefault="009B28BA" w:rsidP="00492255">
            <w:pPr>
              <w:rPr>
                <w:sz w:val="18"/>
                <w:szCs w:val="18"/>
              </w:rPr>
            </w:pPr>
            <w:r>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vAlign w:val="center"/>
          </w:tcPr>
          <w:p w:rsidR="009B28BA" w:rsidRDefault="009B28BA" w:rsidP="00492255">
            <w:r>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IE</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IT</w:t>
            </w:r>
          </w:p>
        </w:tc>
        <w:tc>
          <w:tcPr>
            <w:tcW w:w="720" w:type="dxa"/>
            <w:tcBorders>
              <w:left w:val="single" w:sz="12" w:space="0" w:color="auto"/>
            </w:tcBorders>
          </w:tcPr>
          <w:p w:rsidR="009B28BA" w:rsidRDefault="009B28BA" w:rsidP="00492255">
            <w:r w:rsidRPr="004072CE">
              <w:rPr>
                <w:rFonts w:cs="Arial"/>
                <w:sz w:val="18"/>
                <w:szCs w:val="18"/>
              </w:rPr>
              <w:t>√</w:t>
            </w:r>
          </w:p>
        </w:tc>
        <w:tc>
          <w:tcPr>
            <w:tcW w:w="720" w:type="dxa"/>
          </w:tcPr>
          <w:p w:rsidR="009B28BA" w:rsidRDefault="009B28BA" w:rsidP="00492255">
            <w:r w:rsidRPr="004072CE">
              <w:rPr>
                <w:rFonts w:cs="Arial"/>
                <w:sz w:val="18"/>
                <w:szCs w:val="18"/>
              </w:rPr>
              <w:t>√</w:t>
            </w:r>
          </w:p>
        </w:tc>
        <w:tc>
          <w:tcPr>
            <w:tcW w:w="720" w:type="dxa"/>
          </w:tcPr>
          <w:p w:rsidR="009B28BA" w:rsidRDefault="009B28BA" w:rsidP="00492255">
            <w:r w:rsidRPr="004072CE">
              <w:rPr>
                <w:rFonts w:cs="Arial"/>
                <w:sz w:val="18"/>
                <w:szCs w:val="18"/>
              </w:rPr>
              <w:t>√</w:t>
            </w:r>
          </w:p>
        </w:tc>
        <w:tc>
          <w:tcPr>
            <w:tcW w:w="810" w:type="dxa"/>
          </w:tcPr>
          <w:p w:rsidR="009B28BA" w:rsidRDefault="009B28BA" w:rsidP="00492255">
            <w:r w:rsidRPr="004072CE">
              <w:rPr>
                <w:rFonts w:cs="Arial"/>
                <w:sz w:val="18"/>
                <w:szCs w:val="18"/>
              </w:rPr>
              <w:t>√</w:t>
            </w:r>
          </w:p>
        </w:tc>
        <w:tc>
          <w:tcPr>
            <w:tcW w:w="810" w:type="dxa"/>
          </w:tcPr>
          <w:p w:rsidR="009B28BA" w:rsidRDefault="009B28BA" w:rsidP="00492255">
            <w:r w:rsidRPr="004072CE">
              <w:rPr>
                <w:rFonts w:cs="Arial"/>
                <w:sz w:val="18"/>
                <w:szCs w:val="18"/>
              </w:rPr>
              <w:t>√</w:t>
            </w:r>
          </w:p>
        </w:tc>
        <w:tc>
          <w:tcPr>
            <w:tcW w:w="810" w:type="dxa"/>
          </w:tcPr>
          <w:p w:rsidR="009B28BA" w:rsidRDefault="009B28BA" w:rsidP="00492255">
            <w:r w:rsidRPr="004072CE">
              <w:rPr>
                <w:rFonts w:cs="Arial"/>
                <w:sz w:val="18"/>
                <w:szCs w:val="18"/>
              </w:rPr>
              <w:t>√</w:t>
            </w:r>
          </w:p>
        </w:tc>
        <w:tc>
          <w:tcPr>
            <w:tcW w:w="810" w:type="dxa"/>
          </w:tcPr>
          <w:p w:rsidR="009B28BA" w:rsidRDefault="009B28BA" w:rsidP="00492255">
            <w:r w:rsidRPr="004072CE">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vAlign w:val="center"/>
          </w:tcPr>
          <w:p w:rsidR="009B28BA" w:rsidRPr="00E217F3" w:rsidRDefault="009B28BA" w:rsidP="00492255">
            <w:pPr>
              <w:rPr>
                <w:sz w:val="18"/>
                <w:szCs w:val="18"/>
              </w:rPr>
            </w:pPr>
            <w:r>
              <w:rPr>
                <w:rFonts w:cs="Arial"/>
                <w:sz w:val="18"/>
                <w:szCs w:val="18"/>
              </w:rPr>
              <w:t>√</w:t>
            </w:r>
          </w:p>
        </w:tc>
        <w:tc>
          <w:tcPr>
            <w:tcW w:w="709" w:type="dxa"/>
            <w:tcBorders>
              <w:left w:val="single" w:sz="12" w:space="0" w:color="auto"/>
            </w:tcBorders>
          </w:tcPr>
          <w:p w:rsidR="009B28BA" w:rsidRDefault="009B28BA" w:rsidP="00492255">
            <w:r w:rsidRPr="00AE1058">
              <w:rPr>
                <w:rFonts w:cs="Arial"/>
                <w:sz w:val="18"/>
                <w:szCs w:val="18"/>
              </w:rPr>
              <w:t>√</w:t>
            </w:r>
          </w:p>
        </w:tc>
        <w:tc>
          <w:tcPr>
            <w:tcW w:w="709" w:type="dxa"/>
          </w:tcPr>
          <w:p w:rsidR="009B28BA" w:rsidRDefault="009B28BA" w:rsidP="00492255">
            <w:r w:rsidRPr="00AE1058">
              <w:rPr>
                <w:rFonts w:cs="Arial"/>
                <w:sz w:val="18"/>
                <w:szCs w:val="18"/>
              </w:rPr>
              <w:t>√</w:t>
            </w:r>
          </w:p>
        </w:tc>
        <w:tc>
          <w:tcPr>
            <w:tcW w:w="709" w:type="dxa"/>
            <w:vAlign w:val="center"/>
          </w:tcPr>
          <w:p w:rsidR="009B28BA" w:rsidRDefault="009B28BA" w:rsidP="00492255">
            <w:r>
              <w:rPr>
                <w:rFonts w:cs="Arial"/>
                <w:sz w:val="18"/>
                <w:szCs w:val="18"/>
              </w:rPr>
              <w:t>√</w:t>
            </w:r>
            <w:r>
              <w:rPr>
                <w:rStyle w:val="EndnoteReference"/>
                <w:rFonts w:cs="Arial"/>
                <w:sz w:val="18"/>
                <w:szCs w:val="18"/>
              </w:rPr>
              <w:endnoteReference w:id="433"/>
            </w:r>
          </w:p>
        </w:tc>
        <w:tc>
          <w:tcPr>
            <w:tcW w:w="708" w:type="dxa"/>
            <w:vAlign w:val="center"/>
          </w:tcPr>
          <w:p w:rsidR="009B28BA" w:rsidRDefault="009B28BA" w:rsidP="00492255">
            <w:r>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LT</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LU</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LV</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MT</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NL</w:t>
            </w:r>
          </w:p>
        </w:tc>
        <w:tc>
          <w:tcPr>
            <w:tcW w:w="720" w:type="dxa"/>
            <w:tcBorders>
              <w:left w:val="single" w:sz="12" w:space="0" w:color="auto"/>
            </w:tcBorders>
          </w:tcPr>
          <w:p w:rsidR="009B28BA" w:rsidRDefault="009B28BA" w:rsidP="00492255">
            <w:r w:rsidRPr="00747BEC">
              <w:rPr>
                <w:rFonts w:cs="Arial"/>
                <w:sz w:val="18"/>
                <w:szCs w:val="18"/>
              </w:rPr>
              <w:t>√</w:t>
            </w:r>
          </w:p>
        </w:tc>
        <w:tc>
          <w:tcPr>
            <w:tcW w:w="720" w:type="dxa"/>
          </w:tcPr>
          <w:p w:rsidR="009B28BA" w:rsidRDefault="009B28BA" w:rsidP="00492255">
            <w:r w:rsidRPr="00747BEC">
              <w:rPr>
                <w:rFonts w:cs="Arial"/>
                <w:sz w:val="18"/>
                <w:szCs w:val="18"/>
              </w:rPr>
              <w:t>√</w:t>
            </w:r>
          </w:p>
        </w:tc>
        <w:tc>
          <w:tcPr>
            <w:tcW w:w="720" w:type="dxa"/>
          </w:tcPr>
          <w:p w:rsidR="009B28BA" w:rsidRDefault="009B28BA" w:rsidP="00492255">
            <w:r w:rsidRPr="00747BEC">
              <w:rPr>
                <w:rFonts w:cs="Arial"/>
                <w:sz w:val="18"/>
                <w:szCs w:val="18"/>
              </w:rPr>
              <w:t>√</w:t>
            </w:r>
          </w:p>
        </w:tc>
        <w:tc>
          <w:tcPr>
            <w:tcW w:w="810" w:type="dxa"/>
          </w:tcPr>
          <w:p w:rsidR="009B28BA" w:rsidRDefault="009B28BA" w:rsidP="00492255">
            <w:r w:rsidRPr="00747BEC">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vAlign w:val="center"/>
          </w:tcPr>
          <w:p w:rsidR="009B28BA" w:rsidRDefault="009B28BA" w:rsidP="00492255">
            <w:r>
              <w:rPr>
                <w:rFonts w:cs="Arial"/>
                <w:sz w:val="18"/>
                <w:szCs w:val="18"/>
              </w:rPr>
              <w:t>√</w:t>
            </w:r>
          </w:p>
        </w:tc>
        <w:tc>
          <w:tcPr>
            <w:tcW w:w="709" w:type="dxa"/>
            <w:vAlign w:val="center"/>
          </w:tcPr>
          <w:p w:rsidR="009B28BA" w:rsidRDefault="009B28BA" w:rsidP="00492255">
            <w:r>
              <w:rPr>
                <w:rFonts w:cs="Arial"/>
                <w:sz w:val="18"/>
                <w:szCs w:val="18"/>
              </w:rPr>
              <w:t>√</w:t>
            </w:r>
            <w:r>
              <w:rPr>
                <w:rStyle w:val="EndnoteReference"/>
                <w:rFonts w:cs="Arial"/>
                <w:sz w:val="18"/>
                <w:szCs w:val="18"/>
              </w:rPr>
              <w:endnoteReference w:id="434"/>
            </w:r>
          </w:p>
        </w:tc>
        <w:tc>
          <w:tcPr>
            <w:tcW w:w="708" w:type="dxa"/>
            <w:vAlign w:val="center"/>
          </w:tcPr>
          <w:p w:rsidR="009B28BA" w:rsidRDefault="009B28BA" w:rsidP="00492255">
            <w:r>
              <w:rPr>
                <w:rFonts w:cs="Arial"/>
                <w:sz w:val="18"/>
                <w:szCs w:val="18"/>
              </w:rPr>
              <w:t>√</w:t>
            </w:r>
            <w:r>
              <w:rPr>
                <w:rStyle w:val="EndnoteReference"/>
                <w:rFonts w:cs="Arial"/>
                <w:sz w:val="18"/>
                <w:szCs w:val="18"/>
              </w:rPr>
              <w:endnoteReference w:id="435"/>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PL</w:t>
            </w:r>
          </w:p>
        </w:tc>
        <w:tc>
          <w:tcPr>
            <w:tcW w:w="720" w:type="dxa"/>
            <w:tcBorders>
              <w:left w:val="single" w:sz="12" w:space="0" w:color="auto"/>
            </w:tcBorders>
          </w:tcPr>
          <w:p w:rsidR="009B28BA" w:rsidRDefault="009B28BA" w:rsidP="00492255">
            <w:r w:rsidRPr="00260697">
              <w:rPr>
                <w:rFonts w:cs="Arial"/>
                <w:sz w:val="18"/>
                <w:szCs w:val="18"/>
              </w:rPr>
              <w:t>√</w:t>
            </w:r>
          </w:p>
        </w:tc>
        <w:tc>
          <w:tcPr>
            <w:tcW w:w="720" w:type="dxa"/>
          </w:tcPr>
          <w:p w:rsidR="009B28BA" w:rsidRDefault="009B28BA" w:rsidP="00492255">
            <w:r w:rsidRPr="00260697">
              <w:rPr>
                <w:rFonts w:cs="Arial"/>
                <w:sz w:val="18"/>
                <w:szCs w:val="18"/>
              </w:rPr>
              <w:t>√</w:t>
            </w:r>
          </w:p>
        </w:tc>
        <w:tc>
          <w:tcPr>
            <w:tcW w:w="720" w:type="dxa"/>
          </w:tcPr>
          <w:p w:rsidR="009B28BA" w:rsidRDefault="009B28BA" w:rsidP="00492255">
            <w:r w:rsidRPr="00260697">
              <w:rPr>
                <w:rFonts w:cs="Arial"/>
                <w:sz w:val="18"/>
                <w:szCs w:val="18"/>
              </w:rPr>
              <w:t>√</w:t>
            </w:r>
          </w:p>
        </w:tc>
        <w:tc>
          <w:tcPr>
            <w:tcW w:w="810" w:type="dxa"/>
          </w:tcPr>
          <w:p w:rsidR="009B28BA" w:rsidRDefault="009B28BA" w:rsidP="00492255">
            <w:r w:rsidRPr="00260697">
              <w:rPr>
                <w:rFonts w:cs="Arial"/>
                <w:sz w:val="18"/>
                <w:szCs w:val="18"/>
              </w:rPr>
              <w:t>√</w:t>
            </w:r>
          </w:p>
        </w:tc>
        <w:tc>
          <w:tcPr>
            <w:tcW w:w="810" w:type="dxa"/>
          </w:tcPr>
          <w:p w:rsidR="009B28BA" w:rsidRDefault="009B28BA" w:rsidP="00492255">
            <w:r w:rsidRPr="00260697">
              <w:rPr>
                <w:rFonts w:cs="Arial"/>
                <w:sz w:val="18"/>
                <w:szCs w:val="18"/>
              </w:rPr>
              <w:t>√</w:t>
            </w:r>
          </w:p>
        </w:tc>
        <w:tc>
          <w:tcPr>
            <w:tcW w:w="810" w:type="dxa"/>
          </w:tcPr>
          <w:p w:rsidR="009B28BA" w:rsidRDefault="009B28BA" w:rsidP="00492255">
            <w:r w:rsidRPr="00260697">
              <w:rPr>
                <w:rFonts w:cs="Arial"/>
                <w:sz w:val="18"/>
                <w:szCs w:val="18"/>
              </w:rPr>
              <w:t>√</w:t>
            </w:r>
          </w:p>
        </w:tc>
        <w:tc>
          <w:tcPr>
            <w:tcW w:w="810" w:type="dxa"/>
          </w:tcPr>
          <w:p w:rsidR="009B28BA" w:rsidRDefault="009B28BA" w:rsidP="00492255">
            <w:r w:rsidRPr="00260697">
              <w:rPr>
                <w:rFonts w:cs="Arial"/>
                <w:sz w:val="18"/>
                <w:szCs w:val="18"/>
              </w:rPr>
              <w:t>√</w:t>
            </w: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vAlign w:val="center"/>
          </w:tcPr>
          <w:p w:rsidR="009B28BA" w:rsidRDefault="009B28BA" w:rsidP="00492255">
            <w:r w:rsidRPr="00747BEC">
              <w:rPr>
                <w:rFonts w:cs="Arial"/>
                <w:sz w:val="18"/>
                <w:szCs w:val="18"/>
              </w:rPr>
              <w:t>√</w:t>
            </w:r>
            <w:r>
              <w:rPr>
                <w:rStyle w:val="EndnoteReference"/>
                <w:rFonts w:cs="Arial"/>
                <w:sz w:val="18"/>
                <w:szCs w:val="18"/>
              </w:rPr>
              <w:endnoteReference w:id="436"/>
            </w:r>
          </w:p>
        </w:tc>
        <w:tc>
          <w:tcPr>
            <w:tcW w:w="709" w:type="dxa"/>
            <w:vAlign w:val="center"/>
          </w:tcPr>
          <w:p w:rsidR="009B28BA" w:rsidRDefault="009B28BA" w:rsidP="00492255">
            <w:r w:rsidRPr="00747BEC">
              <w:rPr>
                <w:rFonts w:cs="Arial"/>
                <w:sz w:val="18"/>
                <w:szCs w:val="18"/>
              </w:rPr>
              <w:t>√</w:t>
            </w:r>
            <w:r>
              <w:rPr>
                <w:rStyle w:val="EndnoteReference"/>
                <w:rFonts w:cs="Arial"/>
                <w:sz w:val="18"/>
                <w:szCs w:val="18"/>
              </w:rPr>
              <w:endnoteReference w:id="437"/>
            </w:r>
          </w:p>
        </w:tc>
        <w:tc>
          <w:tcPr>
            <w:tcW w:w="708" w:type="dxa"/>
            <w:vAlign w:val="center"/>
          </w:tcPr>
          <w:p w:rsidR="009B28BA" w:rsidRDefault="009B28BA" w:rsidP="00492255">
            <w:r w:rsidRPr="00747BEC">
              <w:rPr>
                <w:rFonts w:cs="Arial"/>
                <w:sz w:val="18"/>
                <w:szCs w:val="18"/>
              </w:rPr>
              <w:t>√</w:t>
            </w:r>
            <w:r>
              <w:rPr>
                <w:rStyle w:val="EndnoteReference"/>
                <w:rFonts w:cs="Arial"/>
                <w:sz w:val="18"/>
                <w:szCs w:val="18"/>
              </w:rPr>
              <w:endnoteReference w:id="438"/>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PT</w:t>
            </w:r>
          </w:p>
        </w:tc>
        <w:tc>
          <w:tcPr>
            <w:tcW w:w="720" w:type="dxa"/>
            <w:tcBorders>
              <w:left w:val="single" w:sz="12" w:space="0" w:color="auto"/>
            </w:tcBorders>
          </w:tcPr>
          <w:p w:rsidR="009B28BA" w:rsidRDefault="009B28BA" w:rsidP="00492255">
            <w:r w:rsidRPr="00D505EF">
              <w:rPr>
                <w:rFonts w:cs="Arial"/>
                <w:sz w:val="18"/>
                <w:szCs w:val="18"/>
              </w:rPr>
              <w:t>√</w:t>
            </w:r>
          </w:p>
        </w:tc>
        <w:tc>
          <w:tcPr>
            <w:tcW w:w="720" w:type="dxa"/>
          </w:tcPr>
          <w:p w:rsidR="009B28BA" w:rsidRDefault="009B28BA" w:rsidP="00492255">
            <w:r w:rsidRPr="00D505EF">
              <w:rPr>
                <w:rFonts w:cs="Arial"/>
                <w:sz w:val="18"/>
                <w:szCs w:val="18"/>
              </w:rPr>
              <w:t>√</w:t>
            </w:r>
          </w:p>
        </w:tc>
        <w:tc>
          <w:tcPr>
            <w:tcW w:w="720" w:type="dxa"/>
          </w:tcPr>
          <w:p w:rsidR="009B28BA" w:rsidRDefault="009B28BA" w:rsidP="00492255">
            <w:r w:rsidRPr="00D505EF">
              <w:rPr>
                <w:rFonts w:cs="Arial"/>
                <w:sz w:val="18"/>
                <w:szCs w:val="18"/>
              </w:rPr>
              <w:t>√</w:t>
            </w:r>
          </w:p>
        </w:tc>
        <w:tc>
          <w:tcPr>
            <w:tcW w:w="810" w:type="dxa"/>
          </w:tcPr>
          <w:p w:rsidR="009B28BA" w:rsidRDefault="009B28BA" w:rsidP="00492255">
            <w:r w:rsidRPr="00D505EF">
              <w:rPr>
                <w:rFonts w:cs="Arial"/>
                <w:sz w:val="18"/>
                <w:szCs w:val="18"/>
              </w:rPr>
              <w:t>√</w:t>
            </w:r>
          </w:p>
        </w:tc>
        <w:tc>
          <w:tcPr>
            <w:tcW w:w="810" w:type="dxa"/>
          </w:tcPr>
          <w:p w:rsidR="009B28BA" w:rsidRDefault="009B28BA" w:rsidP="00492255">
            <w:r w:rsidRPr="00D505EF">
              <w:rPr>
                <w:rFonts w:cs="Arial"/>
                <w:sz w:val="18"/>
                <w:szCs w:val="18"/>
              </w:rPr>
              <w:t>√</w:t>
            </w:r>
          </w:p>
        </w:tc>
        <w:tc>
          <w:tcPr>
            <w:tcW w:w="810" w:type="dxa"/>
          </w:tcPr>
          <w:p w:rsidR="009B28BA" w:rsidRDefault="009B28BA" w:rsidP="00492255">
            <w:r w:rsidRPr="00D505EF">
              <w:rPr>
                <w:rFonts w:cs="Arial"/>
                <w:sz w:val="18"/>
                <w:szCs w:val="18"/>
              </w:rPr>
              <w:t>√</w:t>
            </w:r>
          </w:p>
        </w:tc>
        <w:tc>
          <w:tcPr>
            <w:tcW w:w="810" w:type="dxa"/>
          </w:tcPr>
          <w:p w:rsidR="009B28BA" w:rsidRDefault="009B28BA" w:rsidP="00492255">
            <w:r w:rsidRPr="00D505EF">
              <w:rPr>
                <w:rFonts w:cs="Arial"/>
                <w:sz w:val="18"/>
                <w:szCs w:val="18"/>
              </w:rPr>
              <w:t>√</w:t>
            </w:r>
          </w:p>
        </w:tc>
        <w:tc>
          <w:tcPr>
            <w:tcW w:w="810" w:type="dxa"/>
          </w:tcPr>
          <w:p w:rsidR="009B28BA" w:rsidRDefault="009B28BA" w:rsidP="00492255">
            <w:r w:rsidRPr="00D505EF">
              <w:rPr>
                <w:rFonts w:cs="Arial"/>
                <w:sz w:val="18"/>
                <w:szCs w:val="18"/>
              </w:rPr>
              <w:t>√</w:t>
            </w: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7770C7">
              <w:rPr>
                <w:rFonts w:cs="Arial"/>
                <w:sz w:val="18"/>
                <w:szCs w:val="18"/>
              </w:rPr>
              <w:t>√</w:t>
            </w:r>
            <w:r>
              <w:rPr>
                <w:rStyle w:val="EndnoteReference"/>
                <w:rFonts w:cs="Arial"/>
                <w:sz w:val="18"/>
                <w:szCs w:val="18"/>
              </w:rPr>
              <w:endnoteReference w:id="439"/>
            </w:r>
          </w:p>
        </w:tc>
        <w:tc>
          <w:tcPr>
            <w:tcW w:w="709" w:type="dxa"/>
          </w:tcPr>
          <w:p w:rsidR="009B28BA" w:rsidRDefault="009B28BA" w:rsidP="00492255">
            <w:r w:rsidRPr="007770C7">
              <w:rPr>
                <w:rFonts w:cs="Arial"/>
                <w:sz w:val="18"/>
                <w:szCs w:val="18"/>
              </w:rPr>
              <w:t>√</w:t>
            </w:r>
            <w:r>
              <w:rPr>
                <w:rStyle w:val="EndnoteReference"/>
                <w:rFonts w:cs="Arial"/>
                <w:sz w:val="18"/>
                <w:szCs w:val="18"/>
              </w:rPr>
              <w:endnoteReference w:id="440"/>
            </w:r>
          </w:p>
        </w:tc>
        <w:tc>
          <w:tcPr>
            <w:tcW w:w="708" w:type="dxa"/>
          </w:tcPr>
          <w:p w:rsidR="009B28BA" w:rsidRDefault="009B28BA" w:rsidP="00492255">
            <w:r w:rsidRPr="007770C7">
              <w:rPr>
                <w:rFonts w:cs="Arial"/>
                <w:sz w:val="18"/>
                <w:szCs w:val="18"/>
              </w:rPr>
              <w:t>√</w:t>
            </w:r>
            <w:r>
              <w:rPr>
                <w:rStyle w:val="EndnoteReference"/>
                <w:rFonts w:cs="Arial"/>
                <w:sz w:val="18"/>
                <w:szCs w:val="18"/>
              </w:rPr>
              <w:endnoteReference w:id="441"/>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RO</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SE</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SI</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SK</w:t>
            </w:r>
          </w:p>
        </w:tc>
        <w:tc>
          <w:tcPr>
            <w:tcW w:w="720" w:type="dxa"/>
            <w:tcBorders>
              <w:left w:val="single" w:sz="12" w:space="0" w:color="auto"/>
            </w:tcBorders>
          </w:tcPr>
          <w:p w:rsidR="009B28BA" w:rsidRDefault="009B28BA" w:rsidP="00492255">
            <w:r w:rsidRPr="00FB45F7">
              <w:rPr>
                <w:rFonts w:cs="Arial"/>
                <w:sz w:val="18"/>
                <w:szCs w:val="18"/>
              </w:rPr>
              <w:t>√</w:t>
            </w:r>
          </w:p>
        </w:tc>
        <w:tc>
          <w:tcPr>
            <w:tcW w:w="720" w:type="dxa"/>
          </w:tcPr>
          <w:p w:rsidR="009B28BA" w:rsidRDefault="009B28BA" w:rsidP="00492255">
            <w:r w:rsidRPr="00FB45F7">
              <w:rPr>
                <w:rFonts w:cs="Arial"/>
                <w:sz w:val="18"/>
                <w:szCs w:val="18"/>
              </w:rPr>
              <w:t>√</w:t>
            </w:r>
          </w:p>
        </w:tc>
        <w:tc>
          <w:tcPr>
            <w:tcW w:w="720" w:type="dxa"/>
          </w:tcPr>
          <w:p w:rsidR="009B28BA" w:rsidRDefault="009B28BA" w:rsidP="00492255">
            <w:r w:rsidRPr="00FB45F7">
              <w:rPr>
                <w:rFonts w:cs="Arial"/>
                <w:sz w:val="18"/>
                <w:szCs w:val="18"/>
              </w:rPr>
              <w:t>√</w:t>
            </w:r>
          </w:p>
        </w:tc>
        <w:tc>
          <w:tcPr>
            <w:tcW w:w="810" w:type="dxa"/>
          </w:tcPr>
          <w:p w:rsidR="009B28BA" w:rsidRDefault="009B28BA" w:rsidP="00492255">
            <w:r w:rsidRPr="00FB45F7">
              <w:rPr>
                <w:rFonts w:cs="Arial"/>
                <w:sz w:val="18"/>
                <w:szCs w:val="18"/>
              </w:rPr>
              <w:t>√</w:t>
            </w:r>
          </w:p>
        </w:tc>
        <w:tc>
          <w:tcPr>
            <w:tcW w:w="810" w:type="dxa"/>
          </w:tcPr>
          <w:p w:rsidR="009B28BA" w:rsidRDefault="009B28BA" w:rsidP="00492255">
            <w:r w:rsidRPr="00FB45F7">
              <w:rPr>
                <w:rFonts w:cs="Arial"/>
                <w:sz w:val="18"/>
                <w:szCs w:val="18"/>
              </w:rPr>
              <w:t>√</w:t>
            </w:r>
          </w:p>
        </w:tc>
        <w:tc>
          <w:tcPr>
            <w:tcW w:w="810" w:type="dxa"/>
          </w:tcPr>
          <w:p w:rsidR="009B28BA" w:rsidRDefault="009B28BA" w:rsidP="00492255">
            <w:r w:rsidRPr="00FB45F7">
              <w:rPr>
                <w:rFonts w:cs="Arial"/>
                <w:sz w:val="18"/>
                <w:szCs w:val="18"/>
              </w:rPr>
              <w:t>√</w:t>
            </w:r>
          </w:p>
        </w:tc>
        <w:tc>
          <w:tcPr>
            <w:tcW w:w="810" w:type="dxa"/>
          </w:tcPr>
          <w:p w:rsidR="009B28BA" w:rsidRDefault="009B28BA" w:rsidP="00492255">
            <w:r w:rsidRPr="00FB45F7">
              <w:rPr>
                <w:rFonts w:cs="Arial"/>
                <w:sz w:val="18"/>
                <w:szCs w:val="18"/>
              </w:rPr>
              <w:t>√</w:t>
            </w:r>
          </w:p>
        </w:tc>
        <w:tc>
          <w:tcPr>
            <w:tcW w:w="810" w:type="dxa"/>
          </w:tcPr>
          <w:p w:rsidR="009B28BA" w:rsidRDefault="009B28BA" w:rsidP="00492255">
            <w:r w:rsidRPr="00FB45F7">
              <w:rPr>
                <w:rFonts w:cs="Arial"/>
                <w:sz w:val="18"/>
                <w:szCs w:val="18"/>
              </w:rPr>
              <w:t>√</w:t>
            </w:r>
          </w:p>
        </w:tc>
        <w:tc>
          <w:tcPr>
            <w:tcW w:w="912" w:type="dxa"/>
            <w:tcBorders>
              <w:right w:val="single" w:sz="12" w:space="0" w:color="auto"/>
            </w:tcBorders>
          </w:tcPr>
          <w:p w:rsidR="009B28BA" w:rsidRDefault="009B28BA" w:rsidP="00492255">
            <w:r w:rsidRPr="00FB45F7">
              <w:rPr>
                <w:rFonts w:cs="Arial"/>
                <w:sz w:val="18"/>
                <w:szCs w:val="18"/>
              </w:rPr>
              <w:t>√</w:t>
            </w: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097F6C">
              <w:rPr>
                <w:rFonts w:cs="Arial"/>
                <w:sz w:val="18"/>
                <w:szCs w:val="18"/>
              </w:rPr>
              <w:t>√</w:t>
            </w:r>
          </w:p>
        </w:tc>
        <w:tc>
          <w:tcPr>
            <w:tcW w:w="709" w:type="dxa"/>
          </w:tcPr>
          <w:p w:rsidR="009B28BA" w:rsidRDefault="009B28BA" w:rsidP="00492255">
            <w:r w:rsidRPr="00097F6C">
              <w:rPr>
                <w:rFonts w:cs="Arial"/>
                <w:sz w:val="18"/>
                <w:szCs w:val="18"/>
              </w:rPr>
              <w:t>√</w:t>
            </w:r>
          </w:p>
        </w:tc>
        <w:tc>
          <w:tcPr>
            <w:tcW w:w="708" w:type="dxa"/>
            <w:shd w:val="clear" w:color="auto" w:fill="D9D9D9" w:themeFill="background1" w:themeFillShade="D9"/>
            <w:vAlign w:val="center"/>
          </w:tcPr>
          <w:p w:rsidR="009B28BA" w:rsidRDefault="009B28BA" w:rsidP="00492255"/>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UK-E&amp;W</w:t>
            </w:r>
          </w:p>
        </w:tc>
        <w:tc>
          <w:tcPr>
            <w:tcW w:w="720" w:type="dxa"/>
            <w:tcBorders>
              <w:left w:val="single" w:sz="12" w:space="0" w:color="auto"/>
            </w:tcBorders>
            <w:vAlign w:val="center"/>
          </w:tcPr>
          <w:p w:rsidR="009B28BA" w:rsidRPr="00E217F3" w:rsidRDefault="009B28BA" w:rsidP="00492255">
            <w:pPr>
              <w:rPr>
                <w:sz w:val="18"/>
                <w:szCs w:val="18"/>
              </w:rPr>
            </w:pPr>
            <w:r w:rsidRPr="00747BEC">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1F546C">
              <w:rPr>
                <w:rFonts w:cs="Arial"/>
                <w:sz w:val="18"/>
                <w:szCs w:val="18"/>
              </w:rPr>
              <w:t>√</w:t>
            </w:r>
          </w:p>
        </w:tc>
        <w:tc>
          <w:tcPr>
            <w:tcW w:w="709" w:type="dxa"/>
          </w:tcPr>
          <w:p w:rsidR="009B28BA" w:rsidRDefault="009B28BA" w:rsidP="00492255">
            <w:r w:rsidRPr="001F546C">
              <w:rPr>
                <w:rFonts w:cs="Arial"/>
                <w:sz w:val="18"/>
                <w:szCs w:val="18"/>
              </w:rPr>
              <w:t>√</w:t>
            </w:r>
          </w:p>
        </w:tc>
        <w:tc>
          <w:tcPr>
            <w:tcW w:w="708" w:type="dxa"/>
          </w:tcPr>
          <w:p w:rsidR="009B28BA" w:rsidRDefault="009B28BA" w:rsidP="00492255">
            <w:r w:rsidRPr="001F546C">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9B28BA" w:rsidP="00492255">
            <w:pPr>
              <w:pStyle w:val="BTBullet1"/>
              <w:numPr>
                <w:ilvl w:val="0"/>
                <w:numId w:val="0"/>
              </w:numPr>
              <w:rPr>
                <w:b/>
                <w:sz w:val="18"/>
                <w:szCs w:val="18"/>
              </w:rPr>
            </w:pPr>
            <w:r w:rsidRPr="00731E82">
              <w:rPr>
                <w:b/>
                <w:sz w:val="18"/>
                <w:szCs w:val="18"/>
              </w:rPr>
              <w:t>UK-NI</w:t>
            </w:r>
          </w:p>
        </w:tc>
        <w:tc>
          <w:tcPr>
            <w:tcW w:w="720" w:type="dxa"/>
            <w:tcBorders>
              <w:left w:val="single" w:sz="12" w:space="0" w:color="auto"/>
            </w:tcBorders>
            <w:vAlign w:val="center"/>
          </w:tcPr>
          <w:p w:rsidR="009B28BA" w:rsidRPr="00E217F3" w:rsidRDefault="009B28BA" w:rsidP="00492255">
            <w:pPr>
              <w:rPr>
                <w:sz w:val="18"/>
                <w:szCs w:val="18"/>
              </w:rPr>
            </w:pPr>
            <w:r w:rsidRPr="00747BEC">
              <w:rPr>
                <w:rFonts w:cs="Arial"/>
                <w:sz w:val="18"/>
                <w:szCs w:val="18"/>
              </w:rPr>
              <w:t>√</w:t>
            </w: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tcPr>
          <w:p w:rsidR="009B28BA" w:rsidRDefault="009B28BA" w:rsidP="00492255">
            <w:r w:rsidRPr="0045623E">
              <w:rPr>
                <w:rFonts w:cs="Arial"/>
                <w:sz w:val="18"/>
                <w:szCs w:val="18"/>
              </w:rPr>
              <w:t>√</w:t>
            </w:r>
          </w:p>
        </w:tc>
        <w:tc>
          <w:tcPr>
            <w:tcW w:w="709" w:type="dxa"/>
          </w:tcPr>
          <w:p w:rsidR="009B28BA" w:rsidRDefault="009B28BA" w:rsidP="00492255">
            <w:r w:rsidRPr="0045623E">
              <w:rPr>
                <w:rFonts w:cs="Arial"/>
                <w:sz w:val="18"/>
                <w:szCs w:val="18"/>
              </w:rPr>
              <w:t>√</w:t>
            </w:r>
          </w:p>
        </w:tc>
        <w:tc>
          <w:tcPr>
            <w:tcW w:w="708" w:type="dxa"/>
          </w:tcPr>
          <w:p w:rsidR="009B28BA" w:rsidRDefault="009B28BA" w:rsidP="00492255">
            <w:r w:rsidRPr="0045623E">
              <w:rPr>
                <w:rFonts w:cs="Arial"/>
                <w:sz w:val="18"/>
                <w:szCs w:val="18"/>
              </w:rPr>
              <w:t>√</w:t>
            </w:r>
          </w:p>
        </w:tc>
      </w:tr>
      <w:tr w:rsidR="009B28BA" w:rsidTr="00731E82">
        <w:trPr>
          <w:cantSplit/>
          <w:trHeight w:hRule="exact" w:val="288"/>
          <w:jc w:val="center"/>
        </w:trPr>
        <w:tc>
          <w:tcPr>
            <w:tcW w:w="1112" w:type="dxa"/>
            <w:tcBorders>
              <w:right w:val="single" w:sz="12" w:space="0" w:color="auto"/>
            </w:tcBorders>
            <w:shd w:val="clear" w:color="auto" w:fill="DBE5F1" w:themeFill="accent1" w:themeFillTint="33"/>
            <w:vAlign w:val="center"/>
          </w:tcPr>
          <w:p w:rsidR="009B28BA" w:rsidRPr="00731E82" w:rsidRDefault="00CD7610" w:rsidP="00492255">
            <w:pPr>
              <w:pStyle w:val="BTBullet1"/>
              <w:numPr>
                <w:ilvl w:val="0"/>
                <w:numId w:val="0"/>
              </w:numPr>
              <w:rPr>
                <w:b/>
                <w:sz w:val="18"/>
                <w:szCs w:val="18"/>
              </w:rPr>
            </w:pPr>
            <w:r w:rsidRPr="00731E82">
              <w:rPr>
                <w:b/>
                <w:sz w:val="18"/>
                <w:szCs w:val="18"/>
              </w:rPr>
              <w:t>UK-S</w:t>
            </w:r>
          </w:p>
        </w:tc>
        <w:tc>
          <w:tcPr>
            <w:tcW w:w="720" w:type="dxa"/>
            <w:tcBorders>
              <w:lef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72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810" w:type="dxa"/>
            <w:shd w:val="clear" w:color="auto" w:fill="D9D9D9" w:themeFill="background1" w:themeFillShade="D9"/>
            <w:vAlign w:val="center"/>
          </w:tcPr>
          <w:p w:rsidR="009B28BA" w:rsidRPr="00E217F3" w:rsidRDefault="009B28BA" w:rsidP="00492255">
            <w:pPr>
              <w:rPr>
                <w:sz w:val="18"/>
                <w:szCs w:val="18"/>
              </w:rPr>
            </w:pPr>
          </w:p>
        </w:tc>
        <w:tc>
          <w:tcPr>
            <w:tcW w:w="912" w:type="dxa"/>
            <w:tcBorders>
              <w:right w:val="single" w:sz="12" w:space="0" w:color="auto"/>
            </w:tcBorders>
            <w:shd w:val="clear" w:color="auto" w:fill="D9D9D9" w:themeFill="background1" w:themeFillShade="D9"/>
            <w:vAlign w:val="center"/>
          </w:tcPr>
          <w:p w:rsidR="009B28BA" w:rsidRPr="00E217F3" w:rsidRDefault="009B28BA" w:rsidP="00492255">
            <w:pPr>
              <w:rPr>
                <w:sz w:val="18"/>
                <w:szCs w:val="18"/>
              </w:rPr>
            </w:pPr>
          </w:p>
        </w:tc>
        <w:tc>
          <w:tcPr>
            <w:tcW w:w="709" w:type="dxa"/>
            <w:tcBorders>
              <w:left w:val="single" w:sz="12" w:space="0" w:color="auto"/>
            </w:tcBorders>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9" w:type="dxa"/>
            <w:shd w:val="clear" w:color="auto" w:fill="D9D9D9" w:themeFill="background1" w:themeFillShade="D9"/>
            <w:vAlign w:val="center"/>
          </w:tcPr>
          <w:p w:rsidR="009B28BA" w:rsidRDefault="009B28BA" w:rsidP="00492255"/>
        </w:tc>
        <w:tc>
          <w:tcPr>
            <w:tcW w:w="708" w:type="dxa"/>
            <w:shd w:val="clear" w:color="auto" w:fill="D9D9D9" w:themeFill="background1" w:themeFillShade="D9"/>
            <w:vAlign w:val="center"/>
          </w:tcPr>
          <w:p w:rsidR="009B28BA" w:rsidRDefault="009B28BA" w:rsidP="00492255"/>
        </w:tc>
      </w:tr>
      <w:tr w:rsidR="009B28BA" w:rsidTr="00731E82">
        <w:trPr>
          <w:cantSplit/>
          <w:trHeight w:hRule="exact" w:val="444"/>
          <w:jc w:val="center"/>
        </w:trPr>
        <w:tc>
          <w:tcPr>
            <w:tcW w:w="1112" w:type="dxa"/>
            <w:tcBorders>
              <w:right w:val="single" w:sz="12" w:space="0" w:color="auto"/>
            </w:tcBorders>
            <w:shd w:val="clear" w:color="auto" w:fill="FFFFFF" w:themeFill="background1"/>
            <w:vAlign w:val="center"/>
          </w:tcPr>
          <w:p w:rsidR="009B28BA" w:rsidRPr="009B28BA" w:rsidRDefault="009B28BA" w:rsidP="00492255">
            <w:pPr>
              <w:pStyle w:val="BTBullet1"/>
              <w:numPr>
                <w:ilvl w:val="0"/>
                <w:numId w:val="0"/>
              </w:numPr>
              <w:rPr>
                <w:b/>
                <w:sz w:val="18"/>
                <w:szCs w:val="18"/>
              </w:rPr>
            </w:pPr>
            <w:r w:rsidRPr="009B28BA">
              <w:rPr>
                <w:b/>
                <w:sz w:val="18"/>
                <w:szCs w:val="18"/>
              </w:rPr>
              <w:t>Total Yes</w:t>
            </w:r>
          </w:p>
        </w:tc>
        <w:tc>
          <w:tcPr>
            <w:tcW w:w="720" w:type="dxa"/>
            <w:tcBorders>
              <w:left w:val="single" w:sz="12" w:space="0" w:color="auto"/>
            </w:tcBorders>
            <w:vAlign w:val="center"/>
          </w:tcPr>
          <w:p w:rsidR="009B28BA" w:rsidRPr="009B28BA" w:rsidRDefault="009B28BA" w:rsidP="00492255">
            <w:pPr>
              <w:rPr>
                <w:sz w:val="18"/>
                <w:szCs w:val="18"/>
              </w:rPr>
            </w:pPr>
            <w:r w:rsidRPr="009B28BA">
              <w:rPr>
                <w:sz w:val="18"/>
                <w:szCs w:val="18"/>
              </w:rPr>
              <w:t>16</w:t>
            </w:r>
          </w:p>
        </w:tc>
        <w:tc>
          <w:tcPr>
            <w:tcW w:w="720" w:type="dxa"/>
            <w:vAlign w:val="center"/>
          </w:tcPr>
          <w:p w:rsidR="009B28BA" w:rsidRPr="009B28BA" w:rsidRDefault="009B28BA" w:rsidP="00492255">
            <w:pPr>
              <w:rPr>
                <w:sz w:val="18"/>
                <w:szCs w:val="18"/>
              </w:rPr>
            </w:pPr>
            <w:r w:rsidRPr="009B28BA">
              <w:rPr>
                <w:sz w:val="18"/>
                <w:szCs w:val="18"/>
              </w:rPr>
              <w:t>10</w:t>
            </w:r>
          </w:p>
        </w:tc>
        <w:tc>
          <w:tcPr>
            <w:tcW w:w="720" w:type="dxa"/>
            <w:vAlign w:val="center"/>
          </w:tcPr>
          <w:p w:rsidR="009B28BA" w:rsidRPr="009B28BA" w:rsidRDefault="009B28BA" w:rsidP="00492255">
            <w:pPr>
              <w:rPr>
                <w:sz w:val="18"/>
                <w:szCs w:val="18"/>
              </w:rPr>
            </w:pPr>
            <w:r w:rsidRPr="009B28BA">
              <w:rPr>
                <w:sz w:val="18"/>
                <w:szCs w:val="18"/>
              </w:rPr>
              <w:t>9</w:t>
            </w:r>
          </w:p>
        </w:tc>
        <w:tc>
          <w:tcPr>
            <w:tcW w:w="810" w:type="dxa"/>
            <w:vAlign w:val="center"/>
          </w:tcPr>
          <w:p w:rsidR="009B28BA" w:rsidRPr="009B28BA" w:rsidRDefault="009B28BA" w:rsidP="00492255">
            <w:pPr>
              <w:rPr>
                <w:sz w:val="18"/>
                <w:szCs w:val="18"/>
              </w:rPr>
            </w:pPr>
            <w:r w:rsidRPr="009B28BA">
              <w:rPr>
                <w:sz w:val="18"/>
                <w:szCs w:val="18"/>
              </w:rPr>
              <w:t>9</w:t>
            </w:r>
          </w:p>
        </w:tc>
        <w:tc>
          <w:tcPr>
            <w:tcW w:w="810" w:type="dxa"/>
            <w:vAlign w:val="center"/>
          </w:tcPr>
          <w:p w:rsidR="009B28BA" w:rsidRPr="009B28BA" w:rsidRDefault="009B28BA" w:rsidP="00492255">
            <w:pPr>
              <w:rPr>
                <w:sz w:val="18"/>
                <w:szCs w:val="18"/>
              </w:rPr>
            </w:pPr>
            <w:r w:rsidRPr="009B28BA">
              <w:rPr>
                <w:sz w:val="18"/>
                <w:szCs w:val="18"/>
              </w:rPr>
              <w:t>7</w:t>
            </w:r>
          </w:p>
        </w:tc>
        <w:tc>
          <w:tcPr>
            <w:tcW w:w="810" w:type="dxa"/>
            <w:vAlign w:val="center"/>
          </w:tcPr>
          <w:p w:rsidR="009B28BA" w:rsidRPr="009B28BA" w:rsidRDefault="009B28BA" w:rsidP="00492255">
            <w:pPr>
              <w:rPr>
                <w:sz w:val="18"/>
                <w:szCs w:val="18"/>
              </w:rPr>
            </w:pPr>
            <w:r w:rsidRPr="009B28BA">
              <w:rPr>
                <w:sz w:val="18"/>
                <w:szCs w:val="18"/>
              </w:rPr>
              <w:t>8</w:t>
            </w:r>
          </w:p>
        </w:tc>
        <w:tc>
          <w:tcPr>
            <w:tcW w:w="810" w:type="dxa"/>
            <w:vAlign w:val="center"/>
          </w:tcPr>
          <w:p w:rsidR="009B28BA" w:rsidRPr="009B28BA" w:rsidRDefault="009B28BA" w:rsidP="00492255">
            <w:pPr>
              <w:rPr>
                <w:sz w:val="18"/>
                <w:szCs w:val="18"/>
              </w:rPr>
            </w:pPr>
            <w:r w:rsidRPr="009B28BA">
              <w:rPr>
                <w:sz w:val="18"/>
                <w:szCs w:val="18"/>
              </w:rPr>
              <w:t>11</w:t>
            </w:r>
          </w:p>
        </w:tc>
        <w:tc>
          <w:tcPr>
            <w:tcW w:w="810" w:type="dxa"/>
            <w:vAlign w:val="center"/>
          </w:tcPr>
          <w:p w:rsidR="009B28BA" w:rsidRPr="009B28BA" w:rsidRDefault="009B28BA" w:rsidP="00492255">
            <w:pPr>
              <w:rPr>
                <w:sz w:val="18"/>
                <w:szCs w:val="18"/>
              </w:rPr>
            </w:pPr>
            <w:r w:rsidRPr="009B28BA">
              <w:rPr>
                <w:sz w:val="18"/>
                <w:szCs w:val="18"/>
              </w:rPr>
              <w:t>6</w:t>
            </w:r>
          </w:p>
        </w:tc>
        <w:tc>
          <w:tcPr>
            <w:tcW w:w="912" w:type="dxa"/>
            <w:tcBorders>
              <w:right w:val="single" w:sz="12" w:space="0" w:color="auto"/>
            </w:tcBorders>
            <w:vAlign w:val="center"/>
          </w:tcPr>
          <w:p w:rsidR="009B28BA" w:rsidRPr="009B28BA" w:rsidRDefault="009B28BA" w:rsidP="00492255">
            <w:pPr>
              <w:rPr>
                <w:sz w:val="18"/>
                <w:szCs w:val="18"/>
              </w:rPr>
            </w:pPr>
            <w:r w:rsidRPr="009B28BA">
              <w:rPr>
                <w:sz w:val="18"/>
                <w:szCs w:val="18"/>
              </w:rPr>
              <w:t>7</w:t>
            </w:r>
          </w:p>
        </w:tc>
        <w:tc>
          <w:tcPr>
            <w:tcW w:w="709" w:type="dxa"/>
            <w:tcBorders>
              <w:left w:val="single" w:sz="12" w:space="0" w:color="auto"/>
            </w:tcBorders>
            <w:vAlign w:val="center"/>
          </w:tcPr>
          <w:p w:rsidR="009B28BA" w:rsidRPr="009B28BA" w:rsidRDefault="009B28BA" w:rsidP="00492255">
            <w:pPr>
              <w:rPr>
                <w:sz w:val="18"/>
                <w:szCs w:val="18"/>
              </w:rPr>
            </w:pPr>
            <w:r w:rsidRPr="009B28BA">
              <w:rPr>
                <w:sz w:val="18"/>
                <w:szCs w:val="18"/>
              </w:rPr>
              <w:t>5</w:t>
            </w:r>
          </w:p>
        </w:tc>
        <w:tc>
          <w:tcPr>
            <w:tcW w:w="709" w:type="dxa"/>
            <w:vAlign w:val="center"/>
          </w:tcPr>
          <w:p w:rsidR="009B28BA" w:rsidRPr="009B28BA" w:rsidRDefault="009B28BA" w:rsidP="00492255">
            <w:pPr>
              <w:rPr>
                <w:sz w:val="18"/>
                <w:szCs w:val="18"/>
              </w:rPr>
            </w:pPr>
            <w:r w:rsidRPr="009B28BA">
              <w:rPr>
                <w:sz w:val="18"/>
                <w:szCs w:val="18"/>
              </w:rPr>
              <w:t>15</w:t>
            </w:r>
          </w:p>
        </w:tc>
        <w:tc>
          <w:tcPr>
            <w:tcW w:w="709" w:type="dxa"/>
            <w:vAlign w:val="center"/>
          </w:tcPr>
          <w:p w:rsidR="009B28BA" w:rsidRPr="009B28BA" w:rsidRDefault="009B28BA" w:rsidP="00492255">
            <w:pPr>
              <w:rPr>
                <w:sz w:val="18"/>
                <w:szCs w:val="18"/>
              </w:rPr>
            </w:pPr>
            <w:r w:rsidRPr="009B28BA">
              <w:rPr>
                <w:sz w:val="18"/>
                <w:szCs w:val="18"/>
              </w:rPr>
              <w:t>14</w:t>
            </w:r>
          </w:p>
        </w:tc>
        <w:tc>
          <w:tcPr>
            <w:tcW w:w="708" w:type="dxa"/>
            <w:vAlign w:val="center"/>
          </w:tcPr>
          <w:p w:rsidR="009B28BA" w:rsidRPr="009B28BA" w:rsidRDefault="009B28BA" w:rsidP="00492255">
            <w:pPr>
              <w:rPr>
                <w:sz w:val="18"/>
                <w:szCs w:val="18"/>
              </w:rPr>
            </w:pPr>
            <w:r w:rsidRPr="009B28BA">
              <w:rPr>
                <w:sz w:val="18"/>
                <w:szCs w:val="18"/>
              </w:rPr>
              <w:t>13</w:t>
            </w:r>
          </w:p>
        </w:tc>
      </w:tr>
      <w:tr w:rsidR="009B28BA" w:rsidTr="007B4FEF">
        <w:trPr>
          <w:cantSplit/>
          <w:trHeight w:hRule="exact" w:val="435"/>
          <w:jc w:val="center"/>
        </w:trPr>
        <w:tc>
          <w:tcPr>
            <w:tcW w:w="11069" w:type="dxa"/>
            <w:gridSpan w:val="14"/>
            <w:vAlign w:val="center"/>
          </w:tcPr>
          <w:p w:rsidR="009B28BA" w:rsidRDefault="007B4FEF" w:rsidP="00492255">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9B28BA" w:rsidRDefault="009B28BA" w:rsidP="009B28BA">
      <w:pPr>
        <w:pStyle w:val="AnnexTable"/>
        <w:rPr>
          <w:rFonts w:cs="Arial"/>
          <w:szCs w:val="18"/>
        </w:rPr>
        <w:sectPr w:rsidR="009B28BA" w:rsidSect="002C3D52">
          <w:endnotePr>
            <w:numFmt w:val="decimal"/>
            <w:numRestart w:val="eachSect"/>
          </w:endnotePr>
          <w:type w:val="continuous"/>
          <w:pgSz w:w="11907" w:h="16840" w:code="9"/>
          <w:pgMar w:top="1276" w:right="1418" w:bottom="851" w:left="1418" w:header="680" w:footer="567" w:gutter="0"/>
          <w:cols w:space="708"/>
          <w:docGrid w:linePitch="360"/>
        </w:sectPr>
      </w:pPr>
    </w:p>
    <w:p w:rsidR="009B28BA" w:rsidRDefault="009B28BA" w:rsidP="009B28BA">
      <w:pPr>
        <w:pStyle w:val="AnnexTable"/>
        <w:rPr>
          <w:rFonts w:cs="Arial"/>
          <w:szCs w:val="18"/>
        </w:rPr>
      </w:pPr>
      <w:r>
        <w:rPr>
          <w:rFonts w:cs="Arial"/>
          <w:szCs w:val="18"/>
        </w:rPr>
        <w:br w:type="page"/>
      </w:r>
    </w:p>
    <w:p w:rsidR="00092232" w:rsidRPr="00DA3F2F" w:rsidRDefault="00092232">
      <w:pPr>
        <w:spacing w:before="0" w:after="0" w:line="240" w:lineRule="auto"/>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4"/>
        <w:gridCol w:w="3680"/>
        <w:gridCol w:w="1132"/>
        <w:gridCol w:w="915"/>
      </w:tblGrid>
      <w:tr w:rsidR="00092232" w:rsidTr="00092232">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92232" w:rsidRDefault="00092232" w:rsidP="001E1D98">
            <w:pPr>
              <w:rPr>
                <w:sz w:val="24"/>
              </w:rPr>
            </w:pPr>
            <w:r>
              <w:t xml:space="preserve">Numéro de projet: </w:t>
            </w:r>
          </w:p>
        </w:tc>
      </w:tr>
      <w:tr w:rsidR="00092232" w:rsidTr="00092232">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92232" w:rsidRDefault="00092232" w:rsidP="00012649">
            <w:pPr>
              <w:rPr>
                <w:sz w:val="24"/>
              </w:rPr>
            </w:pPr>
            <w:r>
              <w:t xml:space="preserve">Titre: Summary of contextual overviews on children's involvement in </w:t>
            </w:r>
            <w:r w:rsidR="00012649">
              <w:t>civil and administrative</w:t>
            </w:r>
            <w:r>
              <w:t xml:space="preserve"> judicial proceedings in the 28 Member States of the European Union</w:t>
            </w:r>
          </w:p>
        </w:tc>
      </w:tr>
      <w:tr w:rsidR="00092232" w:rsidTr="00092232">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92232" w:rsidRDefault="00092232">
            <w:pPr>
              <w:jc w:val="center"/>
              <w:rPr>
                <w:sz w:val="24"/>
              </w:rPr>
            </w:pPr>
            <w:r>
              <w:t>Version linguistique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92232" w:rsidRDefault="00092232">
            <w:pPr>
              <w:jc w:val="center"/>
              <w:rPr>
                <w:sz w:val="24"/>
              </w:rPr>
            </w:pPr>
            <w:r>
              <w:t>Numéro de catalogue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92232" w:rsidRDefault="00092232">
            <w:pPr>
              <w:jc w:val="center"/>
              <w:rPr>
                <w:sz w:val="24"/>
              </w:rPr>
            </w:pPr>
            <w:r>
              <w:t>ISBN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92232" w:rsidRDefault="00092232">
            <w:pPr>
              <w:jc w:val="center"/>
              <w:rPr>
                <w:sz w:val="24"/>
              </w:rPr>
            </w:pPr>
            <w:r>
              <w:t>DOI</w:t>
            </w:r>
          </w:p>
        </w:tc>
      </w:tr>
      <w:tr w:rsidR="00092232" w:rsidTr="001E1D98">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92232" w:rsidRDefault="00092232">
            <w:pPr>
              <w:jc w:val="center"/>
              <w:rPr>
                <w:sz w:val="24"/>
              </w:rPr>
            </w:pPr>
            <w:r>
              <w:t>EN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92232" w:rsidRDefault="00092232">
            <w:pPr>
              <w:jc w:val="center"/>
              <w:rPr>
                <w:sz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92232" w:rsidRDefault="00092232">
            <w:pPr>
              <w:jc w:val="center"/>
              <w:rPr>
                <w:sz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92232" w:rsidRDefault="00092232">
            <w:pPr>
              <w:jc w:val="center"/>
              <w:rPr>
                <w:sz w:val="24"/>
              </w:rPr>
            </w:pPr>
          </w:p>
        </w:tc>
      </w:tr>
    </w:tbl>
    <w:p w:rsidR="00092232" w:rsidRPr="000B3BB3" w:rsidRDefault="00092232" w:rsidP="00D77F4E">
      <w:pPr>
        <w:pStyle w:val="FootnoteText"/>
        <w:spacing w:after="120"/>
        <w:rPr>
          <w:rFonts w:cs="Arial"/>
          <w:szCs w:val="18"/>
        </w:rPr>
      </w:pPr>
    </w:p>
    <w:sectPr w:rsidR="00092232" w:rsidRPr="000B3BB3" w:rsidSect="002C3D52">
      <w:type w:val="continuous"/>
      <w:pgSz w:w="11907" w:h="16840" w:code="9"/>
      <w:pgMar w:top="1276" w:right="1418" w:bottom="851"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FB" w:rsidRDefault="00743EFB" w:rsidP="001E33FA">
      <w:pPr>
        <w:spacing w:after="0" w:line="240" w:lineRule="auto"/>
      </w:pPr>
      <w:r>
        <w:separator/>
      </w:r>
    </w:p>
  </w:endnote>
  <w:endnote w:type="continuationSeparator" w:id="0">
    <w:p w:rsidR="00743EFB" w:rsidRDefault="00743EFB" w:rsidP="001E33FA">
      <w:pPr>
        <w:spacing w:after="0" w:line="240" w:lineRule="auto"/>
      </w:pPr>
      <w:r>
        <w:continuationSeparator/>
      </w:r>
    </w:p>
  </w:endnote>
  <w:endnote w:type="continuationNotice" w:id="1">
    <w:p w:rsidR="00743EFB" w:rsidRDefault="00743EFB">
      <w:pPr>
        <w:spacing w:before="0" w:after="0" w:line="240" w:lineRule="auto"/>
      </w:pPr>
    </w:p>
  </w:endnote>
  <w:endnote w:id="2">
    <w:p w:rsidR="00A5732C" w:rsidRPr="00140790" w:rsidRDefault="00A5732C" w:rsidP="00233EFA">
      <w:pPr>
        <w:pStyle w:val="EndnoteText"/>
        <w:tabs>
          <w:tab w:val="left" w:pos="9090"/>
        </w:tabs>
      </w:pPr>
      <w:r>
        <w:rPr>
          <w:rStyle w:val="EndnoteReference"/>
        </w:rPr>
        <w:endnoteRef/>
      </w:r>
      <w:r>
        <w:t xml:space="preserve"> By September 2014 it will be the</w:t>
      </w:r>
      <w:r w:rsidRPr="00140790">
        <w:t xml:space="preserve"> Family and Youth Tribunal competent for all family matters.</w:t>
      </w:r>
    </w:p>
  </w:endnote>
  <w:endnote w:id="3">
    <w:p w:rsidR="00A5732C" w:rsidRDefault="00A5732C" w:rsidP="00233EFA">
      <w:pPr>
        <w:pStyle w:val="EndnoteText"/>
        <w:tabs>
          <w:tab w:val="left" w:pos="9090"/>
        </w:tabs>
      </w:pPr>
      <w:r>
        <w:rPr>
          <w:rStyle w:val="EndnoteReference"/>
        </w:rPr>
        <w:endnoteRef/>
      </w:r>
      <w:r>
        <w:t xml:space="preserve"> District Court, criminal chamber in cases for placement or treatment in psychiatric hospital. District Court, civil chamber for compensation proceedings. </w:t>
      </w:r>
    </w:p>
  </w:endnote>
  <w:endnote w:id="4">
    <w:p w:rsidR="00A5732C" w:rsidRDefault="00A5732C" w:rsidP="00233EFA">
      <w:pPr>
        <w:pStyle w:val="EndnoteText"/>
        <w:tabs>
          <w:tab w:val="left" w:pos="9090"/>
        </w:tabs>
      </w:pPr>
      <w:r>
        <w:rPr>
          <w:rStyle w:val="EndnoteReference"/>
        </w:rPr>
        <w:endnoteRef/>
      </w:r>
      <w:r>
        <w:t xml:space="preserve"> Administrative courts when the administrative order has been appealed. </w:t>
      </w:r>
    </w:p>
  </w:endnote>
  <w:endnote w:id="5">
    <w:p w:rsidR="00A5732C" w:rsidRDefault="00A5732C" w:rsidP="00233EFA">
      <w:pPr>
        <w:pStyle w:val="EndnoteText"/>
        <w:tabs>
          <w:tab w:val="left" w:pos="9090"/>
        </w:tabs>
      </w:pPr>
      <w:r>
        <w:rPr>
          <w:rStyle w:val="EndnoteReference"/>
        </w:rPr>
        <w:endnoteRef/>
      </w:r>
      <w:r>
        <w:t xml:space="preserve"> In case of urgent need for protection, a child may be placed temporarily into care by an administrative decision. In this instance there are 2 stages- an administrative stage and a civil stage. </w:t>
      </w:r>
    </w:p>
  </w:endnote>
  <w:endnote w:id="6">
    <w:p w:rsidR="00A5732C" w:rsidRDefault="00A5732C" w:rsidP="00233EFA">
      <w:pPr>
        <w:pStyle w:val="EndnoteText"/>
        <w:tabs>
          <w:tab w:val="left" w:pos="9090"/>
        </w:tabs>
      </w:pPr>
      <w:r>
        <w:rPr>
          <w:rStyle w:val="EndnoteReference"/>
        </w:rPr>
        <w:endnoteRef/>
      </w:r>
      <w:r>
        <w:t xml:space="preserve"> Appealed before District Court. Decision of District Court appealed before Administrative Court. </w:t>
      </w:r>
    </w:p>
  </w:endnote>
  <w:endnote w:id="7">
    <w:p w:rsidR="00A5732C" w:rsidRDefault="00A5732C" w:rsidP="00233EFA">
      <w:pPr>
        <w:pStyle w:val="EndnoteText"/>
        <w:tabs>
          <w:tab w:val="left" w:pos="9090"/>
        </w:tabs>
      </w:pPr>
      <w:r>
        <w:rPr>
          <w:rStyle w:val="EndnoteReference"/>
        </w:rPr>
        <w:endnoteRef/>
      </w:r>
      <w:r>
        <w:t xml:space="preserve"> District Court, criminal chamber. The decisions of the District Courts can be appealed before Administrative Courts. </w:t>
      </w:r>
    </w:p>
  </w:endnote>
  <w:endnote w:id="8">
    <w:p w:rsidR="00A5732C" w:rsidRDefault="00A5732C" w:rsidP="00233EFA">
      <w:pPr>
        <w:pStyle w:val="EndnoteText"/>
        <w:tabs>
          <w:tab w:val="left" w:pos="9090"/>
        </w:tabs>
      </w:pPr>
      <w:r>
        <w:rPr>
          <w:rStyle w:val="EndnoteReference"/>
        </w:rPr>
        <w:endnoteRef/>
      </w:r>
      <w:r>
        <w:t xml:space="preserve"> Administrative judicial proceedings in certain areas (e.g. vaccination, etc.). </w:t>
      </w:r>
    </w:p>
  </w:endnote>
  <w:endnote w:id="9">
    <w:p w:rsidR="00A5732C" w:rsidRDefault="00A5732C" w:rsidP="00233EFA">
      <w:pPr>
        <w:pStyle w:val="EndnoteText"/>
        <w:tabs>
          <w:tab w:val="left" w:pos="9090"/>
        </w:tabs>
      </w:pPr>
      <w:r>
        <w:rPr>
          <w:rStyle w:val="EndnoteReference"/>
        </w:rPr>
        <w:endnoteRef/>
      </w:r>
      <w:r>
        <w:t xml:space="preserve"> For placement into care, criminal procedural rules apply.</w:t>
      </w:r>
    </w:p>
  </w:endnote>
  <w:endnote w:id="10">
    <w:p w:rsidR="00A5732C" w:rsidRDefault="00A5732C" w:rsidP="00233EFA">
      <w:pPr>
        <w:pStyle w:val="EndnoteText"/>
        <w:tabs>
          <w:tab w:val="left" w:pos="9090"/>
        </w:tabs>
      </w:pPr>
      <w:r>
        <w:rPr>
          <w:rStyle w:val="EndnoteReference"/>
        </w:rPr>
        <w:endnoteRef/>
      </w:r>
      <w:r>
        <w:t xml:space="preserve"> In case of custodial rights, civil judicial proceedings apply.</w:t>
      </w:r>
    </w:p>
  </w:endnote>
  <w:endnote w:id="11">
    <w:p w:rsidR="00A5732C" w:rsidRDefault="00A5732C" w:rsidP="00233EFA">
      <w:pPr>
        <w:pStyle w:val="EndnoteText"/>
        <w:tabs>
          <w:tab w:val="left" w:pos="9090"/>
        </w:tabs>
      </w:pPr>
      <w:r>
        <w:rPr>
          <w:rStyle w:val="EndnoteReference"/>
        </w:rPr>
        <w:endnoteRef/>
      </w:r>
      <w:r>
        <w:t xml:space="preserve"> Administrative judicial proceedings for decisions taken by administrative health authority. Civil judicial proceedings for placement decisions and civil liability claims. </w:t>
      </w:r>
    </w:p>
  </w:endnote>
  <w:endnote w:id="12">
    <w:p w:rsidR="00A5732C" w:rsidRDefault="00A5732C" w:rsidP="00233EFA">
      <w:pPr>
        <w:pStyle w:val="EndnoteText"/>
        <w:tabs>
          <w:tab w:val="left" w:pos="9090"/>
        </w:tabs>
      </w:pPr>
      <w:r>
        <w:rPr>
          <w:rStyle w:val="EndnoteReference"/>
        </w:rPr>
        <w:endnoteRef/>
      </w:r>
      <w:r>
        <w:t xml:space="preserve"> Civil judicial proceedings for child protection measures. Educative measures are not compulsory and therefore no appeal against them is foreseen. </w:t>
      </w:r>
    </w:p>
  </w:endnote>
  <w:endnote w:id="13">
    <w:p w:rsidR="00A5732C" w:rsidRDefault="00A5732C" w:rsidP="00233EFA">
      <w:pPr>
        <w:pStyle w:val="EndnoteText"/>
        <w:tabs>
          <w:tab w:val="left" w:pos="9090"/>
        </w:tabs>
      </w:pPr>
      <w:r>
        <w:rPr>
          <w:rStyle w:val="EndnoteReference"/>
        </w:rPr>
        <w:endnoteRef/>
      </w:r>
      <w:r>
        <w:t xml:space="preserve"> Insurance Court for cases concerning financial aid for students. </w:t>
      </w:r>
    </w:p>
  </w:endnote>
  <w:endnote w:id="14">
    <w:p w:rsidR="00A5732C" w:rsidRDefault="00A5732C" w:rsidP="00233EFA">
      <w:pPr>
        <w:pStyle w:val="EndnoteText"/>
        <w:tabs>
          <w:tab w:val="left" w:pos="9090"/>
        </w:tabs>
      </w:pPr>
      <w:r>
        <w:rPr>
          <w:rStyle w:val="EndnoteReference"/>
        </w:rPr>
        <w:endnoteRef/>
      </w:r>
      <w:r>
        <w:t xml:space="preserve"> Criminal courts are competent when the authorities’ acts can be detached from the function. </w:t>
      </w:r>
    </w:p>
  </w:endnote>
  <w:endnote w:id="15">
    <w:p w:rsidR="00A5732C" w:rsidRDefault="00A5732C" w:rsidP="00233EFA">
      <w:pPr>
        <w:pStyle w:val="EndnoteText"/>
        <w:tabs>
          <w:tab w:val="left" w:pos="9090"/>
        </w:tabs>
      </w:pPr>
      <w:r>
        <w:rPr>
          <w:rStyle w:val="EndnoteReference"/>
        </w:rPr>
        <w:endnoteRef/>
      </w:r>
      <w:r>
        <w:t xml:space="preserve"> Civil courts are competent to decide in the field of mental health. </w:t>
      </w:r>
    </w:p>
  </w:endnote>
  <w:endnote w:id="16">
    <w:p w:rsidR="00A5732C" w:rsidRDefault="00A5732C" w:rsidP="00233EFA">
      <w:pPr>
        <w:pStyle w:val="EndnoteText"/>
        <w:tabs>
          <w:tab w:val="left" w:pos="9090"/>
        </w:tabs>
      </w:pPr>
      <w:r>
        <w:rPr>
          <w:rStyle w:val="EndnoteReference"/>
        </w:rPr>
        <w:endnoteRef/>
      </w:r>
      <w:r>
        <w:t xml:space="preserve"> Civil judicial proceedings in the field of mental health. </w:t>
      </w:r>
    </w:p>
  </w:endnote>
  <w:endnote w:id="17">
    <w:p w:rsidR="00A5732C" w:rsidRPr="0067126E" w:rsidRDefault="00A5732C" w:rsidP="00233EFA">
      <w:pPr>
        <w:pStyle w:val="EndnoteText"/>
        <w:tabs>
          <w:tab w:val="left" w:pos="9090"/>
        </w:tabs>
        <w:rPr>
          <w:lang w:val="en-US"/>
        </w:rPr>
      </w:pPr>
      <w:r>
        <w:rPr>
          <w:rStyle w:val="EndnoteReference"/>
        </w:rPr>
        <w:endnoteRef/>
      </w:r>
      <w:r>
        <w:t xml:space="preserve"> Civil courts are competent in certain cases to impose measures for the protection of a child. </w:t>
      </w:r>
    </w:p>
  </w:endnote>
  <w:endnote w:id="18">
    <w:p w:rsidR="00A5732C" w:rsidRDefault="00A5732C" w:rsidP="00233EFA">
      <w:pPr>
        <w:pStyle w:val="EndnoteText"/>
        <w:tabs>
          <w:tab w:val="left" w:pos="9090"/>
        </w:tabs>
      </w:pPr>
      <w:r>
        <w:rPr>
          <w:rStyle w:val="EndnoteReference"/>
        </w:rPr>
        <w:endnoteRef/>
      </w:r>
      <w:r>
        <w:t xml:space="preserve"> Civil judicial proceedings in certain cases when the civil courts impose measures for the protection of a child. </w:t>
      </w:r>
    </w:p>
  </w:endnote>
  <w:endnote w:id="19">
    <w:p w:rsidR="00A5732C" w:rsidRDefault="00A5732C" w:rsidP="00233EFA">
      <w:pPr>
        <w:pStyle w:val="EndnoteText"/>
        <w:tabs>
          <w:tab w:val="left" w:pos="9090"/>
        </w:tabs>
      </w:pPr>
      <w:r>
        <w:rPr>
          <w:rStyle w:val="EndnoteReference"/>
        </w:rPr>
        <w:endnoteRef/>
      </w:r>
      <w:r>
        <w:t xml:space="preserve"> Offence Court in first instance and High Court of Offences in second instance for proceedings as regulated by the Act on Offences. </w:t>
      </w:r>
    </w:p>
  </w:endnote>
  <w:endnote w:id="20">
    <w:p w:rsidR="00A5732C" w:rsidRDefault="00A5732C" w:rsidP="00233EFA">
      <w:pPr>
        <w:pStyle w:val="EndnoteText"/>
        <w:tabs>
          <w:tab w:val="left" w:pos="9090"/>
        </w:tabs>
      </w:pPr>
      <w:r>
        <w:rPr>
          <w:rStyle w:val="EndnoteReference"/>
        </w:rPr>
        <w:endnoteRef/>
      </w:r>
      <w:r>
        <w:t xml:space="preserve"> Administrative and labour courts are competent to review administrative authorities’ decisions. District courts are competent in case of judicial objection against administrative decisions. </w:t>
      </w:r>
    </w:p>
  </w:endnote>
  <w:endnote w:id="21">
    <w:p w:rsidR="00A5732C" w:rsidRDefault="00A5732C" w:rsidP="00233EFA">
      <w:pPr>
        <w:pStyle w:val="EndnoteText"/>
        <w:tabs>
          <w:tab w:val="left" w:pos="9090"/>
        </w:tabs>
      </w:pPr>
      <w:r>
        <w:rPr>
          <w:rStyle w:val="EndnoteReference"/>
        </w:rPr>
        <w:endnoteRef/>
      </w:r>
      <w:r>
        <w:t xml:space="preserve"> Administrative courts are competent to review administrative authorities’ decisions. Civil courts are competent to take decisions with regard to involuntary placement of children into mental hospitals. </w:t>
      </w:r>
    </w:p>
  </w:endnote>
  <w:endnote w:id="22">
    <w:p w:rsidR="00A5732C" w:rsidRDefault="00A5732C" w:rsidP="00233EFA">
      <w:pPr>
        <w:pStyle w:val="EndnoteText"/>
        <w:tabs>
          <w:tab w:val="left" w:pos="9090"/>
        </w:tabs>
      </w:pPr>
      <w:r>
        <w:rPr>
          <w:rStyle w:val="EndnoteReference"/>
        </w:rPr>
        <w:endnoteRef/>
      </w:r>
      <w:r>
        <w:t xml:space="preserve"> General jurisdiction courts are competent to take decisions with regard to the removal of parental rights. Administrative courts are competent to review administrative authorities’ decisions (temporary guardianship/curatorship). </w:t>
      </w:r>
    </w:p>
  </w:endnote>
  <w:endnote w:id="23">
    <w:p w:rsidR="00A5732C" w:rsidRDefault="00A5732C" w:rsidP="00233EFA">
      <w:pPr>
        <w:pStyle w:val="EndnoteText"/>
        <w:tabs>
          <w:tab w:val="left" w:pos="9090"/>
        </w:tabs>
      </w:pPr>
      <w:r>
        <w:rPr>
          <w:rStyle w:val="EndnoteReference"/>
        </w:rPr>
        <w:endnoteRef/>
      </w:r>
      <w:r>
        <w:t xml:space="preserve"> Civil judicial proceedings (removal of parental rights). Administrative judicial proceedings (temporary guardianship/curatorship). </w:t>
      </w:r>
    </w:p>
  </w:endnote>
  <w:endnote w:id="24">
    <w:p w:rsidR="00A5732C" w:rsidRDefault="00A5732C" w:rsidP="00233EFA">
      <w:pPr>
        <w:pStyle w:val="EndnoteText"/>
        <w:tabs>
          <w:tab w:val="left" w:pos="9090"/>
        </w:tabs>
      </w:pPr>
      <w:r>
        <w:rPr>
          <w:rStyle w:val="EndnoteReference"/>
        </w:rPr>
        <w:endnoteRef/>
      </w:r>
      <w:r>
        <w:t xml:space="preserve"> General Jurisdiction Courts are competent to review administrative authorities’ decisions. (Judicial review of cases of administrative offences e.g. if committed by natural persons). Administrative courts are competent to review administrative authorities’ decisions (Legality, actions and inactions of public administration authorities). </w:t>
      </w:r>
    </w:p>
  </w:endnote>
  <w:endnote w:id="25">
    <w:p w:rsidR="00A5732C" w:rsidRDefault="00A5732C" w:rsidP="00233EFA">
      <w:pPr>
        <w:pStyle w:val="EndnoteText"/>
        <w:tabs>
          <w:tab w:val="left" w:pos="9090"/>
        </w:tabs>
      </w:pPr>
      <w:r>
        <w:rPr>
          <w:rStyle w:val="EndnoteReference"/>
        </w:rPr>
        <w:endnoteRef/>
      </w:r>
      <w:r>
        <w:t xml:space="preserve"> Judicial proceedings (Judicial Review of cases of administrative offences e.g. if committed by natural persons). Administrative judicial proceedings (Legality, actions and inactions of public administration authorities). </w:t>
      </w:r>
    </w:p>
  </w:endnote>
  <w:endnote w:id="26">
    <w:p w:rsidR="00A5732C" w:rsidRDefault="00A5732C" w:rsidP="00233EFA">
      <w:pPr>
        <w:pStyle w:val="EndnoteText"/>
        <w:tabs>
          <w:tab w:val="left" w:pos="9090"/>
        </w:tabs>
      </w:pPr>
      <w:r>
        <w:rPr>
          <w:rStyle w:val="EndnoteReference"/>
        </w:rPr>
        <w:endnoteRef/>
      </w:r>
      <w:r>
        <w:t xml:space="preserve"> Civil judicial proceedings in cases of admission to a psychiatric hospital. </w:t>
      </w:r>
    </w:p>
  </w:endnote>
  <w:endnote w:id="27">
    <w:p w:rsidR="00A5732C" w:rsidRDefault="00A5732C" w:rsidP="00593AF4">
      <w:pPr>
        <w:pStyle w:val="EndnoteText"/>
      </w:pPr>
      <w:r>
        <w:rPr>
          <w:rStyle w:val="EndnoteReference"/>
        </w:rPr>
        <w:endnoteRef/>
      </w:r>
      <w:r>
        <w:t xml:space="preserve"> For detailed information on the MACR, please refer to Table 3.1 in the EU summary report on children involved in CRIM judicial proceedings.</w:t>
      </w:r>
    </w:p>
  </w:endnote>
  <w:endnote w:id="28">
    <w:p w:rsidR="00A5732C" w:rsidRPr="001F57EC" w:rsidRDefault="00A5732C" w:rsidP="00593AF4">
      <w:pPr>
        <w:pStyle w:val="EndnoteText"/>
        <w:rPr>
          <w:lang w:val="en-US"/>
        </w:rPr>
      </w:pPr>
      <w:r>
        <w:rPr>
          <w:rStyle w:val="EndnoteReference"/>
        </w:rPr>
        <w:endnoteRef/>
      </w:r>
      <w:r>
        <w:t xml:space="preserve"> In AT, children aged 14+</w:t>
      </w:r>
      <w:r w:rsidRPr="001F57EC">
        <w:t xml:space="preserve"> can </w:t>
      </w:r>
      <w:r>
        <w:t>bring a family case to court in their own right if it concerns</w:t>
      </w:r>
      <w:r w:rsidRPr="001F57EC">
        <w:t xml:space="preserve"> their care and upbringing or personal con</w:t>
      </w:r>
      <w:r>
        <w:t>tacts with the parents in court</w:t>
      </w:r>
      <w:r w:rsidRPr="001F57EC">
        <w:t>.</w:t>
      </w:r>
      <w:r>
        <w:t xml:space="preserve"> Otherwise, the minimum age is 18.</w:t>
      </w:r>
    </w:p>
  </w:endnote>
  <w:endnote w:id="29">
    <w:p w:rsidR="00A5732C" w:rsidRPr="001F57EC" w:rsidRDefault="00A5732C" w:rsidP="00593AF4">
      <w:pPr>
        <w:pStyle w:val="EndnoteText"/>
        <w:rPr>
          <w:lang w:val="en-US"/>
        </w:rPr>
      </w:pPr>
      <w:r>
        <w:rPr>
          <w:rStyle w:val="EndnoteReference"/>
        </w:rPr>
        <w:endnoteRef/>
      </w:r>
      <w:r>
        <w:t xml:space="preserve"> In AT, children aged 14+</w:t>
      </w:r>
      <w:r w:rsidRPr="001F57EC">
        <w:t xml:space="preserve"> can </w:t>
      </w:r>
      <w:r>
        <w:t>bring a placement into care case to court in their own right if it concerns</w:t>
      </w:r>
      <w:r w:rsidRPr="001F57EC">
        <w:t xml:space="preserve"> their care and upbringing or personal con</w:t>
      </w:r>
      <w:r>
        <w:t>tacts with the parents in court</w:t>
      </w:r>
      <w:r w:rsidRPr="001F57EC">
        <w:t>.</w:t>
      </w:r>
      <w:r>
        <w:t xml:space="preserve"> Otherwise, the minimum age is 18.</w:t>
      </w:r>
    </w:p>
  </w:endnote>
  <w:endnote w:id="30">
    <w:p w:rsidR="00A5732C" w:rsidRPr="007727B5" w:rsidRDefault="00A5732C" w:rsidP="00593AF4">
      <w:pPr>
        <w:pStyle w:val="EndnoteText"/>
        <w:rPr>
          <w:lang w:val="en-US"/>
        </w:rPr>
      </w:pPr>
      <w:r>
        <w:rPr>
          <w:rStyle w:val="EndnoteReference"/>
        </w:rPr>
        <w:endnoteRef/>
      </w:r>
      <w:r>
        <w:t xml:space="preserve"> </w:t>
      </w:r>
      <w:r>
        <w:rPr>
          <w:lang w:val="en-US"/>
        </w:rPr>
        <w:t xml:space="preserve">In BE, children cannot bring cases to court. The only exceptions are children aged 16+ who are </w:t>
      </w:r>
      <w:r w:rsidRPr="007727B5">
        <w:t xml:space="preserve">emancipated </w:t>
      </w:r>
      <w:r>
        <w:t xml:space="preserve">and certain other </w:t>
      </w:r>
      <w:r w:rsidRPr="007727B5">
        <w:t>exceptions allowed by case-law.</w:t>
      </w:r>
    </w:p>
  </w:endnote>
  <w:endnote w:id="31">
    <w:p w:rsidR="00A5732C" w:rsidRPr="00EA414E" w:rsidRDefault="00A5732C" w:rsidP="00593AF4">
      <w:pPr>
        <w:pStyle w:val="EndnoteText"/>
        <w:rPr>
          <w:lang w:val="en-US"/>
        </w:rPr>
      </w:pPr>
      <w:r>
        <w:rPr>
          <w:rStyle w:val="EndnoteReference"/>
        </w:rPr>
        <w:endnoteRef/>
      </w:r>
      <w:r>
        <w:t xml:space="preserve"> In BG, </w:t>
      </w:r>
      <w:r w:rsidRPr="00C02FCB">
        <w:rPr>
          <w:bCs/>
        </w:rPr>
        <w:t>child</w:t>
      </w:r>
      <w:r>
        <w:rPr>
          <w:bCs/>
        </w:rPr>
        <w:t xml:space="preserve">ren aged 14+ have </w:t>
      </w:r>
      <w:r w:rsidRPr="00C02FCB">
        <w:rPr>
          <w:bCs/>
        </w:rPr>
        <w:t xml:space="preserve">the right to start administrative proceedings </w:t>
      </w:r>
      <w:r>
        <w:rPr>
          <w:bCs/>
        </w:rPr>
        <w:t>as long as they have their</w:t>
      </w:r>
      <w:r w:rsidRPr="00C02FCB">
        <w:rPr>
          <w:bCs/>
        </w:rPr>
        <w:t xml:space="preserve"> parent’s/guardian’s consent. If the child is unaccompanied he/she can act with the consent of the appointed guardian or with the help of a social worker</w:t>
      </w:r>
      <w:r>
        <w:rPr>
          <w:bCs/>
        </w:rPr>
        <w:t>. Such parental/guardian consent is not needed in employment cases for children aged 16+.</w:t>
      </w:r>
    </w:p>
  </w:endnote>
  <w:endnote w:id="32">
    <w:p w:rsidR="00A5732C" w:rsidRPr="009D277D" w:rsidRDefault="00A5732C" w:rsidP="00593AF4">
      <w:pPr>
        <w:pStyle w:val="EndnoteText"/>
        <w:rPr>
          <w:lang w:val="en-US"/>
        </w:rPr>
      </w:pPr>
      <w:r>
        <w:rPr>
          <w:rStyle w:val="EndnoteReference"/>
        </w:rPr>
        <w:endnoteRef/>
      </w:r>
      <w:r>
        <w:t xml:space="preserve"> Only if</w:t>
      </w:r>
      <w:r>
        <w:rPr>
          <w:lang w:val="en-US"/>
        </w:rPr>
        <w:t xml:space="preserve"> the legal representative authorized the child to take up the employment.</w:t>
      </w:r>
    </w:p>
  </w:endnote>
  <w:endnote w:id="33">
    <w:p w:rsidR="00A5732C" w:rsidRPr="003763D3" w:rsidRDefault="00A5732C" w:rsidP="00593AF4">
      <w:pPr>
        <w:pStyle w:val="EndnoteText"/>
        <w:rPr>
          <w:lang w:val="en-US"/>
        </w:rPr>
      </w:pPr>
      <w:r>
        <w:rPr>
          <w:rStyle w:val="EndnoteReference"/>
        </w:rPr>
        <w:endnoteRef/>
      </w:r>
      <w:r>
        <w:t xml:space="preserve"> In DK, only married children can bring a claim in their own right (without the assistance of a legal representative, parent or guardian), in those regions of DK where the responsible authorities have permitted marriage before the age of 18.</w:t>
      </w:r>
    </w:p>
  </w:endnote>
  <w:endnote w:id="34">
    <w:p w:rsidR="00A5732C" w:rsidRPr="007727B5" w:rsidRDefault="00A5732C" w:rsidP="00593AF4">
      <w:pPr>
        <w:pStyle w:val="EndnoteText"/>
        <w:rPr>
          <w:lang w:val="en-US"/>
        </w:rPr>
      </w:pPr>
      <w:r>
        <w:rPr>
          <w:rStyle w:val="EndnoteReference"/>
        </w:rPr>
        <w:endnoteRef/>
      </w:r>
      <w:r>
        <w:t xml:space="preserve"> </w:t>
      </w:r>
      <w:r>
        <w:rPr>
          <w:lang w:val="en-US"/>
        </w:rPr>
        <w:t>In EE, children aged 15+ can bring a case to court under the nine listed areas of law if the judge considers they are mature enough.</w:t>
      </w:r>
    </w:p>
  </w:endnote>
  <w:endnote w:id="35">
    <w:p w:rsidR="00A5732C" w:rsidRPr="005542E8" w:rsidRDefault="00A5732C" w:rsidP="00593AF4">
      <w:pPr>
        <w:pStyle w:val="EndnoteText"/>
        <w:rPr>
          <w:lang w:val="en-US"/>
        </w:rPr>
      </w:pPr>
      <w:r>
        <w:rPr>
          <w:rStyle w:val="EndnoteReference"/>
        </w:rPr>
        <w:endnoteRef/>
      </w:r>
      <w:r>
        <w:t xml:space="preserve"> In EL, t</w:t>
      </w:r>
      <w:r>
        <w:rPr>
          <w:lang w:val="en-US"/>
        </w:rPr>
        <w:t>he minimum age that a child can bring a cases to court is 12 in termination of adoption cases, 16 in non-contentious proceedings and 18 in all other cases, unless the child is recognized as having limited procedural capacity (e.g. because he or she is married).</w:t>
      </w:r>
    </w:p>
  </w:endnote>
  <w:endnote w:id="36">
    <w:p w:rsidR="00A5732C" w:rsidRPr="005542E8" w:rsidRDefault="00A5732C" w:rsidP="00593AF4">
      <w:pPr>
        <w:pStyle w:val="EndnoteText"/>
        <w:rPr>
          <w:lang w:val="en-US"/>
        </w:rPr>
      </w:pPr>
      <w:r>
        <w:rPr>
          <w:rStyle w:val="EndnoteReference"/>
        </w:rPr>
        <w:endnoteRef/>
      </w:r>
      <w:r>
        <w:t xml:space="preserve"> </w:t>
      </w:r>
      <w:r>
        <w:rPr>
          <w:lang w:val="en-US"/>
        </w:rPr>
        <w:t>However, in EL, the child is normally the subject in placement in care proceedings; on the other hand, since these are considered non-contentious proceedings, children above the age of 16 can appear before court in their own right and file the relevant remedies.</w:t>
      </w:r>
    </w:p>
  </w:endnote>
  <w:endnote w:id="37">
    <w:p w:rsidR="00A5732C" w:rsidRPr="005149B3" w:rsidRDefault="00A5732C" w:rsidP="00593AF4">
      <w:pPr>
        <w:pStyle w:val="EndnoteText"/>
        <w:rPr>
          <w:lang w:val="en-US"/>
        </w:rPr>
      </w:pPr>
      <w:r>
        <w:rPr>
          <w:rStyle w:val="EndnoteReference"/>
        </w:rPr>
        <w:endnoteRef/>
      </w:r>
      <w:r>
        <w:t xml:space="preserve"> </w:t>
      </w:r>
      <w:r>
        <w:rPr>
          <w:lang w:val="en-US"/>
        </w:rPr>
        <w:t>In EL, a child that is 12 or above and has committed an offence below MACR has the right (in parallel with his or her legal representative) to file a complaint against an administrative decision; once he or she turn 17 this right is enjoyed exclusively by the child.</w:t>
      </w:r>
    </w:p>
  </w:endnote>
  <w:endnote w:id="38">
    <w:p w:rsidR="00A5732C" w:rsidRPr="00F11CE6" w:rsidRDefault="00A5732C" w:rsidP="00593AF4">
      <w:pPr>
        <w:pStyle w:val="EndnoteText"/>
        <w:rPr>
          <w:lang w:val="en-US"/>
        </w:rPr>
      </w:pPr>
      <w:r>
        <w:rPr>
          <w:rStyle w:val="EndnoteReference"/>
        </w:rPr>
        <w:endnoteRef/>
      </w:r>
      <w:r>
        <w:t xml:space="preserve"> In ES, o</w:t>
      </w:r>
      <w:r w:rsidRPr="00F11CE6">
        <w:t>nly emancipated children can bring a claim in their own right (without the assistance of a legal representative). In general emancipation is reached at the age of 18, or at the age of 16 through judicial authorization, parental authorization or marriage.</w:t>
      </w:r>
      <w:r>
        <w:t xml:space="preserve"> In some regions, emancipation (derecho foral) can be obtained at the age of 14.</w:t>
      </w:r>
    </w:p>
  </w:endnote>
  <w:endnote w:id="39">
    <w:p w:rsidR="00A5732C" w:rsidRPr="001F57EC" w:rsidRDefault="00A5732C" w:rsidP="00593AF4">
      <w:pPr>
        <w:pStyle w:val="EndnoteText"/>
        <w:rPr>
          <w:lang w:val="en-US"/>
        </w:rPr>
      </w:pPr>
      <w:r>
        <w:rPr>
          <w:rStyle w:val="EndnoteReference"/>
        </w:rPr>
        <w:endnoteRef/>
      </w:r>
      <w:r>
        <w:t xml:space="preserve"> In ES, m</w:t>
      </w:r>
      <w:r>
        <w:rPr>
          <w:lang w:val="en-US"/>
        </w:rPr>
        <w:t>easures applied to children under MACR are voluntary (so cannot be appealed) or fall under the domain of placement into care.</w:t>
      </w:r>
    </w:p>
  </w:endnote>
  <w:endnote w:id="40">
    <w:p w:rsidR="00A5732C" w:rsidRPr="003E3990" w:rsidRDefault="00A5732C" w:rsidP="00593AF4">
      <w:pPr>
        <w:pStyle w:val="EndnoteText"/>
        <w:rPr>
          <w:lang w:val="en-US"/>
        </w:rPr>
      </w:pPr>
      <w:r>
        <w:rPr>
          <w:rStyle w:val="EndnoteReference"/>
        </w:rPr>
        <w:endnoteRef/>
      </w:r>
      <w:r>
        <w:t xml:space="preserve"> </w:t>
      </w:r>
      <w:r>
        <w:rPr>
          <w:lang w:val="en-US"/>
        </w:rPr>
        <w:t>In FI, according to the g</w:t>
      </w:r>
      <w:r w:rsidRPr="003E3990">
        <w:rPr>
          <w:lang w:val="en-US"/>
        </w:rPr>
        <w:t xml:space="preserve">eneral provisions of administrative law </w:t>
      </w:r>
      <w:r>
        <w:rPr>
          <w:lang w:val="en-US"/>
        </w:rPr>
        <w:t>children aged</w:t>
      </w:r>
      <w:r w:rsidRPr="003E3990">
        <w:rPr>
          <w:lang w:val="en-US"/>
        </w:rPr>
        <w:t xml:space="preserve"> 15-17 years of age, inclusive, and the legal representative have independent but parallel rights</w:t>
      </w:r>
      <w:r>
        <w:rPr>
          <w:lang w:val="en-US"/>
        </w:rPr>
        <w:t xml:space="preserve"> to bring an asylum case to court. </w:t>
      </w:r>
    </w:p>
  </w:endnote>
  <w:endnote w:id="41">
    <w:p w:rsidR="00A5732C" w:rsidRPr="003E3990" w:rsidRDefault="00A5732C" w:rsidP="00593AF4">
      <w:pPr>
        <w:pStyle w:val="EndnoteText"/>
        <w:rPr>
          <w:lang w:val="en-US"/>
        </w:rPr>
      </w:pPr>
      <w:r>
        <w:rPr>
          <w:rStyle w:val="EndnoteReference"/>
        </w:rPr>
        <w:endnoteRef/>
      </w:r>
      <w:r>
        <w:t xml:space="preserve"> </w:t>
      </w:r>
      <w:r>
        <w:rPr>
          <w:lang w:val="en-US"/>
        </w:rPr>
        <w:t>In FI, according to the g</w:t>
      </w:r>
      <w:r w:rsidRPr="003E3990">
        <w:rPr>
          <w:lang w:val="en-US"/>
        </w:rPr>
        <w:t xml:space="preserve">eneral provisions of administrative law </w:t>
      </w:r>
      <w:r>
        <w:rPr>
          <w:lang w:val="en-US"/>
        </w:rPr>
        <w:t>children aged</w:t>
      </w:r>
      <w:r w:rsidRPr="003E3990">
        <w:rPr>
          <w:lang w:val="en-US"/>
        </w:rPr>
        <w:t xml:space="preserve"> 15-17 years of age, inclusive, and the legal representative have independent but parallel rights</w:t>
      </w:r>
      <w:r>
        <w:rPr>
          <w:lang w:val="en-US"/>
        </w:rPr>
        <w:t xml:space="preserve"> to bring a migration case to court. </w:t>
      </w:r>
    </w:p>
  </w:endnote>
  <w:endnote w:id="42">
    <w:p w:rsidR="00A5732C" w:rsidRPr="003E3990" w:rsidRDefault="00A5732C" w:rsidP="00593AF4">
      <w:pPr>
        <w:pStyle w:val="EndnoteText"/>
        <w:rPr>
          <w:lang w:val="en-US"/>
        </w:rPr>
      </w:pPr>
      <w:r>
        <w:rPr>
          <w:rStyle w:val="EndnoteReference"/>
        </w:rPr>
        <w:endnoteRef/>
      </w:r>
      <w:r>
        <w:t xml:space="preserve"> </w:t>
      </w:r>
      <w:r>
        <w:rPr>
          <w:lang w:val="en-US"/>
        </w:rPr>
        <w:t xml:space="preserve">In FI, children aged 15+ </w:t>
      </w:r>
      <w:r w:rsidRPr="003E3990">
        <w:rPr>
          <w:lang w:val="en-US"/>
        </w:rPr>
        <w:t>ha</w:t>
      </w:r>
      <w:r>
        <w:rPr>
          <w:lang w:val="en-US"/>
        </w:rPr>
        <w:t>ve</w:t>
      </w:r>
      <w:r w:rsidRPr="003E3990">
        <w:rPr>
          <w:lang w:val="en-US"/>
        </w:rPr>
        <w:t xml:space="preserve"> the right to appeal </w:t>
      </w:r>
      <w:r>
        <w:rPr>
          <w:lang w:val="en-US"/>
        </w:rPr>
        <w:t xml:space="preserve">decisions to an </w:t>
      </w:r>
      <w:r w:rsidRPr="003E3990">
        <w:rPr>
          <w:lang w:val="en-US"/>
        </w:rPr>
        <w:t xml:space="preserve">administrative court </w:t>
      </w:r>
      <w:r>
        <w:rPr>
          <w:lang w:val="en-US"/>
        </w:rPr>
        <w:t>in cases concerning</w:t>
      </w:r>
      <w:r w:rsidRPr="003E3990">
        <w:rPr>
          <w:lang w:val="en-US"/>
        </w:rPr>
        <w:t xml:space="preserve"> religious education and ethics, provision of translation and assistance services, a reprimand, temporary expulsion, student care benefits, school transport, accommodation, and care in cases of accidents</w:t>
      </w:r>
      <w:r>
        <w:rPr>
          <w:lang w:val="en-US"/>
        </w:rPr>
        <w:t>.</w:t>
      </w:r>
    </w:p>
  </w:endnote>
  <w:endnote w:id="43">
    <w:p w:rsidR="00A5732C" w:rsidRPr="003E3990" w:rsidRDefault="00A5732C" w:rsidP="00593AF4">
      <w:pPr>
        <w:pStyle w:val="EndnoteText"/>
        <w:rPr>
          <w:lang w:val="en-US"/>
        </w:rPr>
      </w:pPr>
      <w:r>
        <w:rPr>
          <w:rStyle w:val="EndnoteReference"/>
        </w:rPr>
        <w:endnoteRef/>
      </w:r>
      <w:r>
        <w:t xml:space="preserve"> </w:t>
      </w:r>
      <w:r>
        <w:rPr>
          <w:lang w:val="en-US"/>
        </w:rPr>
        <w:t xml:space="preserve">In FI, children aged 12+ have the right to appeal against a </w:t>
      </w:r>
      <w:r w:rsidRPr="003E3990">
        <w:rPr>
          <w:lang w:val="en-US"/>
        </w:rPr>
        <w:t>decision to order a minor to involuntary mental treatment or to continue treatment or to limit contact</w:t>
      </w:r>
      <w:r>
        <w:rPr>
          <w:lang w:val="en-US"/>
        </w:rPr>
        <w:t>.</w:t>
      </w:r>
    </w:p>
  </w:endnote>
  <w:endnote w:id="44">
    <w:p w:rsidR="00A5732C" w:rsidRPr="003E3990" w:rsidRDefault="00A5732C" w:rsidP="00593AF4">
      <w:pPr>
        <w:pStyle w:val="EndnoteText"/>
        <w:rPr>
          <w:lang w:val="en-US"/>
        </w:rPr>
      </w:pPr>
      <w:r>
        <w:rPr>
          <w:rStyle w:val="EndnoteReference"/>
        </w:rPr>
        <w:endnoteRef/>
      </w:r>
      <w:r>
        <w:t xml:space="preserve"> </w:t>
      </w:r>
      <w:r w:rsidRPr="003E3990">
        <w:t xml:space="preserve">In </w:t>
      </w:r>
      <w:r>
        <w:t xml:space="preserve">FI, children aged 12+ has the right to bring a case court in parallel to the legal representative in </w:t>
      </w:r>
      <w:r w:rsidRPr="003E3990">
        <w:t xml:space="preserve">matters concerning child welfare, such </w:t>
      </w:r>
      <w:r>
        <w:t>as taking a child into care.</w:t>
      </w:r>
    </w:p>
  </w:endnote>
  <w:endnote w:id="45">
    <w:p w:rsidR="00A5732C" w:rsidRPr="00885CE1" w:rsidRDefault="00A5732C" w:rsidP="00593AF4">
      <w:pPr>
        <w:pStyle w:val="EndnoteText"/>
      </w:pPr>
      <w:r>
        <w:rPr>
          <w:rStyle w:val="EndnoteReference"/>
        </w:rPr>
        <w:endnoteRef/>
      </w:r>
      <w:r>
        <w:t xml:space="preserve"> </w:t>
      </w:r>
      <w:r>
        <w:rPr>
          <w:lang w:val="en-US"/>
        </w:rPr>
        <w:t xml:space="preserve">In FI, in administrative sanctions proceedings, children aged 15-17, inclusive, have the right to appeal against a decision concerning administrative sanctions in parallel to the legal representative when the matter concerns his or her person or personal benefit or when the matter concerns property or income that he or she administers; otherwise, the right is exercised by </w:t>
      </w:r>
      <w:r w:rsidRPr="00885CE1">
        <w:rPr>
          <w:lang w:val="en-US"/>
        </w:rPr>
        <w:t>the legal representative.</w:t>
      </w:r>
    </w:p>
  </w:endnote>
  <w:endnote w:id="46">
    <w:p w:rsidR="00A5732C" w:rsidRPr="00F75C79" w:rsidRDefault="00A5732C" w:rsidP="00593AF4">
      <w:pPr>
        <w:pStyle w:val="EndnoteText"/>
        <w:rPr>
          <w:lang w:val="en-US"/>
        </w:rPr>
      </w:pPr>
      <w:r>
        <w:rPr>
          <w:rStyle w:val="EndnoteReference"/>
        </w:rPr>
        <w:endnoteRef/>
      </w:r>
      <w:r>
        <w:t xml:space="preserve"> </w:t>
      </w:r>
      <w:r>
        <w:rPr>
          <w:lang w:val="en-US"/>
        </w:rPr>
        <w:t xml:space="preserve">In FR, in all areas of law except family and placement into care, children cannot bring cases before the court in their own right unless they are aged 16+ and emancipated. </w:t>
      </w:r>
    </w:p>
  </w:endnote>
  <w:endnote w:id="47">
    <w:p w:rsidR="00A5732C" w:rsidRPr="0085036F" w:rsidRDefault="00A5732C" w:rsidP="00593AF4">
      <w:pPr>
        <w:pStyle w:val="EndnoteText"/>
      </w:pPr>
      <w:r w:rsidRPr="0085036F">
        <w:rPr>
          <w:rStyle w:val="EndnoteReference"/>
        </w:rPr>
        <w:endnoteRef/>
      </w:r>
      <w:r w:rsidRPr="0085036F">
        <w:t xml:space="preserve"> In practice, in FR, children who are aged 13 and above may be found criminally responsible for certain crimes when they are considered to have sufficient discernment.</w:t>
      </w:r>
    </w:p>
  </w:endnote>
  <w:endnote w:id="48">
    <w:p w:rsidR="00A5732C" w:rsidRPr="001B032E" w:rsidRDefault="00A5732C" w:rsidP="00593AF4">
      <w:pPr>
        <w:pStyle w:val="EndnoteText"/>
        <w:rPr>
          <w:lang w:val="en-US"/>
        </w:rPr>
      </w:pPr>
      <w:r>
        <w:rPr>
          <w:rStyle w:val="EndnoteReference"/>
        </w:rPr>
        <w:endnoteRef/>
      </w:r>
      <w:r>
        <w:t xml:space="preserve"> </w:t>
      </w:r>
      <w:r>
        <w:rPr>
          <w:lang w:val="en-US"/>
        </w:rPr>
        <w:t xml:space="preserve">In FR, in family and placement in care cases, where the child is deemed to be in danger, the child of any age can take the case to a juvenile court in search of protection. </w:t>
      </w:r>
    </w:p>
  </w:endnote>
  <w:endnote w:id="49">
    <w:p w:rsidR="00A5732C" w:rsidRPr="001B032E" w:rsidRDefault="00A5732C" w:rsidP="00593AF4">
      <w:pPr>
        <w:pStyle w:val="EndnoteText"/>
        <w:rPr>
          <w:lang w:val="en-US"/>
        </w:rPr>
      </w:pPr>
      <w:r>
        <w:rPr>
          <w:rStyle w:val="EndnoteReference"/>
        </w:rPr>
        <w:endnoteRef/>
      </w:r>
      <w:r>
        <w:t xml:space="preserve"> </w:t>
      </w:r>
      <w:r>
        <w:rPr>
          <w:lang w:val="en-US"/>
        </w:rPr>
        <w:t xml:space="preserve">In FR, in family and placement in care cases, where the child is deemed to be in danger, the child of any age can take the case to a juvenile court in search of protection. </w:t>
      </w:r>
    </w:p>
  </w:endnote>
  <w:endnote w:id="50">
    <w:p w:rsidR="00A5732C" w:rsidRPr="009B2C3F" w:rsidRDefault="00A5732C" w:rsidP="00593AF4">
      <w:pPr>
        <w:pStyle w:val="EndnoteText"/>
        <w:rPr>
          <w:lang w:val="en-US"/>
        </w:rPr>
      </w:pPr>
      <w:r>
        <w:rPr>
          <w:rStyle w:val="EndnoteReference"/>
        </w:rPr>
        <w:endnoteRef/>
      </w:r>
      <w:r>
        <w:t xml:space="preserve"> </w:t>
      </w:r>
      <w:r>
        <w:rPr>
          <w:lang w:val="en-US"/>
        </w:rPr>
        <w:t>In HR, children cannot bring family cases to court unless they are married or have been ‘emancipated’.</w:t>
      </w:r>
    </w:p>
  </w:endnote>
  <w:endnote w:id="51">
    <w:p w:rsidR="00A5732C" w:rsidRPr="00786FCF" w:rsidRDefault="00A5732C" w:rsidP="00593AF4">
      <w:pPr>
        <w:pStyle w:val="EndnoteText"/>
        <w:rPr>
          <w:lang w:val="en-US"/>
        </w:rPr>
      </w:pPr>
      <w:r>
        <w:rPr>
          <w:rStyle w:val="EndnoteReference"/>
        </w:rPr>
        <w:endnoteRef/>
      </w:r>
      <w:r>
        <w:rPr>
          <w:lang w:val="en-US"/>
        </w:rPr>
        <w:t xml:space="preserve"> In HU, a child that is 14 or above can bring a health-related case to court only if this involves personal rights.</w:t>
      </w:r>
    </w:p>
  </w:endnote>
  <w:endnote w:id="52">
    <w:p w:rsidR="00A5732C" w:rsidRPr="00775FC4" w:rsidRDefault="00A5732C" w:rsidP="00593AF4">
      <w:pPr>
        <w:pStyle w:val="EndnoteText"/>
      </w:pPr>
      <w:r>
        <w:rPr>
          <w:rStyle w:val="EndnoteReference"/>
        </w:rPr>
        <w:endnoteRef/>
      </w:r>
      <w:r>
        <w:t xml:space="preserve"> In HU, no</w:t>
      </w:r>
      <w:r w:rsidRPr="00775FC4">
        <w:t xml:space="preserve"> minimum age exists in law for children involved in cases involving administrative sanctions; in practice</w:t>
      </w:r>
      <w:r>
        <w:t>,</w:t>
      </w:r>
      <w:r w:rsidRPr="00775FC4">
        <w:t xml:space="preserve"> children </w:t>
      </w:r>
      <w:r>
        <w:t xml:space="preserve">are not permitted to </w:t>
      </w:r>
      <w:r w:rsidRPr="00775FC4">
        <w:t>bring these cases before the court.</w:t>
      </w:r>
    </w:p>
  </w:endnote>
  <w:endnote w:id="53">
    <w:p w:rsidR="00A5732C" w:rsidRPr="00F75C79" w:rsidRDefault="00A5732C" w:rsidP="00593AF4">
      <w:pPr>
        <w:pStyle w:val="EndnoteText"/>
        <w:rPr>
          <w:lang w:val="en-US"/>
        </w:rPr>
      </w:pPr>
      <w:r>
        <w:rPr>
          <w:rStyle w:val="EndnoteReference"/>
        </w:rPr>
        <w:endnoteRef/>
      </w:r>
      <w:r>
        <w:t xml:space="preserve"> </w:t>
      </w:r>
      <w:r>
        <w:rPr>
          <w:lang w:val="en-US"/>
        </w:rPr>
        <w:t xml:space="preserve">In IT, in all areas of law except employment, children cannot bring cases before the court in their own right unless they are aged 16+ and emancipated, but even then they need the help of a special legal representative. </w:t>
      </w:r>
    </w:p>
  </w:endnote>
  <w:endnote w:id="54">
    <w:p w:rsidR="00A5732C" w:rsidRPr="00C077F7" w:rsidRDefault="00A5732C" w:rsidP="00593AF4">
      <w:pPr>
        <w:pStyle w:val="EndnoteText"/>
        <w:rPr>
          <w:lang w:val="en-US"/>
        </w:rPr>
      </w:pPr>
      <w:r>
        <w:rPr>
          <w:rStyle w:val="EndnoteReference"/>
        </w:rPr>
        <w:endnoteRef/>
      </w:r>
      <w:r>
        <w:t xml:space="preserve"> </w:t>
      </w:r>
      <w:r>
        <w:rPr>
          <w:lang w:val="en-US"/>
        </w:rPr>
        <w:t>In LT, children can only appear before the court as defendants, not plaintiffs. The minimum age for children to appear as defendants is 14 in all areas of law, except employment law where it is 16 years (as a child can only start working at this age).</w:t>
      </w:r>
    </w:p>
  </w:endnote>
  <w:endnote w:id="55">
    <w:p w:rsidR="00A5732C" w:rsidRPr="00D277FB" w:rsidRDefault="00A5732C" w:rsidP="00593AF4">
      <w:pPr>
        <w:pStyle w:val="EndnoteText"/>
        <w:rPr>
          <w:lang w:val="en-US"/>
        </w:rPr>
      </w:pPr>
      <w:r>
        <w:rPr>
          <w:rStyle w:val="EndnoteReference"/>
        </w:rPr>
        <w:endnoteRef/>
      </w:r>
      <w:r>
        <w:t xml:space="preserve"> </w:t>
      </w:r>
      <w:r>
        <w:rPr>
          <w:lang w:val="en-US"/>
        </w:rPr>
        <w:t>In LU children cannot bring a case before a court unless they are emancipated.</w:t>
      </w:r>
    </w:p>
  </w:endnote>
  <w:endnote w:id="56">
    <w:p w:rsidR="00A5732C" w:rsidRPr="00E26280" w:rsidRDefault="00A5732C" w:rsidP="00593AF4">
      <w:pPr>
        <w:pStyle w:val="EndnoteText"/>
        <w:rPr>
          <w:lang w:val="en-US"/>
        </w:rPr>
      </w:pPr>
      <w:r>
        <w:rPr>
          <w:rStyle w:val="EndnoteReference"/>
        </w:rPr>
        <w:endnoteRef/>
      </w:r>
      <w:r>
        <w:t xml:space="preserve"> </w:t>
      </w:r>
      <w:r>
        <w:rPr>
          <w:lang w:val="en-US"/>
        </w:rPr>
        <w:t>In LV, children cannot bring a case before a court. The exceptions are children aged 16+ who</w:t>
      </w:r>
      <w:r>
        <w:rPr>
          <w:rFonts w:eastAsia="Calibri" w:cs="Arial"/>
        </w:rPr>
        <w:t xml:space="preserve">se </w:t>
      </w:r>
      <w:r w:rsidRPr="00E26280">
        <w:t xml:space="preserve">parents testify that the child is mature enough to take full responsibility </w:t>
      </w:r>
      <w:r>
        <w:t>for</w:t>
      </w:r>
      <w:r w:rsidRPr="00E26280">
        <w:t xml:space="preserve"> his/her matters and when the child is married</w:t>
      </w:r>
      <w:r>
        <w:t>.</w:t>
      </w:r>
    </w:p>
  </w:endnote>
  <w:endnote w:id="57">
    <w:p w:rsidR="00A5732C" w:rsidRPr="003F02A7" w:rsidRDefault="00A5732C" w:rsidP="00593AF4">
      <w:pPr>
        <w:pStyle w:val="EndnoteText"/>
        <w:rPr>
          <w:lang w:val="en-US"/>
        </w:rPr>
      </w:pPr>
      <w:r>
        <w:rPr>
          <w:rStyle w:val="EndnoteReference"/>
        </w:rPr>
        <w:endnoteRef/>
      </w:r>
      <w:r>
        <w:t xml:space="preserve"> </w:t>
      </w:r>
      <w:r>
        <w:rPr>
          <w:lang w:val="en-US"/>
        </w:rPr>
        <w:t xml:space="preserve">In NL, only those 16+ year olds that have been ‘emancipated’ can bring a family case to court on their own; otherwise, the minimum age is 18 except in certain cases such as when a </w:t>
      </w:r>
      <w:r w:rsidRPr="003F02A7">
        <w:t>child asks the court to gran</w:t>
      </w:r>
      <w:r>
        <w:t xml:space="preserve">t authorisation to get married or </w:t>
      </w:r>
      <w:r w:rsidRPr="003F02A7">
        <w:t xml:space="preserve">to replace a family guardianship institution (Gezinsvoogdijinstelling) </w:t>
      </w:r>
      <w:r>
        <w:t>for one in</w:t>
      </w:r>
      <w:r w:rsidRPr="003F02A7">
        <w:t xml:space="preserve"> another province.</w:t>
      </w:r>
    </w:p>
  </w:endnote>
  <w:endnote w:id="58">
    <w:p w:rsidR="00A5732C" w:rsidRPr="00D9567A" w:rsidRDefault="00A5732C" w:rsidP="00593AF4">
      <w:pPr>
        <w:pStyle w:val="EndnoteText"/>
        <w:rPr>
          <w:lang w:val="en-US"/>
        </w:rPr>
      </w:pPr>
      <w:r>
        <w:rPr>
          <w:rStyle w:val="EndnoteReference"/>
        </w:rPr>
        <w:endnoteRef/>
      </w:r>
      <w:r>
        <w:t xml:space="preserve"> In NL, c</w:t>
      </w:r>
      <w:r>
        <w:rPr>
          <w:lang w:val="en-US"/>
        </w:rPr>
        <w:t xml:space="preserve">hildren cannot bring asylum, migration and administrative sanctions cases to court on their own (i.e. do not have </w:t>
      </w:r>
      <w:r w:rsidRPr="00D9567A">
        <w:rPr>
          <w:lang w:val="en-US"/>
        </w:rPr>
        <w:t>procedural capacity to act</w:t>
      </w:r>
      <w:r>
        <w:rPr>
          <w:lang w:val="en-US"/>
        </w:rPr>
        <w:t xml:space="preserve">) unless a judge considers them </w:t>
      </w:r>
      <w:r w:rsidRPr="00D9567A">
        <w:rPr>
          <w:lang w:val="en-US"/>
        </w:rPr>
        <w:t>to have a reasonable understanding of their own interests</w:t>
      </w:r>
      <w:r>
        <w:rPr>
          <w:lang w:val="en-US"/>
        </w:rPr>
        <w:t xml:space="preserve"> and understand the consequences of their actions</w:t>
      </w:r>
      <w:r w:rsidRPr="00D9567A">
        <w:rPr>
          <w:lang w:val="en-US"/>
        </w:rPr>
        <w:t>.</w:t>
      </w:r>
    </w:p>
  </w:endnote>
  <w:endnote w:id="59">
    <w:p w:rsidR="00A5732C" w:rsidRPr="00D9567A" w:rsidRDefault="00A5732C" w:rsidP="00593AF4">
      <w:pPr>
        <w:pStyle w:val="EndnoteText"/>
        <w:rPr>
          <w:lang w:val="en-US"/>
        </w:rPr>
      </w:pPr>
      <w:r>
        <w:rPr>
          <w:rStyle w:val="EndnoteReference"/>
        </w:rPr>
        <w:endnoteRef/>
      </w:r>
      <w:r>
        <w:t xml:space="preserve"> In NL, c</w:t>
      </w:r>
      <w:r>
        <w:rPr>
          <w:lang w:val="en-US"/>
        </w:rPr>
        <w:t xml:space="preserve">hildren cannot bring asylum, migration and administrative sanctions cases to court (i.e. do not have </w:t>
      </w:r>
      <w:r w:rsidRPr="00D9567A">
        <w:rPr>
          <w:lang w:val="en-US"/>
        </w:rPr>
        <w:t>procedural capacity to act</w:t>
      </w:r>
      <w:r>
        <w:rPr>
          <w:lang w:val="en-US"/>
        </w:rPr>
        <w:t xml:space="preserve">) unless a judge considers them </w:t>
      </w:r>
      <w:r w:rsidRPr="00D9567A">
        <w:rPr>
          <w:lang w:val="en-US"/>
        </w:rPr>
        <w:t>to have a reasonable understanding of their own interests</w:t>
      </w:r>
      <w:r w:rsidRPr="009B458D">
        <w:rPr>
          <w:lang w:val="en-US"/>
        </w:rPr>
        <w:t xml:space="preserve"> </w:t>
      </w:r>
      <w:r>
        <w:rPr>
          <w:lang w:val="en-US"/>
        </w:rPr>
        <w:t>and understand the consequences of their actions</w:t>
      </w:r>
      <w:r w:rsidRPr="00D9567A">
        <w:rPr>
          <w:lang w:val="en-US"/>
        </w:rPr>
        <w:t>.</w:t>
      </w:r>
    </w:p>
  </w:endnote>
  <w:endnote w:id="60">
    <w:p w:rsidR="00A5732C" w:rsidRPr="00D9567A" w:rsidRDefault="00A5732C" w:rsidP="00593AF4">
      <w:pPr>
        <w:pStyle w:val="EndnoteText"/>
        <w:rPr>
          <w:lang w:val="en-US"/>
        </w:rPr>
      </w:pPr>
      <w:r>
        <w:rPr>
          <w:rStyle w:val="EndnoteReference"/>
        </w:rPr>
        <w:endnoteRef/>
      </w:r>
      <w:r>
        <w:t xml:space="preserve"> In NL, c</w:t>
      </w:r>
      <w:r>
        <w:rPr>
          <w:lang w:val="en-US"/>
        </w:rPr>
        <w:t>hildren cannot bring education cases to court unless they are 16+ years of age and ‘emancipated’.</w:t>
      </w:r>
    </w:p>
  </w:endnote>
  <w:endnote w:id="61">
    <w:p w:rsidR="00A5732C" w:rsidRPr="00FF2D66" w:rsidRDefault="00A5732C" w:rsidP="00593AF4">
      <w:pPr>
        <w:pStyle w:val="EndnoteText"/>
        <w:rPr>
          <w:lang w:val="en-US"/>
        </w:rPr>
      </w:pPr>
      <w:r>
        <w:rPr>
          <w:rStyle w:val="EndnoteReference"/>
        </w:rPr>
        <w:endnoteRef/>
      </w:r>
      <w:r>
        <w:t xml:space="preserve"> </w:t>
      </w:r>
      <w:r>
        <w:rPr>
          <w:lang w:val="en-US"/>
        </w:rPr>
        <w:t xml:space="preserve">In NL, </w:t>
      </w:r>
      <w:r>
        <w:t>c</w:t>
      </w:r>
      <w:r>
        <w:rPr>
          <w:lang w:val="en-US"/>
        </w:rPr>
        <w:t>hildren cannot bring education cases to court unless they are 16+ years of age and ‘emancipated’.</w:t>
      </w:r>
    </w:p>
  </w:endnote>
  <w:endnote w:id="62">
    <w:p w:rsidR="00A5732C" w:rsidRPr="00D9567A" w:rsidRDefault="00A5732C" w:rsidP="00593AF4">
      <w:pPr>
        <w:pStyle w:val="EndnoteText"/>
        <w:rPr>
          <w:lang w:val="en-US"/>
        </w:rPr>
      </w:pPr>
      <w:r>
        <w:rPr>
          <w:rStyle w:val="EndnoteReference"/>
        </w:rPr>
        <w:endnoteRef/>
      </w:r>
      <w:r>
        <w:t xml:space="preserve"> In NL, c</w:t>
      </w:r>
      <w:r>
        <w:rPr>
          <w:lang w:val="en-US"/>
        </w:rPr>
        <w:t xml:space="preserve">hildren cannot bring asylum, migration and administrative sanctions cases to court on their own (i.e. do not have </w:t>
      </w:r>
      <w:r w:rsidRPr="00D9567A">
        <w:rPr>
          <w:lang w:val="en-US"/>
        </w:rPr>
        <w:t>procedural capacity to act</w:t>
      </w:r>
      <w:r>
        <w:rPr>
          <w:lang w:val="en-US"/>
        </w:rPr>
        <w:t xml:space="preserve">) unless a judge considers them </w:t>
      </w:r>
      <w:r w:rsidRPr="00D9567A">
        <w:rPr>
          <w:lang w:val="en-US"/>
        </w:rPr>
        <w:t>to have a reasonable understanding of their own interests</w:t>
      </w:r>
      <w:r w:rsidRPr="009B458D">
        <w:rPr>
          <w:lang w:val="en-US"/>
        </w:rPr>
        <w:t xml:space="preserve"> </w:t>
      </w:r>
      <w:r>
        <w:rPr>
          <w:lang w:val="en-US"/>
        </w:rPr>
        <w:t>and understand the consequences of their actions</w:t>
      </w:r>
      <w:r w:rsidRPr="00D9567A">
        <w:rPr>
          <w:lang w:val="en-US"/>
        </w:rPr>
        <w:t>.</w:t>
      </w:r>
    </w:p>
  </w:endnote>
  <w:endnote w:id="63">
    <w:p w:rsidR="00A5732C" w:rsidRPr="008372AD" w:rsidRDefault="00A5732C" w:rsidP="00593AF4">
      <w:pPr>
        <w:pStyle w:val="EndnoteText"/>
        <w:rPr>
          <w:lang w:val="en-US"/>
        </w:rPr>
      </w:pPr>
      <w:r>
        <w:rPr>
          <w:rStyle w:val="EndnoteReference"/>
        </w:rPr>
        <w:endnoteRef/>
      </w:r>
      <w:r>
        <w:t xml:space="preserve"> </w:t>
      </w:r>
      <w:r>
        <w:rPr>
          <w:lang w:val="en-US"/>
        </w:rPr>
        <w:t xml:space="preserve">In PL, only girls aged 16+ can bring family cases to court in order to file an application to get married, or boys and girls aged 16+ in </w:t>
      </w:r>
      <w:r w:rsidRPr="005168EB">
        <w:t>cases concerning claiming or denial of paternity or maternity or contesting previously determined paternity</w:t>
      </w:r>
      <w:r>
        <w:t>.</w:t>
      </w:r>
    </w:p>
  </w:endnote>
  <w:endnote w:id="64">
    <w:p w:rsidR="00A5732C" w:rsidRPr="00D9567A" w:rsidRDefault="00A5732C" w:rsidP="00593AF4">
      <w:pPr>
        <w:pStyle w:val="EndnoteText"/>
        <w:rPr>
          <w:lang w:val="en-US"/>
        </w:rPr>
      </w:pPr>
      <w:r>
        <w:rPr>
          <w:rStyle w:val="EndnoteReference"/>
        </w:rPr>
        <w:endnoteRef/>
      </w:r>
      <w:r>
        <w:t xml:space="preserve"> </w:t>
      </w:r>
      <w:r>
        <w:rPr>
          <w:lang w:val="en-US"/>
        </w:rPr>
        <w:t xml:space="preserve">In PT, children do not have procedural capacity and therefore cannot bring a case to court in their own right; this must be done by their legal representative. The only exceptions are children aged 16+ who have been emancipated. </w:t>
      </w:r>
    </w:p>
  </w:endnote>
  <w:endnote w:id="65">
    <w:p w:rsidR="00A5732C" w:rsidRPr="00DF20D4" w:rsidRDefault="00A5732C" w:rsidP="00593AF4">
      <w:pPr>
        <w:pStyle w:val="EndnoteText"/>
        <w:rPr>
          <w:lang w:val="en-US"/>
        </w:rPr>
      </w:pPr>
      <w:r>
        <w:rPr>
          <w:rStyle w:val="EndnoteReference"/>
        </w:rPr>
        <w:endnoteRef/>
      </w:r>
      <w:r>
        <w:t xml:space="preserve"> In PT, c</w:t>
      </w:r>
      <w:r w:rsidRPr="00DF20D4">
        <w:t>hildren lack standing to bring a case on placement into care. The Public Prosecutor is the responsible actor for bringing such a case into Court.</w:t>
      </w:r>
    </w:p>
  </w:endnote>
  <w:endnote w:id="66">
    <w:p w:rsidR="00A5732C" w:rsidRPr="00C0664A" w:rsidRDefault="00A5732C" w:rsidP="00593AF4">
      <w:pPr>
        <w:pStyle w:val="EndnoteText"/>
      </w:pPr>
      <w:r>
        <w:rPr>
          <w:rStyle w:val="EndnoteReference"/>
        </w:rPr>
        <w:endnoteRef/>
      </w:r>
      <w:r>
        <w:t xml:space="preserve"> </w:t>
      </w:r>
      <w:r>
        <w:rPr>
          <w:lang w:val="en-US"/>
        </w:rPr>
        <w:t>In RO, c</w:t>
      </w:r>
      <w:r w:rsidRPr="00C0664A">
        <w:rPr>
          <w:lang w:val="en-US"/>
        </w:rPr>
        <w:t xml:space="preserve">hildren aged 14+ can bring cases to court, but only with the approval of the guardian. </w:t>
      </w:r>
      <w:r>
        <w:rPr>
          <w:lang w:val="en-US"/>
        </w:rPr>
        <w:t>Approval of the guardian is not needed for children aged 16+ who are married, or who have received an explicit order in this regard by the tutelary court</w:t>
      </w:r>
      <w:r w:rsidRPr="00C0664A">
        <w:rPr>
          <w:lang w:val="en-US"/>
        </w:rPr>
        <w:t>.</w:t>
      </w:r>
    </w:p>
  </w:endnote>
  <w:endnote w:id="67">
    <w:p w:rsidR="00A5732C" w:rsidRPr="00C0664A" w:rsidRDefault="00A5732C" w:rsidP="00593AF4">
      <w:pPr>
        <w:pStyle w:val="EndnoteText"/>
        <w:rPr>
          <w:lang w:val="en-US"/>
        </w:rPr>
      </w:pPr>
      <w:r>
        <w:rPr>
          <w:rStyle w:val="EndnoteReference"/>
        </w:rPr>
        <w:endnoteRef/>
      </w:r>
      <w:r>
        <w:t xml:space="preserve"> See FN51.</w:t>
      </w:r>
    </w:p>
  </w:endnote>
  <w:endnote w:id="68">
    <w:p w:rsidR="00A5732C" w:rsidRPr="00C0664A" w:rsidRDefault="00A5732C" w:rsidP="00593AF4">
      <w:pPr>
        <w:pStyle w:val="EndnoteText"/>
        <w:rPr>
          <w:lang w:val="en-US"/>
        </w:rPr>
      </w:pPr>
      <w:r>
        <w:rPr>
          <w:rStyle w:val="EndnoteReference"/>
        </w:rPr>
        <w:endnoteRef/>
      </w:r>
      <w:r>
        <w:t xml:space="preserve"> </w:t>
      </w:r>
      <w:r>
        <w:rPr>
          <w:lang w:val="en-US"/>
        </w:rPr>
        <w:t>In RO, unaccompanied minors aged 14+ can initiate a request for asylum in their own right. However, the request is only examined after the appointment of a guardian.</w:t>
      </w:r>
    </w:p>
  </w:endnote>
  <w:endnote w:id="69">
    <w:p w:rsidR="00A5732C" w:rsidRPr="00C0664A" w:rsidRDefault="00A5732C" w:rsidP="00593AF4">
      <w:pPr>
        <w:pStyle w:val="EndnoteText"/>
        <w:rPr>
          <w:lang w:val="en-US"/>
        </w:rPr>
      </w:pPr>
      <w:r>
        <w:rPr>
          <w:rStyle w:val="EndnoteReference"/>
        </w:rPr>
        <w:endnoteRef/>
      </w:r>
      <w:r>
        <w:t xml:space="preserve"> In RO, children aged 14+ can bring a case concerning offences committed below MACR to court, but </w:t>
      </w:r>
      <w:r>
        <w:rPr>
          <w:lang w:val="en-US"/>
        </w:rPr>
        <w:t>only with the approval of a guardian.</w:t>
      </w:r>
    </w:p>
  </w:endnote>
  <w:endnote w:id="70">
    <w:p w:rsidR="00A5732C" w:rsidRPr="00533654" w:rsidRDefault="00A5732C" w:rsidP="00593AF4">
      <w:pPr>
        <w:pStyle w:val="EndnoteText"/>
        <w:rPr>
          <w:lang w:val="en-US"/>
        </w:rPr>
      </w:pPr>
      <w:r>
        <w:rPr>
          <w:rStyle w:val="EndnoteReference"/>
        </w:rPr>
        <w:endnoteRef/>
      </w:r>
      <w:r>
        <w:t xml:space="preserve"> </w:t>
      </w:r>
      <w:r>
        <w:rPr>
          <w:lang w:val="en-US"/>
        </w:rPr>
        <w:t>Same as FN51.</w:t>
      </w:r>
    </w:p>
  </w:endnote>
  <w:endnote w:id="71">
    <w:p w:rsidR="00A5732C" w:rsidRPr="00533654" w:rsidRDefault="00A5732C" w:rsidP="00593AF4">
      <w:pPr>
        <w:pStyle w:val="EndnoteText"/>
        <w:rPr>
          <w:lang w:val="en-US"/>
        </w:rPr>
      </w:pPr>
      <w:r>
        <w:rPr>
          <w:rStyle w:val="EndnoteReference"/>
        </w:rPr>
        <w:endnoteRef/>
      </w:r>
      <w:r>
        <w:t xml:space="preserve"> </w:t>
      </w:r>
      <w:r>
        <w:rPr>
          <w:lang w:val="en-US"/>
        </w:rPr>
        <w:t>Same as FN51.</w:t>
      </w:r>
    </w:p>
  </w:endnote>
  <w:endnote w:id="72">
    <w:p w:rsidR="00A5732C" w:rsidRPr="00533654" w:rsidRDefault="00A5732C" w:rsidP="00593AF4">
      <w:pPr>
        <w:pStyle w:val="EndnoteText"/>
        <w:rPr>
          <w:lang w:val="en-US"/>
        </w:rPr>
      </w:pPr>
      <w:r>
        <w:rPr>
          <w:rStyle w:val="EndnoteReference"/>
        </w:rPr>
        <w:endnoteRef/>
      </w:r>
      <w:r>
        <w:t xml:space="preserve"> In RO, children younger than 18 can bring a placement into care case to court if they are married or have children.</w:t>
      </w:r>
    </w:p>
  </w:endnote>
  <w:endnote w:id="73">
    <w:p w:rsidR="00A5732C" w:rsidRPr="00533654" w:rsidRDefault="00A5732C" w:rsidP="00593AF4">
      <w:pPr>
        <w:pStyle w:val="EndnoteText"/>
        <w:rPr>
          <w:lang w:val="en-US"/>
        </w:rPr>
      </w:pPr>
      <w:r>
        <w:rPr>
          <w:rStyle w:val="EndnoteReference"/>
        </w:rPr>
        <w:endnoteRef/>
      </w:r>
      <w:r>
        <w:t xml:space="preserve"> </w:t>
      </w:r>
      <w:r>
        <w:rPr>
          <w:lang w:val="en-US"/>
        </w:rPr>
        <w:t>See footnote 15.</w:t>
      </w:r>
    </w:p>
  </w:endnote>
  <w:endnote w:id="74">
    <w:p w:rsidR="00A5732C" w:rsidRPr="005C7130" w:rsidRDefault="00A5732C" w:rsidP="00593AF4">
      <w:pPr>
        <w:pStyle w:val="EndnoteText"/>
        <w:rPr>
          <w:lang w:val="en-US"/>
        </w:rPr>
      </w:pPr>
      <w:r>
        <w:rPr>
          <w:rStyle w:val="EndnoteReference"/>
        </w:rPr>
        <w:endnoteRef/>
      </w:r>
      <w:r>
        <w:t xml:space="preserve"> In RO, children aged 14+ can bring a case concerning offences committed below MACR but on</w:t>
      </w:r>
      <w:r>
        <w:rPr>
          <w:lang w:val="en-US"/>
        </w:rPr>
        <w:t>ly with the approval of a guardian.</w:t>
      </w:r>
    </w:p>
  </w:endnote>
  <w:endnote w:id="75">
    <w:p w:rsidR="00A5732C" w:rsidRPr="002555F3" w:rsidRDefault="00A5732C" w:rsidP="00593AF4">
      <w:pPr>
        <w:pStyle w:val="EndnoteText"/>
        <w:rPr>
          <w:lang w:val="en-US"/>
        </w:rPr>
      </w:pPr>
      <w:r>
        <w:rPr>
          <w:rStyle w:val="EndnoteReference"/>
        </w:rPr>
        <w:endnoteRef/>
      </w:r>
      <w:r>
        <w:t xml:space="preserve"> </w:t>
      </w:r>
      <w:r>
        <w:rPr>
          <w:lang w:val="en-US"/>
        </w:rPr>
        <w:t>In SE, children aged 15+ can bring health cases to court only if they concern compulsory psychiatric detention / treatment.</w:t>
      </w:r>
    </w:p>
  </w:endnote>
  <w:endnote w:id="76">
    <w:p w:rsidR="00A5732C" w:rsidRPr="002555F3" w:rsidRDefault="00A5732C" w:rsidP="00593AF4">
      <w:pPr>
        <w:pStyle w:val="EndnoteText"/>
        <w:rPr>
          <w:lang w:val="en-US"/>
        </w:rPr>
      </w:pPr>
      <w:r>
        <w:rPr>
          <w:rStyle w:val="EndnoteReference"/>
        </w:rPr>
        <w:endnoteRef/>
      </w:r>
      <w:r>
        <w:t xml:space="preserve"> </w:t>
      </w:r>
      <w:r>
        <w:rPr>
          <w:lang w:val="en-US"/>
        </w:rPr>
        <w:t>However, in compulsory care proceedings, children are usually defendants not plaintiffs.</w:t>
      </w:r>
    </w:p>
  </w:endnote>
  <w:endnote w:id="77">
    <w:p w:rsidR="00A5732C" w:rsidRPr="00A9313B" w:rsidRDefault="00A5732C" w:rsidP="00593AF4">
      <w:pPr>
        <w:pStyle w:val="EndnoteText"/>
        <w:rPr>
          <w:lang w:val="en-US"/>
        </w:rPr>
      </w:pPr>
      <w:r>
        <w:rPr>
          <w:rStyle w:val="EndnoteReference"/>
        </w:rPr>
        <w:endnoteRef/>
      </w:r>
      <w:r>
        <w:t xml:space="preserve"> </w:t>
      </w:r>
      <w:r>
        <w:rPr>
          <w:lang w:val="en-US"/>
        </w:rPr>
        <w:t>In SI, children cannot bring cases to court unless they are emancipated.</w:t>
      </w:r>
    </w:p>
  </w:endnote>
  <w:endnote w:id="78">
    <w:p w:rsidR="00A5732C" w:rsidRPr="00787CE4" w:rsidRDefault="00A5732C" w:rsidP="00593AF4">
      <w:pPr>
        <w:pStyle w:val="EndnoteText"/>
        <w:rPr>
          <w:lang w:val="en-US"/>
        </w:rPr>
      </w:pPr>
      <w:r>
        <w:rPr>
          <w:rStyle w:val="EndnoteReference"/>
        </w:rPr>
        <w:endnoteRef/>
      </w:r>
      <w:r>
        <w:t xml:space="preserve"> </w:t>
      </w:r>
      <w:r>
        <w:rPr>
          <w:lang w:val="en-US"/>
        </w:rPr>
        <w:t>In SK, children do not have full procedural capacity to act so cannot bring cases to court in their own right, but must act through a legal representatives. The exceptions are married children (i.e. aged 16+) who become emancipated, or children below this age who are deemed to be mature enough by a judge.</w:t>
      </w:r>
    </w:p>
  </w:endnote>
  <w:endnote w:id="79">
    <w:p w:rsidR="00A5732C" w:rsidRPr="002555F3" w:rsidRDefault="00A5732C" w:rsidP="00593AF4">
      <w:pPr>
        <w:pStyle w:val="EndnoteText"/>
        <w:rPr>
          <w:lang w:val="en-US"/>
        </w:rPr>
      </w:pPr>
      <w:r>
        <w:rPr>
          <w:rStyle w:val="EndnoteReference"/>
        </w:rPr>
        <w:endnoteRef/>
      </w:r>
      <w:r>
        <w:t xml:space="preserve"> In UK-EW, g</w:t>
      </w:r>
      <w:r>
        <w:rPr>
          <w:lang w:val="en-US"/>
        </w:rPr>
        <w:t>uidance provides that children in asylum proceedings should be legally represented. If this is not the case, the case is adjourned until legal representation can be arranged.</w:t>
      </w:r>
    </w:p>
  </w:endnote>
  <w:endnote w:id="80">
    <w:p w:rsidR="00A5732C" w:rsidRPr="002555F3" w:rsidRDefault="00A5732C" w:rsidP="00593AF4">
      <w:pPr>
        <w:pStyle w:val="EndnoteText"/>
        <w:rPr>
          <w:lang w:val="en-US"/>
        </w:rPr>
      </w:pPr>
      <w:r>
        <w:rPr>
          <w:rStyle w:val="EndnoteReference"/>
        </w:rPr>
        <w:endnoteRef/>
      </w:r>
      <w:r>
        <w:t xml:space="preserve"> In UK-EW, g</w:t>
      </w:r>
      <w:r>
        <w:rPr>
          <w:lang w:val="en-US"/>
        </w:rPr>
        <w:t>uidance provides that children in migration proceedings should be legally represented. If this is not the case, the case is adjourned until legal representation can be arranged.</w:t>
      </w:r>
    </w:p>
  </w:endnote>
  <w:endnote w:id="81">
    <w:p w:rsidR="00A5732C" w:rsidRPr="00CD7FC8" w:rsidRDefault="00A5732C" w:rsidP="00593AF4">
      <w:pPr>
        <w:pStyle w:val="EndnoteText"/>
        <w:rPr>
          <w:lang w:val="en-US"/>
        </w:rPr>
      </w:pPr>
      <w:r>
        <w:rPr>
          <w:rStyle w:val="EndnoteReference"/>
        </w:rPr>
        <w:endnoteRef/>
      </w:r>
      <w:r>
        <w:t xml:space="preserve"> </w:t>
      </w:r>
      <w:r>
        <w:rPr>
          <w:lang w:val="en-US"/>
        </w:rPr>
        <w:t xml:space="preserve">As cases concerning Special Educational Needs (SEN) or school admissions or exclusions are mostly brought by the parents. </w:t>
      </w:r>
    </w:p>
  </w:endnote>
  <w:endnote w:id="82">
    <w:p w:rsidR="00A5732C" w:rsidRPr="002555F3" w:rsidRDefault="00A5732C" w:rsidP="00593AF4">
      <w:pPr>
        <w:pStyle w:val="EndnoteText"/>
        <w:rPr>
          <w:lang w:val="en-US"/>
        </w:rPr>
      </w:pPr>
      <w:r>
        <w:rPr>
          <w:rStyle w:val="EndnoteReference"/>
        </w:rPr>
        <w:endnoteRef/>
      </w:r>
      <w:r>
        <w:t xml:space="preserve"> In UK-NI, g</w:t>
      </w:r>
      <w:r>
        <w:rPr>
          <w:lang w:val="en-US"/>
        </w:rPr>
        <w:t>uidance provides that children in asylum proceedings should be legally represented. If this is not the case, the case is adjourned until legal representation can be arranged.</w:t>
      </w:r>
    </w:p>
  </w:endnote>
  <w:endnote w:id="83">
    <w:p w:rsidR="00A5732C" w:rsidRPr="002555F3" w:rsidRDefault="00A5732C" w:rsidP="00593AF4">
      <w:pPr>
        <w:pStyle w:val="EndnoteText"/>
        <w:rPr>
          <w:lang w:val="en-US"/>
        </w:rPr>
      </w:pPr>
      <w:r>
        <w:rPr>
          <w:rStyle w:val="EndnoteReference"/>
        </w:rPr>
        <w:endnoteRef/>
      </w:r>
      <w:r>
        <w:t xml:space="preserve"> In UK-NI, g</w:t>
      </w:r>
      <w:r>
        <w:rPr>
          <w:lang w:val="en-US"/>
        </w:rPr>
        <w:t>uidance provides that children in migration proceedings should be legally represented. If this is not the case, the case is adjourned until legal representation can be arranged.</w:t>
      </w:r>
    </w:p>
  </w:endnote>
  <w:endnote w:id="84">
    <w:p w:rsidR="00A5732C" w:rsidRPr="00CD7FC8" w:rsidRDefault="00A5732C" w:rsidP="00593AF4">
      <w:pPr>
        <w:pStyle w:val="EndnoteText"/>
        <w:rPr>
          <w:lang w:val="en-US"/>
        </w:rPr>
      </w:pPr>
      <w:r>
        <w:rPr>
          <w:rStyle w:val="EndnoteReference"/>
        </w:rPr>
        <w:endnoteRef/>
      </w:r>
      <w:r>
        <w:t xml:space="preserve"> </w:t>
      </w:r>
      <w:r>
        <w:rPr>
          <w:lang w:val="en-US"/>
        </w:rPr>
        <w:t xml:space="preserve">As cases concerning Special Educational Needs (SEN) or school admissions or exclusions are mostly brought by the parents. </w:t>
      </w:r>
    </w:p>
  </w:endnote>
  <w:endnote w:id="85">
    <w:p w:rsidR="00A5732C" w:rsidRPr="00DE78AE" w:rsidRDefault="00A5732C" w:rsidP="00593AF4">
      <w:pPr>
        <w:pStyle w:val="EndnoteText"/>
        <w:rPr>
          <w:lang w:val="en-US"/>
        </w:rPr>
      </w:pPr>
      <w:r>
        <w:rPr>
          <w:rStyle w:val="EndnoteReference"/>
        </w:rPr>
        <w:endnoteRef/>
      </w:r>
      <w:r>
        <w:t xml:space="preserve"> </w:t>
      </w:r>
      <w:r>
        <w:rPr>
          <w:lang w:val="en-US"/>
        </w:rPr>
        <w:t>In UK-Scot, the age of legal capacity is 16, but there is a presumption that a child aged 12 has sufficient understanding to have legal capacity to instruct a lawyer and therefore also to raise an action in any civil matter.</w:t>
      </w:r>
    </w:p>
  </w:endnote>
  <w:endnote w:id="86">
    <w:p w:rsidR="00A5732C" w:rsidRPr="00DE78AE" w:rsidRDefault="00A5732C" w:rsidP="00593AF4">
      <w:pPr>
        <w:pStyle w:val="EndnoteText"/>
        <w:rPr>
          <w:lang w:val="en-US"/>
        </w:rPr>
      </w:pPr>
      <w:r>
        <w:rPr>
          <w:rStyle w:val="EndnoteReference"/>
        </w:rPr>
        <w:endnoteRef/>
      </w:r>
      <w:r>
        <w:t xml:space="preserve"> </w:t>
      </w:r>
      <w:r>
        <w:rPr>
          <w:lang w:val="en-US"/>
        </w:rPr>
        <w:t xml:space="preserve">In UK-Scot, the age of legal capacity is 16, but there is a presumption that a child aged 12 has sufficient understanding </w:t>
      </w:r>
      <w:r w:rsidRPr="000306E4">
        <w:rPr>
          <w:lang w:val="en-US"/>
        </w:rPr>
        <w:t>to have legal capacity to instruct a lawyer and therefore also to raise an action in any civil matter.</w:t>
      </w:r>
    </w:p>
  </w:endnote>
  <w:endnote w:id="87">
    <w:p w:rsidR="00A5732C" w:rsidRPr="004F3DD9" w:rsidRDefault="00A5732C" w:rsidP="00593AF4">
      <w:pPr>
        <w:pStyle w:val="EndnoteText"/>
        <w:rPr>
          <w:lang w:val="en-US"/>
        </w:rPr>
      </w:pPr>
      <w:r>
        <w:rPr>
          <w:rStyle w:val="EndnoteReference"/>
        </w:rPr>
        <w:endnoteRef/>
      </w:r>
      <w:r>
        <w:t xml:space="preserve"> UK-Scot </w:t>
      </w:r>
      <w:r>
        <w:rPr>
          <w:lang w:val="en-US"/>
        </w:rPr>
        <w:t>does not have a system of administrative sanctions.</w:t>
      </w:r>
    </w:p>
  </w:endnote>
  <w:endnote w:id="88">
    <w:p w:rsidR="00A5732C" w:rsidRDefault="00A5732C" w:rsidP="00593AF4">
      <w:pPr>
        <w:pStyle w:val="EndnoteText"/>
        <w:rPr>
          <w:lang w:val="en-US"/>
        </w:rPr>
      </w:pPr>
      <w:r>
        <w:rPr>
          <w:rStyle w:val="EndnoteReference"/>
        </w:rPr>
        <w:endnoteRef/>
      </w:r>
      <w:r>
        <w:t xml:space="preserve"> </w:t>
      </w:r>
      <w:r>
        <w:rPr>
          <w:lang w:val="en-US"/>
        </w:rPr>
        <w:t>In UK-Scot, the age of legal capacity is 16, but there is a presumption that a child aged 12 has sufficient understanding to have legal capacity to instruct a lawyer and therefore also to raise an action in any civil matter.</w:t>
      </w:r>
    </w:p>
    <w:p w:rsidR="00A5732C" w:rsidRDefault="00A5732C" w:rsidP="00593AF4">
      <w:pPr>
        <w:pStyle w:val="EndnoteText"/>
        <w:rPr>
          <w:lang w:val="en-US"/>
        </w:rPr>
      </w:pPr>
    </w:p>
    <w:p w:rsidR="00A5732C" w:rsidRPr="00593AF4" w:rsidRDefault="00A5732C" w:rsidP="00593AF4">
      <w:pPr>
        <w:pStyle w:val="ListParagraph"/>
        <w:keepNext/>
        <w:pageBreakBefore/>
        <w:numPr>
          <w:ilvl w:val="0"/>
          <w:numId w:val="19"/>
        </w:numPr>
        <w:tabs>
          <w:tab w:val="num" w:pos="2687"/>
        </w:tabs>
        <w:spacing w:after="240" w:line="240" w:lineRule="atLeast"/>
        <w:rPr>
          <w:rFonts w:eastAsiaTheme="minorHAnsi"/>
          <w:b/>
          <w:vanish/>
          <w:color w:val="0067AC"/>
          <w:sz w:val="32"/>
          <w:szCs w:val="24"/>
        </w:rPr>
      </w:pPr>
      <w:bookmarkStart w:id="349" w:name="_Ref398153049"/>
    </w:p>
    <w:p w:rsidR="00A5732C" w:rsidRPr="00593AF4" w:rsidRDefault="00A5732C" w:rsidP="00593AF4">
      <w:pPr>
        <w:pStyle w:val="ListParagraph"/>
        <w:keepNext/>
        <w:pageBreakBefore/>
        <w:numPr>
          <w:ilvl w:val="0"/>
          <w:numId w:val="19"/>
        </w:numPr>
        <w:tabs>
          <w:tab w:val="num" w:pos="2687"/>
        </w:tabs>
        <w:spacing w:after="240" w:line="240" w:lineRule="atLeast"/>
        <w:rPr>
          <w:rFonts w:eastAsiaTheme="minorHAnsi"/>
          <w:b/>
          <w:vanish/>
          <w:color w:val="0067AC"/>
          <w:sz w:val="32"/>
          <w:szCs w:val="24"/>
        </w:rPr>
      </w:pPr>
    </w:p>
    <w:p w:rsidR="00A5732C" w:rsidRPr="00593AF4" w:rsidRDefault="00A5732C" w:rsidP="00593AF4">
      <w:pPr>
        <w:pStyle w:val="ListParagraph"/>
        <w:keepNext/>
        <w:pageBreakBefore/>
        <w:numPr>
          <w:ilvl w:val="0"/>
          <w:numId w:val="19"/>
        </w:numPr>
        <w:tabs>
          <w:tab w:val="num" w:pos="2687"/>
        </w:tabs>
        <w:spacing w:after="240" w:line="240" w:lineRule="atLeast"/>
        <w:rPr>
          <w:rFonts w:eastAsiaTheme="minorHAnsi"/>
          <w:b/>
          <w:vanish/>
          <w:color w:val="0067AC"/>
          <w:sz w:val="32"/>
          <w:szCs w:val="24"/>
        </w:rPr>
      </w:pPr>
    </w:p>
    <w:p w:rsidR="00A5732C" w:rsidRPr="00593AF4" w:rsidRDefault="00A5732C" w:rsidP="00593AF4">
      <w:pPr>
        <w:pStyle w:val="ListParagraph"/>
        <w:keepNext/>
        <w:numPr>
          <w:ilvl w:val="1"/>
          <w:numId w:val="19"/>
        </w:numPr>
        <w:tabs>
          <w:tab w:val="num" w:pos="2687"/>
        </w:tabs>
        <w:spacing w:before="200" w:after="120" w:line="240" w:lineRule="atLeast"/>
        <w:rPr>
          <w:rFonts w:eastAsiaTheme="minorHAnsi"/>
          <w:b/>
          <w:vanish/>
          <w:color w:val="0067AC"/>
          <w:sz w:val="26"/>
          <w:szCs w:val="24"/>
        </w:rPr>
      </w:pPr>
    </w:p>
    <w:p w:rsidR="00A5732C" w:rsidRPr="00593AF4" w:rsidRDefault="00A5732C" w:rsidP="00593AF4">
      <w:pPr>
        <w:pStyle w:val="ListParagraph"/>
        <w:keepNext/>
        <w:numPr>
          <w:ilvl w:val="2"/>
          <w:numId w:val="19"/>
        </w:numPr>
        <w:tabs>
          <w:tab w:val="num" w:pos="2687"/>
        </w:tabs>
        <w:spacing w:before="200" w:after="120" w:line="240" w:lineRule="atLeast"/>
        <w:rPr>
          <w:rFonts w:eastAsiaTheme="minorHAnsi"/>
          <w:b/>
          <w:vanish/>
          <w:color w:val="0067AC"/>
          <w:szCs w:val="24"/>
        </w:rPr>
      </w:pPr>
    </w:p>
    <w:p w:rsidR="00A5732C" w:rsidRPr="00593AF4" w:rsidRDefault="00A5732C" w:rsidP="00593AF4">
      <w:pPr>
        <w:pStyle w:val="ListParagraph"/>
        <w:keepNext/>
        <w:numPr>
          <w:ilvl w:val="3"/>
          <w:numId w:val="19"/>
        </w:numPr>
        <w:tabs>
          <w:tab w:val="num" w:pos="2687"/>
        </w:tabs>
        <w:spacing w:before="120" w:after="120" w:line="240" w:lineRule="atLeast"/>
        <w:rPr>
          <w:rFonts w:eastAsiaTheme="minorHAnsi"/>
          <w:b/>
          <w:i/>
          <w:vanish/>
          <w:color w:val="0067AC"/>
          <w:szCs w:val="24"/>
        </w:rPr>
      </w:pPr>
    </w:p>
    <w:p w:rsidR="00A5732C" w:rsidRPr="00593AF4" w:rsidRDefault="00A5732C" w:rsidP="00593AF4">
      <w:pPr>
        <w:pStyle w:val="ListParagraph"/>
        <w:keepNext/>
        <w:numPr>
          <w:ilvl w:val="4"/>
          <w:numId w:val="19"/>
        </w:numPr>
        <w:spacing w:before="120" w:after="120" w:line="240" w:lineRule="atLeast"/>
        <w:rPr>
          <w:rFonts w:eastAsiaTheme="minorHAnsi"/>
          <w:b/>
          <w:vanish/>
          <w:color w:val="0067AC"/>
          <w:sz w:val="20"/>
          <w:szCs w:val="24"/>
        </w:rPr>
      </w:pPr>
    </w:p>
    <w:p w:rsidR="00A5732C" w:rsidRPr="00593AF4" w:rsidRDefault="00A5732C" w:rsidP="00593AF4">
      <w:pPr>
        <w:pStyle w:val="ListParagraph"/>
        <w:keepNext/>
        <w:numPr>
          <w:ilvl w:val="4"/>
          <w:numId w:val="19"/>
        </w:numPr>
        <w:spacing w:before="120" w:after="120" w:line="240" w:lineRule="atLeast"/>
        <w:rPr>
          <w:rFonts w:eastAsiaTheme="minorHAnsi"/>
          <w:b/>
          <w:vanish/>
          <w:color w:val="0067AC"/>
          <w:sz w:val="20"/>
          <w:szCs w:val="24"/>
        </w:rPr>
      </w:pPr>
    </w:p>
    <w:p w:rsidR="00A5732C" w:rsidRPr="00593AF4" w:rsidRDefault="00A5732C" w:rsidP="00593AF4">
      <w:pPr>
        <w:pStyle w:val="ListParagraph"/>
        <w:keepNext/>
        <w:numPr>
          <w:ilvl w:val="4"/>
          <w:numId w:val="19"/>
        </w:numPr>
        <w:spacing w:before="120" w:after="120" w:line="240" w:lineRule="atLeast"/>
        <w:rPr>
          <w:rFonts w:eastAsiaTheme="minorHAnsi"/>
          <w:b/>
          <w:vanish/>
          <w:color w:val="0067AC"/>
          <w:sz w:val="20"/>
          <w:szCs w:val="24"/>
        </w:rPr>
      </w:pPr>
    </w:p>
    <w:p w:rsidR="00A5732C" w:rsidRDefault="00A5732C" w:rsidP="00861A9D">
      <w:pPr>
        <w:pStyle w:val="AnnexTable"/>
        <w:tabs>
          <w:tab w:val="clear" w:pos="2687"/>
        </w:tabs>
        <w:ind w:left="1350" w:hanging="1350"/>
      </w:pPr>
      <w:r w:rsidRPr="009E2507">
        <w:t>Existence of monitoring mechanisms at national level to systematically review domestic legislation, policies and practice related to judicial proceedings to ensure their compatibility with international standards of child-friendly justice</w:t>
      </w:r>
      <w:r>
        <w:t xml:space="preserve"> (CivAdm044)</w:t>
      </w:r>
      <w:bookmarkEnd w:id="349"/>
      <w:r>
        <w:t xml:space="preserve"> </w:t>
      </w:r>
    </w:p>
    <w:tbl>
      <w:tblPr>
        <w:tblStyle w:val="Tabellenraster1"/>
        <w:tblW w:w="5000" w:type="pct"/>
        <w:jc w:val="center"/>
        <w:tblLayout w:type="fixed"/>
        <w:tblLook w:val="04A0" w:firstRow="1" w:lastRow="0" w:firstColumn="1" w:lastColumn="0" w:noHBand="0" w:noVBand="1"/>
      </w:tblPr>
      <w:tblGrid>
        <w:gridCol w:w="567"/>
        <w:gridCol w:w="667"/>
        <w:gridCol w:w="667"/>
        <w:gridCol w:w="667"/>
        <w:gridCol w:w="440"/>
        <w:gridCol w:w="249"/>
        <w:gridCol w:w="667"/>
        <w:gridCol w:w="667"/>
        <w:gridCol w:w="570"/>
        <w:gridCol w:w="554"/>
        <w:gridCol w:w="830"/>
        <w:gridCol w:w="743"/>
        <w:gridCol w:w="667"/>
        <w:gridCol w:w="667"/>
        <w:gridCol w:w="665"/>
      </w:tblGrid>
      <w:tr w:rsidR="00A5732C" w:rsidRPr="00593387" w:rsidTr="00861A9D">
        <w:trPr>
          <w:trHeight w:hRule="exact" w:val="346"/>
          <w:tblHeader/>
          <w:jc w:val="center"/>
        </w:trPr>
        <w:tc>
          <w:tcPr>
            <w:tcW w:w="1620" w:type="pct"/>
            <w:gridSpan w:val="5"/>
            <w:tcBorders>
              <w:right w:val="single" w:sz="12" w:space="0" w:color="auto"/>
            </w:tcBorders>
          </w:tcPr>
          <w:p w:rsidR="00A5732C" w:rsidRDefault="00A5732C" w:rsidP="00861A9D">
            <w:pPr>
              <w:pStyle w:val="TableTitle"/>
            </w:pPr>
            <w:r>
              <w:t>MS</w:t>
            </w:r>
          </w:p>
        </w:tc>
        <w:tc>
          <w:tcPr>
            <w:tcW w:w="1902" w:type="pct"/>
            <w:gridSpan w:val="6"/>
            <w:tcBorders>
              <w:left w:val="single" w:sz="12" w:space="0" w:color="auto"/>
              <w:right w:val="single" w:sz="12" w:space="0" w:color="auto"/>
            </w:tcBorders>
          </w:tcPr>
          <w:p w:rsidR="00A5732C" w:rsidRDefault="00A5732C" w:rsidP="00861A9D">
            <w:pPr>
              <w:pStyle w:val="TableTitle"/>
            </w:pPr>
            <w:r>
              <w:t>Areas of law</w:t>
            </w:r>
          </w:p>
        </w:tc>
        <w:tc>
          <w:tcPr>
            <w:tcW w:w="1478" w:type="pct"/>
            <w:gridSpan w:val="4"/>
            <w:tcBorders>
              <w:left w:val="single" w:sz="12" w:space="0" w:color="auto"/>
            </w:tcBorders>
          </w:tcPr>
          <w:p w:rsidR="00A5732C" w:rsidRDefault="00A5732C" w:rsidP="00861A9D">
            <w:pPr>
              <w:pStyle w:val="TableTitle"/>
            </w:pPr>
            <w:r>
              <w:t>Roles of the child</w:t>
            </w:r>
          </w:p>
        </w:tc>
      </w:tr>
      <w:tr w:rsidR="00A5732C" w:rsidTr="00861A9D">
        <w:trPr>
          <w:cantSplit/>
          <w:trHeight w:hRule="exact" w:val="1002"/>
          <w:tblHeader/>
          <w:jc w:val="center"/>
        </w:trPr>
        <w:tc>
          <w:tcPr>
            <w:tcW w:w="306" w:type="pct"/>
            <w:tcBorders>
              <w:right w:val="single" w:sz="12" w:space="0" w:color="auto"/>
            </w:tcBorders>
            <w:shd w:val="clear" w:color="auto" w:fill="DBE5F1" w:themeFill="accent1" w:themeFillTint="33"/>
          </w:tcPr>
          <w:p w:rsidR="00A5732C" w:rsidRPr="00E217F3" w:rsidRDefault="00A5732C" w:rsidP="00861A9D">
            <w:pPr>
              <w:rPr>
                <w:b/>
              </w:rPr>
            </w:pPr>
          </w:p>
        </w:tc>
        <w:tc>
          <w:tcPr>
            <w:tcW w:w="359" w:type="pct"/>
            <w:tcBorders>
              <w:left w:val="single" w:sz="12" w:space="0" w:color="auto"/>
            </w:tcBorders>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Family</w:t>
            </w:r>
          </w:p>
        </w:tc>
        <w:tc>
          <w:tcPr>
            <w:tcW w:w="359"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Employment</w:t>
            </w:r>
          </w:p>
        </w:tc>
        <w:tc>
          <w:tcPr>
            <w:tcW w:w="359"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Asylum</w:t>
            </w:r>
          </w:p>
        </w:tc>
        <w:tc>
          <w:tcPr>
            <w:tcW w:w="371" w:type="pct"/>
            <w:gridSpan w:val="2"/>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Migration</w:t>
            </w:r>
          </w:p>
        </w:tc>
        <w:tc>
          <w:tcPr>
            <w:tcW w:w="359"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Education</w:t>
            </w:r>
          </w:p>
        </w:tc>
        <w:tc>
          <w:tcPr>
            <w:tcW w:w="359"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Health</w:t>
            </w:r>
          </w:p>
        </w:tc>
        <w:tc>
          <w:tcPr>
            <w:tcW w:w="307"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Placement</w:t>
            </w:r>
          </w:p>
        </w:tc>
        <w:tc>
          <w:tcPr>
            <w:tcW w:w="298" w:type="pct"/>
            <w:shd w:val="clear" w:color="auto" w:fill="DBE5F1" w:themeFill="accent1" w:themeFillTint="33"/>
            <w:textDirection w:val="btLr"/>
            <w:vAlign w:val="center"/>
          </w:tcPr>
          <w:p w:rsidR="00A5732C" w:rsidRPr="00A9300A" w:rsidRDefault="00A5732C" w:rsidP="00861A9D">
            <w:pPr>
              <w:ind w:left="113" w:right="113"/>
              <w:jc w:val="both"/>
              <w:rPr>
                <w:b/>
                <w:sz w:val="12"/>
                <w:szCs w:val="12"/>
              </w:rPr>
            </w:pPr>
            <w:r w:rsidRPr="00A9300A">
              <w:rPr>
                <w:b/>
                <w:sz w:val="12"/>
                <w:szCs w:val="12"/>
              </w:rPr>
              <w:t>Admin Sanctions</w:t>
            </w:r>
          </w:p>
        </w:tc>
        <w:tc>
          <w:tcPr>
            <w:tcW w:w="447" w:type="pct"/>
            <w:tcBorders>
              <w:right w:val="single" w:sz="12" w:space="0" w:color="auto"/>
            </w:tcBorders>
            <w:shd w:val="clear" w:color="auto" w:fill="DBE5F1" w:themeFill="accent1" w:themeFillTint="33"/>
            <w:textDirection w:val="btLr"/>
            <w:vAlign w:val="center"/>
          </w:tcPr>
          <w:p w:rsidR="00A5732C" w:rsidRPr="00A9300A" w:rsidRDefault="00A5732C" w:rsidP="00861A9D">
            <w:pPr>
              <w:ind w:left="113" w:right="113"/>
              <w:jc w:val="both"/>
              <w:rPr>
                <w:b/>
                <w:sz w:val="12"/>
                <w:szCs w:val="12"/>
              </w:rPr>
            </w:pPr>
            <w:r w:rsidRPr="00A9300A">
              <w:rPr>
                <w:b/>
                <w:sz w:val="12"/>
                <w:szCs w:val="12"/>
              </w:rPr>
              <w:t>Offences &lt;MACR</w:t>
            </w:r>
          </w:p>
        </w:tc>
        <w:tc>
          <w:tcPr>
            <w:tcW w:w="400" w:type="pct"/>
            <w:tcBorders>
              <w:left w:val="single" w:sz="12" w:space="0" w:color="auto"/>
            </w:tcBorders>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Witnesses</w:t>
            </w:r>
          </w:p>
        </w:tc>
        <w:tc>
          <w:tcPr>
            <w:tcW w:w="359"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Plaintiffs</w:t>
            </w:r>
          </w:p>
        </w:tc>
        <w:tc>
          <w:tcPr>
            <w:tcW w:w="359"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Defendants</w:t>
            </w:r>
          </w:p>
        </w:tc>
        <w:tc>
          <w:tcPr>
            <w:tcW w:w="358" w:type="pct"/>
            <w:shd w:val="clear" w:color="auto" w:fill="DBE5F1" w:themeFill="accent1" w:themeFillTint="33"/>
            <w:textDirection w:val="btLr"/>
          </w:tcPr>
          <w:p w:rsidR="00A5732C" w:rsidRPr="00A9300A" w:rsidRDefault="00A5732C" w:rsidP="00861A9D">
            <w:pPr>
              <w:ind w:left="113" w:right="113"/>
              <w:rPr>
                <w:b/>
                <w:sz w:val="12"/>
                <w:szCs w:val="12"/>
              </w:rPr>
            </w:pPr>
            <w:r w:rsidRPr="00A9300A">
              <w:rPr>
                <w:b/>
                <w:sz w:val="12"/>
                <w:szCs w:val="12"/>
              </w:rPr>
              <w:t>Subjects</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AT</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BE</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BG</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vAlign w:val="center"/>
          </w:tcPr>
          <w:p w:rsidR="00A5732C" w:rsidRPr="00FC6D9C" w:rsidRDefault="00A5732C" w:rsidP="00861A9D">
            <w:pPr>
              <w:rPr>
                <w:sz w:val="16"/>
                <w:szCs w:val="16"/>
              </w:rPr>
            </w:pPr>
            <w:r w:rsidRPr="00FC6D9C">
              <w:rPr>
                <w:rFonts w:cs="Arial"/>
                <w:sz w:val="16"/>
                <w:szCs w:val="16"/>
              </w:rPr>
              <w:t>√</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CY</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vAlign w:val="center"/>
          </w:tcPr>
          <w:p w:rsidR="00A5732C" w:rsidRPr="00FC6D9C" w:rsidRDefault="00A5732C" w:rsidP="00861A9D">
            <w:pPr>
              <w:rPr>
                <w:sz w:val="16"/>
                <w:szCs w:val="16"/>
              </w:rPr>
            </w:pPr>
            <w:r w:rsidRPr="00FC6D9C">
              <w:rPr>
                <w:rFonts w:cs="Arial"/>
                <w:sz w:val="16"/>
                <w:szCs w:val="16"/>
              </w:rPr>
              <w:t>√</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CZ</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DE</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DK</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EE</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vAlign w:val="center"/>
          </w:tcPr>
          <w:p w:rsidR="00A5732C" w:rsidRPr="00FC6D9C" w:rsidRDefault="00A5732C" w:rsidP="00861A9D">
            <w:pPr>
              <w:rPr>
                <w:sz w:val="16"/>
                <w:szCs w:val="16"/>
              </w:rPr>
            </w:pPr>
            <w:r w:rsidRPr="00FC6D9C">
              <w:rPr>
                <w:rFonts w:cs="Arial"/>
                <w:sz w:val="16"/>
                <w:szCs w:val="16"/>
              </w:rPr>
              <w:t>√</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EL</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r w:rsidRPr="00FC6D9C">
              <w:rPr>
                <w:sz w:val="16"/>
                <w:szCs w:val="16"/>
              </w:rPr>
              <w:t xml:space="preserve"> </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8" w:type="pct"/>
            <w:vAlign w:val="center"/>
          </w:tcPr>
          <w:p w:rsidR="00A5732C" w:rsidRPr="00FC6D9C" w:rsidRDefault="00A5732C" w:rsidP="00861A9D">
            <w:pPr>
              <w:rPr>
                <w:sz w:val="16"/>
                <w:szCs w:val="16"/>
              </w:rPr>
            </w:pPr>
            <w:r w:rsidRPr="00FC6D9C">
              <w:rPr>
                <w:rFonts w:cs="Arial"/>
                <w:sz w:val="16"/>
                <w:szCs w:val="16"/>
              </w:rPr>
              <w:t>√</w:t>
            </w:r>
            <w:r w:rsidRPr="00FC6D9C">
              <w:rPr>
                <w:sz w:val="16"/>
                <w:szCs w:val="16"/>
              </w:rPr>
              <w:t xml:space="preserve"> </w:t>
            </w:r>
            <w:r w:rsidRPr="00FC6D9C">
              <w:rPr>
                <w:rStyle w:val="EndnoteReference"/>
                <w:sz w:val="16"/>
                <w:szCs w:val="16"/>
              </w:rPr>
              <w:endnoteRef/>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ES</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FI</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FR</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vAlign w:val="center"/>
          </w:tcPr>
          <w:p w:rsidR="00A5732C" w:rsidRPr="00FC6D9C" w:rsidRDefault="00A5732C" w:rsidP="00861A9D">
            <w:pPr>
              <w:rPr>
                <w:sz w:val="16"/>
                <w:szCs w:val="16"/>
              </w:rPr>
            </w:pPr>
            <w:r w:rsidRPr="00FC6D9C">
              <w:rPr>
                <w:rFonts w:cs="Arial"/>
                <w:sz w:val="16"/>
                <w:szCs w:val="16"/>
              </w:rPr>
              <w:t>√</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HR</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vAlign w:val="center"/>
          </w:tcPr>
          <w:p w:rsidR="00A5732C" w:rsidRPr="00FC6D9C" w:rsidRDefault="00A5732C" w:rsidP="00861A9D">
            <w:pPr>
              <w:rPr>
                <w:sz w:val="16"/>
                <w:szCs w:val="16"/>
              </w:rPr>
            </w:pPr>
            <w:r w:rsidRPr="00FC6D9C">
              <w:rPr>
                <w:rFonts w:cs="Arial"/>
                <w:sz w:val="16"/>
                <w:szCs w:val="16"/>
              </w:rPr>
              <w:t>√</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HU</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IE</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IT</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8"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LT</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LU</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LV</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MT</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NL</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PL</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8"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r w:rsidRPr="00FC6D9C">
              <w:rPr>
                <w:sz w:val="16"/>
                <w:szCs w:val="16"/>
              </w:rPr>
              <w:t xml:space="preserve"> </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PT</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8"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RO</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SE</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9" w:type="pct"/>
            <w:vAlign w:val="center"/>
          </w:tcPr>
          <w:p w:rsidR="00A5732C" w:rsidRPr="00FC6D9C" w:rsidRDefault="00A5732C" w:rsidP="00861A9D">
            <w:pPr>
              <w:rPr>
                <w:sz w:val="16"/>
                <w:szCs w:val="16"/>
              </w:rPr>
            </w:pPr>
            <w:r w:rsidRPr="00FC6D9C">
              <w:rPr>
                <w:rFonts w:cs="Arial"/>
                <w:sz w:val="16"/>
                <w:szCs w:val="16"/>
              </w:rPr>
              <w:t>√</w:t>
            </w:r>
            <w:r w:rsidRPr="00FC6D9C">
              <w:rPr>
                <w:rStyle w:val="EndnoteReference"/>
                <w:sz w:val="16"/>
                <w:szCs w:val="16"/>
              </w:rPr>
              <w:endnoteRef/>
            </w:r>
          </w:p>
        </w:tc>
        <w:tc>
          <w:tcPr>
            <w:tcW w:w="358" w:type="pct"/>
            <w:vAlign w:val="center"/>
          </w:tcPr>
          <w:p w:rsidR="00A5732C" w:rsidRPr="00FC6D9C" w:rsidRDefault="00A5732C" w:rsidP="00861A9D">
            <w:pPr>
              <w:rPr>
                <w:sz w:val="16"/>
                <w:szCs w:val="16"/>
              </w:rPr>
            </w:pPr>
            <w:r w:rsidRPr="00FC6D9C">
              <w:rPr>
                <w:rFonts w:cs="Arial"/>
                <w:sz w:val="16"/>
                <w:szCs w:val="16"/>
              </w:rPr>
              <w:t>√</w:t>
            </w: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SI</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SK</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UK-E&amp;W</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UK-NI</w:t>
            </w:r>
          </w:p>
        </w:tc>
        <w:tc>
          <w:tcPr>
            <w:tcW w:w="359" w:type="pct"/>
            <w:tcBorders>
              <w:lef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71" w:type="pct"/>
            <w:gridSpan w:val="2"/>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59" w:type="pct"/>
            <w:vAlign w:val="center"/>
          </w:tcPr>
          <w:p w:rsidR="00A5732C" w:rsidRPr="00FC6D9C" w:rsidRDefault="00A5732C" w:rsidP="00861A9D">
            <w:pPr>
              <w:rPr>
                <w:sz w:val="16"/>
                <w:szCs w:val="16"/>
              </w:rPr>
            </w:pPr>
            <w:r w:rsidRPr="00FC6D9C">
              <w:rPr>
                <w:rFonts w:cs="Arial"/>
                <w:sz w:val="16"/>
                <w:szCs w:val="16"/>
              </w:rPr>
              <w:t>√</w:t>
            </w:r>
          </w:p>
        </w:tc>
        <w:tc>
          <w:tcPr>
            <w:tcW w:w="307" w:type="pct"/>
            <w:vAlign w:val="center"/>
          </w:tcPr>
          <w:p w:rsidR="00A5732C" w:rsidRPr="00FC6D9C" w:rsidRDefault="00A5732C" w:rsidP="00861A9D">
            <w:pPr>
              <w:rPr>
                <w:sz w:val="16"/>
                <w:szCs w:val="16"/>
              </w:rPr>
            </w:pPr>
            <w:r w:rsidRPr="00FC6D9C">
              <w:rPr>
                <w:rFonts w:cs="Arial"/>
                <w:sz w:val="16"/>
                <w:szCs w:val="16"/>
              </w:rPr>
              <w:t>√</w:t>
            </w:r>
          </w:p>
        </w:tc>
        <w:tc>
          <w:tcPr>
            <w:tcW w:w="298" w:type="pct"/>
            <w:vAlign w:val="center"/>
          </w:tcPr>
          <w:p w:rsidR="00A5732C" w:rsidRPr="00FC6D9C" w:rsidRDefault="00A5732C" w:rsidP="00861A9D">
            <w:pPr>
              <w:rPr>
                <w:sz w:val="16"/>
                <w:szCs w:val="16"/>
              </w:rPr>
            </w:pPr>
            <w:r w:rsidRPr="00FC6D9C">
              <w:rPr>
                <w:rFonts w:cs="Arial"/>
                <w:sz w:val="16"/>
                <w:szCs w:val="16"/>
              </w:rPr>
              <w:t>√</w:t>
            </w:r>
          </w:p>
        </w:tc>
        <w:tc>
          <w:tcPr>
            <w:tcW w:w="447" w:type="pct"/>
            <w:tcBorders>
              <w:right w:val="single" w:sz="12" w:space="0" w:color="auto"/>
            </w:tcBorders>
            <w:vAlign w:val="center"/>
          </w:tcPr>
          <w:p w:rsidR="00A5732C" w:rsidRPr="00FC6D9C" w:rsidRDefault="00A5732C" w:rsidP="00861A9D">
            <w:pPr>
              <w:rPr>
                <w:sz w:val="16"/>
                <w:szCs w:val="16"/>
              </w:rPr>
            </w:pPr>
            <w:r w:rsidRPr="00FC6D9C">
              <w:rPr>
                <w:rFonts w:cs="Arial"/>
                <w:sz w:val="16"/>
                <w:szCs w:val="16"/>
              </w:rPr>
              <w:t>√</w:t>
            </w: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DBE5F1" w:themeFill="accent1" w:themeFillTint="33"/>
            <w:vAlign w:val="center"/>
          </w:tcPr>
          <w:p w:rsidR="00A5732C" w:rsidRPr="00FC6D9C" w:rsidRDefault="00A5732C" w:rsidP="00861A9D">
            <w:pPr>
              <w:pStyle w:val="BTBullet1"/>
              <w:numPr>
                <w:ilvl w:val="0"/>
                <w:numId w:val="0"/>
              </w:numPr>
              <w:rPr>
                <w:b/>
                <w:sz w:val="16"/>
                <w:szCs w:val="16"/>
              </w:rPr>
            </w:pPr>
            <w:r w:rsidRPr="00FC6D9C">
              <w:rPr>
                <w:b/>
                <w:sz w:val="16"/>
                <w:szCs w:val="16"/>
              </w:rPr>
              <w:t>UK-S</w:t>
            </w:r>
          </w:p>
        </w:tc>
        <w:tc>
          <w:tcPr>
            <w:tcW w:w="359"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71" w:type="pct"/>
            <w:gridSpan w:val="2"/>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07" w:type="pct"/>
            <w:shd w:val="clear" w:color="auto" w:fill="D9D9D9" w:themeFill="background1" w:themeFillShade="D9"/>
            <w:vAlign w:val="center"/>
          </w:tcPr>
          <w:p w:rsidR="00A5732C" w:rsidRPr="00FC6D9C" w:rsidRDefault="00A5732C" w:rsidP="00861A9D">
            <w:pPr>
              <w:rPr>
                <w:sz w:val="16"/>
                <w:szCs w:val="16"/>
              </w:rPr>
            </w:pPr>
          </w:p>
        </w:tc>
        <w:tc>
          <w:tcPr>
            <w:tcW w:w="298" w:type="pct"/>
            <w:shd w:val="clear" w:color="auto" w:fill="D9D9D9" w:themeFill="background1" w:themeFillShade="D9"/>
            <w:vAlign w:val="center"/>
          </w:tcPr>
          <w:p w:rsidR="00A5732C" w:rsidRPr="00FC6D9C" w:rsidRDefault="00A5732C" w:rsidP="00861A9D">
            <w:pPr>
              <w:rPr>
                <w:sz w:val="16"/>
                <w:szCs w:val="16"/>
              </w:rPr>
            </w:pPr>
          </w:p>
        </w:tc>
        <w:tc>
          <w:tcPr>
            <w:tcW w:w="447" w:type="pct"/>
            <w:tcBorders>
              <w:righ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400" w:type="pct"/>
            <w:tcBorders>
              <w:left w:val="single" w:sz="12" w:space="0" w:color="auto"/>
            </w:tcBorders>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9" w:type="pct"/>
            <w:shd w:val="clear" w:color="auto" w:fill="D9D9D9" w:themeFill="background1" w:themeFillShade="D9"/>
            <w:vAlign w:val="center"/>
          </w:tcPr>
          <w:p w:rsidR="00A5732C" w:rsidRPr="00FC6D9C" w:rsidRDefault="00A5732C" w:rsidP="00861A9D">
            <w:pPr>
              <w:rPr>
                <w:sz w:val="16"/>
                <w:szCs w:val="16"/>
              </w:rPr>
            </w:pPr>
          </w:p>
        </w:tc>
        <w:tc>
          <w:tcPr>
            <w:tcW w:w="358" w:type="pct"/>
            <w:shd w:val="clear" w:color="auto" w:fill="D9D9D9" w:themeFill="background1" w:themeFillShade="D9"/>
            <w:vAlign w:val="center"/>
          </w:tcPr>
          <w:p w:rsidR="00A5732C" w:rsidRPr="00FC6D9C" w:rsidRDefault="00A5732C" w:rsidP="00861A9D">
            <w:pPr>
              <w:rPr>
                <w:sz w:val="16"/>
                <w:szCs w:val="16"/>
              </w:rPr>
            </w:pPr>
          </w:p>
        </w:tc>
      </w:tr>
      <w:tr w:rsidR="00A5732C" w:rsidTr="00861A9D">
        <w:trPr>
          <w:cantSplit/>
          <w:trHeight w:hRule="exact" w:val="346"/>
          <w:jc w:val="center"/>
        </w:trPr>
        <w:tc>
          <w:tcPr>
            <w:tcW w:w="306" w:type="pct"/>
            <w:tcBorders>
              <w:right w:val="single" w:sz="12" w:space="0" w:color="auto"/>
            </w:tcBorders>
            <w:shd w:val="clear" w:color="auto" w:fill="FFFFFF" w:themeFill="background1"/>
            <w:vAlign w:val="center"/>
          </w:tcPr>
          <w:p w:rsidR="00A5732C" w:rsidRPr="00FC6D9C" w:rsidRDefault="00A5732C" w:rsidP="00861A9D">
            <w:pPr>
              <w:pStyle w:val="BTBullet1"/>
              <w:numPr>
                <w:ilvl w:val="0"/>
                <w:numId w:val="0"/>
              </w:numPr>
              <w:rPr>
                <w:b/>
                <w:sz w:val="16"/>
                <w:szCs w:val="16"/>
              </w:rPr>
            </w:pPr>
            <w:r>
              <w:rPr>
                <w:b/>
                <w:sz w:val="16"/>
                <w:szCs w:val="16"/>
              </w:rPr>
              <w:t>Total Yes</w:t>
            </w:r>
          </w:p>
        </w:tc>
        <w:tc>
          <w:tcPr>
            <w:tcW w:w="359" w:type="pct"/>
            <w:tcBorders>
              <w:left w:val="single" w:sz="12" w:space="0" w:color="auto"/>
            </w:tcBorders>
            <w:shd w:val="clear" w:color="auto" w:fill="auto"/>
            <w:vAlign w:val="center"/>
          </w:tcPr>
          <w:p w:rsidR="00A5732C" w:rsidRPr="00DE3963" w:rsidRDefault="00A5732C" w:rsidP="00861A9D">
            <w:pPr>
              <w:rPr>
                <w:b/>
                <w:sz w:val="16"/>
                <w:szCs w:val="16"/>
              </w:rPr>
            </w:pPr>
            <w:r w:rsidRPr="00DE3963">
              <w:rPr>
                <w:b/>
                <w:sz w:val="16"/>
                <w:szCs w:val="16"/>
              </w:rPr>
              <w:t>14</w:t>
            </w:r>
          </w:p>
        </w:tc>
        <w:tc>
          <w:tcPr>
            <w:tcW w:w="359" w:type="pct"/>
            <w:shd w:val="clear" w:color="auto" w:fill="auto"/>
            <w:vAlign w:val="center"/>
          </w:tcPr>
          <w:p w:rsidR="00A5732C" w:rsidRPr="00DE3963" w:rsidRDefault="00A5732C" w:rsidP="00861A9D">
            <w:pPr>
              <w:rPr>
                <w:b/>
                <w:sz w:val="16"/>
                <w:szCs w:val="16"/>
              </w:rPr>
            </w:pPr>
            <w:r w:rsidRPr="00DE3963">
              <w:rPr>
                <w:b/>
                <w:sz w:val="16"/>
                <w:szCs w:val="16"/>
              </w:rPr>
              <w:t>6</w:t>
            </w:r>
          </w:p>
        </w:tc>
        <w:tc>
          <w:tcPr>
            <w:tcW w:w="359" w:type="pct"/>
            <w:shd w:val="clear" w:color="auto" w:fill="auto"/>
            <w:vAlign w:val="center"/>
          </w:tcPr>
          <w:p w:rsidR="00A5732C" w:rsidRPr="00DE3963" w:rsidRDefault="00A5732C" w:rsidP="00861A9D">
            <w:pPr>
              <w:rPr>
                <w:b/>
                <w:sz w:val="16"/>
                <w:szCs w:val="16"/>
              </w:rPr>
            </w:pPr>
            <w:r w:rsidRPr="00DE3963">
              <w:rPr>
                <w:b/>
                <w:sz w:val="16"/>
                <w:szCs w:val="16"/>
              </w:rPr>
              <w:t>8</w:t>
            </w:r>
          </w:p>
        </w:tc>
        <w:tc>
          <w:tcPr>
            <w:tcW w:w="371" w:type="pct"/>
            <w:gridSpan w:val="2"/>
            <w:shd w:val="clear" w:color="auto" w:fill="auto"/>
            <w:vAlign w:val="center"/>
          </w:tcPr>
          <w:p w:rsidR="00A5732C" w:rsidRPr="00DE3963" w:rsidRDefault="00A5732C" w:rsidP="00861A9D">
            <w:pPr>
              <w:rPr>
                <w:b/>
                <w:sz w:val="16"/>
                <w:szCs w:val="16"/>
              </w:rPr>
            </w:pPr>
            <w:r w:rsidRPr="00DE3963">
              <w:rPr>
                <w:b/>
                <w:sz w:val="16"/>
                <w:szCs w:val="16"/>
              </w:rPr>
              <w:t>8</w:t>
            </w:r>
          </w:p>
        </w:tc>
        <w:tc>
          <w:tcPr>
            <w:tcW w:w="359" w:type="pct"/>
            <w:shd w:val="clear" w:color="auto" w:fill="auto"/>
            <w:vAlign w:val="center"/>
          </w:tcPr>
          <w:p w:rsidR="00A5732C" w:rsidRPr="00DE3963" w:rsidRDefault="00A5732C" w:rsidP="00861A9D">
            <w:pPr>
              <w:rPr>
                <w:b/>
                <w:sz w:val="16"/>
                <w:szCs w:val="16"/>
              </w:rPr>
            </w:pPr>
            <w:r w:rsidRPr="00DE3963">
              <w:rPr>
                <w:b/>
                <w:sz w:val="16"/>
                <w:szCs w:val="16"/>
              </w:rPr>
              <w:t>7</w:t>
            </w:r>
          </w:p>
        </w:tc>
        <w:tc>
          <w:tcPr>
            <w:tcW w:w="359" w:type="pct"/>
            <w:shd w:val="clear" w:color="auto" w:fill="auto"/>
            <w:vAlign w:val="center"/>
          </w:tcPr>
          <w:p w:rsidR="00A5732C" w:rsidRPr="00DE3963" w:rsidRDefault="00A5732C" w:rsidP="00861A9D">
            <w:pPr>
              <w:rPr>
                <w:b/>
                <w:sz w:val="16"/>
                <w:szCs w:val="16"/>
              </w:rPr>
            </w:pPr>
            <w:r w:rsidRPr="00DE3963">
              <w:rPr>
                <w:b/>
                <w:sz w:val="16"/>
                <w:szCs w:val="16"/>
              </w:rPr>
              <w:t>9</w:t>
            </w:r>
          </w:p>
        </w:tc>
        <w:tc>
          <w:tcPr>
            <w:tcW w:w="307" w:type="pct"/>
            <w:shd w:val="clear" w:color="auto" w:fill="auto"/>
            <w:vAlign w:val="center"/>
          </w:tcPr>
          <w:p w:rsidR="00A5732C" w:rsidRPr="00DE3963" w:rsidRDefault="00A5732C" w:rsidP="00861A9D">
            <w:pPr>
              <w:rPr>
                <w:b/>
                <w:sz w:val="16"/>
                <w:szCs w:val="16"/>
              </w:rPr>
            </w:pPr>
            <w:r w:rsidRPr="00DE3963">
              <w:rPr>
                <w:b/>
                <w:sz w:val="16"/>
                <w:szCs w:val="16"/>
              </w:rPr>
              <w:t>13</w:t>
            </w:r>
          </w:p>
        </w:tc>
        <w:tc>
          <w:tcPr>
            <w:tcW w:w="298" w:type="pct"/>
            <w:shd w:val="clear" w:color="auto" w:fill="auto"/>
            <w:vAlign w:val="center"/>
          </w:tcPr>
          <w:p w:rsidR="00A5732C" w:rsidRPr="00DE3963" w:rsidRDefault="00A5732C" w:rsidP="00861A9D">
            <w:pPr>
              <w:rPr>
                <w:b/>
                <w:sz w:val="16"/>
                <w:szCs w:val="16"/>
              </w:rPr>
            </w:pPr>
            <w:r w:rsidRPr="00DE3963">
              <w:rPr>
                <w:b/>
                <w:sz w:val="16"/>
                <w:szCs w:val="16"/>
              </w:rPr>
              <w:t>9</w:t>
            </w:r>
          </w:p>
        </w:tc>
        <w:tc>
          <w:tcPr>
            <w:tcW w:w="447" w:type="pct"/>
            <w:tcBorders>
              <w:right w:val="single" w:sz="12" w:space="0" w:color="auto"/>
            </w:tcBorders>
            <w:shd w:val="clear" w:color="auto" w:fill="auto"/>
            <w:vAlign w:val="center"/>
          </w:tcPr>
          <w:p w:rsidR="00A5732C" w:rsidRPr="00DE3963" w:rsidRDefault="00A5732C" w:rsidP="00861A9D">
            <w:pPr>
              <w:rPr>
                <w:b/>
                <w:sz w:val="16"/>
                <w:szCs w:val="16"/>
              </w:rPr>
            </w:pPr>
            <w:r w:rsidRPr="00DE3963">
              <w:rPr>
                <w:b/>
                <w:sz w:val="16"/>
                <w:szCs w:val="16"/>
              </w:rPr>
              <w:t>11</w:t>
            </w:r>
          </w:p>
        </w:tc>
        <w:tc>
          <w:tcPr>
            <w:tcW w:w="400" w:type="pct"/>
            <w:tcBorders>
              <w:left w:val="single" w:sz="12" w:space="0" w:color="auto"/>
            </w:tcBorders>
            <w:shd w:val="clear" w:color="auto" w:fill="auto"/>
            <w:vAlign w:val="center"/>
          </w:tcPr>
          <w:p w:rsidR="00A5732C" w:rsidRPr="00DE3963" w:rsidRDefault="00A5732C" w:rsidP="00861A9D">
            <w:pPr>
              <w:rPr>
                <w:b/>
                <w:sz w:val="16"/>
                <w:szCs w:val="16"/>
              </w:rPr>
            </w:pPr>
            <w:r w:rsidRPr="00DE3963">
              <w:rPr>
                <w:b/>
                <w:sz w:val="16"/>
                <w:szCs w:val="16"/>
              </w:rPr>
              <w:t>10</w:t>
            </w:r>
          </w:p>
        </w:tc>
        <w:tc>
          <w:tcPr>
            <w:tcW w:w="359" w:type="pct"/>
            <w:shd w:val="clear" w:color="auto" w:fill="auto"/>
            <w:vAlign w:val="center"/>
          </w:tcPr>
          <w:p w:rsidR="00A5732C" w:rsidRPr="00DE3963" w:rsidRDefault="00A5732C" w:rsidP="00861A9D">
            <w:pPr>
              <w:rPr>
                <w:b/>
                <w:sz w:val="16"/>
                <w:szCs w:val="16"/>
              </w:rPr>
            </w:pPr>
            <w:r w:rsidRPr="00DE3963">
              <w:rPr>
                <w:b/>
                <w:sz w:val="16"/>
                <w:szCs w:val="16"/>
              </w:rPr>
              <w:t>13</w:t>
            </w:r>
          </w:p>
        </w:tc>
        <w:tc>
          <w:tcPr>
            <w:tcW w:w="359" w:type="pct"/>
            <w:shd w:val="clear" w:color="auto" w:fill="auto"/>
            <w:vAlign w:val="center"/>
          </w:tcPr>
          <w:p w:rsidR="00A5732C" w:rsidRPr="00DE3963" w:rsidRDefault="00A5732C" w:rsidP="00861A9D">
            <w:pPr>
              <w:rPr>
                <w:b/>
                <w:sz w:val="16"/>
                <w:szCs w:val="16"/>
              </w:rPr>
            </w:pPr>
            <w:r w:rsidRPr="00DE3963">
              <w:rPr>
                <w:b/>
                <w:sz w:val="16"/>
                <w:szCs w:val="16"/>
              </w:rPr>
              <w:t>12</w:t>
            </w:r>
          </w:p>
        </w:tc>
        <w:tc>
          <w:tcPr>
            <w:tcW w:w="358" w:type="pct"/>
            <w:shd w:val="clear" w:color="auto" w:fill="auto"/>
            <w:vAlign w:val="center"/>
          </w:tcPr>
          <w:p w:rsidR="00A5732C" w:rsidRPr="00DE3963" w:rsidRDefault="00A5732C" w:rsidP="00861A9D">
            <w:pPr>
              <w:rPr>
                <w:b/>
                <w:sz w:val="16"/>
                <w:szCs w:val="16"/>
              </w:rPr>
            </w:pPr>
            <w:r w:rsidRPr="00DE3963">
              <w:rPr>
                <w:b/>
                <w:sz w:val="16"/>
                <w:szCs w:val="16"/>
              </w:rPr>
              <w:t>10</w:t>
            </w:r>
          </w:p>
        </w:tc>
      </w:tr>
      <w:tr w:rsidR="00A5732C" w:rsidTr="00861A9D">
        <w:trPr>
          <w:cantSplit/>
          <w:trHeight w:hRule="exact" w:val="642"/>
          <w:jc w:val="center"/>
        </w:trPr>
        <w:tc>
          <w:tcPr>
            <w:tcW w:w="5000" w:type="pct"/>
            <w:gridSpan w:val="15"/>
          </w:tcPr>
          <w:p w:rsidR="00A5732C" w:rsidRPr="00DE3963" w:rsidRDefault="00A5732C" w:rsidP="00861A9D">
            <w:pPr>
              <w:rPr>
                <w:b/>
                <w:sz w:val="16"/>
                <w:szCs w:val="16"/>
              </w:rPr>
            </w:pPr>
            <w:r>
              <w:rPr>
                <w:b/>
                <w:sz w:val="16"/>
                <w:szCs w:val="16"/>
              </w:rPr>
              <w:t xml:space="preserve">Key: </w:t>
            </w:r>
            <w:r w:rsidRPr="00FC6D9C">
              <w:rPr>
                <w:rFonts w:cs="Arial"/>
                <w:sz w:val="16"/>
                <w:szCs w:val="16"/>
              </w:rPr>
              <w:t>√</w:t>
            </w:r>
            <w:r>
              <w:rPr>
                <w:rFonts w:cs="Arial"/>
                <w:sz w:val="16"/>
                <w:szCs w:val="16"/>
              </w:rPr>
              <w:t xml:space="preserve"> = the provision applies; grey cell = the provision does not apply, either because the right does not exist or because it is not applicable.</w:t>
            </w:r>
          </w:p>
        </w:tc>
      </w:tr>
    </w:tbl>
    <w:p w:rsidR="00A5732C" w:rsidRPr="00DE78AE" w:rsidRDefault="00A5732C" w:rsidP="00593AF4">
      <w:pPr>
        <w:pStyle w:val="EndnoteText"/>
        <w:rPr>
          <w:lang w:val="en-US"/>
        </w:rPr>
      </w:pPr>
    </w:p>
  </w:endnote>
  <w:endnote w:id="89">
    <w:p w:rsidR="00A5732C" w:rsidRDefault="00A5732C" w:rsidP="00083AA5">
      <w:pPr>
        <w:pStyle w:val="EndnoteText"/>
      </w:pPr>
      <w:r>
        <w:rPr>
          <w:rStyle w:val="EndnoteReference"/>
        </w:rPr>
        <w:endnoteRef/>
      </w:r>
      <w:r>
        <w:t xml:space="preserve"> In EL, in the case of witnesses, the provision does not apply to placement in care.</w:t>
      </w:r>
    </w:p>
  </w:endnote>
  <w:endnote w:id="90">
    <w:p w:rsidR="00A5732C" w:rsidRDefault="00A5732C" w:rsidP="00083AA5">
      <w:pPr>
        <w:pStyle w:val="EndnoteText"/>
      </w:pPr>
      <w:r>
        <w:rPr>
          <w:rStyle w:val="EndnoteReference"/>
        </w:rPr>
        <w:endnoteRef/>
      </w:r>
      <w:r>
        <w:t xml:space="preserve"> In EL, in the case of plaintiffs, the provision does not apply to placement in care.</w:t>
      </w:r>
    </w:p>
  </w:endnote>
  <w:endnote w:id="91">
    <w:p w:rsidR="00A5732C" w:rsidRDefault="00A5732C" w:rsidP="00083AA5">
      <w:pPr>
        <w:pStyle w:val="EndnoteText"/>
      </w:pPr>
      <w:r>
        <w:rPr>
          <w:rStyle w:val="EndnoteReference"/>
        </w:rPr>
        <w:endnoteRef/>
      </w:r>
      <w:r>
        <w:t xml:space="preserve"> In EL, in the case of defendants, the provision does not apply to placement in care.</w:t>
      </w:r>
    </w:p>
  </w:endnote>
  <w:endnote w:id="92">
    <w:p w:rsidR="00A5732C" w:rsidRDefault="00A5732C" w:rsidP="00083AA5">
      <w:pPr>
        <w:pStyle w:val="EndnoteText"/>
      </w:pPr>
      <w:r>
        <w:rPr>
          <w:rStyle w:val="EndnoteReference"/>
        </w:rPr>
        <w:endnoteRef/>
      </w:r>
      <w:r>
        <w:t xml:space="preserve"> In EL, in the case of subjects, the provision only applies to family and placement in care.</w:t>
      </w:r>
    </w:p>
  </w:endnote>
  <w:endnote w:id="93">
    <w:p w:rsidR="00A5732C" w:rsidRDefault="00A5732C" w:rsidP="00083AA5">
      <w:pPr>
        <w:pStyle w:val="EndnoteText"/>
      </w:pPr>
      <w:r>
        <w:rPr>
          <w:rStyle w:val="EndnoteReference"/>
        </w:rPr>
        <w:endnoteRef/>
      </w:r>
      <w:r>
        <w:t xml:space="preserve"> In FI, i</w:t>
      </w:r>
      <w:r w:rsidRPr="009C3443">
        <w:t xml:space="preserve">n the case of </w:t>
      </w:r>
      <w:r>
        <w:t>defendants</w:t>
      </w:r>
      <w:r w:rsidRPr="009C3443">
        <w:t xml:space="preserve">, the provision only applies to </w:t>
      </w:r>
      <w:r>
        <w:t>family and employment.</w:t>
      </w:r>
    </w:p>
  </w:endnote>
  <w:endnote w:id="94">
    <w:p w:rsidR="00A5732C" w:rsidRDefault="00A5732C" w:rsidP="00083AA5">
      <w:pPr>
        <w:pStyle w:val="EndnoteText"/>
      </w:pPr>
      <w:r>
        <w:rPr>
          <w:rStyle w:val="EndnoteReference"/>
        </w:rPr>
        <w:endnoteRef/>
      </w:r>
      <w:r>
        <w:t xml:space="preserve"> In FI, in the case of subjects, the provision only applies to family.</w:t>
      </w:r>
    </w:p>
  </w:endnote>
  <w:endnote w:id="95">
    <w:p w:rsidR="00A5732C" w:rsidRDefault="00A5732C" w:rsidP="00083AA5">
      <w:pPr>
        <w:pStyle w:val="EndnoteText"/>
      </w:pPr>
      <w:r>
        <w:rPr>
          <w:rStyle w:val="EndnoteReference"/>
        </w:rPr>
        <w:endnoteRef/>
      </w:r>
      <w:r>
        <w:t xml:space="preserve"> In HR, in the case of subjects, the provision only applies to family and MACR.</w:t>
      </w:r>
    </w:p>
  </w:endnote>
  <w:endnote w:id="96">
    <w:p w:rsidR="00A5732C" w:rsidRDefault="00A5732C" w:rsidP="00083AA5">
      <w:pPr>
        <w:pStyle w:val="EndnoteText"/>
      </w:pPr>
      <w:r>
        <w:rPr>
          <w:rStyle w:val="EndnoteReference"/>
        </w:rPr>
        <w:endnoteRef/>
      </w:r>
      <w:r>
        <w:t xml:space="preserve"> In HU, in the case of defendants, the provision only applies to family, employment, health and admin sanctions.</w:t>
      </w:r>
    </w:p>
  </w:endnote>
  <w:endnote w:id="97">
    <w:p w:rsidR="00A5732C" w:rsidRDefault="00A5732C" w:rsidP="00083AA5">
      <w:pPr>
        <w:pStyle w:val="EndnoteText"/>
      </w:pPr>
      <w:r>
        <w:rPr>
          <w:rStyle w:val="EndnoteReference"/>
        </w:rPr>
        <w:endnoteRef/>
      </w:r>
      <w:r>
        <w:t xml:space="preserve"> In HU, in the case of subjects, the provision only applies to family.</w:t>
      </w:r>
    </w:p>
  </w:endnote>
  <w:endnote w:id="98">
    <w:p w:rsidR="00A5732C" w:rsidRDefault="00A5732C" w:rsidP="00083AA5">
      <w:pPr>
        <w:pStyle w:val="EndnoteText"/>
      </w:pPr>
      <w:r>
        <w:rPr>
          <w:rStyle w:val="EndnoteReference"/>
        </w:rPr>
        <w:endnoteRef/>
      </w:r>
      <w:r>
        <w:t xml:space="preserve"> In NL, in the case of witnesses, the provision only applies to family, asylum and migration.</w:t>
      </w:r>
    </w:p>
  </w:endnote>
  <w:endnote w:id="99">
    <w:p w:rsidR="00A5732C" w:rsidRDefault="00A5732C" w:rsidP="00083AA5">
      <w:pPr>
        <w:pStyle w:val="EndnoteText"/>
      </w:pPr>
      <w:r>
        <w:rPr>
          <w:rStyle w:val="EndnoteReference"/>
        </w:rPr>
        <w:endnoteRef/>
      </w:r>
      <w:r>
        <w:t xml:space="preserve"> In NL, in the case of defendants, the provision only applies to family.</w:t>
      </w:r>
    </w:p>
  </w:endnote>
  <w:endnote w:id="100">
    <w:p w:rsidR="00A5732C" w:rsidRDefault="00A5732C" w:rsidP="00083AA5">
      <w:pPr>
        <w:pStyle w:val="EndnoteText"/>
      </w:pPr>
      <w:r>
        <w:rPr>
          <w:rStyle w:val="EndnoteReference"/>
        </w:rPr>
        <w:endnoteRef/>
      </w:r>
      <w:r>
        <w:t xml:space="preserve"> In NL, in the case of subjects, the provision only applies to family, asylum and migration.</w:t>
      </w:r>
    </w:p>
  </w:endnote>
  <w:endnote w:id="101">
    <w:p w:rsidR="00A5732C" w:rsidRDefault="00A5732C" w:rsidP="00083AA5">
      <w:pPr>
        <w:pStyle w:val="EndnoteText"/>
      </w:pPr>
      <w:r>
        <w:rPr>
          <w:rStyle w:val="EndnoteReference"/>
        </w:rPr>
        <w:endnoteRef/>
      </w:r>
      <w:r>
        <w:t xml:space="preserve"> In PL, in the case of plaintiffs, the provision does not apply to placement in care. </w:t>
      </w:r>
    </w:p>
  </w:endnote>
  <w:endnote w:id="102">
    <w:p w:rsidR="00A5732C" w:rsidRDefault="00A5732C" w:rsidP="00083AA5">
      <w:pPr>
        <w:pStyle w:val="EndnoteText"/>
      </w:pPr>
      <w:r>
        <w:rPr>
          <w:rStyle w:val="EndnoteReference"/>
        </w:rPr>
        <w:endnoteRef/>
      </w:r>
      <w:r>
        <w:t xml:space="preserve"> In PL, in the case of defendants, the provision only applies to family, employment, admin sanctions and MACR.</w:t>
      </w:r>
    </w:p>
  </w:endnote>
  <w:endnote w:id="103">
    <w:p w:rsidR="00A5732C" w:rsidRDefault="00A5732C" w:rsidP="00083AA5">
      <w:pPr>
        <w:pStyle w:val="EndnoteText"/>
      </w:pPr>
      <w:r>
        <w:rPr>
          <w:rStyle w:val="EndnoteReference"/>
        </w:rPr>
        <w:endnoteRef/>
      </w:r>
      <w:r>
        <w:t xml:space="preserve"> In PL, in the case of subjects, the provision only applies to family and placement in care.</w:t>
      </w:r>
    </w:p>
  </w:endnote>
  <w:endnote w:id="104">
    <w:p w:rsidR="00A5732C" w:rsidRDefault="00A5732C" w:rsidP="00083AA5">
      <w:pPr>
        <w:pStyle w:val="EndnoteText"/>
      </w:pPr>
      <w:r>
        <w:rPr>
          <w:rStyle w:val="EndnoteReference"/>
        </w:rPr>
        <w:endnoteRef/>
      </w:r>
      <w:r>
        <w:t xml:space="preserve"> In PL, before the proceedings, the provision does not apply to family or employment.</w:t>
      </w:r>
    </w:p>
  </w:endnote>
  <w:endnote w:id="105">
    <w:p w:rsidR="00A5732C" w:rsidRDefault="00A5732C" w:rsidP="00083AA5">
      <w:pPr>
        <w:pStyle w:val="EndnoteText"/>
      </w:pPr>
      <w:r>
        <w:rPr>
          <w:rStyle w:val="EndnoteReference"/>
        </w:rPr>
        <w:endnoteRef/>
      </w:r>
      <w:r>
        <w:t xml:space="preserve"> In PT, in the case of plaintiffs, the provision does not apply to placement in care. </w:t>
      </w:r>
    </w:p>
  </w:endnote>
  <w:endnote w:id="106">
    <w:p w:rsidR="00A5732C" w:rsidRDefault="00A5732C" w:rsidP="00083AA5">
      <w:pPr>
        <w:pStyle w:val="EndnoteText"/>
      </w:pPr>
      <w:r>
        <w:rPr>
          <w:rStyle w:val="EndnoteReference"/>
        </w:rPr>
        <w:endnoteRef/>
      </w:r>
      <w:r>
        <w:t xml:space="preserve"> In PT, in the case of defendants, the provision only applies to family, admin sanctions and MACR. </w:t>
      </w:r>
    </w:p>
  </w:endnote>
  <w:endnote w:id="107">
    <w:p w:rsidR="00A5732C" w:rsidRDefault="00A5732C" w:rsidP="00083AA5">
      <w:pPr>
        <w:pStyle w:val="EndnoteText"/>
      </w:pPr>
      <w:r>
        <w:rPr>
          <w:rStyle w:val="EndnoteReference"/>
        </w:rPr>
        <w:endnoteRef/>
      </w:r>
      <w:r>
        <w:t xml:space="preserve"> In PT, in the case of subjects, the provision only applies to family and placement in care.</w:t>
      </w:r>
    </w:p>
  </w:endnote>
  <w:endnote w:id="108">
    <w:p w:rsidR="00A5732C" w:rsidRDefault="00A5732C" w:rsidP="00CE4EEF">
      <w:pPr>
        <w:pStyle w:val="EndnoteText"/>
      </w:pPr>
      <w:r>
        <w:rPr>
          <w:rStyle w:val="EndnoteReference"/>
        </w:rPr>
        <w:endnoteRef/>
      </w:r>
      <w:r>
        <w:t xml:space="preserve"> In BE, in the case of subjects, the provision only applies to family, placement in care, asylum and migration.</w:t>
      </w:r>
    </w:p>
  </w:endnote>
  <w:endnote w:id="109">
    <w:p w:rsidR="00A5732C" w:rsidRDefault="00A5732C" w:rsidP="00CE4EEF">
      <w:pPr>
        <w:pStyle w:val="EndnoteText"/>
      </w:pPr>
      <w:r>
        <w:rPr>
          <w:rStyle w:val="EndnoteReference"/>
        </w:rPr>
        <w:endnoteRef/>
      </w:r>
      <w:r>
        <w:t xml:space="preserve"> In BG, in the case of subjects, the provision does not apply to employment.</w:t>
      </w:r>
    </w:p>
  </w:endnote>
  <w:endnote w:id="110">
    <w:p w:rsidR="00A5732C" w:rsidRDefault="00A5732C" w:rsidP="00CE4EEF">
      <w:pPr>
        <w:pStyle w:val="EndnoteText"/>
      </w:pPr>
      <w:r>
        <w:rPr>
          <w:rStyle w:val="EndnoteReference"/>
        </w:rPr>
        <w:endnoteRef/>
      </w:r>
      <w:r>
        <w:t xml:space="preserve"> In DE, in the case of plaintiffs, the provision does not apply to admin sanctions and MACR.</w:t>
      </w:r>
    </w:p>
  </w:endnote>
  <w:endnote w:id="111">
    <w:p w:rsidR="00A5732C" w:rsidRDefault="00A5732C" w:rsidP="00CE4EEF">
      <w:pPr>
        <w:pStyle w:val="EndnoteText"/>
      </w:pPr>
      <w:r>
        <w:rPr>
          <w:rStyle w:val="EndnoteReference"/>
        </w:rPr>
        <w:endnoteRef/>
      </w:r>
      <w:r>
        <w:t xml:space="preserve"> In EL, in the case of witnesses, the provision does not apply to placement in care.</w:t>
      </w:r>
    </w:p>
  </w:endnote>
  <w:endnote w:id="112">
    <w:p w:rsidR="00A5732C" w:rsidRDefault="00A5732C" w:rsidP="00CE4EEF">
      <w:pPr>
        <w:pStyle w:val="EndnoteText"/>
      </w:pPr>
      <w:r>
        <w:rPr>
          <w:rStyle w:val="EndnoteReference"/>
        </w:rPr>
        <w:endnoteRef/>
      </w:r>
      <w:r>
        <w:t xml:space="preserve"> In EL, in the case of plaintiffs, the provision does not apply to placement in care.</w:t>
      </w:r>
    </w:p>
  </w:endnote>
  <w:endnote w:id="113">
    <w:p w:rsidR="00A5732C" w:rsidRDefault="00A5732C" w:rsidP="00CE4EEF">
      <w:pPr>
        <w:pStyle w:val="EndnoteText"/>
      </w:pPr>
      <w:r>
        <w:rPr>
          <w:rStyle w:val="EndnoteReference"/>
        </w:rPr>
        <w:endnoteRef/>
      </w:r>
      <w:r>
        <w:t xml:space="preserve"> In EL, in the case of defendants, the provision does not apply to placement in care.</w:t>
      </w:r>
    </w:p>
  </w:endnote>
  <w:endnote w:id="114">
    <w:p w:rsidR="00A5732C" w:rsidRDefault="00A5732C" w:rsidP="00CE4EEF">
      <w:pPr>
        <w:pStyle w:val="EndnoteText"/>
      </w:pPr>
      <w:r>
        <w:rPr>
          <w:rStyle w:val="EndnoteReference"/>
        </w:rPr>
        <w:endnoteRef/>
      </w:r>
      <w:r>
        <w:t xml:space="preserve"> In EL, in the case of subjects, the provision only applies to family and placement in care.</w:t>
      </w:r>
    </w:p>
  </w:endnote>
  <w:endnote w:id="115">
    <w:p w:rsidR="00A5732C" w:rsidRDefault="00A5732C" w:rsidP="00CE4EEF">
      <w:pPr>
        <w:pStyle w:val="EndnoteText"/>
      </w:pPr>
      <w:r>
        <w:rPr>
          <w:rStyle w:val="EndnoteReference"/>
        </w:rPr>
        <w:endnoteRef/>
      </w:r>
      <w:r>
        <w:t xml:space="preserve"> In ES, in the case of defendants, the provision does not apply to placement in care.</w:t>
      </w:r>
    </w:p>
  </w:endnote>
  <w:endnote w:id="116">
    <w:p w:rsidR="00A5732C" w:rsidRDefault="00A5732C" w:rsidP="00CE4EEF">
      <w:pPr>
        <w:pStyle w:val="EndnoteText"/>
      </w:pPr>
      <w:r>
        <w:rPr>
          <w:rStyle w:val="EndnoteReference"/>
        </w:rPr>
        <w:endnoteRef/>
      </w:r>
      <w:r>
        <w:t xml:space="preserve"> In ES, in the case of subjects, the provision only applies to family, education, health and placement in care.</w:t>
      </w:r>
    </w:p>
  </w:endnote>
  <w:endnote w:id="117">
    <w:p w:rsidR="00A5732C" w:rsidRDefault="00A5732C" w:rsidP="00CE4EEF">
      <w:pPr>
        <w:pStyle w:val="EndnoteText"/>
      </w:pPr>
      <w:r>
        <w:rPr>
          <w:rStyle w:val="EndnoteReference"/>
        </w:rPr>
        <w:endnoteRef/>
      </w:r>
      <w:r>
        <w:t xml:space="preserve"> In FI, in the case of defendants, the provision only applies to family and employment.</w:t>
      </w:r>
    </w:p>
  </w:endnote>
  <w:endnote w:id="118">
    <w:p w:rsidR="00A5732C" w:rsidRDefault="00A5732C" w:rsidP="00CE4EEF">
      <w:pPr>
        <w:pStyle w:val="EndnoteText"/>
      </w:pPr>
      <w:r>
        <w:rPr>
          <w:rStyle w:val="EndnoteReference"/>
        </w:rPr>
        <w:endnoteRef/>
      </w:r>
      <w:r>
        <w:t xml:space="preserve"> In FI, in the case of subjects, the provision only applies to family.</w:t>
      </w:r>
    </w:p>
  </w:endnote>
  <w:endnote w:id="119">
    <w:p w:rsidR="00A5732C" w:rsidRDefault="00A5732C" w:rsidP="00CE4EEF">
      <w:pPr>
        <w:pStyle w:val="EndnoteText"/>
      </w:pPr>
      <w:r>
        <w:rPr>
          <w:rStyle w:val="EndnoteReference"/>
        </w:rPr>
        <w:endnoteRef/>
      </w:r>
      <w:r>
        <w:t xml:space="preserve"> In FR, in the case of witnesses, the provision only applies to family and placement in care.</w:t>
      </w:r>
    </w:p>
  </w:endnote>
  <w:endnote w:id="120">
    <w:p w:rsidR="00A5732C" w:rsidRDefault="00A5732C" w:rsidP="00CE4EEF">
      <w:pPr>
        <w:pStyle w:val="EndnoteText"/>
      </w:pPr>
      <w:r>
        <w:rPr>
          <w:rStyle w:val="EndnoteReference"/>
        </w:rPr>
        <w:endnoteRef/>
      </w:r>
      <w:r>
        <w:t xml:space="preserve"> In FR, in the case of subjects, the provision only applies to family, asylum, migration and placement in care.</w:t>
      </w:r>
    </w:p>
  </w:endnote>
  <w:endnote w:id="121">
    <w:p w:rsidR="00A5732C" w:rsidRDefault="00A5732C" w:rsidP="00CE4EEF">
      <w:pPr>
        <w:pStyle w:val="EndnoteText"/>
      </w:pPr>
      <w:r>
        <w:rPr>
          <w:rStyle w:val="EndnoteReference"/>
        </w:rPr>
        <w:endnoteRef/>
      </w:r>
      <w:r>
        <w:t xml:space="preserve"> In HU, in the case of defendants, the provision only applies to family, employment, health and admin sanctions.</w:t>
      </w:r>
    </w:p>
  </w:endnote>
  <w:endnote w:id="122">
    <w:p w:rsidR="00A5732C" w:rsidRDefault="00A5732C" w:rsidP="00CE4EEF">
      <w:pPr>
        <w:pStyle w:val="EndnoteText"/>
      </w:pPr>
      <w:r>
        <w:rPr>
          <w:rStyle w:val="EndnoteReference"/>
        </w:rPr>
        <w:endnoteRef/>
      </w:r>
      <w:r>
        <w:t xml:space="preserve"> In HU, in the case of subjects, the provision only applies to family.</w:t>
      </w:r>
    </w:p>
  </w:endnote>
  <w:endnote w:id="123">
    <w:p w:rsidR="00A5732C" w:rsidRDefault="00A5732C" w:rsidP="00CE4EEF">
      <w:pPr>
        <w:pStyle w:val="EndnoteText"/>
      </w:pPr>
      <w:r>
        <w:rPr>
          <w:rStyle w:val="EndnoteReference"/>
        </w:rPr>
        <w:endnoteRef/>
      </w:r>
      <w:r>
        <w:t xml:space="preserve"> In NL, in the case of witnesses, the provision only applies to family.</w:t>
      </w:r>
    </w:p>
  </w:endnote>
  <w:endnote w:id="124">
    <w:p w:rsidR="00A5732C" w:rsidRDefault="00A5732C" w:rsidP="00CE4EEF">
      <w:pPr>
        <w:pStyle w:val="EndnoteText"/>
      </w:pPr>
      <w:r>
        <w:rPr>
          <w:rStyle w:val="EndnoteReference"/>
        </w:rPr>
        <w:endnoteRef/>
      </w:r>
      <w:r>
        <w:t xml:space="preserve"> In NL, in the case of defendants, the provision only applies to family.</w:t>
      </w:r>
    </w:p>
  </w:endnote>
  <w:endnote w:id="125">
    <w:p w:rsidR="00A5732C" w:rsidRDefault="00A5732C" w:rsidP="00CE4EEF">
      <w:pPr>
        <w:pStyle w:val="EndnoteText"/>
      </w:pPr>
      <w:r>
        <w:rPr>
          <w:rStyle w:val="EndnoteReference"/>
        </w:rPr>
        <w:endnoteRef/>
      </w:r>
      <w:r>
        <w:t xml:space="preserve"> In NL, in the case of subjects, the provision does not apply to employment, education or health.</w:t>
      </w:r>
    </w:p>
  </w:endnote>
  <w:endnote w:id="126">
    <w:p w:rsidR="00A5732C" w:rsidRDefault="00A5732C" w:rsidP="00CE4EEF">
      <w:pPr>
        <w:pStyle w:val="EndnoteText"/>
      </w:pPr>
      <w:r>
        <w:rPr>
          <w:rStyle w:val="EndnoteReference"/>
        </w:rPr>
        <w:endnoteRef/>
      </w:r>
      <w:r>
        <w:t xml:space="preserve"> In PL, in the case of witnesses, the provision does not apply to asylum, migration, education or health.</w:t>
      </w:r>
    </w:p>
  </w:endnote>
  <w:endnote w:id="127">
    <w:p w:rsidR="00A5732C" w:rsidRDefault="00A5732C" w:rsidP="00CE4EEF">
      <w:pPr>
        <w:pStyle w:val="EndnoteText"/>
      </w:pPr>
      <w:r>
        <w:rPr>
          <w:rStyle w:val="EndnoteReference"/>
        </w:rPr>
        <w:endnoteRef/>
      </w:r>
      <w:r>
        <w:t xml:space="preserve"> In PL. in the case of plaintiffs, the provision does not apply to placement in care.</w:t>
      </w:r>
    </w:p>
  </w:endnote>
  <w:endnote w:id="128">
    <w:p w:rsidR="00A5732C" w:rsidRDefault="00A5732C" w:rsidP="00CE4EEF">
      <w:pPr>
        <w:pStyle w:val="EndnoteText"/>
      </w:pPr>
      <w:r>
        <w:rPr>
          <w:rStyle w:val="EndnoteReference"/>
        </w:rPr>
        <w:endnoteRef/>
      </w:r>
      <w:r>
        <w:t xml:space="preserve"> In PL, in the case of defendants, the provision only applies to family, employment, admin sanctions and MACR.</w:t>
      </w:r>
    </w:p>
  </w:endnote>
  <w:endnote w:id="129">
    <w:p w:rsidR="00A5732C" w:rsidRDefault="00A5732C" w:rsidP="00CE4EEF">
      <w:pPr>
        <w:pStyle w:val="EndnoteText"/>
      </w:pPr>
      <w:r>
        <w:rPr>
          <w:rStyle w:val="EndnoteReference"/>
        </w:rPr>
        <w:endnoteRef/>
      </w:r>
      <w:r>
        <w:t xml:space="preserve"> In PL, in the case of subjects, the provision only applies family and placement in care.</w:t>
      </w:r>
    </w:p>
  </w:endnote>
  <w:endnote w:id="130">
    <w:p w:rsidR="00A5732C" w:rsidRDefault="00A5732C" w:rsidP="00CE4EEF">
      <w:pPr>
        <w:pStyle w:val="EndnoteText"/>
      </w:pPr>
      <w:r>
        <w:rPr>
          <w:rStyle w:val="EndnoteReference"/>
        </w:rPr>
        <w:endnoteRef/>
      </w:r>
      <w:r>
        <w:t xml:space="preserve"> In PT, in the case of plaintiffs, the provision does not apply to placement in care.</w:t>
      </w:r>
    </w:p>
  </w:endnote>
  <w:endnote w:id="131">
    <w:p w:rsidR="00A5732C" w:rsidRDefault="00A5732C" w:rsidP="00CE4EEF">
      <w:pPr>
        <w:pStyle w:val="EndnoteText"/>
      </w:pPr>
      <w:r>
        <w:rPr>
          <w:rStyle w:val="EndnoteReference"/>
        </w:rPr>
        <w:endnoteRef/>
      </w:r>
      <w:r>
        <w:t xml:space="preserve"> In PT, in the case of defendants, the provision does not apply to placement in care.</w:t>
      </w:r>
    </w:p>
  </w:endnote>
  <w:endnote w:id="132">
    <w:p w:rsidR="00A5732C" w:rsidRDefault="00A5732C" w:rsidP="00CE4EEF">
      <w:pPr>
        <w:pStyle w:val="EndnoteText"/>
      </w:pPr>
      <w:r>
        <w:rPr>
          <w:rStyle w:val="EndnoteReference"/>
        </w:rPr>
        <w:endnoteRef/>
      </w:r>
      <w:r>
        <w:t xml:space="preserve"> In PT, in the case of subjects, the provision does not apply to MACR.</w:t>
      </w:r>
    </w:p>
  </w:endnote>
  <w:endnote w:id="133">
    <w:p w:rsidR="00A5732C" w:rsidRDefault="00A5732C" w:rsidP="00CE4EEF">
      <w:pPr>
        <w:pStyle w:val="EndnoteText"/>
      </w:pPr>
      <w:r>
        <w:rPr>
          <w:rStyle w:val="EndnoteReference"/>
        </w:rPr>
        <w:endnoteRef/>
      </w:r>
      <w:r>
        <w:t xml:space="preserve"> In RO, in the case of subjects, the provision only applies to family. </w:t>
      </w:r>
    </w:p>
  </w:endnote>
  <w:endnote w:id="134">
    <w:p w:rsidR="00A5732C" w:rsidRDefault="00A5732C" w:rsidP="00CE4EEF">
      <w:pPr>
        <w:pStyle w:val="EndnoteText"/>
      </w:pPr>
      <w:r>
        <w:rPr>
          <w:rStyle w:val="EndnoteReference"/>
        </w:rPr>
        <w:endnoteRef/>
      </w:r>
      <w:r>
        <w:t xml:space="preserve"> In SE, In the case of plaintiffs, the provision does not apply to family.</w:t>
      </w:r>
    </w:p>
  </w:endnote>
  <w:endnote w:id="135">
    <w:p w:rsidR="00A5732C" w:rsidRDefault="00A5732C" w:rsidP="00CE4EEF">
      <w:pPr>
        <w:pStyle w:val="EndnoteText"/>
      </w:pPr>
      <w:r>
        <w:rPr>
          <w:rStyle w:val="EndnoteReference"/>
        </w:rPr>
        <w:endnoteRef/>
      </w:r>
      <w:r>
        <w:t xml:space="preserve"> In SE, in the case of defendants, the provision does not apply to family.</w:t>
      </w:r>
    </w:p>
  </w:endnote>
  <w:endnote w:id="136">
    <w:p w:rsidR="00A5732C" w:rsidRDefault="00A5732C" w:rsidP="00CE4EEF">
      <w:pPr>
        <w:pStyle w:val="EndnoteText"/>
      </w:pPr>
      <w:r>
        <w:rPr>
          <w:rStyle w:val="EndnoteReference"/>
        </w:rPr>
        <w:endnoteRef/>
      </w:r>
      <w:r>
        <w:t xml:space="preserve"> In SE, in the case of subjects, the provision only applies to family and employment.</w:t>
      </w:r>
    </w:p>
  </w:endnote>
  <w:endnote w:id="137">
    <w:p w:rsidR="00A5732C" w:rsidRDefault="00A5732C" w:rsidP="00CE4EEF">
      <w:pPr>
        <w:pStyle w:val="EndnoteText"/>
      </w:pPr>
      <w:r>
        <w:rPr>
          <w:rStyle w:val="EndnoteReference"/>
        </w:rPr>
        <w:endnoteRef/>
      </w:r>
      <w:r>
        <w:t xml:space="preserve"> In SI, in the case of subjects, the provision only applies to family, migration, education and placement in care.</w:t>
      </w:r>
    </w:p>
  </w:endnote>
  <w:endnote w:id="138">
    <w:p w:rsidR="00A5732C" w:rsidRDefault="00A5732C" w:rsidP="00CE4EEF">
      <w:pPr>
        <w:pStyle w:val="EndnoteText"/>
      </w:pPr>
      <w:r>
        <w:rPr>
          <w:rStyle w:val="EndnoteReference"/>
        </w:rPr>
        <w:endnoteRef/>
      </w:r>
      <w:r>
        <w:t xml:space="preserve"> In UK-Scot, in the case of witnesses, the provision only applies to placement in care and MACR.</w:t>
      </w:r>
    </w:p>
  </w:endnote>
  <w:endnote w:id="139">
    <w:p w:rsidR="00A5732C" w:rsidRDefault="00A5732C" w:rsidP="00CE4EEF">
      <w:pPr>
        <w:pStyle w:val="EndnoteText"/>
      </w:pPr>
      <w:r>
        <w:rPr>
          <w:rStyle w:val="EndnoteReference"/>
        </w:rPr>
        <w:endnoteRef/>
      </w:r>
      <w:r>
        <w:t xml:space="preserve"> In UK-Scot, in the case of plaintiffs, the provision only applies to placement in care and MACR.</w:t>
      </w:r>
    </w:p>
  </w:endnote>
  <w:endnote w:id="140">
    <w:p w:rsidR="00A5732C" w:rsidRDefault="00A5732C" w:rsidP="00CE4EEF">
      <w:pPr>
        <w:pStyle w:val="EndnoteText"/>
      </w:pPr>
      <w:r>
        <w:rPr>
          <w:rStyle w:val="EndnoteReference"/>
        </w:rPr>
        <w:endnoteRef/>
      </w:r>
      <w:r>
        <w:t xml:space="preserve"> In UK-Scot, in the case of defendants, the provision only applies to placement in care and MACR.</w:t>
      </w:r>
    </w:p>
  </w:endnote>
  <w:endnote w:id="141">
    <w:p w:rsidR="00A5732C" w:rsidRDefault="00A5732C" w:rsidP="00CE4EEF">
      <w:pPr>
        <w:pStyle w:val="EndnoteText"/>
      </w:pPr>
      <w:r>
        <w:rPr>
          <w:rStyle w:val="EndnoteReference"/>
        </w:rPr>
        <w:endnoteRef/>
      </w:r>
      <w:r>
        <w:t xml:space="preserve"> In BG, in the case of subjects, the provision does not apply to employment.</w:t>
      </w:r>
    </w:p>
  </w:endnote>
  <w:endnote w:id="142">
    <w:p w:rsidR="00A5732C" w:rsidRDefault="00A5732C" w:rsidP="00CE4EEF">
      <w:pPr>
        <w:pStyle w:val="EndnoteText"/>
      </w:pPr>
      <w:r>
        <w:rPr>
          <w:rStyle w:val="EndnoteReference"/>
        </w:rPr>
        <w:endnoteRef/>
      </w:r>
      <w:r>
        <w:t xml:space="preserve"> In ES, in the case of witnesses, the provision does not apply to placement in care.</w:t>
      </w:r>
    </w:p>
  </w:endnote>
  <w:endnote w:id="143">
    <w:p w:rsidR="00A5732C" w:rsidRDefault="00A5732C" w:rsidP="00CE4EEF">
      <w:pPr>
        <w:pStyle w:val="EndnoteText"/>
      </w:pPr>
      <w:r>
        <w:rPr>
          <w:rStyle w:val="EndnoteReference"/>
        </w:rPr>
        <w:endnoteRef/>
      </w:r>
      <w:r>
        <w:t xml:space="preserve"> In ES, in the case of plaintiffs, the provision does not apply to placement in care.</w:t>
      </w:r>
    </w:p>
  </w:endnote>
  <w:endnote w:id="144">
    <w:p w:rsidR="00A5732C" w:rsidRDefault="00A5732C" w:rsidP="00CE4EEF">
      <w:pPr>
        <w:pStyle w:val="EndnoteText"/>
      </w:pPr>
      <w:r>
        <w:rPr>
          <w:rStyle w:val="EndnoteReference"/>
        </w:rPr>
        <w:endnoteRef/>
      </w:r>
      <w:r>
        <w:t xml:space="preserve"> In ES, in the case of defendants, the provision does not apply to placement in care.</w:t>
      </w:r>
    </w:p>
  </w:endnote>
  <w:endnote w:id="145">
    <w:p w:rsidR="00A5732C" w:rsidRDefault="00A5732C" w:rsidP="00CE4EEF">
      <w:pPr>
        <w:pStyle w:val="EndnoteText"/>
      </w:pPr>
      <w:r>
        <w:rPr>
          <w:rStyle w:val="EndnoteReference"/>
        </w:rPr>
        <w:endnoteRef/>
      </w:r>
      <w:r>
        <w:t xml:space="preserve"> In ES, in the case of subjects, the provision only applies to family, employment and placement in care.</w:t>
      </w:r>
    </w:p>
  </w:endnote>
  <w:endnote w:id="146">
    <w:p w:rsidR="00A5732C" w:rsidRDefault="00A5732C" w:rsidP="00CE4EEF">
      <w:pPr>
        <w:pStyle w:val="EndnoteText"/>
      </w:pPr>
      <w:r>
        <w:rPr>
          <w:rStyle w:val="EndnoteReference"/>
        </w:rPr>
        <w:endnoteRef/>
      </w:r>
      <w:r>
        <w:t xml:space="preserve"> In ES, in the case of defendants, the provision does not apply to placement in care.</w:t>
      </w:r>
    </w:p>
  </w:endnote>
  <w:endnote w:id="147">
    <w:p w:rsidR="00A5732C" w:rsidRDefault="00A5732C" w:rsidP="00CE4EEF">
      <w:pPr>
        <w:pStyle w:val="EndnoteText"/>
      </w:pPr>
      <w:r>
        <w:rPr>
          <w:rStyle w:val="EndnoteReference"/>
        </w:rPr>
        <w:endnoteRef/>
      </w:r>
      <w:r>
        <w:t xml:space="preserve"> In ES, in the case of subjects, the provision does not apply employment, asylum, migration or admin sanctions.</w:t>
      </w:r>
    </w:p>
  </w:endnote>
  <w:endnote w:id="148">
    <w:p w:rsidR="00A5732C" w:rsidRDefault="00A5732C" w:rsidP="00CE4EEF">
      <w:pPr>
        <w:pStyle w:val="EndnoteText"/>
      </w:pPr>
      <w:r>
        <w:rPr>
          <w:rStyle w:val="EndnoteReference"/>
        </w:rPr>
        <w:endnoteRef/>
      </w:r>
      <w:r>
        <w:t xml:space="preserve"> In FI, in the case of defendants, the provision only applies family and employment.</w:t>
      </w:r>
    </w:p>
  </w:endnote>
  <w:endnote w:id="149">
    <w:p w:rsidR="00A5732C" w:rsidRDefault="00A5732C" w:rsidP="00CE4EEF">
      <w:pPr>
        <w:pStyle w:val="EndnoteText"/>
      </w:pPr>
      <w:r>
        <w:rPr>
          <w:rStyle w:val="EndnoteReference"/>
        </w:rPr>
        <w:endnoteRef/>
      </w:r>
      <w:r>
        <w:t xml:space="preserve"> In FI, in the case of subjects, the provision only applies to family.</w:t>
      </w:r>
    </w:p>
  </w:endnote>
  <w:endnote w:id="150">
    <w:p w:rsidR="00A5732C" w:rsidRDefault="00A5732C" w:rsidP="00CE4EEF">
      <w:pPr>
        <w:pStyle w:val="EndnoteText"/>
      </w:pPr>
      <w:r>
        <w:rPr>
          <w:rStyle w:val="EndnoteReference"/>
        </w:rPr>
        <w:endnoteRef/>
      </w:r>
      <w:r>
        <w:t xml:space="preserve"> In FR, in the case of witnesses, the provision only applies to family, employment and placement in care.</w:t>
      </w:r>
    </w:p>
  </w:endnote>
  <w:endnote w:id="151">
    <w:p w:rsidR="00A5732C" w:rsidRDefault="00A5732C" w:rsidP="00CE4EEF">
      <w:pPr>
        <w:pStyle w:val="EndnoteText"/>
      </w:pPr>
      <w:r>
        <w:rPr>
          <w:rStyle w:val="EndnoteReference"/>
        </w:rPr>
        <w:endnoteRef/>
      </w:r>
      <w:r>
        <w:t xml:space="preserve"> In HU, in the case of defendants, the provision only applies to family, employment, health and admin sanctions.</w:t>
      </w:r>
    </w:p>
  </w:endnote>
  <w:endnote w:id="152">
    <w:p w:rsidR="00A5732C" w:rsidRDefault="00A5732C" w:rsidP="00CE4EEF">
      <w:pPr>
        <w:pStyle w:val="EndnoteText"/>
      </w:pPr>
      <w:r>
        <w:rPr>
          <w:rStyle w:val="EndnoteReference"/>
        </w:rPr>
        <w:endnoteRef/>
      </w:r>
      <w:r>
        <w:t xml:space="preserve"> In HU, in the case of subjects, the provision only applies to family.</w:t>
      </w:r>
    </w:p>
  </w:endnote>
  <w:endnote w:id="153">
    <w:p w:rsidR="00A5732C" w:rsidRDefault="00A5732C" w:rsidP="00CE4EEF">
      <w:pPr>
        <w:pStyle w:val="EndnoteText"/>
      </w:pPr>
      <w:r>
        <w:rPr>
          <w:rStyle w:val="EndnoteReference"/>
        </w:rPr>
        <w:endnoteRef/>
      </w:r>
      <w:r>
        <w:t xml:space="preserve"> In NL, in the case of witnesses, the provision only applies to family.</w:t>
      </w:r>
    </w:p>
  </w:endnote>
  <w:endnote w:id="154">
    <w:p w:rsidR="00A5732C" w:rsidRDefault="00A5732C" w:rsidP="00CE4EEF">
      <w:pPr>
        <w:pStyle w:val="EndnoteText"/>
      </w:pPr>
      <w:r>
        <w:rPr>
          <w:rStyle w:val="EndnoteReference"/>
        </w:rPr>
        <w:endnoteRef/>
      </w:r>
      <w:r>
        <w:t xml:space="preserve"> In NL, in the case of defendants, the provision only applies to family.</w:t>
      </w:r>
    </w:p>
  </w:endnote>
  <w:endnote w:id="155">
    <w:p w:rsidR="00A5732C" w:rsidRDefault="00A5732C" w:rsidP="00CE4EEF">
      <w:pPr>
        <w:pStyle w:val="EndnoteText"/>
      </w:pPr>
      <w:r>
        <w:rPr>
          <w:rStyle w:val="EndnoteReference"/>
        </w:rPr>
        <w:endnoteRef/>
      </w:r>
      <w:r>
        <w:t xml:space="preserve"> In NL, in the case of subjects, the provision only applies to family, asylum and migration.</w:t>
      </w:r>
    </w:p>
  </w:endnote>
  <w:endnote w:id="156">
    <w:p w:rsidR="00A5732C" w:rsidRDefault="00A5732C" w:rsidP="00CE4EEF">
      <w:pPr>
        <w:pStyle w:val="EndnoteText"/>
      </w:pPr>
      <w:r>
        <w:rPr>
          <w:rStyle w:val="EndnoteReference"/>
        </w:rPr>
        <w:endnoteRef/>
      </w:r>
      <w:r>
        <w:t xml:space="preserve"> In PL. in the case of witnesses, the provision does not apply to asylum, migration, education or health.</w:t>
      </w:r>
    </w:p>
  </w:endnote>
  <w:endnote w:id="157">
    <w:p w:rsidR="00A5732C" w:rsidRDefault="00A5732C" w:rsidP="00CE4EEF">
      <w:pPr>
        <w:pStyle w:val="EndnoteText"/>
      </w:pPr>
      <w:r>
        <w:rPr>
          <w:rStyle w:val="EndnoteReference"/>
        </w:rPr>
        <w:endnoteRef/>
      </w:r>
      <w:r>
        <w:t xml:space="preserve"> In PL, in the case of plaintiff, the provision does not apply to placement in care.</w:t>
      </w:r>
    </w:p>
  </w:endnote>
  <w:endnote w:id="158">
    <w:p w:rsidR="00A5732C" w:rsidRDefault="00A5732C" w:rsidP="00CE4EEF">
      <w:pPr>
        <w:pStyle w:val="EndnoteText"/>
      </w:pPr>
      <w:r>
        <w:rPr>
          <w:rStyle w:val="EndnoteReference"/>
        </w:rPr>
        <w:endnoteRef/>
      </w:r>
      <w:r>
        <w:t xml:space="preserve"> In PL, in the case of defendants, the provision only applies to family, employment, admin sanctions and MACR.</w:t>
      </w:r>
    </w:p>
  </w:endnote>
  <w:endnote w:id="159">
    <w:p w:rsidR="00A5732C" w:rsidRDefault="00A5732C" w:rsidP="00CE4EEF">
      <w:pPr>
        <w:pStyle w:val="EndnoteText"/>
      </w:pPr>
      <w:r>
        <w:rPr>
          <w:rStyle w:val="EndnoteReference"/>
        </w:rPr>
        <w:endnoteRef/>
      </w:r>
      <w:r>
        <w:t xml:space="preserve"> In PL, in the case of subjects, the provision only applies to family and placement in care.</w:t>
      </w:r>
    </w:p>
  </w:endnote>
  <w:endnote w:id="160">
    <w:p w:rsidR="00A5732C" w:rsidRDefault="00A5732C" w:rsidP="00CE4EEF">
      <w:pPr>
        <w:pStyle w:val="EndnoteText"/>
      </w:pPr>
      <w:r>
        <w:rPr>
          <w:rStyle w:val="EndnoteReference"/>
        </w:rPr>
        <w:endnoteRef/>
      </w:r>
      <w:r>
        <w:t xml:space="preserve"> In PT, in the case of plaintiffs, the provision does not apply to placement in care.</w:t>
      </w:r>
    </w:p>
  </w:endnote>
  <w:endnote w:id="161">
    <w:p w:rsidR="00A5732C" w:rsidRDefault="00A5732C" w:rsidP="00CE4EEF">
      <w:pPr>
        <w:pStyle w:val="EndnoteText"/>
      </w:pPr>
      <w:r>
        <w:rPr>
          <w:rStyle w:val="EndnoteReference"/>
        </w:rPr>
        <w:endnoteRef/>
      </w:r>
      <w:r>
        <w:t xml:space="preserve"> In PT, in the case of defendants, the provision only applies to family, admin sanctions and MACR.</w:t>
      </w:r>
    </w:p>
  </w:endnote>
  <w:endnote w:id="162">
    <w:p w:rsidR="00A5732C" w:rsidRDefault="00A5732C" w:rsidP="00CE4EEF">
      <w:pPr>
        <w:pStyle w:val="EndnoteText"/>
      </w:pPr>
      <w:r>
        <w:rPr>
          <w:rStyle w:val="EndnoteReference"/>
        </w:rPr>
        <w:endnoteRef/>
      </w:r>
      <w:r>
        <w:t xml:space="preserve"> In PT, in the case of subjects, the provision only applies to family and placement in care.</w:t>
      </w:r>
    </w:p>
  </w:endnote>
  <w:endnote w:id="163">
    <w:p w:rsidR="00A5732C" w:rsidRDefault="00A5732C" w:rsidP="00CE4EEF">
      <w:pPr>
        <w:pStyle w:val="EndnoteText"/>
      </w:pPr>
      <w:r>
        <w:rPr>
          <w:rStyle w:val="EndnoteReference"/>
        </w:rPr>
        <w:endnoteRef/>
      </w:r>
      <w:r>
        <w:t xml:space="preserve"> In RO, in the case of subjects, the provision only applies to family.</w:t>
      </w:r>
    </w:p>
  </w:endnote>
  <w:endnote w:id="164">
    <w:p w:rsidR="00A5732C" w:rsidRDefault="00A5732C" w:rsidP="00CE4EEF">
      <w:pPr>
        <w:pStyle w:val="EndnoteText"/>
      </w:pPr>
      <w:r>
        <w:rPr>
          <w:rStyle w:val="EndnoteReference"/>
        </w:rPr>
        <w:endnoteRef/>
      </w:r>
      <w:r>
        <w:t xml:space="preserve"> In SI, in the case of subjects, the provision only applies to family, migration, education and placement in care. </w:t>
      </w:r>
    </w:p>
  </w:endnote>
  <w:endnote w:id="165">
    <w:p w:rsidR="00A5732C" w:rsidRDefault="00A5732C" w:rsidP="00A1222C">
      <w:pPr>
        <w:pStyle w:val="EndnoteText"/>
      </w:pPr>
      <w:r>
        <w:rPr>
          <w:rStyle w:val="EndnoteReference"/>
        </w:rPr>
        <w:endnoteRef/>
      </w:r>
      <w:r>
        <w:t xml:space="preserve"> In AT, in the case of the subjects, the provision only applies to placement in care.</w:t>
      </w:r>
    </w:p>
  </w:endnote>
  <w:endnote w:id="166">
    <w:p w:rsidR="00A5732C" w:rsidRDefault="00A5732C" w:rsidP="00A1222C">
      <w:pPr>
        <w:pStyle w:val="EndnoteText"/>
      </w:pPr>
      <w:r>
        <w:rPr>
          <w:rStyle w:val="EndnoteReference"/>
        </w:rPr>
        <w:endnoteRef/>
      </w:r>
      <w:r>
        <w:t xml:space="preserve"> In BG, in the case of subjects, the provision does not apply to employment.</w:t>
      </w:r>
    </w:p>
  </w:endnote>
  <w:endnote w:id="167">
    <w:p w:rsidR="00A5732C" w:rsidRDefault="00A5732C" w:rsidP="00A1222C">
      <w:pPr>
        <w:pStyle w:val="EndnoteText"/>
      </w:pPr>
      <w:r>
        <w:rPr>
          <w:rStyle w:val="EndnoteReference"/>
        </w:rPr>
        <w:endnoteRef/>
      </w:r>
      <w:r>
        <w:t xml:space="preserve"> In CZ, in the case of plaintiffs, the provision only applies to family, employment, health and placement in care.</w:t>
      </w:r>
    </w:p>
  </w:endnote>
  <w:endnote w:id="168">
    <w:p w:rsidR="00A5732C" w:rsidRDefault="00A5732C" w:rsidP="00A1222C">
      <w:pPr>
        <w:pStyle w:val="EndnoteText"/>
      </w:pPr>
      <w:r>
        <w:rPr>
          <w:rStyle w:val="EndnoteReference"/>
        </w:rPr>
        <w:endnoteRef/>
      </w:r>
      <w:r>
        <w:t xml:space="preserve"> In CZ, in the case of subjects, the provision only applies to family, employment, health and placement in care.</w:t>
      </w:r>
    </w:p>
  </w:endnote>
  <w:endnote w:id="169">
    <w:p w:rsidR="00A5732C" w:rsidRDefault="00A5732C" w:rsidP="00A1222C">
      <w:pPr>
        <w:pStyle w:val="EndnoteText"/>
      </w:pPr>
      <w:r>
        <w:rPr>
          <w:rStyle w:val="EndnoteReference"/>
        </w:rPr>
        <w:endnoteRef/>
      </w:r>
      <w:r>
        <w:t xml:space="preserve"> In DK, in the case of plaintiffs, the provision does not apply to employment, education, health and admin sanctions.</w:t>
      </w:r>
    </w:p>
  </w:endnote>
  <w:endnote w:id="170">
    <w:p w:rsidR="00A5732C" w:rsidRDefault="00A5732C" w:rsidP="00A1222C">
      <w:pPr>
        <w:pStyle w:val="EndnoteText"/>
      </w:pPr>
      <w:r>
        <w:rPr>
          <w:rStyle w:val="EndnoteReference"/>
        </w:rPr>
        <w:endnoteRef/>
      </w:r>
      <w:r>
        <w:t xml:space="preserve"> In DK, in the case of defendants, the provision does not apply to employment, education, health and admin sanctions.</w:t>
      </w:r>
    </w:p>
  </w:endnote>
  <w:endnote w:id="171">
    <w:p w:rsidR="00A5732C" w:rsidRDefault="00A5732C" w:rsidP="00A1222C">
      <w:pPr>
        <w:pStyle w:val="EndnoteText"/>
      </w:pPr>
      <w:r>
        <w:rPr>
          <w:rStyle w:val="EndnoteReference"/>
        </w:rPr>
        <w:endnoteRef/>
      </w:r>
      <w:r>
        <w:t xml:space="preserve"> In DK, in the case of subjects, the provision only applies to family, asylum and migration.</w:t>
      </w:r>
    </w:p>
  </w:endnote>
  <w:endnote w:id="172">
    <w:p w:rsidR="00A5732C" w:rsidRDefault="00A5732C" w:rsidP="00A1222C">
      <w:pPr>
        <w:pStyle w:val="EndnoteText"/>
      </w:pPr>
      <w:r>
        <w:rPr>
          <w:rStyle w:val="EndnoteReference"/>
        </w:rPr>
        <w:endnoteRef/>
      </w:r>
      <w:r>
        <w:t xml:space="preserve"> In EE, in the case of defendants, the provision does not apply to migration or health.</w:t>
      </w:r>
    </w:p>
  </w:endnote>
  <w:endnote w:id="173">
    <w:p w:rsidR="00A5732C" w:rsidRDefault="00A5732C" w:rsidP="00A1222C">
      <w:pPr>
        <w:pStyle w:val="EndnoteText"/>
      </w:pPr>
      <w:r>
        <w:rPr>
          <w:rStyle w:val="EndnoteReference"/>
        </w:rPr>
        <w:endnoteRef/>
      </w:r>
      <w:r>
        <w:t xml:space="preserve"> In EE, in the case of subjects, the provision only applies to family, employment and asylum.</w:t>
      </w:r>
    </w:p>
  </w:endnote>
  <w:endnote w:id="174">
    <w:p w:rsidR="00A5732C" w:rsidRDefault="00A5732C" w:rsidP="00A1222C">
      <w:pPr>
        <w:pStyle w:val="EndnoteText"/>
      </w:pPr>
      <w:r>
        <w:rPr>
          <w:rStyle w:val="EndnoteReference"/>
        </w:rPr>
        <w:endnoteRef/>
      </w:r>
      <w:r>
        <w:t xml:space="preserve"> In EL, in the case of witnesses, the provision does not apply to placement in care.</w:t>
      </w:r>
    </w:p>
  </w:endnote>
  <w:endnote w:id="175">
    <w:p w:rsidR="00A5732C" w:rsidRDefault="00A5732C" w:rsidP="00A1222C">
      <w:pPr>
        <w:pStyle w:val="EndnoteText"/>
      </w:pPr>
      <w:r>
        <w:rPr>
          <w:rStyle w:val="EndnoteReference"/>
        </w:rPr>
        <w:endnoteRef/>
      </w:r>
      <w:r>
        <w:t xml:space="preserve"> In EL, in the case of plaintiffs, the provision does not apply to placement in care.</w:t>
      </w:r>
    </w:p>
  </w:endnote>
  <w:endnote w:id="176">
    <w:p w:rsidR="00A5732C" w:rsidRDefault="00A5732C" w:rsidP="00A1222C">
      <w:pPr>
        <w:pStyle w:val="EndnoteText"/>
      </w:pPr>
      <w:r>
        <w:rPr>
          <w:rStyle w:val="EndnoteReference"/>
        </w:rPr>
        <w:endnoteRef/>
      </w:r>
      <w:r>
        <w:t xml:space="preserve"> In EL, in the case of defendants, the provision does not apply to placement in care. </w:t>
      </w:r>
    </w:p>
  </w:endnote>
  <w:endnote w:id="177">
    <w:p w:rsidR="00A5732C" w:rsidRDefault="00A5732C" w:rsidP="00A1222C">
      <w:pPr>
        <w:pStyle w:val="EndnoteText"/>
      </w:pPr>
      <w:r>
        <w:rPr>
          <w:rStyle w:val="EndnoteReference"/>
        </w:rPr>
        <w:endnoteRef/>
      </w:r>
      <w:r>
        <w:t xml:space="preserve"> In EL, in the case of subjects, the provision only applies to family and placement in care.</w:t>
      </w:r>
    </w:p>
  </w:endnote>
  <w:endnote w:id="178">
    <w:p w:rsidR="00A5732C" w:rsidRDefault="00A5732C" w:rsidP="00A1222C">
      <w:pPr>
        <w:pStyle w:val="EndnoteText"/>
      </w:pPr>
      <w:r>
        <w:rPr>
          <w:rStyle w:val="EndnoteReference"/>
        </w:rPr>
        <w:endnoteRef/>
      </w:r>
      <w:r>
        <w:t xml:space="preserve"> In ES, in the case of defendants, the provision does not apply to placement in care. </w:t>
      </w:r>
    </w:p>
  </w:endnote>
  <w:endnote w:id="179">
    <w:p w:rsidR="00A5732C" w:rsidRDefault="00A5732C" w:rsidP="00A1222C">
      <w:pPr>
        <w:pStyle w:val="EndnoteText"/>
      </w:pPr>
      <w:r>
        <w:rPr>
          <w:rStyle w:val="EndnoteReference"/>
        </w:rPr>
        <w:endnoteRef/>
      </w:r>
      <w:r>
        <w:t xml:space="preserve"> In ES, in the case of subjects, the provision only applies to family, education, health and placement in care.</w:t>
      </w:r>
    </w:p>
  </w:endnote>
  <w:endnote w:id="180">
    <w:p w:rsidR="00A5732C" w:rsidRDefault="00A5732C" w:rsidP="00A1222C">
      <w:pPr>
        <w:pStyle w:val="EndnoteText"/>
      </w:pPr>
      <w:r>
        <w:rPr>
          <w:rStyle w:val="EndnoteReference"/>
        </w:rPr>
        <w:endnoteRef/>
      </w:r>
      <w:r>
        <w:t xml:space="preserve"> In FI, in the case of defendants, the provision only applies to family and employment.</w:t>
      </w:r>
    </w:p>
  </w:endnote>
  <w:endnote w:id="181">
    <w:p w:rsidR="00A5732C" w:rsidRDefault="00A5732C" w:rsidP="00A1222C">
      <w:pPr>
        <w:pStyle w:val="EndnoteText"/>
      </w:pPr>
      <w:r>
        <w:rPr>
          <w:rStyle w:val="EndnoteReference"/>
        </w:rPr>
        <w:endnoteRef/>
      </w:r>
      <w:r>
        <w:t xml:space="preserve"> In FI, in the case of subjects, the provision only applies to family.</w:t>
      </w:r>
    </w:p>
  </w:endnote>
  <w:endnote w:id="182">
    <w:p w:rsidR="00A5732C" w:rsidRDefault="00A5732C" w:rsidP="00A1222C">
      <w:pPr>
        <w:pStyle w:val="EndnoteText"/>
      </w:pPr>
      <w:r>
        <w:rPr>
          <w:rStyle w:val="EndnoteReference"/>
        </w:rPr>
        <w:endnoteRef/>
      </w:r>
      <w:r>
        <w:t xml:space="preserve"> In HU, in the case of defendants, the provision only applies to family, employment, health and admin sanctions.</w:t>
      </w:r>
    </w:p>
  </w:endnote>
  <w:endnote w:id="183">
    <w:p w:rsidR="00A5732C" w:rsidRDefault="00A5732C" w:rsidP="00A1222C">
      <w:pPr>
        <w:pStyle w:val="EndnoteText"/>
      </w:pPr>
      <w:r>
        <w:rPr>
          <w:rStyle w:val="EndnoteReference"/>
        </w:rPr>
        <w:endnoteRef/>
      </w:r>
      <w:r>
        <w:t xml:space="preserve"> In HU, in the case of subjects, the provision only applies to family.</w:t>
      </w:r>
    </w:p>
  </w:endnote>
  <w:endnote w:id="184">
    <w:p w:rsidR="00A5732C" w:rsidRDefault="00A5732C" w:rsidP="00A1222C">
      <w:pPr>
        <w:pStyle w:val="EndnoteText"/>
      </w:pPr>
      <w:r>
        <w:rPr>
          <w:rStyle w:val="EndnoteReference"/>
        </w:rPr>
        <w:endnoteRef/>
      </w:r>
      <w:r>
        <w:t xml:space="preserve"> In LT, in the case of plaintiffs, the provision does not apply to admin sanctions and MACR.</w:t>
      </w:r>
    </w:p>
  </w:endnote>
  <w:endnote w:id="185">
    <w:p w:rsidR="00A5732C" w:rsidRDefault="00A5732C" w:rsidP="00A1222C">
      <w:pPr>
        <w:pStyle w:val="EndnoteText"/>
      </w:pPr>
      <w:r>
        <w:rPr>
          <w:rStyle w:val="EndnoteReference"/>
        </w:rPr>
        <w:endnoteRef/>
      </w:r>
      <w:r>
        <w:t xml:space="preserve"> In NL, in the case of defendants, the provision only applies to family.</w:t>
      </w:r>
    </w:p>
  </w:endnote>
  <w:endnote w:id="186">
    <w:p w:rsidR="00A5732C" w:rsidRDefault="00A5732C" w:rsidP="00A1222C">
      <w:pPr>
        <w:pStyle w:val="EndnoteText"/>
      </w:pPr>
      <w:r>
        <w:rPr>
          <w:rStyle w:val="EndnoteReference"/>
        </w:rPr>
        <w:endnoteRef/>
      </w:r>
      <w:r>
        <w:t xml:space="preserve"> In NL, in the case of subjects, the provision does not apply to employment, education and health.</w:t>
      </w:r>
    </w:p>
  </w:endnote>
  <w:endnote w:id="187">
    <w:p w:rsidR="00A5732C" w:rsidRDefault="00A5732C" w:rsidP="00A1222C">
      <w:pPr>
        <w:pStyle w:val="EndnoteText"/>
      </w:pPr>
      <w:r>
        <w:rPr>
          <w:rStyle w:val="EndnoteReference"/>
        </w:rPr>
        <w:endnoteRef/>
      </w:r>
      <w:r>
        <w:t xml:space="preserve"> In PL, in the case of witnesses, the provision does not apply to asylum, migration, education and health.</w:t>
      </w:r>
    </w:p>
  </w:endnote>
  <w:endnote w:id="188">
    <w:p w:rsidR="00A5732C" w:rsidRDefault="00A5732C" w:rsidP="00A1222C">
      <w:pPr>
        <w:pStyle w:val="EndnoteText"/>
      </w:pPr>
      <w:r>
        <w:rPr>
          <w:rStyle w:val="EndnoteReference"/>
        </w:rPr>
        <w:endnoteRef/>
      </w:r>
      <w:r>
        <w:t xml:space="preserve"> In PL, in the case of plaintiffs, the provision does not apply to placement in care.</w:t>
      </w:r>
    </w:p>
  </w:endnote>
  <w:endnote w:id="189">
    <w:p w:rsidR="00A5732C" w:rsidRDefault="00A5732C" w:rsidP="00A1222C">
      <w:pPr>
        <w:pStyle w:val="EndnoteText"/>
      </w:pPr>
      <w:r>
        <w:rPr>
          <w:rStyle w:val="EndnoteReference"/>
        </w:rPr>
        <w:endnoteRef/>
      </w:r>
      <w:r>
        <w:t xml:space="preserve"> In PL, in the case of defendants, the provision only applies to family, employment, admin sanctions and MACR.</w:t>
      </w:r>
    </w:p>
  </w:endnote>
  <w:endnote w:id="190">
    <w:p w:rsidR="00A5732C" w:rsidRDefault="00A5732C" w:rsidP="00A1222C">
      <w:pPr>
        <w:pStyle w:val="EndnoteText"/>
      </w:pPr>
      <w:r>
        <w:rPr>
          <w:rStyle w:val="EndnoteReference"/>
        </w:rPr>
        <w:endnoteRef/>
      </w:r>
      <w:r>
        <w:t xml:space="preserve"> In PL, in the case of subjects, the provision only applies to family and placement in care.</w:t>
      </w:r>
    </w:p>
  </w:endnote>
  <w:endnote w:id="191">
    <w:p w:rsidR="00A5732C" w:rsidRDefault="00A5732C" w:rsidP="00A1222C">
      <w:pPr>
        <w:pStyle w:val="EndnoteText"/>
      </w:pPr>
      <w:r>
        <w:rPr>
          <w:rStyle w:val="EndnoteReference"/>
        </w:rPr>
        <w:endnoteRef/>
      </w:r>
      <w:r>
        <w:t xml:space="preserve"> In PT, in the case of plaintiffs, the provision does not apply to placement in care.</w:t>
      </w:r>
    </w:p>
  </w:endnote>
  <w:endnote w:id="192">
    <w:p w:rsidR="00A5732C" w:rsidRDefault="00A5732C" w:rsidP="00A1222C">
      <w:pPr>
        <w:pStyle w:val="EndnoteText"/>
      </w:pPr>
      <w:r>
        <w:rPr>
          <w:rStyle w:val="EndnoteReference"/>
        </w:rPr>
        <w:endnoteRef/>
      </w:r>
      <w:r>
        <w:t xml:space="preserve"> In PT, in the case of defendants, the provision does not apply to placement in care.</w:t>
      </w:r>
    </w:p>
  </w:endnote>
  <w:endnote w:id="193">
    <w:p w:rsidR="00A5732C" w:rsidRDefault="00A5732C" w:rsidP="00A1222C">
      <w:pPr>
        <w:pStyle w:val="EndnoteText"/>
      </w:pPr>
      <w:r>
        <w:rPr>
          <w:rStyle w:val="EndnoteReference"/>
        </w:rPr>
        <w:endnoteRef/>
      </w:r>
      <w:r>
        <w:t xml:space="preserve"> In PT, in the case of subjects, the provision does not apply to MACR.</w:t>
      </w:r>
    </w:p>
  </w:endnote>
  <w:endnote w:id="194">
    <w:p w:rsidR="00A5732C" w:rsidRDefault="00A5732C" w:rsidP="00A1222C">
      <w:pPr>
        <w:pStyle w:val="EndnoteText"/>
      </w:pPr>
      <w:r>
        <w:rPr>
          <w:rStyle w:val="EndnoteReference"/>
        </w:rPr>
        <w:endnoteRef/>
      </w:r>
      <w:r>
        <w:t xml:space="preserve"> In RO, in the case of subjects, the provision only applies to family.</w:t>
      </w:r>
    </w:p>
  </w:endnote>
  <w:endnote w:id="195">
    <w:p w:rsidR="00A5732C" w:rsidRDefault="00A5732C" w:rsidP="00A1222C">
      <w:pPr>
        <w:pStyle w:val="EndnoteText"/>
      </w:pPr>
      <w:r>
        <w:rPr>
          <w:rStyle w:val="EndnoteReference"/>
        </w:rPr>
        <w:endnoteRef/>
      </w:r>
      <w:r>
        <w:t xml:space="preserve"> In SE, in the case of plaintiffs, the provision only applies to education and placement in care.</w:t>
      </w:r>
    </w:p>
  </w:endnote>
  <w:endnote w:id="196">
    <w:p w:rsidR="00A5732C" w:rsidRDefault="00A5732C" w:rsidP="00A1222C">
      <w:pPr>
        <w:pStyle w:val="EndnoteText"/>
      </w:pPr>
      <w:r>
        <w:rPr>
          <w:rStyle w:val="EndnoteReference"/>
        </w:rPr>
        <w:endnoteRef/>
      </w:r>
      <w:r>
        <w:t xml:space="preserve"> In SE, in the case of defendants, the provision only applies to education and placement in care.</w:t>
      </w:r>
    </w:p>
  </w:endnote>
  <w:endnote w:id="197">
    <w:p w:rsidR="00A5732C" w:rsidRDefault="00A5732C" w:rsidP="00A1222C">
      <w:pPr>
        <w:pStyle w:val="EndnoteText"/>
      </w:pPr>
      <w:r>
        <w:rPr>
          <w:rStyle w:val="EndnoteReference"/>
        </w:rPr>
        <w:endnoteRef/>
      </w:r>
      <w:r>
        <w:t xml:space="preserve"> In SE, in the case of subjects, the provision only applies to family.</w:t>
      </w:r>
    </w:p>
  </w:endnote>
  <w:endnote w:id="198">
    <w:p w:rsidR="00A5732C" w:rsidRDefault="00A5732C" w:rsidP="00A1222C">
      <w:pPr>
        <w:pStyle w:val="EndnoteText"/>
      </w:pPr>
      <w:r>
        <w:rPr>
          <w:rStyle w:val="EndnoteReference"/>
        </w:rPr>
        <w:endnoteRef/>
      </w:r>
      <w:r>
        <w:t xml:space="preserve"> In SI, in the case of defendants, the provision only applies to family.</w:t>
      </w:r>
    </w:p>
  </w:endnote>
  <w:endnote w:id="199">
    <w:p w:rsidR="00A5732C" w:rsidRDefault="00A5732C" w:rsidP="00A1222C">
      <w:pPr>
        <w:pStyle w:val="EndnoteText"/>
      </w:pPr>
      <w:r>
        <w:rPr>
          <w:rStyle w:val="EndnoteReference"/>
        </w:rPr>
        <w:endnoteRef/>
      </w:r>
      <w:r>
        <w:t xml:space="preserve"> In SI, in the case of subjects, the provision only applies to family.</w:t>
      </w:r>
    </w:p>
  </w:endnote>
  <w:endnote w:id="200">
    <w:p w:rsidR="00A5732C" w:rsidRDefault="00A5732C" w:rsidP="00A1222C">
      <w:pPr>
        <w:pStyle w:val="EndnoteText"/>
      </w:pPr>
      <w:r>
        <w:rPr>
          <w:rStyle w:val="EndnoteReference"/>
        </w:rPr>
        <w:endnoteRef/>
      </w:r>
      <w:r>
        <w:t xml:space="preserve"> In UK-E&amp;W, in the case of plaintiffs, the provision only applies to family, education and placement in care.</w:t>
      </w:r>
    </w:p>
  </w:endnote>
  <w:endnote w:id="201">
    <w:p w:rsidR="00A5732C" w:rsidRDefault="00A5732C" w:rsidP="00A1222C">
      <w:pPr>
        <w:pStyle w:val="EndnoteText"/>
      </w:pPr>
      <w:r>
        <w:rPr>
          <w:rStyle w:val="EndnoteReference"/>
        </w:rPr>
        <w:endnoteRef/>
      </w:r>
      <w:r>
        <w:t xml:space="preserve"> In UK-E&amp;W, in the case of defendants, the provision only applies to family, education and placement in care.</w:t>
      </w:r>
    </w:p>
  </w:endnote>
  <w:endnote w:id="202">
    <w:p w:rsidR="00A5732C" w:rsidRDefault="00A5732C" w:rsidP="00A1222C">
      <w:pPr>
        <w:pStyle w:val="EndnoteText"/>
      </w:pPr>
      <w:r>
        <w:rPr>
          <w:rStyle w:val="EndnoteReference"/>
        </w:rPr>
        <w:endnoteRef/>
      </w:r>
      <w:r>
        <w:t xml:space="preserve"> In UK-E&amp;W, in the case of subjects, the provision only applies to family, education and placement in care.</w:t>
      </w:r>
    </w:p>
  </w:endnote>
  <w:endnote w:id="203">
    <w:p w:rsidR="00A5732C" w:rsidRDefault="00A5732C" w:rsidP="00085FAD">
      <w:pPr>
        <w:pStyle w:val="EndnoteText"/>
      </w:pPr>
      <w:r>
        <w:rPr>
          <w:rStyle w:val="EndnoteReference"/>
        </w:rPr>
        <w:endnoteRef/>
      </w:r>
      <w:r>
        <w:t xml:space="preserve"> In BE, in the case of subjects, the provision only applies to family, asylum and migration.</w:t>
      </w:r>
    </w:p>
  </w:endnote>
  <w:endnote w:id="204">
    <w:p w:rsidR="00A5732C" w:rsidRDefault="00A5732C" w:rsidP="00085FAD">
      <w:pPr>
        <w:pStyle w:val="EndnoteText"/>
      </w:pPr>
      <w:r>
        <w:rPr>
          <w:rStyle w:val="EndnoteReference"/>
        </w:rPr>
        <w:endnoteRef/>
      </w:r>
      <w:r>
        <w:t xml:space="preserve"> In BG, in the case of subjects, the provision does not apply to employment.</w:t>
      </w:r>
    </w:p>
  </w:endnote>
  <w:endnote w:id="205">
    <w:p w:rsidR="00A5732C" w:rsidRDefault="00A5732C" w:rsidP="00085FAD">
      <w:pPr>
        <w:pStyle w:val="EndnoteText"/>
      </w:pPr>
      <w:r>
        <w:rPr>
          <w:rStyle w:val="EndnoteReference"/>
        </w:rPr>
        <w:endnoteRef/>
      </w:r>
      <w:r>
        <w:t xml:space="preserve"> In CZ, in the case of subjects, the provision only applies to family, employment, health and placement in care.</w:t>
      </w:r>
    </w:p>
  </w:endnote>
  <w:endnote w:id="206">
    <w:p w:rsidR="00A5732C" w:rsidRDefault="00A5732C" w:rsidP="00085FAD">
      <w:pPr>
        <w:pStyle w:val="EndnoteText"/>
      </w:pPr>
      <w:r>
        <w:rPr>
          <w:rStyle w:val="EndnoteReference"/>
        </w:rPr>
        <w:endnoteRef/>
      </w:r>
      <w:r>
        <w:t xml:space="preserve"> In EL, in the case of witnesses, the provision does not apply to placement in care.</w:t>
      </w:r>
    </w:p>
  </w:endnote>
  <w:endnote w:id="207">
    <w:p w:rsidR="00A5732C" w:rsidRDefault="00A5732C" w:rsidP="00085FAD">
      <w:pPr>
        <w:pStyle w:val="EndnoteText"/>
      </w:pPr>
      <w:r>
        <w:rPr>
          <w:rStyle w:val="EndnoteReference"/>
        </w:rPr>
        <w:endnoteRef/>
      </w:r>
      <w:r>
        <w:t xml:space="preserve"> In EL, in the case of plaintiffs, the provision does not apply to placement in care.</w:t>
      </w:r>
    </w:p>
  </w:endnote>
  <w:endnote w:id="208">
    <w:p w:rsidR="00A5732C" w:rsidRDefault="00A5732C" w:rsidP="00085FAD">
      <w:pPr>
        <w:pStyle w:val="EndnoteText"/>
      </w:pPr>
      <w:r>
        <w:rPr>
          <w:rStyle w:val="EndnoteReference"/>
        </w:rPr>
        <w:endnoteRef/>
      </w:r>
      <w:r>
        <w:t xml:space="preserve"> In EL, in the case of defendants, the provision does not apply to placement in care.</w:t>
      </w:r>
    </w:p>
  </w:endnote>
  <w:endnote w:id="209">
    <w:p w:rsidR="00A5732C" w:rsidRDefault="00A5732C" w:rsidP="00085FAD">
      <w:pPr>
        <w:pStyle w:val="EndnoteText"/>
      </w:pPr>
      <w:r>
        <w:rPr>
          <w:rStyle w:val="EndnoteReference"/>
        </w:rPr>
        <w:endnoteRef/>
      </w:r>
      <w:r>
        <w:t xml:space="preserve"> In EL, in the case of subjects, the provision only applies to family and placement in care.</w:t>
      </w:r>
    </w:p>
  </w:endnote>
  <w:endnote w:id="210">
    <w:p w:rsidR="00A5732C" w:rsidRDefault="00A5732C" w:rsidP="00085FAD">
      <w:pPr>
        <w:pStyle w:val="EndnoteText"/>
      </w:pPr>
      <w:r>
        <w:rPr>
          <w:rStyle w:val="EndnoteReference"/>
        </w:rPr>
        <w:endnoteRef/>
      </w:r>
      <w:r>
        <w:t xml:space="preserve"> In ES, in the case of defendants, the provision does not apply to placement in care.</w:t>
      </w:r>
    </w:p>
  </w:endnote>
  <w:endnote w:id="211">
    <w:p w:rsidR="00A5732C" w:rsidRDefault="00A5732C" w:rsidP="00085FAD">
      <w:pPr>
        <w:pStyle w:val="EndnoteText"/>
      </w:pPr>
      <w:r>
        <w:rPr>
          <w:rStyle w:val="EndnoteReference"/>
        </w:rPr>
        <w:endnoteRef/>
      </w:r>
      <w:r>
        <w:t xml:space="preserve"> In ES, in the case of subjects, the provision only applies to family, education, health and placement in care.</w:t>
      </w:r>
    </w:p>
  </w:endnote>
  <w:endnote w:id="212">
    <w:p w:rsidR="00A5732C" w:rsidRDefault="00A5732C" w:rsidP="00085FAD">
      <w:pPr>
        <w:pStyle w:val="EndnoteText"/>
      </w:pPr>
      <w:r>
        <w:rPr>
          <w:rStyle w:val="EndnoteReference"/>
        </w:rPr>
        <w:endnoteRef/>
      </w:r>
      <w:r>
        <w:t xml:space="preserve"> In FI, in the case of defendants, the provision only applies to family and employment.</w:t>
      </w:r>
    </w:p>
  </w:endnote>
  <w:endnote w:id="213">
    <w:p w:rsidR="00A5732C" w:rsidRDefault="00A5732C" w:rsidP="00085FAD">
      <w:pPr>
        <w:pStyle w:val="EndnoteText"/>
      </w:pPr>
      <w:r>
        <w:rPr>
          <w:rStyle w:val="EndnoteReference"/>
        </w:rPr>
        <w:endnoteRef/>
      </w:r>
      <w:r>
        <w:t xml:space="preserve"> In FI, in the case of subjects, the provision only applies to family.</w:t>
      </w:r>
    </w:p>
  </w:endnote>
  <w:endnote w:id="214">
    <w:p w:rsidR="00A5732C" w:rsidRDefault="00A5732C" w:rsidP="00085FAD">
      <w:pPr>
        <w:pStyle w:val="EndnoteText"/>
      </w:pPr>
      <w:r>
        <w:rPr>
          <w:rStyle w:val="EndnoteReference"/>
        </w:rPr>
        <w:endnoteRef/>
      </w:r>
      <w:r>
        <w:t xml:space="preserve"> In HU, in the case of defendants, the provision only applies to family, employment, health and admin sanctions.</w:t>
      </w:r>
    </w:p>
  </w:endnote>
  <w:endnote w:id="215">
    <w:p w:rsidR="00A5732C" w:rsidRDefault="00A5732C" w:rsidP="00085FAD">
      <w:pPr>
        <w:pStyle w:val="EndnoteText"/>
      </w:pPr>
      <w:r>
        <w:rPr>
          <w:rStyle w:val="EndnoteReference"/>
        </w:rPr>
        <w:endnoteRef/>
      </w:r>
      <w:r>
        <w:t xml:space="preserve"> In HU, in the case of subjects, the provision only applies to family.</w:t>
      </w:r>
    </w:p>
  </w:endnote>
  <w:endnote w:id="216">
    <w:p w:rsidR="00A5732C" w:rsidRDefault="00A5732C" w:rsidP="00085FAD">
      <w:pPr>
        <w:pStyle w:val="EndnoteText"/>
      </w:pPr>
      <w:r>
        <w:rPr>
          <w:rStyle w:val="EndnoteReference"/>
        </w:rPr>
        <w:endnoteRef/>
      </w:r>
      <w:r>
        <w:t xml:space="preserve"> In NL, in the case of defendants, the provision only applies to family.</w:t>
      </w:r>
    </w:p>
  </w:endnote>
  <w:endnote w:id="217">
    <w:p w:rsidR="00A5732C" w:rsidRDefault="00A5732C" w:rsidP="00085FAD">
      <w:pPr>
        <w:pStyle w:val="EndnoteText"/>
      </w:pPr>
      <w:r>
        <w:rPr>
          <w:rStyle w:val="EndnoteReference"/>
        </w:rPr>
        <w:endnoteRef/>
      </w:r>
      <w:r>
        <w:t xml:space="preserve"> In NL, in the case of subjects, the provision does not apply to employment, education of health.</w:t>
      </w:r>
    </w:p>
  </w:endnote>
  <w:endnote w:id="218">
    <w:p w:rsidR="00A5732C" w:rsidRDefault="00A5732C" w:rsidP="00085FAD">
      <w:pPr>
        <w:pStyle w:val="EndnoteText"/>
      </w:pPr>
      <w:r>
        <w:rPr>
          <w:rStyle w:val="EndnoteReference"/>
        </w:rPr>
        <w:endnoteRef/>
      </w:r>
      <w:r>
        <w:t xml:space="preserve"> In SE, in the case of plaintiffs, the provision does not apply to family.</w:t>
      </w:r>
    </w:p>
  </w:endnote>
  <w:endnote w:id="219">
    <w:p w:rsidR="00A5732C" w:rsidRDefault="00A5732C" w:rsidP="00085FAD">
      <w:pPr>
        <w:pStyle w:val="EndnoteText"/>
      </w:pPr>
      <w:r>
        <w:rPr>
          <w:rStyle w:val="EndnoteReference"/>
        </w:rPr>
        <w:endnoteRef/>
      </w:r>
      <w:r>
        <w:t xml:space="preserve"> In SE, in the case of defendants, the provision does not apply to family.</w:t>
      </w:r>
    </w:p>
  </w:endnote>
  <w:endnote w:id="220">
    <w:p w:rsidR="00A5732C" w:rsidRDefault="00A5732C" w:rsidP="00085FAD">
      <w:pPr>
        <w:pStyle w:val="EndnoteText"/>
      </w:pPr>
      <w:r>
        <w:rPr>
          <w:rStyle w:val="EndnoteReference"/>
        </w:rPr>
        <w:endnoteRef/>
      </w:r>
      <w:r>
        <w:t xml:space="preserve"> In SE, in the case of subjects, the provision only applies to family and employment.</w:t>
      </w:r>
    </w:p>
  </w:endnote>
  <w:endnote w:id="221">
    <w:p w:rsidR="00A5732C" w:rsidRDefault="00A5732C" w:rsidP="00085FAD">
      <w:pPr>
        <w:pStyle w:val="EndnoteText"/>
      </w:pPr>
      <w:r>
        <w:rPr>
          <w:rStyle w:val="EndnoteReference"/>
        </w:rPr>
        <w:endnoteRef/>
      </w:r>
      <w:r>
        <w:t xml:space="preserve"> In SI, in the case of subjects, the provision only applies to family, migration, education and placement in care.</w:t>
      </w:r>
    </w:p>
  </w:endnote>
  <w:endnote w:id="222">
    <w:p w:rsidR="00A5732C" w:rsidRDefault="00A5732C" w:rsidP="00CC5670">
      <w:pPr>
        <w:pStyle w:val="EndnoteText"/>
      </w:pPr>
      <w:r>
        <w:rPr>
          <w:rStyle w:val="EndnoteReference"/>
        </w:rPr>
        <w:endnoteRef/>
      </w:r>
      <w:r>
        <w:t xml:space="preserve"> In AT, before the proceedings, the provision does not apply to family, employment or placement in care.</w:t>
      </w:r>
    </w:p>
  </w:endnote>
  <w:endnote w:id="223">
    <w:p w:rsidR="00A5732C" w:rsidRDefault="00A5732C" w:rsidP="00CC5670">
      <w:pPr>
        <w:pStyle w:val="EndnoteText"/>
      </w:pPr>
      <w:r>
        <w:rPr>
          <w:rStyle w:val="EndnoteReference"/>
        </w:rPr>
        <w:endnoteRef/>
      </w:r>
      <w:r>
        <w:t xml:space="preserve"> In BE, in the case of subjects, the provision only applies to family, asylum and migration.</w:t>
      </w:r>
    </w:p>
  </w:endnote>
  <w:endnote w:id="224">
    <w:p w:rsidR="00A5732C" w:rsidRDefault="00A5732C" w:rsidP="00CC5670">
      <w:pPr>
        <w:pStyle w:val="EndnoteText"/>
      </w:pPr>
      <w:r>
        <w:rPr>
          <w:rStyle w:val="EndnoteReference"/>
        </w:rPr>
        <w:endnoteRef/>
      </w:r>
      <w:r>
        <w:t xml:space="preserve"> In BG, in the case of subjects, the provision does not apply to employment.</w:t>
      </w:r>
    </w:p>
  </w:endnote>
  <w:endnote w:id="225">
    <w:p w:rsidR="00A5732C" w:rsidRDefault="00A5732C" w:rsidP="00CC5670">
      <w:pPr>
        <w:pStyle w:val="EndnoteText"/>
      </w:pPr>
      <w:r>
        <w:rPr>
          <w:rStyle w:val="EndnoteReference"/>
        </w:rPr>
        <w:endnoteRef/>
      </w:r>
      <w:r>
        <w:t xml:space="preserve"> In CZ, in the case of subjects, the provision only applies to family, employment, health and placement in care.</w:t>
      </w:r>
    </w:p>
  </w:endnote>
  <w:endnote w:id="226">
    <w:p w:rsidR="00A5732C" w:rsidRDefault="00A5732C" w:rsidP="00CC5670">
      <w:pPr>
        <w:pStyle w:val="EndnoteText"/>
      </w:pPr>
      <w:r>
        <w:rPr>
          <w:rStyle w:val="EndnoteReference"/>
        </w:rPr>
        <w:endnoteRef/>
      </w:r>
      <w:r>
        <w:t xml:space="preserve"> In CZ, during the enforcement of the decisions, the provision does not apply to asylum.</w:t>
      </w:r>
    </w:p>
  </w:endnote>
  <w:endnote w:id="227">
    <w:p w:rsidR="00A5732C" w:rsidRDefault="00A5732C" w:rsidP="00CC5670">
      <w:pPr>
        <w:pStyle w:val="EndnoteText"/>
      </w:pPr>
      <w:r>
        <w:rPr>
          <w:rStyle w:val="EndnoteReference"/>
        </w:rPr>
        <w:endnoteRef/>
      </w:r>
      <w:r>
        <w:t xml:space="preserve"> In EL, in the case of witnesses, the provision does not apply to placement in care.</w:t>
      </w:r>
    </w:p>
  </w:endnote>
  <w:endnote w:id="228">
    <w:p w:rsidR="00A5732C" w:rsidRDefault="00A5732C" w:rsidP="00CC5670">
      <w:pPr>
        <w:pStyle w:val="EndnoteText"/>
      </w:pPr>
      <w:r>
        <w:rPr>
          <w:rStyle w:val="EndnoteReference"/>
        </w:rPr>
        <w:endnoteRef/>
      </w:r>
      <w:r>
        <w:t xml:space="preserve"> In EL, in the case of plaintiffs, the provision does not apply to placement in care.</w:t>
      </w:r>
    </w:p>
  </w:endnote>
  <w:endnote w:id="229">
    <w:p w:rsidR="00A5732C" w:rsidRDefault="00A5732C" w:rsidP="00CC5670">
      <w:pPr>
        <w:pStyle w:val="EndnoteText"/>
      </w:pPr>
      <w:r>
        <w:rPr>
          <w:rStyle w:val="EndnoteReference"/>
        </w:rPr>
        <w:endnoteRef/>
      </w:r>
      <w:r>
        <w:t xml:space="preserve"> In EL, in the case of defendants, the provision does not apply to placement in care.</w:t>
      </w:r>
    </w:p>
  </w:endnote>
  <w:endnote w:id="230">
    <w:p w:rsidR="00A5732C" w:rsidRDefault="00A5732C" w:rsidP="00CC5670">
      <w:pPr>
        <w:pStyle w:val="EndnoteText"/>
      </w:pPr>
      <w:r>
        <w:rPr>
          <w:rStyle w:val="EndnoteReference"/>
        </w:rPr>
        <w:endnoteRef/>
      </w:r>
      <w:r>
        <w:t xml:space="preserve"> In EL, in the case of subjects, the provision only applies to family and placement in care.</w:t>
      </w:r>
    </w:p>
  </w:endnote>
  <w:endnote w:id="231">
    <w:p w:rsidR="00A5732C" w:rsidRDefault="00A5732C" w:rsidP="00CC5670">
      <w:pPr>
        <w:pStyle w:val="EndnoteText"/>
      </w:pPr>
      <w:r>
        <w:rPr>
          <w:rStyle w:val="EndnoteReference"/>
        </w:rPr>
        <w:endnoteRef/>
      </w:r>
      <w:r>
        <w:t xml:space="preserve"> In EL, during the enforcement of the decisions, the provision does not apply to family, placement in care or MACR.</w:t>
      </w:r>
    </w:p>
  </w:endnote>
  <w:endnote w:id="232">
    <w:p w:rsidR="00A5732C" w:rsidRDefault="00A5732C" w:rsidP="00CC5670">
      <w:pPr>
        <w:pStyle w:val="EndnoteText"/>
      </w:pPr>
      <w:r>
        <w:rPr>
          <w:rStyle w:val="EndnoteReference"/>
        </w:rPr>
        <w:endnoteRef/>
      </w:r>
      <w:r>
        <w:t xml:space="preserve"> In ES, in the case of witnesses, the provision does not apply to family.</w:t>
      </w:r>
    </w:p>
  </w:endnote>
  <w:endnote w:id="233">
    <w:p w:rsidR="00A5732C" w:rsidRDefault="00A5732C" w:rsidP="00CC5670">
      <w:pPr>
        <w:pStyle w:val="EndnoteText"/>
      </w:pPr>
      <w:r>
        <w:rPr>
          <w:rStyle w:val="EndnoteReference"/>
        </w:rPr>
        <w:endnoteRef/>
      </w:r>
      <w:r>
        <w:t xml:space="preserve"> In ES, in the case of defendants, the provision does not apply to placement in care.</w:t>
      </w:r>
    </w:p>
  </w:endnote>
  <w:endnote w:id="234">
    <w:p w:rsidR="00A5732C" w:rsidRDefault="00A5732C" w:rsidP="00CC5670">
      <w:pPr>
        <w:pStyle w:val="EndnoteText"/>
      </w:pPr>
      <w:r>
        <w:rPr>
          <w:rStyle w:val="EndnoteReference"/>
        </w:rPr>
        <w:endnoteRef/>
      </w:r>
      <w:r>
        <w:t xml:space="preserve"> In ES, in the case of subjects, the provision only applies to family and placement in care. </w:t>
      </w:r>
    </w:p>
  </w:endnote>
  <w:endnote w:id="235">
    <w:p w:rsidR="00A5732C" w:rsidRDefault="00A5732C" w:rsidP="00CC5670">
      <w:pPr>
        <w:pStyle w:val="EndnoteText"/>
      </w:pPr>
      <w:r>
        <w:rPr>
          <w:rStyle w:val="EndnoteReference"/>
        </w:rPr>
        <w:endnoteRef/>
      </w:r>
      <w:r>
        <w:t xml:space="preserve"> In ES, during the proceedings, the provision does not apply to family.</w:t>
      </w:r>
    </w:p>
  </w:endnote>
  <w:endnote w:id="236">
    <w:p w:rsidR="00A5732C" w:rsidRDefault="00A5732C" w:rsidP="00CC5670">
      <w:pPr>
        <w:pStyle w:val="EndnoteText"/>
      </w:pPr>
      <w:r>
        <w:rPr>
          <w:rStyle w:val="EndnoteReference"/>
        </w:rPr>
        <w:endnoteRef/>
      </w:r>
      <w:r>
        <w:t xml:space="preserve"> In ES, during the enforcement of the decisions, the provision does not apply to family.</w:t>
      </w:r>
    </w:p>
  </w:endnote>
  <w:endnote w:id="237">
    <w:p w:rsidR="00A5732C" w:rsidRDefault="00A5732C" w:rsidP="00CC5670">
      <w:pPr>
        <w:pStyle w:val="EndnoteText"/>
      </w:pPr>
      <w:r>
        <w:rPr>
          <w:rStyle w:val="EndnoteReference"/>
        </w:rPr>
        <w:endnoteRef/>
      </w:r>
      <w:r>
        <w:t xml:space="preserve"> In FI, in the case of defendants, the provision only applies to family.</w:t>
      </w:r>
    </w:p>
  </w:endnote>
  <w:endnote w:id="238">
    <w:p w:rsidR="00A5732C" w:rsidRDefault="00A5732C" w:rsidP="00CC5670">
      <w:pPr>
        <w:pStyle w:val="EndnoteText"/>
      </w:pPr>
      <w:r>
        <w:rPr>
          <w:rStyle w:val="EndnoteReference"/>
        </w:rPr>
        <w:endnoteRef/>
      </w:r>
      <w:r>
        <w:t xml:space="preserve"> In FI, in the case of subjects, the provision only applies to family.</w:t>
      </w:r>
    </w:p>
  </w:endnote>
  <w:endnote w:id="239">
    <w:p w:rsidR="00A5732C" w:rsidRDefault="00A5732C" w:rsidP="00CC5670">
      <w:pPr>
        <w:pStyle w:val="EndnoteText"/>
      </w:pPr>
      <w:r>
        <w:rPr>
          <w:rStyle w:val="EndnoteReference"/>
        </w:rPr>
        <w:endnoteRef/>
      </w:r>
      <w:r>
        <w:t xml:space="preserve"> In HR, in the case of witnesses, the provision does not apply to health.</w:t>
      </w:r>
    </w:p>
  </w:endnote>
  <w:endnote w:id="240">
    <w:p w:rsidR="00A5732C" w:rsidRDefault="00A5732C" w:rsidP="00CC5670">
      <w:pPr>
        <w:pStyle w:val="EndnoteText"/>
      </w:pPr>
      <w:r>
        <w:rPr>
          <w:rStyle w:val="EndnoteReference"/>
        </w:rPr>
        <w:endnoteRef/>
      </w:r>
      <w:r>
        <w:t xml:space="preserve"> In HR, in the case of plaintiffs, the provision does not apply to health.</w:t>
      </w:r>
    </w:p>
  </w:endnote>
  <w:endnote w:id="241">
    <w:p w:rsidR="00A5732C" w:rsidRDefault="00A5732C" w:rsidP="00CC5670">
      <w:pPr>
        <w:pStyle w:val="EndnoteText"/>
      </w:pPr>
      <w:r>
        <w:rPr>
          <w:rStyle w:val="EndnoteReference"/>
        </w:rPr>
        <w:endnoteRef/>
      </w:r>
      <w:r>
        <w:t xml:space="preserve"> In HR, in the case of defendants, the provision does not apply to health.</w:t>
      </w:r>
    </w:p>
  </w:endnote>
  <w:endnote w:id="242">
    <w:p w:rsidR="00A5732C" w:rsidRDefault="00A5732C" w:rsidP="00CC5670">
      <w:pPr>
        <w:pStyle w:val="EndnoteText"/>
      </w:pPr>
      <w:r>
        <w:rPr>
          <w:rStyle w:val="EndnoteReference"/>
        </w:rPr>
        <w:endnoteRef/>
      </w:r>
      <w:r>
        <w:t xml:space="preserve"> In HR, during the enforcement of the decisions, the provision does not apply to health.</w:t>
      </w:r>
    </w:p>
  </w:endnote>
  <w:endnote w:id="243">
    <w:p w:rsidR="00A5732C" w:rsidRDefault="00A5732C" w:rsidP="00CC5670">
      <w:pPr>
        <w:pStyle w:val="EndnoteText"/>
      </w:pPr>
      <w:r>
        <w:rPr>
          <w:rStyle w:val="EndnoteReference"/>
        </w:rPr>
        <w:endnoteRef/>
      </w:r>
      <w:r>
        <w:t xml:space="preserve"> In NL, in the case of witnesses, the provision only applies to family.</w:t>
      </w:r>
    </w:p>
  </w:endnote>
  <w:endnote w:id="244">
    <w:p w:rsidR="00A5732C" w:rsidRDefault="00A5732C" w:rsidP="00CC5670">
      <w:pPr>
        <w:pStyle w:val="EndnoteText"/>
      </w:pPr>
      <w:r>
        <w:rPr>
          <w:rStyle w:val="EndnoteReference"/>
        </w:rPr>
        <w:endnoteRef/>
      </w:r>
      <w:r>
        <w:t xml:space="preserve"> In NL, in the case of defendants, the provision only applies to family.</w:t>
      </w:r>
    </w:p>
  </w:endnote>
  <w:endnote w:id="245">
    <w:p w:rsidR="00A5732C" w:rsidRDefault="00A5732C" w:rsidP="00CC5670">
      <w:pPr>
        <w:pStyle w:val="EndnoteText"/>
      </w:pPr>
      <w:r>
        <w:rPr>
          <w:rStyle w:val="EndnoteReference"/>
        </w:rPr>
        <w:endnoteRef/>
      </w:r>
      <w:r>
        <w:t xml:space="preserve"> In NL, in the case of subjects, the provision only applies to family, asylum, migration and placement in care.</w:t>
      </w:r>
    </w:p>
  </w:endnote>
  <w:endnote w:id="246">
    <w:p w:rsidR="00A5732C" w:rsidRDefault="00A5732C" w:rsidP="00CC5670">
      <w:pPr>
        <w:pStyle w:val="EndnoteText"/>
      </w:pPr>
      <w:r>
        <w:rPr>
          <w:rStyle w:val="EndnoteReference"/>
        </w:rPr>
        <w:endnoteRef/>
      </w:r>
      <w:r>
        <w:t xml:space="preserve"> In NL, before the proceedings, the provision only applies to family and placement in care.</w:t>
      </w:r>
    </w:p>
  </w:endnote>
  <w:endnote w:id="247">
    <w:p w:rsidR="00A5732C" w:rsidRDefault="00A5732C" w:rsidP="00CC5670">
      <w:pPr>
        <w:pStyle w:val="EndnoteText"/>
      </w:pPr>
      <w:r>
        <w:rPr>
          <w:rStyle w:val="EndnoteReference"/>
        </w:rPr>
        <w:endnoteRef/>
      </w:r>
      <w:r>
        <w:t xml:space="preserve"> In PL, in the case of witnesses, the provision does not apply to asylum, migration, education or health.</w:t>
      </w:r>
    </w:p>
  </w:endnote>
  <w:endnote w:id="248">
    <w:p w:rsidR="00A5732C" w:rsidRDefault="00A5732C" w:rsidP="00CC5670">
      <w:pPr>
        <w:pStyle w:val="EndnoteText"/>
      </w:pPr>
      <w:r>
        <w:rPr>
          <w:rStyle w:val="EndnoteReference"/>
        </w:rPr>
        <w:endnoteRef/>
      </w:r>
      <w:r>
        <w:t xml:space="preserve"> In PL, in the case of plaintiffs, the provision does not apply to placement in care.</w:t>
      </w:r>
    </w:p>
  </w:endnote>
  <w:endnote w:id="249">
    <w:p w:rsidR="00A5732C" w:rsidRDefault="00A5732C" w:rsidP="00CC5670">
      <w:pPr>
        <w:pStyle w:val="EndnoteText"/>
      </w:pPr>
      <w:r>
        <w:rPr>
          <w:rStyle w:val="EndnoteReference"/>
        </w:rPr>
        <w:endnoteRef/>
      </w:r>
      <w:r>
        <w:t xml:space="preserve"> In PL, in the case of defendants, the provision only applies to family, employment, admin sanctions and MACR.</w:t>
      </w:r>
    </w:p>
  </w:endnote>
  <w:endnote w:id="250">
    <w:p w:rsidR="00A5732C" w:rsidRDefault="00A5732C" w:rsidP="00CC5670">
      <w:pPr>
        <w:pStyle w:val="EndnoteText"/>
      </w:pPr>
      <w:r>
        <w:rPr>
          <w:rStyle w:val="EndnoteReference"/>
        </w:rPr>
        <w:endnoteRef/>
      </w:r>
      <w:r>
        <w:t xml:space="preserve"> In PL, in the case of subjects, the provision only applies to family, employment and placement in care.</w:t>
      </w:r>
    </w:p>
  </w:endnote>
  <w:endnote w:id="251">
    <w:p w:rsidR="00A5732C" w:rsidRDefault="00A5732C" w:rsidP="00CC5670">
      <w:pPr>
        <w:pStyle w:val="EndnoteText"/>
      </w:pPr>
      <w:r>
        <w:rPr>
          <w:rStyle w:val="EndnoteReference"/>
        </w:rPr>
        <w:endnoteRef/>
      </w:r>
      <w:r>
        <w:t xml:space="preserve"> In PT, in the case of plaintiffs, the provision does not apply to placement in care.</w:t>
      </w:r>
    </w:p>
  </w:endnote>
  <w:endnote w:id="252">
    <w:p w:rsidR="00A5732C" w:rsidRDefault="00A5732C" w:rsidP="00CC5670">
      <w:pPr>
        <w:pStyle w:val="EndnoteText"/>
      </w:pPr>
      <w:r>
        <w:rPr>
          <w:rStyle w:val="EndnoteReference"/>
        </w:rPr>
        <w:endnoteRef/>
      </w:r>
      <w:r>
        <w:t xml:space="preserve"> In PT, in the case of defendants, the provision does not apply to placement in care.</w:t>
      </w:r>
    </w:p>
  </w:endnote>
  <w:endnote w:id="253">
    <w:p w:rsidR="00A5732C" w:rsidRDefault="00A5732C" w:rsidP="00CC5670">
      <w:pPr>
        <w:pStyle w:val="EndnoteText"/>
      </w:pPr>
      <w:r>
        <w:rPr>
          <w:rStyle w:val="EndnoteReference"/>
        </w:rPr>
        <w:endnoteRef/>
      </w:r>
      <w:r>
        <w:t xml:space="preserve"> In PT, in the case of subjects, the provision does not apply to MACR.</w:t>
      </w:r>
    </w:p>
  </w:endnote>
  <w:endnote w:id="254">
    <w:p w:rsidR="00A5732C" w:rsidRDefault="00A5732C" w:rsidP="00CC5670">
      <w:pPr>
        <w:pStyle w:val="EndnoteText"/>
      </w:pPr>
      <w:r>
        <w:rPr>
          <w:rStyle w:val="EndnoteReference"/>
        </w:rPr>
        <w:endnoteRef/>
      </w:r>
      <w:r>
        <w:t xml:space="preserve"> In RO, in the case of subjects, the provision only applies to family.</w:t>
      </w:r>
    </w:p>
  </w:endnote>
  <w:endnote w:id="255">
    <w:p w:rsidR="00A5732C" w:rsidRDefault="00A5732C" w:rsidP="00CC5670">
      <w:pPr>
        <w:pStyle w:val="EndnoteText"/>
      </w:pPr>
      <w:r>
        <w:rPr>
          <w:rStyle w:val="EndnoteReference"/>
        </w:rPr>
        <w:endnoteRef/>
      </w:r>
      <w:r>
        <w:t xml:space="preserve"> In SI, in the case of witnesses, the provision only applies to family.</w:t>
      </w:r>
    </w:p>
  </w:endnote>
  <w:endnote w:id="256">
    <w:p w:rsidR="00A5732C" w:rsidRDefault="00A5732C" w:rsidP="00CC5670">
      <w:pPr>
        <w:pStyle w:val="EndnoteText"/>
      </w:pPr>
      <w:r>
        <w:rPr>
          <w:rStyle w:val="EndnoteReference"/>
        </w:rPr>
        <w:endnoteRef/>
      </w:r>
      <w:r>
        <w:t xml:space="preserve"> In SI, in the case of plaintiffs, the provision only applies to asylum. </w:t>
      </w:r>
    </w:p>
  </w:endnote>
  <w:endnote w:id="257">
    <w:p w:rsidR="00A5732C" w:rsidRDefault="00A5732C" w:rsidP="00CC5670">
      <w:pPr>
        <w:pStyle w:val="EndnoteText"/>
      </w:pPr>
      <w:r>
        <w:rPr>
          <w:rStyle w:val="EndnoteReference"/>
        </w:rPr>
        <w:endnoteRef/>
      </w:r>
      <w:r>
        <w:t xml:space="preserve"> In SI, in the case of defendants, the provision only applies to asylum.</w:t>
      </w:r>
    </w:p>
  </w:endnote>
  <w:endnote w:id="258">
    <w:p w:rsidR="00A5732C" w:rsidRDefault="00A5732C" w:rsidP="00CC5670">
      <w:pPr>
        <w:pStyle w:val="EndnoteText"/>
      </w:pPr>
      <w:r>
        <w:rPr>
          <w:rStyle w:val="EndnoteReference"/>
        </w:rPr>
        <w:endnoteRef/>
      </w:r>
      <w:r>
        <w:t xml:space="preserve"> In SI, before the proceedings, the provision only applies to asylum.</w:t>
      </w:r>
    </w:p>
  </w:endnote>
  <w:endnote w:id="259">
    <w:p w:rsidR="00A5732C" w:rsidRDefault="00A5732C" w:rsidP="00C6670F">
      <w:pPr>
        <w:pStyle w:val="EndnoteText"/>
      </w:pPr>
      <w:r>
        <w:rPr>
          <w:rStyle w:val="EndnoteReference"/>
        </w:rPr>
        <w:endnoteRef/>
      </w:r>
      <w:r>
        <w:t xml:space="preserve"> In CZ, in the case of subjects, the provision only applies to family, employment, health and placement in care.</w:t>
      </w:r>
    </w:p>
  </w:endnote>
  <w:endnote w:id="260">
    <w:p w:rsidR="00A5732C" w:rsidRDefault="00A5732C" w:rsidP="00C6670F">
      <w:pPr>
        <w:pStyle w:val="EndnoteText"/>
      </w:pPr>
      <w:r>
        <w:rPr>
          <w:rStyle w:val="EndnoteReference"/>
        </w:rPr>
        <w:endnoteRef/>
      </w:r>
      <w:r>
        <w:t xml:space="preserve"> In EL, in the case of witnesses, the provision does not apply to placement in care.</w:t>
      </w:r>
    </w:p>
  </w:endnote>
  <w:endnote w:id="261">
    <w:p w:rsidR="00A5732C" w:rsidRDefault="00A5732C" w:rsidP="00C6670F">
      <w:pPr>
        <w:pStyle w:val="EndnoteText"/>
      </w:pPr>
      <w:r>
        <w:rPr>
          <w:rStyle w:val="EndnoteReference"/>
        </w:rPr>
        <w:endnoteRef/>
      </w:r>
      <w:r>
        <w:t xml:space="preserve"> In EL, in the case of plaintiffs, the provision does not apply to placement in care. </w:t>
      </w:r>
    </w:p>
  </w:endnote>
  <w:endnote w:id="262">
    <w:p w:rsidR="00A5732C" w:rsidRDefault="00A5732C" w:rsidP="00C6670F">
      <w:pPr>
        <w:pStyle w:val="EndnoteText"/>
      </w:pPr>
      <w:r>
        <w:rPr>
          <w:rStyle w:val="EndnoteReference"/>
        </w:rPr>
        <w:endnoteRef/>
      </w:r>
      <w:r>
        <w:t xml:space="preserve"> In EL, in the case of defendants, the provision only applies to family and employment.</w:t>
      </w:r>
    </w:p>
  </w:endnote>
  <w:endnote w:id="263">
    <w:p w:rsidR="00A5732C" w:rsidRDefault="00A5732C" w:rsidP="00C6670F">
      <w:pPr>
        <w:pStyle w:val="EndnoteText"/>
      </w:pPr>
      <w:r>
        <w:rPr>
          <w:rStyle w:val="EndnoteReference"/>
        </w:rPr>
        <w:endnoteRef/>
      </w:r>
      <w:r>
        <w:t xml:space="preserve"> In EL, in the case of subjects, the provision only applies to family and placement in care.</w:t>
      </w:r>
    </w:p>
  </w:endnote>
  <w:endnote w:id="264">
    <w:p w:rsidR="00A5732C" w:rsidRDefault="00A5732C" w:rsidP="00C6670F">
      <w:pPr>
        <w:pStyle w:val="EndnoteText"/>
      </w:pPr>
      <w:r>
        <w:rPr>
          <w:rStyle w:val="EndnoteReference"/>
        </w:rPr>
        <w:endnoteRef/>
      </w:r>
      <w:r>
        <w:t xml:space="preserve"> In NL, in the case of witnesses, the provision only applies to family.</w:t>
      </w:r>
    </w:p>
  </w:endnote>
  <w:endnote w:id="265">
    <w:p w:rsidR="00A5732C" w:rsidRDefault="00A5732C" w:rsidP="00C6670F">
      <w:pPr>
        <w:pStyle w:val="EndnoteText"/>
      </w:pPr>
      <w:r>
        <w:rPr>
          <w:rStyle w:val="EndnoteReference"/>
        </w:rPr>
        <w:endnoteRef/>
      </w:r>
      <w:r>
        <w:t xml:space="preserve"> In NL, in the case of defendants, the provision only applies to family.</w:t>
      </w:r>
    </w:p>
  </w:endnote>
  <w:endnote w:id="266">
    <w:p w:rsidR="00A5732C" w:rsidRDefault="00A5732C" w:rsidP="00C6670F">
      <w:pPr>
        <w:pStyle w:val="EndnoteText"/>
      </w:pPr>
      <w:r>
        <w:rPr>
          <w:rStyle w:val="EndnoteReference"/>
        </w:rPr>
        <w:endnoteRef/>
      </w:r>
      <w:r>
        <w:t xml:space="preserve"> In NL, in the case of subjects, the provision only applies to family, asylum, migration and placement in care.</w:t>
      </w:r>
    </w:p>
  </w:endnote>
  <w:endnote w:id="267">
    <w:p w:rsidR="00A5732C" w:rsidRDefault="00A5732C" w:rsidP="00C6670F">
      <w:pPr>
        <w:pStyle w:val="EndnoteText"/>
      </w:pPr>
      <w:r>
        <w:rPr>
          <w:rStyle w:val="EndnoteReference"/>
        </w:rPr>
        <w:endnoteRef/>
      </w:r>
      <w:r>
        <w:t xml:space="preserve"> In PL, in the case of plaintiffs, the provision does not apply to placement in care.</w:t>
      </w:r>
    </w:p>
  </w:endnote>
  <w:endnote w:id="268">
    <w:p w:rsidR="00A5732C" w:rsidRDefault="00A5732C" w:rsidP="00C6670F">
      <w:pPr>
        <w:pStyle w:val="EndnoteText"/>
      </w:pPr>
      <w:r>
        <w:rPr>
          <w:rStyle w:val="EndnoteReference"/>
        </w:rPr>
        <w:endnoteRef/>
      </w:r>
      <w:r>
        <w:t xml:space="preserve"> In PL, in the case of defendants, the provision does not apply to placement in care.</w:t>
      </w:r>
    </w:p>
  </w:endnote>
  <w:endnote w:id="269">
    <w:p w:rsidR="00A5732C" w:rsidRDefault="00A5732C" w:rsidP="00C6670F">
      <w:pPr>
        <w:pStyle w:val="EndnoteText"/>
      </w:pPr>
      <w:r>
        <w:rPr>
          <w:rStyle w:val="EndnoteReference"/>
        </w:rPr>
        <w:endnoteRef/>
      </w:r>
      <w:r>
        <w:t xml:space="preserve"> In PL, in the case of subjects, the provision only applies to family and placement in care.</w:t>
      </w:r>
    </w:p>
  </w:endnote>
  <w:endnote w:id="270">
    <w:p w:rsidR="00A5732C" w:rsidRDefault="00A5732C" w:rsidP="00C6670F">
      <w:pPr>
        <w:pStyle w:val="EndnoteText"/>
      </w:pPr>
      <w:r>
        <w:rPr>
          <w:rStyle w:val="EndnoteReference"/>
        </w:rPr>
        <w:endnoteRef/>
      </w:r>
      <w:r>
        <w:t xml:space="preserve"> In PT, in the case of plaintiffs, the provision does not apply to placement in care.</w:t>
      </w:r>
    </w:p>
  </w:endnote>
  <w:endnote w:id="271">
    <w:p w:rsidR="00A5732C" w:rsidRDefault="00A5732C" w:rsidP="00C6670F">
      <w:pPr>
        <w:pStyle w:val="EndnoteText"/>
      </w:pPr>
      <w:r>
        <w:rPr>
          <w:rStyle w:val="EndnoteReference"/>
        </w:rPr>
        <w:endnoteRef/>
      </w:r>
      <w:r>
        <w:t xml:space="preserve"> In PT, in the case of defendants, the provision only applies to family, admin sanctions and MACR.</w:t>
      </w:r>
    </w:p>
  </w:endnote>
  <w:endnote w:id="272">
    <w:p w:rsidR="00A5732C" w:rsidRDefault="00A5732C" w:rsidP="00C6670F">
      <w:pPr>
        <w:pStyle w:val="EndnoteText"/>
      </w:pPr>
      <w:r>
        <w:rPr>
          <w:rStyle w:val="EndnoteReference"/>
        </w:rPr>
        <w:endnoteRef/>
      </w:r>
      <w:r>
        <w:t xml:space="preserve"> In PT, in the case of subjects, the provision only applies to family and placement in care.</w:t>
      </w:r>
    </w:p>
  </w:endnote>
  <w:endnote w:id="273">
    <w:p w:rsidR="00A5732C" w:rsidRDefault="00A5732C" w:rsidP="00C6670F">
      <w:pPr>
        <w:pStyle w:val="EndnoteText"/>
      </w:pPr>
      <w:r>
        <w:rPr>
          <w:rStyle w:val="EndnoteReference"/>
        </w:rPr>
        <w:endnoteRef/>
      </w:r>
      <w:r>
        <w:t xml:space="preserve"> In SE, in the case of plaintiffs, the provision only applies employment.</w:t>
      </w:r>
    </w:p>
  </w:endnote>
  <w:endnote w:id="274">
    <w:p w:rsidR="00A5732C" w:rsidRDefault="00A5732C" w:rsidP="00C6670F">
      <w:pPr>
        <w:pStyle w:val="EndnoteText"/>
      </w:pPr>
      <w:r>
        <w:rPr>
          <w:rStyle w:val="EndnoteReference"/>
        </w:rPr>
        <w:endnoteRef/>
      </w:r>
      <w:r>
        <w:t xml:space="preserve"> In SE, in the case of defendants, the provision only applies to employment. </w:t>
      </w:r>
    </w:p>
  </w:endnote>
  <w:endnote w:id="275">
    <w:p w:rsidR="00A5732C" w:rsidRDefault="00A5732C" w:rsidP="00C6670F">
      <w:pPr>
        <w:pStyle w:val="EndnoteText"/>
      </w:pPr>
      <w:r>
        <w:rPr>
          <w:rStyle w:val="EndnoteReference"/>
        </w:rPr>
        <w:endnoteRef/>
      </w:r>
      <w:r>
        <w:t xml:space="preserve"> In SI, in the case of subjects, the provision only applies to family, migration, education and placement in care. </w:t>
      </w:r>
    </w:p>
  </w:endnote>
  <w:endnote w:id="276">
    <w:p w:rsidR="00A5732C" w:rsidRDefault="00A5732C" w:rsidP="00B21994">
      <w:pPr>
        <w:pStyle w:val="EndnoteText"/>
      </w:pPr>
      <w:r>
        <w:rPr>
          <w:rStyle w:val="EndnoteReference"/>
        </w:rPr>
        <w:endnoteRef/>
      </w:r>
      <w:r>
        <w:t xml:space="preserve"> In BE, in the case of subjects, the provision only applies to family, asylum and migration.</w:t>
      </w:r>
    </w:p>
  </w:endnote>
  <w:endnote w:id="277">
    <w:p w:rsidR="00A5732C" w:rsidRDefault="00A5732C" w:rsidP="00B21994">
      <w:pPr>
        <w:pStyle w:val="EndnoteText"/>
      </w:pPr>
      <w:r>
        <w:rPr>
          <w:rStyle w:val="EndnoteReference"/>
        </w:rPr>
        <w:endnoteRef/>
      </w:r>
      <w:r>
        <w:t xml:space="preserve"> In DK, in the case of plaintiffs, the provision only applies to asylum, migration, placement in care and MACR.</w:t>
      </w:r>
    </w:p>
  </w:endnote>
  <w:endnote w:id="278">
    <w:p w:rsidR="00A5732C" w:rsidRDefault="00A5732C" w:rsidP="00B21994">
      <w:pPr>
        <w:pStyle w:val="EndnoteText"/>
      </w:pPr>
      <w:r>
        <w:rPr>
          <w:rStyle w:val="EndnoteReference"/>
        </w:rPr>
        <w:endnoteRef/>
      </w:r>
      <w:r>
        <w:t xml:space="preserve"> In DK, in the case of defendants, the provision only applies to asylum, migration, placement in care and MACR.</w:t>
      </w:r>
    </w:p>
  </w:endnote>
  <w:endnote w:id="279">
    <w:p w:rsidR="00A5732C" w:rsidRDefault="00A5732C" w:rsidP="00B21994">
      <w:pPr>
        <w:pStyle w:val="EndnoteText"/>
      </w:pPr>
      <w:r>
        <w:rPr>
          <w:rStyle w:val="EndnoteReference"/>
        </w:rPr>
        <w:endnoteRef/>
      </w:r>
      <w:r>
        <w:t xml:space="preserve"> In DK, in the case of subjects, the provision only applies to family, asylum and migration.</w:t>
      </w:r>
    </w:p>
  </w:endnote>
  <w:endnote w:id="280">
    <w:p w:rsidR="00A5732C" w:rsidRDefault="00A5732C" w:rsidP="00B21994">
      <w:pPr>
        <w:pStyle w:val="EndnoteText"/>
      </w:pPr>
      <w:r>
        <w:rPr>
          <w:rStyle w:val="EndnoteReference"/>
        </w:rPr>
        <w:endnoteRef/>
      </w:r>
      <w:r>
        <w:t xml:space="preserve"> In EL, in the case of witnesses, the provision does not apply to placement in care.</w:t>
      </w:r>
    </w:p>
  </w:endnote>
  <w:endnote w:id="281">
    <w:p w:rsidR="00A5732C" w:rsidRDefault="00A5732C" w:rsidP="00B21994">
      <w:pPr>
        <w:pStyle w:val="EndnoteText"/>
      </w:pPr>
      <w:r>
        <w:rPr>
          <w:rStyle w:val="EndnoteReference"/>
        </w:rPr>
        <w:endnoteRef/>
      </w:r>
      <w:r>
        <w:t xml:space="preserve"> In EL, in the case of plaintiffs, the provision does not apply to placement in care.</w:t>
      </w:r>
    </w:p>
  </w:endnote>
  <w:endnote w:id="282">
    <w:p w:rsidR="00A5732C" w:rsidRDefault="00A5732C" w:rsidP="00B21994">
      <w:pPr>
        <w:pStyle w:val="EndnoteText"/>
      </w:pPr>
      <w:r>
        <w:rPr>
          <w:rStyle w:val="EndnoteReference"/>
        </w:rPr>
        <w:endnoteRef/>
      </w:r>
      <w:r>
        <w:t xml:space="preserve"> In EL, in the case of defendants, the provision does not apply to placement in care.</w:t>
      </w:r>
    </w:p>
  </w:endnote>
  <w:endnote w:id="283">
    <w:p w:rsidR="00A5732C" w:rsidRDefault="00A5732C" w:rsidP="00B21994">
      <w:pPr>
        <w:pStyle w:val="EndnoteText"/>
      </w:pPr>
      <w:r>
        <w:rPr>
          <w:rStyle w:val="EndnoteReference"/>
        </w:rPr>
        <w:endnoteRef/>
      </w:r>
      <w:r>
        <w:t xml:space="preserve"> In EL, in the case of subjects, the provision only applies to family and placement in care.</w:t>
      </w:r>
    </w:p>
  </w:endnote>
  <w:endnote w:id="284">
    <w:p w:rsidR="00A5732C" w:rsidRDefault="00A5732C" w:rsidP="00B21994">
      <w:pPr>
        <w:pStyle w:val="EndnoteText"/>
      </w:pPr>
      <w:r>
        <w:rPr>
          <w:rStyle w:val="EndnoteReference"/>
        </w:rPr>
        <w:endnoteRef/>
      </w:r>
      <w:r>
        <w:t xml:space="preserve"> In ES, in the case of defendants, the provision does not apply to placement in care.</w:t>
      </w:r>
    </w:p>
  </w:endnote>
  <w:endnote w:id="285">
    <w:p w:rsidR="00A5732C" w:rsidRDefault="00A5732C" w:rsidP="00B21994">
      <w:pPr>
        <w:pStyle w:val="EndnoteText"/>
      </w:pPr>
      <w:r>
        <w:rPr>
          <w:rStyle w:val="EndnoteReference"/>
        </w:rPr>
        <w:endnoteRef/>
      </w:r>
      <w:r>
        <w:t xml:space="preserve"> In ES, in the case of subjects, the provision only applies to family, education, health and placement in care.</w:t>
      </w:r>
    </w:p>
  </w:endnote>
  <w:endnote w:id="286">
    <w:p w:rsidR="00A5732C" w:rsidRDefault="00A5732C" w:rsidP="00B21994">
      <w:pPr>
        <w:pStyle w:val="EndnoteText"/>
      </w:pPr>
      <w:r>
        <w:rPr>
          <w:rStyle w:val="EndnoteReference"/>
        </w:rPr>
        <w:endnoteRef/>
      </w:r>
      <w:r>
        <w:t xml:space="preserve"> In FI, in the case of defendants, the provision only applies to family and employment.</w:t>
      </w:r>
    </w:p>
  </w:endnote>
  <w:endnote w:id="287">
    <w:p w:rsidR="00A5732C" w:rsidRDefault="00A5732C" w:rsidP="00B21994">
      <w:pPr>
        <w:pStyle w:val="EndnoteText"/>
      </w:pPr>
      <w:r>
        <w:rPr>
          <w:rStyle w:val="EndnoteReference"/>
        </w:rPr>
        <w:endnoteRef/>
      </w:r>
      <w:r>
        <w:t xml:space="preserve"> In FI, in the case of subjects, the provision only applies to family.</w:t>
      </w:r>
    </w:p>
  </w:endnote>
  <w:endnote w:id="288">
    <w:p w:rsidR="00A5732C" w:rsidRDefault="00A5732C" w:rsidP="00B21994">
      <w:pPr>
        <w:pStyle w:val="EndnoteText"/>
      </w:pPr>
      <w:r>
        <w:rPr>
          <w:rStyle w:val="EndnoteReference"/>
        </w:rPr>
        <w:endnoteRef/>
      </w:r>
      <w:r>
        <w:t xml:space="preserve"> In HU, in the case of defendants, the provision only applies to family, employment, health and admin sanctions.</w:t>
      </w:r>
    </w:p>
  </w:endnote>
  <w:endnote w:id="289">
    <w:p w:rsidR="00A5732C" w:rsidRDefault="00A5732C" w:rsidP="00B21994">
      <w:pPr>
        <w:pStyle w:val="EndnoteText"/>
      </w:pPr>
      <w:r>
        <w:rPr>
          <w:rStyle w:val="EndnoteReference"/>
        </w:rPr>
        <w:endnoteRef/>
      </w:r>
      <w:r>
        <w:t xml:space="preserve"> In HU, in the case of subjects, the provision only applies to family.</w:t>
      </w:r>
    </w:p>
  </w:endnote>
  <w:endnote w:id="290">
    <w:p w:rsidR="00A5732C" w:rsidRDefault="00A5732C" w:rsidP="00B21994">
      <w:pPr>
        <w:pStyle w:val="EndnoteText"/>
      </w:pPr>
      <w:r>
        <w:rPr>
          <w:rStyle w:val="EndnoteReference"/>
        </w:rPr>
        <w:endnoteRef/>
      </w:r>
      <w:r>
        <w:t xml:space="preserve"> In NL, in the case of witnesses, the provision only applies to family.</w:t>
      </w:r>
    </w:p>
  </w:endnote>
  <w:endnote w:id="291">
    <w:p w:rsidR="00A5732C" w:rsidRDefault="00A5732C" w:rsidP="00B21994">
      <w:pPr>
        <w:pStyle w:val="EndnoteText"/>
      </w:pPr>
      <w:r>
        <w:rPr>
          <w:rStyle w:val="EndnoteReference"/>
        </w:rPr>
        <w:endnoteRef/>
      </w:r>
      <w:r>
        <w:t xml:space="preserve"> In NL, in the case of defendants, the provision only applies to family and asylum.</w:t>
      </w:r>
    </w:p>
  </w:endnote>
  <w:endnote w:id="292">
    <w:p w:rsidR="00A5732C" w:rsidRDefault="00A5732C" w:rsidP="00B21994">
      <w:pPr>
        <w:pStyle w:val="EndnoteText"/>
      </w:pPr>
      <w:r>
        <w:rPr>
          <w:rStyle w:val="EndnoteReference"/>
        </w:rPr>
        <w:endnoteRef/>
      </w:r>
      <w:r>
        <w:t xml:space="preserve"> In NL, in the case of subjects, the provision does not apply to employment, education or health.</w:t>
      </w:r>
    </w:p>
  </w:endnote>
  <w:endnote w:id="293">
    <w:p w:rsidR="00A5732C" w:rsidRDefault="00A5732C" w:rsidP="00B21994">
      <w:pPr>
        <w:pStyle w:val="EndnoteText"/>
      </w:pPr>
      <w:r>
        <w:rPr>
          <w:rStyle w:val="EndnoteReference"/>
        </w:rPr>
        <w:endnoteRef/>
      </w:r>
      <w:r>
        <w:t xml:space="preserve"> In PT, in the case of plaintiffs, the provision does not apply to placement in care.</w:t>
      </w:r>
    </w:p>
  </w:endnote>
  <w:endnote w:id="294">
    <w:p w:rsidR="00A5732C" w:rsidRDefault="00A5732C" w:rsidP="00B21994">
      <w:pPr>
        <w:pStyle w:val="EndnoteText"/>
      </w:pPr>
      <w:r>
        <w:rPr>
          <w:rStyle w:val="EndnoteReference"/>
        </w:rPr>
        <w:endnoteRef/>
      </w:r>
      <w:r>
        <w:t xml:space="preserve"> In PT, in the case of defendants, the provision only applies to family and MACR.</w:t>
      </w:r>
    </w:p>
  </w:endnote>
  <w:endnote w:id="295">
    <w:p w:rsidR="00A5732C" w:rsidRDefault="00A5732C" w:rsidP="00B21994">
      <w:pPr>
        <w:pStyle w:val="EndnoteText"/>
      </w:pPr>
      <w:r>
        <w:rPr>
          <w:rStyle w:val="EndnoteReference"/>
        </w:rPr>
        <w:endnoteRef/>
      </w:r>
      <w:r>
        <w:t xml:space="preserve"> In PT, in the case of subjects, the provision only applies to family and placement in care.</w:t>
      </w:r>
    </w:p>
  </w:endnote>
  <w:endnote w:id="296">
    <w:p w:rsidR="00A5732C" w:rsidRDefault="00A5732C" w:rsidP="00B21994">
      <w:pPr>
        <w:pStyle w:val="EndnoteText"/>
      </w:pPr>
      <w:r>
        <w:rPr>
          <w:rStyle w:val="EndnoteReference"/>
        </w:rPr>
        <w:endnoteRef/>
      </w:r>
      <w:r>
        <w:t xml:space="preserve"> In SI, in the case of subjects, the provision only applies to family, migration, education and placement in care.</w:t>
      </w:r>
    </w:p>
  </w:endnote>
  <w:endnote w:id="297">
    <w:p w:rsidR="00A5732C" w:rsidRDefault="00A5732C" w:rsidP="00B21994">
      <w:pPr>
        <w:pStyle w:val="EndnoteText"/>
      </w:pPr>
      <w:r>
        <w:rPr>
          <w:rStyle w:val="EndnoteReference"/>
        </w:rPr>
        <w:endnoteRef/>
      </w:r>
      <w:r>
        <w:t xml:space="preserve"> In UK-E&amp;W, in the case of subjects, the provision only applies to family and placement in care.</w:t>
      </w:r>
    </w:p>
  </w:endnote>
  <w:endnote w:id="298">
    <w:p w:rsidR="00A5732C" w:rsidRDefault="00A5732C" w:rsidP="00280D09">
      <w:pPr>
        <w:pStyle w:val="EndnoteText"/>
      </w:pPr>
      <w:r>
        <w:rPr>
          <w:rStyle w:val="EndnoteReference"/>
        </w:rPr>
        <w:endnoteRef/>
      </w:r>
      <w:r>
        <w:t xml:space="preserve"> In BE, in the case of subjects, the provision only applies to family, asylum and migration.</w:t>
      </w:r>
    </w:p>
  </w:endnote>
  <w:endnote w:id="299">
    <w:p w:rsidR="00A5732C" w:rsidRDefault="00A5732C" w:rsidP="00280D09">
      <w:pPr>
        <w:pStyle w:val="EndnoteText"/>
      </w:pPr>
      <w:r>
        <w:rPr>
          <w:rStyle w:val="EndnoteReference"/>
        </w:rPr>
        <w:endnoteRef/>
      </w:r>
      <w:r>
        <w:t xml:space="preserve"> In DK, in the case of plaintiffs, the provision does not apply to family.</w:t>
      </w:r>
    </w:p>
  </w:endnote>
  <w:endnote w:id="300">
    <w:p w:rsidR="00A5732C" w:rsidRDefault="00A5732C" w:rsidP="00280D09">
      <w:pPr>
        <w:pStyle w:val="EndnoteText"/>
      </w:pPr>
      <w:r>
        <w:rPr>
          <w:rStyle w:val="EndnoteReference"/>
        </w:rPr>
        <w:endnoteRef/>
      </w:r>
      <w:r>
        <w:t xml:space="preserve"> In DK, in the case of defendants, the provision does not apply to family.</w:t>
      </w:r>
    </w:p>
  </w:endnote>
  <w:endnote w:id="301">
    <w:p w:rsidR="00A5732C" w:rsidRDefault="00A5732C" w:rsidP="00280D09">
      <w:pPr>
        <w:pStyle w:val="EndnoteText"/>
      </w:pPr>
      <w:r>
        <w:rPr>
          <w:rStyle w:val="EndnoteReference"/>
        </w:rPr>
        <w:endnoteRef/>
      </w:r>
      <w:r>
        <w:t xml:space="preserve"> In DK, in the case of subjects, the provision only applies to family.</w:t>
      </w:r>
    </w:p>
  </w:endnote>
  <w:endnote w:id="302">
    <w:p w:rsidR="00A5732C" w:rsidRDefault="00A5732C" w:rsidP="00280D09">
      <w:pPr>
        <w:pStyle w:val="EndnoteText"/>
      </w:pPr>
      <w:r>
        <w:rPr>
          <w:rStyle w:val="EndnoteReference"/>
        </w:rPr>
        <w:endnoteRef/>
      </w:r>
      <w:r>
        <w:t xml:space="preserve"> In EL, in the case of witnesses, the provision only applies to MACR.</w:t>
      </w:r>
    </w:p>
  </w:endnote>
  <w:endnote w:id="303">
    <w:p w:rsidR="00A5732C" w:rsidRDefault="00A5732C" w:rsidP="00280D09">
      <w:pPr>
        <w:pStyle w:val="EndnoteText"/>
      </w:pPr>
      <w:r>
        <w:rPr>
          <w:rStyle w:val="EndnoteReference"/>
        </w:rPr>
        <w:endnoteRef/>
      </w:r>
      <w:r>
        <w:t xml:space="preserve"> In EL, in the case of plaintiffs, the provision does not apply to placement in care.</w:t>
      </w:r>
    </w:p>
  </w:endnote>
  <w:endnote w:id="304">
    <w:p w:rsidR="00A5732C" w:rsidRDefault="00A5732C" w:rsidP="00280D09">
      <w:pPr>
        <w:pStyle w:val="EndnoteText"/>
      </w:pPr>
      <w:r>
        <w:rPr>
          <w:rStyle w:val="EndnoteReference"/>
        </w:rPr>
        <w:endnoteRef/>
      </w:r>
      <w:r>
        <w:t xml:space="preserve"> In EL, in the case of defendants, the provision only applies to employment. </w:t>
      </w:r>
    </w:p>
  </w:endnote>
  <w:endnote w:id="305">
    <w:p w:rsidR="00A5732C" w:rsidRDefault="00A5732C" w:rsidP="00280D09">
      <w:pPr>
        <w:pStyle w:val="EndnoteText"/>
      </w:pPr>
      <w:r>
        <w:rPr>
          <w:rStyle w:val="EndnoteReference"/>
        </w:rPr>
        <w:endnoteRef/>
      </w:r>
      <w:r>
        <w:t xml:space="preserve"> In EL, in the case of subjects, the provision only applies to family and placement in care.</w:t>
      </w:r>
    </w:p>
  </w:endnote>
  <w:endnote w:id="306">
    <w:p w:rsidR="00A5732C" w:rsidRDefault="00A5732C" w:rsidP="00280D09">
      <w:pPr>
        <w:pStyle w:val="EndnoteText"/>
      </w:pPr>
      <w:r>
        <w:rPr>
          <w:rStyle w:val="EndnoteReference"/>
        </w:rPr>
        <w:endnoteRef/>
      </w:r>
      <w:r>
        <w:t xml:space="preserve"> In ES, in the case of subjects, the provision only applies to family and placement in care. </w:t>
      </w:r>
    </w:p>
  </w:endnote>
  <w:endnote w:id="307">
    <w:p w:rsidR="00A5732C" w:rsidRDefault="00A5732C" w:rsidP="00280D09">
      <w:pPr>
        <w:pStyle w:val="EndnoteText"/>
      </w:pPr>
      <w:r>
        <w:rPr>
          <w:rStyle w:val="EndnoteReference"/>
        </w:rPr>
        <w:endnoteRef/>
      </w:r>
      <w:r>
        <w:t xml:space="preserve"> In FI, in the case of defendants, the provision only applies to family and employment.</w:t>
      </w:r>
    </w:p>
  </w:endnote>
  <w:endnote w:id="308">
    <w:p w:rsidR="00A5732C" w:rsidRDefault="00A5732C" w:rsidP="00280D09">
      <w:pPr>
        <w:pStyle w:val="EndnoteText"/>
      </w:pPr>
      <w:r>
        <w:rPr>
          <w:rStyle w:val="EndnoteReference"/>
        </w:rPr>
        <w:endnoteRef/>
      </w:r>
      <w:r>
        <w:t xml:space="preserve"> In FI, in the case of subjects, the provision only applies to subjects.</w:t>
      </w:r>
    </w:p>
  </w:endnote>
  <w:endnote w:id="309">
    <w:p w:rsidR="00A5732C" w:rsidRDefault="00A5732C" w:rsidP="00280D09">
      <w:pPr>
        <w:pStyle w:val="EndnoteText"/>
      </w:pPr>
      <w:r>
        <w:rPr>
          <w:rStyle w:val="EndnoteReference"/>
        </w:rPr>
        <w:endnoteRef/>
      </w:r>
      <w:r>
        <w:t xml:space="preserve"> In FR, in the case of witnesses, the provision only applies to family and placement in care.</w:t>
      </w:r>
    </w:p>
  </w:endnote>
  <w:endnote w:id="310">
    <w:p w:rsidR="00A5732C" w:rsidRDefault="00A5732C" w:rsidP="00280D09">
      <w:pPr>
        <w:pStyle w:val="EndnoteText"/>
      </w:pPr>
      <w:r>
        <w:rPr>
          <w:rStyle w:val="EndnoteReference"/>
        </w:rPr>
        <w:endnoteRef/>
      </w:r>
      <w:r>
        <w:t xml:space="preserve"> In HU, in the case of defendants, the provision only applies to family, employment and health.</w:t>
      </w:r>
    </w:p>
  </w:endnote>
  <w:endnote w:id="311">
    <w:p w:rsidR="00A5732C" w:rsidRDefault="00A5732C" w:rsidP="00280D09">
      <w:pPr>
        <w:pStyle w:val="EndnoteText"/>
      </w:pPr>
      <w:r>
        <w:rPr>
          <w:rStyle w:val="EndnoteReference"/>
        </w:rPr>
        <w:endnoteRef/>
      </w:r>
      <w:r>
        <w:t xml:space="preserve"> In HU, in the case of subjects, the provision only applies to family.</w:t>
      </w:r>
    </w:p>
  </w:endnote>
  <w:endnote w:id="312">
    <w:p w:rsidR="00A5732C" w:rsidRDefault="00A5732C" w:rsidP="00280D09">
      <w:pPr>
        <w:pStyle w:val="EndnoteText"/>
      </w:pPr>
      <w:r>
        <w:rPr>
          <w:rStyle w:val="EndnoteReference"/>
        </w:rPr>
        <w:endnoteRef/>
      </w:r>
      <w:r>
        <w:t xml:space="preserve"> In NL, in the case of witnesses, the provision only applies to family.</w:t>
      </w:r>
    </w:p>
  </w:endnote>
  <w:endnote w:id="313">
    <w:p w:rsidR="00A5732C" w:rsidRDefault="00A5732C" w:rsidP="00280D09">
      <w:pPr>
        <w:pStyle w:val="EndnoteText"/>
      </w:pPr>
      <w:r>
        <w:rPr>
          <w:rStyle w:val="EndnoteReference"/>
        </w:rPr>
        <w:endnoteRef/>
      </w:r>
      <w:r>
        <w:t xml:space="preserve"> In NL, in the case of defendants, the provision only applies to family.</w:t>
      </w:r>
    </w:p>
  </w:endnote>
  <w:endnote w:id="314">
    <w:p w:rsidR="00A5732C" w:rsidRDefault="00A5732C" w:rsidP="00280D09">
      <w:pPr>
        <w:pStyle w:val="EndnoteText"/>
      </w:pPr>
      <w:r>
        <w:rPr>
          <w:rStyle w:val="EndnoteReference"/>
        </w:rPr>
        <w:endnoteRef/>
      </w:r>
      <w:r>
        <w:t xml:space="preserve"> In NL, in the case of subjects, the provision does not apply to employment, education or health.</w:t>
      </w:r>
    </w:p>
  </w:endnote>
  <w:endnote w:id="315">
    <w:p w:rsidR="00A5732C" w:rsidRDefault="00A5732C" w:rsidP="00280D09">
      <w:pPr>
        <w:pStyle w:val="EndnoteText"/>
      </w:pPr>
      <w:r>
        <w:rPr>
          <w:rStyle w:val="EndnoteReference"/>
        </w:rPr>
        <w:endnoteRef/>
      </w:r>
      <w:r>
        <w:t xml:space="preserve"> In PL, in the case of plaintiffs, the provision does not apply to placement in care.</w:t>
      </w:r>
    </w:p>
  </w:endnote>
  <w:endnote w:id="316">
    <w:p w:rsidR="00A5732C" w:rsidRDefault="00A5732C" w:rsidP="00280D09">
      <w:pPr>
        <w:pStyle w:val="EndnoteText"/>
      </w:pPr>
      <w:r>
        <w:rPr>
          <w:rStyle w:val="EndnoteReference"/>
        </w:rPr>
        <w:endnoteRef/>
      </w:r>
      <w:r>
        <w:t xml:space="preserve"> In PL, in the case of defendants, the provision does not apply to placement in care.</w:t>
      </w:r>
    </w:p>
  </w:endnote>
  <w:endnote w:id="317">
    <w:p w:rsidR="00A5732C" w:rsidRDefault="00A5732C" w:rsidP="00280D09">
      <w:pPr>
        <w:pStyle w:val="EndnoteText"/>
      </w:pPr>
      <w:r>
        <w:rPr>
          <w:rStyle w:val="EndnoteReference"/>
        </w:rPr>
        <w:endnoteRef/>
      </w:r>
      <w:r>
        <w:t xml:space="preserve"> In PL, in the case of subjects, the provision only applies to family and placement in care.</w:t>
      </w:r>
    </w:p>
  </w:endnote>
  <w:endnote w:id="318">
    <w:p w:rsidR="00A5732C" w:rsidRDefault="00A5732C" w:rsidP="00280D09">
      <w:pPr>
        <w:pStyle w:val="EndnoteText"/>
      </w:pPr>
      <w:r>
        <w:rPr>
          <w:rStyle w:val="EndnoteReference"/>
        </w:rPr>
        <w:endnoteRef/>
      </w:r>
      <w:r>
        <w:t xml:space="preserve"> In PT, in the case of defendants, the provision only applies to MACR.</w:t>
      </w:r>
    </w:p>
  </w:endnote>
  <w:endnote w:id="319">
    <w:p w:rsidR="00A5732C" w:rsidRDefault="00A5732C" w:rsidP="00280D09">
      <w:pPr>
        <w:pStyle w:val="EndnoteText"/>
      </w:pPr>
      <w:r>
        <w:rPr>
          <w:rStyle w:val="EndnoteReference"/>
        </w:rPr>
        <w:endnoteRef/>
      </w:r>
      <w:r>
        <w:t xml:space="preserve"> In PT, in the case of subjects, the provision does not apply to MACR.</w:t>
      </w:r>
    </w:p>
  </w:endnote>
  <w:endnote w:id="320">
    <w:p w:rsidR="00A5732C" w:rsidRDefault="00A5732C" w:rsidP="00280D09">
      <w:pPr>
        <w:pStyle w:val="EndnoteText"/>
      </w:pPr>
      <w:r>
        <w:rPr>
          <w:rStyle w:val="EndnoteReference"/>
        </w:rPr>
        <w:endnoteRef/>
      </w:r>
      <w:r>
        <w:t xml:space="preserve"> In RO, in the case of subjects, the provision only applies to family.</w:t>
      </w:r>
    </w:p>
  </w:endnote>
  <w:endnote w:id="321">
    <w:p w:rsidR="00A5732C" w:rsidRDefault="00A5732C" w:rsidP="00280D09">
      <w:pPr>
        <w:pStyle w:val="EndnoteText"/>
      </w:pPr>
      <w:r>
        <w:rPr>
          <w:rStyle w:val="EndnoteReference"/>
        </w:rPr>
        <w:endnoteRef/>
      </w:r>
      <w:r>
        <w:t xml:space="preserve"> In SI, in the case of defendants, the provision only applies to family, employment and health.</w:t>
      </w:r>
    </w:p>
  </w:endnote>
  <w:endnote w:id="322">
    <w:p w:rsidR="00A5732C" w:rsidRDefault="00A5732C" w:rsidP="00280D09">
      <w:pPr>
        <w:pStyle w:val="EndnoteText"/>
      </w:pPr>
      <w:r>
        <w:rPr>
          <w:rStyle w:val="EndnoteReference"/>
        </w:rPr>
        <w:endnoteRef/>
      </w:r>
      <w:r>
        <w:t xml:space="preserve"> In SI, in the case of subjects, the provision only applies to family, migration, education and placement in care.</w:t>
      </w:r>
    </w:p>
  </w:endnote>
  <w:endnote w:id="323">
    <w:p w:rsidR="00A5732C" w:rsidRDefault="00A5732C" w:rsidP="00280D09">
      <w:pPr>
        <w:pStyle w:val="EndnoteText"/>
      </w:pPr>
      <w:r>
        <w:rPr>
          <w:rStyle w:val="EndnoteReference"/>
        </w:rPr>
        <w:endnoteRef/>
      </w:r>
      <w:r>
        <w:t xml:space="preserve"> In UK-NI, in the case of witnesses, the provision only applies to MACR.</w:t>
      </w:r>
    </w:p>
  </w:endnote>
  <w:endnote w:id="324">
    <w:p w:rsidR="00A5732C" w:rsidRDefault="00A5732C" w:rsidP="0021506B">
      <w:pPr>
        <w:pStyle w:val="EndnoteText"/>
      </w:pPr>
      <w:r>
        <w:rPr>
          <w:rStyle w:val="EndnoteReference"/>
        </w:rPr>
        <w:endnoteRef/>
      </w:r>
      <w:r>
        <w:t xml:space="preserve"> In BE, in the case of subjects, the provision only applies to family, asylum and migration.</w:t>
      </w:r>
    </w:p>
  </w:endnote>
  <w:endnote w:id="325">
    <w:p w:rsidR="00A5732C" w:rsidRDefault="00A5732C" w:rsidP="0021506B">
      <w:pPr>
        <w:pStyle w:val="EndnoteText"/>
      </w:pPr>
      <w:r>
        <w:rPr>
          <w:rStyle w:val="EndnoteReference"/>
        </w:rPr>
        <w:endnoteRef/>
      </w:r>
      <w:r>
        <w:t xml:space="preserve"> In DK, in the case of plaintiffs, the provision only applies to family and placement in care.</w:t>
      </w:r>
    </w:p>
  </w:endnote>
  <w:endnote w:id="326">
    <w:p w:rsidR="00A5732C" w:rsidRDefault="00A5732C" w:rsidP="0021506B">
      <w:pPr>
        <w:pStyle w:val="EndnoteText"/>
      </w:pPr>
      <w:r>
        <w:rPr>
          <w:rStyle w:val="EndnoteReference"/>
        </w:rPr>
        <w:endnoteRef/>
      </w:r>
      <w:r>
        <w:t xml:space="preserve"> In DK, in the case of defendants, the provision only applies to family and placement in care.</w:t>
      </w:r>
    </w:p>
  </w:endnote>
  <w:endnote w:id="327">
    <w:p w:rsidR="00A5732C" w:rsidRDefault="00A5732C" w:rsidP="0021506B">
      <w:pPr>
        <w:pStyle w:val="EndnoteText"/>
      </w:pPr>
      <w:r>
        <w:rPr>
          <w:rStyle w:val="EndnoteReference"/>
        </w:rPr>
        <w:endnoteRef/>
      </w:r>
      <w:r>
        <w:t xml:space="preserve"> In FR, in the case of witnesses, the provision only applies to family, employment and placement in care.</w:t>
      </w:r>
    </w:p>
  </w:endnote>
  <w:endnote w:id="328">
    <w:p w:rsidR="00A5732C" w:rsidRDefault="00A5732C" w:rsidP="0021506B">
      <w:pPr>
        <w:pStyle w:val="EndnoteText"/>
      </w:pPr>
      <w:r>
        <w:rPr>
          <w:rStyle w:val="EndnoteReference"/>
        </w:rPr>
        <w:endnoteRef/>
      </w:r>
      <w:r>
        <w:t xml:space="preserve"> In HR, in the case of plaintiffs, the provision does not apply to health.</w:t>
      </w:r>
    </w:p>
  </w:endnote>
  <w:endnote w:id="329">
    <w:p w:rsidR="00A5732C" w:rsidRDefault="00A5732C" w:rsidP="0021506B">
      <w:pPr>
        <w:pStyle w:val="EndnoteText"/>
      </w:pPr>
      <w:r>
        <w:rPr>
          <w:rStyle w:val="EndnoteReference"/>
        </w:rPr>
        <w:endnoteRef/>
      </w:r>
      <w:r>
        <w:t xml:space="preserve"> In HR, in the case of defendants, the provision does not apply to health.</w:t>
      </w:r>
    </w:p>
  </w:endnote>
  <w:endnote w:id="330">
    <w:p w:rsidR="00A5732C" w:rsidRDefault="00A5732C" w:rsidP="0021506B">
      <w:pPr>
        <w:pStyle w:val="EndnoteText"/>
      </w:pPr>
      <w:r>
        <w:rPr>
          <w:rStyle w:val="EndnoteReference"/>
        </w:rPr>
        <w:endnoteRef/>
      </w:r>
      <w:r>
        <w:t xml:space="preserve"> In HU, in the case of defendants, the provision only applies to family, employment and health.</w:t>
      </w:r>
    </w:p>
  </w:endnote>
  <w:endnote w:id="331">
    <w:p w:rsidR="00A5732C" w:rsidRDefault="00A5732C" w:rsidP="0021506B">
      <w:pPr>
        <w:pStyle w:val="EndnoteText"/>
      </w:pPr>
      <w:r>
        <w:rPr>
          <w:rStyle w:val="EndnoteReference"/>
        </w:rPr>
        <w:endnoteRef/>
      </w:r>
      <w:r>
        <w:t xml:space="preserve"> In HU, in the case of subjects, the provision only applies to family.</w:t>
      </w:r>
    </w:p>
  </w:endnote>
  <w:endnote w:id="332">
    <w:p w:rsidR="00A5732C" w:rsidRDefault="00A5732C" w:rsidP="0021506B">
      <w:pPr>
        <w:pStyle w:val="EndnoteText"/>
      </w:pPr>
      <w:r>
        <w:rPr>
          <w:rStyle w:val="EndnoteReference"/>
        </w:rPr>
        <w:endnoteRef/>
      </w:r>
      <w:r>
        <w:t xml:space="preserve"> In NL, in the case of defendants, the provision only applies to family.</w:t>
      </w:r>
    </w:p>
  </w:endnote>
  <w:endnote w:id="333">
    <w:p w:rsidR="00A5732C" w:rsidRDefault="00A5732C" w:rsidP="0021506B">
      <w:pPr>
        <w:pStyle w:val="EndnoteText"/>
      </w:pPr>
      <w:r>
        <w:rPr>
          <w:rStyle w:val="EndnoteReference"/>
        </w:rPr>
        <w:endnoteRef/>
      </w:r>
      <w:r>
        <w:t xml:space="preserve"> In NL, in the case of subjects, the provision only applies to family, asylum and migration.</w:t>
      </w:r>
    </w:p>
  </w:endnote>
  <w:endnote w:id="334">
    <w:p w:rsidR="00A5732C" w:rsidRDefault="00A5732C" w:rsidP="0021506B">
      <w:pPr>
        <w:pStyle w:val="EndnoteText"/>
      </w:pPr>
      <w:r>
        <w:rPr>
          <w:rStyle w:val="EndnoteReference"/>
        </w:rPr>
        <w:endnoteRef/>
      </w:r>
      <w:r>
        <w:t xml:space="preserve"> In PT, in the case of plaintiffs, the provision only applies to MACR.</w:t>
      </w:r>
    </w:p>
  </w:endnote>
  <w:endnote w:id="335">
    <w:p w:rsidR="00A5732C" w:rsidRDefault="00A5732C" w:rsidP="0021506B">
      <w:pPr>
        <w:pStyle w:val="EndnoteText"/>
      </w:pPr>
      <w:r>
        <w:rPr>
          <w:rStyle w:val="EndnoteReference"/>
        </w:rPr>
        <w:endnoteRef/>
      </w:r>
      <w:r>
        <w:t xml:space="preserve"> In PT, in the case of defendants, the provision only applies to MACR.</w:t>
      </w:r>
    </w:p>
  </w:endnote>
  <w:endnote w:id="336">
    <w:p w:rsidR="00A5732C" w:rsidRDefault="00A5732C" w:rsidP="0021506B">
      <w:pPr>
        <w:pStyle w:val="EndnoteText"/>
      </w:pPr>
      <w:r>
        <w:rPr>
          <w:rStyle w:val="EndnoteReference"/>
        </w:rPr>
        <w:endnoteRef/>
      </w:r>
      <w:r>
        <w:t xml:space="preserve"> In PT, in the case of subjects, the provision only applies to placement in care.</w:t>
      </w:r>
    </w:p>
  </w:endnote>
  <w:endnote w:id="337">
    <w:p w:rsidR="00A5732C" w:rsidRDefault="00A5732C" w:rsidP="0021506B">
      <w:pPr>
        <w:pStyle w:val="EndnoteText"/>
      </w:pPr>
      <w:r>
        <w:rPr>
          <w:rStyle w:val="EndnoteReference"/>
        </w:rPr>
        <w:endnoteRef/>
      </w:r>
      <w:r>
        <w:t xml:space="preserve"> In SE, in the case of subjects, the provision only applies to family and employment.</w:t>
      </w:r>
    </w:p>
  </w:endnote>
  <w:endnote w:id="338">
    <w:p w:rsidR="00A5732C" w:rsidRDefault="00A5732C" w:rsidP="0021506B">
      <w:pPr>
        <w:pStyle w:val="EndnoteText"/>
      </w:pPr>
      <w:r>
        <w:rPr>
          <w:rStyle w:val="EndnoteReference"/>
        </w:rPr>
        <w:endnoteRef/>
      </w:r>
      <w:r>
        <w:t xml:space="preserve"> In SI, in the case of subjects, the provision only applies to family, migration, education and placement in care.</w:t>
      </w:r>
    </w:p>
  </w:endnote>
  <w:endnote w:id="339">
    <w:p w:rsidR="00A5732C" w:rsidRDefault="00A5732C" w:rsidP="0021506B">
      <w:pPr>
        <w:pStyle w:val="EndnoteText"/>
      </w:pPr>
      <w:r>
        <w:rPr>
          <w:rStyle w:val="EndnoteReference"/>
        </w:rPr>
        <w:endnoteRef/>
      </w:r>
      <w:r>
        <w:t xml:space="preserve"> In BE, in the case of subjects, the provision only applies to family, asylum and migration.</w:t>
      </w:r>
    </w:p>
  </w:endnote>
  <w:endnote w:id="340">
    <w:p w:rsidR="00A5732C" w:rsidRDefault="00A5732C" w:rsidP="0021506B">
      <w:pPr>
        <w:pStyle w:val="EndnoteText"/>
      </w:pPr>
      <w:r>
        <w:rPr>
          <w:rStyle w:val="EndnoteReference"/>
        </w:rPr>
        <w:endnoteRef/>
      </w:r>
      <w:r>
        <w:t xml:space="preserve"> In EE, in the case of witnesses, the provision only applies to family and employment.</w:t>
      </w:r>
    </w:p>
  </w:endnote>
  <w:endnote w:id="341">
    <w:p w:rsidR="00A5732C" w:rsidRDefault="00A5732C" w:rsidP="0021506B">
      <w:pPr>
        <w:pStyle w:val="EndnoteText"/>
      </w:pPr>
      <w:r>
        <w:rPr>
          <w:rStyle w:val="EndnoteReference"/>
        </w:rPr>
        <w:endnoteRef/>
      </w:r>
      <w:r>
        <w:t xml:space="preserve"> In EE, in the case of defendants, the provision only applies to family, employment, placement in care and admin sanctions.</w:t>
      </w:r>
    </w:p>
  </w:endnote>
  <w:endnote w:id="342">
    <w:p w:rsidR="00A5732C" w:rsidRDefault="00A5732C" w:rsidP="0021506B">
      <w:pPr>
        <w:pStyle w:val="EndnoteText"/>
      </w:pPr>
      <w:r>
        <w:rPr>
          <w:rStyle w:val="EndnoteReference"/>
        </w:rPr>
        <w:endnoteRef/>
      </w:r>
      <w:r>
        <w:t xml:space="preserve"> In ES, in the case of defendants, the provision does not apply to placement in care.</w:t>
      </w:r>
    </w:p>
  </w:endnote>
  <w:endnote w:id="343">
    <w:p w:rsidR="00A5732C" w:rsidRDefault="00A5732C" w:rsidP="0021506B">
      <w:pPr>
        <w:pStyle w:val="EndnoteText"/>
      </w:pPr>
      <w:r>
        <w:rPr>
          <w:rStyle w:val="EndnoteReference"/>
        </w:rPr>
        <w:endnoteRef/>
      </w:r>
      <w:r>
        <w:t xml:space="preserve"> In ES, in the case of subjects, the provision only applies to education, health and placement in care.</w:t>
      </w:r>
    </w:p>
  </w:endnote>
  <w:endnote w:id="344">
    <w:p w:rsidR="00A5732C" w:rsidRDefault="00A5732C" w:rsidP="0021506B">
      <w:pPr>
        <w:pStyle w:val="EndnoteText"/>
      </w:pPr>
      <w:r>
        <w:rPr>
          <w:rStyle w:val="EndnoteReference"/>
        </w:rPr>
        <w:endnoteRef/>
      </w:r>
      <w:r>
        <w:t xml:space="preserve"> In FI, in the case of defendants, the provision only applies to family and employment. </w:t>
      </w:r>
    </w:p>
  </w:endnote>
  <w:endnote w:id="345">
    <w:p w:rsidR="00A5732C" w:rsidRDefault="00A5732C" w:rsidP="0021506B">
      <w:pPr>
        <w:pStyle w:val="EndnoteText"/>
      </w:pPr>
      <w:r>
        <w:rPr>
          <w:rStyle w:val="EndnoteReference"/>
        </w:rPr>
        <w:endnoteRef/>
      </w:r>
      <w:r>
        <w:t xml:space="preserve"> In FI, in the case of subjects, the provision only applies to family.</w:t>
      </w:r>
    </w:p>
  </w:endnote>
  <w:endnote w:id="346">
    <w:p w:rsidR="00A5732C" w:rsidRDefault="00A5732C" w:rsidP="0021506B">
      <w:pPr>
        <w:pStyle w:val="EndnoteText"/>
      </w:pPr>
      <w:r>
        <w:rPr>
          <w:rStyle w:val="EndnoteReference"/>
        </w:rPr>
        <w:endnoteRef/>
      </w:r>
      <w:r>
        <w:t xml:space="preserve"> In FR, in the case of witnesses, the provision only applies to family and placement in care.</w:t>
      </w:r>
    </w:p>
  </w:endnote>
  <w:endnote w:id="347">
    <w:p w:rsidR="00A5732C" w:rsidRDefault="00A5732C" w:rsidP="0021506B">
      <w:pPr>
        <w:pStyle w:val="EndnoteText"/>
      </w:pPr>
      <w:r>
        <w:rPr>
          <w:rStyle w:val="EndnoteReference"/>
        </w:rPr>
        <w:endnoteRef/>
      </w:r>
      <w:r>
        <w:t xml:space="preserve"> In HU, in the case of defendants, the provision only applies to family, employment and health.</w:t>
      </w:r>
    </w:p>
  </w:endnote>
  <w:endnote w:id="348">
    <w:p w:rsidR="00A5732C" w:rsidRDefault="00A5732C" w:rsidP="0021506B">
      <w:pPr>
        <w:pStyle w:val="EndnoteText"/>
      </w:pPr>
      <w:r>
        <w:rPr>
          <w:rStyle w:val="EndnoteReference"/>
        </w:rPr>
        <w:endnoteRef/>
      </w:r>
      <w:r>
        <w:t xml:space="preserve"> In NL, in the case of witnesses, the provision only applies to family.</w:t>
      </w:r>
    </w:p>
  </w:endnote>
  <w:endnote w:id="349">
    <w:p w:rsidR="00A5732C" w:rsidRDefault="00A5732C" w:rsidP="0021506B">
      <w:pPr>
        <w:pStyle w:val="EndnoteText"/>
      </w:pPr>
      <w:r>
        <w:rPr>
          <w:rStyle w:val="EndnoteReference"/>
        </w:rPr>
        <w:endnoteRef/>
      </w:r>
      <w:r>
        <w:t xml:space="preserve"> In NL, in the case of defendants, the provision only applies to family.</w:t>
      </w:r>
    </w:p>
  </w:endnote>
  <w:endnote w:id="350">
    <w:p w:rsidR="00A5732C" w:rsidRDefault="00A5732C" w:rsidP="0021506B">
      <w:pPr>
        <w:pStyle w:val="EndnoteText"/>
      </w:pPr>
      <w:r>
        <w:rPr>
          <w:rStyle w:val="EndnoteReference"/>
        </w:rPr>
        <w:endnoteRef/>
      </w:r>
      <w:r>
        <w:t xml:space="preserve"> In NL, in the case of subjects, the provision does not apply to employment, education or health.</w:t>
      </w:r>
    </w:p>
  </w:endnote>
  <w:endnote w:id="351">
    <w:p w:rsidR="00A5732C" w:rsidRDefault="00A5732C" w:rsidP="0021506B">
      <w:pPr>
        <w:pStyle w:val="EndnoteText"/>
      </w:pPr>
      <w:r>
        <w:rPr>
          <w:rStyle w:val="EndnoteReference"/>
        </w:rPr>
        <w:endnoteRef/>
      </w:r>
      <w:r>
        <w:t xml:space="preserve"> In PL, in the case of defendants, the provision only applies to family, employment, admin sanctions and MACR.</w:t>
      </w:r>
    </w:p>
  </w:endnote>
  <w:endnote w:id="352">
    <w:p w:rsidR="00A5732C" w:rsidRDefault="00A5732C" w:rsidP="0021506B">
      <w:pPr>
        <w:pStyle w:val="EndnoteText"/>
      </w:pPr>
      <w:r>
        <w:rPr>
          <w:rStyle w:val="EndnoteReference"/>
        </w:rPr>
        <w:endnoteRef/>
      </w:r>
      <w:r>
        <w:t xml:space="preserve"> In PT, in the case of plaintiffs, the provision does not apply to placement in care.</w:t>
      </w:r>
    </w:p>
  </w:endnote>
  <w:endnote w:id="353">
    <w:p w:rsidR="00A5732C" w:rsidRDefault="00A5732C" w:rsidP="0021506B">
      <w:pPr>
        <w:pStyle w:val="EndnoteText"/>
      </w:pPr>
      <w:r>
        <w:rPr>
          <w:rStyle w:val="EndnoteReference"/>
        </w:rPr>
        <w:endnoteRef/>
      </w:r>
      <w:r>
        <w:t xml:space="preserve"> In PT, in the case of defendants, the provision only applies to family, admin sanctions and MACR. </w:t>
      </w:r>
    </w:p>
  </w:endnote>
  <w:endnote w:id="354">
    <w:p w:rsidR="00A5732C" w:rsidRDefault="00A5732C" w:rsidP="0021506B">
      <w:pPr>
        <w:pStyle w:val="EndnoteText"/>
      </w:pPr>
      <w:r>
        <w:rPr>
          <w:rStyle w:val="EndnoteReference"/>
        </w:rPr>
        <w:endnoteRef/>
      </w:r>
      <w:r>
        <w:t xml:space="preserve"> In PT, in the case of subjects, the provision only applies to family and placement in care.</w:t>
      </w:r>
    </w:p>
  </w:endnote>
  <w:endnote w:id="355">
    <w:p w:rsidR="00A5732C" w:rsidRDefault="00A5732C" w:rsidP="0021506B">
      <w:pPr>
        <w:pStyle w:val="EndnoteText"/>
      </w:pPr>
      <w:r>
        <w:rPr>
          <w:rStyle w:val="EndnoteReference"/>
        </w:rPr>
        <w:endnoteRef/>
      </w:r>
      <w:r>
        <w:t xml:space="preserve"> In BE, in the case of subjects, the provision only applies to family, asylum and migration.</w:t>
      </w:r>
    </w:p>
  </w:endnote>
  <w:endnote w:id="356">
    <w:p w:rsidR="00A5732C" w:rsidRDefault="00A5732C" w:rsidP="0021506B">
      <w:pPr>
        <w:pStyle w:val="EndnoteText"/>
      </w:pPr>
      <w:r>
        <w:rPr>
          <w:rStyle w:val="EndnoteReference"/>
        </w:rPr>
        <w:endnoteRef/>
      </w:r>
      <w:r>
        <w:t xml:space="preserve"> In CZ, in the case of subjects, the provision only applies to family, employment, health and placement in care.</w:t>
      </w:r>
    </w:p>
  </w:endnote>
  <w:endnote w:id="357">
    <w:p w:rsidR="00A5732C" w:rsidRDefault="00A5732C" w:rsidP="0021506B">
      <w:pPr>
        <w:pStyle w:val="EndnoteText"/>
      </w:pPr>
      <w:r>
        <w:rPr>
          <w:rStyle w:val="EndnoteReference"/>
        </w:rPr>
        <w:endnoteRef/>
      </w:r>
      <w:r>
        <w:t xml:space="preserve"> In DK, in the case of plaintiffs, the provision only applies to family and placement in care.</w:t>
      </w:r>
    </w:p>
  </w:endnote>
  <w:endnote w:id="358">
    <w:p w:rsidR="00A5732C" w:rsidRDefault="00A5732C" w:rsidP="0021506B">
      <w:pPr>
        <w:pStyle w:val="EndnoteText"/>
      </w:pPr>
      <w:r>
        <w:rPr>
          <w:rStyle w:val="EndnoteReference"/>
        </w:rPr>
        <w:endnoteRef/>
      </w:r>
      <w:r>
        <w:t xml:space="preserve"> In DK, in the case of defendants, the provision only applies to family and placement in care.</w:t>
      </w:r>
    </w:p>
  </w:endnote>
  <w:endnote w:id="359">
    <w:p w:rsidR="00A5732C" w:rsidRDefault="00A5732C" w:rsidP="0021506B">
      <w:pPr>
        <w:pStyle w:val="EndnoteText"/>
      </w:pPr>
      <w:r>
        <w:rPr>
          <w:rStyle w:val="EndnoteReference"/>
        </w:rPr>
        <w:endnoteRef/>
      </w:r>
      <w:r>
        <w:t xml:space="preserve"> In ES, in the case of defendants, the provision does not apply to placement in care.</w:t>
      </w:r>
    </w:p>
  </w:endnote>
  <w:endnote w:id="360">
    <w:p w:rsidR="00A5732C" w:rsidRDefault="00A5732C" w:rsidP="0021506B">
      <w:pPr>
        <w:pStyle w:val="EndnoteText"/>
      </w:pPr>
      <w:r>
        <w:rPr>
          <w:rStyle w:val="EndnoteReference"/>
        </w:rPr>
        <w:endnoteRef/>
      </w:r>
      <w:r>
        <w:t xml:space="preserve"> In ES, in the case of subjects, the provision does not apply to asylum, migration or admin sanctions.</w:t>
      </w:r>
    </w:p>
  </w:endnote>
  <w:endnote w:id="361">
    <w:p w:rsidR="00A5732C" w:rsidRDefault="00A5732C" w:rsidP="0021506B">
      <w:pPr>
        <w:pStyle w:val="EndnoteText"/>
      </w:pPr>
      <w:r>
        <w:rPr>
          <w:rStyle w:val="EndnoteReference"/>
        </w:rPr>
        <w:endnoteRef/>
      </w:r>
      <w:r>
        <w:t xml:space="preserve"> In FI, in the case of defendants, the provision only applies to family and employment.</w:t>
      </w:r>
    </w:p>
  </w:endnote>
  <w:endnote w:id="362">
    <w:p w:rsidR="00A5732C" w:rsidRDefault="00A5732C" w:rsidP="0021506B">
      <w:pPr>
        <w:pStyle w:val="EndnoteText"/>
      </w:pPr>
      <w:r>
        <w:rPr>
          <w:rStyle w:val="EndnoteReference"/>
        </w:rPr>
        <w:endnoteRef/>
      </w:r>
      <w:r>
        <w:t xml:space="preserve"> In FI, in the case of subjects, the provision only applies to family.</w:t>
      </w:r>
    </w:p>
  </w:endnote>
  <w:endnote w:id="363">
    <w:p w:rsidR="00A5732C" w:rsidRDefault="00A5732C" w:rsidP="0021506B">
      <w:pPr>
        <w:pStyle w:val="EndnoteText"/>
      </w:pPr>
      <w:r>
        <w:rPr>
          <w:rStyle w:val="EndnoteReference"/>
        </w:rPr>
        <w:endnoteRef/>
      </w:r>
      <w:r>
        <w:t xml:space="preserve"> In FR, in the case of witnesses, the provision only applies to family, employment and placement in care.</w:t>
      </w:r>
    </w:p>
  </w:endnote>
  <w:endnote w:id="364">
    <w:p w:rsidR="00A5732C" w:rsidRDefault="00A5732C" w:rsidP="0021506B">
      <w:pPr>
        <w:pStyle w:val="EndnoteText"/>
      </w:pPr>
      <w:r>
        <w:rPr>
          <w:rStyle w:val="EndnoteReference"/>
        </w:rPr>
        <w:endnoteRef/>
      </w:r>
      <w:r>
        <w:t xml:space="preserve"> In HU, in the case of defendants, the provision only applies to family, employment and health.</w:t>
      </w:r>
    </w:p>
  </w:endnote>
  <w:endnote w:id="365">
    <w:p w:rsidR="00A5732C" w:rsidRDefault="00A5732C" w:rsidP="0021506B">
      <w:pPr>
        <w:pStyle w:val="EndnoteText"/>
      </w:pPr>
      <w:r>
        <w:rPr>
          <w:rStyle w:val="EndnoteReference"/>
        </w:rPr>
        <w:endnoteRef/>
      </w:r>
      <w:r>
        <w:t xml:space="preserve"> In HU, in the case of subjects, the provision only applies to family.</w:t>
      </w:r>
    </w:p>
  </w:endnote>
  <w:endnote w:id="366">
    <w:p w:rsidR="00A5732C" w:rsidRDefault="00A5732C" w:rsidP="0021506B">
      <w:pPr>
        <w:pStyle w:val="EndnoteText"/>
      </w:pPr>
      <w:r>
        <w:rPr>
          <w:rStyle w:val="EndnoteReference"/>
        </w:rPr>
        <w:endnoteRef/>
      </w:r>
      <w:r>
        <w:t xml:space="preserve"> In NL, in the case of witnesses, the provision only applies to family.</w:t>
      </w:r>
    </w:p>
  </w:endnote>
  <w:endnote w:id="367">
    <w:p w:rsidR="00A5732C" w:rsidRDefault="00A5732C" w:rsidP="0021506B">
      <w:pPr>
        <w:pStyle w:val="EndnoteText"/>
      </w:pPr>
      <w:r>
        <w:rPr>
          <w:rStyle w:val="EndnoteReference"/>
        </w:rPr>
        <w:endnoteRef/>
      </w:r>
      <w:r>
        <w:t xml:space="preserve"> In NL, in the case of defendants, the provision only applies to family.</w:t>
      </w:r>
    </w:p>
  </w:endnote>
  <w:endnote w:id="368">
    <w:p w:rsidR="00A5732C" w:rsidRDefault="00A5732C" w:rsidP="0021506B">
      <w:pPr>
        <w:pStyle w:val="EndnoteText"/>
      </w:pPr>
      <w:r>
        <w:rPr>
          <w:rStyle w:val="EndnoteReference"/>
        </w:rPr>
        <w:endnoteRef/>
      </w:r>
      <w:r>
        <w:t xml:space="preserve"> In NL, in the case of subjects, the provision only applies to family, asylum and migration.</w:t>
      </w:r>
    </w:p>
  </w:endnote>
  <w:endnote w:id="369">
    <w:p w:rsidR="00A5732C" w:rsidRDefault="00A5732C" w:rsidP="0021506B">
      <w:pPr>
        <w:pStyle w:val="EndnoteText"/>
      </w:pPr>
      <w:r>
        <w:rPr>
          <w:rStyle w:val="EndnoteReference"/>
        </w:rPr>
        <w:endnoteRef/>
      </w:r>
      <w:r>
        <w:t xml:space="preserve"> In PL, in the case of witnesses, the provision only applies to admin sanctions and MACR.</w:t>
      </w:r>
    </w:p>
  </w:endnote>
  <w:endnote w:id="370">
    <w:p w:rsidR="00A5732C" w:rsidRDefault="00A5732C" w:rsidP="0021506B">
      <w:pPr>
        <w:pStyle w:val="EndnoteText"/>
      </w:pPr>
      <w:r>
        <w:rPr>
          <w:rStyle w:val="EndnoteReference"/>
        </w:rPr>
        <w:endnoteRef/>
      </w:r>
      <w:r>
        <w:t xml:space="preserve"> In PL, in the case of plaintiffs, the provision does not apply placement in care.</w:t>
      </w:r>
    </w:p>
  </w:endnote>
  <w:endnote w:id="371">
    <w:p w:rsidR="00A5732C" w:rsidRDefault="00A5732C" w:rsidP="0021506B">
      <w:pPr>
        <w:pStyle w:val="EndnoteText"/>
      </w:pPr>
      <w:r>
        <w:rPr>
          <w:rStyle w:val="EndnoteReference"/>
        </w:rPr>
        <w:endnoteRef/>
      </w:r>
      <w:r>
        <w:t xml:space="preserve"> In PL, in the case of defendants, the provision does not apply placement in care.</w:t>
      </w:r>
    </w:p>
  </w:endnote>
  <w:endnote w:id="372">
    <w:p w:rsidR="00A5732C" w:rsidRDefault="00A5732C" w:rsidP="0021506B">
      <w:pPr>
        <w:pStyle w:val="EndnoteText"/>
      </w:pPr>
      <w:r>
        <w:rPr>
          <w:rStyle w:val="EndnoteReference"/>
        </w:rPr>
        <w:endnoteRef/>
      </w:r>
      <w:r>
        <w:t xml:space="preserve"> In PL, in the case of subjects, the provision only applies to family and placement in care.</w:t>
      </w:r>
    </w:p>
  </w:endnote>
  <w:endnote w:id="373">
    <w:p w:rsidR="00A5732C" w:rsidRDefault="00A5732C" w:rsidP="0021506B">
      <w:pPr>
        <w:pStyle w:val="EndnoteText"/>
      </w:pPr>
      <w:r>
        <w:rPr>
          <w:rStyle w:val="EndnoteReference"/>
        </w:rPr>
        <w:endnoteRef/>
      </w:r>
      <w:r>
        <w:t xml:space="preserve"> In PT, in the case of plaintiffs, the provision does not apply to placement in care.</w:t>
      </w:r>
    </w:p>
  </w:endnote>
  <w:endnote w:id="374">
    <w:p w:rsidR="00A5732C" w:rsidRDefault="00A5732C" w:rsidP="0021506B">
      <w:pPr>
        <w:pStyle w:val="EndnoteText"/>
      </w:pPr>
      <w:r>
        <w:rPr>
          <w:rStyle w:val="EndnoteReference"/>
        </w:rPr>
        <w:endnoteRef/>
      </w:r>
      <w:r>
        <w:t xml:space="preserve"> In PT, in the case of defendants, the provision only applies to family, admin sanctions and MACR.</w:t>
      </w:r>
    </w:p>
  </w:endnote>
  <w:endnote w:id="375">
    <w:p w:rsidR="00A5732C" w:rsidRDefault="00A5732C" w:rsidP="0021506B">
      <w:pPr>
        <w:pStyle w:val="EndnoteText"/>
      </w:pPr>
      <w:r>
        <w:rPr>
          <w:rStyle w:val="EndnoteReference"/>
        </w:rPr>
        <w:endnoteRef/>
      </w:r>
      <w:r>
        <w:t xml:space="preserve"> In PT, in the case of subjects, the provision only applies to family and placement in care.</w:t>
      </w:r>
    </w:p>
  </w:endnote>
  <w:endnote w:id="376">
    <w:p w:rsidR="00A5732C" w:rsidRDefault="00A5732C" w:rsidP="0021506B">
      <w:pPr>
        <w:pStyle w:val="EndnoteText"/>
      </w:pPr>
      <w:r>
        <w:rPr>
          <w:rStyle w:val="EndnoteReference"/>
        </w:rPr>
        <w:endnoteRef/>
      </w:r>
      <w:r>
        <w:t xml:space="preserve"> In RO, in the case of subjects, the provision only applies to family.</w:t>
      </w:r>
    </w:p>
  </w:endnote>
  <w:endnote w:id="377">
    <w:p w:rsidR="00A5732C" w:rsidRDefault="00A5732C" w:rsidP="0021506B">
      <w:pPr>
        <w:pStyle w:val="EndnoteText"/>
      </w:pPr>
      <w:r>
        <w:rPr>
          <w:rStyle w:val="EndnoteReference"/>
        </w:rPr>
        <w:endnoteRef/>
      </w:r>
      <w:r>
        <w:t xml:space="preserve"> In SE, in the case of subjects, the provision only applies to family.</w:t>
      </w:r>
    </w:p>
  </w:endnote>
  <w:endnote w:id="378">
    <w:p w:rsidR="00A5732C" w:rsidRDefault="00A5732C" w:rsidP="00011B02">
      <w:pPr>
        <w:pStyle w:val="EndnoteText"/>
      </w:pPr>
      <w:r>
        <w:rPr>
          <w:rStyle w:val="EndnoteReference"/>
        </w:rPr>
        <w:endnoteRef/>
      </w:r>
      <w:r>
        <w:t xml:space="preserve"> In EL, in the case of subjects, the provision only applies to family.</w:t>
      </w:r>
    </w:p>
  </w:endnote>
  <w:endnote w:id="379">
    <w:p w:rsidR="00A5732C" w:rsidRDefault="00A5732C" w:rsidP="00011B02">
      <w:pPr>
        <w:pStyle w:val="EndnoteText"/>
      </w:pPr>
      <w:r>
        <w:rPr>
          <w:rStyle w:val="EndnoteReference"/>
        </w:rPr>
        <w:endnoteRef/>
      </w:r>
      <w:r>
        <w:t xml:space="preserve"> In ES, in the case of subjects, the provision only applies to family.</w:t>
      </w:r>
    </w:p>
  </w:endnote>
  <w:endnote w:id="380">
    <w:p w:rsidR="00A5732C" w:rsidRDefault="00A5732C" w:rsidP="00011B02">
      <w:pPr>
        <w:pStyle w:val="EndnoteText"/>
      </w:pPr>
      <w:r>
        <w:rPr>
          <w:rStyle w:val="EndnoteReference"/>
        </w:rPr>
        <w:endnoteRef/>
      </w:r>
      <w:r>
        <w:t xml:space="preserve"> In NL, in the case of witnesses, the provision only applies to family.</w:t>
      </w:r>
    </w:p>
  </w:endnote>
  <w:endnote w:id="381">
    <w:p w:rsidR="00A5732C" w:rsidRDefault="00A5732C" w:rsidP="00011B02">
      <w:pPr>
        <w:pStyle w:val="EndnoteText"/>
      </w:pPr>
      <w:r>
        <w:rPr>
          <w:rStyle w:val="EndnoteReference"/>
        </w:rPr>
        <w:endnoteRef/>
      </w:r>
      <w:r>
        <w:t xml:space="preserve"> In NL, in the case of subjects, the provision only applies to family.</w:t>
      </w:r>
    </w:p>
  </w:endnote>
  <w:endnote w:id="382">
    <w:p w:rsidR="00A5732C" w:rsidRDefault="00A5732C" w:rsidP="00011B02">
      <w:pPr>
        <w:pStyle w:val="EndnoteText"/>
      </w:pPr>
      <w:r>
        <w:rPr>
          <w:rStyle w:val="EndnoteReference"/>
        </w:rPr>
        <w:endnoteRef/>
      </w:r>
      <w:r>
        <w:t xml:space="preserve"> In PL, in the case of witnesses, the provision only applies to admin sanctions and MACR.</w:t>
      </w:r>
    </w:p>
  </w:endnote>
  <w:endnote w:id="383">
    <w:p w:rsidR="00A5732C" w:rsidRDefault="00A5732C" w:rsidP="00011B02">
      <w:pPr>
        <w:pStyle w:val="EndnoteText"/>
      </w:pPr>
      <w:r>
        <w:rPr>
          <w:rStyle w:val="EndnoteReference"/>
        </w:rPr>
        <w:endnoteRef/>
      </w:r>
      <w:r>
        <w:t xml:space="preserve"> In PL, in the case of plaintiffs, the provision does not apply to placement in care.</w:t>
      </w:r>
    </w:p>
  </w:endnote>
  <w:endnote w:id="384">
    <w:p w:rsidR="00A5732C" w:rsidRDefault="00A5732C" w:rsidP="00011B02">
      <w:pPr>
        <w:pStyle w:val="EndnoteText"/>
      </w:pPr>
      <w:r>
        <w:rPr>
          <w:rStyle w:val="EndnoteReference"/>
        </w:rPr>
        <w:endnoteRef/>
      </w:r>
      <w:r>
        <w:t xml:space="preserve"> In PL, in the case of defendants, the provision does not apply to placement in care.</w:t>
      </w:r>
    </w:p>
  </w:endnote>
  <w:endnote w:id="385">
    <w:p w:rsidR="00A5732C" w:rsidRDefault="00A5732C" w:rsidP="00011B02">
      <w:pPr>
        <w:pStyle w:val="EndnoteText"/>
      </w:pPr>
      <w:r>
        <w:rPr>
          <w:rStyle w:val="EndnoteReference"/>
        </w:rPr>
        <w:endnoteRef/>
      </w:r>
      <w:r>
        <w:t xml:space="preserve"> In PL, the case of subjects, the provision only applies to family and placement in care.</w:t>
      </w:r>
    </w:p>
  </w:endnote>
  <w:endnote w:id="386">
    <w:p w:rsidR="00A5732C" w:rsidRDefault="00A5732C" w:rsidP="00011B02">
      <w:pPr>
        <w:pStyle w:val="EndnoteText"/>
      </w:pPr>
      <w:r>
        <w:rPr>
          <w:rStyle w:val="EndnoteReference"/>
        </w:rPr>
        <w:endnoteRef/>
      </w:r>
      <w:r>
        <w:t xml:space="preserve"> In SI, in the case of subjects, the provision only applies to family.</w:t>
      </w:r>
    </w:p>
  </w:endnote>
  <w:endnote w:id="387">
    <w:p w:rsidR="00A5732C" w:rsidRDefault="00A5732C" w:rsidP="00EC0403">
      <w:pPr>
        <w:pStyle w:val="EndnoteText"/>
      </w:pPr>
      <w:r>
        <w:rPr>
          <w:rStyle w:val="EndnoteReference"/>
        </w:rPr>
        <w:endnoteRef/>
      </w:r>
      <w:r>
        <w:t xml:space="preserve"> In BG, in the case of subjects, the provision only applies to asylum and migration.</w:t>
      </w:r>
    </w:p>
  </w:endnote>
  <w:endnote w:id="388">
    <w:p w:rsidR="00A5732C" w:rsidRDefault="00A5732C" w:rsidP="00EC0403">
      <w:pPr>
        <w:pStyle w:val="EndnoteText"/>
      </w:pPr>
      <w:r>
        <w:rPr>
          <w:rStyle w:val="EndnoteReference"/>
        </w:rPr>
        <w:endnoteRef/>
      </w:r>
      <w:r>
        <w:t xml:space="preserve"> In EL, in the case of plaintiffs, the provision does not apply to placement in care.</w:t>
      </w:r>
    </w:p>
  </w:endnote>
  <w:endnote w:id="389">
    <w:p w:rsidR="00A5732C" w:rsidRDefault="00A5732C" w:rsidP="00EC0403">
      <w:pPr>
        <w:pStyle w:val="EndnoteText"/>
      </w:pPr>
      <w:r>
        <w:rPr>
          <w:rStyle w:val="EndnoteReference"/>
        </w:rPr>
        <w:endnoteRef/>
      </w:r>
      <w:r>
        <w:t xml:space="preserve"> In EL, in the case of subjects, the provision only applies to placement in care.</w:t>
      </w:r>
    </w:p>
  </w:endnote>
  <w:endnote w:id="390">
    <w:p w:rsidR="00A5732C" w:rsidRDefault="00A5732C" w:rsidP="00EC0403">
      <w:pPr>
        <w:pStyle w:val="EndnoteText"/>
      </w:pPr>
      <w:r>
        <w:rPr>
          <w:rStyle w:val="EndnoteReference"/>
        </w:rPr>
        <w:endnoteRef/>
      </w:r>
      <w:r>
        <w:t xml:space="preserve"> In ES, in the case of subjects, the provision does not apply to asylum and migration.</w:t>
      </w:r>
    </w:p>
  </w:endnote>
  <w:endnote w:id="391">
    <w:p w:rsidR="00A5732C" w:rsidRDefault="00A5732C" w:rsidP="00EC0403">
      <w:pPr>
        <w:pStyle w:val="EndnoteText"/>
      </w:pPr>
      <w:r>
        <w:rPr>
          <w:rStyle w:val="EndnoteReference"/>
        </w:rPr>
        <w:endnoteRef/>
      </w:r>
      <w:r>
        <w:t xml:space="preserve"> In HR, in the case of plaintiffs, the provision does not apply to health.</w:t>
      </w:r>
    </w:p>
  </w:endnote>
  <w:endnote w:id="392">
    <w:p w:rsidR="00A5732C" w:rsidRDefault="00A5732C" w:rsidP="00EC0403">
      <w:pPr>
        <w:pStyle w:val="EndnoteText"/>
      </w:pPr>
      <w:r>
        <w:rPr>
          <w:rStyle w:val="EndnoteReference"/>
        </w:rPr>
        <w:endnoteRef/>
      </w:r>
      <w:r>
        <w:t xml:space="preserve"> In PL, in the case of subjects, the provision only applies to admin sanctions and MACR.</w:t>
      </w:r>
    </w:p>
  </w:endnote>
  <w:endnote w:id="393">
    <w:p w:rsidR="00A5732C" w:rsidRPr="00890758" w:rsidRDefault="00A5732C" w:rsidP="009F78A6">
      <w:pPr>
        <w:pStyle w:val="EndnoteText"/>
        <w:rPr>
          <w:lang w:val="en-US"/>
        </w:rPr>
      </w:pPr>
      <w:r>
        <w:rPr>
          <w:rStyle w:val="EndnoteReference"/>
        </w:rPr>
        <w:endnoteRef/>
      </w:r>
      <w:r>
        <w:t xml:space="preserve"> </w:t>
      </w:r>
      <w:r w:rsidRPr="00890758">
        <w:t>In CY, in the case of subjects, the provision only applies to family and placement in care</w:t>
      </w:r>
      <w:r>
        <w:t>.</w:t>
      </w:r>
    </w:p>
  </w:endnote>
  <w:endnote w:id="394">
    <w:p w:rsidR="00A5732C" w:rsidRPr="00890758" w:rsidRDefault="00A5732C" w:rsidP="009F78A6">
      <w:pPr>
        <w:pStyle w:val="EndnoteText"/>
        <w:rPr>
          <w:lang w:val="en-US"/>
        </w:rPr>
      </w:pPr>
      <w:r>
        <w:rPr>
          <w:rStyle w:val="EndnoteReference"/>
        </w:rPr>
        <w:endnoteRef/>
      </w:r>
      <w:r>
        <w:t xml:space="preserve"> </w:t>
      </w:r>
      <w:r>
        <w:rPr>
          <w:lang w:val="en-US"/>
        </w:rPr>
        <w:t>In EL, in the case of plaintiffs, the provision does not apply to family and placement in care.</w:t>
      </w:r>
    </w:p>
  </w:endnote>
  <w:endnote w:id="395">
    <w:p w:rsidR="00A5732C" w:rsidRPr="0043708A" w:rsidRDefault="00A5732C" w:rsidP="009F78A6">
      <w:pPr>
        <w:pStyle w:val="EndnoteText"/>
        <w:rPr>
          <w:lang w:val="en-US"/>
        </w:rPr>
      </w:pPr>
      <w:r>
        <w:rPr>
          <w:rStyle w:val="EndnoteReference"/>
        </w:rPr>
        <w:endnoteRef/>
      </w:r>
      <w:r>
        <w:t xml:space="preserve"> </w:t>
      </w:r>
      <w:r w:rsidRPr="0043708A">
        <w:t xml:space="preserve">In EL, in the case of </w:t>
      </w:r>
      <w:r>
        <w:t>defendants</w:t>
      </w:r>
      <w:r w:rsidRPr="0043708A">
        <w:t>, the provision does not apply to family and placement in care</w:t>
      </w:r>
      <w:r>
        <w:t>.</w:t>
      </w:r>
    </w:p>
  </w:endnote>
  <w:endnote w:id="396">
    <w:p w:rsidR="00A5732C" w:rsidRPr="0043708A" w:rsidRDefault="00A5732C" w:rsidP="009F78A6">
      <w:pPr>
        <w:pStyle w:val="EndnoteText"/>
        <w:rPr>
          <w:lang w:val="en-US"/>
        </w:rPr>
      </w:pPr>
      <w:r>
        <w:rPr>
          <w:rStyle w:val="EndnoteReference"/>
        </w:rPr>
        <w:endnoteRef/>
      </w:r>
      <w:r>
        <w:t xml:space="preserve"> </w:t>
      </w:r>
      <w:r>
        <w:rPr>
          <w:lang w:val="en-US"/>
        </w:rPr>
        <w:t>In EL, in the case of subjects, the provision only applies to family and placement in care.</w:t>
      </w:r>
    </w:p>
  </w:endnote>
  <w:endnote w:id="397">
    <w:p w:rsidR="00A5732C" w:rsidRPr="00E51DCF" w:rsidRDefault="00A5732C" w:rsidP="009F78A6">
      <w:pPr>
        <w:pStyle w:val="EndnoteText"/>
        <w:rPr>
          <w:lang w:val="en-US"/>
        </w:rPr>
      </w:pPr>
      <w:r>
        <w:rPr>
          <w:rStyle w:val="EndnoteReference"/>
        </w:rPr>
        <w:endnoteRef/>
      </w:r>
      <w:r>
        <w:t xml:space="preserve"> </w:t>
      </w:r>
      <w:r>
        <w:rPr>
          <w:lang w:val="en-US"/>
        </w:rPr>
        <w:t>In ES, in the case of plaintiffs, the provision does not apply to family.</w:t>
      </w:r>
    </w:p>
  </w:endnote>
  <w:endnote w:id="398">
    <w:p w:rsidR="00A5732C" w:rsidRPr="00E51DCF" w:rsidRDefault="00A5732C" w:rsidP="009F78A6">
      <w:pPr>
        <w:pStyle w:val="EndnoteText"/>
        <w:rPr>
          <w:lang w:val="en-US"/>
        </w:rPr>
      </w:pPr>
      <w:r>
        <w:rPr>
          <w:rStyle w:val="EndnoteReference"/>
        </w:rPr>
        <w:endnoteRef/>
      </w:r>
      <w:r>
        <w:t xml:space="preserve"> </w:t>
      </w:r>
      <w:r>
        <w:rPr>
          <w:lang w:val="en-US"/>
        </w:rPr>
        <w:t xml:space="preserve">In ES, in the case of defendants, the provision does not apply to family and placement in care. </w:t>
      </w:r>
    </w:p>
  </w:endnote>
  <w:endnote w:id="399">
    <w:p w:rsidR="00A5732C" w:rsidRPr="00D75742" w:rsidRDefault="00A5732C" w:rsidP="009F78A6">
      <w:pPr>
        <w:pStyle w:val="EndnoteText"/>
        <w:rPr>
          <w:lang w:val="en-US"/>
        </w:rPr>
      </w:pPr>
      <w:r>
        <w:rPr>
          <w:rStyle w:val="EndnoteReference"/>
        </w:rPr>
        <w:endnoteRef/>
      </w:r>
      <w:r>
        <w:t xml:space="preserve"> </w:t>
      </w:r>
      <w:r>
        <w:rPr>
          <w:lang w:val="en-US"/>
        </w:rPr>
        <w:t>In ES, in the case of subjects, the provision does not apply to asylum, migration and admin sanctions.</w:t>
      </w:r>
    </w:p>
  </w:endnote>
  <w:endnote w:id="400">
    <w:p w:rsidR="00A5732C" w:rsidRPr="00121782" w:rsidRDefault="00A5732C" w:rsidP="009F78A6">
      <w:pPr>
        <w:pStyle w:val="EndnoteText"/>
        <w:rPr>
          <w:lang w:val="en-US"/>
        </w:rPr>
      </w:pPr>
      <w:r>
        <w:rPr>
          <w:rStyle w:val="EndnoteReference"/>
        </w:rPr>
        <w:endnoteRef/>
      </w:r>
      <w:r>
        <w:t xml:space="preserve"> </w:t>
      </w:r>
      <w:r>
        <w:rPr>
          <w:lang w:val="en-US"/>
        </w:rPr>
        <w:t xml:space="preserve">In FI, in the case of defendants, the provision only applies to family. </w:t>
      </w:r>
    </w:p>
  </w:endnote>
  <w:endnote w:id="401">
    <w:p w:rsidR="00A5732C" w:rsidRPr="00121782" w:rsidRDefault="00A5732C" w:rsidP="009F78A6">
      <w:pPr>
        <w:pStyle w:val="EndnoteText"/>
        <w:rPr>
          <w:lang w:val="en-US"/>
        </w:rPr>
      </w:pPr>
      <w:r>
        <w:rPr>
          <w:rStyle w:val="EndnoteReference"/>
        </w:rPr>
        <w:endnoteRef/>
      </w:r>
      <w:r>
        <w:t xml:space="preserve"> </w:t>
      </w:r>
      <w:r>
        <w:rPr>
          <w:lang w:val="en-US"/>
        </w:rPr>
        <w:t>In FI, in the case of subjects, the provision only applies to family.</w:t>
      </w:r>
    </w:p>
  </w:endnote>
  <w:endnote w:id="402">
    <w:p w:rsidR="00A5732C" w:rsidRPr="00CD7081" w:rsidRDefault="00A5732C" w:rsidP="009F78A6">
      <w:pPr>
        <w:pStyle w:val="EndnoteText"/>
        <w:rPr>
          <w:lang w:val="en-US"/>
        </w:rPr>
      </w:pPr>
      <w:r>
        <w:rPr>
          <w:rStyle w:val="EndnoteReference"/>
        </w:rPr>
        <w:endnoteRef/>
      </w:r>
      <w:r>
        <w:t xml:space="preserve"> </w:t>
      </w:r>
      <w:r>
        <w:rPr>
          <w:lang w:val="en-US"/>
        </w:rPr>
        <w:t>In HU, in the case of defendants, the provision only applies family.</w:t>
      </w:r>
    </w:p>
  </w:endnote>
  <w:endnote w:id="403">
    <w:p w:rsidR="00A5732C" w:rsidRPr="00CD7081" w:rsidRDefault="00A5732C" w:rsidP="009F78A6">
      <w:pPr>
        <w:pStyle w:val="EndnoteText"/>
        <w:rPr>
          <w:lang w:val="en-US"/>
        </w:rPr>
      </w:pPr>
      <w:r>
        <w:rPr>
          <w:rStyle w:val="EndnoteReference"/>
        </w:rPr>
        <w:endnoteRef/>
      </w:r>
      <w:r>
        <w:t xml:space="preserve"> </w:t>
      </w:r>
      <w:r>
        <w:rPr>
          <w:lang w:val="en-US"/>
        </w:rPr>
        <w:t>In HU, in the case of subjects, the provision only applies to family.</w:t>
      </w:r>
    </w:p>
  </w:endnote>
  <w:endnote w:id="404">
    <w:p w:rsidR="00A5732C" w:rsidRPr="00EF248F" w:rsidRDefault="00A5732C" w:rsidP="009F78A6">
      <w:pPr>
        <w:pStyle w:val="EndnoteText"/>
        <w:rPr>
          <w:lang w:val="en-US"/>
        </w:rPr>
      </w:pPr>
      <w:r>
        <w:rPr>
          <w:rStyle w:val="EndnoteReference"/>
        </w:rPr>
        <w:endnoteRef/>
      </w:r>
      <w:r>
        <w:t xml:space="preserve"> </w:t>
      </w:r>
      <w:r>
        <w:rPr>
          <w:lang w:val="en-US"/>
        </w:rPr>
        <w:t>In IT, in the case of defendants, the provision only applies MACR.</w:t>
      </w:r>
    </w:p>
  </w:endnote>
  <w:endnote w:id="405">
    <w:p w:rsidR="00A5732C" w:rsidRPr="009472E5" w:rsidRDefault="00A5732C" w:rsidP="009F78A6">
      <w:pPr>
        <w:pStyle w:val="EndnoteText"/>
        <w:rPr>
          <w:lang w:val="en-US"/>
        </w:rPr>
      </w:pPr>
      <w:r>
        <w:rPr>
          <w:rStyle w:val="EndnoteReference"/>
        </w:rPr>
        <w:endnoteRef/>
      </w:r>
      <w:r>
        <w:t xml:space="preserve"> </w:t>
      </w:r>
      <w:r>
        <w:rPr>
          <w:lang w:val="en-US"/>
        </w:rPr>
        <w:t xml:space="preserve">In NL, in the case of defendants, the provision only applies to family. </w:t>
      </w:r>
    </w:p>
  </w:endnote>
  <w:endnote w:id="406">
    <w:p w:rsidR="00A5732C" w:rsidRPr="00A524C7" w:rsidRDefault="00A5732C" w:rsidP="009F78A6">
      <w:pPr>
        <w:pStyle w:val="EndnoteText"/>
        <w:rPr>
          <w:lang w:val="en-US"/>
        </w:rPr>
      </w:pPr>
      <w:r>
        <w:rPr>
          <w:rStyle w:val="EndnoteReference"/>
        </w:rPr>
        <w:endnoteRef/>
      </w:r>
      <w:r>
        <w:t xml:space="preserve"> </w:t>
      </w:r>
      <w:r>
        <w:rPr>
          <w:lang w:val="en-US"/>
        </w:rPr>
        <w:t>In PL, in the case of plaintiffs, the provision does not apply to placement in care.</w:t>
      </w:r>
    </w:p>
  </w:endnote>
  <w:endnote w:id="407">
    <w:p w:rsidR="00A5732C" w:rsidRPr="00A524C7" w:rsidRDefault="00A5732C" w:rsidP="009F78A6">
      <w:pPr>
        <w:pStyle w:val="EndnoteText"/>
        <w:rPr>
          <w:lang w:val="en-US"/>
        </w:rPr>
      </w:pPr>
      <w:r>
        <w:rPr>
          <w:rStyle w:val="EndnoteReference"/>
        </w:rPr>
        <w:endnoteRef/>
      </w:r>
      <w:r>
        <w:t xml:space="preserve"> </w:t>
      </w:r>
      <w:r>
        <w:rPr>
          <w:lang w:val="en-US"/>
        </w:rPr>
        <w:t>In PL, in the case of defendants, the provision only applies to family, employment, admin sanctions and MACR.</w:t>
      </w:r>
    </w:p>
  </w:endnote>
  <w:endnote w:id="408">
    <w:p w:rsidR="00A5732C" w:rsidRPr="00A524C7" w:rsidRDefault="00A5732C" w:rsidP="009F78A6">
      <w:pPr>
        <w:pStyle w:val="EndnoteText"/>
        <w:rPr>
          <w:lang w:val="en-US"/>
        </w:rPr>
      </w:pPr>
      <w:r>
        <w:rPr>
          <w:rStyle w:val="EndnoteReference"/>
        </w:rPr>
        <w:endnoteRef/>
      </w:r>
      <w:r>
        <w:t xml:space="preserve"> </w:t>
      </w:r>
      <w:r>
        <w:rPr>
          <w:lang w:val="en-US"/>
        </w:rPr>
        <w:t>In PL, in the case of subjects, the provision only applies to family and placement in care.</w:t>
      </w:r>
    </w:p>
  </w:endnote>
  <w:endnote w:id="409">
    <w:p w:rsidR="00A5732C" w:rsidRPr="00A524C7" w:rsidRDefault="00A5732C" w:rsidP="009F78A6">
      <w:pPr>
        <w:pStyle w:val="EndnoteText"/>
        <w:rPr>
          <w:lang w:val="en-US"/>
        </w:rPr>
      </w:pPr>
      <w:r>
        <w:rPr>
          <w:rStyle w:val="EndnoteReference"/>
        </w:rPr>
        <w:endnoteRef/>
      </w:r>
      <w:r>
        <w:t xml:space="preserve"> </w:t>
      </w:r>
      <w:r>
        <w:rPr>
          <w:lang w:val="en-US"/>
        </w:rPr>
        <w:t>In PT, in the case of plaintiffs, the provision only applies to MACR.</w:t>
      </w:r>
    </w:p>
  </w:endnote>
  <w:endnote w:id="410">
    <w:p w:rsidR="00A5732C" w:rsidRPr="00A524C7" w:rsidRDefault="00A5732C" w:rsidP="009F78A6">
      <w:pPr>
        <w:pStyle w:val="EndnoteText"/>
        <w:rPr>
          <w:lang w:val="en-US"/>
        </w:rPr>
      </w:pPr>
      <w:r>
        <w:rPr>
          <w:rStyle w:val="EndnoteReference"/>
        </w:rPr>
        <w:endnoteRef/>
      </w:r>
      <w:r>
        <w:t xml:space="preserve"> </w:t>
      </w:r>
      <w:r>
        <w:rPr>
          <w:lang w:val="en-US"/>
        </w:rPr>
        <w:t>In PT, in the case of defendants, the provision only applies to MACR.</w:t>
      </w:r>
    </w:p>
  </w:endnote>
  <w:endnote w:id="411">
    <w:p w:rsidR="00A5732C" w:rsidRPr="00A524C7" w:rsidRDefault="00A5732C" w:rsidP="009F78A6">
      <w:pPr>
        <w:pStyle w:val="EndnoteText"/>
        <w:rPr>
          <w:lang w:val="en-US"/>
        </w:rPr>
      </w:pPr>
      <w:r>
        <w:rPr>
          <w:rStyle w:val="EndnoteReference"/>
        </w:rPr>
        <w:endnoteRef/>
      </w:r>
      <w:r>
        <w:t xml:space="preserve"> </w:t>
      </w:r>
      <w:r>
        <w:rPr>
          <w:lang w:val="en-US"/>
        </w:rPr>
        <w:t xml:space="preserve">In PT, in the case of subjects, the provision only applies to placement in care. </w:t>
      </w:r>
    </w:p>
  </w:endnote>
  <w:endnote w:id="412">
    <w:p w:rsidR="00A5732C" w:rsidRPr="00380797" w:rsidRDefault="00A5732C" w:rsidP="009B28BA">
      <w:pPr>
        <w:pStyle w:val="EndnoteText"/>
        <w:rPr>
          <w:lang w:val="en-US"/>
        </w:rPr>
      </w:pPr>
      <w:r>
        <w:rPr>
          <w:rStyle w:val="EndnoteReference"/>
        </w:rPr>
        <w:endnoteRef/>
      </w:r>
      <w:r>
        <w:t xml:space="preserve"> </w:t>
      </w:r>
      <w:r>
        <w:rPr>
          <w:lang w:val="en-US"/>
        </w:rPr>
        <w:t>In EE, in the case of witnesses, the provision only applies to family and employment.</w:t>
      </w:r>
    </w:p>
  </w:endnote>
  <w:endnote w:id="413">
    <w:p w:rsidR="00A5732C" w:rsidRPr="00CA4C24" w:rsidRDefault="00A5732C" w:rsidP="009B28BA">
      <w:pPr>
        <w:pStyle w:val="EndnoteText"/>
        <w:rPr>
          <w:lang w:val="en-US"/>
        </w:rPr>
      </w:pPr>
      <w:r>
        <w:rPr>
          <w:rStyle w:val="EndnoteReference"/>
        </w:rPr>
        <w:endnoteRef/>
      </w:r>
      <w:r>
        <w:t xml:space="preserve"> </w:t>
      </w:r>
      <w:r>
        <w:rPr>
          <w:lang w:val="en-US"/>
        </w:rPr>
        <w:t>In FI, in the case of defendants, the provision only applies to family and employment.</w:t>
      </w:r>
    </w:p>
  </w:endnote>
  <w:endnote w:id="414">
    <w:p w:rsidR="00A5732C" w:rsidRPr="00D70420" w:rsidRDefault="00A5732C" w:rsidP="009B28BA">
      <w:pPr>
        <w:pStyle w:val="EndnoteText"/>
        <w:rPr>
          <w:lang w:val="en-US"/>
        </w:rPr>
      </w:pPr>
      <w:r>
        <w:rPr>
          <w:rStyle w:val="EndnoteReference"/>
        </w:rPr>
        <w:endnoteRef/>
      </w:r>
      <w:r>
        <w:t xml:space="preserve"> </w:t>
      </w:r>
      <w:r>
        <w:rPr>
          <w:lang w:val="en-US"/>
        </w:rPr>
        <w:t>In HU, in the case of plaintiffs, the provision does not apply to admin sanctions.</w:t>
      </w:r>
    </w:p>
  </w:endnote>
  <w:endnote w:id="415">
    <w:p w:rsidR="00A5732C" w:rsidRPr="001318C0" w:rsidRDefault="00A5732C" w:rsidP="009B28BA">
      <w:pPr>
        <w:pStyle w:val="EndnoteText"/>
        <w:rPr>
          <w:lang w:val="en-US"/>
        </w:rPr>
      </w:pPr>
      <w:r>
        <w:rPr>
          <w:rStyle w:val="EndnoteReference"/>
        </w:rPr>
        <w:endnoteRef/>
      </w:r>
      <w:r>
        <w:t xml:space="preserve"> </w:t>
      </w:r>
      <w:r>
        <w:rPr>
          <w:lang w:val="en-US"/>
        </w:rPr>
        <w:t>In IT, in the case of defendants, the provision only applies to MACR.</w:t>
      </w:r>
    </w:p>
  </w:endnote>
  <w:endnote w:id="416">
    <w:p w:rsidR="00A5732C" w:rsidRPr="00646120" w:rsidRDefault="00A5732C" w:rsidP="009B28BA">
      <w:pPr>
        <w:pStyle w:val="EndnoteText"/>
        <w:rPr>
          <w:lang w:val="en-US"/>
        </w:rPr>
      </w:pPr>
      <w:r>
        <w:rPr>
          <w:rStyle w:val="EndnoteReference"/>
        </w:rPr>
        <w:endnoteRef/>
      </w:r>
      <w:r>
        <w:t xml:space="preserve"> </w:t>
      </w:r>
      <w:r>
        <w:rPr>
          <w:lang w:val="en-US"/>
        </w:rPr>
        <w:t>In NL, in the case of witnesses, the provision only applies to family.</w:t>
      </w:r>
    </w:p>
  </w:endnote>
  <w:endnote w:id="417">
    <w:p w:rsidR="00A5732C" w:rsidRPr="00646120" w:rsidRDefault="00A5732C" w:rsidP="009B28BA">
      <w:pPr>
        <w:pStyle w:val="EndnoteText"/>
        <w:rPr>
          <w:lang w:val="en-US"/>
        </w:rPr>
      </w:pPr>
      <w:r>
        <w:rPr>
          <w:rStyle w:val="EndnoteReference"/>
        </w:rPr>
        <w:endnoteRef/>
      </w:r>
      <w:r>
        <w:t xml:space="preserve"> </w:t>
      </w:r>
      <w:r>
        <w:rPr>
          <w:lang w:val="en-US"/>
        </w:rPr>
        <w:t>In NL, in the case of defendants, the provision only applies to family and employment.</w:t>
      </w:r>
    </w:p>
  </w:endnote>
  <w:endnote w:id="418">
    <w:p w:rsidR="00A5732C" w:rsidRPr="00646120" w:rsidRDefault="00A5732C" w:rsidP="009B28BA">
      <w:pPr>
        <w:pStyle w:val="EndnoteText"/>
        <w:rPr>
          <w:lang w:val="en-US"/>
        </w:rPr>
      </w:pPr>
      <w:r>
        <w:rPr>
          <w:rStyle w:val="EndnoteReference"/>
        </w:rPr>
        <w:endnoteRef/>
      </w:r>
      <w:r>
        <w:t xml:space="preserve"> </w:t>
      </w:r>
      <w:r>
        <w:rPr>
          <w:lang w:val="en-US"/>
        </w:rPr>
        <w:t>In NL, in the case of subjects, the provision only applies to family.</w:t>
      </w:r>
    </w:p>
  </w:endnote>
  <w:endnote w:id="419">
    <w:p w:rsidR="00A5732C" w:rsidRPr="002722DB" w:rsidRDefault="00A5732C" w:rsidP="009B28BA">
      <w:pPr>
        <w:pStyle w:val="EndnoteText"/>
        <w:rPr>
          <w:lang w:val="en-US"/>
        </w:rPr>
      </w:pPr>
      <w:r>
        <w:rPr>
          <w:rStyle w:val="EndnoteReference"/>
        </w:rPr>
        <w:endnoteRef/>
      </w:r>
      <w:r>
        <w:t xml:space="preserve"> </w:t>
      </w:r>
      <w:r>
        <w:rPr>
          <w:lang w:val="en-US"/>
        </w:rPr>
        <w:t>In PL, in the case of plaintiffs, the provision does not apply to placement in care.</w:t>
      </w:r>
    </w:p>
  </w:endnote>
  <w:endnote w:id="420">
    <w:p w:rsidR="00A5732C" w:rsidRPr="002722DB" w:rsidRDefault="00A5732C" w:rsidP="009B28BA">
      <w:pPr>
        <w:pStyle w:val="EndnoteText"/>
        <w:rPr>
          <w:lang w:val="en-US"/>
        </w:rPr>
      </w:pPr>
      <w:r>
        <w:rPr>
          <w:rStyle w:val="EndnoteReference"/>
        </w:rPr>
        <w:endnoteRef/>
      </w:r>
      <w:r>
        <w:t xml:space="preserve"> </w:t>
      </w:r>
      <w:r>
        <w:rPr>
          <w:lang w:val="en-US"/>
        </w:rPr>
        <w:t>In PL, in the case of defendants, the provision only applies to family, employment and admin sanctions.</w:t>
      </w:r>
    </w:p>
  </w:endnote>
  <w:endnote w:id="421">
    <w:p w:rsidR="00A5732C" w:rsidRPr="002722DB" w:rsidRDefault="00A5732C" w:rsidP="009B28BA">
      <w:pPr>
        <w:pStyle w:val="EndnoteText"/>
        <w:rPr>
          <w:lang w:val="en-US"/>
        </w:rPr>
      </w:pPr>
      <w:r>
        <w:rPr>
          <w:rStyle w:val="EndnoteReference"/>
        </w:rPr>
        <w:endnoteRef/>
      </w:r>
      <w:r>
        <w:t xml:space="preserve"> </w:t>
      </w:r>
      <w:r>
        <w:rPr>
          <w:lang w:val="en-US"/>
        </w:rPr>
        <w:t>In PL, in the case of subjects, the provision only applies to family and placement in care.</w:t>
      </w:r>
    </w:p>
  </w:endnote>
  <w:endnote w:id="422">
    <w:p w:rsidR="00A5732C" w:rsidRPr="002722DB" w:rsidRDefault="00A5732C" w:rsidP="009B28BA">
      <w:pPr>
        <w:pStyle w:val="EndnoteText"/>
        <w:rPr>
          <w:lang w:val="en-US"/>
        </w:rPr>
      </w:pPr>
      <w:r>
        <w:rPr>
          <w:rStyle w:val="EndnoteReference"/>
        </w:rPr>
        <w:endnoteRef/>
      </w:r>
      <w:r>
        <w:t xml:space="preserve"> </w:t>
      </w:r>
      <w:r>
        <w:rPr>
          <w:lang w:val="en-US"/>
        </w:rPr>
        <w:t>In PT, in the case of plaintiffs, the provision does not apply to placement in care.</w:t>
      </w:r>
    </w:p>
  </w:endnote>
  <w:endnote w:id="423">
    <w:p w:rsidR="00A5732C" w:rsidRPr="002722DB" w:rsidRDefault="00A5732C" w:rsidP="009B28BA">
      <w:pPr>
        <w:pStyle w:val="EndnoteText"/>
        <w:rPr>
          <w:lang w:val="en-US"/>
        </w:rPr>
      </w:pPr>
      <w:r>
        <w:rPr>
          <w:rStyle w:val="EndnoteReference"/>
        </w:rPr>
        <w:endnoteRef/>
      </w:r>
      <w:r>
        <w:t xml:space="preserve"> </w:t>
      </w:r>
      <w:r>
        <w:rPr>
          <w:lang w:val="en-US"/>
        </w:rPr>
        <w:t>In PT, in the case of defendants, the provision only applies to family, admin sanctions and MACR.</w:t>
      </w:r>
    </w:p>
  </w:endnote>
  <w:endnote w:id="424">
    <w:p w:rsidR="00A5732C" w:rsidRPr="002722DB" w:rsidRDefault="00A5732C" w:rsidP="009B28BA">
      <w:pPr>
        <w:pStyle w:val="EndnoteText"/>
        <w:rPr>
          <w:lang w:val="en-US"/>
        </w:rPr>
      </w:pPr>
      <w:r>
        <w:rPr>
          <w:rStyle w:val="EndnoteReference"/>
        </w:rPr>
        <w:endnoteRef/>
      </w:r>
      <w:r>
        <w:t xml:space="preserve"> </w:t>
      </w:r>
      <w:r>
        <w:rPr>
          <w:lang w:val="en-US"/>
        </w:rPr>
        <w:t>In PT, in the case of subjects, the provision only applies to family and placement in care.</w:t>
      </w:r>
    </w:p>
  </w:endnote>
  <w:endnote w:id="425">
    <w:p w:rsidR="00A5732C" w:rsidRPr="00062771" w:rsidRDefault="00A5732C" w:rsidP="009B28BA">
      <w:pPr>
        <w:pStyle w:val="EndnoteText"/>
        <w:rPr>
          <w:lang w:val="en-US"/>
        </w:rPr>
      </w:pPr>
      <w:r>
        <w:rPr>
          <w:rStyle w:val="EndnoteReference"/>
        </w:rPr>
        <w:endnoteRef/>
      </w:r>
      <w:r>
        <w:t xml:space="preserve"> </w:t>
      </w:r>
      <w:r>
        <w:rPr>
          <w:lang w:val="en-US"/>
        </w:rPr>
        <w:t>In EE, in the case of subjects, the provision only applies to family, employment, asylum and migration.</w:t>
      </w:r>
    </w:p>
  </w:endnote>
  <w:endnote w:id="426">
    <w:p w:rsidR="00A5732C" w:rsidRPr="00062771" w:rsidRDefault="00A5732C" w:rsidP="009B28BA">
      <w:pPr>
        <w:pStyle w:val="EndnoteText"/>
        <w:rPr>
          <w:lang w:val="en-US"/>
        </w:rPr>
      </w:pPr>
      <w:r>
        <w:rPr>
          <w:rStyle w:val="EndnoteReference"/>
        </w:rPr>
        <w:endnoteRef/>
      </w:r>
      <w:r>
        <w:t xml:space="preserve"> </w:t>
      </w:r>
      <w:r>
        <w:rPr>
          <w:lang w:val="en-US"/>
        </w:rPr>
        <w:t>In EL, in the case of subjects, the provision only applies to family.</w:t>
      </w:r>
    </w:p>
  </w:endnote>
  <w:endnote w:id="427">
    <w:p w:rsidR="00A5732C" w:rsidRPr="00062771" w:rsidRDefault="00A5732C" w:rsidP="009B28BA">
      <w:pPr>
        <w:pStyle w:val="EndnoteText"/>
        <w:rPr>
          <w:lang w:val="en-US"/>
        </w:rPr>
      </w:pPr>
      <w:r>
        <w:rPr>
          <w:rStyle w:val="EndnoteReference"/>
        </w:rPr>
        <w:endnoteRef/>
      </w:r>
      <w:r>
        <w:t xml:space="preserve"> </w:t>
      </w:r>
      <w:r>
        <w:rPr>
          <w:lang w:val="en-US"/>
        </w:rPr>
        <w:t>In ES, in the case of witnesses, the provision only applies to family.</w:t>
      </w:r>
    </w:p>
  </w:endnote>
  <w:endnote w:id="428">
    <w:p w:rsidR="00A5732C" w:rsidRPr="00062771" w:rsidRDefault="00A5732C" w:rsidP="009B28BA">
      <w:pPr>
        <w:pStyle w:val="EndnoteText"/>
        <w:rPr>
          <w:lang w:val="en-US"/>
        </w:rPr>
      </w:pPr>
      <w:r>
        <w:rPr>
          <w:rStyle w:val="EndnoteReference"/>
        </w:rPr>
        <w:endnoteRef/>
      </w:r>
      <w:r>
        <w:t xml:space="preserve"> </w:t>
      </w:r>
      <w:r>
        <w:rPr>
          <w:lang w:val="en-US"/>
        </w:rPr>
        <w:t>In ES, in the case of defendants, the provision only applies to family.</w:t>
      </w:r>
    </w:p>
  </w:endnote>
  <w:endnote w:id="429">
    <w:p w:rsidR="00A5732C" w:rsidRPr="005C44C0" w:rsidRDefault="00A5732C" w:rsidP="009B28BA">
      <w:pPr>
        <w:pStyle w:val="EndnoteText"/>
        <w:rPr>
          <w:lang w:val="en-US"/>
        </w:rPr>
      </w:pPr>
      <w:r>
        <w:rPr>
          <w:rStyle w:val="EndnoteReference"/>
        </w:rPr>
        <w:endnoteRef/>
      </w:r>
      <w:r>
        <w:t xml:space="preserve"> </w:t>
      </w:r>
      <w:r>
        <w:rPr>
          <w:lang w:val="en-US"/>
        </w:rPr>
        <w:t>In FI, in the case of subjects, the provision only applies to family.</w:t>
      </w:r>
    </w:p>
  </w:endnote>
  <w:endnote w:id="430">
    <w:p w:rsidR="00A5732C" w:rsidRPr="0041135A" w:rsidRDefault="00A5732C" w:rsidP="009B28BA">
      <w:pPr>
        <w:pStyle w:val="EndnoteText"/>
        <w:rPr>
          <w:lang w:val="en-US"/>
        </w:rPr>
      </w:pPr>
      <w:r>
        <w:rPr>
          <w:rStyle w:val="EndnoteReference"/>
        </w:rPr>
        <w:endnoteRef/>
      </w:r>
      <w:r>
        <w:t xml:space="preserve"> </w:t>
      </w:r>
      <w:r>
        <w:rPr>
          <w:lang w:val="en-US"/>
        </w:rPr>
        <w:t>In HR, in the case of witnesses, the provision does not apply to health.</w:t>
      </w:r>
    </w:p>
  </w:endnote>
  <w:endnote w:id="431">
    <w:p w:rsidR="00A5732C" w:rsidRPr="0041135A" w:rsidRDefault="00A5732C" w:rsidP="009B28BA">
      <w:pPr>
        <w:pStyle w:val="EndnoteText"/>
        <w:rPr>
          <w:lang w:val="en-US"/>
        </w:rPr>
      </w:pPr>
      <w:r>
        <w:rPr>
          <w:rStyle w:val="EndnoteReference"/>
        </w:rPr>
        <w:endnoteRef/>
      </w:r>
      <w:r>
        <w:t xml:space="preserve"> </w:t>
      </w:r>
      <w:r>
        <w:rPr>
          <w:lang w:val="en-US"/>
        </w:rPr>
        <w:t>In HR, in the case of plaintiffs, the provision does not apply to health.</w:t>
      </w:r>
    </w:p>
  </w:endnote>
  <w:endnote w:id="432">
    <w:p w:rsidR="00A5732C" w:rsidRPr="0041135A" w:rsidRDefault="00A5732C" w:rsidP="009B28BA">
      <w:pPr>
        <w:pStyle w:val="EndnoteText"/>
        <w:rPr>
          <w:lang w:val="en-US"/>
        </w:rPr>
      </w:pPr>
      <w:r>
        <w:rPr>
          <w:rStyle w:val="EndnoteReference"/>
        </w:rPr>
        <w:endnoteRef/>
      </w:r>
      <w:r>
        <w:t xml:space="preserve"> </w:t>
      </w:r>
      <w:r>
        <w:rPr>
          <w:lang w:val="en-US"/>
        </w:rPr>
        <w:t>In HR, in the case of defendants, the provision does not apply to health.</w:t>
      </w:r>
    </w:p>
  </w:endnote>
  <w:endnote w:id="433">
    <w:p w:rsidR="00A5732C" w:rsidRPr="00FA4A03" w:rsidRDefault="00A5732C" w:rsidP="009B28BA">
      <w:pPr>
        <w:pStyle w:val="EndnoteText"/>
        <w:rPr>
          <w:lang w:val="en-US"/>
        </w:rPr>
      </w:pPr>
      <w:r>
        <w:rPr>
          <w:rStyle w:val="EndnoteReference"/>
        </w:rPr>
        <w:endnoteRef/>
      </w:r>
      <w:r>
        <w:t xml:space="preserve"> </w:t>
      </w:r>
      <w:r>
        <w:rPr>
          <w:lang w:val="en-US"/>
        </w:rPr>
        <w:t>In IT, in the case of defendants, the provision only applies to family, employment, asylum and MACR.</w:t>
      </w:r>
    </w:p>
  </w:endnote>
  <w:endnote w:id="434">
    <w:p w:rsidR="00A5732C" w:rsidRPr="000363EA" w:rsidRDefault="00A5732C" w:rsidP="009B28BA">
      <w:pPr>
        <w:pStyle w:val="EndnoteText"/>
        <w:rPr>
          <w:lang w:val="en-US"/>
        </w:rPr>
      </w:pPr>
      <w:r>
        <w:rPr>
          <w:rStyle w:val="EndnoteReference"/>
        </w:rPr>
        <w:endnoteRef/>
      </w:r>
      <w:r>
        <w:t xml:space="preserve"> </w:t>
      </w:r>
      <w:r>
        <w:rPr>
          <w:lang w:val="en-US"/>
        </w:rPr>
        <w:t>In NL, in the case of defendants, the provision only applies to family and employment.</w:t>
      </w:r>
    </w:p>
  </w:endnote>
  <w:endnote w:id="435">
    <w:p w:rsidR="00A5732C" w:rsidRPr="000363EA" w:rsidRDefault="00A5732C" w:rsidP="009B28BA">
      <w:pPr>
        <w:pStyle w:val="EndnoteText"/>
        <w:rPr>
          <w:lang w:val="en-US"/>
        </w:rPr>
      </w:pPr>
      <w:r>
        <w:rPr>
          <w:rStyle w:val="EndnoteReference"/>
        </w:rPr>
        <w:endnoteRef/>
      </w:r>
      <w:r>
        <w:t xml:space="preserve"> </w:t>
      </w:r>
      <w:r>
        <w:rPr>
          <w:lang w:val="en-US"/>
        </w:rPr>
        <w:t>In NL, in the case of subjects, the provision does not apply to employment.</w:t>
      </w:r>
    </w:p>
  </w:endnote>
  <w:endnote w:id="436">
    <w:p w:rsidR="00A5732C" w:rsidRPr="00133AB2" w:rsidRDefault="00A5732C" w:rsidP="009B28BA">
      <w:pPr>
        <w:pStyle w:val="EndnoteText"/>
        <w:rPr>
          <w:lang w:val="en-US"/>
        </w:rPr>
      </w:pPr>
      <w:r>
        <w:rPr>
          <w:rStyle w:val="EndnoteReference"/>
        </w:rPr>
        <w:endnoteRef/>
      </w:r>
      <w:r>
        <w:t xml:space="preserve"> </w:t>
      </w:r>
      <w:r>
        <w:rPr>
          <w:lang w:val="en-US"/>
        </w:rPr>
        <w:t>In PL, in the case of plaintiffs, the provision does not apply to placement in care.</w:t>
      </w:r>
    </w:p>
  </w:endnote>
  <w:endnote w:id="437">
    <w:p w:rsidR="00A5732C" w:rsidRPr="00133AB2" w:rsidRDefault="00A5732C" w:rsidP="009B28BA">
      <w:pPr>
        <w:pStyle w:val="EndnoteText"/>
        <w:rPr>
          <w:lang w:val="en-US"/>
        </w:rPr>
      </w:pPr>
      <w:r>
        <w:rPr>
          <w:rStyle w:val="EndnoteReference"/>
        </w:rPr>
        <w:endnoteRef/>
      </w:r>
      <w:r>
        <w:t xml:space="preserve"> </w:t>
      </w:r>
      <w:r>
        <w:rPr>
          <w:lang w:val="en-US"/>
        </w:rPr>
        <w:t>In PL, in the case of defendants, the provision only applies to family and employment.</w:t>
      </w:r>
    </w:p>
  </w:endnote>
  <w:endnote w:id="438">
    <w:p w:rsidR="00A5732C" w:rsidRPr="00133AB2" w:rsidRDefault="00A5732C" w:rsidP="009B28BA">
      <w:pPr>
        <w:pStyle w:val="EndnoteText"/>
        <w:rPr>
          <w:lang w:val="en-US"/>
        </w:rPr>
      </w:pPr>
      <w:r>
        <w:rPr>
          <w:rStyle w:val="EndnoteReference"/>
        </w:rPr>
        <w:endnoteRef/>
      </w:r>
      <w:r>
        <w:t xml:space="preserve"> </w:t>
      </w:r>
      <w:r>
        <w:rPr>
          <w:lang w:val="en-US"/>
        </w:rPr>
        <w:t>In PL, in the case of subjects, the provision only applies to family and placement in care.</w:t>
      </w:r>
    </w:p>
  </w:endnote>
  <w:endnote w:id="439">
    <w:p w:rsidR="00A5732C" w:rsidRPr="00133AB2" w:rsidRDefault="00A5732C" w:rsidP="009B28BA">
      <w:pPr>
        <w:pStyle w:val="EndnoteText"/>
        <w:rPr>
          <w:lang w:val="en-US"/>
        </w:rPr>
      </w:pPr>
      <w:r>
        <w:rPr>
          <w:rStyle w:val="EndnoteReference"/>
        </w:rPr>
        <w:endnoteRef/>
      </w:r>
      <w:r>
        <w:t xml:space="preserve"> </w:t>
      </w:r>
      <w:r>
        <w:rPr>
          <w:lang w:val="en-US"/>
        </w:rPr>
        <w:t>In PT, in the case of plaintiffs, the provision does not apply to placement in care.</w:t>
      </w:r>
    </w:p>
  </w:endnote>
  <w:endnote w:id="440">
    <w:p w:rsidR="00A5732C" w:rsidRPr="00133AB2" w:rsidRDefault="00A5732C" w:rsidP="009B28BA">
      <w:pPr>
        <w:pStyle w:val="EndnoteText"/>
        <w:rPr>
          <w:lang w:val="en-US"/>
        </w:rPr>
      </w:pPr>
      <w:r>
        <w:rPr>
          <w:rStyle w:val="EndnoteReference"/>
        </w:rPr>
        <w:endnoteRef/>
      </w:r>
      <w:r>
        <w:t xml:space="preserve"> </w:t>
      </w:r>
      <w:r>
        <w:rPr>
          <w:lang w:val="en-US"/>
        </w:rPr>
        <w:t>In PT, in the case of defendants, the provision only applies to family and admin sanctions.</w:t>
      </w:r>
    </w:p>
  </w:endnote>
  <w:endnote w:id="441">
    <w:p w:rsidR="00A5732C" w:rsidRPr="00133AB2" w:rsidRDefault="00A5732C" w:rsidP="009B28BA">
      <w:pPr>
        <w:pStyle w:val="EndnoteText"/>
        <w:rPr>
          <w:lang w:val="en-US"/>
        </w:rPr>
      </w:pPr>
      <w:r>
        <w:rPr>
          <w:rStyle w:val="EndnoteReference"/>
        </w:rPr>
        <w:endnoteRef/>
      </w:r>
      <w:r>
        <w:t xml:space="preserve"> </w:t>
      </w:r>
      <w:r>
        <w:rPr>
          <w:lang w:val="en-US"/>
        </w:rPr>
        <w:t>In PT, in the case of subjects, the provision only applies to family and placement in care.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rsidP="0077170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Pr="00D14518" w:rsidRDefault="00A5732C" w:rsidP="00D145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Pr="000C0041" w:rsidRDefault="00A5732C" w:rsidP="000C0041">
    <w:pPr>
      <w:pStyle w:val="ListParagraph"/>
      <w:ind w:left="0"/>
      <w:jc w:val="both"/>
      <w:rPr>
        <w:rFonts w:ascii="Arial" w:hAnsi="Arial" w:cs="Arial"/>
        <w:sz w:val="20"/>
        <w:szCs w:val="20"/>
      </w:rPr>
    </w:pPr>
    <w:r w:rsidRPr="000C0041">
      <w:rPr>
        <w:rFonts w:ascii="Arial" w:hAnsi="Arial" w:cs="Arial"/>
        <w:sz w:val="20"/>
        <w:szCs w:val="20"/>
      </w:rPr>
      <w:t xml:space="preserve">This Report has been prepared by </w:t>
    </w:r>
    <w:r>
      <w:rPr>
        <w:rFonts w:ascii="Arial" w:hAnsi="Arial" w:cs="Arial"/>
        <w:sz w:val="20"/>
        <w:szCs w:val="20"/>
      </w:rPr>
      <w:t>Elena Jurado, Simone Klinge and James Kearney and checked by Nick Bozeat</w:t>
    </w:r>
    <w:r w:rsidRPr="000C0041">
      <w:rPr>
        <w:rFonts w:ascii="Arial" w:hAnsi="Arial" w:cs="Arial"/>
        <w:sz w:val="20"/>
        <w:szCs w:val="20"/>
      </w:rPr>
      <w:t xml:space="preserve"> for ICF in partnership with Milieu Ltd. under Contract No JUST/2011/CHIL/PR/0147/A4 with the European Commission, DG Justice.</w:t>
    </w:r>
  </w:p>
  <w:p w:rsidR="00A5732C" w:rsidRDefault="00A5732C" w:rsidP="000C0041">
    <w:pPr>
      <w:pStyle w:val="ListParagraph"/>
      <w:ind w:left="0"/>
      <w:jc w:val="both"/>
      <w:rPr>
        <w:rFonts w:ascii="Arial" w:hAnsi="Arial" w:cs="Arial"/>
        <w:sz w:val="20"/>
        <w:szCs w:val="20"/>
      </w:rPr>
    </w:pPr>
  </w:p>
  <w:p w:rsidR="00A5732C" w:rsidRDefault="00A5732C" w:rsidP="000C0041">
    <w:pPr>
      <w:pStyle w:val="ListParagraph"/>
      <w:ind w:left="0"/>
      <w:jc w:val="both"/>
      <w:rPr>
        <w:rFonts w:ascii="Arial" w:hAnsi="Arial" w:cs="Arial"/>
        <w:sz w:val="20"/>
        <w:szCs w:val="20"/>
      </w:rPr>
    </w:pPr>
    <w:r w:rsidRPr="00C41F8B">
      <w:rPr>
        <w:rFonts w:ascii="Arial" w:hAnsi="Arial" w:cs="Arial"/>
        <w:sz w:val="20"/>
        <w:szCs w:val="20"/>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r>
      <w:rPr>
        <w:rFonts w:ascii="Arial" w:hAnsi="Arial" w:cs="Arial"/>
        <w:sz w:val="20"/>
        <w:szCs w:val="20"/>
      </w:rPr>
      <w:t xml:space="preserve"> </w:t>
    </w:r>
  </w:p>
  <w:p w:rsidR="00A5732C" w:rsidRDefault="00A5732C" w:rsidP="000C0041">
    <w:pPr>
      <w:pStyle w:val="ListParagraph"/>
      <w:ind w:left="0"/>
      <w:jc w:val="both"/>
      <w:rPr>
        <w:rFonts w:ascii="Arial" w:hAnsi="Arial" w:cs="Arial"/>
        <w:sz w:val="20"/>
        <w:szCs w:val="20"/>
      </w:rPr>
    </w:pPr>
  </w:p>
  <w:p w:rsidR="00A5732C" w:rsidRPr="00C41F8B" w:rsidRDefault="00A5732C" w:rsidP="000C0041">
    <w:pPr>
      <w:pStyle w:val="ListParagraph"/>
      <w:ind w:left="0"/>
      <w:jc w:val="both"/>
      <w:rPr>
        <w:rFonts w:ascii="Arial" w:hAnsi="Arial" w:cs="Arial"/>
        <w:sz w:val="20"/>
        <w:szCs w:val="20"/>
      </w:rPr>
    </w:pPr>
    <w:r w:rsidRPr="00C41F8B">
      <w:rPr>
        <w:rFonts w:ascii="Arial" w:hAnsi="Arial" w:cs="Arial"/>
        <w:sz w:val="20"/>
        <w:szCs w:val="20"/>
      </w:rPr>
      <w:t>© European Union, 201</w:t>
    </w:r>
    <w:r>
      <w:rPr>
        <w:rFonts w:ascii="Arial" w:hAnsi="Arial" w:cs="Arial"/>
        <w:sz w:val="20"/>
        <w:szCs w:val="20"/>
      </w:rPr>
      <w:t>5</w:t>
    </w:r>
  </w:p>
  <w:p w:rsidR="00A5732C" w:rsidRPr="00C41F8B" w:rsidRDefault="00A5732C" w:rsidP="000C0041">
    <w:pPr>
      <w:pStyle w:val="ListParagraph"/>
      <w:ind w:left="0"/>
      <w:jc w:val="both"/>
      <w:rPr>
        <w:rFonts w:ascii="Arial" w:hAnsi="Arial" w:cs="Arial"/>
        <w:sz w:val="20"/>
        <w:szCs w:val="20"/>
      </w:rPr>
    </w:pPr>
  </w:p>
  <w:p w:rsidR="00A5732C" w:rsidRPr="00C41F8B" w:rsidRDefault="00A5732C" w:rsidP="000C0041">
    <w:pPr>
      <w:pStyle w:val="ListParagraph"/>
      <w:ind w:left="0"/>
      <w:jc w:val="both"/>
      <w:rPr>
        <w:rFonts w:ascii="Arial" w:hAnsi="Arial" w:cs="Arial"/>
        <w:b/>
        <w:bCs/>
        <w:sz w:val="20"/>
        <w:szCs w:val="20"/>
      </w:rPr>
    </w:pPr>
    <w:r w:rsidRPr="00C41F8B">
      <w:rPr>
        <w:rFonts w:ascii="Arial" w:hAnsi="Arial" w:cs="Arial"/>
        <w:sz w:val="20"/>
        <w:szCs w:val="20"/>
      </w:rPr>
      <w:t>Reproduction is authorised provided the source is acknowledged. The reproduction of the third-party textual or artistic material included is prohibited.</w:t>
    </w:r>
  </w:p>
  <w:p w:rsidR="00A5732C" w:rsidRDefault="00A5732C" w:rsidP="000C0041">
    <w:pPr>
      <w:pStyle w:val="Footer"/>
      <w:jc w:val="both"/>
      <w:rPr>
        <w:i/>
        <w:iCs/>
      </w:rPr>
    </w:pPr>
  </w:p>
  <w:p w:rsidR="00A5732C" w:rsidRDefault="00A5732C" w:rsidP="000C0041">
    <w:pPr>
      <w:pStyle w:val="Footer"/>
      <w:jc w:val="both"/>
      <w:rPr>
        <w:i/>
        <w:iCs/>
      </w:rPr>
    </w:pPr>
  </w:p>
  <w:p w:rsidR="00A5732C" w:rsidRDefault="00A5732C" w:rsidP="000C0041">
    <w:pPr>
      <w:pStyle w:val="Footer"/>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pPr>
      <w:pStyle w:val="Footer"/>
      <w:jc w:val="right"/>
    </w:pPr>
    <w:r>
      <w:fldChar w:fldCharType="begin"/>
    </w:r>
    <w:r>
      <w:instrText xml:space="preserve"> PAGE   \* MERGEFORMAT </w:instrText>
    </w:r>
    <w:r>
      <w:fldChar w:fldCharType="separate"/>
    </w:r>
    <w:r w:rsidR="0023091A">
      <w:rPr>
        <w:noProof/>
      </w:rPr>
      <w:t>8</w:t>
    </w:r>
    <w:r>
      <w:rPr>
        <w:noProof/>
      </w:rPr>
      <w:fldChar w:fldCharType="end"/>
    </w:r>
  </w:p>
  <w:p w:rsidR="00A5732C" w:rsidRDefault="00A573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743EFB">
    <w:pPr>
      <w:pStyle w:val="Footer"/>
    </w:pPr>
    <w:fldSimple w:instr=" DOCVARIABLE  FooterVersion  \* MERGEFORMAT ">
      <w:r w:rsidR="000223E8">
        <w:t xml:space="preserve"> </w:t>
      </w:r>
    </w:fldSimple>
    <w:r w:rsidR="00A5732C">
      <w:tab/>
    </w:r>
    <w:r w:rsidR="00A5732C">
      <w:fldChar w:fldCharType="begin"/>
    </w:r>
    <w:r w:rsidR="00A5732C">
      <w:instrText xml:space="preserve"> PAGE   \* MERGEFORMAT </w:instrText>
    </w:r>
    <w:r w:rsidR="00A5732C">
      <w:fldChar w:fldCharType="separate"/>
    </w:r>
    <w:r w:rsidR="0023091A">
      <w:rPr>
        <w:noProof/>
      </w:rPr>
      <w:t>47</w:t>
    </w:r>
    <w:r w:rsidR="00A5732C">
      <w:rPr>
        <w:noProof/>
      </w:rPr>
      <w:fldChar w:fldCharType="end"/>
    </w:r>
  </w:p>
  <w:p w:rsidR="00A5732C" w:rsidRDefault="00A5732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743EFB" w:rsidP="00A077AB">
    <w:pPr>
      <w:pStyle w:val="FooterLand"/>
    </w:pPr>
    <w:fldSimple w:instr=" DOCVARIABLE  FooterVersion  \* MERGEFORMAT ">
      <w:r w:rsidR="000223E8">
        <w:t xml:space="preserve"> </w:t>
      </w:r>
    </w:fldSimple>
    <w:r w:rsidR="00A5732C">
      <w:tab/>
    </w:r>
    <w:r w:rsidR="00A5732C">
      <w:fldChar w:fldCharType="begin"/>
    </w:r>
    <w:r w:rsidR="00A5732C">
      <w:instrText xml:space="preserve"> PAGE   \* MERGEFORMAT </w:instrText>
    </w:r>
    <w:r w:rsidR="00A5732C">
      <w:fldChar w:fldCharType="separate"/>
    </w:r>
    <w:r w:rsidR="0023091A">
      <w:rPr>
        <w:noProof/>
      </w:rPr>
      <w:t>120</w:t>
    </w:r>
    <w:r w:rsidR="00A5732C">
      <w:rPr>
        <w:noProof/>
      </w:rPr>
      <w:fldChar w:fldCharType="end"/>
    </w:r>
  </w:p>
  <w:p w:rsidR="00A5732C" w:rsidRDefault="00A5732C" w:rsidP="00A077AB">
    <w:pPr>
      <w:pStyle w:val="FooterLa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743EFB">
    <w:pPr>
      <w:pStyle w:val="Footer"/>
    </w:pPr>
    <w:fldSimple w:instr=" DOCVARIABLE  FooterVersion  \* MERGEFORMAT ">
      <w:r w:rsidR="000223E8">
        <w:t xml:space="preserve"> </w:t>
      </w:r>
    </w:fldSimple>
    <w:r w:rsidR="00A5732C">
      <w:tab/>
    </w:r>
    <w:r w:rsidR="00A5732C">
      <w:fldChar w:fldCharType="begin"/>
    </w:r>
    <w:r w:rsidR="00A5732C">
      <w:instrText xml:space="preserve"> PAGE   \* MERGEFORMAT </w:instrText>
    </w:r>
    <w:r w:rsidR="00A5732C">
      <w:fldChar w:fldCharType="separate"/>
    </w:r>
    <w:r w:rsidR="0023091A">
      <w:rPr>
        <w:noProof/>
      </w:rPr>
      <w:t>157</w:t>
    </w:r>
    <w:r w:rsidR="00A5732C">
      <w:rPr>
        <w:noProof/>
      </w:rPr>
      <w:fldChar w:fldCharType="end"/>
    </w:r>
  </w:p>
  <w:p w:rsidR="00A5732C" w:rsidRDefault="00A573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FB" w:rsidRDefault="00743EFB" w:rsidP="001E33FA">
      <w:pPr>
        <w:spacing w:after="0" w:line="240" w:lineRule="auto"/>
      </w:pPr>
      <w:r>
        <w:separator/>
      </w:r>
    </w:p>
  </w:footnote>
  <w:footnote w:type="continuationSeparator" w:id="0">
    <w:p w:rsidR="00743EFB" w:rsidRDefault="00743EFB" w:rsidP="001E33FA">
      <w:pPr>
        <w:spacing w:after="0" w:line="240" w:lineRule="auto"/>
      </w:pPr>
      <w:r>
        <w:continuationSeparator/>
      </w:r>
    </w:p>
  </w:footnote>
  <w:footnote w:type="continuationNotice" w:id="1">
    <w:p w:rsidR="00743EFB" w:rsidRDefault="00743EFB">
      <w:pPr>
        <w:spacing w:before="0" w:after="0" w:line="240" w:lineRule="auto"/>
      </w:pPr>
    </w:p>
  </w:footnote>
  <w:footnote w:id="2">
    <w:p w:rsidR="00A5732C" w:rsidRPr="00153EEB" w:rsidRDefault="00A5732C" w:rsidP="006C7CC7">
      <w:pPr>
        <w:pStyle w:val="FootnoteText"/>
        <w:spacing w:after="0"/>
        <w:rPr>
          <w:color w:val="1F497D"/>
          <w:lang w:eastAsia="en-GB"/>
        </w:rPr>
      </w:pPr>
      <w:r w:rsidRPr="00250C9F">
        <w:rPr>
          <w:rStyle w:val="FootnoteReference"/>
          <w:szCs w:val="18"/>
        </w:rPr>
        <w:footnoteRef/>
      </w:r>
      <w:r w:rsidRPr="00250C9F">
        <w:t xml:space="preserve"> The criminal justice report </w:t>
      </w:r>
      <w:r>
        <w:t xml:space="preserve">has been drawn up separately and </w:t>
      </w:r>
      <w:r w:rsidRPr="00250C9F">
        <w:t>is available</w:t>
      </w:r>
      <w:r>
        <w:t xml:space="preserve"> at</w:t>
      </w:r>
      <w:r w:rsidRPr="00250C9F">
        <w:t xml:space="preserve"> </w:t>
      </w:r>
      <w:r w:rsidRPr="00250C9F">
        <w:rPr>
          <w:color w:val="1F497D"/>
          <w:lang w:eastAsia="en-GB"/>
        </w:rPr>
        <w:t xml:space="preserve">http://bookshop.europa.eu/children-in-criminal-judicial-proceedings. </w:t>
      </w:r>
      <w:r w:rsidRPr="00250C9F">
        <w:t>Th</w:t>
      </w:r>
      <w:r>
        <w:t>e criminal justice</w:t>
      </w:r>
      <w:r w:rsidRPr="00250C9F">
        <w:t xml:space="preserve"> report gives a helicopter view of the main findings of the individual Member State reports, covering themes such as the age of criminal responsibility, specialist juvenile justice institutions, training, legal counsel, representation and legal aid, the right to be heard in criminal proceedings, protection of the right to privacy for children, alternatives to judicial proceedings, guidance and support for child victims and offenders after criminal judicial proceedings.</w:t>
      </w:r>
      <w:r>
        <w:t xml:space="preserve"> </w:t>
      </w:r>
      <w:r w:rsidRPr="00153EEB">
        <w:t xml:space="preserve">The </w:t>
      </w:r>
      <w:r>
        <w:t>29</w:t>
      </w:r>
      <w:r w:rsidRPr="00153EEB">
        <w:t xml:space="preserve"> contextual overviews complement the statistics and data available at </w:t>
      </w:r>
      <w:hyperlink r:id="rId1" w:history="1">
        <w:r w:rsidRPr="00153EEB">
          <w:rPr>
            <w:rStyle w:val="Hyperlink"/>
            <w:szCs w:val="18"/>
          </w:rPr>
          <w:t>www.childreninjudicialproceedings.eu</w:t>
        </w:r>
      </w:hyperlink>
      <w:r w:rsidRPr="00153EEB">
        <w:t xml:space="preserve"> by describing, for each Member State, the legislation and policies in place as of 1 June 2012 which determine the treatment of the child in criminal judicial proceedings.</w:t>
      </w:r>
    </w:p>
  </w:footnote>
  <w:footnote w:id="3">
    <w:p w:rsidR="00A5732C" w:rsidRPr="005B295C" w:rsidRDefault="00A5732C" w:rsidP="006C7CC7">
      <w:pPr>
        <w:pStyle w:val="FootnoteText"/>
        <w:spacing w:after="0"/>
        <w:rPr>
          <w:lang w:val="en-US"/>
        </w:rPr>
      </w:pPr>
      <w:r>
        <w:rPr>
          <w:rStyle w:val="FootnoteReference"/>
        </w:rPr>
        <w:footnoteRef/>
      </w:r>
      <w:r>
        <w:t xml:space="preserve"> Two </w:t>
      </w:r>
      <w:r w:rsidRPr="005B295C">
        <w:t>contextual overview</w:t>
      </w:r>
      <w:r>
        <w:t>s</w:t>
      </w:r>
      <w:r w:rsidRPr="005B295C">
        <w:t xml:space="preserve"> w</w:t>
      </w:r>
      <w:r>
        <w:t>ere</w:t>
      </w:r>
      <w:r w:rsidRPr="005B295C">
        <w:t xml:space="preserve"> produced </w:t>
      </w:r>
      <w:r>
        <w:t>for each</w:t>
      </w:r>
      <w:r w:rsidRPr="005B295C">
        <w:t xml:space="preserve"> MS </w:t>
      </w:r>
      <w:r>
        <w:t xml:space="preserve">and jurisdiction (the UK has separate jurisdictions </w:t>
      </w:r>
      <w:r w:rsidRPr="005B295C">
        <w:t>for UK-England</w:t>
      </w:r>
      <w:r>
        <w:t xml:space="preserve"> and</w:t>
      </w:r>
      <w:r w:rsidRPr="005B295C">
        <w:t xml:space="preserve"> Wales and </w:t>
      </w:r>
      <w:r>
        <w:t xml:space="preserve">UK-Northern Ireland, and </w:t>
      </w:r>
      <w:r w:rsidRPr="005B295C">
        <w:t>UK-Scotland</w:t>
      </w:r>
      <w:r>
        <w:t xml:space="preserve">): one contextual overview for civil judicial proceedings and one for </w:t>
      </w:r>
      <w:r w:rsidRPr="005B295C">
        <w:t>admin</w:t>
      </w:r>
      <w:r>
        <w:t>istrative</w:t>
      </w:r>
      <w:r w:rsidRPr="005B295C">
        <w:t xml:space="preserve"> ju</w:t>
      </w:r>
      <w:r>
        <w:t xml:space="preserve">dicial proceedings. </w:t>
      </w:r>
    </w:p>
  </w:footnote>
  <w:footnote w:id="4">
    <w:p w:rsidR="00A5732C" w:rsidRPr="009A7EBE" w:rsidRDefault="00A5732C" w:rsidP="006C7CC7">
      <w:pPr>
        <w:pStyle w:val="FootnoteText"/>
        <w:spacing w:after="0"/>
        <w:rPr>
          <w:lang w:val="en-US"/>
        </w:rPr>
      </w:pPr>
      <w:r>
        <w:rPr>
          <w:rStyle w:val="FootnoteReference"/>
        </w:rPr>
        <w:footnoteRef/>
      </w:r>
      <w:r>
        <w:t xml:space="preserve"> The civil and administrative justice contextual overviews also assembled information on children in </w:t>
      </w:r>
      <w:r w:rsidRPr="009A7EBE">
        <w:rPr>
          <w:b/>
        </w:rPr>
        <w:t>other roles</w:t>
      </w:r>
      <w:r>
        <w:t xml:space="preserve"> besides plaintiffs, defendants, witnesses and subjects. The nature of these other roles (e.g. the child as intervener, the child as interested party, etc.) vary across MS. This variety makes it difficult to compare the statutory and policy measures that apply to children in ‘other roles’ in different MS so the decision was taken not to include systematic analysis of this ‘category’ in the summary report. </w:t>
      </w:r>
    </w:p>
  </w:footnote>
  <w:footnote w:id="5">
    <w:p w:rsidR="00A5732C" w:rsidRDefault="00A5732C" w:rsidP="006C7CC7">
      <w:pPr>
        <w:pStyle w:val="FootnoteText"/>
      </w:pPr>
      <w:r>
        <w:rPr>
          <w:rStyle w:val="FootnoteReference"/>
        </w:rPr>
        <w:footnoteRef/>
      </w:r>
      <w:r>
        <w:t xml:space="preserve"> There are two separate reports for the UK for each of the two areas of justice: one report covering England, Wales and Northern Ireland, and the second covering Scotland. </w:t>
      </w:r>
    </w:p>
  </w:footnote>
  <w:footnote w:id="6">
    <w:p w:rsidR="00A5732C" w:rsidRPr="00B20AAB" w:rsidRDefault="00A5732C" w:rsidP="00C258E8">
      <w:pPr>
        <w:pStyle w:val="FootnoteText"/>
      </w:pPr>
      <w:r>
        <w:rPr>
          <w:rStyle w:val="FootnoteReference"/>
        </w:rPr>
        <w:footnoteRef/>
      </w:r>
      <w:r>
        <w:t xml:space="preserve"> </w:t>
      </w:r>
      <w:r w:rsidRPr="00007D34">
        <w:t>Council of Europe Guidelines of 17 November 2010 on child-friendly justice are available in all EU languages:</w:t>
      </w:r>
      <w:r>
        <w:t xml:space="preserve"> </w:t>
      </w:r>
      <w:hyperlink r:id="rId2" w:history="1">
        <w:r w:rsidRPr="00EA2E66">
          <w:rPr>
            <w:rStyle w:val="Hyperlink"/>
          </w:rPr>
          <w:t>http://www.coe.int/t/dghl/standardsetting/childjustice/publicationsavailable_en.asp</w:t>
        </w:r>
      </w:hyperlink>
      <w:r>
        <w:t xml:space="preserve"> All MS are committed to implementing these guidelines.</w:t>
      </w:r>
    </w:p>
  </w:footnote>
  <w:footnote w:id="7">
    <w:p w:rsidR="00A5732C" w:rsidRDefault="00A5732C" w:rsidP="00546996">
      <w:pPr>
        <w:pStyle w:val="FootnoteText"/>
        <w:spacing w:after="0"/>
      </w:pPr>
      <w:r w:rsidRPr="0085036F">
        <w:rPr>
          <w:rStyle w:val="FootnoteReference"/>
          <w:sz w:val="20"/>
        </w:rPr>
        <w:footnoteRef/>
      </w:r>
      <w:r w:rsidRPr="0085036F">
        <w:rPr>
          <w:sz w:val="20"/>
        </w:rPr>
        <w:t xml:space="preserve"> The acronyms e.g. </w:t>
      </w:r>
      <w:r>
        <w:rPr>
          <w:sz w:val="20"/>
        </w:rPr>
        <w:t>CivAdm043</w:t>
      </w:r>
      <w:r w:rsidRPr="0085036F">
        <w:rPr>
          <w:sz w:val="20"/>
        </w:rPr>
        <w:t xml:space="preserve"> mentioned in the headings to the tables </w:t>
      </w:r>
      <w:r>
        <w:rPr>
          <w:sz w:val="20"/>
        </w:rPr>
        <w:t xml:space="preserve">and sub sections of the report </w:t>
      </w:r>
      <w:r w:rsidRPr="0085036F">
        <w:rPr>
          <w:sz w:val="20"/>
        </w:rPr>
        <w:t xml:space="preserve">refer to the number of the indicators within the Masterlist. The Masterlist is accessible via the </w:t>
      </w:r>
      <w:hyperlink r:id="rId3" w:history="1">
        <w:r w:rsidRPr="002961B6">
          <w:rPr>
            <w:rStyle w:val="Hyperlink"/>
            <w:sz w:val="20"/>
          </w:rPr>
          <w:t>on-line database</w:t>
        </w:r>
      </w:hyperlink>
      <w:r w:rsidRPr="0085036F">
        <w:rPr>
          <w:sz w:val="20"/>
        </w:rPr>
        <w:t>.</w:t>
      </w:r>
    </w:p>
  </w:footnote>
  <w:footnote w:id="8">
    <w:p w:rsidR="00A5732C" w:rsidRDefault="00A5732C">
      <w:pPr>
        <w:pStyle w:val="FootnoteText"/>
      </w:pPr>
      <w:r>
        <w:rPr>
          <w:rStyle w:val="FootnoteReference"/>
        </w:rPr>
        <w:footnoteRef/>
      </w:r>
      <w:r>
        <w:t xml:space="preserve"> </w:t>
      </w:r>
      <w:hyperlink r:id="rId4" w:history="1">
        <w:r w:rsidRPr="00BC5145">
          <w:rPr>
            <w:rStyle w:val="Hyperlink"/>
          </w:rPr>
          <w:t>http://fra.europa.eu/en/project/2012/children-and-justice</w:t>
        </w:r>
      </w:hyperlink>
    </w:p>
  </w:footnote>
  <w:footnote w:id="9">
    <w:p w:rsidR="00A5732C" w:rsidRPr="006C7CC7" w:rsidRDefault="00A5732C" w:rsidP="006C7CC7">
      <w:pPr>
        <w:pStyle w:val="FootnoteText"/>
        <w:spacing w:after="0"/>
      </w:pPr>
      <w:r w:rsidRPr="006C7CC7">
        <w:rPr>
          <w:rStyle w:val="FootnoteReference"/>
          <w:vertAlign w:val="baseline"/>
        </w:rPr>
        <w:footnoteRef/>
      </w:r>
      <w:r w:rsidRPr="006C7CC7">
        <w:t xml:space="preserve"> These international datasets are from Eurostat (10 datasets) and TransmonEE (21 datasets)</w:t>
      </w:r>
    </w:p>
  </w:footnote>
  <w:footnote w:id="10">
    <w:p w:rsidR="00A5732C" w:rsidRPr="006C7CC7" w:rsidRDefault="00A5732C" w:rsidP="006C7CC7">
      <w:pPr>
        <w:pStyle w:val="FootnoteText"/>
        <w:spacing w:after="0"/>
      </w:pPr>
      <w:r w:rsidRPr="006C7CC7">
        <w:rPr>
          <w:rStyle w:val="FootnoteReference"/>
          <w:vertAlign w:val="baseline"/>
        </w:rPr>
        <w:footnoteRef/>
      </w:r>
      <w:r w:rsidRPr="006C7CC7">
        <w:t xml:space="preserve"> No data is available for 2008 in Croatia.</w:t>
      </w:r>
    </w:p>
  </w:footnote>
  <w:footnote w:id="11">
    <w:p w:rsidR="00A5732C" w:rsidRPr="006C7CC7" w:rsidRDefault="00A5732C" w:rsidP="006C7CC7">
      <w:pPr>
        <w:pStyle w:val="FootnoteText"/>
        <w:spacing w:after="0"/>
      </w:pPr>
      <w:r w:rsidRPr="006C7CC7">
        <w:rPr>
          <w:rStyle w:val="FootnoteReference"/>
          <w:vertAlign w:val="baseline"/>
        </w:rPr>
        <w:footnoteRef/>
      </w:r>
      <w:r w:rsidRPr="006C7CC7">
        <w:t xml:space="preserve"> No data is available for 2008 in Ireland.</w:t>
      </w:r>
    </w:p>
  </w:footnote>
  <w:footnote w:id="12">
    <w:p w:rsidR="00A5732C" w:rsidRDefault="00A5732C" w:rsidP="006C7CC7">
      <w:pPr>
        <w:pStyle w:val="FootnoteText"/>
      </w:pPr>
      <w:r w:rsidRPr="006C7CC7">
        <w:rPr>
          <w:rStyle w:val="FootnoteReference"/>
          <w:vertAlign w:val="baseline"/>
        </w:rPr>
        <w:footnoteRef/>
      </w:r>
      <w:r w:rsidRPr="006C7CC7">
        <w:t xml:space="preserve"> No data is available for 2008 in Croatia.</w:t>
      </w:r>
    </w:p>
  </w:footnote>
  <w:footnote w:id="13">
    <w:p w:rsidR="00A5732C" w:rsidRDefault="00A5732C" w:rsidP="004A1A38">
      <w:pPr>
        <w:pStyle w:val="FootnoteText"/>
      </w:pPr>
      <w:r>
        <w:rPr>
          <w:rStyle w:val="FootnoteReference"/>
        </w:rPr>
        <w:footnoteRef/>
      </w:r>
      <w:r>
        <w:t xml:space="preserve"> No information is available for 2008 in Germany.</w:t>
      </w:r>
    </w:p>
  </w:footnote>
  <w:footnote w:id="14">
    <w:p w:rsidR="00A5732C" w:rsidRDefault="00A5732C" w:rsidP="00527E74">
      <w:pPr>
        <w:pStyle w:val="FootnoteText"/>
      </w:pPr>
      <w:r w:rsidRPr="00527E74">
        <w:rPr>
          <w:rStyle w:val="FootnoteReference"/>
        </w:rPr>
        <w:footnoteRef/>
      </w:r>
      <w:r w:rsidRPr="00527E74">
        <w:t xml:space="preserve"> Data was available for seven Member States. However, the data that is available for France does not seem to be accurate, and has therefore been excluded from the analysis.</w:t>
      </w:r>
    </w:p>
  </w:footnote>
  <w:footnote w:id="15">
    <w:p w:rsidR="00A5732C" w:rsidRDefault="00A5732C" w:rsidP="00FF6EA6">
      <w:pPr>
        <w:pStyle w:val="FootnoteText"/>
      </w:pPr>
      <w:r w:rsidRPr="002B7C39">
        <w:rPr>
          <w:rStyle w:val="FootnoteReference"/>
        </w:rPr>
        <w:footnoteRef/>
      </w:r>
      <w:r w:rsidRPr="002B7C39">
        <w:t xml:space="preserve"> No data is available for 2008 in Portugal.</w:t>
      </w:r>
    </w:p>
  </w:footnote>
  <w:footnote w:id="16">
    <w:p w:rsidR="00A5732C" w:rsidRDefault="00A5732C" w:rsidP="00527E74">
      <w:pPr>
        <w:pStyle w:val="FootnoteText"/>
      </w:pPr>
      <w:r w:rsidRPr="00527E74">
        <w:rPr>
          <w:rStyle w:val="FootnoteReference"/>
        </w:rPr>
        <w:footnoteRef/>
      </w:r>
      <w:r w:rsidRPr="00527E74">
        <w:t xml:space="preserve"> Although data is available for France, it does not seem to be accurate, and has therefore been excluded from the analysis.</w:t>
      </w:r>
    </w:p>
  </w:footnote>
  <w:footnote w:id="17">
    <w:p w:rsidR="00A5732C" w:rsidRPr="0096653B" w:rsidRDefault="00A5732C">
      <w:pPr>
        <w:pStyle w:val="FootnoteText"/>
        <w:rPr>
          <w:lang w:val="en-US"/>
        </w:rPr>
      </w:pPr>
      <w:r>
        <w:rPr>
          <w:rStyle w:val="FootnoteReference"/>
        </w:rPr>
        <w:footnoteRef/>
      </w:r>
      <w:r>
        <w:t xml:space="preserve"> </w:t>
      </w:r>
      <w:r>
        <w:rPr>
          <w:lang w:val="en-US"/>
        </w:rPr>
        <w:t>For details regarding the child-specific procedural rules, see the respective sections of the EU summary report.</w:t>
      </w:r>
    </w:p>
  </w:footnote>
  <w:footnote w:id="18">
    <w:p w:rsidR="00A5732C" w:rsidRPr="00314A3C" w:rsidRDefault="00A5732C">
      <w:pPr>
        <w:pStyle w:val="FootnoteText"/>
        <w:rPr>
          <w:lang w:val="en-US"/>
        </w:rPr>
      </w:pPr>
      <w:r>
        <w:rPr>
          <w:rStyle w:val="FootnoteReference"/>
        </w:rPr>
        <w:footnoteRef/>
      </w:r>
      <w:r>
        <w:t xml:space="preserve"> </w:t>
      </w:r>
      <w:r>
        <w:rPr>
          <w:lang w:val="en-US"/>
        </w:rPr>
        <w:t xml:space="preserve">In LV, the competent authority is the ‘Orphans’ Court’. </w:t>
      </w:r>
      <w:r w:rsidRPr="00314A3C">
        <w:t>Although called ‘courts’, orphans' courts only perform judicial functions occasionally. Decisions taken by the orphans' courts are usually ad</w:t>
      </w:r>
      <w:r>
        <w:t xml:space="preserve">ministrative decisions and </w:t>
      </w:r>
      <w:r w:rsidRPr="00314A3C">
        <w:t>may be appealed</w:t>
      </w:r>
      <w:r>
        <w:t>.</w:t>
      </w:r>
    </w:p>
  </w:footnote>
  <w:footnote w:id="19">
    <w:p w:rsidR="00A5732C" w:rsidRPr="00A76D23" w:rsidRDefault="00A5732C">
      <w:pPr>
        <w:pStyle w:val="FootnoteText"/>
        <w:rPr>
          <w:lang w:val="en-US"/>
        </w:rPr>
      </w:pPr>
      <w:r>
        <w:rPr>
          <w:rStyle w:val="FootnoteReference"/>
        </w:rPr>
        <w:footnoteRef/>
      </w:r>
      <w:r>
        <w:t xml:space="preserve"> The term ‘</w:t>
      </w:r>
      <w:r>
        <w:rPr>
          <w:lang w:val="en-US"/>
        </w:rPr>
        <w:t>Litigation Friend’ is used in UK-E&amp;W to refer to a</w:t>
      </w:r>
      <w:r w:rsidRPr="00A76D23">
        <w:t xml:space="preserve"> person who can fairly and competently conduct proceedings on behalf of a child</w:t>
      </w:r>
      <w:r>
        <w:t xml:space="preserve"> (usually a parent). This person is referred to as ‘Next Friend’ in UK-NI.</w:t>
      </w:r>
    </w:p>
  </w:footnote>
  <w:footnote w:id="20">
    <w:p w:rsidR="00A5732C" w:rsidRDefault="00A5732C" w:rsidP="00D36B23">
      <w:pPr>
        <w:pStyle w:val="FootnoteText"/>
      </w:pPr>
      <w:r>
        <w:rPr>
          <w:rStyle w:val="FootnoteReference"/>
        </w:rPr>
        <w:footnoteRef/>
      </w:r>
      <w:r>
        <w:t xml:space="preserve"> In ES, only judges of special family courts receive mandatory specific training</w:t>
      </w:r>
    </w:p>
  </w:footnote>
  <w:footnote w:id="21">
    <w:p w:rsidR="00A5732C" w:rsidRDefault="00A5732C" w:rsidP="001A382C">
      <w:pPr>
        <w:pStyle w:val="FootnoteText"/>
      </w:pPr>
      <w:r>
        <w:rPr>
          <w:rStyle w:val="FootnoteReference"/>
        </w:rPr>
        <w:footnoteRef/>
      </w:r>
      <w:r>
        <w:t xml:space="preserve"> In AT, training is mandatory only for social workers.</w:t>
      </w:r>
    </w:p>
  </w:footnote>
  <w:footnote w:id="22">
    <w:p w:rsidR="00A5732C" w:rsidRDefault="00A5732C" w:rsidP="001A382C">
      <w:pPr>
        <w:pStyle w:val="FootnoteText"/>
      </w:pPr>
      <w:r>
        <w:rPr>
          <w:rStyle w:val="FootnoteReference"/>
        </w:rPr>
        <w:footnoteRef/>
      </w:r>
      <w:r>
        <w:t xml:space="preserve"> In ES, training is mandatory only for judges of special family courts.</w:t>
      </w:r>
    </w:p>
  </w:footnote>
  <w:footnote w:id="23">
    <w:p w:rsidR="00A5732C" w:rsidRDefault="00A5732C" w:rsidP="007969A9">
      <w:pPr>
        <w:pStyle w:val="FootnoteText"/>
      </w:pPr>
      <w:r>
        <w:rPr>
          <w:rStyle w:val="FootnoteReference"/>
        </w:rPr>
        <w:footnoteRef/>
      </w:r>
      <w:r>
        <w:t xml:space="preserve"> In UK-E&amp;W and UK-NI, general training in the form of Continuing Professional Development (CPD) is a mandatory requirement for all professions working with children, including the judiciary, solicitors, social workers and Children’s Guardians/Guardians Ad Litem.</w:t>
      </w:r>
    </w:p>
  </w:footnote>
  <w:footnote w:id="24">
    <w:p w:rsidR="00A5732C" w:rsidRDefault="00A5732C" w:rsidP="001A382C">
      <w:pPr>
        <w:pStyle w:val="FootnoteText"/>
      </w:pPr>
      <w:r>
        <w:rPr>
          <w:rStyle w:val="FootnoteReference"/>
        </w:rPr>
        <w:footnoteRef/>
      </w:r>
      <w:r>
        <w:t xml:space="preserve"> In CY, training is mandatory for the officers of the Social Services who come into contact with children.</w:t>
      </w:r>
    </w:p>
  </w:footnote>
  <w:footnote w:id="25">
    <w:p w:rsidR="00A5732C" w:rsidRDefault="00A5732C" w:rsidP="001A382C">
      <w:pPr>
        <w:pStyle w:val="FootnoteText"/>
      </w:pPr>
      <w:r>
        <w:rPr>
          <w:rStyle w:val="FootnoteReference"/>
        </w:rPr>
        <w:footnoteRef/>
      </w:r>
      <w:r>
        <w:t xml:space="preserve"> In EE, some of the courses for judges are in fact mandatory.</w:t>
      </w:r>
    </w:p>
  </w:footnote>
  <w:footnote w:id="26">
    <w:p w:rsidR="00A5732C" w:rsidRPr="004E39FE" w:rsidRDefault="00A5732C" w:rsidP="00E83712">
      <w:pPr>
        <w:pStyle w:val="FootnoteText"/>
        <w:spacing w:after="0"/>
        <w:rPr>
          <w:lang w:val="en-US"/>
        </w:rPr>
      </w:pPr>
      <w:r w:rsidRPr="004E39FE">
        <w:rPr>
          <w:rStyle w:val="FootnoteReference"/>
        </w:rPr>
        <w:footnoteRef/>
      </w:r>
      <w:r w:rsidRPr="004E39FE">
        <w:t xml:space="preserve"> In some jurisdictions (i.e. CY, CZ, DE, DK, IE, MT and SK) the child’s right to have recourse to ADR must be carried out by his or her legal representative.</w:t>
      </w:r>
    </w:p>
  </w:footnote>
  <w:footnote w:id="27">
    <w:p w:rsidR="00A5732C" w:rsidRPr="00E30990" w:rsidRDefault="00A5732C" w:rsidP="00E83712">
      <w:pPr>
        <w:pStyle w:val="FootnoteText"/>
        <w:spacing w:after="0"/>
        <w:rPr>
          <w:lang w:val="en-US"/>
        </w:rPr>
      </w:pPr>
      <w:r w:rsidRPr="004E39FE">
        <w:rPr>
          <w:rStyle w:val="FootnoteReference"/>
        </w:rPr>
        <w:footnoteRef/>
      </w:r>
      <w:r w:rsidRPr="004E39FE">
        <w:t xml:space="preserve"> </w:t>
      </w:r>
      <w:r w:rsidRPr="004E39FE">
        <w:rPr>
          <w:lang w:val="en-US"/>
        </w:rPr>
        <w:t>The table does not include those jurisdictions (CY, CZ, DE, DK, IE, MT and SK) where the child’s right to have recourse to ADR needs to be carried out by a legal representative.</w:t>
      </w:r>
      <w:r>
        <w:rPr>
          <w:lang w:val="en-US"/>
        </w:rPr>
        <w:t xml:space="preserve">  </w:t>
      </w:r>
    </w:p>
  </w:footnote>
  <w:footnote w:id="28">
    <w:p w:rsidR="00A5732C" w:rsidRPr="002A74D7" w:rsidRDefault="00A5732C" w:rsidP="00E83712">
      <w:pPr>
        <w:pStyle w:val="FootnoteText"/>
        <w:spacing w:after="0"/>
        <w:rPr>
          <w:lang w:val="en-US"/>
        </w:rPr>
      </w:pPr>
      <w:r>
        <w:rPr>
          <w:rStyle w:val="FootnoteReference"/>
        </w:rPr>
        <w:footnoteRef/>
      </w:r>
      <w:r>
        <w:t xml:space="preserve"> </w:t>
      </w:r>
      <w:r>
        <w:rPr>
          <w:lang w:val="en-US"/>
        </w:rPr>
        <w:t>However, in the case of UK-E&amp;W and UK-NI, solicitors are required to consider the use of ADR when representing their clients.</w:t>
      </w:r>
    </w:p>
  </w:footnote>
  <w:footnote w:id="29">
    <w:p w:rsidR="00A5732C" w:rsidRPr="0026058D" w:rsidRDefault="00A5732C" w:rsidP="0026058D">
      <w:pPr>
        <w:pStyle w:val="FootnoteText"/>
        <w:rPr>
          <w:lang w:val="en-US"/>
        </w:rPr>
      </w:pPr>
      <w:r>
        <w:rPr>
          <w:rStyle w:val="FootnoteReference"/>
        </w:rPr>
        <w:footnoteRef/>
      </w:r>
      <w:r>
        <w:t xml:space="preserve"> In BE, this obligation on the part of the judge only exists </w:t>
      </w:r>
      <w:r>
        <w:rPr>
          <w:lang w:val="en-US"/>
        </w:rPr>
        <w:t>in parental custody cases.</w:t>
      </w:r>
    </w:p>
  </w:footnote>
  <w:footnote w:id="30">
    <w:p w:rsidR="00A5732C" w:rsidRDefault="00A5732C" w:rsidP="00064542">
      <w:pPr>
        <w:pStyle w:val="FootnoteText"/>
      </w:pPr>
      <w:r>
        <w:rPr>
          <w:rStyle w:val="FootnoteReference"/>
        </w:rPr>
        <w:footnoteRef/>
      </w:r>
      <w:r>
        <w:t xml:space="preserve"> The rates per 100,000 children are calculated by dividing the number of cases in each country by the total child population, and multiplying this by 100,000. The average rate has been calculated by summing the number of cases, summing the child population of all the countries where data has been presented, and dividing the total number of cases by the total child population, and multiplying by 100,000.</w:t>
      </w:r>
    </w:p>
  </w:footnote>
  <w:footnote w:id="31">
    <w:p w:rsidR="00A5732C" w:rsidRDefault="00A5732C">
      <w:pPr>
        <w:pStyle w:val="FootnoteText"/>
      </w:pPr>
      <w:r>
        <w:rPr>
          <w:rStyle w:val="FootnoteReference"/>
        </w:rPr>
        <w:footnoteRef/>
      </w:r>
      <w:r>
        <w:t xml:space="preserve"> Source: </w:t>
      </w:r>
      <w:hyperlink r:id="rId5" w:history="1">
        <w:r w:rsidRPr="00744362">
          <w:rPr>
            <w:rStyle w:val="Hyperlink"/>
          </w:rPr>
          <w:t>Online database</w:t>
        </w:r>
      </w:hyperlink>
    </w:p>
  </w:footnote>
  <w:footnote w:id="32">
    <w:p w:rsidR="00A5732C" w:rsidRDefault="00A5732C" w:rsidP="00F2479C">
      <w:pPr>
        <w:pStyle w:val="FootnoteText"/>
      </w:pPr>
      <w:r>
        <w:rPr>
          <w:rStyle w:val="FootnoteReference"/>
        </w:rPr>
        <w:footnoteRef/>
      </w:r>
      <w:r>
        <w:t xml:space="preserve"> The data for these indicators is available on the </w:t>
      </w:r>
      <w:hyperlink r:id="rId6" w:history="1">
        <w:r w:rsidRPr="00F2479C">
          <w:rPr>
            <w:rStyle w:val="Hyperlink"/>
          </w:rPr>
          <w:t>online database</w:t>
        </w:r>
      </w:hyperlink>
      <w:r>
        <w:t>.</w:t>
      </w:r>
    </w:p>
  </w:footnote>
  <w:footnote w:id="33">
    <w:p w:rsidR="00A5732C" w:rsidRDefault="00A5732C" w:rsidP="00F2479C">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rsidP="002A47D2">
    <w:pPr>
      <w:pStyle w:val="Header"/>
      <w:tabs>
        <w:tab w:val="clear" w:pos="4513"/>
        <w:tab w:val="clear" w:pos="9026"/>
        <w:tab w:val="left" w:pos="7200"/>
      </w:tabs>
    </w:pPr>
    <w:r>
      <w:rPr>
        <w:noProof/>
        <w:lang w:val="en-US"/>
      </w:rPr>
      <w:drawing>
        <wp:anchor distT="0" distB="0" distL="114300" distR="114300" simplePos="0" relativeHeight="251660288" behindDoc="0" locked="0" layoutInCell="1" allowOverlap="1" wp14:anchorId="05A43D83" wp14:editId="506B337E">
          <wp:simplePos x="0" y="0"/>
          <wp:positionH relativeFrom="margin">
            <wp:posOffset>8183245</wp:posOffset>
          </wp:positionH>
          <wp:positionV relativeFrom="margin">
            <wp:posOffset>-822960</wp:posOffset>
          </wp:positionV>
          <wp:extent cx="804545" cy="798830"/>
          <wp:effectExtent l="0" t="0" r="0" b="127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pic:spPr>
              </pic:pic>
            </a:graphicData>
          </a:graphic>
        </wp:anchor>
      </w:drawing>
    </w:r>
    <w:r>
      <w:rPr>
        <w:noProof/>
        <w:lang w:val="en-US"/>
      </w:rPr>
      <w:drawing>
        <wp:anchor distT="0" distB="0" distL="114300" distR="114300" simplePos="0" relativeHeight="251669504" behindDoc="1" locked="0" layoutInCell="1" allowOverlap="1" wp14:anchorId="7BE7F9C2" wp14:editId="6876003B">
          <wp:simplePos x="0" y="0"/>
          <wp:positionH relativeFrom="margin">
            <wp:posOffset>-62230</wp:posOffset>
          </wp:positionH>
          <wp:positionV relativeFrom="margin">
            <wp:posOffset>-948055</wp:posOffset>
          </wp:positionV>
          <wp:extent cx="786765" cy="7804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6765" cy="780415"/>
                  </a:xfrm>
                  <a:prstGeom prst="rect">
                    <a:avLst/>
                  </a:prstGeom>
                  <a:noFill/>
                </pic:spPr>
              </pic:pic>
            </a:graphicData>
          </a:graphic>
        </wp:anchor>
      </w:drawing>
    </w:r>
    <w:r>
      <w:tab/>
    </w:r>
  </w:p>
  <w:p w:rsidR="00A5732C" w:rsidRDefault="00A5732C" w:rsidP="002A47D2">
    <w:pPr>
      <w:pStyle w:val="Header"/>
      <w:tabs>
        <w:tab w:val="clear" w:pos="4513"/>
        <w:tab w:val="clear" w:pos="9026"/>
        <w:tab w:val="left" w:pos="7200"/>
      </w:tabs>
    </w:pPr>
  </w:p>
  <w:p w:rsidR="00A5732C" w:rsidRDefault="00A5732C" w:rsidP="002A47D2">
    <w:pPr>
      <w:pStyle w:val="Header"/>
      <w:tabs>
        <w:tab w:val="clear" w:pos="4513"/>
        <w:tab w:val="clear" w:pos="9026"/>
        <w:tab w:val="left" w:pos="7200"/>
      </w:tabs>
    </w:pPr>
  </w:p>
  <w:p w:rsidR="00A5732C" w:rsidRDefault="00A5732C" w:rsidP="002A47D2">
    <w:pPr>
      <w:pStyle w:val="Header"/>
      <w:tabs>
        <w:tab w:val="clear" w:pos="4513"/>
        <w:tab w:val="clear" w:pos="9026"/>
        <w:tab w:val="left" w:pos="7200"/>
      </w:tabs>
    </w:pPr>
  </w:p>
  <w:p w:rsidR="00A5732C" w:rsidRDefault="00A5732C" w:rsidP="002A47D2">
    <w:pPr>
      <w:pStyle w:val="Header"/>
      <w:tabs>
        <w:tab w:val="clear" w:pos="4513"/>
        <w:tab w:val="clear" w:pos="9026"/>
        <w:tab w:val="left" w:pos="7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rsidP="00977E06">
    <w:pPr>
      <w:pStyle w:val="Header"/>
      <w:tabs>
        <w:tab w:val="right" w:pos="9071"/>
      </w:tabs>
    </w:pPr>
    <w:r>
      <w:rPr>
        <w:noProof/>
        <w:lang w:val="en-US"/>
      </w:rPr>
      <w:drawing>
        <wp:inline distT="0" distB="0" distL="0" distR="0" wp14:anchorId="1FE4C3CA" wp14:editId="0FBA5CD0">
          <wp:extent cx="786765" cy="781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81445"/>
                  </a:xfrm>
                  <a:prstGeom prst="rect">
                    <a:avLst/>
                  </a:prstGeom>
                  <a:noFill/>
                </pic:spPr>
              </pic:pic>
            </a:graphicData>
          </a:graphic>
        </wp:inline>
      </w:drawing>
    </w:r>
    <w:r>
      <w:tab/>
    </w:r>
    <w:r>
      <w:tab/>
    </w:r>
    <w:r>
      <w:rPr>
        <w:noProof/>
        <w:lang w:val="en-US"/>
      </w:rPr>
      <w:drawing>
        <wp:inline distT="0" distB="0" distL="0" distR="0" wp14:anchorId="237CE9F8" wp14:editId="419C3CF9">
          <wp:extent cx="802640" cy="797689"/>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2640" cy="797689"/>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rsidP="002A47D2">
    <w:pPr>
      <w:pStyle w:val="Header"/>
      <w:tabs>
        <w:tab w:val="clear" w:pos="4513"/>
        <w:tab w:val="clear" w:pos="9026"/>
        <w:tab w:val="left" w:pos="7380"/>
      </w:tabs>
    </w:pPr>
    <w:r>
      <w:rPr>
        <w:noProof/>
        <w:lang w:val="en-US"/>
      </w:rPr>
      <w:drawing>
        <wp:inline distT="0" distB="0" distL="0" distR="0" wp14:anchorId="1B652B1B" wp14:editId="3FA938F5">
          <wp:extent cx="786765" cy="7804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80415"/>
                  </a:xfrm>
                  <a:prstGeom prst="rect">
                    <a:avLst/>
                  </a:prstGeom>
                  <a:noFill/>
                </pic:spPr>
              </pic:pic>
            </a:graphicData>
          </a:graphic>
        </wp:inline>
      </w:drawing>
    </w:r>
    <w:r>
      <w:tab/>
    </w:r>
    <w:r>
      <w:rPr>
        <w:noProof/>
        <w:lang w:val="en-US"/>
      </w:rPr>
      <w:drawing>
        <wp:inline distT="0" distB="0" distL="0" distR="0" wp14:anchorId="35E02290" wp14:editId="3B0A51AE">
          <wp:extent cx="804545" cy="798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pPr>
      <w:pStyle w:val="Header"/>
    </w:pPr>
    <w:r>
      <w:rPr>
        <w:noProof/>
        <w:lang w:val="en-US"/>
      </w:rPr>
      <w:drawing>
        <wp:anchor distT="0" distB="0" distL="114300" distR="114300" simplePos="0" relativeHeight="251673600" behindDoc="0" locked="0" layoutInCell="1" allowOverlap="1" wp14:anchorId="72DA339B" wp14:editId="37FAC136">
          <wp:simplePos x="0" y="0"/>
          <wp:positionH relativeFrom="margin">
            <wp:posOffset>5117465</wp:posOffset>
          </wp:positionH>
          <wp:positionV relativeFrom="margin">
            <wp:posOffset>-952500</wp:posOffset>
          </wp:positionV>
          <wp:extent cx="804545" cy="798830"/>
          <wp:effectExtent l="0" t="0" r="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pic:spPr>
              </pic:pic>
            </a:graphicData>
          </a:graphic>
        </wp:anchor>
      </w:drawing>
    </w:r>
    <w:r>
      <w:rPr>
        <w:noProof/>
        <w:lang w:val="en-US"/>
      </w:rPr>
      <w:drawing>
        <wp:anchor distT="0" distB="0" distL="114300" distR="114300" simplePos="0" relativeHeight="251672576" behindDoc="0" locked="0" layoutInCell="1" allowOverlap="1" wp14:anchorId="29D310DB" wp14:editId="213A6C0A">
          <wp:simplePos x="0" y="0"/>
          <wp:positionH relativeFrom="margin">
            <wp:posOffset>-123825</wp:posOffset>
          </wp:positionH>
          <wp:positionV relativeFrom="margin">
            <wp:posOffset>-952500</wp:posOffset>
          </wp:positionV>
          <wp:extent cx="786765" cy="7804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6765" cy="780415"/>
                  </a:xfrm>
                  <a:prstGeom prst="rect">
                    <a:avLst/>
                  </a:prstGeom>
                  <a:noFill/>
                </pic:spPr>
              </pic:pic>
            </a:graphicData>
          </a:graphic>
        </wp:anchor>
      </w:drawing>
    </w:r>
  </w:p>
  <w:p w:rsidR="00A5732C" w:rsidRDefault="00A5732C">
    <w:pPr>
      <w:pStyle w:val="Header"/>
    </w:pPr>
  </w:p>
  <w:p w:rsidR="00A5732C" w:rsidRDefault="00A5732C">
    <w:pPr>
      <w:pStyle w:val="Header"/>
    </w:pPr>
  </w:p>
  <w:p w:rsidR="00A5732C" w:rsidRDefault="00A5732C">
    <w:pPr>
      <w:pStyle w:val="Header"/>
    </w:pPr>
  </w:p>
  <w:p w:rsidR="00A5732C" w:rsidRDefault="00A573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pPr>
      <w:pStyle w:val="Header"/>
    </w:pPr>
    <w:r>
      <w:rPr>
        <w:noProof/>
        <w:lang w:val="en-US"/>
      </w:rPr>
      <w:drawing>
        <wp:anchor distT="0" distB="0" distL="114300" distR="114300" simplePos="0" relativeHeight="251675648" behindDoc="0" locked="0" layoutInCell="1" allowOverlap="1" wp14:anchorId="594F843D" wp14:editId="5A90F25F">
          <wp:simplePos x="0" y="0"/>
          <wp:positionH relativeFrom="margin">
            <wp:posOffset>-276225</wp:posOffset>
          </wp:positionH>
          <wp:positionV relativeFrom="margin">
            <wp:posOffset>-942340</wp:posOffset>
          </wp:positionV>
          <wp:extent cx="786765" cy="780415"/>
          <wp:effectExtent l="0" t="0" r="0"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80415"/>
                  </a:xfrm>
                  <a:prstGeom prst="rect">
                    <a:avLst/>
                  </a:prstGeom>
                  <a:noFill/>
                </pic:spPr>
              </pic:pic>
            </a:graphicData>
          </a:graphic>
        </wp:anchor>
      </w:drawing>
    </w:r>
  </w:p>
  <w:p w:rsidR="00A5732C" w:rsidRDefault="00A5732C">
    <w:pPr>
      <w:pStyle w:val="Header"/>
    </w:pPr>
  </w:p>
  <w:p w:rsidR="00A5732C" w:rsidRDefault="00A5732C">
    <w:pPr>
      <w:pStyle w:val="Header"/>
    </w:pPr>
  </w:p>
  <w:p w:rsidR="00A5732C" w:rsidRDefault="00A5732C">
    <w:pPr>
      <w:pStyle w:val="Header"/>
    </w:pPr>
  </w:p>
  <w:p w:rsidR="00A5732C" w:rsidRDefault="00A5732C">
    <w:pPr>
      <w:pStyle w:val="Header"/>
    </w:pPr>
    <w:r>
      <w:rPr>
        <w:noProof/>
        <w:lang w:val="en-US"/>
      </w:rPr>
      <w:drawing>
        <wp:anchor distT="0" distB="0" distL="114300" distR="114300" simplePos="0" relativeHeight="251674624" behindDoc="0" locked="0" layoutInCell="1" allowOverlap="1" wp14:anchorId="05AF1B07" wp14:editId="29ACA054">
          <wp:simplePos x="0" y="0"/>
          <wp:positionH relativeFrom="margin">
            <wp:posOffset>8270240</wp:posOffset>
          </wp:positionH>
          <wp:positionV relativeFrom="margin">
            <wp:posOffset>-942975</wp:posOffset>
          </wp:positionV>
          <wp:extent cx="804545" cy="798830"/>
          <wp:effectExtent l="0" t="0" r="0" b="127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32C" w:rsidRDefault="00A5732C" w:rsidP="00CD5321">
    <w:pPr>
      <w:pStyle w:val="Header"/>
    </w:pPr>
    <w:r>
      <w:rPr>
        <w:noProof/>
        <w:lang w:val="en-US"/>
      </w:rPr>
      <w:drawing>
        <wp:anchor distT="0" distB="0" distL="114300" distR="114300" simplePos="0" relativeHeight="251677696" behindDoc="0" locked="0" layoutInCell="1" allowOverlap="1" wp14:anchorId="6E636969" wp14:editId="3F2BA4F7">
          <wp:simplePos x="0" y="0"/>
          <wp:positionH relativeFrom="margin">
            <wp:posOffset>-133350</wp:posOffset>
          </wp:positionH>
          <wp:positionV relativeFrom="margin">
            <wp:posOffset>-933450</wp:posOffset>
          </wp:positionV>
          <wp:extent cx="786765" cy="78041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80415"/>
                  </a:xfrm>
                  <a:prstGeom prst="rect">
                    <a:avLst/>
                  </a:prstGeom>
                  <a:noFill/>
                </pic:spPr>
              </pic:pic>
            </a:graphicData>
          </a:graphic>
        </wp:anchor>
      </w:drawing>
    </w:r>
  </w:p>
  <w:p w:rsidR="00A5732C" w:rsidRDefault="00A5732C" w:rsidP="00CD5321">
    <w:pPr>
      <w:pStyle w:val="Header"/>
    </w:pPr>
  </w:p>
  <w:p w:rsidR="00A5732C" w:rsidRDefault="00A5732C" w:rsidP="00CD5321">
    <w:pPr>
      <w:pStyle w:val="Header"/>
    </w:pPr>
  </w:p>
  <w:p w:rsidR="00A5732C" w:rsidRDefault="00A5732C" w:rsidP="00CD5321">
    <w:pPr>
      <w:pStyle w:val="Header"/>
    </w:pPr>
  </w:p>
  <w:p w:rsidR="00A5732C" w:rsidRPr="00CD5321" w:rsidRDefault="00A5732C" w:rsidP="00CD5321">
    <w:pPr>
      <w:pStyle w:val="Header"/>
    </w:pPr>
    <w:r>
      <w:rPr>
        <w:noProof/>
        <w:lang w:val="en-US"/>
      </w:rPr>
      <w:drawing>
        <wp:anchor distT="0" distB="0" distL="114300" distR="114300" simplePos="0" relativeHeight="251676672" behindDoc="0" locked="0" layoutInCell="1" allowOverlap="1" wp14:anchorId="0EB58C5C" wp14:editId="29BE8C37">
          <wp:simplePos x="0" y="0"/>
          <wp:positionH relativeFrom="margin">
            <wp:posOffset>4898390</wp:posOffset>
          </wp:positionH>
          <wp:positionV relativeFrom="margin">
            <wp:posOffset>-933450</wp:posOffset>
          </wp:positionV>
          <wp:extent cx="804545" cy="798830"/>
          <wp:effectExtent l="0" t="0" r="0"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styleLink w:val="NumbLstMain1"/>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630"/>
        </w:tabs>
        <w:ind w:left="1707"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5">
    <w:nsid w:val="088765EF"/>
    <w:multiLevelType w:val="hybridMultilevel"/>
    <w:tmpl w:val="BAFA8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7">
    <w:nsid w:val="0B0F638C"/>
    <w:multiLevelType w:val="hybridMultilevel"/>
    <w:tmpl w:val="8AA0A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hint="default"/>
      </w:rPr>
    </w:lvl>
    <w:lvl w:ilvl="1">
      <w:start w:val="1"/>
      <w:numFmt w:val="lowerLetter"/>
      <w:lvlText w:val="%2."/>
      <w:lvlJc w:val="left"/>
      <w:pPr>
        <w:tabs>
          <w:tab w:val="num" w:pos="1531"/>
        </w:tabs>
        <w:ind w:left="1531" w:hanging="340"/>
      </w:pPr>
      <w:rPr>
        <w:rFonts w:hint="default"/>
      </w:rPr>
    </w:lvl>
    <w:lvl w:ilvl="2">
      <w:start w:val="1"/>
      <w:numFmt w:val="lowerRoman"/>
      <w:lvlRestart w:val="0"/>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123D83"/>
    <w:multiLevelType w:val="hybridMultilevel"/>
    <w:tmpl w:val="38E28B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101F2D2B"/>
    <w:multiLevelType w:val="hybridMultilevel"/>
    <w:tmpl w:val="5880990E"/>
    <w:lvl w:ilvl="0" w:tplc="F9B404A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2C26B6"/>
    <w:multiLevelType w:val="multilevel"/>
    <w:tmpl w:val="1E32C318"/>
    <w:numStyleLink w:val="NumbLstNumb"/>
  </w:abstractNum>
  <w:abstractNum w:abstractNumId="15">
    <w:nsid w:val="11081945"/>
    <w:multiLevelType w:val="hybridMultilevel"/>
    <w:tmpl w:val="69E6F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4D508E"/>
    <w:multiLevelType w:val="hybridMultilevel"/>
    <w:tmpl w:val="1BE45B4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264F5E"/>
    <w:multiLevelType w:val="multilevel"/>
    <w:tmpl w:val="89BC52E8"/>
    <w:numStyleLink w:val="NumbLstBoxes"/>
  </w:abstractNum>
  <w:abstractNum w:abstractNumId="18">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9">
    <w:nsid w:val="15257259"/>
    <w:multiLevelType w:val="singleLevel"/>
    <w:tmpl w:val="04090005"/>
    <w:lvl w:ilvl="0">
      <w:start w:val="1"/>
      <w:numFmt w:val="bullet"/>
      <w:pStyle w:val="TableBullet"/>
      <w:lvlText w:val=""/>
      <w:lvlJc w:val="left"/>
      <w:pPr>
        <w:tabs>
          <w:tab w:val="num" w:pos="1021"/>
        </w:tabs>
        <w:ind w:left="1021" w:hanging="341"/>
      </w:pPr>
      <w:rPr>
        <w:rFonts w:ascii="Wingdings" w:hAnsi="Wingdings" w:hint="default"/>
        <w:color w:val="0067AC" w:themeColor="text2"/>
      </w:rPr>
    </w:lvl>
  </w:abstractNum>
  <w:abstractNum w:abstractNumId="20">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21">
    <w:nsid w:val="1C0E7619"/>
    <w:multiLevelType w:val="hybridMultilevel"/>
    <w:tmpl w:val="F0FEC6A4"/>
    <w:lvl w:ilvl="0" w:tplc="F9B404A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37420E"/>
    <w:multiLevelType w:val="multilevel"/>
    <w:tmpl w:val="A8C2921C"/>
    <w:styleLink w:val="NumbLstAnnex"/>
    <w:lvl w:ilvl="0">
      <w:start w:val="1"/>
      <w:numFmt w:val="decimal"/>
      <w:pStyle w:val="AnnexHeading"/>
      <w:lvlText w:val="Annex %1"/>
      <w:lvlJc w:val="left"/>
      <w:pPr>
        <w:tabs>
          <w:tab w:val="num" w:pos="1664"/>
        </w:tabs>
        <w:ind w:left="166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2687"/>
        </w:tabs>
        <w:ind w:left="268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nsid w:val="1F78087A"/>
    <w:multiLevelType w:val="hybridMultilevel"/>
    <w:tmpl w:val="E4120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5">
    <w:nsid w:val="216F55F5"/>
    <w:multiLevelType w:val="hybridMultilevel"/>
    <w:tmpl w:val="9BB87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FB2156"/>
    <w:multiLevelType w:val="multilevel"/>
    <w:tmpl w:val="10607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E720DF2"/>
    <w:multiLevelType w:val="hybridMultilevel"/>
    <w:tmpl w:val="4770F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D375AF"/>
    <w:multiLevelType w:val="hybridMultilevel"/>
    <w:tmpl w:val="57CE0666"/>
    <w:lvl w:ilvl="0" w:tplc="13FA9C78">
      <w:start w:val="1461"/>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30">
    <w:nsid w:val="3BB4328C"/>
    <w:multiLevelType w:val="hybridMultilevel"/>
    <w:tmpl w:val="B4F81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2">
    <w:nsid w:val="466B3A16"/>
    <w:multiLevelType w:val="hybridMultilevel"/>
    <w:tmpl w:val="15ACD7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4">
    <w:nsid w:val="497C5E09"/>
    <w:multiLevelType w:val="multilevel"/>
    <w:tmpl w:val="4B68369A"/>
    <w:styleLink w:val="NumbLstTableBullet"/>
    <w:lvl w:ilvl="0">
      <w:start w:val="1"/>
      <w:numFmt w:val="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5">
    <w:nsid w:val="504936E5"/>
    <w:multiLevelType w:val="multilevel"/>
    <w:tmpl w:val="9F9A5336"/>
    <w:numStyleLink w:val="NumbLstBTBullet"/>
  </w:abstractNum>
  <w:abstractNum w:abstractNumId="36">
    <w:nsid w:val="54712EE6"/>
    <w:multiLevelType w:val="hybridMultilevel"/>
    <w:tmpl w:val="DDBC2CA4"/>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7">
    <w:nsid w:val="5A611787"/>
    <w:multiLevelType w:val="multilevel"/>
    <w:tmpl w:val="85BCEBDA"/>
    <w:numStyleLink w:val="NumbLstBullet"/>
  </w:abstractNum>
  <w:abstractNum w:abstractNumId="38">
    <w:nsid w:val="5E8B4621"/>
    <w:multiLevelType w:val="multilevel"/>
    <w:tmpl w:val="42845350"/>
    <w:lvl w:ilvl="0">
      <w:start w:val="1"/>
      <w:numFmt w:val="bullet"/>
      <w:lvlText w:val=""/>
      <w:lvlJc w:val="left"/>
      <w:pPr>
        <w:tabs>
          <w:tab w:val="num" w:pos="1191"/>
        </w:tabs>
        <w:ind w:left="1191" w:hanging="340"/>
      </w:pPr>
      <w:rPr>
        <w:rFonts w:ascii="Wingdings" w:hAnsi="Wingdings" w:hint="default"/>
        <w:color w:val="0070C0"/>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39">
    <w:nsid w:val="5FD66CFD"/>
    <w:multiLevelType w:val="hybridMultilevel"/>
    <w:tmpl w:val="0BD2B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BE17EF"/>
    <w:multiLevelType w:val="multilevel"/>
    <w:tmpl w:val="22266CAE"/>
    <w:numStyleLink w:val="NumbLstMain"/>
  </w:abstractNum>
  <w:abstractNum w:abstractNumId="41">
    <w:nsid w:val="61C807F5"/>
    <w:multiLevelType w:val="hybridMultilevel"/>
    <w:tmpl w:val="5A7A7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941201"/>
    <w:multiLevelType w:val="multilevel"/>
    <w:tmpl w:val="E0F2629E"/>
    <w:lvl w:ilvl="0">
      <w:start w:val="1"/>
      <w:numFmt w:val="decimal"/>
      <w:suff w:val="space"/>
      <w:lvlText w:val="Case Study %1"/>
      <w:lvlJc w:val="left"/>
      <w:pPr>
        <w:ind w:left="0" w:firstLine="0"/>
      </w:pPr>
      <w:rPr>
        <w:rFonts w:hint="default"/>
      </w:rPr>
    </w:lvl>
    <w:lvl w:ilvl="1">
      <w:start w:val="1"/>
      <w:numFmt w:val="decimal"/>
      <w:lvlRestart w:val="0"/>
      <w:suff w:val="space"/>
      <w:lvlText w:val="Evidence %2"/>
      <w:lvlJc w:val="left"/>
      <w:pPr>
        <w:ind w:left="0" w:firstLine="0"/>
      </w:pPr>
      <w:rPr>
        <w:rFonts w:hint="default"/>
      </w:rPr>
    </w:lvl>
    <w:lvl w:ilvl="2">
      <w:start w:val="1"/>
      <w:numFmt w:val="decimal"/>
      <w:lvlRestart w:val="0"/>
      <w:suff w:val="space"/>
      <w:lvlText w:val="Conclusion %3"/>
      <w:lvlJc w:val="left"/>
      <w:pPr>
        <w:ind w:left="0" w:firstLine="0"/>
      </w:pPr>
      <w:rPr>
        <w:rFonts w:hint="default"/>
      </w:rPr>
    </w:lvl>
    <w:lvl w:ilvl="3">
      <w:start w:val="1"/>
      <w:numFmt w:val="decimal"/>
      <w:lvlRestart w:val="0"/>
      <w:suff w:val="space"/>
      <w:lvlText w:val="Recommendation %4"/>
      <w:lvlJc w:val="left"/>
      <w:pPr>
        <w:ind w:left="0" w:firstLine="0"/>
      </w:pPr>
      <w:rPr>
        <w:rFonts w:hint="default"/>
        <w:b/>
        <w:i w:val="0"/>
        <w:color w:val="0067AC"/>
        <w:sz w:val="28"/>
      </w:rPr>
    </w:lvl>
    <w:lvl w:ilvl="4">
      <w:start w:val="1"/>
      <w:numFmt w:val="decimal"/>
      <w:lvlRestart w:val="0"/>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43">
    <w:nsid w:val="66F10AD0"/>
    <w:multiLevelType w:val="multilevel"/>
    <w:tmpl w:val="A8C2921C"/>
    <w:numStyleLink w:val="NumbLstAnnex"/>
  </w:abstractNum>
  <w:abstractNum w:abstractNumId="44">
    <w:nsid w:val="690A6199"/>
    <w:multiLevelType w:val="hybridMultilevel"/>
    <w:tmpl w:val="F52C39A6"/>
    <w:lvl w:ilvl="0" w:tplc="F9B404A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3B463F"/>
    <w:multiLevelType w:val="hybridMultilevel"/>
    <w:tmpl w:val="ECD8D84A"/>
    <w:lvl w:ilvl="0" w:tplc="C150B046">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B541E78"/>
    <w:multiLevelType w:val="hybridMultilevel"/>
    <w:tmpl w:val="28605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827590"/>
    <w:multiLevelType w:val="hybridMultilevel"/>
    <w:tmpl w:val="AD3AF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B03DC5"/>
    <w:multiLevelType w:val="multilevel"/>
    <w:tmpl w:val="4B68369A"/>
    <w:lvl w:ilvl="0">
      <w:start w:val="1"/>
      <w:numFmt w:val="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num w:numId="1">
    <w:abstractNumId w:val="3"/>
  </w:num>
  <w:num w:numId="2">
    <w:abstractNumId w:val="2"/>
  </w:num>
  <w:num w:numId="3">
    <w:abstractNumId w:val="1"/>
  </w:num>
  <w:num w:numId="4">
    <w:abstractNumId w:val="0"/>
  </w:num>
  <w:num w:numId="5">
    <w:abstractNumId w:val="20"/>
  </w:num>
  <w:num w:numId="6">
    <w:abstractNumId w:val="24"/>
  </w:num>
  <w:num w:numId="7">
    <w:abstractNumId w:val="4"/>
  </w:num>
  <w:num w:numId="8">
    <w:abstractNumId w:val="6"/>
  </w:num>
  <w:num w:numId="9">
    <w:abstractNumId w:val="18"/>
  </w:num>
  <w:num w:numId="10">
    <w:abstractNumId w:val="14"/>
  </w:num>
  <w:num w:numId="11">
    <w:abstractNumId w:val="31"/>
  </w:num>
  <w:num w:numId="12">
    <w:abstractNumId w:val="34"/>
  </w:num>
  <w:num w:numId="13">
    <w:abstractNumId w:val="8"/>
  </w:num>
  <w:num w:numId="14">
    <w:abstractNumId w:val="19"/>
  </w:num>
  <w:num w:numId="15">
    <w:abstractNumId w:val="11"/>
  </w:num>
  <w:num w:numId="16">
    <w:abstractNumId w:val="17"/>
  </w:num>
  <w:num w:numId="17">
    <w:abstractNumId w:val="37"/>
  </w:num>
  <w:num w:numId="18">
    <w:abstractNumId w:val="22"/>
  </w:num>
  <w:num w:numId="19">
    <w:abstractNumId w:val="43"/>
    <w:lvlOverride w:ilvl="0">
      <w:lvl w:ilvl="0">
        <w:start w:val="1"/>
        <w:numFmt w:val="decimal"/>
        <w:pStyle w:val="AnnexHeading"/>
        <w:lvlText w:val="Annex %1"/>
        <w:lvlJc w:val="left"/>
        <w:pPr>
          <w:tabs>
            <w:tab w:val="num" w:pos="1664"/>
          </w:tabs>
          <w:ind w:left="1664" w:hanging="1304"/>
        </w:pPr>
        <w:rPr>
          <w:rFonts w:hint="default"/>
        </w:rPr>
      </w:lvl>
    </w:lvlOverride>
    <w:lvlOverride w:ilvl="1">
      <w:lvl w:ilvl="1">
        <w:start w:val="1"/>
        <w:numFmt w:val="decimal"/>
        <w:pStyle w:val="AnnexH2"/>
        <w:lvlText w:val="A%1.%2"/>
        <w:lvlJc w:val="left"/>
        <w:pPr>
          <w:tabs>
            <w:tab w:val="num" w:pos="851"/>
          </w:tabs>
          <w:ind w:left="851" w:hanging="851"/>
        </w:pPr>
        <w:rPr>
          <w:rFonts w:hint="default"/>
        </w:rPr>
      </w:lvl>
    </w:lvlOverride>
    <w:lvlOverride w:ilvl="2">
      <w:lvl w:ilvl="2">
        <w:start w:val="1"/>
        <w:numFmt w:val="decimal"/>
        <w:pStyle w:val="AnnexH3"/>
        <w:lvlText w:val="A%1.%2.%3"/>
        <w:lvlJc w:val="left"/>
        <w:pPr>
          <w:tabs>
            <w:tab w:val="num" w:pos="851"/>
          </w:tabs>
          <w:ind w:left="851" w:hanging="851"/>
        </w:pPr>
        <w:rPr>
          <w:rFonts w:hint="default"/>
        </w:rPr>
      </w:lvl>
    </w:lvlOverride>
    <w:lvlOverride w:ilvl="3">
      <w:lvl w:ilvl="3">
        <w:start w:val="1"/>
        <w:numFmt w:val="decimal"/>
        <w:pStyle w:val="AnnexH4"/>
        <w:lvlText w:val="A%1.%2.%3.%4"/>
        <w:lvlJc w:val="left"/>
        <w:pPr>
          <w:tabs>
            <w:tab w:val="num" w:pos="851"/>
          </w:tabs>
          <w:ind w:left="851" w:hanging="851"/>
        </w:pPr>
        <w:rPr>
          <w:rFonts w:hint="default"/>
        </w:rPr>
      </w:lvl>
    </w:lvlOverride>
    <w:lvlOverride w:ilvl="4">
      <w:lvl w:ilvl="4">
        <w:start w:val="1"/>
        <w:numFmt w:val="decimal"/>
        <w:lvlRestart w:val="1"/>
        <w:pStyle w:val="AnnexTable"/>
        <w:lvlText w:val="Table A%1.%5"/>
        <w:lvlJc w:val="left"/>
        <w:pPr>
          <w:tabs>
            <w:tab w:val="num" w:pos="2687"/>
          </w:tabs>
          <w:ind w:left="2687" w:hanging="1247"/>
        </w:pPr>
        <w:rPr>
          <w:rFonts w:hint="default"/>
        </w:rPr>
      </w:lvl>
    </w:lvlOverride>
    <w:lvlOverride w:ilvl="5">
      <w:lvl w:ilvl="5">
        <w:start w:val="1"/>
        <w:numFmt w:val="decimal"/>
        <w:lvlRestart w:val="1"/>
        <w:pStyle w:val="AnnexFigure"/>
        <w:lvlText w:val="Figure A%1.%6"/>
        <w:lvlJc w:val="left"/>
        <w:pPr>
          <w:tabs>
            <w:tab w:val="num" w:pos="1247"/>
          </w:tabs>
          <w:ind w:left="1247" w:hanging="1247"/>
        </w:pPr>
        <w:rPr>
          <w:rFonts w:hint="default"/>
        </w:rPr>
      </w:lvl>
    </w:lvlOverride>
    <w:lvlOverride w:ilvl="6">
      <w:lvl w:ilvl="6">
        <w:start w:val="1"/>
        <w:numFmt w:val="none"/>
        <w:suff w:val="nothing"/>
        <w:lvlText w:val=""/>
        <w:lvlJc w:val="left"/>
        <w:pPr>
          <w:ind w:left="851" w:firstLine="0"/>
        </w:pPr>
        <w:rPr>
          <w:rFonts w:hint="default"/>
        </w:rPr>
      </w:lvl>
    </w:lvlOverride>
    <w:lvlOverride w:ilvl="7">
      <w:lvl w:ilvl="7">
        <w:start w:val="1"/>
        <w:numFmt w:val="none"/>
        <w:suff w:val="nothing"/>
        <w:lvlText w:val=""/>
        <w:lvlJc w:val="left"/>
        <w:pPr>
          <w:ind w:left="851" w:firstLine="0"/>
        </w:pPr>
        <w:rPr>
          <w:rFonts w:hint="default"/>
        </w:rPr>
      </w:lvl>
    </w:lvlOverride>
    <w:lvlOverride w:ilvl="8">
      <w:lvl w:ilvl="8">
        <w:start w:val="1"/>
        <w:numFmt w:val="none"/>
        <w:suff w:val="nothing"/>
        <w:lvlText w:val=""/>
        <w:lvlJc w:val="left"/>
        <w:pPr>
          <w:ind w:left="851" w:firstLine="0"/>
        </w:pPr>
        <w:rPr>
          <w:rFonts w:hint="default"/>
        </w:rPr>
      </w:lvl>
    </w:lvlOverride>
  </w:num>
  <w:num w:numId="20">
    <w:abstractNumId w:val="40"/>
    <w:lvlOverride w:ilvl="1">
      <w:lvl w:ilvl="1">
        <w:start w:val="1"/>
        <w:numFmt w:val="decimal"/>
        <w:pStyle w:val="Heading2"/>
        <w:lvlText w:val="%1.%2"/>
        <w:lvlJc w:val="left"/>
        <w:pPr>
          <w:ind w:left="851" w:hanging="851"/>
        </w:pPr>
        <w:rPr>
          <w:rFonts w:hint="default"/>
          <w:sz w:val="32"/>
          <w:szCs w:val="32"/>
        </w:rPr>
      </w:lvl>
    </w:lvlOverride>
  </w:num>
  <w:num w:numId="21">
    <w:abstractNumId w:val="29"/>
  </w:num>
  <w:num w:numId="22">
    <w:abstractNumId w:val="35"/>
  </w:num>
  <w:num w:numId="23">
    <w:abstractNumId w:val="40"/>
    <w:lvlOverride w:ilvl="7">
      <w:lvl w:ilvl="7">
        <w:start w:val="1"/>
        <w:numFmt w:val="decimal"/>
        <w:lvlRestart w:val="1"/>
        <w:pStyle w:val="Box"/>
        <w:lvlText w:val="Box %1.%8"/>
        <w:lvlJc w:val="left"/>
        <w:pPr>
          <w:ind w:left="1928" w:hanging="1077"/>
        </w:pPr>
        <w:rPr>
          <w:rFonts w:ascii="Calibri" w:hAnsi="Calibri" w:hint="default"/>
          <w:color w:val="0067AC"/>
        </w:rPr>
      </w:lvl>
    </w:lvlOverride>
  </w:num>
  <w:num w:numId="24">
    <w:abstractNumId w:val="9"/>
  </w:num>
  <w:num w:numId="25">
    <w:abstractNumId w:val="38"/>
  </w:num>
  <w:num w:numId="26">
    <w:abstractNumId w:val="40"/>
    <w:lvlOverride w:ilvl="1">
      <w:lvl w:ilvl="1">
        <w:start w:val="1"/>
        <w:numFmt w:val="decimal"/>
        <w:pStyle w:val="Heading2"/>
        <w:lvlText w:val="%1.%2"/>
        <w:lvlJc w:val="left"/>
        <w:pPr>
          <w:ind w:left="851" w:hanging="851"/>
        </w:pPr>
        <w:rPr>
          <w:rFonts w:hint="default"/>
          <w:color w:val="0070C0"/>
        </w:rPr>
      </w:lvl>
    </w:lvlOverride>
    <w:lvlOverride w:ilvl="6">
      <w:lvl w:ilvl="6">
        <w:start w:val="1"/>
        <w:numFmt w:val="decimal"/>
        <w:lvlRestart w:val="1"/>
        <w:pStyle w:val="Table"/>
        <w:lvlText w:val="Table %1.%7"/>
        <w:lvlJc w:val="left"/>
        <w:pPr>
          <w:tabs>
            <w:tab w:val="num" w:pos="851"/>
          </w:tabs>
          <w:ind w:left="1928" w:hanging="1077"/>
        </w:pPr>
        <w:rPr>
          <w:rFonts w:ascii="Calibri" w:hAnsi="Calibri" w:hint="default"/>
        </w:rPr>
      </w:lvl>
    </w:lvlOverride>
  </w:num>
  <w:num w:numId="27">
    <w:abstractNumId w:val="17"/>
    <w:lvlOverride w:ilvl="0">
      <w:lvl w:ilvl="0">
        <w:start w:val="1"/>
        <w:numFmt w:val="decimal"/>
        <w:pStyle w:val="CaseStudy"/>
        <w:suff w:val="space"/>
        <w:lvlText w:val="Case Study %1"/>
        <w:lvlJc w:val="left"/>
        <w:pPr>
          <w:ind w:left="0" w:firstLine="0"/>
        </w:pPr>
        <w:rPr>
          <w:rFonts w:hint="default"/>
        </w:rPr>
      </w:lvl>
    </w:lvlOverride>
    <w:lvlOverride w:ilvl="2">
      <w:lvl w:ilvl="2">
        <w:start w:val="1"/>
        <w:numFmt w:val="decimal"/>
        <w:lvlRestart w:val="0"/>
        <w:pStyle w:val="Conclusion"/>
        <w:suff w:val="space"/>
        <w:lvlText w:val="Conclusion %3"/>
        <w:lvlJc w:val="left"/>
        <w:pPr>
          <w:ind w:left="0" w:firstLine="0"/>
        </w:pPr>
        <w:rPr>
          <w:rFonts w:hint="default"/>
        </w:rPr>
      </w:lvl>
    </w:lvlOverride>
    <w:lvlOverride w:ilvl="4">
      <w:lvl w:ilvl="4">
        <w:start w:val="1"/>
        <w:numFmt w:val="decimal"/>
        <w:lvlRestart w:val="0"/>
        <w:pStyle w:val="BoxNumb"/>
        <w:suff w:val="space"/>
        <w:lvlText w:val="Box %5"/>
        <w:lvlJc w:val="left"/>
        <w:pPr>
          <w:ind w:left="0" w:firstLine="0"/>
        </w:pPr>
        <w:rPr>
          <w:rFonts w:hint="default"/>
          <w:color w:val="0067AC"/>
          <w:sz w:val="28"/>
          <w:szCs w:val="28"/>
        </w:rPr>
      </w:lvl>
    </w:lvlOverride>
  </w:num>
  <w:num w:numId="28">
    <w:abstractNumId w:val="21"/>
  </w:num>
  <w:num w:numId="29">
    <w:abstractNumId w:val="13"/>
  </w:num>
  <w:num w:numId="30">
    <w:abstractNumId w:val="43"/>
    <w:lvlOverride w:ilvl="4">
      <w:lvl w:ilvl="4">
        <w:start w:val="1"/>
        <w:numFmt w:val="decimal"/>
        <w:lvlRestart w:val="1"/>
        <w:pStyle w:val="AnnexTable"/>
        <w:lvlText w:val="Table A%1.%5"/>
        <w:lvlJc w:val="left"/>
        <w:pPr>
          <w:tabs>
            <w:tab w:val="num" w:pos="1247"/>
          </w:tabs>
          <w:ind w:left="1247" w:hanging="1247"/>
        </w:pPr>
        <w:rPr>
          <w:rFonts w:hint="default"/>
        </w:rPr>
      </w:lvl>
    </w:lvlOverride>
  </w:num>
  <w:num w:numId="31">
    <w:abstractNumId w:val="40"/>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decimal"/>
        <w:pStyle w:val="Heading3"/>
        <w:lvlText w:val="%1.%2.%3"/>
        <w:lvlJc w:val="left"/>
        <w:pPr>
          <w:ind w:left="851" w:hanging="851"/>
        </w:pPr>
        <w:rPr>
          <w:rFonts w:hint="default"/>
        </w:rPr>
      </w:lvl>
    </w:lvlOverride>
    <w:lvlOverride w:ilvl="3">
      <w:lvl w:ilvl="3">
        <w:start w:val="1"/>
        <w:numFmt w:val="decimal"/>
        <w:pStyle w:val="Heading4"/>
        <w:lvlText w:val="%1.%2.%3.%4"/>
        <w:lvlJc w:val="left"/>
        <w:pPr>
          <w:ind w:left="851" w:hanging="851"/>
        </w:pPr>
        <w:rPr>
          <w:rFonts w:hint="default"/>
          <w:b/>
          <w:i/>
          <w:color w:val="0067AC"/>
          <w:sz w:val="20"/>
        </w:rPr>
      </w:lvl>
    </w:lvlOverride>
    <w:lvlOverride w:ilvl="4">
      <w:lvl w:ilvl="4">
        <w:start w:val="1"/>
        <w:numFmt w:val="decimal"/>
        <w:pStyle w:val="Heading5"/>
        <w:lvlText w:val="%1.%2.%3.%4.%5"/>
        <w:lvlJc w:val="left"/>
        <w:pPr>
          <w:ind w:left="851" w:hanging="851"/>
        </w:pPr>
        <w:rPr>
          <w:rFonts w:ascii="Calibri" w:hAnsi="Calibri" w:hint="default"/>
          <w:b/>
          <w:i/>
          <w:color w:val="0067AC"/>
          <w:sz w:val="20"/>
        </w:rPr>
      </w:lvl>
    </w:lvlOverride>
    <w:lvlOverride w:ilvl="5">
      <w:lvl w:ilvl="5">
        <w:start w:val="1"/>
        <w:numFmt w:val="decimal"/>
        <w:lvlRestart w:val="1"/>
        <w:pStyle w:val="Figure"/>
        <w:lvlText w:val="Figure %1.%6"/>
        <w:lvlJc w:val="left"/>
        <w:pPr>
          <w:tabs>
            <w:tab w:val="num" w:pos="851"/>
          </w:tabs>
          <w:ind w:left="1928" w:hanging="1077"/>
        </w:pPr>
        <w:rPr>
          <w:rFonts w:ascii="Calibri" w:hAnsi="Calibri" w:hint="default"/>
          <w:color w:val="0067AC"/>
        </w:rPr>
      </w:lvl>
    </w:lvlOverride>
    <w:lvlOverride w:ilvl="6">
      <w:lvl w:ilvl="6">
        <w:start w:val="1"/>
        <w:numFmt w:val="decimal"/>
        <w:lvlRestart w:val="1"/>
        <w:pStyle w:val="Table"/>
        <w:lvlText w:val="Table %1.%7"/>
        <w:lvlJc w:val="left"/>
        <w:pPr>
          <w:tabs>
            <w:tab w:val="num" w:pos="630"/>
          </w:tabs>
          <w:ind w:left="1707" w:hanging="1077"/>
        </w:pPr>
        <w:rPr>
          <w:rFonts w:ascii="Calibri" w:hAnsi="Calibri" w:hint="default"/>
        </w:rPr>
      </w:lvl>
    </w:lvlOverride>
    <w:lvlOverride w:ilvl="7">
      <w:lvl w:ilvl="7">
        <w:start w:val="1"/>
        <w:numFmt w:val="decimal"/>
        <w:lvlRestart w:val="1"/>
        <w:pStyle w:val="Box"/>
        <w:lvlText w:val="Box %1.%8"/>
        <w:lvlJc w:val="left"/>
        <w:pPr>
          <w:ind w:left="1928" w:hanging="1077"/>
        </w:pPr>
        <w:rPr>
          <w:rFonts w:ascii="Calibri" w:hAnsi="Calibri" w:hint="default"/>
          <w:color w:val="0067AC"/>
        </w:rPr>
      </w:lvl>
    </w:lvlOverride>
    <w:lvlOverride w:ilvl="8">
      <w:lvl w:ilvl="8">
        <w:start w:val="1"/>
        <w:numFmt w:val="none"/>
        <w:lvlText w:val=""/>
        <w:lvlJc w:val="left"/>
        <w:pPr>
          <w:ind w:left="425" w:hanging="425"/>
        </w:pPr>
        <w:rPr>
          <w:rFonts w:ascii="Georgia" w:hAnsi="Georgia" w:hint="default"/>
          <w:color w:val="0067AC" w:themeColor="text2"/>
        </w:rPr>
      </w:lvl>
    </w:lvlOverride>
  </w:num>
  <w:num w:numId="32">
    <w:abstractNumId w:val="44"/>
  </w:num>
  <w:num w:numId="33">
    <w:abstractNumId w:val="43"/>
    <w:lvlOverride w:ilvl="4">
      <w:lvl w:ilvl="4">
        <w:start w:val="1"/>
        <w:numFmt w:val="decimal"/>
        <w:lvlRestart w:val="1"/>
        <w:pStyle w:val="AnnexTable"/>
        <w:lvlText w:val="Table A%1.%5"/>
        <w:lvlJc w:val="left"/>
        <w:pPr>
          <w:tabs>
            <w:tab w:val="num" w:pos="2687"/>
          </w:tabs>
          <w:ind w:left="2687" w:hanging="1247"/>
        </w:pPr>
        <w:rPr>
          <w:rFonts w:hint="default"/>
          <w:color w:val="0070C0"/>
        </w:rPr>
      </w:lvl>
    </w:lvlOverride>
  </w:num>
  <w:num w:numId="34">
    <w:abstractNumId w:val="41"/>
  </w:num>
  <w:num w:numId="35">
    <w:abstractNumId w:val="27"/>
  </w:num>
  <w:num w:numId="36">
    <w:abstractNumId w:val="47"/>
  </w:num>
  <w:num w:numId="37">
    <w:abstractNumId w:val="39"/>
  </w:num>
  <w:num w:numId="38">
    <w:abstractNumId w:val="5"/>
  </w:num>
  <w:num w:numId="39">
    <w:abstractNumId w:val="15"/>
  </w:num>
  <w:num w:numId="40">
    <w:abstractNumId w:val="46"/>
  </w:num>
  <w:num w:numId="41">
    <w:abstractNumId w:val="25"/>
  </w:num>
  <w:num w:numId="42">
    <w:abstractNumId w:val="16"/>
  </w:num>
  <w:num w:numId="43">
    <w:abstractNumId w:val="7"/>
  </w:num>
  <w:num w:numId="44">
    <w:abstractNumId w:val="23"/>
  </w:num>
  <w:num w:numId="45">
    <w:abstractNumId w:val="30"/>
  </w:num>
  <w:num w:numId="46">
    <w:abstractNumId w:val="12"/>
  </w:num>
  <w:num w:numId="47">
    <w:abstractNumId w:val="28"/>
  </w:num>
  <w:num w:numId="48">
    <w:abstractNumId w:val="36"/>
  </w:num>
  <w:num w:numId="49">
    <w:abstractNumId w:val="32"/>
  </w:num>
  <w:num w:numId="50">
    <w:abstractNumId w:val="45"/>
  </w:num>
  <w:num w:numId="51">
    <w:abstractNumId w:val="35"/>
  </w:num>
  <w:num w:numId="52">
    <w:abstractNumId w:val="40"/>
    <w:lvlOverride w:ilvl="1">
      <w:lvl w:ilvl="1">
        <w:start w:val="1"/>
        <w:numFmt w:val="decimal"/>
        <w:pStyle w:val="Heading2"/>
        <w:lvlText w:val="%1.%2"/>
        <w:lvlJc w:val="left"/>
        <w:pPr>
          <w:ind w:left="851" w:hanging="851"/>
        </w:pPr>
        <w:rPr>
          <w:rFonts w:hint="default"/>
          <w:sz w:val="32"/>
          <w:szCs w:val="32"/>
        </w:rPr>
      </w:lvl>
    </w:lvlOverride>
  </w:num>
  <w:num w:numId="53">
    <w:abstractNumId w:val="43"/>
    <w:lvlOverride w:ilvl="0">
      <w:lvl w:ilvl="0">
        <w:start w:val="1"/>
        <w:numFmt w:val="decimal"/>
        <w:pStyle w:val="AnnexHeading"/>
        <w:lvlText w:val="Annex %1"/>
        <w:lvlJc w:val="left"/>
        <w:pPr>
          <w:tabs>
            <w:tab w:val="num" w:pos="1664"/>
          </w:tabs>
          <w:ind w:left="1664" w:hanging="1304"/>
        </w:pPr>
        <w:rPr>
          <w:rFonts w:hint="default"/>
        </w:rPr>
      </w:lvl>
    </w:lvlOverride>
    <w:lvlOverride w:ilvl="1">
      <w:lvl w:ilvl="1">
        <w:start w:val="1"/>
        <w:numFmt w:val="decimal"/>
        <w:pStyle w:val="AnnexH2"/>
        <w:lvlText w:val="A%1.%2"/>
        <w:lvlJc w:val="left"/>
        <w:pPr>
          <w:tabs>
            <w:tab w:val="num" w:pos="851"/>
          </w:tabs>
          <w:ind w:left="851" w:hanging="851"/>
        </w:pPr>
        <w:rPr>
          <w:rFonts w:hint="default"/>
        </w:rPr>
      </w:lvl>
    </w:lvlOverride>
    <w:lvlOverride w:ilvl="2">
      <w:lvl w:ilvl="2">
        <w:start w:val="1"/>
        <w:numFmt w:val="decimal"/>
        <w:pStyle w:val="AnnexH3"/>
        <w:lvlText w:val="A%1.%2.%3"/>
        <w:lvlJc w:val="left"/>
        <w:pPr>
          <w:tabs>
            <w:tab w:val="num" w:pos="851"/>
          </w:tabs>
          <w:ind w:left="851" w:hanging="851"/>
        </w:pPr>
        <w:rPr>
          <w:rFonts w:hint="default"/>
        </w:rPr>
      </w:lvl>
    </w:lvlOverride>
    <w:lvlOverride w:ilvl="3">
      <w:lvl w:ilvl="3">
        <w:start w:val="1"/>
        <w:numFmt w:val="decimal"/>
        <w:pStyle w:val="AnnexH4"/>
        <w:lvlText w:val="A%1.%2.%3.%4"/>
        <w:lvlJc w:val="left"/>
        <w:pPr>
          <w:tabs>
            <w:tab w:val="num" w:pos="851"/>
          </w:tabs>
          <w:ind w:left="851" w:hanging="851"/>
        </w:pPr>
        <w:rPr>
          <w:rFonts w:hint="default"/>
        </w:rPr>
      </w:lvl>
    </w:lvlOverride>
    <w:lvlOverride w:ilvl="4">
      <w:lvl w:ilvl="4">
        <w:start w:val="1"/>
        <w:numFmt w:val="decimal"/>
        <w:lvlRestart w:val="1"/>
        <w:pStyle w:val="AnnexTable"/>
        <w:lvlText w:val="Table A%1.%5"/>
        <w:lvlJc w:val="left"/>
        <w:pPr>
          <w:tabs>
            <w:tab w:val="num" w:pos="1814"/>
          </w:tabs>
          <w:ind w:left="1814" w:hanging="1247"/>
        </w:pPr>
        <w:rPr>
          <w:rFonts w:hint="default"/>
        </w:rPr>
      </w:lvl>
    </w:lvlOverride>
    <w:lvlOverride w:ilvl="5">
      <w:lvl w:ilvl="5">
        <w:start w:val="1"/>
        <w:numFmt w:val="decimal"/>
        <w:lvlRestart w:val="1"/>
        <w:pStyle w:val="AnnexFigure"/>
        <w:lvlText w:val="Figure A%1.%6"/>
        <w:lvlJc w:val="left"/>
        <w:pPr>
          <w:tabs>
            <w:tab w:val="num" w:pos="1247"/>
          </w:tabs>
          <w:ind w:left="1247" w:hanging="1247"/>
        </w:pPr>
        <w:rPr>
          <w:rFonts w:hint="default"/>
        </w:rPr>
      </w:lvl>
    </w:lvlOverride>
    <w:lvlOverride w:ilvl="6">
      <w:lvl w:ilvl="6">
        <w:start w:val="1"/>
        <w:numFmt w:val="none"/>
        <w:suff w:val="nothing"/>
        <w:lvlText w:val=""/>
        <w:lvlJc w:val="left"/>
        <w:pPr>
          <w:ind w:left="851" w:firstLine="0"/>
        </w:pPr>
        <w:rPr>
          <w:rFonts w:hint="default"/>
        </w:rPr>
      </w:lvl>
    </w:lvlOverride>
    <w:lvlOverride w:ilvl="7">
      <w:lvl w:ilvl="7">
        <w:start w:val="1"/>
        <w:numFmt w:val="none"/>
        <w:suff w:val="nothing"/>
        <w:lvlText w:val=""/>
        <w:lvlJc w:val="left"/>
        <w:pPr>
          <w:ind w:left="851" w:firstLine="0"/>
        </w:pPr>
        <w:rPr>
          <w:rFonts w:hint="default"/>
        </w:rPr>
      </w:lvl>
    </w:lvlOverride>
    <w:lvlOverride w:ilvl="8">
      <w:lvl w:ilvl="8">
        <w:start w:val="1"/>
        <w:numFmt w:val="none"/>
        <w:suff w:val="nothing"/>
        <w:lvlText w:val=""/>
        <w:lvlJc w:val="left"/>
        <w:pPr>
          <w:ind w:left="851" w:firstLine="0"/>
        </w:pPr>
        <w:rPr>
          <w:rFonts w:hint="default"/>
        </w:rPr>
      </w:lvl>
    </w:lvlOverride>
  </w:num>
  <w:num w:numId="54">
    <w:abstractNumId w:val="43"/>
    <w:lvlOverride w:ilvl="0">
      <w:lvl w:ilvl="0">
        <w:start w:val="1"/>
        <w:numFmt w:val="decimal"/>
        <w:pStyle w:val="AnnexHeading"/>
        <w:lvlText w:val="Annex %1"/>
        <w:lvlJc w:val="left"/>
        <w:pPr>
          <w:tabs>
            <w:tab w:val="num" w:pos="1664"/>
          </w:tabs>
          <w:ind w:left="1664" w:hanging="1304"/>
        </w:pPr>
        <w:rPr>
          <w:rFonts w:hint="default"/>
        </w:rPr>
      </w:lvl>
    </w:lvlOverride>
    <w:lvlOverride w:ilvl="1">
      <w:lvl w:ilvl="1">
        <w:start w:val="1"/>
        <w:numFmt w:val="decimal"/>
        <w:pStyle w:val="AnnexH2"/>
        <w:lvlText w:val="A%1.%2"/>
        <w:lvlJc w:val="left"/>
        <w:pPr>
          <w:tabs>
            <w:tab w:val="num" w:pos="851"/>
          </w:tabs>
          <w:ind w:left="851" w:hanging="851"/>
        </w:pPr>
        <w:rPr>
          <w:rFonts w:hint="default"/>
        </w:rPr>
      </w:lvl>
    </w:lvlOverride>
    <w:lvlOverride w:ilvl="2">
      <w:lvl w:ilvl="2">
        <w:start w:val="1"/>
        <w:numFmt w:val="decimal"/>
        <w:pStyle w:val="AnnexH3"/>
        <w:lvlText w:val="A%1.%2.%3"/>
        <w:lvlJc w:val="left"/>
        <w:pPr>
          <w:tabs>
            <w:tab w:val="num" w:pos="851"/>
          </w:tabs>
          <w:ind w:left="851" w:hanging="851"/>
        </w:pPr>
        <w:rPr>
          <w:rFonts w:hint="default"/>
        </w:rPr>
      </w:lvl>
    </w:lvlOverride>
    <w:lvlOverride w:ilvl="3">
      <w:lvl w:ilvl="3">
        <w:start w:val="1"/>
        <w:numFmt w:val="decimal"/>
        <w:pStyle w:val="AnnexH4"/>
        <w:lvlText w:val="A%1.%2.%3.%4"/>
        <w:lvlJc w:val="left"/>
        <w:pPr>
          <w:tabs>
            <w:tab w:val="num" w:pos="851"/>
          </w:tabs>
          <w:ind w:left="851" w:hanging="851"/>
        </w:pPr>
        <w:rPr>
          <w:rFonts w:hint="default"/>
        </w:rPr>
      </w:lvl>
    </w:lvlOverride>
    <w:lvlOverride w:ilvl="4">
      <w:lvl w:ilvl="4">
        <w:start w:val="1"/>
        <w:numFmt w:val="decimal"/>
        <w:lvlRestart w:val="1"/>
        <w:pStyle w:val="AnnexTable"/>
        <w:lvlText w:val="Table A%1.%5"/>
        <w:lvlJc w:val="left"/>
        <w:pPr>
          <w:tabs>
            <w:tab w:val="num" w:pos="1814"/>
          </w:tabs>
          <w:ind w:left="1814" w:hanging="1247"/>
        </w:pPr>
        <w:rPr>
          <w:rFonts w:hint="default"/>
        </w:rPr>
      </w:lvl>
    </w:lvlOverride>
    <w:lvlOverride w:ilvl="5">
      <w:lvl w:ilvl="5">
        <w:start w:val="1"/>
        <w:numFmt w:val="decimal"/>
        <w:lvlRestart w:val="1"/>
        <w:pStyle w:val="AnnexFigure"/>
        <w:lvlText w:val="Figure A%1.%6"/>
        <w:lvlJc w:val="left"/>
        <w:pPr>
          <w:tabs>
            <w:tab w:val="num" w:pos="1247"/>
          </w:tabs>
          <w:ind w:left="1247" w:hanging="1247"/>
        </w:pPr>
        <w:rPr>
          <w:rFonts w:hint="default"/>
        </w:rPr>
      </w:lvl>
    </w:lvlOverride>
    <w:lvlOverride w:ilvl="6">
      <w:lvl w:ilvl="6">
        <w:start w:val="1"/>
        <w:numFmt w:val="none"/>
        <w:suff w:val="nothing"/>
        <w:lvlText w:val=""/>
        <w:lvlJc w:val="left"/>
        <w:pPr>
          <w:ind w:left="851" w:firstLine="0"/>
        </w:pPr>
        <w:rPr>
          <w:rFonts w:hint="default"/>
        </w:rPr>
      </w:lvl>
    </w:lvlOverride>
    <w:lvlOverride w:ilvl="7">
      <w:lvl w:ilvl="7">
        <w:start w:val="1"/>
        <w:numFmt w:val="none"/>
        <w:suff w:val="nothing"/>
        <w:lvlText w:val=""/>
        <w:lvlJc w:val="left"/>
        <w:pPr>
          <w:ind w:left="851" w:firstLine="0"/>
        </w:pPr>
        <w:rPr>
          <w:rFonts w:hint="default"/>
        </w:rPr>
      </w:lvl>
    </w:lvlOverride>
    <w:lvlOverride w:ilvl="8">
      <w:lvl w:ilvl="8">
        <w:start w:val="1"/>
        <w:numFmt w:val="none"/>
        <w:suff w:val="nothing"/>
        <w:lvlText w:val=""/>
        <w:lvlJc w:val="left"/>
        <w:pPr>
          <w:ind w:left="851" w:firstLine="0"/>
        </w:pPr>
        <w:rPr>
          <w:rFonts w:hint="default"/>
        </w:rPr>
      </w:lvl>
    </w:lvlOverride>
  </w:num>
  <w:num w:numId="55">
    <w:abstractNumId w:val="43"/>
  </w:num>
  <w:num w:numId="56">
    <w:abstractNumId w:val="42"/>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7"/>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5"/>
    <w:docVar w:name="FooterVersion" w:val=" "/>
    <w:docVar w:name="HeaderText" w:val="Deliverable 7.5 "/>
    <w:docVar w:name="InitialTemplateVersion" w:val="6.5"/>
    <w:docVar w:name="LW_DocType" w:val="ICF GHK REPORT"/>
  </w:docVars>
  <w:rsids>
    <w:rsidRoot w:val="007B5461"/>
    <w:rsid w:val="00000C93"/>
    <w:rsid w:val="00003197"/>
    <w:rsid w:val="0000405B"/>
    <w:rsid w:val="00004D9B"/>
    <w:rsid w:val="00005637"/>
    <w:rsid w:val="00005A26"/>
    <w:rsid w:val="00006655"/>
    <w:rsid w:val="00006F77"/>
    <w:rsid w:val="000073FB"/>
    <w:rsid w:val="0000759E"/>
    <w:rsid w:val="00007645"/>
    <w:rsid w:val="00007D34"/>
    <w:rsid w:val="000110B4"/>
    <w:rsid w:val="00011AAB"/>
    <w:rsid w:val="00011B02"/>
    <w:rsid w:val="000125F5"/>
    <w:rsid w:val="00012649"/>
    <w:rsid w:val="00012D1F"/>
    <w:rsid w:val="00012EFA"/>
    <w:rsid w:val="000142F4"/>
    <w:rsid w:val="000151E3"/>
    <w:rsid w:val="0001529C"/>
    <w:rsid w:val="000165DC"/>
    <w:rsid w:val="000167D6"/>
    <w:rsid w:val="00016EF8"/>
    <w:rsid w:val="00016FAB"/>
    <w:rsid w:val="000172B6"/>
    <w:rsid w:val="000172DC"/>
    <w:rsid w:val="00017940"/>
    <w:rsid w:val="000179AC"/>
    <w:rsid w:val="000202BD"/>
    <w:rsid w:val="000205B1"/>
    <w:rsid w:val="00020815"/>
    <w:rsid w:val="0002098B"/>
    <w:rsid w:val="00020AAD"/>
    <w:rsid w:val="000223E8"/>
    <w:rsid w:val="00022EBB"/>
    <w:rsid w:val="000242B6"/>
    <w:rsid w:val="00024986"/>
    <w:rsid w:val="0002586A"/>
    <w:rsid w:val="00026E16"/>
    <w:rsid w:val="00027880"/>
    <w:rsid w:val="000279A2"/>
    <w:rsid w:val="00027A1F"/>
    <w:rsid w:val="000306E4"/>
    <w:rsid w:val="00030F6B"/>
    <w:rsid w:val="0003254F"/>
    <w:rsid w:val="00032985"/>
    <w:rsid w:val="0003406E"/>
    <w:rsid w:val="00034212"/>
    <w:rsid w:val="000359B5"/>
    <w:rsid w:val="00036276"/>
    <w:rsid w:val="00037B41"/>
    <w:rsid w:val="00040180"/>
    <w:rsid w:val="000405A8"/>
    <w:rsid w:val="00040D91"/>
    <w:rsid w:val="00044AE9"/>
    <w:rsid w:val="00045E63"/>
    <w:rsid w:val="00047671"/>
    <w:rsid w:val="00050135"/>
    <w:rsid w:val="000505E4"/>
    <w:rsid w:val="00051A8B"/>
    <w:rsid w:val="00052242"/>
    <w:rsid w:val="00052651"/>
    <w:rsid w:val="00052BA2"/>
    <w:rsid w:val="000532D0"/>
    <w:rsid w:val="0005530B"/>
    <w:rsid w:val="00055431"/>
    <w:rsid w:val="000554DF"/>
    <w:rsid w:val="000557C7"/>
    <w:rsid w:val="000558AE"/>
    <w:rsid w:val="000562CF"/>
    <w:rsid w:val="000576DF"/>
    <w:rsid w:val="00057AAA"/>
    <w:rsid w:val="00060750"/>
    <w:rsid w:val="00060CF0"/>
    <w:rsid w:val="0006131E"/>
    <w:rsid w:val="00061525"/>
    <w:rsid w:val="0006316E"/>
    <w:rsid w:val="00063608"/>
    <w:rsid w:val="0006375F"/>
    <w:rsid w:val="00063F43"/>
    <w:rsid w:val="00064542"/>
    <w:rsid w:val="00064D78"/>
    <w:rsid w:val="00064EAA"/>
    <w:rsid w:val="00067085"/>
    <w:rsid w:val="000673BD"/>
    <w:rsid w:val="000709F4"/>
    <w:rsid w:val="00070A6B"/>
    <w:rsid w:val="00070C78"/>
    <w:rsid w:val="000715F8"/>
    <w:rsid w:val="00071893"/>
    <w:rsid w:val="00072016"/>
    <w:rsid w:val="0007230C"/>
    <w:rsid w:val="0007580F"/>
    <w:rsid w:val="00075966"/>
    <w:rsid w:val="00075A76"/>
    <w:rsid w:val="00075ABC"/>
    <w:rsid w:val="00075EE7"/>
    <w:rsid w:val="0007666D"/>
    <w:rsid w:val="00076E98"/>
    <w:rsid w:val="000770C0"/>
    <w:rsid w:val="000775FD"/>
    <w:rsid w:val="000777A4"/>
    <w:rsid w:val="00080D54"/>
    <w:rsid w:val="00080EA7"/>
    <w:rsid w:val="00082380"/>
    <w:rsid w:val="000824F3"/>
    <w:rsid w:val="00082E79"/>
    <w:rsid w:val="00083AA5"/>
    <w:rsid w:val="00084D98"/>
    <w:rsid w:val="000854AB"/>
    <w:rsid w:val="0008551D"/>
    <w:rsid w:val="00085561"/>
    <w:rsid w:val="00085FAD"/>
    <w:rsid w:val="0008717B"/>
    <w:rsid w:val="000872E5"/>
    <w:rsid w:val="0008776A"/>
    <w:rsid w:val="00091CA7"/>
    <w:rsid w:val="00091F04"/>
    <w:rsid w:val="00092232"/>
    <w:rsid w:val="0009242A"/>
    <w:rsid w:val="00092DBC"/>
    <w:rsid w:val="0009301C"/>
    <w:rsid w:val="00094D72"/>
    <w:rsid w:val="00095074"/>
    <w:rsid w:val="00095207"/>
    <w:rsid w:val="0009599B"/>
    <w:rsid w:val="00095BA6"/>
    <w:rsid w:val="00095FFF"/>
    <w:rsid w:val="00096180"/>
    <w:rsid w:val="000962B6"/>
    <w:rsid w:val="0009675F"/>
    <w:rsid w:val="00097988"/>
    <w:rsid w:val="000A1158"/>
    <w:rsid w:val="000A2307"/>
    <w:rsid w:val="000A32C9"/>
    <w:rsid w:val="000A45D4"/>
    <w:rsid w:val="000A5441"/>
    <w:rsid w:val="000A5F31"/>
    <w:rsid w:val="000A7A4E"/>
    <w:rsid w:val="000B14B1"/>
    <w:rsid w:val="000B1518"/>
    <w:rsid w:val="000B1B04"/>
    <w:rsid w:val="000B2BA3"/>
    <w:rsid w:val="000B332C"/>
    <w:rsid w:val="000B33DE"/>
    <w:rsid w:val="000B3BB3"/>
    <w:rsid w:val="000B5C23"/>
    <w:rsid w:val="000B6273"/>
    <w:rsid w:val="000B711B"/>
    <w:rsid w:val="000B7B34"/>
    <w:rsid w:val="000C0041"/>
    <w:rsid w:val="000C01E0"/>
    <w:rsid w:val="000C03AE"/>
    <w:rsid w:val="000C3CF5"/>
    <w:rsid w:val="000C4134"/>
    <w:rsid w:val="000C4B0C"/>
    <w:rsid w:val="000C72CB"/>
    <w:rsid w:val="000C7484"/>
    <w:rsid w:val="000D0E1F"/>
    <w:rsid w:val="000D1009"/>
    <w:rsid w:val="000D105A"/>
    <w:rsid w:val="000D1104"/>
    <w:rsid w:val="000D2323"/>
    <w:rsid w:val="000D368C"/>
    <w:rsid w:val="000D3D5C"/>
    <w:rsid w:val="000D4581"/>
    <w:rsid w:val="000D59DB"/>
    <w:rsid w:val="000D685C"/>
    <w:rsid w:val="000D6EB0"/>
    <w:rsid w:val="000D6F2B"/>
    <w:rsid w:val="000E00C6"/>
    <w:rsid w:val="000E017A"/>
    <w:rsid w:val="000E062C"/>
    <w:rsid w:val="000E0BD1"/>
    <w:rsid w:val="000E2050"/>
    <w:rsid w:val="000E274A"/>
    <w:rsid w:val="000E2B5C"/>
    <w:rsid w:val="000E2C61"/>
    <w:rsid w:val="000E2D3B"/>
    <w:rsid w:val="000E2D99"/>
    <w:rsid w:val="000E314F"/>
    <w:rsid w:val="000E341B"/>
    <w:rsid w:val="000E3755"/>
    <w:rsid w:val="000E441B"/>
    <w:rsid w:val="000E4F27"/>
    <w:rsid w:val="000E50F8"/>
    <w:rsid w:val="000E525A"/>
    <w:rsid w:val="000E57FB"/>
    <w:rsid w:val="000E5D1E"/>
    <w:rsid w:val="000E6087"/>
    <w:rsid w:val="000E6165"/>
    <w:rsid w:val="000E7CB3"/>
    <w:rsid w:val="000F03AA"/>
    <w:rsid w:val="000F07EC"/>
    <w:rsid w:val="000F1290"/>
    <w:rsid w:val="000F1F48"/>
    <w:rsid w:val="000F2DA6"/>
    <w:rsid w:val="000F31C5"/>
    <w:rsid w:val="000F3C1C"/>
    <w:rsid w:val="000F3E34"/>
    <w:rsid w:val="000F4FA9"/>
    <w:rsid w:val="000F7B8B"/>
    <w:rsid w:val="000F7EC6"/>
    <w:rsid w:val="00100044"/>
    <w:rsid w:val="001001E3"/>
    <w:rsid w:val="00101257"/>
    <w:rsid w:val="00102F20"/>
    <w:rsid w:val="0010393D"/>
    <w:rsid w:val="00103A27"/>
    <w:rsid w:val="00103E28"/>
    <w:rsid w:val="001040AD"/>
    <w:rsid w:val="00104A21"/>
    <w:rsid w:val="00107A13"/>
    <w:rsid w:val="00107A8E"/>
    <w:rsid w:val="0011071D"/>
    <w:rsid w:val="00110A98"/>
    <w:rsid w:val="00110AB4"/>
    <w:rsid w:val="00111107"/>
    <w:rsid w:val="001114E8"/>
    <w:rsid w:val="00111B5C"/>
    <w:rsid w:val="00111EAF"/>
    <w:rsid w:val="00112ACD"/>
    <w:rsid w:val="00112C46"/>
    <w:rsid w:val="0011441F"/>
    <w:rsid w:val="00116BFA"/>
    <w:rsid w:val="0012075B"/>
    <w:rsid w:val="001223FF"/>
    <w:rsid w:val="001233D1"/>
    <w:rsid w:val="00123B77"/>
    <w:rsid w:val="00123D34"/>
    <w:rsid w:val="00123E02"/>
    <w:rsid w:val="00124283"/>
    <w:rsid w:val="00124565"/>
    <w:rsid w:val="00124BD0"/>
    <w:rsid w:val="00124FAE"/>
    <w:rsid w:val="001256EE"/>
    <w:rsid w:val="00125B73"/>
    <w:rsid w:val="00126F4C"/>
    <w:rsid w:val="00127DB0"/>
    <w:rsid w:val="00130050"/>
    <w:rsid w:val="00130939"/>
    <w:rsid w:val="00132E9A"/>
    <w:rsid w:val="0013302D"/>
    <w:rsid w:val="00134B62"/>
    <w:rsid w:val="001350F9"/>
    <w:rsid w:val="0013579A"/>
    <w:rsid w:val="00135A5D"/>
    <w:rsid w:val="0013636A"/>
    <w:rsid w:val="00136425"/>
    <w:rsid w:val="001368FE"/>
    <w:rsid w:val="00137874"/>
    <w:rsid w:val="00137F3D"/>
    <w:rsid w:val="00140664"/>
    <w:rsid w:val="00140C16"/>
    <w:rsid w:val="00141A81"/>
    <w:rsid w:val="00141AC8"/>
    <w:rsid w:val="00141AD4"/>
    <w:rsid w:val="00141B68"/>
    <w:rsid w:val="00142A92"/>
    <w:rsid w:val="00144342"/>
    <w:rsid w:val="00144C58"/>
    <w:rsid w:val="00146157"/>
    <w:rsid w:val="00147D47"/>
    <w:rsid w:val="00151369"/>
    <w:rsid w:val="00151841"/>
    <w:rsid w:val="00151BC6"/>
    <w:rsid w:val="00151C12"/>
    <w:rsid w:val="00151EC9"/>
    <w:rsid w:val="00151F29"/>
    <w:rsid w:val="0015293C"/>
    <w:rsid w:val="00152D65"/>
    <w:rsid w:val="00153723"/>
    <w:rsid w:val="00153B7C"/>
    <w:rsid w:val="00153EEB"/>
    <w:rsid w:val="0015467B"/>
    <w:rsid w:val="001551AF"/>
    <w:rsid w:val="00155ADB"/>
    <w:rsid w:val="00156567"/>
    <w:rsid w:val="00156A26"/>
    <w:rsid w:val="001578B7"/>
    <w:rsid w:val="00157E49"/>
    <w:rsid w:val="00161CE2"/>
    <w:rsid w:val="00162B4A"/>
    <w:rsid w:val="001645CA"/>
    <w:rsid w:val="0016489D"/>
    <w:rsid w:val="00164C04"/>
    <w:rsid w:val="00165091"/>
    <w:rsid w:val="0016526D"/>
    <w:rsid w:val="00165CAF"/>
    <w:rsid w:val="001663C5"/>
    <w:rsid w:val="00167917"/>
    <w:rsid w:val="001706F0"/>
    <w:rsid w:val="00170A55"/>
    <w:rsid w:val="0017149E"/>
    <w:rsid w:val="0017178F"/>
    <w:rsid w:val="00171A6D"/>
    <w:rsid w:val="00171F24"/>
    <w:rsid w:val="00172DE3"/>
    <w:rsid w:val="001736E1"/>
    <w:rsid w:val="00173927"/>
    <w:rsid w:val="0017398B"/>
    <w:rsid w:val="00173CAC"/>
    <w:rsid w:val="0017407E"/>
    <w:rsid w:val="00174800"/>
    <w:rsid w:val="001755A6"/>
    <w:rsid w:val="00175DD1"/>
    <w:rsid w:val="00175F90"/>
    <w:rsid w:val="00176170"/>
    <w:rsid w:val="0017652E"/>
    <w:rsid w:val="00177B49"/>
    <w:rsid w:val="00180C9B"/>
    <w:rsid w:val="00181954"/>
    <w:rsid w:val="00182BFD"/>
    <w:rsid w:val="00182EC8"/>
    <w:rsid w:val="00183DED"/>
    <w:rsid w:val="001846DD"/>
    <w:rsid w:val="001847B4"/>
    <w:rsid w:val="00184898"/>
    <w:rsid w:val="00184A7D"/>
    <w:rsid w:val="00185096"/>
    <w:rsid w:val="001851C5"/>
    <w:rsid w:val="001854FF"/>
    <w:rsid w:val="00185721"/>
    <w:rsid w:val="001858FD"/>
    <w:rsid w:val="00185980"/>
    <w:rsid w:val="00185DC4"/>
    <w:rsid w:val="001863DE"/>
    <w:rsid w:val="001863EF"/>
    <w:rsid w:val="00186841"/>
    <w:rsid w:val="001869F6"/>
    <w:rsid w:val="00186EB4"/>
    <w:rsid w:val="00187305"/>
    <w:rsid w:val="001876C7"/>
    <w:rsid w:val="00187F6E"/>
    <w:rsid w:val="001907DA"/>
    <w:rsid w:val="00191000"/>
    <w:rsid w:val="00191A3A"/>
    <w:rsid w:val="00192989"/>
    <w:rsid w:val="00192D1A"/>
    <w:rsid w:val="00192FB4"/>
    <w:rsid w:val="001938BD"/>
    <w:rsid w:val="001940AF"/>
    <w:rsid w:val="001943AC"/>
    <w:rsid w:val="00194ED0"/>
    <w:rsid w:val="00196714"/>
    <w:rsid w:val="00196802"/>
    <w:rsid w:val="00196E47"/>
    <w:rsid w:val="00196F3E"/>
    <w:rsid w:val="001A03CE"/>
    <w:rsid w:val="001A0E21"/>
    <w:rsid w:val="001A16E5"/>
    <w:rsid w:val="001A1974"/>
    <w:rsid w:val="001A382C"/>
    <w:rsid w:val="001A3A28"/>
    <w:rsid w:val="001A442B"/>
    <w:rsid w:val="001A48A0"/>
    <w:rsid w:val="001A55B6"/>
    <w:rsid w:val="001A6A28"/>
    <w:rsid w:val="001A7766"/>
    <w:rsid w:val="001A7AD3"/>
    <w:rsid w:val="001A7B7E"/>
    <w:rsid w:val="001B032E"/>
    <w:rsid w:val="001B0755"/>
    <w:rsid w:val="001B09EA"/>
    <w:rsid w:val="001B1F0E"/>
    <w:rsid w:val="001B2443"/>
    <w:rsid w:val="001B2612"/>
    <w:rsid w:val="001B29B0"/>
    <w:rsid w:val="001B32CE"/>
    <w:rsid w:val="001B3979"/>
    <w:rsid w:val="001B3C5C"/>
    <w:rsid w:val="001B3D7F"/>
    <w:rsid w:val="001B4731"/>
    <w:rsid w:val="001B5108"/>
    <w:rsid w:val="001B55A4"/>
    <w:rsid w:val="001B57B8"/>
    <w:rsid w:val="001B62AB"/>
    <w:rsid w:val="001B6F36"/>
    <w:rsid w:val="001B7D1E"/>
    <w:rsid w:val="001C035F"/>
    <w:rsid w:val="001C04DE"/>
    <w:rsid w:val="001C24D0"/>
    <w:rsid w:val="001C29D2"/>
    <w:rsid w:val="001C2B7D"/>
    <w:rsid w:val="001C3862"/>
    <w:rsid w:val="001C4E00"/>
    <w:rsid w:val="001C4FBF"/>
    <w:rsid w:val="001C5150"/>
    <w:rsid w:val="001C5F8E"/>
    <w:rsid w:val="001C675D"/>
    <w:rsid w:val="001C6EAE"/>
    <w:rsid w:val="001C70A8"/>
    <w:rsid w:val="001C723A"/>
    <w:rsid w:val="001C773E"/>
    <w:rsid w:val="001C7BA9"/>
    <w:rsid w:val="001D09F1"/>
    <w:rsid w:val="001D100B"/>
    <w:rsid w:val="001D1B04"/>
    <w:rsid w:val="001D3E6F"/>
    <w:rsid w:val="001D508A"/>
    <w:rsid w:val="001D77E8"/>
    <w:rsid w:val="001D7DF0"/>
    <w:rsid w:val="001E1A59"/>
    <w:rsid w:val="001E1D98"/>
    <w:rsid w:val="001E22DC"/>
    <w:rsid w:val="001E33FA"/>
    <w:rsid w:val="001E3C40"/>
    <w:rsid w:val="001E3CEB"/>
    <w:rsid w:val="001E4ED8"/>
    <w:rsid w:val="001E51AE"/>
    <w:rsid w:val="001E6423"/>
    <w:rsid w:val="001E6E8A"/>
    <w:rsid w:val="001E7A37"/>
    <w:rsid w:val="001F133B"/>
    <w:rsid w:val="001F1504"/>
    <w:rsid w:val="001F211C"/>
    <w:rsid w:val="001F39F9"/>
    <w:rsid w:val="001F40F7"/>
    <w:rsid w:val="001F4B4A"/>
    <w:rsid w:val="001F565A"/>
    <w:rsid w:val="001F574E"/>
    <w:rsid w:val="001F57EC"/>
    <w:rsid w:val="001F5F4E"/>
    <w:rsid w:val="001F603D"/>
    <w:rsid w:val="001F63AE"/>
    <w:rsid w:val="00200317"/>
    <w:rsid w:val="00200CFE"/>
    <w:rsid w:val="002018E7"/>
    <w:rsid w:val="00201AF6"/>
    <w:rsid w:val="002023E5"/>
    <w:rsid w:val="0020251E"/>
    <w:rsid w:val="0020377B"/>
    <w:rsid w:val="00203B06"/>
    <w:rsid w:val="00203D5C"/>
    <w:rsid w:val="00204C13"/>
    <w:rsid w:val="00206851"/>
    <w:rsid w:val="0020691A"/>
    <w:rsid w:val="00206DF8"/>
    <w:rsid w:val="00206EF0"/>
    <w:rsid w:val="00207833"/>
    <w:rsid w:val="00207D44"/>
    <w:rsid w:val="00211076"/>
    <w:rsid w:val="0021129D"/>
    <w:rsid w:val="00211906"/>
    <w:rsid w:val="002119DF"/>
    <w:rsid w:val="00212962"/>
    <w:rsid w:val="00212A67"/>
    <w:rsid w:val="00212F93"/>
    <w:rsid w:val="00213D1A"/>
    <w:rsid w:val="00213E65"/>
    <w:rsid w:val="002149B2"/>
    <w:rsid w:val="0021506B"/>
    <w:rsid w:val="00215DFA"/>
    <w:rsid w:val="00216E5C"/>
    <w:rsid w:val="002179F1"/>
    <w:rsid w:val="00221675"/>
    <w:rsid w:val="002218E7"/>
    <w:rsid w:val="00222626"/>
    <w:rsid w:val="00222CA9"/>
    <w:rsid w:val="002230F2"/>
    <w:rsid w:val="002248F3"/>
    <w:rsid w:val="00224EDF"/>
    <w:rsid w:val="00224FDF"/>
    <w:rsid w:val="00226F40"/>
    <w:rsid w:val="00227202"/>
    <w:rsid w:val="002274E2"/>
    <w:rsid w:val="00227689"/>
    <w:rsid w:val="00227858"/>
    <w:rsid w:val="00227B8D"/>
    <w:rsid w:val="002301D8"/>
    <w:rsid w:val="0023091A"/>
    <w:rsid w:val="00230A0B"/>
    <w:rsid w:val="00230DE9"/>
    <w:rsid w:val="002310BE"/>
    <w:rsid w:val="002314DB"/>
    <w:rsid w:val="0023363C"/>
    <w:rsid w:val="00233EFA"/>
    <w:rsid w:val="00234128"/>
    <w:rsid w:val="002347C8"/>
    <w:rsid w:val="00234AD8"/>
    <w:rsid w:val="00235070"/>
    <w:rsid w:val="0023520A"/>
    <w:rsid w:val="0023574E"/>
    <w:rsid w:val="0023588D"/>
    <w:rsid w:val="00235F93"/>
    <w:rsid w:val="00236616"/>
    <w:rsid w:val="002367E2"/>
    <w:rsid w:val="0023744B"/>
    <w:rsid w:val="00241E4F"/>
    <w:rsid w:val="00242625"/>
    <w:rsid w:val="00242D14"/>
    <w:rsid w:val="00244CF0"/>
    <w:rsid w:val="002450C0"/>
    <w:rsid w:val="0024516B"/>
    <w:rsid w:val="0024644F"/>
    <w:rsid w:val="00246602"/>
    <w:rsid w:val="00246C82"/>
    <w:rsid w:val="0024796D"/>
    <w:rsid w:val="00247A19"/>
    <w:rsid w:val="002502F9"/>
    <w:rsid w:val="00250907"/>
    <w:rsid w:val="00250BFA"/>
    <w:rsid w:val="00250C9F"/>
    <w:rsid w:val="00252A49"/>
    <w:rsid w:val="00252BA1"/>
    <w:rsid w:val="00252D92"/>
    <w:rsid w:val="002533A6"/>
    <w:rsid w:val="002540C3"/>
    <w:rsid w:val="00254B8C"/>
    <w:rsid w:val="00255570"/>
    <w:rsid w:val="002555F3"/>
    <w:rsid w:val="00255BF3"/>
    <w:rsid w:val="00256B5A"/>
    <w:rsid w:val="00256BC8"/>
    <w:rsid w:val="00260370"/>
    <w:rsid w:val="0026058D"/>
    <w:rsid w:val="00260FA0"/>
    <w:rsid w:val="0026121D"/>
    <w:rsid w:val="002616EC"/>
    <w:rsid w:val="002621C7"/>
    <w:rsid w:val="002622E8"/>
    <w:rsid w:val="00262499"/>
    <w:rsid w:val="00263351"/>
    <w:rsid w:val="002635B0"/>
    <w:rsid w:val="00264A31"/>
    <w:rsid w:val="00266845"/>
    <w:rsid w:val="002675FB"/>
    <w:rsid w:val="002702EF"/>
    <w:rsid w:val="00270419"/>
    <w:rsid w:val="00270DE7"/>
    <w:rsid w:val="00271FCD"/>
    <w:rsid w:val="002724C2"/>
    <w:rsid w:val="00272897"/>
    <w:rsid w:val="00273225"/>
    <w:rsid w:val="00273389"/>
    <w:rsid w:val="00273969"/>
    <w:rsid w:val="00273C8C"/>
    <w:rsid w:val="00274651"/>
    <w:rsid w:val="00275124"/>
    <w:rsid w:val="00275184"/>
    <w:rsid w:val="00276446"/>
    <w:rsid w:val="00276A25"/>
    <w:rsid w:val="00276F8A"/>
    <w:rsid w:val="0027769E"/>
    <w:rsid w:val="0027783C"/>
    <w:rsid w:val="00280D09"/>
    <w:rsid w:val="002812D0"/>
    <w:rsid w:val="00281425"/>
    <w:rsid w:val="00281D61"/>
    <w:rsid w:val="00281FA6"/>
    <w:rsid w:val="002838AC"/>
    <w:rsid w:val="00283C9B"/>
    <w:rsid w:val="00285BC0"/>
    <w:rsid w:val="002879BB"/>
    <w:rsid w:val="00287A94"/>
    <w:rsid w:val="00287DE6"/>
    <w:rsid w:val="00290BCF"/>
    <w:rsid w:val="00290E26"/>
    <w:rsid w:val="00292145"/>
    <w:rsid w:val="002924D4"/>
    <w:rsid w:val="0029297A"/>
    <w:rsid w:val="00292A18"/>
    <w:rsid w:val="00292B59"/>
    <w:rsid w:val="00293882"/>
    <w:rsid w:val="00294B03"/>
    <w:rsid w:val="00295654"/>
    <w:rsid w:val="002961B6"/>
    <w:rsid w:val="002968B8"/>
    <w:rsid w:val="00297F99"/>
    <w:rsid w:val="002A0041"/>
    <w:rsid w:val="002A175B"/>
    <w:rsid w:val="002A1EB1"/>
    <w:rsid w:val="002A30FA"/>
    <w:rsid w:val="002A392D"/>
    <w:rsid w:val="002A3930"/>
    <w:rsid w:val="002A454C"/>
    <w:rsid w:val="002A476C"/>
    <w:rsid w:val="002A47D2"/>
    <w:rsid w:val="002A4C2C"/>
    <w:rsid w:val="002A4F65"/>
    <w:rsid w:val="002A735D"/>
    <w:rsid w:val="002A74D7"/>
    <w:rsid w:val="002B049D"/>
    <w:rsid w:val="002B0C2C"/>
    <w:rsid w:val="002B163B"/>
    <w:rsid w:val="002B268F"/>
    <w:rsid w:val="002B29C2"/>
    <w:rsid w:val="002B2AD6"/>
    <w:rsid w:val="002B3B7F"/>
    <w:rsid w:val="002B4806"/>
    <w:rsid w:val="002B4941"/>
    <w:rsid w:val="002B4D8D"/>
    <w:rsid w:val="002B4E62"/>
    <w:rsid w:val="002B56FB"/>
    <w:rsid w:val="002B6C1B"/>
    <w:rsid w:val="002B6EEE"/>
    <w:rsid w:val="002B7679"/>
    <w:rsid w:val="002B7C39"/>
    <w:rsid w:val="002C1B4F"/>
    <w:rsid w:val="002C1FE4"/>
    <w:rsid w:val="002C3D52"/>
    <w:rsid w:val="002C3E67"/>
    <w:rsid w:val="002C420C"/>
    <w:rsid w:val="002C44BC"/>
    <w:rsid w:val="002C4B6F"/>
    <w:rsid w:val="002C640E"/>
    <w:rsid w:val="002C74C1"/>
    <w:rsid w:val="002C7B25"/>
    <w:rsid w:val="002D27A2"/>
    <w:rsid w:val="002D2952"/>
    <w:rsid w:val="002D3000"/>
    <w:rsid w:val="002D3C7C"/>
    <w:rsid w:val="002D3F0D"/>
    <w:rsid w:val="002D68E5"/>
    <w:rsid w:val="002D6B7D"/>
    <w:rsid w:val="002E01CA"/>
    <w:rsid w:val="002E02F8"/>
    <w:rsid w:val="002E05A5"/>
    <w:rsid w:val="002E092A"/>
    <w:rsid w:val="002E1020"/>
    <w:rsid w:val="002E15B1"/>
    <w:rsid w:val="002E3018"/>
    <w:rsid w:val="002E5A89"/>
    <w:rsid w:val="002E5F2F"/>
    <w:rsid w:val="002E6643"/>
    <w:rsid w:val="002E7451"/>
    <w:rsid w:val="002E7BDA"/>
    <w:rsid w:val="002F1383"/>
    <w:rsid w:val="002F4437"/>
    <w:rsid w:val="002F583E"/>
    <w:rsid w:val="002F6476"/>
    <w:rsid w:val="002F67F3"/>
    <w:rsid w:val="002F7339"/>
    <w:rsid w:val="00300159"/>
    <w:rsid w:val="00300339"/>
    <w:rsid w:val="0030062C"/>
    <w:rsid w:val="00301B5A"/>
    <w:rsid w:val="00303262"/>
    <w:rsid w:val="0030346B"/>
    <w:rsid w:val="003034FF"/>
    <w:rsid w:val="003036BB"/>
    <w:rsid w:val="00303BC8"/>
    <w:rsid w:val="00304024"/>
    <w:rsid w:val="00304D6B"/>
    <w:rsid w:val="00305858"/>
    <w:rsid w:val="00306292"/>
    <w:rsid w:val="00306353"/>
    <w:rsid w:val="00306543"/>
    <w:rsid w:val="00306CA9"/>
    <w:rsid w:val="003070B7"/>
    <w:rsid w:val="0031065A"/>
    <w:rsid w:val="003114F4"/>
    <w:rsid w:val="00312498"/>
    <w:rsid w:val="00312B8F"/>
    <w:rsid w:val="0031422D"/>
    <w:rsid w:val="00314A3C"/>
    <w:rsid w:val="00314EDE"/>
    <w:rsid w:val="003150A0"/>
    <w:rsid w:val="003159DF"/>
    <w:rsid w:val="0031630B"/>
    <w:rsid w:val="00316477"/>
    <w:rsid w:val="00316E06"/>
    <w:rsid w:val="0031732B"/>
    <w:rsid w:val="00317997"/>
    <w:rsid w:val="00317A72"/>
    <w:rsid w:val="0032006A"/>
    <w:rsid w:val="00320405"/>
    <w:rsid w:val="003216A8"/>
    <w:rsid w:val="00321B71"/>
    <w:rsid w:val="00322324"/>
    <w:rsid w:val="00322489"/>
    <w:rsid w:val="00323E73"/>
    <w:rsid w:val="00325F1B"/>
    <w:rsid w:val="00326F24"/>
    <w:rsid w:val="00327830"/>
    <w:rsid w:val="003300AB"/>
    <w:rsid w:val="00331082"/>
    <w:rsid w:val="00332395"/>
    <w:rsid w:val="003323EC"/>
    <w:rsid w:val="0033474E"/>
    <w:rsid w:val="00337C03"/>
    <w:rsid w:val="0034040C"/>
    <w:rsid w:val="00340547"/>
    <w:rsid w:val="00341569"/>
    <w:rsid w:val="00341E29"/>
    <w:rsid w:val="0034310E"/>
    <w:rsid w:val="00343EA0"/>
    <w:rsid w:val="00344CF9"/>
    <w:rsid w:val="00345234"/>
    <w:rsid w:val="003477AD"/>
    <w:rsid w:val="00347CAE"/>
    <w:rsid w:val="003503D4"/>
    <w:rsid w:val="003509D3"/>
    <w:rsid w:val="00350C79"/>
    <w:rsid w:val="00351252"/>
    <w:rsid w:val="003518A8"/>
    <w:rsid w:val="00351BC7"/>
    <w:rsid w:val="003538B2"/>
    <w:rsid w:val="0035404B"/>
    <w:rsid w:val="00354098"/>
    <w:rsid w:val="003559F6"/>
    <w:rsid w:val="00356378"/>
    <w:rsid w:val="003574EB"/>
    <w:rsid w:val="003576E4"/>
    <w:rsid w:val="00357BBA"/>
    <w:rsid w:val="003600C9"/>
    <w:rsid w:val="00360A32"/>
    <w:rsid w:val="00361344"/>
    <w:rsid w:val="003615B0"/>
    <w:rsid w:val="00361755"/>
    <w:rsid w:val="00363223"/>
    <w:rsid w:val="00363496"/>
    <w:rsid w:val="00363690"/>
    <w:rsid w:val="0036414E"/>
    <w:rsid w:val="00364C19"/>
    <w:rsid w:val="00364E8F"/>
    <w:rsid w:val="00371E1D"/>
    <w:rsid w:val="00372222"/>
    <w:rsid w:val="003733D6"/>
    <w:rsid w:val="00373C06"/>
    <w:rsid w:val="00373D0E"/>
    <w:rsid w:val="00374D69"/>
    <w:rsid w:val="00374E53"/>
    <w:rsid w:val="00375EFE"/>
    <w:rsid w:val="003760DC"/>
    <w:rsid w:val="003763D3"/>
    <w:rsid w:val="0037723B"/>
    <w:rsid w:val="003775FF"/>
    <w:rsid w:val="003777D6"/>
    <w:rsid w:val="00377C7C"/>
    <w:rsid w:val="00380C6E"/>
    <w:rsid w:val="0038106C"/>
    <w:rsid w:val="00381826"/>
    <w:rsid w:val="0038199E"/>
    <w:rsid w:val="00382511"/>
    <w:rsid w:val="003829E6"/>
    <w:rsid w:val="00383327"/>
    <w:rsid w:val="003834D3"/>
    <w:rsid w:val="003835CE"/>
    <w:rsid w:val="00383825"/>
    <w:rsid w:val="003845C5"/>
    <w:rsid w:val="00384D14"/>
    <w:rsid w:val="0038542D"/>
    <w:rsid w:val="00385EFA"/>
    <w:rsid w:val="003868FC"/>
    <w:rsid w:val="0039108B"/>
    <w:rsid w:val="0039153C"/>
    <w:rsid w:val="00391BEC"/>
    <w:rsid w:val="00391E77"/>
    <w:rsid w:val="003935CF"/>
    <w:rsid w:val="00393A38"/>
    <w:rsid w:val="00394470"/>
    <w:rsid w:val="003949D2"/>
    <w:rsid w:val="00394F97"/>
    <w:rsid w:val="00395001"/>
    <w:rsid w:val="003951A5"/>
    <w:rsid w:val="003959DC"/>
    <w:rsid w:val="00395D51"/>
    <w:rsid w:val="00396252"/>
    <w:rsid w:val="00396F8B"/>
    <w:rsid w:val="00397553"/>
    <w:rsid w:val="003977E8"/>
    <w:rsid w:val="00397F1F"/>
    <w:rsid w:val="003A00E0"/>
    <w:rsid w:val="003A085B"/>
    <w:rsid w:val="003A0A1B"/>
    <w:rsid w:val="003A1DEA"/>
    <w:rsid w:val="003A2431"/>
    <w:rsid w:val="003A262C"/>
    <w:rsid w:val="003A34CC"/>
    <w:rsid w:val="003A3F24"/>
    <w:rsid w:val="003A4E6C"/>
    <w:rsid w:val="003A4FC4"/>
    <w:rsid w:val="003A6A60"/>
    <w:rsid w:val="003A718B"/>
    <w:rsid w:val="003A73A2"/>
    <w:rsid w:val="003B003F"/>
    <w:rsid w:val="003B0D7C"/>
    <w:rsid w:val="003B0E1B"/>
    <w:rsid w:val="003B1AFC"/>
    <w:rsid w:val="003B1DC0"/>
    <w:rsid w:val="003B2243"/>
    <w:rsid w:val="003B264F"/>
    <w:rsid w:val="003B33CF"/>
    <w:rsid w:val="003B44F9"/>
    <w:rsid w:val="003B4BB6"/>
    <w:rsid w:val="003B4E92"/>
    <w:rsid w:val="003B5693"/>
    <w:rsid w:val="003B5D2E"/>
    <w:rsid w:val="003C020A"/>
    <w:rsid w:val="003C04D7"/>
    <w:rsid w:val="003C1601"/>
    <w:rsid w:val="003C25EE"/>
    <w:rsid w:val="003C2B85"/>
    <w:rsid w:val="003C2C27"/>
    <w:rsid w:val="003C42D6"/>
    <w:rsid w:val="003C4730"/>
    <w:rsid w:val="003C4A38"/>
    <w:rsid w:val="003C6272"/>
    <w:rsid w:val="003C636A"/>
    <w:rsid w:val="003C6D57"/>
    <w:rsid w:val="003C6FF1"/>
    <w:rsid w:val="003C7720"/>
    <w:rsid w:val="003C7A88"/>
    <w:rsid w:val="003C7CB1"/>
    <w:rsid w:val="003D0514"/>
    <w:rsid w:val="003D05C6"/>
    <w:rsid w:val="003D1CFB"/>
    <w:rsid w:val="003D2272"/>
    <w:rsid w:val="003D3021"/>
    <w:rsid w:val="003D3D32"/>
    <w:rsid w:val="003D493E"/>
    <w:rsid w:val="003D4EB2"/>
    <w:rsid w:val="003D571E"/>
    <w:rsid w:val="003D6780"/>
    <w:rsid w:val="003D6E17"/>
    <w:rsid w:val="003D72FE"/>
    <w:rsid w:val="003D75CB"/>
    <w:rsid w:val="003D7B3A"/>
    <w:rsid w:val="003E0489"/>
    <w:rsid w:val="003E1E5C"/>
    <w:rsid w:val="003E2615"/>
    <w:rsid w:val="003E2D67"/>
    <w:rsid w:val="003E35B7"/>
    <w:rsid w:val="003E36AD"/>
    <w:rsid w:val="003E3903"/>
    <w:rsid w:val="003E3990"/>
    <w:rsid w:val="003E4733"/>
    <w:rsid w:val="003E49D8"/>
    <w:rsid w:val="003E4AED"/>
    <w:rsid w:val="003E4B0D"/>
    <w:rsid w:val="003E6A0D"/>
    <w:rsid w:val="003E7128"/>
    <w:rsid w:val="003E7466"/>
    <w:rsid w:val="003E7F6A"/>
    <w:rsid w:val="003F02A7"/>
    <w:rsid w:val="003F2145"/>
    <w:rsid w:val="003F2BEF"/>
    <w:rsid w:val="003F3153"/>
    <w:rsid w:val="003F33BA"/>
    <w:rsid w:val="003F34B5"/>
    <w:rsid w:val="003F3570"/>
    <w:rsid w:val="003F432E"/>
    <w:rsid w:val="003F4A53"/>
    <w:rsid w:val="003F5F63"/>
    <w:rsid w:val="003F7EF3"/>
    <w:rsid w:val="00400AFF"/>
    <w:rsid w:val="00401698"/>
    <w:rsid w:val="00401699"/>
    <w:rsid w:val="004017DA"/>
    <w:rsid w:val="00401E38"/>
    <w:rsid w:val="00402959"/>
    <w:rsid w:val="00403015"/>
    <w:rsid w:val="0040326B"/>
    <w:rsid w:val="00403BFA"/>
    <w:rsid w:val="00403C1D"/>
    <w:rsid w:val="0040461E"/>
    <w:rsid w:val="00404FE4"/>
    <w:rsid w:val="00405154"/>
    <w:rsid w:val="004052B1"/>
    <w:rsid w:val="004063F5"/>
    <w:rsid w:val="0040659B"/>
    <w:rsid w:val="00406E79"/>
    <w:rsid w:val="00407426"/>
    <w:rsid w:val="00407550"/>
    <w:rsid w:val="00410549"/>
    <w:rsid w:val="00410B32"/>
    <w:rsid w:val="00410F10"/>
    <w:rsid w:val="00411678"/>
    <w:rsid w:val="00411715"/>
    <w:rsid w:val="00411853"/>
    <w:rsid w:val="00413769"/>
    <w:rsid w:val="00413C04"/>
    <w:rsid w:val="0041441F"/>
    <w:rsid w:val="004148E4"/>
    <w:rsid w:val="004149BA"/>
    <w:rsid w:val="00415CCC"/>
    <w:rsid w:val="00416192"/>
    <w:rsid w:val="00417E8C"/>
    <w:rsid w:val="00417ECA"/>
    <w:rsid w:val="00422C6E"/>
    <w:rsid w:val="004236AB"/>
    <w:rsid w:val="00423DF2"/>
    <w:rsid w:val="0042440D"/>
    <w:rsid w:val="00426DE3"/>
    <w:rsid w:val="0042732D"/>
    <w:rsid w:val="00427655"/>
    <w:rsid w:val="00430033"/>
    <w:rsid w:val="004301F0"/>
    <w:rsid w:val="004305EA"/>
    <w:rsid w:val="004308BF"/>
    <w:rsid w:val="00430C1F"/>
    <w:rsid w:val="00431696"/>
    <w:rsid w:val="00431830"/>
    <w:rsid w:val="00431B71"/>
    <w:rsid w:val="00432BA2"/>
    <w:rsid w:val="00432DBE"/>
    <w:rsid w:val="00432F45"/>
    <w:rsid w:val="00433263"/>
    <w:rsid w:val="004337C9"/>
    <w:rsid w:val="0043399C"/>
    <w:rsid w:val="004353A7"/>
    <w:rsid w:val="0043582F"/>
    <w:rsid w:val="00435E3E"/>
    <w:rsid w:val="00436359"/>
    <w:rsid w:val="00437034"/>
    <w:rsid w:val="00437961"/>
    <w:rsid w:val="00437FF4"/>
    <w:rsid w:val="004400B6"/>
    <w:rsid w:val="0044073E"/>
    <w:rsid w:val="00441196"/>
    <w:rsid w:val="004424AB"/>
    <w:rsid w:val="00442B51"/>
    <w:rsid w:val="0044319A"/>
    <w:rsid w:val="00443A66"/>
    <w:rsid w:val="004450C6"/>
    <w:rsid w:val="004478B6"/>
    <w:rsid w:val="004479CE"/>
    <w:rsid w:val="0045019D"/>
    <w:rsid w:val="00451655"/>
    <w:rsid w:val="00452136"/>
    <w:rsid w:val="0045302E"/>
    <w:rsid w:val="0045306B"/>
    <w:rsid w:val="00453C7F"/>
    <w:rsid w:val="00453ED2"/>
    <w:rsid w:val="004544C4"/>
    <w:rsid w:val="00455958"/>
    <w:rsid w:val="00455B40"/>
    <w:rsid w:val="00455CA0"/>
    <w:rsid w:val="00455F70"/>
    <w:rsid w:val="00456819"/>
    <w:rsid w:val="00457F5F"/>
    <w:rsid w:val="0046137F"/>
    <w:rsid w:val="00461B69"/>
    <w:rsid w:val="00462DCC"/>
    <w:rsid w:val="00462FBE"/>
    <w:rsid w:val="0046300F"/>
    <w:rsid w:val="00464ED6"/>
    <w:rsid w:val="0046573D"/>
    <w:rsid w:val="004678B6"/>
    <w:rsid w:val="00467FF5"/>
    <w:rsid w:val="004706C5"/>
    <w:rsid w:val="00470EEF"/>
    <w:rsid w:val="00471768"/>
    <w:rsid w:val="00471B02"/>
    <w:rsid w:val="0047207A"/>
    <w:rsid w:val="00476639"/>
    <w:rsid w:val="00477DB1"/>
    <w:rsid w:val="004801D0"/>
    <w:rsid w:val="00480FC4"/>
    <w:rsid w:val="00481FE4"/>
    <w:rsid w:val="00482F4C"/>
    <w:rsid w:val="00483B57"/>
    <w:rsid w:val="004841D5"/>
    <w:rsid w:val="004842A3"/>
    <w:rsid w:val="00484D66"/>
    <w:rsid w:val="00485568"/>
    <w:rsid w:val="00485778"/>
    <w:rsid w:val="0048589A"/>
    <w:rsid w:val="004911E8"/>
    <w:rsid w:val="00491726"/>
    <w:rsid w:val="00492255"/>
    <w:rsid w:val="0049255C"/>
    <w:rsid w:val="004934FE"/>
    <w:rsid w:val="004935E6"/>
    <w:rsid w:val="00494045"/>
    <w:rsid w:val="00494630"/>
    <w:rsid w:val="0049568D"/>
    <w:rsid w:val="00495771"/>
    <w:rsid w:val="00495E99"/>
    <w:rsid w:val="004964B4"/>
    <w:rsid w:val="00496D59"/>
    <w:rsid w:val="00497505"/>
    <w:rsid w:val="00497924"/>
    <w:rsid w:val="00497E94"/>
    <w:rsid w:val="004A1A38"/>
    <w:rsid w:val="004A1B15"/>
    <w:rsid w:val="004A40BF"/>
    <w:rsid w:val="004A40DC"/>
    <w:rsid w:val="004A4164"/>
    <w:rsid w:val="004A4180"/>
    <w:rsid w:val="004A446D"/>
    <w:rsid w:val="004A5C62"/>
    <w:rsid w:val="004A62DC"/>
    <w:rsid w:val="004A6C20"/>
    <w:rsid w:val="004A6D3E"/>
    <w:rsid w:val="004A77D2"/>
    <w:rsid w:val="004B003C"/>
    <w:rsid w:val="004B117E"/>
    <w:rsid w:val="004B1751"/>
    <w:rsid w:val="004B2A8D"/>
    <w:rsid w:val="004B3B8D"/>
    <w:rsid w:val="004B437B"/>
    <w:rsid w:val="004B4988"/>
    <w:rsid w:val="004B666C"/>
    <w:rsid w:val="004B7144"/>
    <w:rsid w:val="004B7371"/>
    <w:rsid w:val="004C1F41"/>
    <w:rsid w:val="004C1FCF"/>
    <w:rsid w:val="004C3212"/>
    <w:rsid w:val="004C43AE"/>
    <w:rsid w:val="004C4BFC"/>
    <w:rsid w:val="004C5D38"/>
    <w:rsid w:val="004C6474"/>
    <w:rsid w:val="004C752A"/>
    <w:rsid w:val="004C7E16"/>
    <w:rsid w:val="004D07CB"/>
    <w:rsid w:val="004D23C5"/>
    <w:rsid w:val="004D546F"/>
    <w:rsid w:val="004D5FFD"/>
    <w:rsid w:val="004D603A"/>
    <w:rsid w:val="004D728B"/>
    <w:rsid w:val="004E1072"/>
    <w:rsid w:val="004E1353"/>
    <w:rsid w:val="004E15F9"/>
    <w:rsid w:val="004E1889"/>
    <w:rsid w:val="004E2C92"/>
    <w:rsid w:val="004E2F6A"/>
    <w:rsid w:val="004E358E"/>
    <w:rsid w:val="004E3747"/>
    <w:rsid w:val="004E39FE"/>
    <w:rsid w:val="004E47A6"/>
    <w:rsid w:val="004E49AF"/>
    <w:rsid w:val="004E5846"/>
    <w:rsid w:val="004E679E"/>
    <w:rsid w:val="004E76C1"/>
    <w:rsid w:val="004E7FCA"/>
    <w:rsid w:val="004F0159"/>
    <w:rsid w:val="004F1C8F"/>
    <w:rsid w:val="004F338A"/>
    <w:rsid w:val="004F3C30"/>
    <w:rsid w:val="004F3DD9"/>
    <w:rsid w:val="004F3E6F"/>
    <w:rsid w:val="004F45F4"/>
    <w:rsid w:val="004F48F1"/>
    <w:rsid w:val="004F49B6"/>
    <w:rsid w:val="004F5174"/>
    <w:rsid w:val="004F52B1"/>
    <w:rsid w:val="004F6412"/>
    <w:rsid w:val="004F667D"/>
    <w:rsid w:val="004F696D"/>
    <w:rsid w:val="004F69A8"/>
    <w:rsid w:val="004F6A81"/>
    <w:rsid w:val="004F6DAF"/>
    <w:rsid w:val="004F7469"/>
    <w:rsid w:val="004F7B82"/>
    <w:rsid w:val="004F7D6F"/>
    <w:rsid w:val="0050054A"/>
    <w:rsid w:val="00500DCF"/>
    <w:rsid w:val="005014B5"/>
    <w:rsid w:val="005016E8"/>
    <w:rsid w:val="0050177B"/>
    <w:rsid w:val="00501DA3"/>
    <w:rsid w:val="0050437E"/>
    <w:rsid w:val="00504600"/>
    <w:rsid w:val="00505374"/>
    <w:rsid w:val="005061F3"/>
    <w:rsid w:val="005072B8"/>
    <w:rsid w:val="00510221"/>
    <w:rsid w:val="00510978"/>
    <w:rsid w:val="00510B38"/>
    <w:rsid w:val="00511050"/>
    <w:rsid w:val="00511A7F"/>
    <w:rsid w:val="00512A89"/>
    <w:rsid w:val="00513E01"/>
    <w:rsid w:val="00514382"/>
    <w:rsid w:val="005149B3"/>
    <w:rsid w:val="0051500A"/>
    <w:rsid w:val="005155F2"/>
    <w:rsid w:val="00515EA1"/>
    <w:rsid w:val="005168EB"/>
    <w:rsid w:val="00517216"/>
    <w:rsid w:val="00517C61"/>
    <w:rsid w:val="00520CBE"/>
    <w:rsid w:val="005213C5"/>
    <w:rsid w:val="005214E3"/>
    <w:rsid w:val="005216EB"/>
    <w:rsid w:val="005234C5"/>
    <w:rsid w:val="005243C6"/>
    <w:rsid w:val="00524B31"/>
    <w:rsid w:val="005256EB"/>
    <w:rsid w:val="0052581F"/>
    <w:rsid w:val="00526A19"/>
    <w:rsid w:val="00526AAE"/>
    <w:rsid w:val="00526B7A"/>
    <w:rsid w:val="00527CF4"/>
    <w:rsid w:val="00527E74"/>
    <w:rsid w:val="005304DA"/>
    <w:rsid w:val="00530A73"/>
    <w:rsid w:val="00530D66"/>
    <w:rsid w:val="00530EFE"/>
    <w:rsid w:val="00531400"/>
    <w:rsid w:val="00531D54"/>
    <w:rsid w:val="00532B21"/>
    <w:rsid w:val="00533654"/>
    <w:rsid w:val="00533BDE"/>
    <w:rsid w:val="00533F3C"/>
    <w:rsid w:val="005357F4"/>
    <w:rsid w:val="005376A5"/>
    <w:rsid w:val="0053779E"/>
    <w:rsid w:val="00540631"/>
    <w:rsid w:val="005406E3"/>
    <w:rsid w:val="005406FB"/>
    <w:rsid w:val="00540D26"/>
    <w:rsid w:val="0054112A"/>
    <w:rsid w:val="00541215"/>
    <w:rsid w:val="00541FD2"/>
    <w:rsid w:val="005423F1"/>
    <w:rsid w:val="00542DB1"/>
    <w:rsid w:val="00543E97"/>
    <w:rsid w:val="0054412F"/>
    <w:rsid w:val="00544D5B"/>
    <w:rsid w:val="005452A8"/>
    <w:rsid w:val="005462AE"/>
    <w:rsid w:val="00546849"/>
    <w:rsid w:val="00546890"/>
    <w:rsid w:val="00546996"/>
    <w:rsid w:val="00546D75"/>
    <w:rsid w:val="00547560"/>
    <w:rsid w:val="00547C20"/>
    <w:rsid w:val="00550247"/>
    <w:rsid w:val="00550DEA"/>
    <w:rsid w:val="00552EFB"/>
    <w:rsid w:val="005542E8"/>
    <w:rsid w:val="00555119"/>
    <w:rsid w:val="005553B5"/>
    <w:rsid w:val="005561C3"/>
    <w:rsid w:val="005562E3"/>
    <w:rsid w:val="00561078"/>
    <w:rsid w:val="00561721"/>
    <w:rsid w:val="0056173E"/>
    <w:rsid w:val="00561B22"/>
    <w:rsid w:val="0056358E"/>
    <w:rsid w:val="0056412C"/>
    <w:rsid w:val="005642F3"/>
    <w:rsid w:val="005645D0"/>
    <w:rsid w:val="00564D51"/>
    <w:rsid w:val="00564EF2"/>
    <w:rsid w:val="0056699A"/>
    <w:rsid w:val="00566B05"/>
    <w:rsid w:val="0056714C"/>
    <w:rsid w:val="00567DEA"/>
    <w:rsid w:val="0057033C"/>
    <w:rsid w:val="00570EC3"/>
    <w:rsid w:val="00570FAF"/>
    <w:rsid w:val="00571477"/>
    <w:rsid w:val="00571821"/>
    <w:rsid w:val="00571D3A"/>
    <w:rsid w:val="00571F56"/>
    <w:rsid w:val="00572F09"/>
    <w:rsid w:val="005737B9"/>
    <w:rsid w:val="00573BDD"/>
    <w:rsid w:val="005752F1"/>
    <w:rsid w:val="0057537A"/>
    <w:rsid w:val="0057573E"/>
    <w:rsid w:val="005757F2"/>
    <w:rsid w:val="00576259"/>
    <w:rsid w:val="00577C28"/>
    <w:rsid w:val="00577CC7"/>
    <w:rsid w:val="00580FE8"/>
    <w:rsid w:val="00581FD7"/>
    <w:rsid w:val="005829F0"/>
    <w:rsid w:val="00583B17"/>
    <w:rsid w:val="00583C67"/>
    <w:rsid w:val="005853C4"/>
    <w:rsid w:val="00585C19"/>
    <w:rsid w:val="005860AC"/>
    <w:rsid w:val="005864F0"/>
    <w:rsid w:val="00591B3E"/>
    <w:rsid w:val="00592EF7"/>
    <w:rsid w:val="005930B2"/>
    <w:rsid w:val="00593AAF"/>
    <w:rsid w:val="00593AF4"/>
    <w:rsid w:val="00593CD2"/>
    <w:rsid w:val="0059458D"/>
    <w:rsid w:val="0059567C"/>
    <w:rsid w:val="0059573C"/>
    <w:rsid w:val="00596CBD"/>
    <w:rsid w:val="005977EC"/>
    <w:rsid w:val="005A04A1"/>
    <w:rsid w:val="005A0A0F"/>
    <w:rsid w:val="005A1057"/>
    <w:rsid w:val="005A1E9D"/>
    <w:rsid w:val="005A21E6"/>
    <w:rsid w:val="005A2470"/>
    <w:rsid w:val="005A4B84"/>
    <w:rsid w:val="005A61E8"/>
    <w:rsid w:val="005A6854"/>
    <w:rsid w:val="005A74CD"/>
    <w:rsid w:val="005B05BE"/>
    <w:rsid w:val="005B0685"/>
    <w:rsid w:val="005B08BB"/>
    <w:rsid w:val="005B0B75"/>
    <w:rsid w:val="005B0D32"/>
    <w:rsid w:val="005B10E4"/>
    <w:rsid w:val="005B19AC"/>
    <w:rsid w:val="005B1A71"/>
    <w:rsid w:val="005B1B4C"/>
    <w:rsid w:val="005B20A2"/>
    <w:rsid w:val="005B2881"/>
    <w:rsid w:val="005B295C"/>
    <w:rsid w:val="005B309B"/>
    <w:rsid w:val="005B3E56"/>
    <w:rsid w:val="005B3F1F"/>
    <w:rsid w:val="005B3FC2"/>
    <w:rsid w:val="005B4379"/>
    <w:rsid w:val="005B4D49"/>
    <w:rsid w:val="005B5787"/>
    <w:rsid w:val="005B5B2C"/>
    <w:rsid w:val="005B76B2"/>
    <w:rsid w:val="005C09F2"/>
    <w:rsid w:val="005C13C9"/>
    <w:rsid w:val="005C219F"/>
    <w:rsid w:val="005C2C1B"/>
    <w:rsid w:val="005C3B69"/>
    <w:rsid w:val="005C3F89"/>
    <w:rsid w:val="005C4394"/>
    <w:rsid w:val="005C4A0C"/>
    <w:rsid w:val="005C5763"/>
    <w:rsid w:val="005C5E3D"/>
    <w:rsid w:val="005C65EC"/>
    <w:rsid w:val="005C66CD"/>
    <w:rsid w:val="005C7130"/>
    <w:rsid w:val="005D092E"/>
    <w:rsid w:val="005D0E0E"/>
    <w:rsid w:val="005D0FD8"/>
    <w:rsid w:val="005D1643"/>
    <w:rsid w:val="005D3292"/>
    <w:rsid w:val="005D34F9"/>
    <w:rsid w:val="005D3782"/>
    <w:rsid w:val="005D3FF6"/>
    <w:rsid w:val="005D4618"/>
    <w:rsid w:val="005D4740"/>
    <w:rsid w:val="005D6CDC"/>
    <w:rsid w:val="005D75E9"/>
    <w:rsid w:val="005E1305"/>
    <w:rsid w:val="005E2081"/>
    <w:rsid w:val="005E2C3E"/>
    <w:rsid w:val="005E2D29"/>
    <w:rsid w:val="005E3054"/>
    <w:rsid w:val="005E361D"/>
    <w:rsid w:val="005E469F"/>
    <w:rsid w:val="005E5044"/>
    <w:rsid w:val="005E516B"/>
    <w:rsid w:val="005E53FB"/>
    <w:rsid w:val="005E581D"/>
    <w:rsid w:val="005E64B8"/>
    <w:rsid w:val="005F0009"/>
    <w:rsid w:val="005F006A"/>
    <w:rsid w:val="005F03A7"/>
    <w:rsid w:val="005F0456"/>
    <w:rsid w:val="005F0EA6"/>
    <w:rsid w:val="005F1D03"/>
    <w:rsid w:val="005F27A4"/>
    <w:rsid w:val="005F2B12"/>
    <w:rsid w:val="005F378E"/>
    <w:rsid w:val="005F6719"/>
    <w:rsid w:val="005F6FF5"/>
    <w:rsid w:val="005F7308"/>
    <w:rsid w:val="005F74B7"/>
    <w:rsid w:val="005F7BD1"/>
    <w:rsid w:val="005F7D41"/>
    <w:rsid w:val="00600AA3"/>
    <w:rsid w:val="00602884"/>
    <w:rsid w:val="00602AB0"/>
    <w:rsid w:val="00603B05"/>
    <w:rsid w:val="00603D57"/>
    <w:rsid w:val="00604747"/>
    <w:rsid w:val="00604993"/>
    <w:rsid w:val="00604B45"/>
    <w:rsid w:val="006050ED"/>
    <w:rsid w:val="00605E3B"/>
    <w:rsid w:val="00606766"/>
    <w:rsid w:val="00606D1D"/>
    <w:rsid w:val="006073FC"/>
    <w:rsid w:val="00607E40"/>
    <w:rsid w:val="006109D3"/>
    <w:rsid w:val="00610F5D"/>
    <w:rsid w:val="00612B89"/>
    <w:rsid w:val="00614269"/>
    <w:rsid w:val="0061594A"/>
    <w:rsid w:val="006163DC"/>
    <w:rsid w:val="00621323"/>
    <w:rsid w:val="0062181B"/>
    <w:rsid w:val="006231F6"/>
    <w:rsid w:val="00624214"/>
    <w:rsid w:val="00624CA9"/>
    <w:rsid w:val="00624F8B"/>
    <w:rsid w:val="0062513B"/>
    <w:rsid w:val="00626179"/>
    <w:rsid w:val="006307CB"/>
    <w:rsid w:val="00632033"/>
    <w:rsid w:val="006327F5"/>
    <w:rsid w:val="00632837"/>
    <w:rsid w:val="00632994"/>
    <w:rsid w:val="006333D8"/>
    <w:rsid w:val="00633DA8"/>
    <w:rsid w:val="006341ED"/>
    <w:rsid w:val="006346DC"/>
    <w:rsid w:val="00634E05"/>
    <w:rsid w:val="006362F6"/>
    <w:rsid w:val="00636666"/>
    <w:rsid w:val="0063737C"/>
    <w:rsid w:val="00637817"/>
    <w:rsid w:val="0063784A"/>
    <w:rsid w:val="006378F1"/>
    <w:rsid w:val="006404D6"/>
    <w:rsid w:val="00640FBA"/>
    <w:rsid w:val="00642869"/>
    <w:rsid w:val="00642874"/>
    <w:rsid w:val="00642993"/>
    <w:rsid w:val="0064325B"/>
    <w:rsid w:val="0064508D"/>
    <w:rsid w:val="006454B4"/>
    <w:rsid w:val="00645801"/>
    <w:rsid w:val="0064599D"/>
    <w:rsid w:val="00645EEF"/>
    <w:rsid w:val="00646127"/>
    <w:rsid w:val="00646562"/>
    <w:rsid w:val="006473DC"/>
    <w:rsid w:val="00650FE8"/>
    <w:rsid w:val="00651CFE"/>
    <w:rsid w:val="00654998"/>
    <w:rsid w:val="00654BFC"/>
    <w:rsid w:val="00654DF3"/>
    <w:rsid w:val="00656054"/>
    <w:rsid w:val="00656377"/>
    <w:rsid w:val="00656456"/>
    <w:rsid w:val="006564A4"/>
    <w:rsid w:val="006564B8"/>
    <w:rsid w:val="006564BB"/>
    <w:rsid w:val="006571CF"/>
    <w:rsid w:val="00657DC6"/>
    <w:rsid w:val="0066024C"/>
    <w:rsid w:val="006615CB"/>
    <w:rsid w:val="00661873"/>
    <w:rsid w:val="00664DA5"/>
    <w:rsid w:val="00664F15"/>
    <w:rsid w:val="00665ECD"/>
    <w:rsid w:val="00666378"/>
    <w:rsid w:val="006668E1"/>
    <w:rsid w:val="00666A03"/>
    <w:rsid w:val="006675F9"/>
    <w:rsid w:val="006678CB"/>
    <w:rsid w:val="00667E05"/>
    <w:rsid w:val="00670BD7"/>
    <w:rsid w:val="0067111F"/>
    <w:rsid w:val="0067133C"/>
    <w:rsid w:val="00672287"/>
    <w:rsid w:val="006723E7"/>
    <w:rsid w:val="00672972"/>
    <w:rsid w:val="006736FD"/>
    <w:rsid w:val="0067423C"/>
    <w:rsid w:val="006747C6"/>
    <w:rsid w:val="00675DBE"/>
    <w:rsid w:val="00675E7D"/>
    <w:rsid w:val="006761D7"/>
    <w:rsid w:val="006768F3"/>
    <w:rsid w:val="00676E85"/>
    <w:rsid w:val="00676F46"/>
    <w:rsid w:val="00677156"/>
    <w:rsid w:val="00677F70"/>
    <w:rsid w:val="0068047B"/>
    <w:rsid w:val="006813B2"/>
    <w:rsid w:val="00681755"/>
    <w:rsid w:val="00681B6A"/>
    <w:rsid w:val="006822D9"/>
    <w:rsid w:val="0068321E"/>
    <w:rsid w:val="006833B3"/>
    <w:rsid w:val="006835B8"/>
    <w:rsid w:val="0068382A"/>
    <w:rsid w:val="00683913"/>
    <w:rsid w:val="00683D29"/>
    <w:rsid w:val="00683D53"/>
    <w:rsid w:val="00683F2D"/>
    <w:rsid w:val="006844A7"/>
    <w:rsid w:val="006851A7"/>
    <w:rsid w:val="00685A58"/>
    <w:rsid w:val="00685D6D"/>
    <w:rsid w:val="006864C1"/>
    <w:rsid w:val="00687330"/>
    <w:rsid w:val="00690378"/>
    <w:rsid w:val="00691699"/>
    <w:rsid w:val="0069260B"/>
    <w:rsid w:val="00692847"/>
    <w:rsid w:val="00692D69"/>
    <w:rsid w:val="00692F0E"/>
    <w:rsid w:val="00693738"/>
    <w:rsid w:val="00693BA0"/>
    <w:rsid w:val="006949EA"/>
    <w:rsid w:val="00694BE0"/>
    <w:rsid w:val="00694C2E"/>
    <w:rsid w:val="00695DB0"/>
    <w:rsid w:val="00695EAE"/>
    <w:rsid w:val="0069612C"/>
    <w:rsid w:val="00696F3F"/>
    <w:rsid w:val="00696F67"/>
    <w:rsid w:val="0069791A"/>
    <w:rsid w:val="00697EED"/>
    <w:rsid w:val="006A1539"/>
    <w:rsid w:val="006A2179"/>
    <w:rsid w:val="006A22A0"/>
    <w:rsid w:val="006A22AE"/>
    <w:rsid w:val="006A22D8"/>
    <w:rsid w:val="006A2E69"/>
    <w:rsid w:val="006A3C94"/>
    <w:rsid w:val="006A50EF"/>
    <w:rsid w:val="006A51A5"/>
    <w:rsid w:val="006A577B"/>
    <w:rsid w:val="006A6031"/>
    <w:rsid w:val="006A6862"/>
    <w:rsid w:val="006A6D82"/>
    <w:rsid w:val="006A741B"/>
    <w:rsid w:val="006A7D56"/>
    <w:rsid w:val="006A7EC4"/>
    <w:rsid w:val="006B0289"/>
    <w:rsid w:val="006B0407"/>
    <w:rsid w:val="006B0413"/>
    <w:rsid w:val="006B055A"/>
    <w:rsid w:val="006B202F"/>
    <w:rsid w:val="006B2283"/>
    <w:rsid w:val="006B2972"/>
    <w:rsid w:val="006B323A"/>
    <w:rsid w:val="006B3D7D"/>
    <w:rsid w:val="006B449C"/>
    <w:rsid w:val="006B62EE"/>
    <w:rsid w:val="006B66ED"/>
    <w:rsid w:val="006B66F9"/>
    <w:rsid w:val="006B7A1F"/>
    <w:rsid w:val="006B7A30"/>
    <w:rsid w:val="006C017A"/>
    <w:rsid w:val="006C04DB"/>
    <w:rsid w:val="006C1ABA"/>
    <w:rsid w:val="006C2075"/>
    <w:rsid w:val="006C2F7F"/>
    <w:rsid w:val="006C3840"/>
    <w:rsid w:val="006C51BC"/>
    <w:rsid w:val="006C6137"/>
    <w:rsid w:val="006C7741"/>
    <w:rsid w:val="006C7CC7"/>
    <w:rsid w:val="006C7D57"/>
    <w:rsid w:val="006C7E50"/>
    <w:rsid w:val="006D239B"/>
    <w:rsid w:val="006D24E8"/>
    <w:rsid w:val="006D2BFF"/>
    <w:rsid w:val="006D3089"/>
    <w:rsid w:val="006D4517"/>
    <w:rsid w:val="006D5178"/>
    <w:rsid w:val="006D5340"/>
    <w:rsid w:val="006D54EB"/>
    <w:rsid w:val="006D74C3"/>
    <w:rsid w:val="006D7D19"/>
    <w:rsid w:val="006E053F"/>
    <w:rsid w:val="006E0E9E"/>
    <w:rsid w:val="006E132C"/>
    <w:rsid w:val="006E13D0"/>
    <w:rsid w:val="006E1446"/>
    <w:rsid w:val="006E1C41"/>
    <w:rsid w:val="006E2356"/>
    <w:rsid w:val="006E2A43"/>
    <w:rsid w:val="006E3373"/>
    <w:rsid w:val="006E338C"/>
    <w:rsid w:val="006E36B7"/>
    <w:rsid w:val="006E4CC1"/>
    <w:rsid w:val="006E6E4F"/>
    <w:rsid w:val="006E7C61"/>
    <w:rsid w:val="006F0489"/>
    <w:rsid w:val="006F0894"/>
    <w:rsid w:val="006F093F"/>
    <w:rsid w:val="006F11BC"/>
    <w:rsid w:val="006F1349"/>
    <w:rsid w:val="006F2174"/>
    <w:rsid w:val="006F456B"/>
    <w:rsid w:val="006F4D87"/>
    <w:rsid w:val="006F5998"/>
    <w:rsid w:val="006F60F4"/>
    <w:rsid w:val="006F7671"/>
    <w:rsid w:val="006F7AA0"/>
    <w:rsid w:val="006F7CE1"/>
    <w:rsid w:val="006F7CF1"/>
    <w:rsid w:val="00700051"/>
    <w:rsid w:val="007008D2"/>
    <w:rsid w:val="00700E15"/>
    <w:rsid w:val="0070224F"/>
    <w:rsid w:val="007026C3"/>
    <w:rsid w:val="0070349F"/>
    <w:rsid w:val="00704441"/>
    <w:rsid w:val="0070530D"/>
    <w:rsid w:val="00705572"/>
    <w:rsid w:val="00706EE0"/>
    <w:rsid w:val="0070722F"/>
    <w:rsid w:val="00707B02"/>
    <w:rsid w:val="00710CD3"/>
    <w:rsid w:val="0071156A"/>
    <w:rsid w:val="00712990"/>
    <w:rsid w:val="00712B1D"/>
    <w:rsid w:val="00712B71"/>
    <w:rsid w:val="00712C56"/>
    <w:rsid w:val="00713496"/>
    <w:rsid w:val="0071400A"/>
    <w:rsid w:val="0071464F"/>
    <w:rsid w:val="00715704"/>
    <w:rsid w:val="00715889"/>
    <w:rsid w:val="00717482"/>
    <w:rsid w:val="00720D17"/>
    <w:rsid w:val="00720E0E"/>
    <w:rsid w:val="007215EF"/>
    <w:rsid w:val="00721955"/>
    <w:rsid w:val="007231B8"/>
    <w:rsid w:val="00723741"/>
    <w:rsid w:val="00723A46"/>
    <w:rsid w:val="00723FF6"/>
    <w:rsid w:val="00723FF9"/>
    <w:rsid w:val="00725103"/>
    <w:rsid w:val="007253EB"/>
    <w:rsid w:val="00725D70"/>
    <w:rsid w:val="00726D9C"/>
    <w:rsid w:val="00726D9E"/>
    <w:rsid w:val="00727DFC"/>
    <w:rsid w:val="007301D5"/>
    <w:rsid w:val="0073142D"/>
    <w:rsid w:val="00731969"/>
    <w:rsid w:val="00731E82"/>
    <w:rsid w:val="0073202B"/>
    <w:rsid w:val="007329B8"/>
    <w:rsid w:val="00732E78"/>
    <w:rsid w:val="007330F4"/>
    <w:rsid w:val="007358C8"/>
    <w:rsid w:val="00735DBA"/>
    <w:rsid w:val="007364F4"/>
    <w:rsid w:val="0073680B"/>
    <w:rsid w:val="007370BE"/>
    <w:rsid w:val="00737330"/>
    <w:rsid w:val="00737F3B"/>
    <w:rsid w:val="00740B76"/>
    <w:rsid w:val="0074120F"/>
    <w:rsid w:val="007418FB"/>
    <w:rsid w:val="00741A12"/>
    <w:rsid w:val="00741D08"/>
    <w:rsid w:val="00742F25"/>
    <w:rsid w:val="00743139"/>
    <w:rsid w:val="00743EFB"/>
    <w:rsid w:val="007440CF"/>
    <w:rsid w:val="00744362"/>
    <w:rsid w:val="0074524C"/>
    <w:rsid w:val="007454AF"/>
    <w:rsid w:val="0074583B"/>
    <w:rsid w:val="0074608E"/>
    <w:rsid w:val="00746C1D"/>
    <w:rsid w:val="00746E9F"/>
    <w:rsid w:val="00750F93"/>
    <w:rsid w:val="00752023"/>
    <w:rsid w:val="007525CC"/>
    <w:rsid w:val="00752A4C"/>
    <w:rsid w:val="0075354C"/>
    <w:rsid w:val="00754153"/>
    <w:rsid w:val="007547AC"/>
    <w:rsid w:val="0075564F"/>
    <w:rsid w:val="00756185"/>
    <w:rsid w:val="00757462"/>
    <w:rsid w:val="00757616"/>
    <w:rsid w:val="00757801"/>
    <w:rsid w:val="00757AF2"/>
    <w:rsid w:val="0076023B"/>
    <w:rsid w:val="00760383"/>
    <w:rsid w:val="00762621"/>
    <w:rsid w:val="0076360B"/>
    <w:rsid w:val="0076372F"/>
    <w:rsid w:val="00764198"/>
    <w:rsid w:val="00765F3D"/>
    <w:rsid w:val="007662B6"/>
    <w:rsid w:val="0077032B"/>
    <w:rsid w:val="007709DF"/>
    <w:rsid w:val="00770DD2"/>
    <w:rsid w:val="00771703"/>
    <w:rsid w:val="0077194F"/>
    <w:rsid w:val="00771CD9"/>
    <w:rsid w:val="0077241F"/>
    <w:rsid w:val="007727B5"/>
    <w:rsid w:val="00773BB8"/>
    <w:rsid w:val="00773E18"/>
    <w:rsid w:val="00775467"/>
    <w:rsid w:val="007759BC"/>
    <w:rsid w:val="00775E16"/>
    <w:rsid w:val="00775FC4"/>
    <w:rsid w:val="007769F8"/>
    <w:rsid w:val="007779F9"/>
    <w:rsid w:val="0078018E"/>
    <w:rsid w:val="00780665"/>
    <w:rsid w:val="007811BF"/>
    <w:rsid w:val="007818DD"/>
    <w:rsid w:val="00782AC7"/>
    <w:rsid w:val="00783050"/>
    <w:rsid w:val="00785FAB"/>
    <w:rsid w:val="00786997"/>
    <w:rsid w:val="00786FBD"/>
    <w:rsid w:val="00786FCF"/>
    <w:rsid w:val="00787813"/>
    <w:rsid w:val="00787CE4"/>
    <w:rsid w:val="00790FF3"/>
    <w:rsid w:val="00792D31"/>
    <w:rsid w:val="007940B1"/>
    <w:rsid w:val="00794B09"/>
    <w:rsid w:val="00795202"/>
    <w:rsid w:val="00795897"/>
    <w:rsid w:val="007969A9"/>
    <w:rsid w:val="007A0EEB"/>
    <w:rsid w:val="007A3121"/>
    <w:rsid w:val="007A3770"/>
    <w:rsid w:val="007A3944"/>
    <w:rsid w:val="007A3C01"/>
    <w:rsid w:val="007A449F"/>
    <w:rsid w:val="007A4F61"/>
    <w:rsid w:val="007A5429"/>
    <w:rsid w:val="007A5E42"/>
    <w:rsid w:val="007A5E6C"/>
    <w:rsid w:val="007A5FFA"/>
    <w:rsid w:val="007A7CA6"/>
    <w:rsid w:val="007B061F"/>
    <w:rsid w:val="007B0851"/>
    <w:rsid w:val="007B25BD"/>
    <w:rsid w:val="007B4457"/>
    <w:rsid w:val="007B47FB"/>
    <w:rsid w:val="007B4FEF"/>
    <w:rsid w:val="007B5461"/>
    <w:rsid w:val="007B633F"/>
    <w:rsid w:val="007B7A05"/>
    <w:rsid w:val="007C0028"/>
    <w:rsid w:val="007C0B53"/>
    <w:rsid w:val="007C0FC9"/>
    <w:rsid w:val="007C1277"/>
    <w:rsid w:val="007C229D"/>
    <w:rsid w:val="007C240A"/>
    <w:rsid w:val="007C3B1D"/>
    <w:rsid w:val="007C4D41"/>
    <w:rsid w:val="007C4F83"/>
    <w:rsid w:val="007C580B"/>
    <w:rsid w:val="007C5C91"/>
    <w:rsid w:val="007C69AE"/>
    <w:rsid w:val="007C69C1"/>
    <w:rsid w:val="007C6EBE"/>
    <w:rsid w:val="007C76DF"/>
    <w:rsid w:val="007C778D"/>
    <w:rsid w:val="007D0704"/>
    <w:rsid w:val="007D143E"/>
    <w:rsid w:val="007D1D59"/>
    <w:rsid w:val="007D348F"/>
    <w:rsid w:val="007D3647"/>
    <w:rsid w:val="007D3B38"/>
    <w:rsid w:val="007D43F7"/>
    <w:rsid w:val="007D47AF"/>
    <w:rsid w:val="007D5C67"/>
    <w:rsid w:val="007D5D57"/>
    <w:rsid w:val="007D6528"/>
    <w:rsid w:val="007D679B"/>
    <w:rsid w:val="007D6907"/>
    <w:rsid w:val="007D6B62"/>
    <w:rsid w:val="007D7006"/>
    <w:rsid w:val="007D7B76"/>
    <w:rsid w:val="007E0678"/>
    <w:rsid w:val="007E0693"/>
    <w:rsid w:val="007E0E73"/>
    <w:rsid w:val="007E1081"/>
    <w:rsid w:val="007E10DF"/>
    <w:rsid w:val="007E1D49"/>
    <w:rsid w:val="007E2584"/>
    <w:rsid w:val="007E2E3F"/>
    <w:rsid w:val="007E5941"/>
    <w:rsid w:val="007E59F1"/>
    <w:rsid w:val="007E5AFB"/>
    <w:rsid w:val="007E68B1"/>
    <w:rsid w:val="007E76BD"/>
    <w:rsid w:val="007E777E"/>
    <w:rsid w:val="007F1924"/>
    <w:rsid w:val="007F1FC0"/>
    <w:rsid w:val="007F2332"/>
    <w:rsid w:val="007F2D15"/>
    <w:rsid w:val="007F2EA6"/>
    <w:rsid w:val="007F4A68"/>
    <w:rsid w:val="007F504F"/>
    <w:rsid w:val="007F571C"/>
    <w:rsid w:val="007F5CF6"/>
    <w:rsid w:val="007F5EEF"/>
    <w:rsid w:val="0080077F"/>
    <w:rsid w:val="00800C7F"/>
    <w:rsid w:val="008016B1"/>
    <w:rsid w:val="008017FA"/>
    <w:rsid w:val="00801F80"/>
    <w:rsid w:val="00802031"/>
    <w:rsid w:val="00803CAD"/>
    <w:rsid w:val="00803ECD"/>
    <w:rsid w:val="0080494B"/>
    <w:rsid w:val="00804E5C"/>
    <w:rsid w:val="00805D88"/>
    <w:rsid w:val="0080672F"/>
    <w:rsid w:val="0080748C"/>
    <w:rsid w:val="00807641"/>
    <w:rsid w:val="00810046"/>
    <w:rsid w:val="008105B7"/>
    <w:rsid w:val="00812B06"/>
    <w:rsid w:val="00812FDB"/>
    <w:rsid w:val="00814231"/>
    <w:rsid w:val="00814462"/>
    <w:rsid w:val="0081560C"/>
    <w:rsid w:val="0081612E"/>
    <w:rsid w:val="0081677B"/>
    <w:rsid w:val="0081760B"/>
    <w:rsid w:val="0082081C"/>
    <w:rsid w:val="00820F49"/>
    <w:rsid w:val="008211B6"/>
    <w:rsid w:val="00824D21"/>
    <w:rsid w:val="008254AE"/>
    <w:rsid w:val="008260C2"/>
    <w:rsid w:val="00826788"/>
    <w:rsid w:val="008269AF"/>
    <w:rsid w:val="00827097"/>
    <w:rsid w:val="00827505"/>
    <w:rsid w:val="0083122D"/>
    <w:rsid w:val="0083206A"/>
    <w:rsid w:val="008323B3"/>
    <w:rsid w:val="008331AE"/>
    <w:rsid w:val="0083380D"/>
    <w:rsid w:val="008346F8"/>
    <w:rsid w:val="00834E06"/>
    <w:rsid w:val="0083512D"/>
    <w:rsid w:val="0083595E"/>
    <w:rsid w:val="00835D94"/>
    <w:rsid w:val="00836F49"/>
    <w:rsid w:val="00837010"/>
    <w:rsid w:val="00837285"/>
    <w:rsid w:val="008372AD"/>
    <w:rsid w:val="008377B5"/>
    <w:rsid w:val="0084051B"/>
    <w:rsid w:val="00841B83"/>
    <w:rsid w:val="008432AE"/>
    <w:rsid w:val="008435D5"/>
    <w:rsid w:val="0084382D"/>
    <w:rsid w:val="00843918"/>
    <w:rsid w:val="00844A98"/>
    <w:rsid w:val="00844B2C"/>
    <w:rsid w:val="00844B64"/>
    <w:rsid w:val="00844F4E"/>
    <w:rsid w:val="0084572E"/>
    <w:rsid w:val="00845E37"/>
    <w:rsid w:val="008466F0"/>
    <w:rsid w:val="00847FCF"/>
    <w:rsid w:val="008500E1"/>
    <w:rsid w:val="0085036F"/>
    <w:rsid w:val="008506C8"/>
    <w:rsid w:val="008510B2"/>
    <w:rsid w:val="00851C36"/>
    <w:rsid w:val="00852752"/>
    <w:rsid w:val="00852BA0"/>
    <w:rsid w:val="00852DFA"/>
    <w:rsid w:val="008534B6"/>
    <w:rsid w:val="0085362B"/>
    <w:rsid w:val="00854CAB"/>
    <w:rsid w:val="0085593C"/>
    <w:rsid w:val="008559D7"/>
    <w:rsid w:val="00855AFA"/>
    <w:rsid w:val="00855D28"/>
    <w:rsid w:val="008563EE"/>
    <w:rsid w:val="00856EC8"/>
    <w:rsid w:val="00857F2B"/>
    <w:rsid w:val="00860DE6"/>
    <w:rsid w:val="00860EC8"/>
    <w:rsid w:val="00861A9D"/>
    <w:rsid w:val="00861AFF"/>
    <w:rsid w:val="0086235B"/>
    <w:rsid w:val="00862506"/>
    <w:rsid w:val="00863FAD"/>
    <w:rsid w:val="00864556"/>
    <w:rsid w:val="00864785"/>
    <w:rsid w:val="00864B4C"/>
    <w:rsid w:val="00864BEF"/>
    <w:rsid w:val="0086635B"/>
    <w:rsid w:val="00866815"/>
    <w:rsid w:val="00867F6A"/>
    <w:rsid w:val="008703AC"/>
    <w:rsid w:val="00870653"/>
    <w:rsid w:val="008707A4"/>
    <w:rsid w:val="0087097C"/>
    <w:rsid w:val="00871FF1"/>
    <w:rsid w:val="00872C88"/>
    <w:rsid w:val="00872F4B"/>
    <w:rsid w:val="00873695"/>
    <w:rsid w:val="008743B1"/>
    <w:rsid w:val="0087485F"/>
    <w:rsid w:val="00874BCA"/>
    <w:rsid w:val="00874D23"/>
    <w:rsid w:val="0087618A"/>
    <w:rsid w:val="0088125C"/>
    <w:rsid w:val="008826C2"/>
    <w:rsid w:val="008842E3"/>
    <w:rsid w:val="0088498D"/>
    <w:rsid w:val="008851E3"/>
    <w:rsid w:val="00885560"/>
    <w:rsid w:val="00885CE1"/>
    <w:rsid w:val="00885DFE"/>
    <w:rsid w:val="00885E67"/>
    <w:rsid w:val="008867E1"/>
    <w:rsid w:val="00886E57"/>
    <w:rsid w:val="00890E2C"/>
    <w:rsid w:val="00891503"/>
    <w:rsid w:val="00892557"/>
    <w:rsid w:val="00893684"/>
    <w:rsid w:val="00893890"/>
    <w:rsid w:val="00895ABC"/>
    <w:rsid w:val="008A0131"/>
    <w:rsid w:val="008A1054"/>
    <w:rsid w:val="008A18E6"/>
    <w:rsid w:val="008A1AB7"/>
    <w:rsid w:val="008A1E36"/>
    <w:rsid w:val="008A1EA2"/>
    <w:rsid w:val="008A29C7"/>
    <w:rsid w:val="008A2F6A"/>
    <w:rsid w:val="008A38AF"/>
    <w:rsid w:val="008A3BAE"/>
    <w:rsid w:val="008A43EA"/>
    <w:rsid w:val="008A467C"/>
    <w:rsid w:val="008A4E97"/>
    <w:rsid w:val="008A4FAD"/>
    <w:rsid w:val="008A5701"/>
    <w:rsid w:val="008A5F76"/>
    <w:rsid w:val="008A70FC"/>
    <w:rsid w:val="008A7A7D"/>
    <w:rsid w:val="008A7B15"/>
    <w:rsid w:val="008A7BF2"/>
    <w:rsid w:val="008B0127"/>
    <w:rsid w:val="008B17C2"/>
    <w:rsid w:val="008B196A"/>
    <w:rsid w:val="008B52B7"/>
    <w:rsid w:val="008B55AD"/>
    <w:rsid w:val="008B6717"/>
    <w:rsid w:val="008B7114"/>
    <w:rsid w:val="008C0F50"/>
    <w:rsid w:val="008C13BF"/>
    <w:rsid w:val="008C2322"/>
    <w:rsid w:val="008C2FC2"/>
    <w:rsid w:val="008C3B5B"/>
    <w:rsid w:val="008C3FBE"/>
    <w:rsid w:val="008C4375"/>
    <w:rsid w:val="008C4909"/>
    <w:rsid w:val="008C4AB2"/>
    <w:rsid w:val="008C4D35"/>
    <w:rsid w:val="008C69F4"/>
    <w:rsid w:val="008C6BEF"/>
    <w:rsid w:val="008C7747"/>
    <w:rsid w:val="008C79F4"/>
    <w:rsid w:val="008D0679"/>
    <w:rsid w:val="008D1672"/>
    <w:rsid w:val="008D1D37"/>
    <w:rsid w:val="008D1EE1"/>
    <w:rsid w:val="008D2228"/>
    <w:rsid w:val="008D2873"/>
    <w:rsid w:val="008D2947"/>
    <w:rsid w:val="008D2DA9"/>
    <w:rsid w:val="008D4311"/>
    <w:rsid w:val="008D476C"/>
    <w:rsid w:val="008D4ABB"/>
    <w:rsid w:val="008D5796"/>
    <w:rsid w:val="008D628E"/>
    <w:rsid w:val="008D676D"/>
    <w:rsid w:val="008D6B32"/>
    <w:rsid w:val="008D6CD8"/>
    <w:rsid w:val="008D6FFB"/>
    <w:rsid w:val="008D7036"/>
    <w:rsid w:val="008D7427"/>
    <w:rsid w:val="008D797F"/>
    <w:rsid w:val="008D7A2B"/>
    <w:rsid w:val="008E1204"/>
    <w:rsid w:val="008E20F7"/>
    <w:rsid w:val="008E3204"/>
    <w:rsid w:val="008E34AB"/>
    <w:rsid w:val="008E41DC"/>
    <w:rsid w:val="008E4380"/>
    <w:rsid w:val="008E4C48"/>
    <w:rsid w:val="008E60F9"/>
    <w:rsid w:val="008E6855"/>
    <w:rsid w:val="008F065E"/>
    <w:rsid w:val="008F14B3"/>
    <w:rsid w:val="008F200C"/>
    <w:rsid w:val="008F256D"/>
    <w:rsid w:val="008F2D3C"/>
    <w:rsid w:val="008F3908"/>
    <w:rsid w:val="008F3E6C"/>
    <w:rsid w:val="008F4445"/>
    <w:rsid w:val="008F61D7"/>
    <w:rsid w:val="008F66C8"/>
    <w:rsid w:val="00900A8B"/>
    <w:rsid w:val="00900FBD"/>
    <w:rsid w:val="00901CA5"/>
    <w:rsid w:val="00905861"/>
    <w:rsid w:val="00906B66"/>
    <w:rsid w:val="00906D97"/>
    <w:rsid w:val="00907338"/>
    <w:rsid w:val="0090776D"/>
    <w:rsid w:val="00907EF9"/>
    <w:rsid w:val="0091104B"/>
    <w:rsid w:val="0091174D"/>
    <w:rsid w:val="00911C95"/>
    <w:rsid w:val="00912452"/>
    <w:rsid w:val="00913461"/>
    <w:rsid w:val="009138CE"/>
    <w:rsid w:val="00913F0D"/>
    <w:rsid w:val="00914441"/>
    <w:rsid w:val="0091452A"/>
    <w:rsid w:val="00914C9B"/>
    <w:rsid w:val="00915566"/>
    <w:rsid w:val="00915F44"/>
    <w:rsid w:val="009161F0"/>
    <w:rsid w:val="00916286"/>
    <w:rsid w:val="00916A77"/>
    <w:rsid w:val="0091781B"/>
    <w:rsid w:val="009200DD"/>
    <w:rsid w:val="00920460"/>
    <w:rsid w:val="00920474"/>
    <w:rsid w:val="00920504"/>
    <w:rsid w:val="00920CB5"/>
    <w:rsid w:val="0092125F"/>
    <w:rsid w:val="00921490"/>
    <w:rsid w:val="0092191D"/>
    <w:rsid w:val="009228CE"/>
    <w:rsid w:val="00922A7F"/>
    <w:rsid w:val="00922DFE"/>
    <w:rsid w:val="0092311A"/>
    <w:rsid w:val="00924D48"/>
    <w:rsid w:val="00925F37"/>
    <w:rsid w:val="0092670A"/>
    <w:rsid w:val="00926792"/>
    <w:rsid w:val="00931295"/>
    <w:rsid w:val="00931A29"/>
    <w:rsid w:val="00932EFA"/>
    <w:rsid w:val="009335AE"/>
    <w:rsid w:val="0093403E"/>
    <w:rsid w:val="0093462B"/>
    <w:rsid w:val="00936100"/>
    <w:rsid w:val="00936EFD"/>
    <w:rsid w:val="009370BE"/>
    <w:rsid w:val="0094009F"/>
    <w:rsid w:val="00940ADD"/>
    <w:rsid w:val="009414E1"/>
    <w:rsid w:val="00942430"/>
    <w:rsid w:val="00943644"/>
    <w:rsid w:val="00944FBE"/>
    <w:rsid w:val="009461EA"/>
    <w:rsid w:val="00950233"/>
    <w:rsid w:val="00950AE9"/>
    <w:rsid w:val="00950D9F"/>
    <w:rsid w:val="009529C1"/>
    <w:rsid w:val="009539D8"/>
    <w:rsid w:val="00953F13"/>
    <w:rsid w:val="009541AA"/>
    <w:rsid w:val="00954E09"/>
    <w:rsid w:val="0095597A"/>
    <w:rsid w:val="00955E90"/>
    <w:rsid w:val="00955EC2"/>
    <w:rsid w:val="00955F4F"/>
    <w:rsid w:val="0095628F"/>
    <w:rsid w:val="00956B5F"/>
    <w:rsid w:val="00956C89"/>
    <w:rsid w:val="00957553"/>
    <w:rsid w:val="00957698"/>
    <w:rsid w:val="00957824"/>
    <w:rsid w:val="00960610"/>
    <w:rsid w:val="009608FD"/>
    <w:rsid w:val="0096093D"/>
    <w:rsid w:val="009620BA"/>
    <w:rsid w:val="009620FE"/>
    <w:rsid w:val="00962B7F"/>
    <w:rsid w:val="00963671"/>
    <w:rsid w:val="00963BBE"/>
    <w:rsid w:val="00963C1C"/>
    <w:rsid w:val="00963D3E"/>
    <w:rsid w:val="009642C4"/>
    <w:rsid w:val="009644DD"/>
    <w:rsid w:val="00964C01"/>
    <w:rsid w:val="009659B8"/>
    <w:rsid w:val="00965CBD"/>
    <w:rsid w:val="00965D85"/>
    <w:rsid w:val="00965FAC"/>
    <w:rsid w:val="0096653B"/>
    <w:rsid w:val="00966C29"/>
    <w:rsid w:val="00970453"/>
    <w:rsid w:val="009718E1"/>
    <w:rsid w:val="00971CDB"/>
    <w:rsid w:val="00972D9E"/>
    <w:rsid w:val="009747A8"/>
    <w:rsid w:val="00974970"/>
    <w:rsid w:val="00974ED4"/>
    <w:rsid w:val="00975372"/>
    <w:rsid w:val="00975874"/>
    <w:rsid w:val="00975C01"/>
    <w:rsid w:val="00975D96"/>
    <w:rsid w:val="00975DE8"/>
    <w:rsid w:val="0097601F"/>
    <w:rsid w:val="00977446"/>
    <w:rsid w:val="00977C6A"/>
    <w:rsid w:val="00977E06"/>
    <w:rsid w:val="00977F7F"/>
    <w:rsid w:val="00980A49"/>
    <w:rsid w:val="00981CA8"/>
    <w:rsid w:val="009829CC"/>
    <w:rsid w:val="00985957"/>
    <w:rsid w:val="00986BE8"/>
    <w:rsid w:val="00987207"/>
    <w:rsid w:val="00990282"/>
    <w:rsid w:val="009907F6"/>
    <w:rsid w:val="00990866"/>
    <w:rsid w:val="00991455"/>
    <w:rsid w:val="00991AEE"/>
    <w:rsid w:val="00991E50"/>
    <w:rsid w:val="00991EA0"/>
    <w:rsid w:val="00993A29"/>
    <w:rsid w:val="00995FE2"/>
    <w:rsid w:val="00996088"/>
    <w:rsid w:val="00996B1D"/>
    <w:rsid w:val="00997319"/>
    <w:rsid w:val="009A0086"/>
    <w:rsid w:val="009A072C"/>
    <w:rsid w:val="009A0ACE"/>
    <w:rsid w:val="009A0ADE"/>
    <w:rsid w:val="009A0C78"/>
    <w:rsid w:val="009A1256"/>
    <w:rsid w:val="009A1AE0"/>
    <w:rsid w:val="009A2907"/>
    <w:rsid w:val="009A2BD2"/>
    <w:rsid w:val="009A3F16"/>
    <w:rsid w:val="009A4057"/>
    <w:rsid w:val="009A645A"/>
    <w:rsid w:val="009A6683"/>
    <w:rsid w:val="009A6BFB"/>
    <w:rsid w:val="009A75D7"/>
    <w:rsid w:val="009A7EBE"/>
    <w:rsid w:val="009B02C8"/>
    <w:rsid w:val="009B1A78"/>
    <w:rsid w:val="009B1CC9"/>
    <w:rsid w:val="009B1CF3"/>
    <w:rsid w:val="009B28BA"/>
    <w:rsid w:val="009B2A5B"/>
    <w:rsid w:val="009B2C3F"/>
    <w:rsid w:val="009B57E5"/>
    <w:rsid w:val="009B6263"/>
    <w:rsid w:val="009B660B"/>
    <w:rsid w:val="009B7F45"/>
    <w:rsid w:val="009C09A5"/>
    <w:rsid w:val="009C1DC5"/>
    <w:rsid w:val="009C24B4"/>
    <w:rsid w:val="009C2E54"/>
    <w:rsid w:val="009C393D"/>
    <w:rsid w:val="009C3999"/>
    <w:rsid w:val="009C3ED6"/>
    <w:rsid w:val="009C4355"/>
    <w:rsid w:val="009C4805"/>
    <w:rsid w:val="009C5633"/>
    <w:rsid w:val="009C58F4"/>
    <w:rsid w:val="009C5A9F"/>
    <w:rsid w:val="009C658E"/>
    <w:rsid w:val="009C72AD"/>
    <w:rsid w:val="009C783A"/>
    <w:rsid w:val="009C7C02"/>
    <w:rsid w:val="009C7EE7"/>
    <w:rsid w:val="009D02B3"/>
    <w:rsid w:val="009D0A73"/>
    <w:rsid w:val="009D0EDF"/>
    <w:rsid w:val="009D241E"/>
    <w:rsid w:val="009D277D"/>
    <w:rsid w:val="009D285A"/>
    <w:rsid w:val="009D3B94"/>
    <w:rsid w:val="009D4BB0"/>
    <w:rsid w:val="009D545C"/>
    <w:rsid w:val="009D5815"/>
    <w:rsid w:val="009D6899"/>
    <w:rsid w:val="009D706B"/>
    <w:rsid w:val="009D7497"/>
    <w:rsid w:val="009D7810"/>
    <w:rsid w:val="009D782F"/>
    <w:rsid w:val="009E0E61"/>
    <w:rsid w:val="009E1233"/>
    <w:rsid w:val="009E1D65"/>
    <w:rsid w:val="009E1ED9"/>
    <w:rsid w:val="009E1FA8"/>
    <w:rsid w:val="009E2507"/>
    <w:rsid w:val="009E3207"/>
    <w:rsid w:val="009E3333"/>
    <w:rsid w:val="009E3429"/>
    <w:rsid w:val="009E43AA"/>
    <w:rsid w:val="009E4E25"/>
    <w:rsid w:val="009E52E1"/>
    <w:rsid w:val="009E57EF"/>
    <w:rsid w:val="009E5EC3"/>
    <w:rsid w:val="009E68B1"/>
    <w:rsid w:val="009E69B0"/>
    <w:rsid w:val="009E6ADD"/>
    <w:rsid w:val="009E6E9B"/>
    <w:rsid w:val="009E7E7A"/>
    <w:rsid w:val="009F0189"/>
    <w:rsid w:val="009F0478"/>
    <w:rsid w:val="009F073B"/>
    <w:rsid w:val="009F08DE"/>
    <w:rsid w:val="009F0C6D"/>
    <w:rsid w:val="009F14E2"/>
    <w:rsid w:val="009F3599"/>
    <w:rsid w:val="009F35BF"/>
    <w:rsid w:val="009F3A86"/>
    <w:rsid w:val="009F4113"/>
    <w:rsid w:val="009F4B15"/>
    <w:rsid w:val="009F5097"/>
    <w:rsid w:val="009F56B1"/>
    <w:rsid w:val="009F5875"/>
    <w:rsid w:val="009F7003"/>
    <w:rsid w:val="009F7385"/>
    <w:rsid w:val="009F73F6"/>
    <w:rsid w:val="009F7577"/>
    <w:rsid w:val="009F75F8"/>
    <w:rsid w:val="009F78A6"/>
    <w:rsid w:val="009F7C2B"/>
    <w:rsid w:val="00A0040C"/>
    <w:rsid w:val="00A008E2"/>
    <w:rsid w:val="00A009FA"/>
    <w:rsid w:val="00A02448"/>
    <w:rsid w:val="00A0265F"/>
    <w:rsid w:val="00A028BF"/>
    <w:rsid w:val="00A03320"/>
    <w:rsid w:val="00A040BA"/>
    <w:rsid w:val="00A05DDC"/>
    <w:rsid w:val="00A05E48"/>
    <w:rsid w:val="00A06613"/>
    <w:rsid w:val="00A07026"/>
    <w:rsid w:val="00A077AB"/>
    <w:rsid w:val="00A07B81"/>
    <w:rsid w:val="00A105FB"/>
    <w:rsid w:val="00A11851"/>
    <w:rsid w:val="00A1222C"/>
    <w:rsid w:val="00A133AB"/>
    <w:rsid w:val="00A13990"/>
    <w:rsid w:val="00A15D52"/>
    <w:rsid w:val="00A161F4"/>
    <w:rsid w:val="00A1704C"/>
    <w:rsid w:val="00A17674"/>
    <w:rsid w:val="00A178A7"/>
    <w:rsid w:val="00A17BF9"/>
    <w:rsid w:val="00A17D9F"/>
    <w:rsid w:val="00A20B16"/>
    <w:rsid w:val="00A21150"/>
    <w:rsid w:val="00A212F2"/>
    <w:rsid w:val="00A2209A"/>
    <w:rsid w:val="00A221B2"/>
    <w:rsid w:val="00A23AE7"/>
    <w:rsid w:val="00A24178"/>
    <w:rsid w:val="00A26743"/>
    <w:rsid w:val="00A26E68"/>
    <w:rsid w:val="00A2730E"/>
    <w:rsid w:val="00A305BD"/>
    <w:rsid w:val="00A316B2"/>
    <w:rsid w:val="00A322F4"/>
    <w:rsid w:val="00A33BEE"/>
    <w:rsid w:val="00A3501E"/>
    <w:rsid w:val="00A35A22"/>
    <w:rsid w:val="00A36388"/>
    <w:rsid w:val="00A36791"/>
    <w:rsid w:val="00A3689C"/>
    <w:rsid w:val="00A37ABC"/>
    <w:rsid w:val="00A404D4"/>
    <w:rsid w:val="00A405B1"/>
    <w:rsid w:val="00A41C86"/>
    <w:rsid w:val="00A41FB5"/>
    <w:rsid w:val="00A42A2C"/>
    <w:rsid w:val="00A42AF7"/>
    <w:rsid w:val="00A42E60"/>
    <w:rsid w:val="00A42EE0"/>
    <w:rsid w:val="00A4330C"/>
    <w:rsid w:val="00A43447"/>
    <w:rsid w:val="00A43A70"/>
    <w:rsid w:val="00A44371"/>
    <w:rsid w:val="00A44608"/>
    <w:rsid w:val="00A44C2A"/>
    <w:rsid w:val="00A451E5"/>
    <w:rsid w:val="00A4594F"/>
    <w:rsid w:val="00A45F79"/>
    <w:rsid w:val="00A46174"/>
    <w:rsid w:val="00A46552"/>
    <w:rsid w:val="00A46769"/>
    <w:rsid w:val="00A4689A"/>
    <w:rsid w:val="00A47740"/>
    <w:rsid w:val="00A500CC"/>
    <w:rsid w:val="00A50635"/>
    <w:rsid w:val="00A508FE"/>
    <w:rsid w:val="00A50A41"/>
    <w:rsid w:val="00A50FF4"/>
    <w:rsid w:val="00A52060"/>
    <w:rsid w:val="00A52FA5"/>
    <w:rsid w:val="00A5469D"/>
    <w:rsid w:val="00A55132"/>
    <w:rsid w:val="00A55496"/>
    <w:rsid w:val="00A558FC"/>
    <w:rsid w:val="00A565F8"/>
    <w:rsid w:val="00A5732C"/>
    <w:rsid w:val="00A57A19"/>
    <w:rsid w:val="00A57BA4"/>
    <w:rsid w:val="00A60993"/>
    <w:rsid w:val="00A60B9E"/>
    <w:rsid w:val="00A60E1C"/>
    <w:rsid w:val="00A61206"/>
    <w:rsid w:val="00A61252"/>
    <w:rsid w:val="00A616B8"/>
    <w:rsid w:val="00A619B0"/>
    <w:rsid w:val="00A61FAF"/>
    <w:rsid w:val="00A620A6"/>
    <w:rsid w:val="00A64026"/>
    <w:rsid w:val="00A645A3"/>
    <w:rsid w:val="00A649A7"/>
    <w:rsid w:val="00A64A2C"/>
    <w:rsid w:val="00A653C8"/>
    <w:rsid w:val="00A65617"/>
    <w:rsid w:val="00A65659"/>
    <w:rsid w:val="00A6736E"/>
    <w:rsid w:val="00A67C0E"/>
    <w:rsid w:val="00A715C9"/>
    <w:rsid w:val="00A71C20"/>
    <w:rsid w:val="00A7210C"/>
    <w:rsid w:val="00A722CE"/>
    <w:rsid w:val="00A72545"/>
    <w:rsid w:val="00A72953"/>
    <w:rsid w:val="00A7390C"/>
    <w:rsid w:val="00A73944"/>
    <w:rsid w:val="00A748E1"/>
    <w:rsid w:val="00A74A5A"/>
    <w:rsid w:val="00A74C5C"/>
    <w:rsid w:val="00A7584E"/>
    <w:rsid w:val="00A76D23"/>
    <w:rsid w:val="00A773BB"/>
    <w:rsid w:val="00A77578"/>
    <w:rsid w:val="00A81227"/>
    <w:rsid w:val="00A81548"/>
    <w:rsid w:val="00A8190C"/>
    <w:rsid w:val="00A83745"/>
    <w:rsid w:val="00A83C81"/>
    <w:rsid w:val="00A83C8A"/>
    <w:rsid w:val="00A84B69"/>
    <w:rsid w:val="00A852B8"/>
    <w:rsid w:val="00A854E4"/>
    <w:rsid w:val="00A856E4"/>
    <w:rsid w:val="00A85BF3"/>
    <w:rsid w:val="00A8697D"/>
    <w:rsid w:val="00A86A0C"/>
    <w:rsid w:val="00A86B74"/>
    <w:rsid w:val="00A877B5"/>
    <w:rsid w:val="00A903C6"/>
    <w:rsid w:val="00A90546"/>
    <w:rsid w:val="00A91050"/>
    <w:rsid w:val="00A91DD8"/>
    <w:rsid w:val="00A929DD"/>
    <w:rsid w:val="00A9300A"/>
    <w:rsid w:val="00A9313B"/>
    <w:rsid w:val="00A94EF0"/>
    <w:rsid w:val="00A94F1B"/>
    <w:rsid w:val="00A95970"/>
    <w:rsid w:val="00A9670D"/>
    <w:rsid w:val="00A970A6"/>
    <w:rsid w:val="00A972D7"/>
    <w:rsid w:val="00A973C8"/>
    <w:rsid w:val="00AA0296"/>
    <w:rsid w:val="00AA1033"/>
    <w:rsid w:val="00AA10F3"/>
    <w:rsid w:val="00AA192E"/>
    <w:rsid w:val="00AA21BF"/>
    <w:rsid w:val="00AA37F2"/>
    <w:rsid w:val="00AA4089"/>
    <w:rsid w:val="00AA45C0"/>
    <w:rsid w:val="00AA63C9"/>
    <w:rsid w:val="00AA7264"/>
    <w:rsid w:val="00AA78C3"/>
    <w:rsid w:val="00AB0258"/>
    <w:rsid w:val="00AB02BF"/>
    <w:rsid w:val="00AB19FF"/>
    <w:rsid w:val="00AB1C69"/>
    <w:rsid w:val="00AB36A2"/>
    <w:rsid w:val="00AB3A30"/>
    <w:rsid w:val="00AB3F5D"/>
    <w:rsid w:val="00AB416A"/>
    <w:rsid w:val="00AB4E64"/>
    <w:rsid w:val="00AB504E"/>
    <w:rsid w:val="00AB65FE"/>
    <w:rsid w:val="00AB6BC1"/>
    <w:rsid w:val="00AB6BF8"/>
    <w:rsid w:val="00AB7380"/>
    <w:rsid w:val="00AB7A19"/>
    <w:rsid w:val="00AB7D8A"/>
    <w:rsid w:val="00AC0196"/>
    <w:rsid w:val="00AC1200"/>
    <w:rsid w:val="00AC128F"/>
    <w:rsid w:val="00AC12AA"/>
    <w:rsid w:val="00AC1CC1"/>
    <w:rsid w:val="00AC20E6"/>
    <w:rsid w:val="00AC2890"/>
    <w:rsid w:val="00AC372E"/>
    <w:rsid w:val="00AC578C"/>
    <w:rsid w:val="00AC612F"/>
    <w:rsid w:val="00AC63A3"/>
    <w:rsid w:val="00AC6BED"/>
    <w:rsid w:val="00AC749F"/>
    <w:rsid w:val="00AC7A98"/>
    <w:rsid w:val="00AD0752"/>
    <w:rsid w:val="00AD142C"/>
    <w:rsid w:val="00AD2F6B"/>
    <w:rsid w:val="00AD3875"/>
    <w:rsid w:val="00AD4CB2"/>
    <w:rsid w:val="00AD4F4E"/>
    <w:rsid w:val="00AD52DD"/>
    <w:rsid w:val="00AD53A7"/>
    <w:rsid w:val="00AD5A0F"/>
    <w:rsid w:val="00AD5B87"/>
    <w:rsid w:val="00AD61F7"/>
    <w:rsid w:val="00AD69C3"/>
    <w:rsid w:val="00AD76C3"/>
    <w:rsid w:val="00AE0928"/>
    <w:rsid w:val="00AE10B1"/>
    <w:rsid w:val="00AE124F"/>
    <w:rsid w:val="00AE177B"/>
    <w:rsid w:val="00AE2EF5"/>
    <w:rsid w:val="00AE3916"/>
    <w:rsid w:val="00AE4C8A"/>
    <w:rsid w:val="00AE6D02"/>
    <w:rsid w:val="00AE74EA"/>
    <w:rsid w:val="00AE7B8C"/>
    <w:rsid w:val="00AE7DB1"/>
    <w:rsid w:val="00AF076E"/>
    <w:rsid w:val="00AF084A"/>
    <w:rsid w:val="00AF22F5"/>
    <w:rsid w:val="00AF242F"/>
    <w:rsid w:val="00AF2FCB"/>
    <w:rsid w:val="00AF41AE"/>
    <w:rsid w:val="00AF4206"/>
    <w:rsid w:val="00AF42CD"/>
    <w:rsid w:val="00AF50A5"/>
    <w:rsid w:val="00AF5AFD"/>
    <w:rsid w:val="00AF65FE"/>
    <w:rsid w:val="00AF71F4"/>
    <w:rsid w:val="00AF76F5"/>
    <w:rsid w:val="00AF7E2E"/>
    <w:rsid w:val="00B0027D"/>
    <w:rsid w:val="00B00985"/>
    <w:rsid w:val="00B01CF5"/>
    <w:rsid w:val="00B02952"/>
    <w:rsid w:val="00B04131"/>
    <w:rsid w:val="00B04264"/>
    <w:rsid w:val="00B0489E"/>
    <w:rsid w:val="00B0683A"/>
    <w:rsid w:val="00B07E15"/>
    <w:rsid w:val="00B07E16"/>
    <w:rsid w:val="00B10F3D"/>
    <w:rsid w:val="00B11790"/>
    <w:rsid w:val="00B12B11"/>
    <w:rsid w:val="00B13DF3"/>
    <w:rsid w:val="00B1472A"/>
    <w:rsid w:val="00B15322"/>
    <w:rsid w:val="00B17322"/>
    <w:rsid w:val="00B179CC"/>
    <w:rsid w:val="00B204BC"/>
    <w:rsid w:val="00B205FD"/>
    <w:rsid w:val="00B20822"/>
    <w:rsid w:val="00B20AAB"/>
    <w:rsid w:val="00B21994"/>
    <w:rsid w:val="00B21C51"/>
    <w:rsid w:val="00B2414F"/>
    <w:rsid w:val="00B2433E"/>
    <w:rsid w:val="00B24D06"/>
    <w:rsid w:val="00B253F8"/>
    <w:rsid w:val="00B26378"/>
    <w:rsid w:val="00B3016F"/>
    <w:rsid w:val="00B316CF"/>
    <w:rsid w:val="00B31799"/>
    <w:rsid w:val="00B32710"/>
    <w:rsid w:val="00B327CE"/>
    <w:rsid w:val="00B327E7"/>
    <w:rsid w:val="00B335BD"/>
    <w:rsid w:val="00B33B36"/>
    <w:rsid w:val="00B33D16"/>
    <w:rsid w:val="00B33D44"/>
    <w:rsid w:val="00B341C8"/>
    <w:rsid w:val="00B3438D"/>
    <w:rsid w:val="00B343CB"/>
    <w:rsid w:val="00B351AD"/>
    <w:rsid w:val="00B3567D"/>
    <w:rsid w:val="00B35B0A"/>
    <w:rsid w:val="00B35C45"/>
    <w:rsid w:val="00B3604F"/>
    <w:rsid w:val="00B3705C"/>
    <w:rsid w:val="00B37177"/>
    <w:rsid w:val="00B37316"/>
    <w:rsid w:val="00B37868"/>
    <w:rsid w:val="00B37BC0"/>
    <w:rsid w:val="00B41049"/>
    <w:rsid w:val="00B4186B"/>
    <w:rsid w:val="00B45BCD"/>
    <w:rsid w:val="00B50B15"/>
    <w:rsid w:val="00B511B8"/>
    <w:rsid w:val="00B527CD"/>
    <w:rsid w:val="00B52811"/>
    <w:rsid w:val="00B534B3"/>
    <w:rsid w:val="00B53E0A"/>
    <w:rsid w:val="00B53EFF"/>
    <w:rsid w:val="00B54CAB"/>
    <w:rsid w:val="00B554FA"/>
    <w:rsid w:val="00B5560F"/>
    <w:rsid w:val="00B576F4"/>
    <w:rsid w:val="00B600FA"/>
    <w:rsid w:val="00B606E0"/>
    <w:rsid w:val="00B6090D"/>
    <w:rsid w:val="00B60E9C"/>
    <w:rsid w:val="00B612C4"/>
    <w:rsid w:val="00B6135F"/>
    <w:rsid w:val="00B617DE"/>
    <w:rsid w:val="00B61E9C"/>
    <w:rsid w:val="00B62596"/>
    <w:rsid w:val="00B62807"/>
    <w:rsid w:val="00B63725"/>
    <w:rsid w:val="00B64402"/>
    <w:rsid w:val="00B645DF"/>
    <w:rsid w:val="00B64802"/>
    <w:rsid w:val="00B6594E"/>
    <w:rsid w:val="00B675EC"/>
    <w:rsid w:val="00B67C04"/>
    <w:rsid w:val="00B67E25"/>
    <w:rsid w:val="00B7099B"/>
    <w:rsid w:val="00B711CC"/>
    <w:rsid w:val="00B71746"/>
    <w:rsid w:val="00B71BBE"/>
    <w:rsid w:val="00B73349"/>
    <w:rsid w:val="00B73977"/>
    <w:rsid w:val="00B80049"/>
    <w:rsid w:val="00B83050"/>
    <w:rsid w:val="00B83AED"/>
    <w:rsid w:val="00B84F04"/>
    <w:rsid w:val="00B867B0"/>
    <w:rsid w:val="00B86C65"/>
    <w:rsid w:val="00B905DF"/>
    <w:rsid w:val="00B907D2"/>
    <w:rsid w:val="00B92142"/>
    <w:rsid w:val="00B93527"/>
    <w:rsid w:val="00B9355E"/>
    <w:rsid w:val="00B93A67"/>
    <w:rsid w:val="00B94CCE"/>
    <w:rsid w:val="00B95049"/>
    <w:rsid w:val="00B952DE"/>
    <w:rsid w:val="00B9588B"/>
    <w:rsid w:val="00B959F4"/>
    <w:rsid w:val="00B95E63"/>
    <w:rsid w:val="00B96BB6"/>
    <w:rsid w:val="00B97610"/>
    <w:rsid w:val="00BA0B53"/>
    <w:rsid w:val="00BA0D71"/>
    <w:rsid w:val="00BA11DD"/>
    <w:rsid w:val="00BA1696"/>
    <w:rsid w:val="00BA2023"/>
    <w:rsid w:val="00BA23D3"/>
    <w:rsid w:val="00BA2A53"/>
    <w:rsid w:val="00BA3657"/>
    <w:rsid w:val="00BA44E5"/>
    <w:rsid w:val="00BA56CE"/>
    <w:rsid w:val="00BA5B3D"/>
    <w:rsid w:val="00BA6801"/>
    <w:rsid w:val="00BB1610"/>
    <w:rsid w:val="00BB1DA5"/>
    <w:rsid w:val="00BB2613"/>
    <w:rsid w:val="00BB2A08"/>
    <w:rsid w:val="00BB2E33"/>
    <w:rsid w:val="00BB2FA4"/>
    <w:rsid w:val="00BB308F"/>
    <w:rsid w:val="00BB3931"/>
    <w:rsid w:val="00BB47FF"/>
    <w:rsid w:val="00BB4DDA"/>
    <w:rsid w:val="00BB5EA9"/>
    <w:rsid w:val="00BB6286"/>
    <w:rsid w:val="00BB6F06"/>
    <w:rsid w:val="00BB76EA"/>
    <w:rsid w:val="00BC0C19"/>
    <w:rsid w:val="00BC45DA"/>
    <w:rsid w:val="00BC51E4"/>
    <w:rsid w:val="00BC5830"/>
    <w:rsid w:val="00BC61C1"/>
    <w:rsid w:val="00BC67E5"/>
    <w:rsid w:val="00BC6DFA"/>
    <w:rsid w:val="00BC71A6"/>
    <w:rsid w:val="00BC79CC"/>
    <w:rsid w:val="00BC7F0C"/>
    <w:rsid w:val="00BD0151"/>
    <w:rsid w:val="00BD0414"/>
    <w:rsid w:val="00BD0469"/>
    <w:rsid w:val="00BD0541"/>
    <w:rsid w:val="00BD0636"/>
    <w:rsid w:val="00BD1FF3"/>
    <w:rsid w:val="00BD30AC"/>
    <w:rsid w:val="00BD3384"/>
    <w:rsid w:val="00BD3429"/>
    <w:rsid w:val="00BD3D32"/>
    <w:rsid w:val="00BD48D8"/>
    <w:rsid w:val="00BD4D9B"/>
    <w:rsid w:val="00BD51D6"/>
    <w:rsid w:val="00BD5C38"/>
    <w:rsid w:val="00BD5FEA"/>
    <w:rsid w:val="00BD622D"/>
    <w:rsid w:val="00BD7CD5"/>
    <w:rsid w:val="00BD7CFE"/>
    <w:rsid w:val="00BD7D70"/>
    <w:rsid w:val="00BD7DB4"/>
    <w:rsid w:val="00BE1A60"/>
    <w:rsid w:val="00BE1D4D"/>
    <w:rsid w:val="00BE2A31"/>
    <w:rsid w:val="00BE2C1E"/>
    <w:rsid w:val="00BE2E47"/>
    <w:rsid w:val="00BE3023"/>
    <w:rsid w:val="00BE3187"/>
    <w:rsid w:val="00BE33B2"/>
    <w:rsid w:val="00BE394E"/>
    <w:rsid w:val="00BE3FD4"/>
    <w:rsid w:val="00BE471F"/>
    <w:rsid w:val="00BE4B9C"/>
    <w:rsid w:val="00BE54F1"/>
    <w:rsid w:val="00BE586D"/>
    <w:rsid w:val="00BE70C8"/>
    <w:rsid w:val="00BE735C"/>
    <w:rsid w:val="00BE7466"/>
    <w:rsid w:val="00BE7AC3"/>
    <w:rsid w:val="00BE7C5D"/>
    <w:rsid w:val="00BF010D"/>
    <w:rsid w:val="00BF05FC"/>
    <w:rsid w:val="00BF1F16"/>
    <w:rsid w:val="00BF361E"/>
    <w:rsid w:val="00BF5027"/>
    <w:rsid w:val="00C00608"/>
    <w:rsid w:val="00C018EC"/>
    <w:rsid w:val="00C02FCB"/>
    <w:rsid w:val="00C03147"/>
    <w:rsid w:val="00C03426"/>
    <w:rsid w:val="00C04140"/>
    <w:rsid w:val="00C0486A"/>
    <w:rsid w:val="00C0584E"/>
    <w:rsid w:val="00C05DFE"/>
    <w:rsid w:val="00C0652C"/>
    <w:rsid w:val="00C0664A"/>
    <w:rsid w:val="00C06832"/>
    <w:rsid w:val="00C06A4D"/>
    <w:rsid w:val="00C077F7"/>
    <w:rsid w:val="00C10082"/>
    <w:rsid w:val="00C1097E"/>
    <w:rsid w:val="00C10F44"/>
    <w:rsid w:val="00C11B3B"/>
    <w:rsid w:val="00C125D1"/>
    <w:rsid w:val="00C12F82"/>
    <w:rsid w:val="00C138DB"/>
    <w:rsid w:val="00C143CC"/>
    <w:rsid w:val="00C144F8"/>
    <w:rsid w:val="00C148FB"/>
    <w:rsid w:val="00C15107"/>
    <w:rsid w:val="00C163A4"/>
    <w:rsid w:val="00C1649C"/>
    <w:rsid w:val="00C17744"/>
    <w:rsid w:val="00C20887"/>
    <w:rsid w:val="00C208CA"/>
    <w:rsid w:val="00C219D4"/>
    <w:rsid w:val="00C21D3A"/>
    <w:rsid w:val="00C233EC"/>
    <w:rsid w:val="00C2403B"/>
    <w:rsid w:val="00C258E8"/>
    <w:rsid w:val="00C2595D"/>
    <w:rsid w:val="00C25C44"/>
    <w:rsid w:val="00C27BBB"/>
    <w:rsid w:val="00C27DE7"/>
    <w:rsid w:val="00C31170"/>
    <w:rsid w:val="00C31370"/>
    <w:rsid w:val="00C33519"/>
    <w:rsid w:val="00C33CA2"/>
    <w:rsid w:val="00C341FC"/>
    <w:rsid w:val="00C3437B"/>
    <w:rsid w:val="00C35CBD"/>
    <w:rsid w:val="00C35FCF"/>
    <w:rsid w:val="00C36092"/>
    <w:rsid w:val="00C36998"/>
    <w:rsid w:val="00C36D81"/>
    <w:rsid w:val="00C37D41"/>
    <w:rsid w:val="00C40299"/>
    <w:rsid w:val="00C4088C"/>
    <w:rsid w:val="00C40C77"/>
    <w:rsid w:val="00C40DF4"/>
    <w:rsid w:val="00C41137"/>
    <w:rsid w:val="00C41F8B"/>
    <w:rsid w:val="00C427BB"/>
    <w:rsid w:val="00C43425"/>
    <w:rsid w:val="00C43745"/>
    <w:rsid w:val="00C44162"/>
    <w:rsid w:val="00C447FA"/>
    <w:rsid w:val="00C44FFE"/>
    <w:rsid w:val="00C467D4"/>
    <w:rsid w:val="00C467DB"/>
    <w:rsid w:val="00C47CDB"/>
    <w:rsid w:val="00C5044D"/>
    <w:rsid w:val="00C504D6"/>
    <w:rsid w:val="00C50A9A"/>
    <w:rsid w:val="00C510E9"/>
    <w:rsid w:val="00C53D76"/>
    <w:rsid w:val="00C54787"/>
    <w:rsid w:val="00C54E3E"/>
    <w:rsid w:val="00C55CE5"/>
    <w:rsid w:val="00C55D2B"/>
    <w:rsid w:val="00C56326"/>
    <w:rsid w:val="00C570B6"/>
    <w:rsid w:val="00C60833"/>
    <w:rsid w:val="00C61223"/>
    <w:rsid w:val="00C617EF"/>
    <w:rsid w:val="00C618D1"/>
    <w:rsid w:val="00C62AE7"/>
    <w:rsid w:val="00C64217"/>
    <w:rsid w:val="00C64421"/>
    <w:rsid w:val="00C65C0D"/>
    <w:rsid w:val="00C6670F"/>
    <w:rsid w:val="00C66F1F"/>
    <w:rsid w:val="00C71A31"/>
    <w:rsid w:val="00C7368E"/>
    <w:rsid w:val="00C736A1"/>
    <w:rsid w:val="00C7448F"/>
    <w:rsid w:val="00C7550C"/>
    <w:rsid w:val="00C76230"/>
    <w:rsid w:val="00C76BBA"/>
    <w:rsid w:val="00C76C88"/>
    <w:rsid w:val="00C811A3"/>
    <w:rsid w:val="00C8206F"/>
    <w:rsid w:val="00C8354E"/>
    <w:rsid w:val="00C852CB"/>
    <w:rsid w:val="00C87071"/>
    <w:rsid w:val="00C87D7D"/>
    <w:rsid w:val="00C87EEF"/>
    <w:rsid w:val="00C9125E"/>
    <w:rsid w:val="00C91EB3"/>
    <w:rsid w:val="00C92BF5"/>
    <w:rsid w:val="00C93D28"/>
    <w:rsid w:val="00C95592"/>
    <w:rsid w:val="00C95AC0"/>
    <w:rsid w:val="00C95BCB"/>
    <w:rsid w:val="00C95D16"/>
    <w:rsid w:val="00C96FBE"/>
    <w:rsid w:val="00C97199"/>
    <w:rsid w:val="00C971D0"/>
    <w:rsid w:val="00CA021B"/>
    <w:rsid w:val="00CA268D"/>
    <w:rsid w:val="00CA2EC7"/>
    <w:rsid w:val="00CA363C"/>
    <w:rsid w:val="00CA4476"/>
    <w:rsid w:val="00CA4F5A"/>
    <w:rsid w:val="00CA57BD"/>
    <w:rsid w:val="00CA5AC1"/>
    <w:rsid w:val="00CA79FE"/>
    <w:rsid w:val="00CB0F64"/>
    <w:rsid w:val="00CB1281"/>
    <w:rsid w:val="00CB12A1"/>
    <w:rsid w:val="00CB1CEF"/>
    <w:rsid w:val="00CB2C82"/>
    <w:rsid w:val="00CB3C31"/>
    <w:rsid w:val="00CB3C84"/>
    <w:rsid w:val="00CB3D71"/>
    <w:rsid w:val="00CB3DCB"/>
    <w:rsid w:val="00CB4F21"/>
    <w:rsid w:val="00CB529F"/>
    <w:rsid w:val="00CB539F"/>
    <w:rsid w:val="00CB5C80"/>
    <w:rsid w:val="00CB69EF"/>
    <w:rsid w:val="00CB7340"/>
    <w:rsid w:val="00CB7B88"/>
    <w:rsid w:val="00CC002C"/>
    <w:rsid w:val="00CC0480"/>
    <w:rsid w:val="00CC0B00"/>
    <w:rsid w:val="00CC0BC2"/>
    <w:rsid w:val="00CC0FAB"/>
    <w:rsid w:val="00CC1B18"/>
    <w:rsid w:val="00CC2A89"/>
    <w:rsid w:val="00CC36CC"/>
    <w:rsid w:val="00CC3EA0"/>
    <w:rsid w:val="00CC4177"/>
    <w:rsid w:val="00CC50AB"/>
    <w:rsid w:val="00CC5470"/>
    <w:rsid w:val="00CC5670"/>
    <w:rsid w:val="00CC6271"/>
    <w:rsid w:val="00CC6760"/>
    <w:rsid w:val="00CC72CB"/>
    <w:rsid w:val="00CC7A1B"/>
    <w:rsid w:val="00CD06B6"/>
    <w:rsid w:val="00CD0C73"/>
    <w:rsid w:val="00CD1017"/>
    <w:rsid w:val="00CD2ECE"/>
    <w:rsid w:val="00CD45A4"/>
    <w:rsid w:val="00CD47FC"/>
    <w:rsid w:val="00CD498D"/>
    <w:rsid w:val="00CD5321"/>
    <w:rsid w:val="00CD6ACA"/>
    <w:rsid w:val="00CD7610"/>
    <w:rsid w:val="00CD7D66"/>
    <w:rsid w:val="00CD7FC8"/>
    <w:rsid w:val="00CE05A3"/>
    <w:rsid w:val="00CE1D67"/>
    <w:rsid w:val="00CE2831"/>
    <w:rsid w:val="00CE2A04"/>
    <w:rsid w:val="00CE2EEA"/>
    <w:rsid w:val="00CE4EEF"/>
    <w:rsid w:val="00CE62EF"/>
    <w:rsid w:val="00CE73EB"/>
    <w:rsid w:val="00CE7F26"/>
    <w:rsid w:val="00CF1055"/>
    <w:rsid w:val="00CF1AB4"/>
    <w:rsid w:val="00CF231F"/>
    <w:rsid w:val="00CF24A1"/>
    <w:rsid w:val="00CF24CB"/>
    <w:rsid w:val="00CF3C76"/>
    <w:rsid w:val="00CF3E18"/>
    <w:rsid w:val="00CF4D8E"/>
    <w:rsid w:val="00CF50F9"/>
    <w:rsid w:val="00CF5B7A"/>
    <w:rsid w:val="00CF669E"/>
    <w:rsid w:val="00CF6BC1"/>
    <w:rsid w:val="00CF6D9A"/>
    <w:rsid w:val="00D00530"/>
    <w:rsid w:val="00D0252B"/>
    <w:rsid w:val="00D0300A"/>
    <w:rsid w:val="00D03982"/>
    <w:rsid w:val="00D039C2"/>
    <w:rsid w:val="00D039DB"/>
    <w:rsid w:val="00D03EC0"/>
    <w:rsid w:val="00D0403A"/>
    <w:rsid w:val="00D04193"/>
    <w:rsid w:val="00D05848"/>
    <w:rsid w:val="00D06EE0"/>
    <w:rsid w:val="00D07BBF"/>
    <w:rsid w:val="00D10153"/>
    <w:rsid w:val="00D10A0B"/>
    <w:rsid w:val="00D10C1D"/>
    <w:rsid w:val="00D1188F"/>
    <w:rsid w:val="00D13046"/>
    <w:rsid w:val="00D134FA"/>
    <w:rsid w:val="00D14518"/>
    <w:rsid w:val="00D14631"/>
    <w:rsid w:val="00D14E56"/>
    <w:rsid w:val="00D159E0"/>
    <w:rsid w:val="00D15A81"/>
    <w:rsid w:val="00D16B53"/>
    <w:rsid w:val="00D16C19"/>
    <w:rsid w:val="00D17026"/>
    <w:rsid w:val="00D170B8"/>
    <w:rsid w:val="00D17C97"/>
    <w:rsid w:val="00D17D9A"/>
    <w:rsid w:val="00D17DB7"/>
    <w:rsid w:val="00D20A54"/>
    <w:rsid w:val="00D20C46"/>
    <w:rsid w:val="00D21258"/>
    <w:rsid w:val="00D212F3"/>
    <w:rsid w:val="00D216F1"/>
    <w:rsid w:val="00D225A7"/>
    <w:rsid w:val="00D22AE0"/>
    <w:rsid w:val="00D22C24"/>
    <w:rsid w:val="00D238C4"/>
    <w:rsid w:val="00D24E49"/>
    <w:rsid w:val="00D25374"/>
    <w:rsid w:val="00D275AC"/>
    <w:rsid w:val="00D277FB"/>
    <w:rsid w:val="00D2792F"/>
    <w:rsid w:val="00D27A8F"/>
    <w:rsid w:val="00D303C2"/>
    <w:rsid w:val="00D308FE"/>
    <w:rsid w:val="00D31AD7"/>
    <w:rsid w:val="00D32347"/>
    <w:rsid w:val="00D325CB"/>
    <w:rsid w:val="00D3417B"/>
    <w:rsid w:val="00D341B4"/>
    <w:rsid w:val="00D352F9"/>
    <w:rsid w:val="00D356C5"/>
    <w:rsid w:val="00D35DB2"/>
    <w:rsid w:val="00D36B23"/>
    <w:rsid w:val="00D374E8"/>
    <w:rsid w:val="00D375FE"/>
    <w:rsid w:val="00D37780"/>
    <w:rsid w:val="00D37C91"/>
    <w:rsid w:val="00D40712"/>
    <w:rsid w:val="00D40D91"/>
    <w:rsid w:val="00D40E18"/>
    <w:rsid w:val="00D4155F"/>
    <w:rsid w:val="00D41C69"/>
    <w:rsid w:val="00D41F7E"/>
    <w:rsid w:val="00D41FDF"/>
    <w:rsid w:val="00D41FE3"/>
    <w:rsid w:val="00D42063"/>
    <w:rsid w:val="00D4304F"/>
    <w:rsid w:val="00D44086"/>
    <w:rsid w:val="00D4505F"/>
    <w:rsid w:val="00D452D5"/>
    <w:rsid w:val="00D46741"/>
    <w:rsid w:val="00D467DA"/>
    <w:rsid w:val="00D46D41"/>
    <w:rsid w:val="00D47930"/>
    <w:rsid w:val="00D47ACB"/>
    <w:rsid w:val="00D50305"/>
    <w:rsid w:val="00D51D01"/>
    <w:rsid w:val="00D51E9F"/>
    <w:rsid w:val="00D52A2A"/>
    <w:rsid w:val="00D52C2F"/>
    <w:rsid w:val="00D52D08"/>
    <w:rsid w:val="00D531F7"/>
    <w:rsid w:val="00D532F3"/>
    <w:rsid w:val="00D5356E"/>
    <w:rsid w:val="00D54094"/>
    <w:rsid w:val="00D55A0F"/>
    <w:rsid w:val="00D5779A"/>
    <w:rsid w:val="00D600E8"/>
    <w:rsid w:val="00D61673"/>
    <w:rsid w:val="00D616E9"/>
    <w:rsid w:val="00D626C2"/>
    <w:rsid w:val="00D63255"/>
    <w:rsid w:val="00D632EC"/>
    <w:rsid w:val="00D63640"/>
    <w:rsid w:val="00D63DA4"/>
    <w:rsid w:val="00D64B20"/>
    <w:rsid w:val="00D65937"/>
    <w:rsid w:val="00D66648"/>
    <w:rsid w:val="00D66C4F"/>
    <w:rsid w:val="00D66D2B"/>
    <w:rsid w:val="00D67AE8"/>
    <w:rsid w:val="00D67C6A"/>
    <w:rsid w:val="00D713C5"/>
    <w:rsid w:val="00D71561"/>
    <w:rsid w:val="00D72F57"/>
    <w:rsid w:val="00D734A5"/>
    <w:rsid w:val="00D73571"/>
    <w:rsid w:val="00D7414C"/>
    <w:rsid w:val="00D741C1"/>
    <w:rsid w:val="00D74F08"/>
    <w:rsid w:val="00D752E4"/>
    <w:rsid w:val="00D76235"/>
    <w:rsid w:val="00D77F4E"/>
    <w:rsid w:val="00D800B8"/>
    <w:rsid w:val="00D802C4"/>
    <w:rsid w:val="00D8062D"/>
    <w:rsid w:val="00D80C23"/>
    <w:rsid w:val="00D80E4E"/>
    <w:rsid w:val="00D80E8A"/>
    <w:rsid w:val="00D81C60"/>
    <w:rsid w:val="00D81F02"/>
    <w:rsid w:val="00D82A32"/>
    <w:rsid w:val="00D84CC5"/>
    <w:rsid w:val="00D86688"/>
    <w:rsid w:val="00D86C8A"/>
    <w:rsid w:val="00D875F6"/>
    <w:rsid w:val="00D91100"/>
    <w:rsid w:val="00D91CE8"/>
    <w:rsid w:val="00D93464"/>
    <w:rsid w:val="00D93CA6"/>
    <w:rsid w:val="00D9407C"/>
    <w:rsid w:val="00D9432A"/>
    <w:rsid w:val="00D94659"/>
    <w:rsid w:val="00D951BA"/>
    <w:rsid w:val="00D9567A"/>
    <w:rsid w:val="00D97BBA"/>
    <w:rsid w:val="00DA0F97"/>
    <w:rsid w:val="00DA1B7C"/>
    <w:rsid w:val="00DA1DAC"/>
    <w:rsid w:val="00DA2657"/>
    <w:rsid w:val="00DA29C9"/>
    <w:rsid w:val="00DA2E0E"/>
    <w:rsid w:val="00DA3F2F"/>
    <w:rsid w:val="00DA413F"/>
    <w:rsid w:val="00DA4609"/>
    <w:rsid w:val="00DA5677"/>
    <w:rsid w:val="00DA607F"/>
    <w:rsid w:val="00DA63F6"/>
    <w:rsid w:val="00DA6A74"/>
    <w:rsid w:val="00DA753A"/>
    <w:rsid w:val="00DB01EB"/>
    <w:rsid w:val="00DB1791"/>
    <w:rsid w:val="00DB2DB7"/>
    <w:rsid w:val="00DB3958"/>
    <w:rsid w:val="00DB4714"/>
    <w:rsid w:val="00DB4FE0"/>
    <w:rsid w:val="00DB53C0"/>
    <w:rsid w:val="00DC002D"/>
    <w:rsid w:val="00DC03DD"/>
    <w:rsid w:val="00DC0532"/>
    <w:rsid w:val="00DC0A4C"/>
    <w:rsid w:val="00DC2632"/>
    <w:rsid w:val="00DC4814"/>
    <w:rsid w:val="00DC4BFC"/>
    <w:rsid w:val="00DC5E64"/>
    <w:rsid w:val="00DC6342"/>
    <w:rsid w:val="00DD007A"/>
    <w:rsid w:val="00DD05B7"/>
    <w:rsid w:val="00DD067B"/>
    <w:rsid w:val="00DD11E2"/>
    <w:rsid w:val="00DD1E19"/>
    <w:rsid w:val="00DD214C"/>
    <w:rsid w:val="00DD4557"/>
    <w:rsid w:val="00DD493A"/>
    <w:rsid w:val="00DD4AE4"/>
    <w:rsid w:val="00DD4FBE"/>
    <w:rsid w:val="00DD5210"/>
    <w:rsid w:val="00DD5459"/>
    <w:rsid w:val="00DD59C7"/>
    <w:rsid w:val="00DD65AF"/>
    <w:rsid w:val="00DD749A"/>
    <w:rsid w:val="00DD78CE"/>
    <w:rsid w:val="00DE0F5E"/>
    <w:rsid w:val="00DE12B3"/>
    <w:rsid w:val="00DE20A0"/>
    <w:rsid w:val="00DE2645"/>
    <w:rsid w:val="00DE30EA"/>
    <w:rsid w:val="00DE38FE"/>
    <w:rsid w:val="00DE400E"/>
    <w:rsid w:val="00DE4554"/>
    <w:rsid w:val="00DE60FB"/>
    <w:rsid w:val="00DE78AE"/>
    <w:rsid w:val="00DF0317"/>
    <w:rsid w:val="00DF20D4"/>
    <w:rsid w:val="00DF4124"/>
    <w:rsid w:val="00DF45B8"/>
    <w:rsid w:val="00DF5623"/>
    <w:rsid w:val="00DF5D5E"/>
    <w:rsid w:val="00DF6868"/>
    <w:rsid w:val="00DF6955"/>
    <w:rsid w:val="00DF779E"/>
    <w:rsid w:val="00E0005C"/>
    <w:rsid w:val="00E00572"/>
    <w:rsid w:val="00E00732"/>
    <w:rsid w:val="00E00A05"/>
    <w:rsid w:val="00E00F41"/>
    <w:rsid w:val="00E018FE"/>
    <w:rsid w:val="00E0214E"/>
    <w:rsid w:val="00E02520"/>
    <w:rsid w:val="00E02702"/>
    <w:rsid w:val="00E02BF2"/>
    <w:rsid w:val="00E037AC"/>
    <w:rsid w:val="00E038A5"/>
    <w:rsid w:val="00E03C14"/>
    <w:rsid w:val="00E047C1"/>
    <w:rsid w:val="00E059CC"/>
    <w:rsid w:val="00E05B9E"/>
    <w:rsid w:val="00E06AB5"/>
    <w:rsid w:val="00E06E70"/>
    <w:rsid w:val="00E07273"/>
    <w:rsid w:val="00E074DC"/>
    <w:rsid w:val="00E07B9E"/>
    <w:rsid w:val="00E07DCC"/>
    <w:rsid w:val="00E11629"/>
    <w:rsid w:val="00E11E99"/>
    <w:rsid w:val="00E11F47"/>
    <w:rsid w:val="00E1263C"/>
    <w:rsid w:val="00E13364"/>
    <w:rsid w:val="00E13F74"/>
    <w:rsid w:val="00E14249"/>
    <w:rsid w:val="00E14E12"/>
    <w:rsid w:val="00E15472"/>
    <w:rsid w:val="00E1548D"/>
    <w:rsid w:val="00E158C3"/>
    <w:rsid w:val="00E15ADA"/>
    <w:rsid w:val="00E16B11"/>
    <w:rsid w:val="00E16EF7"/>
    <w:rsid w:val="00E1757C"/>
    <w:rsid w:val="00E203C2"/>
    <w:rsid w:val="00E206DB"/>
    <w:rsid w:val="00E20823"/>
    <w:rsid w:val="00E2104F"/>
    <w:rsid w:val="00E212CA"/>
    <w:rsid w:val="00E238EB"/>
    <w:rsid w:val="00E23B68"/>
    <w:rsid w:val="00E2480B"/>
    <w:rsid w:val="00E24A97"/>
    <w:rsid w:val="00E2523D"/>
    <w:rsid w:val="00E26280"/>
    <w:rsid w:val="00E267E7"/>
    <w:rsid w:val="00E26E31"/>
    <w:rsid w:val="00E30990"/>
    <w:rsid w:val="00E30DEB"/>
    <w:rsid w:val="00E30DF0"/>
    <w:rsid w:val="00E31683"/>
    <w:rsid w:val="00E316D9"/>
    <w:rsid w:val="00E32CD3"/>
    <w:rsid w:val="00E348DD"/>
    <w:rsid w:val="00E35074"/>
    <w:rsid w:val="00E363B6"/>
    <w:rsid w:val="00E36758"/>
    <w:rsid w:val="00E403BA"/>
    <w:rsid w:val="00E40BB8"/>
    <w:rsid w:val="00E41904"/>
    <w:rsid w:val="00E42D52"/>
    <w:rsid w:val="00E435C4"/>
    <w:rsid w:val="00E45E79"/>
    <w:rsid w:val="00E46F6F"/>
    <w:rsid w:val="00E47244"/>
    <w:rsid w:val="00E47752"/>
    <w:rsid w:val="00E50655"/>
    <w:rsid w:val="00E50F59"/>
    <w:rsid w:val="00E51018"/>
    <w:rsid w:val="00E51870"/>
    <w:rsid w:val="00E51B57"/>
    <w:rsid w:val="00E52114"/>
    <w:rsid w:val="00E5212E"/>
    <w:rsid w:val="00E541CB"/>
    <w:rsid w:val="00E54DBD"/>
    <w:rsid w:val="00E550EF"/>
    <w:rsid w:val="00E555A7"/>
    <w:rsid w:val="00E55626"/>
    <w:rsid w:val="00E567CC"/>
    <w:rsid w:val="00E56AF1"/>
    <w:rsid w:val="00E5764B"/>
    <w:rsid w:val="00E57C7F"/>
    <w:rsid w:val="00E60062"/>
    <w:rsid w:val="00E60707"/>
    <w:rsid w:val="00E607FB"/>
    <w:rsid w:val="00E60A83"/>
    <w:rsid w:val="00E61B68"/>
    <w:rsid w:val="00E63A48"/>
    <w:rsid w:val="00E64C46"/>
    <w:rsid w:val="00E65B82"/>
    <w:rsid w:val="00E66C4A"/>
    <w:rsid w:val="00E66FC5"/>
    <w:rsid w:val="00E672EB"/>
    <w:rsid w:val="00E673F3"/>
    <w:rsid w:val="00E67EC9"/>
    <w:rsid w:val="00E7088D"/>
    <w:rsid w:val="00E708DB"/>
    <w:rsid w:val="00E70B39"/>
    <w:rsid w:val="00E7205A"/>
    <w:rsid w:val="00E72BE2"/>
    <w:rsid w:val="00E73440"/>
    <w:rsid w:val="00E741E6"/>
    <w:rsid w:val="00E759FD"/>
    <w:rsid w:val="00E75D18"/>
    <w:rsid w:val="00E760AA"/>
    <w:rsid w:val="00E7749D"/>
    <w:rsid w:val="00E77527"/>
    <w:rsid w:val="00E7772F"/>
    <w:rsid w:val="00E80630"/>
    <w:rsid w:val="00E816EA"/>
    <w:rsid w:val="00E8185F"/>
    <w:rsid w:val="00E823A8"/>
    <w:rsid w:val="00E82CE5"/>
    <w:rsid w:val="00E83597"/>
    <w:rsid w:val="00E83712"/>
    <w:rsid w:val="00E839BB"/>
    <w:rsid w:val="00E84351"/>
    <w:rsid w:val="00E86E6B"/>
    <w:rsid w:val="00E87AE9"/>
    <w:rsid w:val="00E9013E"/>
    <w:rsid w:val="00E9178D"/>
    <w:rsid w:val="00E917AF"/>
    <w:rsid w:val="00E9195F"/>
    <w:rsid w:val="00E91EED"/>
    <w:rsid w:val="00E91FE7"/>
    <w:rsid w:val="00E92043"/>
    <w:rsid w:val="00E92EB0"/>
    <w:rsid w:val="00E957FE"/>
    <w:rsid w:val="00E95895"/>
    <w:rsid w:val="00E95A0D"/>
    <w:rsid w:val="00E95AF0"/>
    <w:rsid w:val="00E95ECD"/>
    <w:rsid w:val="00E962F9"/>
    <w:rsid w:val="00E97E92"/>
    <w:rsid w:val="00EA03DC"/>
    <w:rsid w:val="00EA0853"/>
    <w:rsid w:val="00EA13AA"/>
    <w:rsid w:val="00EA3644"/>
    <w:rsid w:val="00EA414E"/>
    <w:rsid w:val="00EA46FD"/>
    <w:rsid w:val="00EA4C0E"/>
    <w:rsid w:val="00EA4C84"/>
    <w:rsid w:val="00EA4CEA"/>
    <w:rsid w:val="00EA4DB9"/>
    <w:rsid w:val="00EA4ED5"/>
    <w:rsid w:val="00EA5625"/>
    <w:rsid w:val="00EA6B4A"/>
    <w:rsid w:val="00EB024A"/>
    <w:rsid w:val="00EB04FF"/>
    <w:rsid w:val="00EB118D"/>
    <w:rsid w:val="00EB1E1B"/>
    <w:rsid w:val="00EB22D2"/>
    <w:rsid w:val="00EB2E32"/>
    <w:rsid w:val="00EB2E37"/>
    <w:rsid w:val="00EB2F14"/>
    <w:rsid w:val="00EB37D7"/>
    <w:rsid w:val="00EB556A"/>
    <w:rsid w:val="00EB7DA7"/>
    <w:rsid w:val="00EC0403"/>
    <w:rsid w:val="00EC18C4"/>
    <w:rsid w:val="00EC21E3"/>
    <w:rsid w:val="00EC29AD"/>
    <w:rsid w:val="00EC348A"/>
    <w:rsid w:val="00EC5A6D"/>
    <w:rsid w:val="00EC61FA"/>
    <w:rsid w:val="00EC72EC"/>
    <w:rsid w:val="00EC7495"/>
    <w:rsid w:val="00EC7A83"/>
    <w:rsid w:val="00ED0340"/>
    <w:rsid w:val="00ED0450"/>
    <w:rsid w:val="00ED131B"/>
    <w:rsid w:val="00ED24EE"/>
    <w:rsid w:val="00ED260D"/>
    <w:rsid w:val="00ED262F"/>
    <w:rsid w:val="00ED352A"/>
    <w:rsid w:val="00ED36CD"/>
    <w:rsid w:val="00ED3A2D"/>
    <w:rsid w:val="00ED5637"/>
    <w:rsid w:val="00ED5876"/>
    <w:rsid w:val="00ED61E7"/>
    <w:rsid w:val="00ED6BBD"/>
    <w:rsid w:val="00ED6F5B"/>
    <w:rsid w:val="00EE018C"/>
    <w:rsid w:val="00EE0223"/>
    <w:rsid w:val="00EE0BD1"/>
    <w:rsid w:val="00EE1424"/>
    <w:rsid w:val="00EE1CA4"/>
    <w:rsid w:val="00EE1DE5"/>
    <w:rsid w:val="00EE2FAD"/>
    <w:rsid w:val="00EE3F14"/>
    <w:rsid w:val="00EE7773"/>
    <w:rsid w:val="00EF0F7C"/>
    <w:rsid w:val="00EF3015"/>
    <w:rsid w:val="00EF33CC"/>
    <w:rsid w:val="00EF3AF4"/>
    <w:rsid w:val="00EF46D6"/>
    <w:rsid w:val="00EF551D"/>
    <w:rsid w:val="00EF601A"/>
    <w:rsid w:val="00EF6E98"/>
    <w:rsid w:val="00EF7B4E"/>
    <w:rsid w:val="00EF7CEA"/>
    <w:rsid w:val="00EF7E13"/>
    <w:rsid w:val="00EF7EF6"/>
    <w:rsid w:val="00F0027C"/>
    <w:rsid w:val="00F0054C"/>
    <w:rsid w:val="00F00630"/>
    <w:rsid w:val="00F00A65"/>
    <w:rsid w:val="00F00B3C"/>
    <w:rsid w:val="00F00FC8"/>
    <w:rsid w:val="00F01C77"/>
    <w:rsid w:val="00F01E1A"/>
    <w:rsid w:val="00F01EB9"/>
    <w:rsid w:val="00F02969"/>
    <w:rsid w:val="00F02B14"/>
    <w:rsid w:val="00F02E83"/>
    <w:rsid w:val="00F03946"/>
    <w:rsid w:val="00F0468D"/>
    <w:rsid w:val="00F048B8"/>
    <w:rsid w:val="00F058FD"/>
    <w:rsid w:val="00F06349"/>
    <w:rsid w:val="00F06EDF"/>
    <w:rsid w:val="00F06EE8"/>
    <w:rsid w:val="00F1014E"/>
    <w:rsid w:val="00F102B4"/>
    <w:rsid w:val="00F11CE6"/>
    <w:rsid w:val="00F123E3"/>
    <w:rsid w:val="00F126FE"/>
    <w:rsid w:val="00F12D35"/>
    <w:rsid w:val="00F148E6"/>
    <w:rsid w:val="00F14A1D"/>
    <w:rsid w:val="00F14EAF"/>
    <w:rsid w:val="00F15DA9"/>
    <w:rsid w:val="00F15FCA"/>
    <w:rsid w:val="00F1628D"/>
    <w:rsid w:val="00F16981"/>
    <w:rsid w:val="00F16EEB"/>
    <w:rsid w:val="00F20C59"/>
    <w:rsid w:val="00F2167E"/>
    <w:rsid w:val="00F22871"/>
    <w:rsid w:val="00F23AA1"/>
    <w:rsid w:val="00F2479C"/>
    <w:rsid w:val="00F261EB"/>
    <w:rsid w:val="00F262CF"/>
    <w:rsid w:val="00F273D9"/>
    <w:rsid w:val="00F27BE9"/>
    <w:rsid w:val="00F27FC9"/>
    <w:rsid w:val="00F30D27"/>
    <w:rsid w:val="00F321B4"/>
    <w:rsid w:val="00F32B9E"/>
    <w:rsid w:val="00F333B9"/>
    <w:rsid w:val="00F343E9"/>
    <w:rsid w:val="00F34414"/>
    <w:rsid w:val="00F34834"/>
    <w:rsid w:val="00F35B3E"/>
    <w:rsid w:val="00F36D83"/>
    <w:rsid w:val="00F40EA9"/>
    <w:rsid w:val="00F41A43"/>
    <w:rsid w:val="00F41CBC"/>
    <w:rsid w:val="00F41E08"/>
    <w:rsid w:val="00F41E71"/>
    <w:rsid w:val="00F42ECF"/>
    <w:rsid w:val="00F430D0"/>
    <w:rsid w:val="00F437D1"/>
    <w:rsid w:val="00F44738"/>
    <w:rsid w:val="00F44F2B"/>
    <w:rsid w:val="00F4523C"/>
    <w:rsid w:val="00F45C58"/>
    <w:rsid w:val="00F46651"/>
    <w:rsid w:val="00F46954"/>
    <w:rsid w:val="00F47BBF"/>
    <w:rsid w:val="00F5083A"/>
    <w:rsid w:val="00F50A68"/>
    <w:rsid w:val="00F50F2E"/>
    <w:rsid w:val="00F511E5"/>
    <w:rsid w:val="00F5210B"/>
    <w:rsid w:val="00F5217D"/>
    <w:rsid w:val="00F52D17"/>
    <w:rsid w:val="00F5326D"/>
    <w:rsid w:val="00F53912"/>
    <w:rsid w:val="00F54CEA"/>
    <w:rsid w:val="00F559C8"/>
    <w:rsid w:val="00F55E7E"/>
    <w:rsid w:val="00F560EF"/>
    <w:rsid w:val="00F56EF9"/>
    <w:rsid w:val="00F57564"/>
    <w:rsid w:val="00F57A8A"/>
    <w:rsid w:val="00F60499"/>
    <w:rsid w:val="00F6072C"/>
    <w:rsid w:val="00F60F4B"/>
    <w:rsid w:val="00F61066"/>
    <w:rsid w:val="00F618BC"/>
    <w:rsid w:val="00F621F8"/>
    <w:rsid w:val="00F624A4"/>
    <w:rsid w:val="00F630C7"/>
    <w:rsid w:val="00F6310C"/>
    <w:rsid w:val="00F633B9"/>
    <w:rsid w:val="00F64396"/>
    <w:rsid w:val="00F6472B"/>
    <w:rsid w:val="00F6684F"/>
    <w:rsid w:val="00F67000"/>
    <w:rsid w:val="00F6719C"/>
    <w:rsid w:val="00F675DE"/>
    <w:rsid w:val="00F70110"/>
    <w:rsid w:val="00F738ED"/>
    <w:rsid w:val="00F739E0"/>
    <w:rsid w:val="00F73B12"/>
    <w:rsid w:val="00F749C3"/>
    <w:rsid w:val="00F74ED8"/>
    <w:rsid w:val="00F75B22"/>
    <w:rsid w:val="00F75C79"/>
    <w:rsid w:val="00F766FB"/>
    <w:rsid w:val="00F77117"/>
    <w:rsid w:val="00F77FA6"/>
    <w:rsid w:val="00F80AD2"/>
    <w:rsid w:val="00F80E58"/>
    <w:rsid w:val="00F81D79"/>
    <w:rsid w:val="00F8239C"/>
    <w:rsid w:val="00F82C6D"/>
    <w:rsid w:val="00F82F31"/>
    <w:rsid w:val="00F84651"/>
    <w:rsid w:val="00F851E7"/>
    <w:rsid w:val="00F85850"/>
    <w:rsid w:val="00F85BCC"/>
    <w:rsid w:val="00F860E6"/>
    <w:rsid w:val="00F864C4"/>
    <w:rsid w:val="00F87E7F"/>
    <w:rsid w:val="00F90188"/>
    <w:rsid w:val="00F906CC"/>
    <w:rsid w:val="00F90702"/>
    <w:rsid w:val="00F9070B"/>
    <w:rsid w:val="00F91381"/>
    <w:rsid w:val="00F915AB"/>
    <w:rsid w:val="00F91B4A"/>
    <w:rsid w:val="00F92492"/>
    <w:rsid w:val="00F93B6A"/>
    <w:rsid w:val="00F93EBE"/>
    <w:rsid w:val="00F94532"/>
    <w:rsid w:val="00F95B61"/>
    <w:rsid w:val="00F95CD3"/>
    <w:rsid w:val="00F95D37"/>
    <w:rsid w:val="00F96E01"/>
    <w:rsid w:val="00F971ED"/>
    <w:rsid w:val="00FA0F4A"/>
    <w:rsid w:val="00FA126B"/>
    <w:rsid w:val="00FA1535"/>
    <w:rsid w:val="00FA1FFF"/>
    <w:rsid w:val="00FA25CB"/>
    <w:rsid w:val="00FA2D2C"/>
    <w:rsid w:val="00FA4CF0"/>
    <w:rsid w:val="00FA524E"/>
    <w:rsid w:val="00FA536C"/>
    <w:rsid w:val="00FA6FA2"/>
    <w:rsid w:val="00FA7FDB"/>
    <w:rsid w:val="00FB0670"/>
    <w:rsid w:val="00FB106D"/>
    <w:rsid w:val="00FB176C"/>
    <w:rsid w:val="00FB191E"/>
    <w:rsid w:val="00FB1BB5"/>
    <w:rsid w:val="00FB2F99"/>
    <w:rsid w:val="00FB3375"/>
    <w:rsid w:val="00FB5719"/>
    <w:rsid w:val="00FB6C19"/>
    <w:rsid w:val="00FB7417"/>
    <w:rsid w:val="00FB74DE"/>
    <w:rsid w:val="00FB75C1"/>
    <w:rsid w:val="00FC1252"/>
    <w:rsid w:val="00FC1C81"/>
    <w:rsid w:val="00FC1E10"/>
    <w:rsid w:val="00FC2C10"/>
    <w:rsid w:val="00FC3894"/>
    <w:rsid w:val="00FC5362"/>
    <w:rsid w:val="00FC5C56"/>
    <w:rsid w:val="00FC65F0"/>
    <w:rsid w:val="00FD0E1D"/>
    <w:rsid w:val="00FD1176"/>
    <w:rsid w:val="00FD17B0"/>
    <w:rsid w:val="00FD3DF8"/>
    <w:rsid w:val="00FD3E10"/>
    <w:rsid w:val="00FD4EB3"/>
    <w:rsid w:val="00FD6744"/>
    <w:rsid w:val="00FD7C42"/>
    <w:rsid w:val="00FD7C7E"/>
    <w:rsid w:val="00FE04C4"/>
    <w:rsid w:val="00FE05A2"/>
    <w:rsid w:val="00FE09F7"/>
    <w:rsid w:val="00FE1C7F"/>
    <w:rsid w:val="00FE1E2A"/>
    <w:rsid w:val="00FE1F03"/>
    <w:rsid w:val="00FE31A6"/>
    <w:rsid w:val="00FE34E9"/>
    <w:rsid w:val="00FE36A2"/>
    <w:rsid w:val="00FE405C"/>
    <w:rsid w:val="00FE45B5"/>
    <w:rsid w:val="00FE4C19"/>
    <w:rsid w:val="00FE5546"/>
    <w:rsid w:val="00FE5667"/>
    <w:rsid w:val="00FE6808"/>
    <w:rsid w:val="00FE6BAF"/>
    <w:rsid w:val="00FE7024"/>
    <w:rsid w:val="00FE7285"/>
    <w:rsid w:val="00FE7B3C"/>
    <w:rsid w:val="00FE7C61"/>
    <w:rsid w:val="00FF01EB"/>
    <w:rsid w:val="00FF06D9"/>
    <w:rsid w:val="00FF11DA"/>
    <w:rsid w:val="00FF1211"/>
    <w:rsid w:val="00FF1C59"/>
    <w:rsid w:val="00FF2579"/>
    <w:rsid w:val="00FF3242"/>
    <w:rsid w:val="00FF4963"/>
    <w:rsid w:val="00FF5FEF"/>
    <w:rsid w:val="00FF6EA6"/>
    <w:rsid w:val="00FF6EAA"/>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55C2CD0-70F7-4B71-A2C9-505E1900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E30DEB"/>
    <w:pPr>
      <w:spacing w:before="120" w:after="120" w:line="240" w:lineRule="atLeast"/>
    </w:pPr>
    <w:rPr>
      <w:rFonts w:ascii="Arial" w:hAnsi="Arial"/>
      <w:szCs w:val="24"/>
    </w:rPr>
  </w:style>
  <w:style w:type="paragraph" w:styleId="Heading1">
    <w:name w:val="heading 1"/>
    <w:basedOn w:val="NormalLeftAligned"/>
    <w:next w:val="BodyText"/>
    <w:link w:val="Heading1Char"/>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basedOn w:val="NormalLeftAligned"/>
    <w:next w:val="BodyText"/>
    <w:link w:val="Heading2Char"/>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basedOn w:val="NormalLeftAligned"/>
    <w:next w:val="BodyText"/>
    <w:link w:val="Heading3Char"/>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2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29"/>
    <w:semiHidden/>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uiPriority w:val="2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5"/>
    <w:qFormat/>
    <w:rsid w:val="009D7497"/>
    <w:pPr>
      <w:numPr>
        <w:numId w:val="0"/>
      </w:numPr>
    </w:pPr>
  </w:style>
  <w:style w:type="paragraph" w:customStyle="1" w:styleId="Heading2NoNumb">
    <w:name w:val="Heading 2NoNumb"/>
    <w:basedOn w:val="Heading2"/>
    <w:next w:val="Normal"/>
    <w:uiPriority w:val="5"/>
    <w:qFormat/>
    <w:rsid w:val="005B10E4"/>
    <w:pPr>
      <w:numPr>
        <w:ilvl w:val="0"/>
        <w:numId w:val="0"/>
      </w:numPr>
    </w:pPr>
  </w:style>
  <w:style w:type="paragraph" w:customStyle="1" w:styleId="BTBullet1">
    <w:name w:val="BTBullet1"/>
    <w:basedOn w:val="Normal"/>
    <w:uiPriority w:val="6"/>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tabs>
        <w:tab w:val="num" w:pos="851"/>
      </w:tabs>
      <w:ind w:left="1928"/>
    </w:pPr>
    <w:rPr>
      <w:rFonts w:ascii="Calibri" w:hAnsi="Calibri"/>
      <w:b/>
      <w:color w:val="0067AC"/>
    </w:rPr>
  </w:style>
  <w:style w:type="paragraph" w:customStyle="1" w:styleId="TableText">
    <w:name w:val="TableText"/>
    <w:basedOn w:val="NormalLeftAligned"/>
    <w:uiPriority w:val="15"/>
    <w:qFormat/>
    <w:rsid w:val="00A86B74"/>
    <w:pPr>
      <w:spacing w:before="0" w:line="220" w:lineRule="atLeast"/>
    </w:pPr>
    <w:rPr>
      <w:sz w:val="18"/>
    </w:rPr>
  </w:style>
  <w:style w:type="paragraph" w:customStyle="1" w:styleId="TableTitle">
    <w:name w:val="TableTitle"/>
    <w:basedOn w:val="TableText"/>
    <w:uiPriority w:val="14"/>
    <w:qFormat/>
    <w:rsid w:val="00211076"/>
    <w:pPr>
      <w:spacing w:after="0"/>
    </w:pPr>
    <w:rPr>
      <w:rFonts w:ascii="Calibri" w:hAnsi="Calibri"/>
      <w:b/>
      <w:color w:val="0067AC"/>
    </w:rPr>
  </w:style>
  <w:style w:type="character" w:customStyle="1" w:styleId="Heading4Char">
    <w:name w:val="Heading 4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2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17"/>
    <w:qFormat/>
    <w:rsid w:val="00CF6BC1"/>
    <w:pPr>
      <w:numPr>
        <w:numId w:val="8"/>
      </w:numPr>
      <w:spacing w:after="0"/>
    </w:pPr>
  </w:style>
  <w:style w:type="paragraph" w:customStyle="1" w:styleId="TableTextNoSpace">
    <w:name w:val="TableTextNoSpace"/>
    <w:basedOn w:val="TableText"/>
    <w:uiPriority w:val="15"/>
    <w:qFormat/>
    <w:rsid w:val="00891503"/>
    <w:pPr>
      <w:spacing w:after="0"/>
    </w:pPr>
  </w:style>
  <w:style w:type="paragraph" w:customStyle="1" w:styleId="BTBullet2">
    <w:name w:val="BTBullet2"/>
    <w:basedOn w:val="Normal"/>
    <w:uiPriority w:val="6"/>
    <w:qFormat/>
    <w:rsid w:val="0094009F"/>
    <w:pPr>
      <w:numPr>
        <w:ilvl w:val="1"/>
        <w:numId w:val="22"/>
      </w:numPr>
      <w:spacing w:before="0" w:after="0"/>
    </w:pPr>
  </w:style>
  <w:style w:type="paragraph" w:customStyle="1" w:styleId="NumbList">
    <w:name w:val="NumbList"/>
    <w:basedOn w:val="Normal"/>
    <w:link w:val="NumbListChar"/>
    <w:uiPriority w:val="9"/>
    <w:qFormat/>
    <w:rsid w:val="00541215"/>
    <w:pPr>
      <w:numPr>
        <w:numId w:val="10"/>
      </w:numPr>
      <w:spacing w:before="0" w:after="0"/>
    </w:pPr>
  </w:style>
  <w:style w:type="paragraph" w:customStyle="1" w:styleId="FooterLand">
    <w:name w:val="FooterLand"/>
    <w:basedOn w:val="Footer"/>
    <w:uiPriority w:val="29"/>
    <w:semiHidden/>
    <w:qFormat/>
    <w:rsid w:val="007C5C91"/>
    <w:pPr>
      <w:tabs>
        <w:tab w:val="clear" w:pos="9072"/>
        <w:tab w:val="right" w:pos="14005"/>
      </w:tabs>
    </w:pPr>
  </w:style>
  <w:style w:type="paragraph" w:customStyle="1" w:styleId="TableHeading">
    <w:name w:val="TableHeading"/>
    <w:basedOn w:val="Normal"/>
    <w:next w:val="TableText"/>
    <w:uiPriority w:val="15"/>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16 Point"/>
    <w:basedOn w:val="DefaultParagraphFont"/>
    <w:uiPriority w:val="99"/>
    <w:rsid w:val="00DD05B7"/>
    <w:rPr>
      <w:vertAlign w:val="superscript"/>
    </w:rPr>
  </w:style>
  <w:style w:type="paragraph" w:customStyle="1" w:styleId="CaseStudy">
    <w:name w:val="CaseStudy"/>
    <w:basedOn w:val="BodyText"/>
    <w:next w:val="TableText"/>
    <w:uiPriority w:val="12"/>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29"/>
    <w:semiHidden/>
    <w:qFormat/>
    <w:rsid w:val="002248F3"/>
    <w:pPr>
      <w:ind w:left="1077"/>
    </w:pPr>
  </w:style>
  <w:style w:type="paragraph" w:customStyle="1" w:styleId="Heading1NoTOC">
    <w:name w:val="Heading 1NoTOC"/>
    <w:basedOn w:val="Heading1"/>
    <w:next w:val="Normal"/>
    <w:uiPriority w:val="23"/>
    <w:qFormat/>
    <w:rsid w:val="004B7371"/>
    <w:pPr>
      <w:numPr>
        <w:numId w:val="0"/>
      </w:numPr>
    </w:pPr>
  </w:style>
  <w:style w:type="paragraph" w:styleId="TOC2">
    <w:name w:val="toc 2"/>
    <w:basedOn w:val="NormalLeftAligned"/>
    <w:next w:val="Normal"/>
    <w:autoRedefine/>
    <w:uiPriority w:val="39"/>
    <w:rsid w:val="008C4909"/>
    <w:pPr>
      <w:tabs>
        <w:tab w:val="left" w:pos="851"/>
        <w:tab w:val="right" w:leader="dot" w:pos="9061"/>
      </w:tabs>
      <w:spacing w:after="0"/>
      <w:ind w:right="284"/>
    </w:pPr>
    <w:rPr>
      <w:rFonts w:ascii="Calibri" w:hAnsi="Calibri"/>
      <w:noProof/>
      <w:color w:val="0067AC"/>
      <w:sz w:val="24"/>
    </w:rPr>
  </w:style>
  <w:style w:type="paragraph" w:styleId="TOC1">
    <w:name w:val="toc 1"/>
    <w:basedOn w:val="NormalLeftAligned"/>
    <w:next w:val="Normal"/>
    <w:autoRedefine/>
    <w:uiPriority w:val="39"/>
    <w:rsid w:val="00A07B81"/>
    <w:pPr>
      <w:tabs>
        <w:tab w:val="left" w:pos="851"/>
        <w:tab w:val="right" w:leader="dot" w:pos="9000"/>
      </w:tabs>
      <w:spacing w:after="0"/>
      <w:ind w:left="851" w:right="71" w:hanging="851"/>
    </w:pPr>
    <w:rPr>
      <w:rFonts w:ascii="Calibri" w:hAnsi="Calibri"/>
      <w:b/>
      <w:color w:val="0067AC"/>
      <w:sz w:val="24"/>
    </w:rPr>
  </w:style>
  <w:style w:type="paragraph" w:styleId="TOC3">
    <w:name w:val="toc 3"/>
    <w:basedOn w:val="NormalLeftAligned"/>
    <w:next w:val="Normal"/>
    <w:autoRedefine/>
    <w:uiPriority w:val="39"/>
    <w:rsid w:val="00A07B81"/>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21"/>
    <w:qFormat/>
    <w:rsid w:val="002248F3"/>
    <w:pPr>
      <w:spacing w:before="600"/>
    </w:pPr>
    <w:rPr>
      <w:rFonts w:ascii="Calibri" w:hAnsi="Calibri"/>
      <w:b/>
      <w:color w:val="0067AC"/>
      <w:sz w:val="48"/>
    </w:rPr>
  </w:style>
  <w:style w:type="paragraph" w:customStyle="1" w:styleId="DocSubTitle">
    <w:name w:val="DocSubTitle"/>
    <w:basedOn w:val="NormalLeftAligned"/>
    <w:uiPriority w:val="21"/>
    <w:qFormat/>
    <w:rsid w:val="002248F3"/>
    <w:rPr>
      <w:rFonts w:ascii="Calibri" w:hAnsi="Calibri"/>
      <w:b/>
      <w:color w:val="0067AC"/>
      <w:sz w:val="28"/>
    </w:rPr>
  </w:style>
  <w:style w:type="paragraph" w:customStyle="1" w:styleId="DocPartner">
    <w:name w:val="DocPartner"/>
    <w:basedOn w:val="NormalLeftAligned"/>
    <w:uiPriority w:val="21"/>
    <w:qFormat/>
    <w:rsid w:val="0074120F"/>
    <w:rPr>
      <w:rFonts w:ascii="Calibri" w:hAnsi="Calibri"/>
      <w:color w:val="0067AC"/>
      <w:sz w:val="24"/>
    </w:rPr>
  </w:style>
  <w:style w:type="paragraph" w:customStyle="1" w:styleId="NormalNoSpace">
    <w:name w:val="NormalNoSpace"/>
    <w:basedOn w:val="Normal"/>
    <w:uiPriority w:val="6"/>
    <w:qFormat/>
    <w:rsid w:val="00760383"/>
    <w:pPr>
      <w:spacing w:before="0" w:after="0"/>
    </w:pPr>
  </w:style>
  <w:style w:type="paragraph" w:customStyle="1" w:styleId="Divider">
    <w:name w:val="Divider"/>
    <w:basedOn w:val="NormalLeftAligned"/>
    <w:next w:val="Normal"/>
    <w:uiPriority w:val="2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12"/>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29"/>
    <w:qFormat/>
    <w:rsid w:val="005E5044"/>
    <w:pPr>
      <w:spacing w:before="0" w:after="60" w:line="180" w:lineRule="atLeast"/>
    </w:pPr>
    <w:rPr>
      <w:sz w:val="16"/>
    </w:rPr>
  </w:style>
  <w:style w:type="paragraph" w:customStyle="1" w:styleId="GHKContactsHeading">
    <w:name w:val="GHKContactsHeading"/>
    <w:basedOn w:val="GHKContacts"/>
    <w:uiPriority w:val="29"/>
    <w:qFormat/>
    <w:rsid w:val="00211076"/>
    <w:pPr>
      <w:spacing w:before="60" w:after="0"/>
    </w:pPr>
    <w:rPr>
      <w:rFonts w:ascii="Calibri" w:hAnsi="Calibri"/>
      <w:color w:val="0067AC"/>
    </w:rPr>
  </w:style>
  <w:style w:type="paragraph" w:customStyle="1" w:styleId="HeaderTitle">
    <w:name w:val="HeaderTitle"/>
    <w:basedOn w:val="Header"/>
    <w:uiPriority w:val="29"/>
    <w:semiHidden/>
    <w:qFormat/>
    <w:rsid w:val="00B67E25"/>
    <w:pPr>
      <w:spacing w:before="80"/>
    </w:pPr>
  </w:style>
  <w:style w:type="paragraph" w:customStyle="1" w:styleId="DocDate">
    <w:name w:val="DocDate"/>
    <w:basedOn w:val="DocSubTitle"/>
    <w:uiPriority w:val="21"/>
    <w:qFormat/>
    <w:rsid w:val="00FF79A5"/>
    <w:rPr>
      <w:color w:val="000000" w:themeColor="text1"/>
    </w:rPr>
  </w:style>
  <w:style w:type="paragraph" w:customStyle="1" w:styleId="Heading3NoNumb">
    <w:name w:val="Heading 3NoNumb"/>
    <w:basedOn w:val="Heading3"/>
    <w:next w:val="Normal"/>
    <w:uiPriority w:val="5"/>
    <w:qFormat/>
    <w:rsid w:val="002248F3"/>
    <w:pPr>
      <w:numPr>
        <w:ilvl w:val="0"/>
        <w:numId w:val="0"/>
      </w:numPr>
    </w:pPr>
  </w:style>
  <w:style w:type="paragraph" w:customStyle="1" w:styleId="Heading4NoNumb">
    <w:name w:val="Heading 4NoNumb"/>
    <w:basedOn w:val="Heading4"/>
    <w:next w:val="Normal"/>
    <w:uiPriority w:val="5"/>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A07B81"/>
    <w:pPr>
      <w:tabs>
        <w:tab w:val="left" w:pos="900"/>
        <w:tab w:val="right" w:leader="dot" w:pos="9061"/>
      </w:tabs>
      <w:spacing w:before="0" w:after="0"/>
      <w:ind w:left="900"/>
    </w:pPr>
  </w:style>
  <w:style w:type="numbering" w:customStyle="1" w:styleId="Style1">
    <w:name w:val="Style1"/>
    <w:uiPriority w:val="99"/>
    <w:rsid w:val="004B7371"/>
    <w:pPr>
      <w:numPr>
        <w:numId w:val="5"/>
      </w:numPr>
    </w:pPr>
  </w:style>
  <w:style w:type="paragraph" w:customStyle="1" w:styleId="BodyTextNoSpace">
    <w:name w:val="Body TextNoSpace"/>
    <w:basedOn w:val="BodyText"/>
    <w:uiPriority w:val="1"/>
    <w:qFormat/>
    <w:rsid w:val="009F75F8"/>
    <w:pPr>
      <w:spacing w:before="0" w:after="0"/>
    </w:pPr>
  </w:style>
  <w:style w:type="paragraph" w:customStyle="1" w:styleId="BTBullet3">
    <w:name w:val="BTBullet3"/>
    <w:basedOn w:val="Normal"/>
    <w:uiPriority w:val="6"/>
    <w:qFormat/>
    <w:rsid w:val="0094009F"/>
    <w:pPr>
      <w:numPr>
        <w:ilvl w:val="2"/>
        <w:numId w:val="22"/>
      </w:numPr>
      <w:spacing w:before="0" w:after="0"/>
    </w:pPr>
  </w:style>
  <w:style w:type="paragraph" w:customStyle="1" w:styleId="NumbListLast">
    <w:name w:val="NumbListLast"/>
    <w:basedOn w:val="NumbList"/>
    <w:uiPriority w:val="9"/>
    <w:qFormat/>
    <w:rsid w:val="00D238C4"/>
    <w:pPr>
      <w:spacing w:after="120"/>
    </w:pPr>
  </w:style>
  <w:style w:type="paragraph" w:customStyle="1" w:styleId="BoxText">
    <w:name w:val="BoxText"/>
    <w:basedOn w:val="NormalLeftAligned"/>
    <w:uiPriority w:val="2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17"/>
    <w:qFormat/>
    <w:rsid w:val="00256BC8"/>
    <w:pPr>
      <w:spacing w:after="120"/>
    </w:pPr>
  </w:style>
  <w:style w:type="paragraph" w:customStyle="1" w:styleId="BoxTitle">
    <w:name w:val="BoxTitle"/>
    <w:basedOn w:val="NormalLeftAligned"/>
    <w:uiPriority w:val="13"/>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4"/>
    <w:qFormat/>
    <w:rsid w:val="00192D1A"/>
    <w:pPr>
      <w:numPr>
        <w:numId w:val="13"/>
      </w:numPr>
      <w:spacing w:before="0" w:after="0"/>
    </w:pPr>
  </w:style>
  <w:style w:type="paragraph" w:customStyle="1" w:styleId="BTNumbListLast">
    <w:name w:val="BTNumbListLast"/>
    <w:basedOn w:val="BTNumbList"/>
    <w:uiPriority w:val="6"/>
    <w:qFormat/>
    <w:rsid w:val="00D46741"/>
    <w:pPr>
      <w:spacing w:after="120"/>
    </w:pPr>
  </w:style>
  <w:style w:type="character" w:customStyle="1" w:styleId="NumbListChar">
    <w:name w:val="NumbList Char"/>
    <w:basedOn w:val="DefaultParagraphFont"/>
    <w:link w:val="NumbList"/>
    <w:uiPriority w:val="9"/>
    <w:rsid w:val="00541215"/>
    <w:rPr>
      <w:rFonts w:ascii="Arial" w:hAnsi="Arial"/>
      <w:szCs w:val="24"/>
    </w:rPr>
  </w:style>
  <w:style w:type="character" w:customStyle="1" w:styleId="BTNumbListChar">
    <w:name w:val="BTNumbList Char"/>
    <w:basedOn w:val="NumbListChar"/>
    <w:link w:val="BTNumbList"/>
    <w:uiPriority w:val="4"/>
    <w:rsid w:val="00192D1A"/>
    <w:rPr>
      <w:rFonts w:ascii="Arial" w:hAnsi="Arial"/>
      <w:szCs w:val="24"/>
    </w:rPr>
  </w:style>
  <w:style w:type="paragraph" w:customStyle="1" w:styleId="BTNumbList2Last">
    <w:name w:val="BTNumbList2Last"/>
    <w:basedOn w:val="BTNumbList2"/>
    <w:uiPriority w:val="6"/>
    <w:qFormat/>
    <w:rsid w:val="00D46741"/>
    <w:pPr>
      <w:spacing w:after="120"/>
    </w:pPr>
  </w:style>
  <w:style w:type="paragraph" w:customStyle="1" w:styleId="NormalIndent">
    <w:name w:val="NormalIndent"/>
    <w:basedOn w:val="Normal"/>
    <w:uiPriority w:val="6"/>
    <w:qFormat/>
    <w:rsid w:val="00F23AA1"/>
    <w:pPr>
      <w:ind w:left="340"/>
    </w:pPr>
  </w:style>
  <w:style w:type="paragraph" w:customStyle="1" w:styleId="BodyTextIndent">
    <w:name w:val="Body TextIndent"/>
    <w:basedOn w:val="BodyText"/>
    <w:uiPriority w:val="6"/>
    <w:qFormat/>
    <w:rsid w:val="00F23AA1"/>
    <w:pPr>
      <w:ind w:left="1191"/>
    </w:pPr>
  </w:style>
  <w:style w:type="paragraph" w:styleId="ListBullet">
    <w:name w:val="List Bullet"/>
    <w:basedOn w:val="Normal"/>
    <w:uiPriority w:val="29"/>
    <w:semiHidden/>
    <w:rsid w:val="00EB37D7"/>
    <w:pPr>
      <w:numPr>
        <w:numId w:val="1"/>
      </w:numPr>
      <w:contextualSpacing/>
    </w:pPr>
  </w:style>
  <w:style w:type="paragraph" w:styleId="ListBullet2">
    <w:name w:val="List Bullet 2"/>
    <w:basedOn w:val="Normal"/>
    <w:uiPriority w:val="29"/>
    <w:semiHidden/>
    <w:rsid w:val="00EB37D7"/>
    <w:pPr>
      <w:numPr>
        <w:numId w:val="2"/>
      </w:numPr>
      <w:contextualSpacing/>
    </w:pPr>
  </w:style>
  <w:style w:type="paragraph" w:styleId="ListBullet3">
    <w:name w:val="List Bullet 3"/>
    <w:basedOn w:val="Normal"/>
    <w:uiPriority w:val="29"/>
    <w:semiHidden/>
    <w:rsid w:val="00EB37D7"/>
    <w:pPr>
      <w:numPr>
        <w:numId w:val="3"/>
      </w:numPr>
      <w:contextualSpacing/>
    </w:pPr>
  </w:style>
  <w:style w:type="paragraph" w:styleId="ListBullet4">
    <w:name w:val="List Bullet 4"/>
    <w:basedOn w:val="Normal"/>
    <w:uiPriority w:val="29"/>
    <w:semiHidden/>
    <w:rsid w:val="00EB37D7"/>
    <w:pPr>
      <w:numPr>
        <w:numId w:val="4"/>
      </w:numPr>
      <w:contextualSpacing/>
    </w:pPr>
  </w:style>
  <w:style w:type="paragraph" w:customStyle="1" w:styleId="BTBullet1Last">
    <w:name w:val="BTBullet1Last"/>
    <w:basedOn w:val="BTBullet1"/>
    <w:uiPriority w:val="6"/>
    <w:qFormat/>
    <w:rsid w:val="009A75D7"/>
    <w:pPr>
      <w:spacing w:after="120"/>
    </w:pPr>
  </w:style>
  <w:style w:type="paragraph" w:customStyle="1" w:styleId="BTBullet2Last">
    <w:name w:val="BTBullet2Last"/>
    <w:basedOn w:val="BTBullet2"/>
    <w:uiPriority w:val="6"/>
    <w:qFormat/>
    <w:rsid w:val="009A75D7"/>
    <w:pPr>
      <w:spacing w:after="120"/>
    </w:pPr>
  </w:style>
  <w:style w:type="paragraph" w:customStyle="1" w:styleId="Stage">
    <w:name w:val="Stage"/>
    <w:basedOn w:val="BodyText"/>
    <w:next w:val="BodyText"/>
    <w:uiPriority w:val="6"/>
    <w:qFormat/>
    <w:rsid w:val="00EF551D"/>
    <w:pPr>
      <w:numPr>
        <w:numId w:val="15"/>
      </w:numPr>
    </w:pPr>
    <w:rPr>
      <w:rFonts w:ascii="Calibri" w:hAnsi="Calibri"/>
      <w:color w:val="0067AC"/>
      <w:sz w:val="24"/>
    </w:rPr>
  </w:style>
  <w:style w:type="paragraph" w:customStyle="1" w:styleId="Task">
    <w:name w:val="Task"/>
    <w:basedOn w:val="BodyText"/>
    <w:next w:val="BodyText"/>
    <w:uiPriority w:val="6"/>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6"/>
    <w:qFormat/>
    <w:rsid w:val="001C24D0"/>
    <w:pPr>
      <w:numPr>
        <w:ilvl w:val="3"/>
        <w:numId w:val="16"/>
      </w:numPr>
    </w:pPr>
  </w:style>
  <w:style w:type="paragraph" w:customStyle="1" w:styleId="Conclusion">
    <w:name w:val="Conclusion"/>
    <w:basedOn w:val="BoxTitle"/>
    <w:next w:val="TableText"/>
    <w:uiPriority w:val="6"/>
    <w:qFormat/>
    <w:rsid w:val="001C24D0"/>
    <w:pPr>
      <w:numPr>
        <w:ilvl w:val="2"/>
        <w:numId w:val="16"/>
      </w:numPr>
    </w:pPr>
  </w:style>
  <w:style w:type="paragraph" w:customStyle="1" w:styleId="Heading1noPg">
    <w:name w:val="Heading 1noPg"/>
    <w:basedOn w:val="Heading1"/>
    <w:uiPriority w:val="6"/>
    <w:qFormat/>
    <w:rsid w:val="008016B1"/>
    <w:pPr>
      <w:pageBreakBefore w:val="0"/>
      <w:spacing w:before="360"/>
    </w:pPr>
  </w:style>
  <w:style w:type="paragraph" w:customStyle="1" w:styleId="NumbList2">
    <w:name w:val="NumbList2"/>
    <w:basedOn w:val="Normal"/>
    <w:uiPriority w:val="6"/>
    <w:qFormat/>
    <w:rsid w:val="00541215"/>
    <w:pPr>
      <w:numPr>
        <w:ilvl w:val="1"/>
        <w:numId w:val="10"/>
      </w:numPr>
      <w:spacing w:before="0" w:after="0"/>
    </w:pPr>
  </w:style>
  <w:style w:type="paragraph" w:customStyle="1" w:styleId="NumbList2Last">
    <w:name w:val="NumbList2Last"/>
    <w:basedOn w:val="NumbList2"/>
    <w:uiPriority w:val="6"/>
    <w:qFormat/>
    <w:rsid w:val="00F60499"/>
    <w:pPr>
      <w:spacing w:after="120"/>
    </w:pPr>
  </w:style>
  <w:style w:type="paragraph" w:customStyle="1" w:styleId="BTNumbList2">
    <w:name w:val="BTNumbList2"/>
    <w:basedOn w:val="Normal"/>
    <w:uiPriority w:val="6"/>
    <w:qFormat/>
    <w:rsid w:val="00192D1A"/>
    <w:pPr>
      <w:numPr>
        <w:ilvl w:val="1"/>
        <w:numId w:val="13"/>
      </w:numPr>
      <w:spacing w:before="0" w:after="0"/>
    </w:pPr>
  </w:style>
  <w:style w:type="paragraph" w:customStyle="1" w:styleId="NormalIndent2">
    <w:name w:val="NormalIndent2"/>
    <w:basedOn w:val="Normal"/>
    <w:uiPriority w:val="6"/>
    <w:qFormat/>
    <w:rsid w:val="00C97199"/>
    <w:pPr>
      <w:ind w:left="680"/>
    </w:pPr>
  </w:style>
  <w:style w:type="paragraph" w:customStyle="1" w:styleId="BodyTextIndent2">
    <w:name w:val="Body TextIndent2"/>
    <w:basedOn w:val="BodyTextIndent"/>
    <w:uiPriority w:val="6"/>
    <w:qFormat/>
    <w:rsid w:val="00656054"/>
    <w:pPr>
      <w:ind w:left="1531"/>
    </w:pPr>
  </w:style>
  <w:style w:type="paragraph" w:customStyle="1" w:styleId="TableSource">
    <w:name w:val="TableSource"/>
    <w:basedOn w:val="BodyText"/>
    <w:uiPriority w:val="6"/>
    <w:qFormat/>
    <w:rsid w:val="001E4ED8"/>
    <w:pPr>
      <w:spacing w:line="200" w:lineRule="atLeast"/>
    </w:pPr>
    <w:rPr>
      <w:i/>
      <w:sz w:val="18"/>
    </w:rPr>
  </w:style>
  <w:style w:type="paragraph" w:customStyle="1" w:styleId="NormalLeftAligned">
    <w:name w:val="NormalLeftAligned"/>
    <w:basedOn w:val="Normal"/>
    <w:uiPriority w:val="6"/>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uiPriority w:val="99"/>
    <w:rsid w:val="001C24D0"/>
    <w:pPr>
      <w:numPr>
        <w:numId w:val="6"/>
      </w:numPr>
    </w:pPr>
  </w:style>
  <w:style w:type="paragraph" w:customStyle="1" w:styleId="Heading2NoNumbNoToc">
    <w:name w:val="Heading 2NoNumbNoToc"/>
    <w:basedOn w:val="Heading2NoNumb"/>
    <w:uiPriority w:val="6"/>
    <w:qFormat/>
    <w:rsid w:val="000142F4"/>
    <w:pPr>
      <w:spacing w:before="0"/>
    </w:pPr>
  </w:style>
  <w:style w:type="character" w:customStyle="1" w:styleId="Heading5Char">
    <w:name w:val="Heading 5 Char"/>
    <w:basedOn w:val="DefaultParagraphFont"/>
    <w:link w:val="Heading5"/>
    <w:uiPriority w:val="2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6"/>
    <w:qFormat/>
    <w:rsid w:val="001C24D0"/>
    <w:pPr>
      <w:numPr>
        <w:ilvl w:val="4"/>
        <w:numId w:val="16"/>
      </w:numPr>
    </w:pPr>
  </w:style>
  <w:style w:type="paragraph" w:customStyle="1" w:styleId="TaskManual">
    <w:name w:val="TaskManual"/>
    <w:basedOn w:val="Task"/>
    <w:uiPriority w:val="6"/>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29"/>
    <w:semiHidden/>
    <w:rsid w:val="002248F3"/>
    <w:rPr>
      <w:rFonts w:ascii="Calibri" w:eastAsiaTheme="majorEastAsia" w:hAnsi="Calibri" w:cstheme="majorBidi"/>
      <w:b/>
      <w:i/>
      <w:iCs/>
      <w:color w:val="0067AC"/>
      <w:szCs w:val="24"/>
    </w:rPr>
  </w:style>
  <w:style w:type="numbering" w:customStyle="1" w:styleId="NumbLstTableNumb">
    <w:name w:val="NumbLstTableNumb"/>
    <w:uiPriority w:val="99"/>
    <w:rsid w:val="00CF6BC1"/>
    <w:pPr>
      <w:numPr>
        <w:numId w:val="8"/>
      </w:numPr>
    </w:pPr>
  </w:style>
  <w:style w:type="numbering" w:customStyle="1" w:styleId="NumbLstNumb">
    <w:name w:val="NumbLstNumb"/>
    <w:uiPriority w:val="99"/>
    <w:rsid w:val="00541215"/>
    <w:pPr>
      <w:numPr>
        <w:numId w:val="9"/>
      </w:numPr>
    </w:pPr>
  </w:style>
  <w:style w:type="paragraph" w:customStyle="1" w:styleId="NumbList3">
    <w:name w:val="NumbList3"/>
    <w:basedOn w:val="Normal"/>
    <w:rsid w:val="00541215"/>
    <w:pPr>
      <w:numPr>
        <w:ilvl w:val="2"/>
        <w:numId w:val="10"/>
      </w:numPr>
      <w:spacing w:before="0" w:after="0"/>
    </w:pPr>
  </w:style>
  <w:style w:type="paragraph" w:customStyle="1" w:styleId="Bullet1">
    <w:name w:val="Bullet1"/>
    <w:basedOn w:val="Normal"/>
    <w:uiPriority w:val="6"/>
    <w:qFormat/>
    <w:rsid w:val="00666378"/>
    <w:pPr>
      <w:numPr>
        <w:numId w:val="17"/>
      </w:numPr>
      <w:spacing w:before="0" w:after="0"/>
    </w:pPr>
  </w:style>
  <w:style w:type="paragraph" w:customStyle="1" w:styleId="Bullet2">
    <w:name w:val="Bullet2"/>
    <w:basedOn w:val="Normal"/>
    <w:uiPriority w:val="6"/>
    <w:qFormat/>
    <w:rsid w:val="00666378"/>
    <w:pPr>
      <w:numPr>
        <w:ilvl w:val="1"/>
        <w:numId w:val="17"/>
      </w:numPr>
      <w:spacing w:before="0" w:after="0"/>
    </w:pPr>
  </w:style>
  <w:style w:type="paragraph" w:customStyle="1" w:styleId="Bullet3">
    <w:name w:val="Bullet3"/>
    <w:basedOn w:val="Normal"/>
    <w:uiPriority w:val="6"/>
    <w:qFormat/>
    <w:rsid w:val="00666378"/>
    <w:pPr>
      <w:numPr>
        <w:ilvl w:val="2"/>
        <w:numId w:val="17"/>
      </w:numPr>
      <w:spacing w:before="0" w:after="0"/>
    </w:pPr>
  </w:style>
  <w:style w:type="numbering" w:customStyle="1" w:styleId="NumbLstBullet">
    <w:name w:val="NumbLstBullet"/>
    <w:uiPriority w:val="99"/>
    <w:rsid w:val="00666378"/>
    <w:pPr>
      <w:numPr>
        <w:numId w:val="11"/>
      </w:numPr>
    </w:pPr>
  </w:style>
  <w:style w:type="paragraph" w:customStyle="1" w:styleId="Bullet1Last">
    <w:name w:val="Bullet1Last"/>
    <w:basedOn w:val="Bullet1"/>
    <w:uiPriority w:val="6"/>
    <w:qFormat/>
    <w:rsid w:val="00D41F7E"/>
    <w:pPr>
      <w:spacing w:after="120"/>
    </w:pPr>
  </w:style>
  <w:style w:type="paragraph" w:customStyle="1" w:styleId="Bullet2Last">
    <w:name w:val="Bullet2Last"/>
    <w:basedOn w:val="Bullet2"/>
    <w:uiPriority w:val="6"/>
    <w:qFormat/>
    <w:rsid w:val="00D41F7E"/>
    <w:pPr>
      <w:spacing w:after="120"/>
    </w:pPr>
  </w:style>
  <w:style w:type="paragraph" w:customStyle="1" w:styleId="Bullet3Last">
    <w:name w:val="Bullet3Last"/>
    <w:basedOn w:val="Bullet3"/>
    <w:uiPriority w:val="6"/>
    <w:qFormat/>
    <w:rsid w:val="00D41F7E"/>
    <w:pPr>
      <w:spacing w:after="120"/>
    </w:pPr>
  </w:style>
  <w:style w:type="paragraph" w:customStyle="1" w:styleId="BTBullet3Last">
    <w:name w:val="BTBullet3Last"/>
    <w:basedOn w:val="BTBullet3"/>
    <w:uiPriority w:val="6"/>
    <w:qFormat/>
    <w:rsid w:val="009A75D7"/>
    <w:pPr>
      <w:spacing w:after="120"/>
    </w:pPr>
  </w:style>
  <w:style w:type="paragraph" w:customStyle="1" w:styleId="TableBullet">
    <w:name w:val="TableBullet"/>
    <w:basedOn w:val="TableText"/>
    <w:uiPriority w:val="6"/>
    <w:qFormat/>
    <w:rsid w:val="00C06A4D"/>
    <w:pPr>
      <w:numPr>
        <w:numId w:val="14"/>
      </w:numPr>
      <w:spacing w:after="0"/>
    </w:pPr>
  </w:style>
  <w:style w:type="numbering" w:customStyle="1" w:styleId="NumbLstTableBullet">
    <w:name w:val="NumbLstTableBullet"/>
    <w:uiPriority w:val="99"/>
    <w:rsid w:val="004B7144"/>
    <w:pPr>
      <w:numPr>
        <w:numId w:val="12"/>
      </w:numPr>
    </w:pPr>
  </w:style>
  <w:style w:type="paragraph" w:customStyle="1" w:styleId="NumbList3Last">
    <w:name w:val="NumbList3Last"/>
    <w:basedOn w:val="NumbList3"/>
    <w:uiPriority w:val="6"/>
    <w:qFormat/>
    <w:rsid w:val="00192D1A"/>
    <w:pPr>
      <w:spacing w:after="120"/>
      <w:ind w:left="1020" w:hanging="340"/>
    </w:pPr>
  </w:style>
  <w:style w:type="paragraph" w:customStyle="1" w:styleId="BTNumbList3">
    <w:name w:val="BTNumbList3"/>
    <w:basedOn w:val="Normal"/>
    <w:uiPriority w:val="6"/>
    <w:qFormat/>
    <w:rsid w:val="003A4FC4"/>
    <w:pPr>
      <w:numPr>
        <w:ilvl w:val="2"/>
        <w:numId w:val="13"/>
      </w:numPr>
      <w:spacing w:before="0" w:after="0"/>
    </w:pPr>
  </w:style>
  <w:style w:type="paragraph" w:customStyle="1" w:styleId="BTNumbList3Last">
    <w:name w:val="BTNumbList3Last"/>
    <w:basedOn w:val="BTNumbList3"/>
    <w:uiPriority w:val="6"/>
    <w:qFormat/>
    <w:rsid w:val="003A4FC4"/>
    <w:pPr>
      <w:spacing w:after="120"/>
    </w:pPr>
  </w:style>
  <w:style w:type="numbering" w:customStyle="1" w:styleId="NumbLstStage">
    <w:name w:val="NumbLstStage"/>
    <w:uiPriority w:val="99"/>
    <w:rsid w:val="00C06A4D"/>
    <w:pPr>
      <w:numPr>
        <w:numId w:val="15"/>
      </w:numPr>
    </w:pPr>
  </w:style>
  <w:style w:type="paragraph" w:customStyle="1" w:styleId="TableBulletLast">
    <w:name w:val="TableBulletLast"/>
    <w:basedOn w:val="TableBullet"/>
    <w:uiPriority w:val="6"/>
    <w:qFormat/>
    <w:rsid w:val="00C06A4D"/>
    <w:pPr>
      <w:spacing w:after="120"/>
    </w:pPr>
  </w:style>
  <w:style w:type="paragraph" w:styleId="Title">
    <w:name w:val="Title"/>
    <w:basedOn w:val="Normal"/>
    <w:next w:val="Normal"/>
    <w:link w:val="TitleChar"/>
    <w:uiPriority w:val="29"/>
    <w:semiHidden/>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2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6"/>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6"/>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6"/>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6"/>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6"/>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6"/>
    <w:qFormat/>
    <w:rsid w:val="00404FE4"/>
    <w:pPr>
      <w:keepNext/>
      <w:numPr>
        <w:ilvl w:val="5"/>
        <w:numId w:val="19"/>
      </w:numPr>
    </w:pPr>
    <w:rPr>
      <w:rFonts w:ascii="Calibri" w:hAnsi="Calibri"/>
      <w:b/>
      <w:color w:val="0067AC"/>
    </w:rPr>
  </w:style>
  <w:style w:type="numbering" w:customStyle="1" w:styleId="NumbLstAnnex">
    <w:name w:val="NumbLstAnnex"/>
    <w:uiPriority w:val="99"/>
    <w:rsid w:val="00404FE4"/>
    <w:pPr>
      <w:numPr>
        <w:numId w:val="18"/>
      </w:numPr>
    </w:pPr>
  </w:style>
  <w:style w:type="paragraph" w:customStyle="1" w:styleId="AnnexHeadingNoPage">
    <w:name w:val="AnnexHeading NoPage"/>
    <w:basedOn w:val="AnnexHeading"/>
    <w:next w:val="Normal"/>
    <w:uiPriority w:val="6"/>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uiPriority w:val="99"/>
    <w:rsid w:val="0094009F"/>
    <w:pPr>
      <w:numPr>
        <w:numId w:val="21"/>
      </w:numPr>
    </w:pPr>
  </w:style>
  <w:style w:type="character" w:styleId="CommentReference">
    <w:name w:val="annotation reference"/>
    <w:uiPriority w:val="99"/>
    <w:rsid w:val="00977E06"/>
    <w:rPr>
      <w:sz w:val="16"/>
      <w:szCs w:val="16"/>
    </w:rPr>
  </w:style>
  <w:style w:type="paragraph" w:styleId="CommentText">
    <w:name w:val="annotation text"/>
    <w:basedOn w:val="Normal"/>
    <w:link w:val="CommentTextChar"/>
    <w:uiPriority w:val="99"/>
    <w:rsid w:val="00977E06"/>
    <w:pPr>
      <w:spacing w:line="240" w:lineRule="auto"/>
    </w:pPr>
    <w:rPr>
      <w:rFonts w:eastAsia="Calibri"/>
      <w:szCs w:val="20"/>
    </w:rPr>
  </w:style>
  <w:style w:type="character" w:customStyle="1" w:styleId="CommentTextChar">
    <w:name w:val="Comment Text Char"/>
    <w:basedOn w:val="DefaultParagraphFont"/>
    <w:link w:val="CommentText"/>
    <w:uiPriority w:val="99"/>
    <w:rsid w:val="00977E06"/>
    <w:rPr>
      <w:rFonts w:ascii="Arial" w:eastAsia="Calibri" w:hAnsi="Arial"/>
    </w:rPr>
  </w:style>
  <w:style w:type="character" w:styleId="FollowedHyperlink">
    <w:name w:val="FollowedHyperlink"/>
    <w:uiPriority w:val="29"/>
    <w:semiHidden/>
    <w:rsid w:val="00977E06"/>
    <w:rPr>
      <w:color w:val="800080"/>
      <w:u w:val="single"/>
    </w:rPr>
  </w:style>
  <w:style w:type="paragraph" w:customStyle="1" w:styleId="Textbodyuser">
    <w:name w:val="Text body (user)"/>
    <w:basedOn w:val="Normal"/>
    <w:rsid w:val="00977E06"/>
    <w:pPr>
      <w:suppressAutoHyphens/>
      <w:ind w:left="851"/>
      <w:textAlignment w:val="baseline"/>
    </w:pPr>
    <w:rPr>
      <w:rFonts w:eastAsia="Calibri" w:cs="Arial"/>
      <w:kern w:val="1"/>
      <w:szCs w:val="20"/>
      <w:lang w:eastAsia="ar-SA"/>
    </w:rPr>
  </w:style>
  <w:style w:type="paragraph" w:styleId="CommentSubject">
    <w:name w:val="annotation subject"/>
    <w:basedOn w:val="CommentText"/>
    <w:next w:val="CommentText"/>
    <w:link w:val="CommentSubjectChar"/>
    <w:uiPriority w:val="99"/>
    <w:semiHidden/>
    <w:rsid w:val="00977E06"/>
    <w:rPr>
      <w:b/>
      <w:bCs/>
    </w:rPr>
  </w:style>
  <w:style w:type="character" w:customStyle="1" w:styleId="CommentSubjectChar">
    <w:name w:val="Comment Subject Char"/>
    <w:basedOn w:val="CommentTextChar"/>
    <w:link w:val="CommentSubject"/>
    <w:uiPriority w:val="99"/>
    <w:semiHidden/>
    <w:rsid w:val="00977E06"/>
    <w:rPr>
      <w:rFonts w:ascii="Arial" w:eastAsia="Calibri" w:hAnsi="Arial"/>
      <w:b/>
      <w:bCs/>
    </w:rPr>
  </w:style>
  <w:style w:type="paragraph" w:styleId="Revision">
    <w:name w:val="Revision"/>
    <w:hidden/>
    <w:uiPriority w:val="99"/>
    <w:semiHidden/>
    <w:rsid w:val="00977E06"/>
    <w:rPr>
      <w:rFonts w:ascii="Arial" w:eastAsia="Calibri" w:hAnsi="Arial"/>
      <w:szCs w:val="24"/>
    </w:rPr>
  </w:style>
  <w:style w:type="paragraph" w:customStyle="1" w:styleId="ColorfulList-Accent11">
    <w:name w:val="Colorful List - Accent 11"/>
    <w:basedOn w:val="Normal"/>
    <w:uiPriority w:val="99"/>
    <w:qFormat/>
    <w:rsid w:val="00977E06"/>
    <w:pPr>
      <w:spacing w:before="0" w:line="240" w:lineRule="auto"/>
      <w:ind w:left="720"/>
    </w:pPr>
    <w:rPr>
      <w:rFonts w:ascii="Calibri" w:eastAsia="Times New Roman" w:hAnsi="Calibri" w:cs="Calibri"/>
      <w:sz w:val="22"/>
      <w:szCs w:val="22"/>
      <w:lang w:val="en-US"/>
    </w:rPr>
  </w:style>
  <w:style w:type="paragraph" w:customStyle="1" w:styleId="Standarduser">
    <w:name w:val="Standard (user)"/>
    <w:rsid w:val="00977E06"/>
    <w:pPr>
      <w:suppressAutoHyphens/>
      <w:spacing w:before="120" w:after="120" w:line="240" w:lineRule="atLeast"/>
      <w:textAlignment w:val="baseline"/>
    </w:pPr>
    <w:rPr>
      <w:rFonts w:ascii="Arial" w:eastAsia="Calibri" w:hAnsi="Arial" w:cs="Arial"/>
      <w:kern w:val="1"/>
      <w:lang w:eastAsia="ar-SA"/>
    </w:rPr>
  </w:style>
  <w:style w:type="paragraph" w:styleId="ListParagraph">
    <w:name w:val="List Paragraph"/>
    <w:basedOn w:val="Normal"/>
    <w:uiPriority w:val="34"/>
    <w:qFormat/>
    <w:rsid w:val="00977E06"/>
    <w:pPr>
      <w:spacing w:before="0" w:after="0" w:line="240" w:lineRule="auto"/>
      <w:ind w:left="720"/>
    </w:pPr>
    <w:rPr>
      <w:rFonts w:ascii="Calibri" w:eastAsia="Calibri" w:hAnsi="Calibri"/>
      <w:sz w:val="22"/>
      <w:szCs w:val="22"/>
    </w:rPr>
  </w:style>
  <w:style w:type="character" w:customStyle="1" w:styleId="longtext">
    <w:name w:val="long_text"/>
    <w:uiPriority w:val="99"/>
    <w:rsid w:val="00977E06"/>
    <w:rPr>
      <w:rFonts w:cs="Times New Roman"/>
    </w:rPr>
  </w:style>
  <w:style w:type="character" w:customStyle="1" w:styleId="a">
    <w:name w:val="Знаци за бележки под линия"/>
    <w:rsid w:val="00977E06"/>
    <w:rPr>
      <w:vertAlign w:val="superscript"/>
    </w:rPr>
  </w:style>
  <w:style w:type="character" w:customStyle="1" w:styleId="FootnoteCharacters">
    <w:name w:val="Footnote Characters"/>
    <w:rsid w:val="00977E06"/>
    <w:rPr>
      <w:rFonts w:cs="Times New Roman"/>
      <w:vertAlign w:val="superscript"/>
    </w:rPr>
  </w:style>
  <w:style w:type="character" w:customStyle="1" w:styleId="hps">
    <w:name w:val="hps"/>
    <w:rsid w:val="00977E06"/>
    <w:rPr>
      <w:rFonts w:cs="Times New Roman"/>
    </w:rPr>
  </w:style>
  <w:style w:type="paragraph" w:styleId="TOCHeading">
    <w:name w:val="TOC Heading"/>
    <w:basedOn w:val="Heading1"/>
    <w:next w:val="Normal"/>
    <w:uiPriority w:val="39"/>
    <w:unhideWhenUsed/>
    <w:qFormat/>
    <w:rsid w:val="00EA6B4A"/>
    <w:pPr>
      <w:pageBreakBefore w:val="0"/>
      <w:numPr>
        <w:numId w:val="0"/>
      </w:numPr>
      <w:spacing w:before="480" w:after="0" w:line="276" w:lineRule="auto"/>
      <w:outlineLvl w:val="9"/>
    </w:pPr>
    <w:rPr>
      <w:rFonts w:asciiTheme="majorHAnsi" w:hAnsiTheme="majorHAnsi"/>
      <w:color w:val="365F91" w:themeColor="accent1" w:themeShade="BF"/>
      <w:sz w:val="28"/>
      <w:lang w:val="en-US" w:eastAsia="ja-JP"/>
    </w:rPr>
  </w:style>
  <w:style w:type="paragraph" w:customStyle="1" w:styleId="Arial">
    <w:name w:val="Arial"/>
    <w:basedOn w:val="BTBullet1"/>
    <w:rsid w:val="00AF4206"/>
  </w:style>
  <w:style w:type="numbering" w:customStyle="1" w:styleId="NumbLstBTNumbList">
    <w:name w:val="NumbLstBTNumbList"/>
    <w:uiPriority w:val="99"/>
    <w:rsid w:val="00771CD9"/>
    <w:pPr>
      <w:numPr>
        <w:numId w:val="24"/>
      </w:numPr>
    </w:pPr>
  </w:style>
  <w:style w:type="paragraph" w:styleId="TableofFigures">
    <w:name w:val="table of figures"/>
    <w:basedOn w:val="Normal"/>
    <w:next w:val="Normal"/>
    <w:uiPriority w:val="29"/>
    <w:semiHidden/>
    <w:rsid w:val="00D752E4"/>
    <w:pPr>
      <w:spacing w:before="0" w:after="0"/>
      <w:ind w:left="400" w:hanging="400"/>
    </w:pPr>
    <w:rPr>
      <w:rFonts w:asciiTheme="minorHAnsi" w:hAnsiTheme="minorHAnsi"/>
      <w:caps/>
      <w:szCs w:val="20"/>
    </w:rPr>
  </w:style>
  <w:style w:type="paragraph" w:styleId="EndnoteText">
    <w:name w:val="endnote text"/>
    <w:basedOn w:val="Normal"/>
    <w:link w:val="EndnoteTextChar"/>
    <w:uiPriority w:val="29"/>
    <w:semiHidden/>
    <w:rsid w:val="00250BFA"/>
    <w:pPr>
      <w:spacing w:before="0" w:after="0" w:line="240" w:lineRule="auto"/>
    </w:pPr>
    <w:rPr>
      <w:szCs w:val="20"/>
    </w:rPr>
  </w:style>
  <w:style w:type="character" w:customStyle="1" w:styleId="EndnoteTextChar">
    <w:name w:val="Endnote Text Char"/>
    <w:basedOn w:val="DefaultParagraphFont"/>
    <w:link w:val="EndnoteText"/>
    <w:uiPriority w:val="29"/>
    <w:semiHidden/>
    <w:rsid w:val="00250BFA"/>
    <w:rPr>
      <w:rFonts w:ascii="Arial" w:hAnsi="Arial"/>
    </w:rPr>
  </w:style>
  <w:style w:type="character" w:styleId="EndnoteReference">
    <w:name w:val="endnote reference"/>
    <w:basedOn w:val="DefaultParagraphFont"/>
    <w:uiPriority w:val="29"/>
    <w:semiHidden/>
    <w:rsid w:val="00250BFA"/>
    <w:rPr>
      <w:vertAlign w:val="superscript"/>
    </w:rPr>
  </w:style>
  <w:style w:type="paragraph" w:customStyle="1" w:styleId="Text3">
    <w:name w:val="Text 3"/>
    <w:basedOn w:val="Normal"/>
    <w:rsid w:val="00273969"/>
    <w:pPr>
      <w:tabs>
        <w:tab w:val="left" w:pos="2302"/>
      </w:tabs>
      <w:spacing w:before="0" w:after="240" w:line="240" w:lineRule="auto"/>
      <w:ind w:left="1202"/>
      <w:jc w:val="both"/>
    </w:pPr>
    <w:rPr>
      <w:rFonts w:ascii="Times New Roman" w:eastAsia="Times New Roman" w:hAnsi="Times New Roman"/>
      <w:sz w:val="24"/>
      <w:szCs w:val="20"/>
    </w:rPr>
  </w:style>
  <w:style w:type="numbering" w:customStyle="1" w:styleId="NumbLstMain1">
    <w:name w:val="NumbLstMain1"/>
    <w:uiPriority w:val="99"/>
    <w:rsid w:val="00CB7B88"/>
    <w:pPr>
      <w:numPr>
        <w:numId w:val="1"/>
      </w:numPr>
    </w:pPr>
  </w:style>
  <w:style w:type="character" w:customStyle="1" w:styleId="st">
    <w:name w:val="st"/>
    <w:basedOn w:val="DefaultParagraphFont"/>
    <w:rsid w:val="00ED262F"/>
  </w:style>
  <w:style w:type="character" w:styleId="Emphasis">
    <w:name w:val="Emphasis"/>
    <w:basedOn w:val="DefaultParagraphFont"/>
    <w:uiPriority w:val="20"/>
    <w:qFormat/>
    <w:rsid w:val="00ED262F"/>
    <w:rPr>
      <w:i/>
      <w:iCs/>
    </w:rPr>
  </w:style>
  <w:style w:type="paragraph" w:customStyle="1" w:styleId="Standard1">
    <w:name w:val="Standard1"/>
    <w:rsid w:val="00A649A7"/>
    <w:pPr>
      <w:widowControl w:val="0"/>
      <w:tabs>
        <w:tab w:val="left" w:pos="0"/>
        <w:tab w:val="left" w:pos="1298"/>
        <w:tab w:val="left" w:pos="2597"/>
        <w:tab w:val="left" w:pos="3895"/>
        <w:tab w:val="left" w:pos="5193"/>
        <w:tab w:val="left" w:pos="6491"/>
        <w:tab w:val="left" w:pos="7790"/>
        <w:tab w:val="left" w:pos="9088"/>
      </w:tabs>
      <w:autoSpaceDN w:val="0"/>
      <w:textAlignment w:val="baseline"/>
    </w:pPr>
    <w:rPr>
      <w:rFonts w:eastAsia="Lucida Sans Unicode" w:cs="Tahoma"/>
      <w:kern w:val="3"/>
      <w:sz w:val="24"/>
      <w:szCs w:val="24"/>
      <w:lang w:val="fi-FI" w:eastAsia="en-GB"/>
    </w:rPr>
  </w:style>
  <w:style w:type="table" w:customStyle="1" w:styleId="Tabellenraster1">
    <w:name w:val="Tabellenraster1"/>
    <w:basedOn w:val="TableNormal"/>
    <w:next w:val="TableGrid"/>
    <w:uiPriority w:val="59"/>
    <w:rsid w:val="00CF3E1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149BA"/>
  </w:style>
  <w:style w:type="paragraph" w:customStyle="1" w:styleId="FooterOdd">
    <w:name w:val="Footer Odd"/>
    <w:basedOn w:val="Normal"/>
    <w:qFormat/>
    <w:rsid w:val="009E2507"/>
    <w:pPr>
      <w:pBdr>
        <w:top w:val="single" w:sz="4" w:space="1" w:color="4F81BD" w:themeColor="accent1"/>
      </w:pBdr>
      <w:spacing w:before="0" w:after="180" w:line="264" w:lineRule="auto"/>
      <w:jc w:val="right"/>
    </w:pPr>
    <w:rPr>
      <w:rFonts w:asciiTheme="minorHAnsi" w:hAnsiTheme="minorHAnsi"/>
      <w:color w:val="0067AC" w:themeColor="text2"/>
      <w:szCs w:val="20"/>
      <w:lang w:val="en-US" w:eastAsia="ja-JP"/>
    </w:rPr>
  </w:style>
  <w:style w:type="character" w:customStyle="1" w:styleId="newdocreference">
    <w:name w:val="newdocreference"/>
    <w:rsid w:val="009E2507"/>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9E2507"/>
    <w:rPr>
      <w:rFonts w:ascii="Cambria" w:hAnsi="Cambria" w:cs="Cambria"/>
      <w:b/>
      <w:bCs/>
      <w:i/>
      <w:iCs/>
      <w:sz w:val="28"/>
      <w:szCs w:val="28"/>
      <w:lang w:eastAsia="en-US"/>
    </w:rPr>
  </w:style>
  <w:style w:type="paragraph" w:customStyle="1" w:styleId="xmsobodytext">
    <w:name w:val="x_msobodytext"/>
    <w:basedOn w:val="Normal"/>
    <w:rsid w:val="00800C7F"/>
    <w:pPr>
      <w:spacing w:before="100" w:beforeAutospacing="1" w:after="100" w:afterAutospacing="1" w:line="240" w:lineRule="auto"/>
    </w:pPr>
    <w:rPr>
      <w:rFonts w:ascii="Times New Roman" w:eastAsia="Times New Roman" w:hAnsi="Times New Roman"/>
      <w:sz w:val="24"/>
      <w:lang w:eastAsia="en-GB"/>
    </w:rPr>
  </w:style>
  <w:style w:type="numbering" w:customStyle="1" w:styleId="NumbLstMain2">
    <w:name w:val="NumbLstMain2"/>
    <w:uiPriority w:val="99"/>
    <w:rsid w:val="00E30DEB"/>
  </w:style>
  <w:style w:type="paragraph" w:customStyle="1" w:styleId="berschrift11">
    <w:name w:val="Überschrift 11"/>
    <w:basedOn w:val="Normal"/>
    <w:next w:val="BodyText"/>
    <w:qFormat/>
    <w:rsid w:val="00517C61"/>
    <w:pPr>
      <w:keepNext/>
      <w:keepLines/>
      <w:pageBreakBefore/>
      <w:tabs>
        <w:tab w:val="num" w:pos="360"/>
      </w:tabs>
      <w:spacing w:before="0" w:after="240"/>
      <w:outlineLvl w:val="0"/>
    </w:pPr>
    <w:rPr>
      <w:rFonts w:ascii="Calibri" w:eastAsia="Times New Roman" w:hAnsi="Calibri"/>
      <w:b/>
      <w:bCs/>
      <w:color w:val="0067AC"/>
      <w:sz w:val="32"/>
      <w:szCs w:val="28"/>
    </w:rPr>
  </w:style>
  <w:style w:type="paragraph" w:customStyle="1" w:styleId="berschrift21">
    <w:name w:val="Überschrift 21"/>
    <w:basedOn w:val="Normal"/>
    <w:next w:val="BodyText"/>
    <w:qFormat/>
    <w:rsid w:val="00517C61"/>
    <w:pPr>
      <w:keepNext/>
      <w:keepLines/>
      <w:tabs>
        <w:tab w:val="num" w:pos="360"/>
      </w:tabs>
      <w:spacing w:before="240" w:line="260" w:lineRule="atLeast"/>
      <w:outlineLvl w:val="1"/>
    </w:pPr>
    <w:rPr>
      <w:rFonts w:ascii="Calibri" w:eastAsia="Times New Roman" w:hAnsi="Calibri"/>
      <w:b/>
      <w:bCs/>
      <w:color w:val="0067AC"/>
      <w:sz w:val="26"/>
      <w:szCs w:val="26"/>
    </w:rPr>
  </w:style>
  <w:style w:type="paragraph" w:customStyle="1" w:styleId="berschrift31">
    <w:name w:val="Überschrift 31"/>
    <w:basedOn w:val="Normal"/>
    <w:next w:val="BodyText"/>
    <w:qFormat/>
    <w:rsid w:val="00517C61"/>
    <w:pPr>
      <w:keepNext/>
      <w:keepLines/>
      <w:tabs>
        <w:tab w:val="num" w:pos="360"/>
      </w:tabs>
      <w:spacing w:before="200"/>
      <w:outlineLvl w:val="2"/>
    </w:pPr>
    <w:rPr>
      <w:rFonts w:ascii="Calibri" w:eastAsia="Times New Roman" w:hAnsi="Calibri"/>
      <w:b/>
      <w:bCs/>
      <w:color w:val="0067AC"/>
      <w:sz w:val="22"/>
    </w:rPr>
  </w:style>
  <w:style w:type="paragraph" w:customStyle="1" w:styleId="berschrift41">
    <w:name w:val="Überschrift 41"/>
    <w:basedOn w:val="Normal"/>
    <w:next w:val="BodyText"/>
    <w:qFormat/>
    <w:rsid w:val="00517C61"/>
    <w:pPr>
      <w:keepNext/>
      <w:keepLines/>
      <w:tabs>
        <w:tab w:val="num" w:pos="360"/>
      </w:tabs>
      <w:spacing w:after="0"/>
      <w:outlineLvl w:val="3"/>
    </w:pPr>
    <w:rPr>
      <w:rFonts w:ascii="Calibri" w:eastAsia="Times New Roman" w:hAnsi="Calibri"/>
      <w:b/>
      <w:bCs/>
      <w:i/>
      <w:iCs/>
      <w:color w:val="0067AC"/>
      <w:sz w:val="22"/>
    </w:rPr>
  </w:style>
  <w:style w:type="paragraph" w:customStyle="1" w:styleId="berschrift51">
    <w:name w:val="Überschrift 51"/>
    <w:basedOn w:val="Normal"/>
    <w:next w:val="Normal"/>
    <w:uiPriority w:val="29"/>
    <w:unhideWhenUsed/>
    <w:qFormat/>
    <w:rsid w:val="00517C61"/>
    <w:pPr>
      <w:keepNext/>
      <w:keepLines/>
      <w:tabs>
        <w:tab w:val="num" w:pos="360"/>
      </w:tabs>
      <w:spacing w:after="0"/>
      <w:outlineLvl w:val="4"/>
    </w:pPr>
    <w:rPr>
      <w:rFonts w:ascii="Calibri" w:eastAsia="Times New Roman" w:hAnsi="Calibri"/>
      <w:b/>
      <w:i/>
      <w:color w:val="0067AC"/>
      <w:sz w:val="22"/>
    </w:rPr>
  </w:style>
  <w:style w:type="table" w:customStyle="1" w:styleId="Tabellenraster11">
    <w:name w:val="Tabellenraster11"/>
    <w:basedOn w:val="TableNormal"/>
    <w:next w:val="TableGrid"/>
    <w:uiPriority w:val="59"/>
    <w:rsid w:val="00F532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A5E6C"/>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A5E6C"/>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455">
      <w:bodyDiv w:val="1"/>
      <w:marLeft w:val="0"/>
      <w:marRight w:val="0"/>
      <w:marTop w:val="0"/>
      <w:marBottom w:val="0"/>
      <w:divBdr>
        <w:top w:val="none" w:sz="0" w:space="0" w:color="auto"/>
        <w:left w:val="none" w:sz="0" w:space="0" w:color="auto"/>
        <w:bottom w:val="none" w:sz="0" w:space="0" w:color="auto"/>
        <w:right w:val="none" w:sz="0" w:space="0" w:color="auto"/>
      </w:divBdr>
    </w:div>
    <w:div w:id="73860181">
      <w:bodyDiv w:val="1"/>
      <w:marLeft w:val="0"/>
      <w:marRight w:val="0"/>
      <w:marTop w:val="0"/>
      <w:marBottom w:val="0"/>
      <w:divBdr>
        <w:top w:val="none" w:sz="0" w:space="0" w:color="auto"/>
        <w:left w:val="none" w:sz="0" w:space="0" w:color="auto"/>
        <w:bottom w:val="none" w:sz="0" w:space="0" w:color="auto"/>
        <w:right w:val="none" w:sz="0" w:space="0" w:color="auto"/>
      </w:divBdr>
    </w:div>
    <w:div w:id="110513234">
      <w:bodyDiv w:val="1"/>
      <w:marLeft w:val="0"/>
      <w:marRight w:val="0"/>
      <w:marTop w:val="0"/>
      <w:marBottom w:val="0"/>
      <w:divBdr>
        <w:top w:val="none" w:sz="0" w:space="0" w:color="auto"/>
        <w:left w:val="none" w:sz="0" w:space="0" w:color="auto"/>
        <w:bottom w:val="none" w:sz="0" w:space="0" w:color="auto"/>
        <w:right w:val="none" w:sz="0" w:space="0" w:color="auto"/>
      </w:divBdr>
    </w:div>
    <w:div w:id="204871758">
      <w:bodyDiv w:val="1"/>
      <w:marLeft w:val="0"/>
      <w:marRight w:val="0"/>
      <w:marTop w:val="0"/>
      <w:marBottom w:val="0"/>
      <w:divBdr>
        <w:top w:val="none" w:sz="0" w:space="0" w:color="auto"/>
        <w:left w:val="none" w:sz="0" w:space="0" w:color="auto"/>
        <w:bottom w:val="none" w:sz="0" w:space="0" w:color="auto"/>
        <w:right w:val="none" w:sz="0" w:space="0" w:color="auto"/>
      </w:divBdr>
    </w:div>
    <w:div w:id="209659880">
      <w:bodyDiv w:val="1"/>
      <w:marLeft w:val="0"/>
      <w:marRight w:val="0"/>
      <w:marTop w:val="0"/>
      <w:marBottom w:val="0"/>
      <w:divBdr>
        <w:top w:val="none" w:sz="0" w:space="0" w:color="auto"/>
        <w:left w:val="none" w:sz="0" w:space="0" w:color="auto"/>
        <w:bottom w:val="none" w:sz="0" w:space="0" w:color="auto"/>
        <w:right w:val="none" w:sz="0" w:space="0" w:color="auto"/>
      </w:divBdr>
    </w:div>
    <w:div w:id="260920067">
      <w:bodyDiv w:val="1"/>
      <w:marLeft w:val="0"/>
      <w:marRight w:val="0"/>
      <w:marTop w:val="0"/>
      <w:marBottom w:val="0"/>
      <w:divBdr>
        <w:top w:val="none" w:sz="0" w:space="0" w:color="auto"/>
        <w:left w:val="none" w:sz="0" w:space="0" w:color="auto"/>
        <w:bottom w:val="none" w:sz="0" w:space="0" w:color="auto"/>
        <w:right w:val="none" w:sz="0" w:space="0" w:color="auto"/>
      </w:divBdr>
    </w:div>
    <w:div w:id="283928889">
      <w:bodyDiv w:val="1"/>
      <w:marLeft w:val="0"/>
      <w:marRight w:val="0"/>
      <w:marTop w:val="0"/>
      <w:marBottom w:val="0"/>
      <w:divBdr>
        <w:top w:val="none" w:sz="0" w:space="0" w:color="auto"/>
        <w:left w:val="none" w:sz="0" w:space="0" w:color="auto"/>
        <w:bottom w:val="none" w:sz="0" w:space="0" w:color="auto"/>
        <w:right w:val="none" w:sz="0" w:space="0" w:color="auto"/>
      </w:divBdr>
    </w:div>
    <w:div w:id="313409965">
      <w:bodyDiv w:val="1"/>
      <w:marLeft w:val="0"/>
      <w:marRight w:val="0"/>
      <w:marTop w:val="0"/>
      <w:marBottom w:val="0"/>
      <w:divBdr>
        <w:top w:val="none" w:sz="0" w:space="0" w:color="auto"/>
        <w:left w:val="none" w:sz="0" w:space="0" w:color="auto"/>
        <w:bottom w:val="none" w:sz="0" w:space="0" w:color="auto"/>
        <w:right w:val="none" w:sz="0" w:space="0" w:color="auto"/>
      </w:divBdr>
    </w:div>
    <w:div w:id="319312999">
      <w:bodyDiv w:val="1"/>
      <w:marLeft w:val="0"/>
      <w:marRight w:val="0"/>
      <w:marTop w:val="0"/>
      <w:marBottom w:val="0"/>
      <w:divBdr>
        <w:top w:val="none" w:sz="0" w:space="0" w:color="auto"/>
        <w:left w:val="none" w:sz="0" w:space="0" w:color="auto"/>
        <w:bottom w:val="none" w:sz="0" w:space="0" w:color="auto"/>
        <w:right w:val="none" w:sz="0" w:space="0" w:color="auto"/>
      </w:divBdr>
    </w:div>
    <w:div w:id="364061107">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5301077">
      <w:bodyDiv w:val="1"/>
      <w:marLeft w:val="0"/>
      <w:marRight w:val="0"/>
      <w:marTop w:val="0"/>
      <w:marBottom w:val="0"/>
      <w:divBdr>
        <w:top w:val="none" w:sz="0" w:space="0" w:color="auto"/>
        <w:left w:val="none" w:sz="0" w:space="0" w:color="auto"/>
        <w:bottom w:val="none" w:sz="0" w:space="0" w:color="auto"/>
        <w:right w:val="none" w:sz="0" w:space="0" w:color="auto"/>
      </w:divBdr>
    </w:div>
    <w:div w:id="391469553">
      <w:bodyDiv w:val="1"/>
      <w:marLeft w:val="0"/>
      <w:marRight w:val="0"/>
      <w:marTop w:val="0"/>
      <w:marBottom w:val="0"/>
      <w:divBdr>
        <w:top w:val="none" w:sz="0" w:space="0" w:color="auto"/>
        <w:left w:val="none" w:sz="0" w:space="0" w:color="auto"/>
        <w:bottom w:val="none" w:sz="0" w:space="0" w:color="auto"/>
        <w:right w:val="none" w:sz="0" w:space="0" w:color="auto"/>
      </w:divBdr>
    </w:div>
    <w:div w:id="409888759">
      <w:bodyDiv w:val="1"/>
      <w:marLeft w:val="0"/>
      <w:marRight w:val="0"/>
      <w:marTop w:val="0"/>
      <w:marBottom w:val="0"/>
      <w:divBdr>
        <w:top w:val="none" w:sz="0" w:space="0" w:color="auto"/>
        <w:left w:val="none" w:sz="0" w:space="0" w:color="auto"/>
        <w:bottom w:val="none" w:sz="0" w:space="0" w:color="auto"/>
        <w:right w:val="none" w:sz="0" w:space="0" w:color="auto"/>
      </w:divBdr>
      <w:divsChild>
        <w:div w:id="38364481">
          <w:marLeft w:val="0"/>
          <w:marRight w:val="0"/>
          <w:marTop w:val="0"/>
          <w:marBottom w:val="0"/>
          <w:divBdr>
            <w:top w:val="none" w:sz="0" w:space="0" w:color="auto"/>
            <w:left w:val="none" w:sz="0" w:space="0" w:color="auto"/>
            <w:bottom w:val="none" w:sz="0" w:space="0" w:color="auto"/>
            <w:right w:val="none" w:sz="0" w:space="0" w:color="auto"/>
          </w:divBdr>
          <w:divsChild>
            <w:div w:id="1363363041">
              <w:marLeft w:val="0"/>
              <w:marRight w:val="0"/>
              <w:marTop w:val="0"/>
              <w:marBottom w:val="0"/>
              <w:divBdr>
                <w:top w:val="none" w:sz="0" w:space="0" w:color="auto"/>
                <w:left w:val="none" w:sz="0" w:space="0" w:color="auto"/>
                <w:bottom w:val="none" w:sz="0" w:space="0" w:color="auto"/>
                <w:right w:val="none" w:sz="0" w:space="0" w:color="auto"/>
              </w:divBdr>
              <w:divsChild>
                <w:div w:id="851145738">
                  <w:marLeft w:val="0"/>
                  <w:marRight w:val="0"/>
                  <w:marTop w:val="0"/>
                  <w:marBottom w:val="0"/>
                  <w:divBdr>
                    <w:top w:val="none" w:sz="0" w:space="0" w:color="auto"/>
                    <w:left w:val="none" w:sz="0" w:space="0" w:color="auto"/>
                    <w:bottom w:val="none" w:sz="0" w:space="0" w:color="auto"/>
                    <w:right w:val="none" w:sz="0" w:space="0" w:color="auto"/>
                  </w:divBdr>
                  <w:divsChild>
                    <w:div w:id="639266305">
                      <w:marLeft w:val="0"/>
                      <w:marRight w:val="0"/>
                      <w:marTop w:val="0"/>
                      <w:marBottom w:val="0"/>
                      <w:divBdr>
                        <w:top w:val="none" w:sz="0" w:space="0" w:color="auto"/>
                        <w:left w:val="none" w:sz="0" w:space="0" w:color="auto"/>
                        <w:bottom w:val="none" w:sz="0" w:space="0" w:color="auto"/>
                        <w:right w:val="none" w:sz="0" w:space="0" w:color="auto"/>
                      </w:divBdr>
                      <w:divsChild>
                        <w:div w:id="1906447199">
                          <w:marLeft w:val="0"/>
                          <w:marRight w:val="0"/>
                          <w:marTop w:val="0"/>
                          <w:marBottom w:val="0"/>
                          <w:divBdr>
                            <w:top w:val="none" w:sz="0" w:space="0" w:color="auto"/>
                            <w:left w:val="none" w:sz="0" w:space="0" w:color="auto"/>
                            <w:bottom w:val="none" w:sz="0" w:space="0" w:color="auto"/>
                            <w:right w:val="none" w:sz="0" w:space="0" w:color="auto"/>
                          </w:divBdr>
                          <w:divsChild>
                            <w:div w:id="89161460">
                              <w:marLeft w:val="0"/>
                              <w:marRight w:val="0"/>
                              <w:marTop w:val="0"/>
                              <w:marBottom w:val="0"/>
                              <w:divBdr>
                                <w:top w:val="none" w:sz="0" w:space="0" w:color="auto"/>
                                <w:left w:val="none" w:sz="0" w:space="0" w:color="auto"/>
                                <w:bottom w:val="none" w:sz="0" w:space="0" w:color="auto"/>
                                <w:right w:val="none" w:sz="0" w:space="0" w:color="auto"/>
                              </w:divBdr>
                              <w:divsChild>
                                <w:div w:id="1009064950">
                                  <w:marLeft w:val="0"/>
                                  <w:marRight w:val="0"/>
                                  <w:marTop w:val="0"/>
                                  <w:marBottom w:val="0"/>
                                  <w:divBdr>
                                    <w:top w:val="none" w:sz="0" w:space="0" w:color="auto"/>
                                    <w:left w:val="none" w:sz="0" w:space="0" w:color="auto"/>
                                    <w:bottom w:val="none" w:sz="0" w:space="0" w:color="auto"/>
                                    <w:right w:val="none" w:sz="0" w:space="0" w:color="auto"/>
                                  </w:divBdr>
                                  <w:divsChild>
                                    <w:div w:id="1759591536">
                                      <w:marLeft w:val="0"/>
                                      <w:marRight w:val="0"/>
                                      <w:marTop w:val="0"/>
                                      <w:marBottom w:val="0"/>
                                      <w:divBdr>
                                        <w:top w:val="none" w:sz="0" w:space="0" w:color="auto"/>
                                        <w:left w:val="none" w:sz="0" w:space="0" w:color="auto"/>
                                        <w:bottom w:val="none" w:sz="0" w:space="0" w:color="auto"/>
                                        <w:right w:val="none" w:sz="0" w:space="0" w:color="auto"/>
                                      </w:divBdr>
                                      <w:divsChild>
                                        <w:div w:id="243345527">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757991727">
                                  <w:marLeft w:val="0"/>
                                  <w:marRight w:val="0"/>
                                  <w:marTop w:val="0"/>
                                  <w:marBottom w:val="0"/>
                                  <w:divBdr>
                                    <w:top w:val="none" w:sz="0" w:space="0" w:color="auto"/>
                                    <w:left w:val="none" w:sz="0" w:space="0" w:color="auto"/>
                                    <w:bottom w:val="none" w:sz="0" w:space="0" w:color="auto"/>
                                    <w:right w:val="none" w:sz="0" w:space="0" w:color="auto"/>
                                  </w:divBdr>
                                  <w:divsChild>
                                    <w:div w:id="786972054">
                                      <w:marLeft w:val="0"/>
                                      <w:marRight w:val="0"/>
                                      <w:marTop w:val="0"/>
                                      <w:marBottom w:val="0"/>
                                      <w:divBdr>
                                        <w:top w:val="none" w:sz="0" w:space="0" w:color="auto"/>
                                        <w:left w:val="none" w:sz="0" w:space="0" w:color="auto"/>
                                        <w:bottom w:val="none" w:sz="0" w:space="0" w:color="auto"/>
                                        <w:right w:val="none" w:sz="0" w:space="0" w:color="auto"/>
                                      </w:divBdr>
                                    </w:div>
                                  </w:divsChild>
                                </w:div>
                                <w:div w:id="1145665176">
                                  <w:marLeft w:val="0"/>
                                  <w:marRight w:val="0"/>
                                  <w:marTop w:val="0"/>
                                  <w:marBottom w:val="0"/>
                                  <w:divBdr>
                                    <w:top w:val="none" w:sz="0" w:space="0" w:color="auto"/>
                                    <w:left w:val="none" w:sz="0" w:space="0" w:color="auto"/>
                                    <w:bottom w:val="none" w:sz="0" w:space="0" w:color="auto"/>
                                    <w:right w:val="none" w:sz="0" w:space="0" w:color="auto"/>
                                  </w:divBdr>
                                  <w:divsChild>
                                    <w:div w:id="1384406575">
                                      <w:marLeft w:val="0"/>
                                      <w:marRight w:val="0"/>
                                      <w:marTop w:val="0"/>
                                      <w:marBottom w:val="0"/>
                                      <w:divBdr>
                                        <w:top w:val="none" w:sz="0" w:space="0" w:color="auto"/>
                                        <w:left w:val="none" w:sz="0" w:space="0" w:color="auto"/>
                                        <w:bottom w:val="none" w:sz="0" w:space="0" w:color="auto"/>
                                        <w:right w:val="none" w:sz="0" w:space="0" w:color="auto"/>
                                      </w:divBdr>
                                    </w:div>
                                  </w:divsChild>
                                </w:div>
                                <w:div w:id="1106270851">
                                  <w:marLeft w:val="0"/>
                                  <w:marRight w:val="0"/>
                                  <w:marTop w:val="0"/>
                                  <w:marBottom w:val="0"/>
                                  <w:divBdr>
                                    <w:top w:val="none" w:sz="0" w:space="0" w:color="auto"/>
                                    <w:left w:val="none" w:sz="0" w:space="0" w:color="auto"/>
                                    <w:bottom w:val="none" w:sz="0" w:space="0" w:color="auto"/>
                                    <w:right w:val="none" w:sz="0" w:space="0" w:color="auto"/>
                                  </w:divBdr>
                                  <w:divsChild>
                                    <w:div w:id="1454665364">
                                      <w:marLeft w:val="0"/>
                                      <w:marRight w:val="0"/>
                                      <w:marTop w:val="0"/>
                                      <w:marBottom w:val="0"/>
                                      <w:divBdr>
                                        <w:top w:val="none" w:sz="0" w:space="0" w:color="auto"/>
                                        <w:left w:val="none" w:sz="0" w:space="0" w:color="auto"/>
                                        <w:bottom w:val="none" w:sz="0" w:space="0" w:color="auto"/>
                                        <w:right w:val="none" w:sz="0" w:space="0" w:color="auto"/>
                                      </w:divBdr>
                                    </w:div>
                                  </w:divsChild>
                                </w:div>
                                <w:div w:id="750543631">
                                  <w:marLeft w:val="0"/>
                                  <w:marRight w:val="0"/>
                                  <w:marTop w:val="0"/>
                                  <w:marBottom w:val="0"/>
                                  <w:divBdr>
                                    <w:top w:val="none" w:sz="0" w:space="0" w:color="auto"/>
                                    <w:left w:val="none" w:sz="0" w:space="0" w:color="auto"/>
                                    <w:bottom w:val="none" w:sz="0" w:space="0" w:color="auto"/>
                                    <w:right w:val="none" w:sz="0" w:space="0" w:color="auto"/>
                                  </w:divBdr>
                                  <w:divsChild>
                                    <w:div w:id="1998605819">
                                      <w:marLeft w:val="0"/>
                                      <w:marRight w:val="0"/>
                                      <w:marTop w:val="0"/>
                                      <w:marBottom w:val="0"/>
                                      <w:divBdr>
                                        <w:top w:val="none" w:sz="0" w:space="0" w:color="auto"/>
                                        <w:left w:val="none" w:sz="0" w:space="0" w:color="auto"/>
                                        <w:bottom w:val="none" w:sz="0" w:space="0" w:color="auto"/>
                                        <w:right w:val="none" w:sz="0" w:space="0" w:color="auto"/>
                                      </w:divBdr>
                                    </w:div>
                                  </w:divsChild>
                                </w:div>
                                <w:div w:id="417874617">
                                  <w:marLeft w:val="0"/>
                                  <w:marRight w:val="0"/>
                                  <w:marTop w:val="0"/>
                                  <w:marBottom w:val="0"/>
                                  <w:divBdr>
                                    <w:top w:val="none" w:sz="0" w:space="0" w:color="auto"/>
                                    <w:left w:val="none" w:sz="0" w:space="0" w:color="auto"/>
                                    <w:bottom w:val="none" w:sz="0" w:space="0" w:color="auto"/>
                                    <w:right w:val="none" w:sz="0" w:space="0" w:color="auto"/>
                                  </w:divBdr>
                                  <w:divsChild>
                                    <w:div w:id="1549293668">
                                      <w:marLeft w:val="0"/>
                                      <w:marRight w:val="0"/>
                                      <w:marTop w:val="0"/>
                                      <w:marBottom w:val="0"/>
                                      <w:divBdr>
                                        <w:top w:val="none" w:sz="0" w:space="0" w:color="auto"/>
                                        <w:left w:val="none" w:sz="0" w:space="0" w:color="auto"/>
                                        <w:bottom w:val="none" w:sz="0" w:space="0" w:color="auto"/>
                                        <w:right w:val="none" w:sz="0" w:space="0" w:color="auto"/>
                                      </w:divBdr>
                                    </w:div>
                                  </w:divsChild>
                                </w:div>
                                <w:div w:id="212886453">
                                  <w:marLeft w:val="0"/>
                                  <w:marRight w:val="0"/>
                                  <w:marTop w:val="0"/>
                                  <w:marBottom w:val="0"/>
                                  <w:divBdr>
                                    <w:top w:val="none" w:sz="0" w:space="0" w:color="auto"/>
                                    <w:left w:val="none" w:sz="0" w:space="0" w:color="auto"/>
                                    <w:bottom w:val="none" w:sz="0" w:space="0" w:color="auto"/>
                                    <w:right w:val="none" w:sz="0" w:space="0" w:color="auto"/>
                                  </w:divBdr>
                                  <w:divsChild>
                                    <w:div w:id="1446845147">
                                      <w:marLeft w:val="0"/>
                                      <w:marRight w:val="0"/>
                                      <w:marTop w:val="0"/>
                                      <w:marBottom w:val="0"/>
                                      <w:divBdr>
                                        <w:top w:val="none" w:sz="0" w:space="0" w:color="auto"/>
                                        <w:left w:val="none" w:sz="0" w:space="0" w:color="auto"/>
                                        <w:bottom w:val="none" w:sz="0" w:space="0" w:color="auto"/>
                                        <w:right w:val="none" w:sz="0" w:space="0" w:color="auto"/>
                                      </w:divBdr>
                                    </w:div>
                                    <w:div w:id="838887161">
                                      <w:marLeft w:val="0"/>
                                      <w:marRight w:val="0"/>
                                      <w:marTop w:val="0"/>
                                      <w:marBottom w:val="0"/>
                                      <w:divBdr>
                                        <w:top w:val="none" w:sz="0" w:space="0" w:color="auto"/>
                                        <w:left w:val="none" w:sz="0" w:space="0" w:color="auto"/>
                                        <w:bottom w:val="none" w:sz="0" w:space="0" w:color="auto"/>
                                        <w:right w:val="none" w:sz="0" w:space="0" w:color="auto"/>
                                      </w:divBdr>
                                      <w:divsChild>
                                        <w:div w:id="1632712309">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56965726">
                                  <w:marLeft w:val="0"/>
                                  <w:marRight w:val="0"/>
                                  <w:marTop w:val="0"/>
                                  <w:marBottom w:val="0"/>
                                  <w:divBdr>
                                    <w:top w:val="none" w:sz="0" w:space="0" w:color="auto"/>
                                    <w:left w:val="none" w:sz="0" w:space="0" w:color="auto"/>
                                    <w:bottom w:val="none" w:sz="0" w:space="0" w:color="auto"/>
                                    <w:right w:val="none" w:sz="0" w:space="0" w:color="auto"/>
                                  </w:divBdr>
                                  <w:divsChild>
                                    <w:div w:id="1256137304">
                                      <w:marLeft w:val="0"/>
                                      <w:marRight w:val="0"/>
                                      <w:marTop w:val="0"/>
                                      <w:marBottom w:val="0"/>
                                      <w:divBdr>
                                        <w:top w:val="none" w:sz="0" w:space="0" w:color="auto"/>
                                        <w:left w:val="none" w:sz="0" w:space="0" w:color="auto"/>
                                        <w:bottom w:val="none" w:sz="0" w:space="0" w:color="auto"/>
                                        <w:right w:val="none" w:sz="0" w:space="0" w:color="auto"/>
                                      </w:divBdr>
                                    </w:div>
                                  </w:divsChild>
                                </w:div>
                                <w:div w:id="831288169">
                                  <w:marLeft w:val="0"/>
                                  <w:marRight w:val="0"/>
                                  <w:marTop w:val="0"/>
                                  <w:marBottom w:val="0"/>
                                  <w:divBdr>
                                    <w:top w:val="none" w:sz="0" w:space="0" w:color="auto"/>
                                    <w:left w:val="none" w:sz="0" w:space="0" w:color="auto"/>
                                    <w:bottom w:val="none" w:sz="0" w:space="0" w:color="auto"/>
                                    <w:right w:val="none" w:sz="0" w:space="0" w:color="auto"/>
                                  </w:divBdr>
                                  <w:divsChild>
                                    <w:div w:id="2002997398">
                                      <w:marLeft w:val="0"/>
                                      <w:marRight w:val="0"/>
                                      <w:marTop w:val="0"/>
                                      <w:marBottom w:val="0"/>
                                      <w:divBdr>
                                        <w:top w:val="none" w:sz="0" w:space="0" w:color="auto"/>
                                        <w:left w:val="none" w:sz="0" w:space="0" w:color="auto"/>
                                        <w:bottom w:val="none" w:sz="0" w:space="0" w:color="auto"/>
                                        <w:right w:val="none" w:sz="0" w:space="0" w:color="auto"/>
                                      </w:divBdr>
                                    </w:div>
                                  </w:divsChild>
                                </w:div>
                                <w:div w:id="494490051">
                                  <w:marLeft w:val="0"/>
                                  <w:marRight w:val="0"/>
                                  <w:marTop w:val="0"/>
                                  <w:marBottom w:val="0"/>
                                  <w:divBdr>
                                    <w:top w:val="none" w:sz="0" w:space="0" w:color="auto"/>
                                    <w:left w:val="none" w:sz="0" w:space="0" w:color="auto"/>
                                    <w:bottom w:val="none" w:sz="0" w:space="0" w:color="auto"/>
                                    <w:right w:val="none" w:sz="0" w:space="0" w:color="auto"/>
                                  </w:divBdr>
                                  <w:divsChild>
                                    <w:div w:id="10772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550036">
      <w:bodyDiv w:val="1"/>
      <w:marLeft w:val="0"/>
      <w:marRight w:val="0"/>
      <w:marTop w:val="0"/>
      <w:marBottom w:val="0"/>
      <w:divBdr>
        <w:top w:val="none" w:sz="0" w:space="0" w:color="auto"/>
        <w:left w:val="none" w:sz="0" w:space="0" w:color="auto"/>
        <w:bottom w:val="none" w:sz="0" w:space="0" w:color="auto"/>
        <w:right w:val="none" w:sz="0" w:space="0" w:color="auto"/>
      </w:divBdr>
    </w:div>
    <w:div w:id="551845330">
      <w:bodyDiv w:val="1"/>
      <w:marLeft w:val="0"/>
      <w:marRight w:val="0"/>
      <w:marTop w:val="0"/>
      <w:marBottom w:val="0"/>
      <w:divBdr>
        <w:top w:val="none" w:sz="0" w:space="0" w:color="auto"/>
        <w:left w:val="none" w:sz="0" w:space="0" w:color="auto"/>
        <w:bottom w:val="none" w:sz="0" w:space="0" w:color="auto"/>
        <w:right w:val="none" w:sz="0" w:space="0" w:color="auto"/>
      </w:divBdr>
    </w:div>
    <w:div w:id="565990515">
      <w:bodyDiv w:val="1"/>
      <w:marLeft w:val="0"/>
      <w:marRight w:val="0"/>
      <w:marTop w:val="0"/>
      <w:marBottom w:val="0"/>
      <w:divBdr>
        <w:top w:val="none" w:sz="0" w:space="0" w:color="auto"/>
        <w:left w:val="none" w:sz="0" w:space="0" w:color="auto"/>
        <w:bottom w:val="none" w:sz="0" w:space="0" w:color="auto"/>
        <w:right w:val="none" w:sz="0" w:space="0" w:color="auto"/>
      </w:divBdr>
    </w:div>
    <w:div w:id="616303283">
      <w:bodyDiv w:val="1"/>
      <w:marLeft w:val="0"/>
      <w:marRight w:val="0"/>
      <w:marTop w:val="0"/>
      <w:marBottom w:val="0"/>
      <w:divBdr>
        <w:top w:val="none" w:sz="0" w:space="0" w:color="auto"/>
        <w:left w:val="none" w:sz="0" w:space="0" w:color="auto"/>
        <w:bottom w:val="none" w:sz="0" w:space="0" w:color="auto"/>
        <w:right w:val="none" w:sz="0" w:space="0" w:color="auto"/>
      </w:divBdr>
      <w:divsChild>
        <w:div w:id="231237310">
          <w:marLeft w:val="0"/>
          <w:marRight w:val="0"/>
          <w:marTop w:val="0"/>
          <w:marBottom w:val="0"/>
          <w:divBdr>
            <w:top w:val="none" w:sz="0" w:space="0" w:color="auto"/>
            <w:left w:val="none" w:sz="0" w:space="0" w:color="auto"/>
            <w:bottom w:val="none" w:sz="0" w:space="0" w:color="auto"/>
            <w:right w:val="none" w:sz="0" w:space="0" w:color="auto"/>
          </w:divBdr>
          <w:divsChild>
            <w:div w:id="1470513453">
              <w:marLeft w:val="0"/>
              <w:marRight w:val="0"/>
              <w:marTop w:val="0"/>
              <w:marBottom w:val="0"/>
              <w:divBdr>
                <w:top w:val="none" w:sz="0" w:space="0" w:color="auto"/>
                <w:left w:val="none" w:sz="0" w:space="0" w:color="auto"/>
                <w:bottom w:val="none" w:sz="0" w:space="0" w:color="auto"/>
                <w:right w:val="none" w:sz="0" w:space="0" w:color="auto"/>
              </w:divBdr>
              <w:divsChild>
                <w:div w:id="1401097589">
                  <w:marLeft w:val="0"/>
                  <w:marRight w:val="0"/>
                  <w:marTop w:val="0"/>
                  <w:marBottom w:val="0"/>
                  <w:divBdr>
                    <w:top w:val="none" w:sz="0" w:space="0" w:color="auto"/>
                    <w:left w:val="none" w:sz="0" w:space="0" w:color="auto"/>
                    <w:bottom w:val="none" w:sz="0" w:space="0" w:color="auto"/>
                    <w:right w:val="none" w:sz="0" w:space="0" w:color="auto"/>
                  </w:divBdr>
                  <w:divsChild>
                    <w:div w:id="7221277">
                      <w:marLeft w:val="0"/>
                      <w:marRight w:val="0"/>
                      <w:marTop w:val="0"/>
                      <w:marBottom w:val="0"/>
                      <w:divBdr>
                        <w:top w:val="none" w:sz="0" w:space="0" w:color="auto"/>
                        <w:left w:val="none" w:sz="0" w:space="0" w:color="auto"/>
                        <w:bottom w:val="none" w:sz="0" w:space="0" w:color="auto"/>
                        <w:right w:val="none" w:sz="0" w:space="0" w:color="auto"/>
                      </w:divBdr>
                      <w:divsChild>
                        <w:div w:id="759066545">
                          <w:marLeft w:val="0"/>
                          <w:marRight w:val="0"/>
                          <w:marTop w:val="0"/>
                          <w:marBottom w:val="0"/>
                          <w:divBdr>
                            <w:top w:val="none" w:sz="0" w:space="0" w:color="auto"/>
                            <w:left w:val="none" w:sz="0" w:space="0" w:color="auto"/>
                            <w:bottom w:val="none" w:sz="0" w:space="0" w:color="auto"/>
                            <w:right w:val="none" w:sz="0" w:space="0" w:color="auto"/>
                          </w:divBdr>
                          <w:divsChild>
                            <w:div w:id="244924865">
                              <w:marLeft w:val="0"/>
                              <w:marRight w:val="0"/>
                              <w:marTop w:val="0"/>
                              <w:marBottom w:val="0"/>
                              <w:divBdr>
                                <w:top w:val="none" w:sz="0" w:space="0" w:color="auto"/>
                                <w:left w:val="none" w:sz="0" w:space="0" w:color="auto"/>
                                <w:bottom w:val="none" w:sz="0" w:space="0" w:color="auto"/>
                                <w:right w:val="none" w:sz="0" w:space="0" w:color="auto"/>
                              </w:divBdr>
                              <w:divsChild>
                                <w:div w:id="1043141091">
                                  <w:marLeft w:val="0"/>
                                  <w:marRight w:val="0"/>
                                  <w:marTop w:val="0"/>
                                  <w:marBottom w:val="0"/>
                                  <w:divBdr>
                                    <w:top w:val="none" w:sz="0" w:space="0" w:color="auto"/>
                                    <w:left w:val="none" w:sz="0" w:space="0" w:color="auto"/>
                                    <w:bottom w:val="none" w:sz="0" w:space="0" w:color="auto"/>
                                    <w:right w:val="none" w:sz="0" w:space="0" w:color="auto"/>
                                  </w:divBdr>
                                  <w:divsChild>
                                    <w:div w:id="77797392">
                                      <w:marLeft w:val="0"/>
                                      <w:marRight w:val="0"/>
                                      <w:marTop w:val="0"/>
                                      <w:marBottom w:val="0"/>
                                      <w:divBdr>
                                        <w:top w:val="none" w:sz="0" w:space="0" w:color="auto"/>
                                        <w:left w:val="none" w:sz="0" w:space="0" w:color="auto"/>
                                        <w:bottom w:val="none" w:sz="0" w:space="0" w:color="auto"/>
                                        <w:right w:val="none" w:sz="0" w:space="0" w:color="auto"/>
                                      </w:divBdr>
                                      <w:divsChild>
                                        <w:div w:id="1802190936">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203833468">
                                  <w:marLeft w:val="0"/>
                                  <w:marRight w:val="0"/>
                                  <w:marTop w:val="0"/>
                                  <w:marBottom w:val="0"/>
                                  <w:divBdr>
                                    <w:top w:val="none" w:sz="0" w:space="0" w:color="auto"/>
                                    <w:left w:val="none" w:sz="0" w:space="0" w:color="auto"/>
                                    <w:bottom w:val="none" w:sz="0" w:space="0" w:color="auto"/>
                                    <w:right w:val="none" w:sz="0" w:space="0" w:color="auto"/>
                                  </w:divBdr>
                                  <w:divsChild>
                                    <w:div w:id="793140706">
                                      <w:marLeft w:val="0"/>
                                      <w:marRight w:val="0"/>
                                      <w:marTop w:val="0"/>
                                      <w:marBottom w:val="0"/>
                                      <w:divBdr>
                                        <w:top w:val="none" w:sz="0" w:space="0" w:color="auto"/>
                                        <w:left w:val="none" w:sz="0" w:space="0" w:color="auto"/>
                                        <w:bottom w:val="none" w:sz="0" w:space="0" w:color="auto"/>
                                        <w:right w:val="none" w:sz="0" w:space="0" w:color="auto"/>
                                      </w:divBdr>
                                    </w:div>
                                  </w:divsChild>
                                </w:div>
                                <w:div w:id="1111322107">
                                  <w:marLeft w:val="0"/>
                                  <w:marRight w:val="0"/>
                                  <w:marTop w:val="0"/>
                                  <w:marBottom w:val="0"/>
                                  <w:divBdr>
                                    <w:top w:val="none" w:sz="0" w:space="0" w:color="auto"/>
                                    <w:left w:val="none" w:sz="0" w:space="0" w:color="auto"/>
                                    <w:bottom w:val="none" w:sz="0" w:space="0" w:color="auto"/>
                                    <w:right w:val="none" w:sz="0" w:space="0" w:color="auto"/>
                                  </w:divBdr>
                                  <w:divsChild>
                                    <w:div w:id="1217547024">
                                      <w:marLeft w:val="0"/>
                                      <w:marRight w:val="0"/>
                                      <w:marTop w:val="0"/>
                                      <w:marBottom w:val="0"/>
                                      <w:divBdr>
                                        <w:top w:val="none" w:sz="0" w:space="0" w:color="auto"/>
                                        <w:left w:val="none" w:sz="0" w:space="0" w:color="auto"/>
                                        <w:bottom w:val="none" w:sz="0" w:space="0" w:color="auto"/>
                                        <w:right w:val="none" w:sz="0" w:space="0" w:color="auto"/>
                                      </w:divBdr>
                                    </w:div>
                                  </w:divsChild>
                                </w:div>
                                <w:div w:id="152335140">
                                  <w:marLeft w:val="0"/>
                                  <w:marRight w:val="0"/>
                                  <w:marTop w:val="0"/>
                                  <w:marBottom w:val="0"/>
                                  <w:divBdr>
                                    <w:top w:val="none" w:sz="0" w:space="0" w:color="auto"/>
                                    <w:left w:val="none" w:sz="0" w:space="0" w:color="auto"/>
                                    <w:bottom w:val="none" w:sz="0" w:space="0" w:color="auto"/>
                                    <w:right w:val="none" w:sz="0" w:space="0" w:color="auto"/>
                                  </w:divBdr>
                                  <w:divsChild>
                                    <w:div w:id="1416628538">
                                      <w:marLeft w:val="0"/>
                                      <w:marRight w:val="0"/>
                                      <w:marTop w:val="0"/>
                                      <w:marBottom w:val="0"/>
                                      <w:divBdr>
                                        <w:top w:val="none" w:sz="0" w:space="0" w:color="auto"/>
                                        <w:left w:val="none" w:sz="0" w:space="0" w:color="auto"/>
                                        <w:bottom w:val="none" w:sz="0" w:space="0" w:color="auto"/>
                                        <w:right w:val="none" w:sz="0" w:space="0" w:color="auto"/>
                                      </w:divBdr>
                                    </w:div>
                                  </w:divsChild>
                                </w:div>
                                <w:div w:id="36902082">
                                  <w:marLeft w:val="0"/>
                                  <w:marRight w:val="0"/>
                                  <w:marTop w:val="0"/>
                                  <w:marBottom w:val="0"/>
                                  <w:divBdr>
                                    <w:top w:val="none" w:sz="0" w:space="0" w:color="auto"/>
                                    <w:left w:val="none" w:sz="0" w:space="0" w:color="auto"/>
                                    <w:bottom w:val="none" w:sz="0" w:space="0" w:color="auto"/>
                                    <w:right w:val="none" w:sz="0" w:space="0" w:color="auto"/>
                                  </w:divBdr>
                                  <w:divsChild>
                                    <w:div w:id="1624653285">
                                      <w:marLeft w:val="0"/>
                                      <w:marRight w:val="0"/>
                                      <w:marTop w:val="0"/>
                                      <w:marBottom w:val="0"/>
                                      <w:divBdr>
                                        <w:top w:val="none" w:sz="0" w:space="0" w:color="auto"/>
                                        <w:left w:val="none" w:sz="0" w:space="0" w:color="auto"/>
                                        <w:bottom w:val="none" w:sz="0" w:space="0" w:color="auto"/>
                                        <w:right w:val="none" w:sz="0" w:space="0" w:color="auto"/>
                                      </w:divBdr>
                                    </w:div>
                                  </w:divsChild>
                                </w:div>
                                <w:div w:id="216817010">
                                  <w:marLeft w:val="0"/>
                                  <w:marRight w:val="0"/>
                                  <w:marTop w:val="0"/>
                                  <w:marBottom w:val="0"/>
                                  <w:divBdr>
                                    <w:top w:val="none" w:sz="0" w:space="0" w:color="auto"/>
                                    <w:left w:val="none" w:sz="0" w:space="0" w:color="auto"/>
                                    <w:bottom w:val="none" w:sz="0" w:space="0" w:color="auto"/>
                                    <w:right w:val="none" w:sz="0" w:space="0" w:color="auto"/>
                                  </w:divBdr>
                                  <w:divsChild>
                                    <w:div w:id="1416975720">
                                      <w:marLeft w:val="0"/>
                                      <w:marRight w:val="0"/>
                                      <w:marTop w:val="0"/>
                                      <w:marBottom w:val="0"/>
                                      <w:divBdr>
                                        <w:top w:val="none" w:sz="0" w:space="0" w:color="auto"/>
                                        <w:left w:val="none" w:sz="0" w:space="0" w:color="auto"/>
                                        <w:bottom w:val="none" w:sz="0" w:space="0" w:color="auto"/>
                                        <w:right w:val="none" w:sz="0" w:space="0" w:color="auto"/>
                                      </w:divBdr>
                                    </w:div>
                                  </w:divsChild>
                                </w:div>
                                <w:div w:id="950085263">
                                  <w:marLeft w:val="0"/>
                                  <w:marRight w:val="0"/>
                                  <w:marTop w:val="0"/>
                                  <w:marBottom w:val="0"/>
                                  <w:divBdr>
                                    <w:top w:val="none" w:sz="0" w:space="0" w:color="auto"/>
                                    <w:left w:val="none" w:sz="0" w:space="0" w:color="auto"/>
                                    <w:bottom w:val="none" w:sz="0" w:space="0" w:color="auto"/>
                                    <w:right w:val="none" w:sz="0" w:space="0" w:color="auto"/>
                                  </w:divBdr>
                                  <w:divsChild>
                                    <w:div w:id="2069499527">
                                      <w:marLeft w:val="0"/>
                                      <w:marRight w:val="0"/>
                                      <w:marTop w:val="0"/>
                                      <w:marBottom w:val="0"/>
                                      <w:divBdr>
                                        <w:top w:val="none" w:sz="0" w:space="0" w:color="auto"/>
                                        <w:left w:val="none" w:sz="0" w:space="0" w:color="auto"/>
                                        <w:bottom w:val="none" w:sz="0" w:space="0" w:color="auto"/>
                                        <w:right w:val="none" w:sz="0" w:space="0" w:color="auto"/>
                                      </w:divBdr>
                                    </w:div>
                                    <w:div w:id="11273374">
                                      <w:marLeft w:val="0"/>
                                      <w:marRight w:val="0"/>
                                      <w:marTop w:val="0"/>
                                      <w:marBottom w:val="0"/>
                                      <w:divBdr>
                                        <w:top w:val="none" w:sz="0" w:space="0" w:color="auto"/>
                                        <w:left w:val="none" w:sz="0" w:space="0" w:color="auto"/>
                                        <w:bottom w:val="none" w:sz="0" w:space="0" w:color="auto"/>
                                        <w:right w:val="none" w:sz="0" w:space="0" w:color="auto"/>
                                      </w:divBdr>
                                      <w:divsChild>
                                        <w:div w:id="1638216037">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761683595">
                                  <w:marLeft w:val="0"/>
                                  <w:marRight w:val="0"/>
                                  <w:marTop w:val="0"/>
                                  <w:marBottom w:val="0"/>
                                  <w:divBdr>
                                    <w:top w:val="none" w:sz="0" w:space="0" w:color="auto"/>
                                    <w:left w:val="none" w:sz="0" w:space="0" w:color="auto"/>
                                    <w:bottom w:val="none" w:sz="0" w:space="0" w:color="auto"/>
                                    <w:right w:val="none" w:sz="0" w:space="0" w:color="auto"/>
                                  </w:divBdr>
                                  <w:divsChild>
                                    <w:div w:id="1347320346">
                                      <w:marLeft w:val="0"/>
                                      <w:marRight w:val="0"/>
                                      <w:marTop w:val="0"/>
                                      <w:marBottom w:val="0"/>
                                      <w:divBdr>
                                        <w:top w:val="none" w:sz="0" w:space="0" w:color="auto"/>
                                        <w:left w:val="none" w:sz="0" w:space="0" w:color="auto"/>
                                        <w:bottom w:val="none" w:sz="0" w:space="0" w:color="auto"/>
                                        <w:right w:val="none" w:sz="0" w:space="0" w:color="auto"/>
                                      </w:divBdr>
                                    </w:div>
                                  </w:divsChild>
                                </w:div>
                                <w:div w:id="209390879">
                                  <w:marLeft w:val="0"/>
                                  <w:marRight w:val="0"/>
                                  <w:marTop w:val="0"/>
                                  <w:marBottom w:val="0"/>
                                  <w:divBdr>
                                    <w:top w:val="none" w:sz="0" w:space="0" w:color="auto"/>
                                    <w:left w:val="none" w:sz="0" w:space="0" w:color="auto"/>
                                    <w:bottom w:val="none" w:sz="0" w:space="0" w:color="auto"/>
                                    <w:right w:val="none" w:sz="0" w:space="0" w:color="auto"/>
                                  </w:divBdr>
                                  <w:divsChild>
                                    <w:div w:id="2136211513">
                                      <w:marLeft w:val="0"/>
                                      <w:marRight w:val="0"/>
                                      <w:marTop w:val="0"/>
                                      <w:marBottom w:val="0"/>
                                      <w:divBdr>
                                        <w:top w:val="none" w:sz="0" w:space="0" w:color="auto"/>
                                        <w:left w:val="none" w:sz="0" w:space="0" w:color="auto"/>
                                        <w:bottom w:val="none" w:sz="0" w:space="0" w:color="auto"/>
                                        <w:right w:val="none" w:sz="0" w:space="0" w:color="auto"/>
                                      </w:divBdr>
                                    </w:div>
                                  </w:divsChild>
                                </w:div>
                                <w:div w:id="2126995422">
                                  <w:marLeft w:val="0"/>
                                  <w:marRight w:val="0"/>
                                  <w:marTop w:val="0"/>
                                  <w:marBottom w:val="0"/>
                                  <w:divBdr>
                                    <w:top w:val="none" w:sz="0" w:space="0" w:color="auto"/>
                                    <w:left w:val="none" w:sz="0" w:space="0" w:color="auto"/>
                                    <w:bottom w:val="none" w:sz="0" w:space="0" w:color="auto"/>
                                    <w:right w:val="none" w:sz="0" w:space="0" w:color="auto"/>
                                  </w:divBdr>
                                  <w:divsChild>
                                    <w:div w:id="15568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4559">
      <w:bodyDiv w:val="1"/>
      <w:marLeft w:val="0"/>
      <w:marRight w:val="0"/>
      <w:marTop w:val="0"/>
      <w:marBottom w:val="0"/>
      <w:divBdr>
        <w:top w:val="none" w:sz="0" w:space="0" w:color="auto"/>
        <w:left w:val="none" w:sz="0" w:space="0" w:color="auto"/>
        <w:bottom w:val="none" w:sz="0" w:space="0" w:color="auto"/>
        <w:right w:val="none" w:sz="0" w:space="0" w:color="auto"/>
      </w:divBdr>
    </w:div>
    <w:div w:id="715086080">
      <w:bodyDiv w:val="1"/>
      <w:marLeft w:val="0"/>
      <w:marRight w:val="0"/>
      <w:marTop w:val="0"/>
      <w:marBottom w:val="0"/>
      <w:divBdr>
        <w:top w:val="none" w:sz="0" w:space="0" w:color="auto"/>
        <w:left w:val="none" w:sz="0" w:space="0" w:color="auto"/>
        <w:bottom w:val="none" w:sz="0" w:space="0" w:color="auto"/>
        <w:right w:val="none" w:sz="0" w:space="0" w:color="auto"/>
      </w:divBdr>
    </w:div>
    <w:div w:id="748622820">
      <w:bodyDiv w:val="1"/>
      <w:marLeft w:val="0"/>
      <w:marRight w:val="0"/>
      <w:marTop w:val="0"/>
      <w:marBottom w:val="0"/>
      <w:divBdr>
        <w:top w:val="none" w:sz="0" w:space="0" w:color="auto"/>
        <w:left w:val="none" w:sz="0" w:space="0" w:color="auto"/>
        <w:bottom w:val="none" w:sz="0" w:space="0" w:color="auto"/>
        <w:right w:val="none" w:sz="0" w:space="0" w:color="auto"/>
      </w:divBdr>
    </w:div>
    <w:div w:id="754977901">
      <w:bodyDiv w:val="1"/>
      <w:marLeft w:val="0"/>
      <w:marRight w:val="0"/>
      <w:marTop w:val="0"/>
      <w:marBottom w:val="0"/>
      <w:divBdr>
        <w:top w:val="none" w:sz="0" w:space="0" w:color="auto"/>
        <w:left w:val="none" w:sz="0" w:space="0" w:color="auto"/>
        <w:bottom w:val="none" w:sz="0" w:space="0" w:color="auto"/>
        <w:right w:val="none" w:sz="0" w:space="0" w:color="auto"/>
      </w:divBdr>
    </w:div>
    <w:div w:id="783958270">
      <w:bodyDiv w:val="1"/>
      <w:marLeft w:val="0"/>
      <w:marRight w:val="0"/>
      <w:marTop w:val="0"/>
      <w:marBottom w:val="0"/>
      <w:divBdr>
        <w:top w:val="none" w:sz="0" w:space="0" w:color="auto"/>
        <w:left w:val="none" w:sz="0" w:space="0" w:color="auto"/>
        <w:bottom w:val="none" w:sz="0" w:space="0" w:color="auto"/>
        <w:right w:val="none" w:sz="0" w:space="0" w:color="auto"/>
      </w:divBdr>
    </w:div>
    <w:div w:id="791821938">
      <w:bodyDiv w:val="1"/>
      <w:marLeft w:val="0"/>
      <w:marRight w:val="0"/>
      <w:marTop w:val="0"/>
      <w:marBottom w:val="0"/>
      <w:divBdr>
        <w:top w:val="none" w:sz="0" w:space="0" w:color="auto"/>
        <w:left w:val="none" w:sz="0" w:space="0" w:color="auto"/>
        <w:bottom w:val="none" w:sz="0" w:space="0" w:color="auto"/>
        <w:right w:val="none" w:sz="0" w:space="0" w:color="auto"/>
      </w:divBdr>
    </w:div>
    <w:div w:id="807819072">
      <w:bodyDiv w:val="1"/>
      <w:marLeft w:val="0"/>
      <w:marRight w:val="0"/>
      <w:marTop w:val="0"/>
      <w:marBottom w:val="0"/>
      <w:divBdr>
        <w:top w:val="none" w:sz="0" w:space="0" w:color="auto"/>
        <w:left w:val="none" w:sz="0" w:space="0" w:color="auto"/>
        <w:bottom w:val="none" w:sz="0" w:space="0" w:color="auto"/>
        <w:right w:val="none" w:sz="0" w:space="0" w:color="auto"/>
      </w:divBdr>
    </w:div>
    <w:div w:id="844590644">
      <w:bodyDiv w:val="1"/>
      <w:marLeft w:val="0"/>
      <w:marRight w:val="0"/>
      <w:marTop w:val="0"/>
      <w:marBottom w:val="0"/>
      <w:divBdr>
        <w:top w:val="none" w:sz="0" w:space="0" w:color="auto"/>
        <w:left w:val="none" w:sz="0" w:space="0" w:color="auto"/>
        <w:bottom w:val="none" w:sz="0" w:space="0" w:color="auto"/>
        <w:right w:val="none" w:sz="0" w:space="0" w:color="auto"/>
      </w:divBdr>
      <w:divsChild>
        <w:div w:id="1315913907">
          <w:marLeft w:val="0"/>
          <w:marRight w:val="0"/>
          <w:marTop w:val="0"/>
          <w:marBottom w:val="0"/>
          <w:divBdr>
            <w:top w:val="none" w:sz="0" w:space="0" w:color="auto"/>
            <w:left w:val="none" w:sz="0" w:space="0" w:color="auto"/>
            <w:bottom w:val="none" w:sz="0" w:space="0" w:color="auto"/>
            <w:right w:val="none" w:sz="0" w:space="0" w:color="auto"/>
          </w:divBdr>
          <w:divsChild>
            <w:div w:id="1912344025">
              <w:marLeft w:val="0"/>
              <w:marRight w:val="0"/>
              <w:marTop w:val="0"/>
              <w:marBottom w:val="0"/>
              <w:divBdr>
                <w:top w:val="none" w:sz="0" w:space="0" w:color="auto"/>
                <w:left w:val="none" w:sz="0" w:space="0" w:color="auto"/>
                <w:bottom w:val="none" w:sz="0" w:space="0" w:color="auto"/>
                <w:right w:val="none" w:sz="0" w:space="0" w:color="auto"/>
              </w:divBdr>
              <w:divsChild>
                <w:div w:id="1124353385">
                  <w:marLeft w:val="0"/>
                  <w:marRight w:val="0"/>
                  <w:marTop w:val="0"/>
                  <w:marBottom w:val="0"/>
                  <w:divBdr>
                    <w:top w:val="none" w:sz="0" w:space="0" w:color="auto"/>
                    <w:left w:val="none" w:sz="0" w:space="0" w:color="auto"/>
                    <w:bottom w:val="none" w:sz="0" w:space="0" w:color="auto"/>
                    <w:right w:val="none" w:sz="0" w:space="0" w:color="auto"/>
                  </w:divBdr>
                  <w:divsChild>
                    <w:div w:id="369964174">
                      <w:marLeft w:val="0"/>
                      <w:marRight w:val="0"/>
                      <w:marTop w:val="0"/>
                      <w:marBottom w:val="0"/>
                      <w:divBdr>
                        <w:top w:val="none" w:sz="0" w:space="0" w:color="auto"/>
                        <w:left w:val="none" w:sz="0" w:space="0" w:color="auto"/>
                        <w:bottom w:val="none" w:sz="0" w:space="0" w:color="auto"/>
                        <w:right w:val="none" w:sz="0" w:space="0" w:color="auto"/>
                      </w:divBdr>
                      <w:divsChild>
                        <w:div w:id="851795254">
                          <w:marLeft w:val="0"/>
                          <w:marRight w:val="0"/>
                          <w:marTop w:val="0"/>
                          <w:marBottom w:val="0"/>
                          <w:divBdr>
                            <w:top w:val="none" w:sz="0" w:space="0" w:color="auto"/>
                            <w:left w:val="none" w:sz="0" w:space="0" w:color="auto"/>
                            <w:bottom w:val="none" w:sz="0" w:space="0" w:color="auto"/>
                            <w:right w:val="none" w:sz="0" w:space="0" w:color="auto"/>
                          </w:divBdr>
                          <w:divsChild>
                            <w:div w:id="2017462797">
                              <w:marLeft w:val="0"/>
                              <w:marRight w:val="0"/>
                              <w:marTop w:val="0"/>
                              <w:marBottom w:val="0"/>
                              <w:divBdr>
                                <w:top w:val="none" w:sz="0" w:space="0" w:color="auto"/>
                                <w:left w:val="none" w:sz="0" w:space="0" w:color="auto"/>
                                <w:bottom w:val="none" w:sz="0" w:space="0" w:color="auto"/>
                                <w:right w:val="none" w:sz="0" w:space="0" w:color="auto"/>
                              </w:divBdr>
                              <w:divsChild>
                                <w:div w:id="1568951337">
                                  <w:marLeft w:val="0"/>
                                  <w:marRight w:val="0"/>
                                  <w:marTop w:val="0"/>
                                  <w:marBottom w:val="0"/>
                                  <w:divBdr>
                                    <w:top w:val="none" w:sz="0" w:space="0" w:color="auto"/>
                                    <w:left w:val="none" w:sz="0" w:space="0" w:color="auto"/>
                                    <w:bottom w:val="none" w:sz="0" w:space="0" w:color="auto"/>
                                    <w:right w:val="none" w:sz="0" w:space="0" w:color="auto"/>
                                  </w:divBdr>
                                  <w:divsChild>
                                    <w:div w:id="373584429">
                                      <w:marLeft w:val="0"/>
                                      <w:marRight w:val="0"/>
                                      <w:marTop w:val="0"/>
                                      <w:marBottom w:val="0"/>
                                      <w:divBdr>
                                        <w:top w:val="none" w:sz="0" w:space="0" w:color="auto"/>
                                        <w:left w:val="none" w:sz="0" w:space="0" w:color="auto"/>
                                        <w:bottom w:val="none" w:sz="0" w:space="0" w:color="auto"/>
                                        <w:right w:val="none" w:sz="0" w:space="0" w:color="auto"/>
                                      </w:divBdr>
                                      <w:divsChild>
                                        <w:div w:id="601962667">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2073695915">
                                  <w:marLeft w:val="0"/>
                                  <w:marRight w:val="0"/>
                                  <w:marTop w:val="0"/>
                                  <w:marBottom w:val="0"/>
                                  <w:divBdr>
                                    <w:top w:val="none" w:sz="0" w:space="0" w:color="auto"/>
                                    <w:left w:val="none" w:sz="0" w:space="0" w:color="auto"/>
                                    <w:bottom w:val="none" w:sz="0" w:space="0" w:color="auto"/>
                                    <w:right w:val="none" w:sz="0" w:space="0" w:color="auto"/>
                                  </w:divBdr>
                                  <w:divsChild>
                                    <w:div w:id="1405491118">
                                      <w:marLeft w:val="0"/>
                                      <w:marRight w:val="0"/>
                                      <w:marTop w:val="0"/>
                                      <w:marBottom w:val="0"/>
                                      <w:divBdr>
                                        <w:top w:val="none" w:sz="0" w:space="0" w:color="auto"/>
                                        <w:left w:val="none" w:sz="0" w:space="0" w:color="auto"/>
                                        <w:bottom w:val="none" w:sz="0" w:space="0" w:color="auto"/>
                                        <w:right w:val="none" w:sz="0" w:space="0" w:color="auto"/>
                                      </w:divBdr>
                                    </w:div>
                                  </w:divsChild>
                                </w:div>
                                <w:div w:id="2083989624">
                                  <w:marLeft w:val="0"/>
                                  <w:marRight w:val="0"/>
                                  <w:marTop w:val="0"/>
                                  <w:marBottom w:val="0"/>
                                  <w:divBdr>
                                    <w:top w:val="none" w:sz="0" w:space="0" w:color="auto"/>
                                    <w:left w:val="none" w:sz="0" w:space="0" w:color="auto"/>
                                    <w:bottom w:val="none" w:sz="0" w:space="0" w:color="auto"/>
                                    <w:right w:val="none" w:sz="0" w:space="0" w:color="auto"/>
                                  </w:divBdr>
                                  <w:divsChild>
                                    <w:div w:id="794257949">
                                      <w:marLeft w:val="0"/>
                                      <w:marRight w:val="0"/>
                                      <w:marTop w:val="0"/>
                                      <w:marBottom w:val="0"/>
                                      <w:divBdr>
                                        <w:top w:val="none" w:sz="0" w:space="0" w:color="auto"/>
                                        <w:left w:val="none" w:sz="0" w:space="0" w:color="auto"/>
                                        <w:bottom w:val="none" w:sz="0" w:space="0" w:color="auto"/>
                                        <w:right w:val="none" w:sz="0" w:space="0" w:color="auto"/>
                                      </w:divBdr>
                                    </w:div>
                                  </w:divsChild>
                                </w:div>
                                <w:div w:id="2072729332">
                                  <w:marLeft w:val="0"/>
                                  <w:marRight w:val="0"/>
                                  <w:marTop w:val="0"/>
                                  <w:marBottom w:val="0"/>
                                  <w:divBdr>
                                    <w:top w:val="none" w:sz="0" w:space="0" w:color="auto"/>
                                    <w:left w:val="none" w:sz="0" w:space="0" w:color="auto"/>
                                    <w:bottom w:val="none" w:sz="0" w:space="0" w:color="auto"/>
                                    <w:right w:val="none" w:sz="0" w:space="0" w:color="auto"/>
                                  </w:divBdr>
                                  <w:divsChild>
                                    <w:div w:id="3949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839681">
      <w:bodyDiv w:val="1"/>
      <w:marLeft w:val="0"/>
      <w:marRight w:val="0"/>
      <w:marTop w:val="0"/>
      <w:marBottom w:val="0"/>
      <w:divBdr>
        <w:top w:val="none" w:sz="0" w:space="0" w:color="auto"/>
        <w:left w:val="none" w:sz="0" w:space="0" w:color="auto"/>
        <w:bottom w:val="none" w:sz="0" w:space="0" w:color="auto"/>
        <w:right w:val="none" w:sz="0" w:space="0" w:color="auto"/>
      </w:divBdr>
    </w:div>
    <w:div w:id="894511163">
      <w:bodyDiv w:val="1"/>
      <w:marLeft w:val="0"/>
      <w:marRight w:val="0"/>
      <w:marTop w:val="0"/>
      <w:marBottom w:val="0"/>
      <w:divBdr>
        <w:top w:val="none" w:sz="0" w:space="0" w:color="auto"/>
        <w:left w:val="none" w:sz="0" w:space="0" w:color="auto"/>
        <w:bottom w:val="none" w:sz="0" w:space="0" w:color="auto"/>
        <w:right w:val="none" w:sz="0" w:space="0" w:color="auto"/>
      </w:divBdr>
    </w:div>
    <w:div w:id="906690988">
      <w:bodyDiv w:val="1"/>
      <w:marLeft w:val="0"/>
      <w:marRight w:val="0"/>
      <w:marTop w:val="0"/>
      <w:marBottom w:val="0"/>
      <w:divBdr>
        <w:top w:val="none" w:sz="0" w:space="0" w:color="auto"/>
        <w:left w:val="none" w:sz="0" w:space="0" w:color="auto"/>
        <w:bottom w:val="none" w:sz="0" w:space="0" w:color="auto"/>
        <w:right w:val="none" w:sz="0" w:space="0" w:color="auto"/>
      </w:divBdr>
    </w:div>
    <w:div w:id="938294435">
      <w:bodyDiv w:val="1"/>
      <w:marLeft w:val="0"/>
      <w:marRight w:val="0"/>
      <w:marTop w:val="0"/>
      <w:marBottom w:val="0"/>
      <w:divBdr>
        <w:top w:val="none" w:sz="0" w:space="0" w:color="auto"/>
        <w:left w:val="none" w:sz="0" w:space="0" w:color="auto"/>
        <w:bottom w:val="none" w:sz="0" w:space="0" w:color="auto"/>
        <w:right w:val="none" w:sz="0" w:space="0" w:color="auto"/>
      </w:divBdr>
      <w:divsChild>
        <w:div w:id="1250121035">
          <w:marLeft w:val="0"/>
          <w:marRight w:val="0"/>
          <w:marTop w:val="0"/>
          <w:marBottom w:val="0"/>
          <w:divBdr>
            <w:top w:val="none" w:sz="0" w:space="0" w:color="auto"/>
            <w:left w:val="none" w:sz="0" w:space="0" w:color="auto"/>
            <w:bottom w:val="none" w:sz="0" w:space="0" w:color="auto"/>
            <w:right w:val="none" w:sz="0" w:space="0" w:color="auto"/>
          </w:divBdr>
          <w:divsChild>
            <w:div w:id="518272786">
              <w:marLeft w:val="0"/>
              <w:marRight w:val="0"/>
              <w:marTop w:val="0"/>
              <w:marBottom w:val="0"/>
              <w:divBdr>
                <w:top w:val="none" w:sz="0" w:space="0" w:color="auto"/>
                <w:left w:val="none" w:sz="0" w:space="0" w:color="auto"/>
                <w:bottom w:val="none" w:sz="0" w:space="0" w:color="auto"/>
                <w:right w:val="none" w:sz="0" w:space="0" w:color="auto"/>
              </w:divBdr>
              <w:divsChild>
                <w:div w:id="1366251156">
                  <w:marLeft w:val="0"/>
                  <w:marRight w:val="0"/>
                  <w:marTop w:val="0"/>
                  <w:marBottom w:val="0"/>
                  <w:divBdr>
                    <w:top w:val="none" w:sz="0" w:space="0" w:color="auto"/>
                    <w:left w:val="none" w:sz="0" w:space="0" w:color="auto"/>
                    <w:bottom w:val="none" w:sz="0" w:space="0" w:color="auto"/>
                    <w:right w:val="none" w:sz="0" w:space="0" w:color="auto"/>
                  </w:divBdr>
                  <w:divsChild>
                    <w:div w:id="1245263231">
                      <w:marLeft w:val="0"/>
                      <w:marRight w:val="0"/>
                      <w:marTop w:val="0"/>
                      <w:marBottom w:val="0"/>
                      <w:divBdr>
                        <w:top w:val="none" w:sz="0" w:space="0" w:color="auto"/>
                        <w:left w:val="none" w:sz="0" w:space="0" w:color="auto"/>
                        <w:bottom w:val="none" w:sz="0" w:space="0" w:color="auto"/>
                        <w:right w:val="none" w:sz="0" w:space="0" w:color="auto"/>
                      </w:divBdr>
                      <w:divsChild>
                        <w:div w:id="1231235053">
                          <w:marLeft w:val="0"/>
                          <w:marRight w:val="0"/>
                          <w:marTop w:val="0"/>
                          <w:marBottom w:val="0"/>
                          <w:divBdr>
                            <w:top w:val="none" w:sz="0" w:space="0" w:color="auto"/>
                            <w:left w:val="none" w:sz="0" w:space="0" w:color="auto"/>
                            <w:bottom w:val="none" w:sz="0" w:space="0" w:color="auto"/>
                            <w:right w:val="none" w:sz="0" w:space="0" w:color="auto"/>
                          </w:divBdr>
                          <w:divsChild>
                            <w:div w:id="1644113768">
                              <w:marLeft w:val="0"/>
                              <w:marRight w:val="0"/>
                              <w:marTop w:val="0"/>
                              <w:marBottom w:val="0"/>
                              <w:divBdr>
                                <w:top w:val="none" w:sz="0" w:space="0" w:color="auto"/>
                                <w:left w:val="none" w:sz="0" w:space="0" w:color="auto"/>
                                <w:bottom w:val="none" w:sz="0" w:space="0" w:color="auto"/>
                                <w:right w:val="none" w:sz="0" w:space="0" w:color="auto"/>
                              </w:divBdr>
                              <w:divsChild>
                                <w:div w:id="201795361">
                                  <w:marLeft w:val="0"/>
                                  <w:marRight w:val="0"/>
                                  <w:marTop w:val="0"/>
                                  <w:marBottom w:val="0"/>
                                  <w:divBdr>
                                    <w:top w:val="none" w:sz="0" w:space="0" w:color="auto"/>
                                    <w:left w:val="none" w:sz="0" w:space="0" w:color="auto"/>
                                    <w:bottom w:val="none" w:sz="0" w:space="0" w:color="auto"/>
                                    <w:right w:val="none" w:sz="0" w:space="0" w:color="auto"/>
                                  </w:divBdr>
                                  <w:divsChild>
                                    <w:div w:id="916288087">
                                      <w:marLeft w:val="0"/>
                                      <w:marRight w:val="0"/>
                                      <w:marTop w:val="0"/>
                                      <w:marBottom w:val="0"/>
                                      <w:divBdr>
                                        <w:top w:val="none" w:sz="0" w:space="0" w:color="auto"/>
                                        <w:left w:val="none" w:sz="0" w:space="0" w:color="auto"/>
                                        <w:bottom w:val="none" w:sz="0" w:space="0" w:color="auto"/>
                                        <w:right w:val="none" w:sz="0" w:space="0" w:color="auto"/>
                                      </w:divBdr>
                                      <w:divsChild>
                                        <w:div w:id="1855461506">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378165917">
                                  <w:marLeft w:val="0"/>
                                  <w:marRight w:val="0"/>
                                  <w:marTop w:val="0"/>
                                  <w:marBottom w:val="0"/>
                                  <w:divBdr>
                                    <w:top w:val="none" w:sz="0" w:space="0" w:color="auto"/>
                                    <w:left w:val="none" w:sz="0" w:space="0" w:color="auto"/>
                                    <w:bottom w:val="none" w:sz="0" w:space="0" w:color="auto"/>
                                    <w:right w:val="none" w:sz="0" w:space="0" w:color="auto"/>
                                  </w:divBdr>
                                  <w:divsChild>
                                    <w:div w:id="849568080">
                                      <w:marLeft w:val="0"/>
                                      <w:marRight w:val="0"/>
                                      <w:marTop w:val="0"/>
                                      <w:marBottom w:val="0"/>
                                      <w:divBdr>
                                        <w:top w:val="none" w:sz="0" w:space="0" w:color="auto"/>
                                        <w:left w:val="none" w:sz="0" w:space="0" w:color="auto"/>
                                        <w:bottom w:val="none" w:sz="0" w:space="0" w:color="auto"/>
                                        <w:right w:val="none" w:sz="0" w:space="0" w:color="auto"/>
                                      </w:divBdr>
                                    </w:div>
                                  </w:divsChild>
                                </w:div>
                                <w:div w:id="2063944112">
                                  <w:marLeft w:val="0"/>
                                  <w:marRight w:val="0"/>
                                  <w:marTop w:val="0"/>
                                  <w:marBottom w:val="0"/>
                                  <w:divBdr>
                                    <w:top w:val="none" w:sz="0" w:space="0" w:color="auto"/>
                                    <w:left w:val="none" w:sz="0" w:space="0" w:color="auto"/>
                                    <w:bottom w:val="none" w:sz="0" w:space="0" w:color="auto"/>
                                    <w:right w:val="none" w:sz="0" w:space="0" w:color="auto"/>
                                  </w:divBdr>
                                  <w:divsChild>
                                    <w:div w:id="1003507337">
                                      <w:marLeft w:val="0"/>
                                      <w:marRight w:val="0"/>
                                      <w:marTop w:val="0"/>
                                      <w:marBottom w:val="0"/>
                                      <w:divBdr>
                                        <w:top w:val="none" w:sz="0" w:space="0" w:color="auto"/>
                                        <w:left w:val="none" w:sz="0" w:space="0" w:color="auto"/>
                                        <w:bottom w:val="none" w:sz="0" w:space="0" w:color="auto"/>
                                        <w:right w:val="none" w:sz="0" w:space="0" w:color="auto"/>
                                      </w:divBdr>
                                    </w:div>
                                  </w:divsChild>
                                </w:div>
                                <w:div w:id="1031223429">
                                  <w:marLeft w:val="0"/>
                                  <w:marRight w:val="0"/>
                                  <w:marTop w:val="0"/>
                                  <w:marBottom w:val="0"/>
                                  <w:divBdr>
                                    <w:top w:val="none" w:sz="0" w:space="0" w:color="auto"/>
                                    <w:left w:val="none" w:sz="0" w:space="0" w:color="auto"/>
                                    <w:bottom w:val="none" w:sz="0" w:space="0" w:color="auto"/>
                                    <w:right w:val="none" w:sz="0" w:space="0" w:color="auto"/>
                                  </w:divBdr>
                                  <w:divsChild>
                                    <w:div w:id="19098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226461">
      <w:bodyDiv w:val="1"/>
      <w:marLeft w:val="0"/>
      <w:marRight w:val="0"/>
      <w:marTop w:val="0"/>
      <w:marBottom w:val="0"/>
      <w:divBdr>
        <w:top w:val="none" w:sz="0" w:space="0" w:color="auto"/>
        <w:left w:val="none" w:sz="0" w:space="0" w:color="auto"/>
        <w:bottom w:val="none" w:sz="0" w:space="0" w:color="auto"/>
        <w:right w:val="none" w:sz="0" w:space="0" w:color="auto"/>
      </w:divBdr>
    </w:div>
    <w:div w:id="1113010871">
      <w:bodyDiv w:val="1"/>
      <w:marLeft w:val="0"/>
      <w:marRight w:val="0"/>
      <w:marTop w:val="0"/>
      <w:marBottom w:val="0"/>
      <w:divBdr>
        <w:top w:val="none" w:sz="0" w:space="0" w:color="auto"/>
        <w:left w:val="none" w:sz="0" w:space="0" w:color="auto"/>
        <w:bottom w:val="none" w:sz="0" w:space="0" w:color="auto"/>
        <w:right w:val="none" w:sz="0" w:space="0" w:color="auto"/>
      </w:divBdr>
    </w:div>
    <w:div w:id="1127234121">
      <w:bodyDiv w:val="1"/>
      <w:marLeft w:val="0"/>
      <w:marRight w:val="0"/>
      <w:marTop w:val="0"/>
      <w:marBottom w:val="0"/>
      <w:divBdr>
        <w:top w:val="none" w:sz="0" w:space="0" w:color="auto"/>
        <w:left w:val="none" w:sz="0" w:space="0" w:color="auto"/>
        <w:bottom w:val="none" w:sz="0" w:space="0" w:color="auto"/>
        <w:right w:val="none" w:sz="0" w:space="0" w:color="auto"/>
      </w:divBdr>
    </w:div>
    <w:div w:id="1153763707">
      <w:bodyDiv w:val="1"/>
      <w:marLeft w:val="0"/>
      <w:marRight w:val="0"/>
      <w:marTop w:val="0"/>
      <w:marBottom w:val="0"/>
      <w:divBdr>
        <w:top w:val="none" w:sz="0" w:space="0" w:color="auto"/>
        <w:left w:val="none" w:sz="0" w:space="0" w:color="auto"/>
        <w:bottom w:val="none" w:sz="0" w:space="0" w:color="auto"/>
        <w:right w:val="none" w:sz="0" w:space="0" w:color="auto"/>
      </w:divBdr>
    </w:div>
    <w:div w:id="1162425252">
      <w:bodyDiv w:val="1"/>
      <w:marLeft w:val="0"/>
      <w:marRight w:val="0"/>
      <w:marTop w:val="0"/>
      <w:marBottom w:val="0"/>
      <w:divBdr>
        <w:top w:val="none" w:sz="0" w:space="0" w:color="auto"/>
        <w:left w:val="none" w:sz="0" w:space="0" w:color="auto"/>
        <w:bottom w:val="none" w:sz="0" w:space="0" w:color="auto"/>
        <w:right w:val="none" w:sz="0" w:space="0" w:color="auto"/>
      </w:divBdr>
    </w:div>
    <w:div w:id="1180047812">
      <w:bodyDiv w:val="1"/>
      <w:marLeft w:val="0"/>
      <w:marRight w:val="0"/>
      <w:marTop w:val="0"/>
      <w:marBottom w:val="0"/>
      <w:divBdr>
        <w:top w:val="none" w:sz="0" w:space="0" w:color="auto"/>
        <w:left w:val="none" w:sz="0" w:space="0" w:color="auto"/>
        <w:bottom w:val="none" w:sz="0" w:space="0" w:color="auto"/>
        <w:right w:val="none" w:sz="0" w:space="0" w:color="auto"/>
      </w:divBdr>
      <w:divsChild>
        <w:div w:id="1063723649">
          <w:marLeft w:val="0"/>
          <w:marRight w:val="0"/>
          <w:marTop w:val="0"/>
          <w:marBottom w:val="0"/>
          <w:divBdr>
            <w:top w:val="none" w:sz="0" w:space="0" w:color="auto"/>
            <w:left w:val="none" w:sz="0" w:space="0" w:color="auto"/>
            <w:bottom w:val="none" w:sz="0" w:space="0" w:color="auto"/>
            <w:right w:val="none" w:sz="0" w:space="0" w:color="auto"/>
          </w:divBdr>
          <w:divsChild>
            <w:div w:id="1673486906">
              <w:marLeft w:val="0"/>
              <w:marRight w:val="0"/>
              <w:marTop w:val="0"/>
              <w:marBottom w:val="0"/>
              <w:divBdr>
                <w:top w:val="none" w:sz="0" w:space="0" w:color="auto"/>
                <w:left w:val="none" w:sz="0" w:space="0" w:color="auto"/>
                <w:bottom w:val="none" w:sz="0" w:space="0" w:color="auto"/>
                <w:right w:val="none" w:sz="0" w:space="0" w:color="auto"/>
              </w:divBdr>
              <w:divsChild>
                <w:div w:id="2077127123">
                  <w:marLeft w:val="0"/>
                  <w:marRight w:val="0"/>
                  <w:marTop w:val="0"/>
                  <w:marBottom w:val="0"/>
                  <w:divBdr>
                    <w:top w:val="none" w:sz="0" w:space="0" w:color="auto"/>
                    <w:left w:val="none" w:sz="0" w:space="0" w:color="auto"/>
                    <w:bottom w:val="none" w:sz="0" w:space="0" w:color="auto"/>
                    <w:right w:val="none" w:sz="0" w:space="0" w:color="auto"/>
                  </w:divBdr>
                  <w:divsChild>
                    <w:div w:id="813257694">
                      <w:marLeft w:val="0"/>
                      <w:marRight w:val="0"/>
                      <w:marTop w:val="0"/>
                      <w:marBottom w:val="0"/>
                      <w:divBdr>
                        <w:top w:val="none" w:sz="0" w:space="0" w:color="auto"/>
                        <w:left w:val="none" w:sz="0" w:space="0" w:color="auto"/>
                        <w:bottom w:val="none" w:sz="0" w:space="0" w:color="auto"/>
                        <w:right w:val="none" w:sz="0" w:space="0" w:color="auto"/>
                      </w:divBdr>
                      <w:divsChild>
                        <w:div w:id="1643079221">
                          <w:marLeft w:val="0"/>
                          <w:marRight w:val="0"/>
                          <w:marTop w:val="0"/>
                          <w:marBottom w:val="0"/>
                          <w:divBdr>
                            <w:top w:val="none" w:sz="0" w:space="0" w:color="auto"/>
                            <w:left w:val="none" w:sz="0" w:space="0" w:color="auto"/>
                            <w:bottom w:val="none" w:sz="0" w:space="0" w:color="auto"/>
                            <w:right w:val="none" w:sz="0" w:space="0" w:color="auto"/>
                          </w:divBdr>
                          <w:divsChild>
                            <w:div w:id="463541068">
                              <w:marLeft w:val="0"/>
                              <w:marRight w:val="0"/>
                              <w:marTop w:val="0"/>
                              <w:marBottom w:val="0"/>
                              <w:divBdr>
                                <w:top w:val="none" w:sz="0" w:space="0" w:color="auto"/>
                                <w:left w:val="none" w:sz="0" w:space="0" w:color="auto"/>
                                <w:bottom w:val="none" w:sz="0" w:space="0" w:color="auto"/>
                                <w:right w:val="none" w:sz="0" w:space="0" w:color="auto"/>
                              </w:divBdr>
                              <w:divsChild>
                                <w:div w:id="2065986507">
                                  <w:marLeft w:val="0"/>
                                  <w:marRight w:val="0"/>
                                  <w:marTop w:val="0"/>
                                  <w:marBottom w:val="0"/>
                                  <w:divBdr>
                                    <w:top w:val="none" w:sz="0" w:space="0" w:color="auto"/>
                                    <w:left w:val="none" w:sz="0" w:space="0" w:color="auto"/>
                                    <w:bottom w:val="none" w:sz="0" w:space="0" w:color="auto"/>
                                    <w:right w:val="none" w:sz="0" w:space="0" w:color="auto"/>
                                  </w:divBdr>
                                  <w:divsChild>
                                    <w:div w:id="1821311429">
                                      <w:marLeft w:val="0"/>
                                      <w:marRight w:val="0"/>
                                      <w:marTop w:val="0"/>
                                      <w:marBottom w:val="0"/>
                                      <w:divBdr>
                                        <w:top w:val="none" w:sz="0" w:space="0" w:color="auto"/>
                                        <w:left w:val="none" w:sz="0" w:space="0" w:color="auto"/>
                                        <w:bottom w:val="none" w:sz="0" w:space="0" w:color="auto"/>
                                        <w:right w:val="none" w:sz="0" w:space="0" w:color="auto"/>
                                      </w:divBdr>
                                      <w:divsChild>
                                        <w:div w:id="1958952910">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941838657">
                                  <w:marLeft w:val="0"/>
                                  <w:marRight w:val="0"/>
                                  <w:marTop w:val="0"/>
                                  <w:marBottom w:val="0"/>
                                  <w:divBdr>
                                    <w:top w:val="none" w:sz="0" w:space="0" w:color="auto"/>
                                    <w:left w:val="none" w:sz="0" w:space="0" w:color="auto"/>
                                    <w:bottom w:val="none" w:sz="0" w:space="0" w:color="auto"/>
                                    <w:right w:val="none" w:sz="0" w:space="0" w:color="auto"/>
                                  </w:divBdr>
                                  <w:divsChild>
                                    <w:div w:id="1501264834">
                                      <w:marLeft w:val="0"/>
                                      <w:marRight w:val="0"/>
                                      <w:marTop w:val="0"/>
                                      <w:marBottom w:val="0"/>
                                      <w:divBdr>
                                        <w:top w:val="none" w:sz="0" w:space="0" w:color="auto"/>
                                        <w:left w:val="none" w:sz="0" w:space="0" w:color="auto"/>
                                        <w:bottom w:val="none" w:sz="0" w:space="0" w:color="auto"/>
                                        <w:right w:val="none" w:sz="0" w:space="0" w:color="auto"/>
                                      </w:divBdr>
                                    </w:div>
                                  </w:divsChild>
                                </w:div>
                                <w:div w:id="1946769601">
                                  <w:marLeft w:val="0"/>
                                  <w:marRight w:val="0"/>
                                  <w:marTop w:val="0"/>
                                  <w:marBottom w:val="0"/>
                                  <w:divBdr>
                                    <w:top w:val="none" w:sz="0" w:space="0" w:color="auto"/>
                                    <w:left w:val="none" w:sz="0" w:space="0" w:color="auto"/>
                                    <w:bottom w:val="none" w:sz="0" w:space="0" w:color="auto"/>
                                    <w:right w:val="none" w:sz="0" w:space="0" w:color="auto"/>
                                  </w:divBdr>
                                  <w:divsChild>
                                    <w:div w:id="672026376">
                                      <w:marLeft w:val="0"/>
                                      <w:marRight w:val="0"/>
                                      <w:marTop w:val="0"/>
                                      <w:marBottom w:val="0"/>
                                      <w:divBdr>
                                        <w:top w:val="none" w:sz="0" w:space="0" w:color="auto"/>
                                        <w:left w:val="none" w:sz="0" w:space="0" w:color="auto"/>
                                        <w:bottom w:val="none" w:sz="0" w:space="0" w:color="auto"/>
                                        <w:right w:val="none" w:sz="0" w:space="0" w:color="auto"/>
                                      </w:divBdr>
                                    </w:div>
                                  </w:divsChild>
                                </w:div>
                                <w:div w:id="280691318">
                                  <w:marLeft w:val="0"/>
                                  <w:marRight w:val="0"/>
                                  <w:marTop w:val="0"/>
                                  <w:marBottom w:val="0"/>
                                  <w:divBdr>
                                    <w:top w:val="none" w:sz="0" w:space="0" w:color="auto"/>
                                    <w:left w:val="none" w:sz="0" w:space="0" w:color="auto"/>
                                    <w:bottom w:val="none" w:sz="0" w:space="0" w:color="auto"/>
                                    <w:right w:val="none" w:sz="0" w:space="0" w:color="auto"/>
                                  </w:divBdr>
                                  <w:divsChild>
                                    <w:div w:id="344089417">
                                      <w:marLeft w:val="0"/>
                                      <w:marRight w:val="0"/>
                                      <w:marTop w:val="0"/>
                                      <w:marBottom w:val="0"/>
                                      <w:divBdr>
                                        <w:top w:val="none" w:sz="0" w:space="0" w:color="auto"/>
                                        <w:left w:val="none" w:sz="0" w:space="0" w:color="auto"/>
                                        <w:bottom w:val="none" w:sz="0" w:space="0" w:color="auto"/>
                                        <w:right w:val="none" w:sz="0" w:space="0" w:color="auto"/>
                                      </w:divBdr>
                                    </w:div>
                                  </w:divsChild>
                                </w:div>
                                <w:div w:id="8335606">
                                  <w:marLeft w:val="0"/>
                                  <w:marRight w:val="0"/>
                                  <w:marTop w:val="0"/>
                                  <w:marBottom w:val="0"/>
                                  <w:divBdr>
                                    <w:top w:val="none" w:sz="0" w:space="0" w:color="auto"/>
                                    <w:left w:val="none" w:sz="0" w:space="0" w:color="auto"/>
                                    <w:bottom w:val="none" w:sz="0" w:space="0" w:color="auto"/>
                                    <w:right w:val="none" w:sz="0" w:space="0" w:color="auto"/>
                                  </w:divBdr>
                                  <w:divsChild>
                                    <w:div w:id="2112504156">
                                      <w:marLeft w:val="0"/>
                                      <w:marRight w:val="0"/>
                                      <w:marTop w:val="0"/>
                                      <w:marBottom w:val="0"/>
                                      <w:divBdr>
                                        <w:top w:val="none" w:sz="0" w:space="0" w:color="auto"/>
                                        <w:left w:val="none" w:sz="0" w:space="0" w:color="auto"/>
                                        <w:bottom w:val="none" w:sz="0" w:space="0" w:color="auto"/>
                                        <w:right w:val="none" w:sz="0" w:space="0" w:color="auto"/>
                                      </w:divBdr>
                                    </w:div>
                                  </w:divsChild>
                                </w:div>
                                <w:div w:id="1203320994">
                                  <w:marLeft w:val="0"/>
                                  <w:marRight w:val="0"/>
                                  <w:marTop w:val="0"/>
                                  <w:marBottom w:val="0"/>
                                  <w:divBdr>
                                    <w:top w:val="none" w:sz="0" w:space="0" w:color="auto"/>
                                    <w:left w:val="none" w:sz="0" w:space="0" w:color="auto"/>
                                    <w:bottom w:val="none" w:sz="0" w:space="0" w:color="auto"/>
                                    <w:right w:val="none" w:sz="0" w:space="0" w:color="auto"/>
                                  </w:divBdr>
                                  <w:divsChild>
                                    <w:div w:id="1907496536">
                                      <w:marLeft w:val="0"/>
                                      <w:marRight w:val="0"/>
                                      <w:marTop w:val="0"/>
                                      <w:marBottom w:val="0"/>
                                      <w:divBdr>
                                        <w:top w:val="none" w:sz="0" w:space="0" w:color="auto"/>
                                        <w:left w:val="none" w:sz="0" w:space="0" w:color="auto"/>
                                        <w:bottom w:val="none" w:sz="0" w:space="0" w:color="auto"/>
                                        <w:right w:val="none" w:sz="0" w:space="0" w:color="auto"/>
                                      </w:divBdr>
                                    </w:div>
                                  </w:divsChild>
                                </w:div>
                                <w:div w:id="789399560">
                                  <w:marLeft w:val="0"/>
                                  <w:marRight w:val="0"/>
                                  <w:marTop w:val="0"/>
                                  <w:marBottom w:val="0"/>
                                  <w:divBdr>
                                    <w:top w:val="none" w:sz="0" w:space="0" w:color="auto"/>
                                    <w:left w:val="none" w:sz="0" w:space="0" w:color="auto"/>
                                    <w:bottom w:val="none" w:sz="0" w:space="0" w:color="auto"/>
                                    <w:right w:val="none" w:sz="0" w:space="0" w:color="auto"/>
                                  </w:divBdr>
                                  <w:divsChild>
                                    <w:div w:id="1133333595">
                                      <w:marLeft w:val="0"/>
                                      <w:marRight w:val="0"/>
                                      <w:marTop w:val="0"/>
                                      <w:marBottom w:val="0"/>
                                      <w:divBdr>
                                        <w:top w:val="none" w:sz="0" w:space="0" w:color="auto"/>
                                        <w:left w:val="none" w:sz="0" w:space="0" w:color="auto"/>
                                        <w:bottom w:val="none" w:sz="0" w:space="0" w:color="auto"/>
                                        <w:right w:val="none" w:sz="0" w:space="0" w:color="auto"/>
                                      </w:divBdr>
                                    </w:div>
                                    <w:div w:id="1703483415">
                                      <w:marLeft w:val="0"/>
                                      <w:marRight w:val="0"/>
                                      <w:marTop w:val="0"/>
                                      <w:marBottom w:val="0"/>
                                      <w:divBdr>
                                        <w:top w:val="none" w:sz="0" w:space="0" w:color="auto"/>
                                        <w:left w:val="none" w:sz="0" w:space="0" w:color="auto"/>
                                        <w:bottom w:val="none" w:sz="0" w:space="0" w:color="auto"/>
                                        <w:right w:val="none" w:sz="0" w:space="0" w:color="auto"/>
                                      </w:divBdr>
                                      <w:divsChild>
                                        <w:div w:id="1728141821">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275797513">
                                  <w:marLeft w:val="0"/>
                                  <w:marRight w:val="0"/>
                                  <w:marTop w:val="0"/>
                                  <w:marBottom w:val="0"/>
                                  <w:divBdr>
                                    <w:top w:val="none" w:sz="0" w:space="0" w:color="auto"/>
                                    <w:left w:val="none" w:sz="0" w:space="0" w:color="auto"/>
                                    <w:bottom w:val="none" w:sz="0" w:space="0" w:color="auto"/>
                                    <w:right w:val="none" w:sz="0" w:space="0" w:color="auto"/>
                                  </w:divBdr>
                                  <w:divsChild>
                                    <w:div w:id="132530481">
                                      <w:marLeft w:val="0"/>
                                      <w:marRight w:val="0"/>
                                      <w:marTop w:val="0"/>
                                      <w:marBottom w:val="0"/>
                                      <w:divBdr>
                                        <w:top w:val="none" w:sz="0" w:space="0" w:color="auto"/>
                                        <w:left w:val="none" w:sz="0" w:space="0" w:color="auto"/>
                                        <w:bottom w:val="none" w:sz="0" w:space="0" w:color="auto"/>
                                        <w:right w:val="none" w:sz="0" w:space="0" w:color="auto"/>
                                      </w:divBdr>
                                    </w:div>
                                  </w:divsChild>
                                </w:div>
                                <w:div w:id="265886531">
                                  <w:marLeft w:val="0"/>
                                  <w:marRight w:val="0"/>
                                  <w:marTop w:val="0"/>
                                  <w:marBottom w:val="0"/>
                                  <w:divBdr>
                                    <w:top w:val="none" w:sz="0" w:space="0" w:color="auto"/>
                                    <w:left w:val="none" w:sz="0" w:space="0" w:color="auto"/>
                                    <w:bottom w:val="none" w:sz="0" w:space="0" w:color="auto"/>
                                    <w:right w:val="none" w:sz="0" w:space="0" w:color="auto"/>
                                  </w:divBdr>
                                  <w:divsChild>
                                    <w:div w:id="1114858727">
                                      <w:marLeft w:val="0"/>
                                      <w:marRight w:val="0"/>
                                      <w:marTop w:val="0"/>
                                      <w:marBottom w:val="0"/>
                                      <w:divBdr>
                                        <w:top w:val="none" w:sz="0" w:space="0" w:color="auto"/>
                                        <w:left w:val="none" w:sz="0" w:space="0" w:color="auto"/>
                                        <w:bottom w:val="none" w:sz="0" w:space="0" w:color="auto"/>
                                        <w:right w:val="none" w:sz="0" w:space="0" w:color="auto"/>
                                      </w:divBdr>
                                    </w:div>
                                  </w:divsChild>
                                </w:div>
                                <w:div w:id="218327431">
                                  <w:marLeft w:val="0"/>
                                  <w:marRight w:val="0"/>
                                  <w:marTop w:val="0"/>
                                  <w:marBottom w:val="0"/>
                                  <w:divBdr>
                                    <w:top w:val="none" w:sz="0" w:space="0" w:color="auto"/>
                                    <w:left w:val="none" w:sz="0" w:space="0" w:color="auto"/>
                                    <w:bottom w:val="none" w:sz="0" w:space="0" w:color="auto"/>
                                    <w:right w:val="none" w:sz="0" w:space="0" w:color="auto"/>
                                  </w:divBdr>
                                  <w:divsChild>
                                    <w:div w:id="19058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595">
      <w:bodyDiv w:val="1"/>
      <w:marLeft w:val="0"/>
      <w:marRight w:val="0"/>
      <w:marTop w:val="0"/>
      <w:marBottom w:val="0"/>
      <w:divBdr>
        <w:top w:val="none" w:sz="0" w:space="0" w:color="auto"/>
        <w:left w:val="none" w:sz="0" w:space="0" w:color="auto"/>
        <w:bottom w:val="none" w:sz="0" w:space="0" w:color="auto"/>
        <w:right w:val="none" w:sz="0" w:space="0" w:color="auto"/>
      </w:divBdr>
    </w:div>
    <w:div w:id="1262879429">
      <w:bodyDiv w:val="1"/>
      <w:marLeft w:val="0"/>
      <w:marRight w:val="0"/>
      <w:marTop w:val="0"/>
      <w:marBottom w:val="0"/>
      <w:divBdr>
        <w:top w:val="none" w:sz="0" w:space="0" w:color="auto"/>
        <w:left w:val="none" w:sz="0" w:space="0" w:color="auto"/>
        <w:bottom w:val="none" w:sz="0" w:space="0" w:color="auto"/>
        <w:right w:val="none" w:sz="0" w:space="0" w:color="auto"/>
      </w:divBdr>
    </w:div>
    <w:div w:id="1301307403">
      <w:bodyDiv w:val="1"/>
      <w:marLeft w:val="0"/>
      <w:marRight w:val="0"/>
      <w:marTop w:val="0"/>
      <w:marBottom w:val="0"/>
      <w:divBdr>
        <w:top w:val="none" w:sz="0" w:space="0" w:color="auto"/>
        <w:left w:val="none" w:sz="0" w:space="0" w:color="auto"/>
        <w:bottom w:val="none" w:sz="0" w:space="0" w:color="auto"/>
        <w:right w:val="none" w:sz="0" w:space="0" w:color="auto"/>
      </w:divBdr>
    </w:div>
    <w:div w:id="1327635323">
      <w:bodyDiv w:val="1"/>
      <w:marLeft w:val="0"/>
      <w:marRight w:val="0"/>
      <w:marTop w:val="0"/>
      <w:marBottom w:val="0"/>
      <w:divBdr>
        <w:top w:val="none" w:sz="0" w:space="0" w:color="auto"/>
        <w:left w:val="none" w:sz="0" w:space="0" w:color="auto"/>
        <w:bottom w:val="none" w:sz="0" w:space="0" w:color="auto"/>
        <w:right w:val="none" w:sz="0" w:space="0" w:color="auto"/>
      </w:divBdr>
    </w:div>
    <w:div w:id="1362198474">
      <w:bodyDiv w:val="1"/>
      <w:marLeft w:val="0"/>
      <w:marRight w:val="0"/>
      <w:marTop w:val="0"/>
      <w:marBottom w:val="0"/>
      <w:divBdr>
        <w:top w:val="none" w:sz="0" w:space="0" w:color="auto"/>
        <w:left w:val="none" w:sz="0" w:space="0" w:color="auto"/>
        <w:bottom w:val="none" w:sz="0" w:space="0" w:color="auto"/>
        <w:right w:val="none" w:sz="0" w:space="0" w:color="auto"/>
      </w:divBdr>
    </w:div>
    <w:div w:id="1386444044">
      <w:bodyDiv w:val="1"/>
      <w:marLeft w:val="0"/>
      <w:marRight w:val="0"/>
      <w:marTop w:val="0"/>
      <w:marBottom w:val="0"/>
      <w:divBdr>
        <w:top w:val="none" w:sz="0" w:space="0" w:color="auto"/>
        <w:left w:val="none" w:sz="0" w:space="0" w:color="auto"/>
        <w:bottom w:val="none" w:sz="0" w:space="0" w:color="auto"/>
        <w:right w:val="none" w:sz="0" w:space="0" w:color="auto"/>
      </w:divBdr>
    </w:div>
    <w:div w:id="1404136789">
      <w:bodyDiv w:val="1"/>
      <w:marLeft w:val="0"/>
      <w:marRight w:val="0"/>
      <w:marTop w:val="0"/>
      <w:marBottom w:val="0"/>
      <w:divBdr>
        <w:top w:val="none" w:sz="0" w:space="0" w:color="auto"/>
        <w:left w:val="none" w:sz="0" w:space="0" w:color="auto"/>
        <w:bottom w:val="none" w:sz="0" w:space="0" w:color="auto"/>
        <w:right w:val="none" w:sz="0" w:space="0" w:color="auto"/>
      </w:divBdr>
    </w:div>
    <w:div w:id="1405908484">
      <w:bodyDiv w:val="1"/>
      <w:marLeft w:val="0"/>
      <w:marRight w:val="0"/>
      <w:marTop w:val="0"/>
      <w:marBottom w:val="0"/>
      <w:divBdr>
        <w:top w:val="none" w:sz="0" w:space="0" w:color="auto"/>
        <w:left w:val="none" w:sz="0" w:space="0" w:color="auto"/>
        <w:bottom w:val="none" w:sz="0" w:space="0" w:color="auto"/>
        <w:right w:val="none" w:sz="0" w:space="0" w:color="auto"/>
      </w:divBdr>
    </w:div>
    <w:div w:id="1496611752">
      <w:bodyDiv w:val="1"/>
      <w:marLeft w:val="0"/>
      <w:marRight w:val="0"/>
      <w:marTop w:val="0"/>
      <w:marBottom w:val="0"/>
      <w:divBdr>
        <w:top w:val="none" w:sz="0" w:space="0" w:color="auto"/>
        <w:left w:val="none" w:sz="0" w:space="0" w:color="auto"/>
        <w:bottom w:val="none" w:sz="0" w:space="0" w:color="auto"/>
        <w:right w:val="none" w:sz="0" w:space="0" w:color="auto"/>
      </w:divBdr>
    </w:div>
    <w:div w:id="1517034007">
      <w:bodyDiv w:val="1"/>
      <w:marLeft w:val="0"/>
      <w:marRight w:val="0"/>
      <w:marTop w:val="0"/>
      <w:marBottom w:val="0"/>
      <w:divBdr>
        <w:top w:val="none" w:sz="0" w:space="0" w:color="auto"/>
        <w:left w:val="none" w:sz="0" w:space="0" w:color="auto"/>
        <w:bottom w:val="none" w:sz="0" w:space="0" w:color="auto"/>
        <w:right w:val="none" w:sz="0" w:space="0" w:color="auto"/>
      </w:divBdr>
    </w:div>
    <w:div w:id="1520853546">
      <w:bodyDiv w:val="1"/>
      <w:marLeft w:val="0"/>
      <w:marRight w:val="0"/>
      <w:marTop w:val="0"/>
      <w:marBottom w:val="0"/>
      <w:divBdr>
        <w:top w:val="none" w:sz="0" w:space="0" w:color="auto"/>
        <w:left w:val="none" w:sz="0" w:space="0" w:color="auto"/>
        <w:bottom w:val="none" w:sz="0" w:space="0" w:color="auto"/>
        <w:right w:val="none" w:sz="0" w:space="0" w:color="auto"/>
      </w:divBdr>
    </w:div>
    <w:div w:id="1558318439">
      <w:bodyDiv w:val="1"/>
      <w:marLeft w:val="0"/>
      <w:marRight w:val="0"/>
      <w:marTop w:val="0"/>
      <w:marBottom w:val="0"/>
      <w:divBdr>
        <w:top w:val="none" w:sz="0" w:space="0" w:color="auto"/>
        <w:left w:val="none" w:sz="0" w:space="0" w:color="auto"/>
        <w:bottom w:val="none" w:sz="0" w:space="0" w:color="auto"/>
        <w:right w:val="none" w:sz="0" w:space="0" w:color="auto"/>
      </w:divBdr>
    </w:div>
    <w:div w:id="1584222603">
      <w:bodyDiv w:val="1"/>
      <w:marLeft w:val="0"/>
      <w:marRight w:val="0"/>
      <w:marTop w:val="0"/>
      <w:marBottom w:val="0"/>
      <w:divBdr>
        <w:top w:val="none" w:sz="0" w:space="0" w:color="auto"/>
        <w:left w:val="none" w:sz="0" w:space="0" w:color="auto"/>
        <w:bottom w:val="none" w:sz="0" w:space="0" w:color="auto"/>
        <w:right w:val="none" w:sz="0" w:space="0" w:color="auto"/>
      </w:divBdr>
    </w:div>
    <w:div w:id="1685549205">
      <w:bodyDiv w:val="1"/>
      <w:marLeft w:val="0"/>
      <w:marRight w:val="0"/>
      <w:marTop w:val="0"/>
      <w:marBottom w:val="0"/>
      <w:divBdr>
        <w:top w:val="none" w:sz="0" w:space="0" w:color="auto"/>
        <w:left w:val="none" w:sz="0" w:space="0" w:color="auto"/>
        <w:bottom w:val="none" w:sz="0" w:space="0" w:color="auto"/>
        <w:right w:val="none" w:sz="0" w:space="0" w:color="auto"/>
      </w:divBdr>
    </w:div>
    <w:div w:id="1744983977">
      <w:bodyDiv w:val="1"/>
      <w:marLeft w:val="0"/>
      <w:marRight w:val="0"/>
      <w:marTop w:val="0"/>
      <w:marBottom w:val="0"/>
      <w:divBdr>
        <w:top w:val="none" w:sz="0" w:space="0" w:color="auto"/>
        <w:left w:val="none" w:sz="0" w:space="0" w:color="auto"/>
        <w:bottom w:val="none" w:sz="0" w:space="0" w:color="auto"/>
        <w:right w:val="none" w:sz="0" w:space="0" w:color="auto"/>
      </w:divBdr>
      <w:divsChild>
        <w:div w:id="1802074897">
          <w:marLeft w:val="0"/>
          <w:marRight w:val="0"/>
          <w:marTop w:val="0"/>
          <w:marBottom w:val="0"/>
          <w:divBdr>
            <w:top w:val="none" w:sz="0" w:space="0" w:color="auto"/>
            <w:left w:val="none" w:sz="0" w:space="0" w:color="auto"/>
            <w:bottom w:val="none" w:sz="0" w:space="0" w:color="auto"/>
            <w:right w:val="none" w:sz="0" w:space="0" w:color="auto"/>
          </w:divBdr>
          <w:divsChild>
            <w:div w:id="641467795">
              <w:marLeft w:val="0"/>
              <w:marRight w:val="0"/>
              <w:marTop w:val="0"/>
              <w:marBottom w:val="0"/>
              <w:divBdr>
                <w:top w:val="none" w:sz="0" w:space="0" w:color="auto"/>
                <w:left w:val="none" w:sz="0" w:space="0" w:color="auto"/>
                <w:bottom w:val="none" w:sz="0" w:space="0" w:color="auto"/>
                <w:right w:val="none" w:sz="0" w:space="0" w:color="auto"/>
              </w:divBdr>
              <w:divsChild>
                <w:div w:id="1089930708">
                  <w:marLeft w:val="0"/>
                  <w:marRight w:val="0"/>
                  <w:marTop w:val="0"/>
                  <w:marBottom w:val="0"/>
                  <w:divBdr>
                    <w:top w:val="none" w:sz="0" w:space="0" w:color="auto"/>
                    <w:left w:val="none" w:sz="0" w:space="0" w:color="auto"/>
                    <w:bottom w:val="none" w:sz="0" w:space="0" w:color="auto"/>
                    <w:right w:val="none" w:sz="0" w:space="0" w:color="auto"/>
                  </w:divBdr>
                  <w:divsChild>
                    <w:div w:id="639963052">
                      <w:marLeft w:val="0"/>
                      <w:marRight w:val="0"/>
                      <w:marTop w:val="0"/>
                      <w:marBottom w:val="0"/>
                      <w:divBdr>
                        <w:top w:val="none" w:sz="0" w:space="0" w:color="auto"/>
                        <w:left w:val="none" w:sz="0" w:space="0" w:color="auto"/>
                        <w:bottom w:val="none" w:sz="0" w:space="0" w:color="auto"/>
                        <w:right w:val="none" w:sz="0" w:space="0" w:color="auto"/>
                      </w:divBdr>
                      <w:divsChild>
                        <w:div w:id="255214361">
                          <w:marLeft w:val="0"/>
                          <w:marRight w:val="0"/>
                          <w:marTop w:val="0"/>
                          <w:marBottom w:val="0"/>
                          <w:divBdr>
                            <w:top w:val="none" w:sz="0" w:space="0" w:color="auto"/>
                            <w:left w:val="none" w:sz="0" w:space="0" w:color="auto"/>
                            <w:bottom w:val="none" w:sz="0" w:space="0" w:color="auto"/>
                            <w:right w:val="none" w:sz="0" w:space="0" w:color="auto"/>
                          </w:divBdr>
                          <w:divsChild>
                            <w:div w:id="219294943">
                              <w:marLeft w:val="0"/>
                              <w:marRight w:val="0"/>
                              <w:marTop w:val="0"/>
                              <w:marBottom w:val="0"/>
                              <w:divBdr>
                                <w:top w:val="none" w:sz="0" w:space="0" w:color="auto"/>
                                <w:left w:val="none" w:sz="0" w:space="0" w:color="auto"/>
                                <w:bottom w:val="none" w:sz="0" w:space="0" w:color="auto"/>
                                <w:right w:val="none" w:sz="0" w:space="0" w:color="auto"/>
                              </w:divBdr>
                              <w:divsChild>
                                <w:div w:id="59526993">
                                  <w:marLeft w:val="0"/>
                                  <w:marRight w:val="0"/>
                                  <w:marTop w:val="0"/>
                                  <w:marBottom w:val="0"/>
                                  <w:divBdr>
                                    <w:top w:val="none" w:sz="0" w:space="0" w:color="auto"/>
                                    <w:left w:val="none" w:sz="0" w:space="0" w:color="auto"/>
                                    <w:bottom w:val="none" w:sz="0" w:space="0" w:color="auto"/>
                                    <w:right w:val="none" w:sz="0" w:space="0" w:color="auto"/>
                                  </w:divBdr>
                                  <w:divsChild>
                                    <w:div w:id="919681885">
                                      <w:marLeft w:val="0"/>
                                      <w:marRight w:val="0"/>
                                      <w:marTop w:val="0"/>
                                      <w:marBottom w:val="0"/>
                                      <w:divBdr>
                                        <w:top w:val="none" w:sz="0" w:space="0" w:color="auto"/>
                                        <w:left w:val="none" w:sz="0" w:space="0" w:color="auto"/>
                                        <w:bottom w:val="none" w:sz="0" w:space="0" w:color="auto"/>
                                        <w:right w:val="none" w:sz="0" w:space="0" w:color="auto"/>
                                      </w:divBdr>
                                      <w:divsChild>
                                        <w:div w:id="1903250832">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500193347">
                                  <w:marLeft w:val="0"/>
                                  <w:marRight w:val="0"/>
                                  <w:marTop w:val="0"/>
                                  <w:marBottom w:val="0"/>
                                  <w:divBdr>
                                    <w:top w:val="none" w:sz="0" w:space="0" w:color="auto"/>
                                    <w:left w:val="none" w:sz="0" w:space="0" w:color="auto"/>
                                    <w:bottom w:val="none" w:sz="0" w:space="0" w:color="auto"/>
                                    <w:right w:val="none" w:sz="0" w:space="0" w:color="auto"/>
                                  </w:divBdr>
                                  <w:divsChild>
                                    <w:div w:id="1897664862">
                                      <w:marLeft w:val="0"/>
                                      <w:marRight w:val="0"/>
                                      <w:marTop w:val="0"/>
                                      <w:marBottom w:val="0"/>
                                      <w:divBdr>
                                        <w:top w:val="none" w:sz="0" w:space="0" w:color="auto"/>
                                        <w:left w:val="none" w:sz="0" w:space="0" w:color="auto"/>
                                        <w:bottom w:val="none" w:sz="0" w:space="0" w:color="auto"/>
                                        <w:right w:val="none" w:sz="0" w:space="0" w:color="auto"/>
                                      </w:divBdr>
                                    </w:div>
                                  </w:divsChild>
                                </w:div>
                                <w:div w:id="582497525">
                                  <w:marLeft w:val="0"/>
                                  <w:marRight w:val="0"/>
                                  <w:marTop w:val="0"/>
                                  <w:marBottom w:val="0"/>
                                  <w:divBdr>
                                    <w:top w:val="none" w:sz="0" w:space="0" w:color="auto"/>
                                    <w:left w:val="none" w:sz="0" w:space="0" w:color="auto"/>
                                    <w:bottom w:val="none" w:sz="0" w:space="0" w:color="auto"/>
                                    <w:right w:val="none" w:sz="0" w:space="0" w:color="auto"/>
                                  </w:divBdr>
                                  <w:divsChild>
                                    <w:div w:id="1732577248">
                                      <w:marLeft w:val="0"/>
                                      <w:marRight w:val="0"/>
                                      <w:marTop w:val="0"/>
                                      <w:marBottom w:val="0"/>
                                      <w:divBdr>
                                        <w:top w:val="none" w:sz="0" w:space="0" w:color="auto"/>
                                        <w:left w:val="none" w:sz="0" w:space="0" w:color="auto"/>
                                        <w:bottom w:val="none" w:sz="0" w:space="0" w:color="auto"/>
                                        <w:right w:val="none" w:sz="0" w:space="0" w:color="auto"/>
                                      </w:divBdr>
                                    </w:div>
                                  </w:divsChild>
                                </w:div>
                                <w:div w:id="1688286290">
                                  <w:marLeft w:val="0"/>
                                  <w:marRight w:val="0"/>
                                  <w:marTop w:val="0"/>
                                  <w:marBottom w:val="0"/>
                                  <w:divBdr>
                                    <w:top w:val="none" w:sz="0" w:space="0" w:color="auto"/>
                                    <w:left w:val="none" w:sz="0" w:space="0" w:color="auto"/>
                                    <w:bottom w:val="none" w:sz="0" w:space="0" w:color="auto"/>
                                    <w:right w:val="none" w:sz="0" w:space="0" w:color="auto"/>
                                  </w:divBdr>
                                  <w:divsChild>
                                    <w:div w:id="6408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12161">
      <w:bodyDiv w:val="1"/>
      <w:marLeft w:val="0"/>
      <w:marRight w:val="0"/>
      <w:marTop w:val="0"/>
      <w:marBottom w:val="0"/>
      <w:divBdr>
        <w:top w:val="none" w:sz="0" w:space="0" w:color="auto"/>
        <w:left w:val="none" w:sz="0" w:space="0" w:color="auto"/>
        <w:bottom w:val="none" w:sz="0" w:space="0" w:color="auto"/>
        <w:right w:val="none" w:sz="0" w:space="0" w:color="auto"/>
      </w:divBdr>
      <w:divsChild>
        <w:div w:id="1140222082">
          <w:marLeft w:val="0"/>
          <w:marRight w:val="0"/>
          <w:marTop w:val="0"/>
          <w:marBottom w:val="0"/>
          <w:divBdr>
            <w:top w:val="none" w:sz="0" w:space="0" w:color="auto"/>
            <w:left w:val="none" w:sz="0" w:space="0" w:color="auto"/>
            <w:bottom w:val="none" w:sz="0" w:space="0" w:color="auto"/>
            <w:right w:val="none" w:sz="0" w:space="0" w:color="auto"/>
          </w:divBdr>
          <w:divsChild>
            <w:div w:id="2144813369">
              <w:marLeft w:val="0"/>
              <w:marRight w:val="0"/>
              <w:marTop w:val="0"/>
              <w:marBottom w:val="0"/>
              <w:divBdr>
                <w:top w:val="none" w:sz="0" w:space="0" w:color="auto"/>
                <w:left w:val="none" w:sz="0" w:space="0" w:color="auto"/>
                <w:bottom w:val="none" w:sz="0" w:space="0" w:color="auto"/>
                <w:right w:val="none" w:sz="0" w:space="0" w:color="auto"/>
              </w:divBdr>
              <w:divsChild>
                <w:div w:id="2064939276">
                  <w:marLeft w:val="0"/>
                  <w:marRight w:val="0"/>
                  <w:marTop w:val="0"/>
                  <w:marBottom w:val="0"/>
                  <w:divBdr>
                    <w:top w:val="none" w:sz="0" w:space="0" w:color="auto"/>
                    <w:left w:val="none" w:sz="0" w:space="0" w:color="auto"/>
                    <w:bottom w:val="none" w:sz="0" w:space="0" w:color="auto"/>
                    <w:right w:val="none" w:sz="0" w:space="0" w:color="auto"/>
                  </w:divBdr>
                  <w:divsChild>
                    <w:div w:id="521356266">
                      <w:marLeft w:val="0"/>
                      <w:marRight w:val="0"/>
                      <w:marTop w:val="0"/>
                      <w:marBottom w:val="0"/>
                      <w:divBdr>
                        <w:top w:val="none" w:sz="0" w:space="0" w:color="auto"/>
                        <w:left w:val="none" w:sz="0" w:space="0" w:color="auto"/>
                        <w:bottom w:val="none" w:sz="0" w:space="0" w:color="auto"/>
                        <w:right w:val="none" w:sz="0" w:space="0" w:color="auto"/>
                      </w:divBdr>
                      <w:divsChild>
                        <w:div w:id="97601295">
                          <w:marLeft w:val="0"/>
                          <w:marRight w:val="0"/>
                          <w:marTop w:val="0"/>
                          <w:marBottom w:val="0"/>
                          <w:divBdr>
                            <w:top w:val="none" w:sz="0" w:space="0" w:color="auto"/>
                            <w:left w:val="none" w:sz="0" w:space="0" w:color="auto"/>
                            <w:bottom w:val="none" w:sz="0" w:space="0" w:color="auto"/>
                            <w:right w:val="none" w:sz="0" w:space="0" w:color="auto"/>
                          </w:divBdr>
                          <w:divsChild>
                            <w:div w:id="1985960256">
                              <w:marLeft w:val="0"/>
                              <w:marRight w:val="0"/>
                              <w:marTop w:val="0"/>
                              <w:marBottom w:val="0"/>
                              <w:divBdr>
                                <w:top w:val="none" w:sz="0" w:space="0" w:color="auto"/>
                                <w:left w:val="none" w:sz="0" w:space="0" w:color="auto"/>
                                <w:bottom w:val="none" w:sz="0" w:space="0" w:color="auto"/>
                                <w:right w:val="none" w:sz="0" w:space="0" w:color="auto"/>
                              </w:divBdr>
                              <w:divsChild>
                                <w:div w:id="15466821">
                                  <w:marLeft w:val="0"/>
                                  <w:marRight w:val="0"/>
                                  <w:marTop w:val="0"/>
                                  <w:marBottom w:val="0"/>
                                  <w:divBdr>
                                    <w:top w:val="none" w:sz="0" w:space="0" w:color="auto"/>
                                    <w:left w:val="none" w:sz="0" w:space="0" w:color="auto"/>
                                    <w:bottom w:val="none" w:sz="0" w:space="0" w:color="auto"/>
                                    <w:right w:val="none" w:sz="0" w:space="0" w:color="auto"/>
                                  </w:divBdr>
                                  <w:divsChild>
                                    <w:div w:id="2057973807">
                                      <w:marLeft w:val="0"/>
                                      <w:marRight w:val="0"/>
                                      <w:marTop w:val="0"/>
                                      <w:marBottom w:val="0"/>
                                      <w:divBdr>
                                        <w:top w:val="none" w:sz="0" w:space="0" w:color="auto"/>
                                        <w:left w:val="none" w:sz="0" w:space="0" w:color="auto"/>
                                        <w:bottom w:val="none" w:sz="0" w:space="0" w:color="auto"/>
                                        <w:right w:val="none" w:sz="0" w:space="0" w:color="auto"/>
                                      </w:divBdr>
                                      <w:divsChild>
                                        <w:div w:id="832571209">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041783340">
                                  <w:marLeft w:val="0"/>
                                  <w:marRight w:val="0"/>
                                  <w:marTop w:val="0"/>
                                  <w:marBottom w:val="0"/>
                                  <w:divBdr>
                                    <w:top w:val="none" w:sz="0" w:space="0" w:color="auto"/>
                                    <w:left w:val="none" w:sz="0" w:space="0" w:color="auto"/>
                                    <w:bottom w:val="none" w:sz="0" w:space="0" w:color="auto"/>
                                    <w:right w:val="none" w:sz="0" w:space="0" w:color="auto"/>
                                  </w:divBdr>
                                  <w:divsChild>
                                    <w:div w:id="802043029">
                                      <w:marLeft w:val="0"/>
                                      <w:marRight w:val="0"/>
                                      <w:marTop w:val="0"/>
                                      <w:marBottom w:val="0"/>
                                      <w:divBdr>
                                        <w:top w:val="none" w:sz="0" w:space="0" w:color="auto"/>
                                        <w:left w:val="none" w:sz="0" w:space="0" w:color="auto"/>
                                        <w:bottom w:val="none" w:sz="0" w:space="0" w:color="auto"/>
                                        <w:right w:val="none" w:sz="0" w:space="0" w:color="auto"/>
                                      </w:divBdr>
                                    </w:div>
                                  </w:divsChild>
                                </w:div>
                                <w:div w:id="1905677505">
                                  <w:marLeft w:val="0"/>
                                  <w:marRight w:val="0"/>
                                  <w:marTop w:val="0"/>
                                  <w:marBottom w:val="0"/>
                                  <w:divBdr>
                                    <w:top w:val="none" w:sz="0" w:space="0" w:color="auto"/>
                                    <w:left w:val="none" w:sz="0" w:space="0" w:color="auto"/>
                                    <w:bottom w:val="none" w:sz="0" w:space="0" w:color="auto"/>
                                    <w:right w:val="none" w:sz="0" w:space="0" w:color="auto"/>
                                  </w:divBdr>
                                  <w:divsChild>
                                    <w:div w:id="1865746686">
                                      <w:marLeft w:val="0"/>
                                      <w:marRight w:val="0"/>
                                      <w:marTop w:val="0"/>
                                      <w:marBottom w:val="0"/>
                                      <w:divBdr>
                                        <w:top w:val="none" w:sz="0" w:space="0" w:color="auto"/>
                                        <w:left w:val="none" w:sz="0" w:space="0" w:color="auto"/>
                                        <w:bottom w:val="none" w:sz="0" w:space="0" w:color="auto"/>
                                        <w:right w:val="none" w:sz="0" w:space="0" w:color="auto"/>
                                      </w:divBdr>
                                    </w:div>
                                  </w:divsChild>
                                </w:div>
                                <w:div w:id="1447576450">
                                  <w:marLeft w:val="0"/>
                                  <w:marRight w:val="0"/>
                                  <w:marTop w:val="0"/>
                                  <w:marBottom w:val="0"/>
                                  <w:divBdr>
                                    <w:top w:val="none" w:sz="0" w:space="0" w:color="auto"/>
                                    <w:left w:val="none" w:sz="0" w:space="0" w:color="auto"/>
                                    <w:bottom w:val="none" w:sz="0" w:space="0" w:color="auto"/>
                                    <w:right w:val="none" w:sz="0" w:space="0" w:color="auto"/>
                                  </w:divBdr>
                                  <w:divsChild>
                                    <w:div w:id="364521440">
                                      <w:marLeft w:val="0"/>
                                      <w:marRight w:val="0"/>
                                      <w:marTop w:val="0"/>
                                      <w:marBottom w:val="0"/>
                                      <w:divBdr>
                                        <w:top w:val="none" w:sz="0" w:space="0" w:color="auto"/>
                                        <w:left w:val="none" w:sz="0" w:space="0" w:color="auto"/>
                                        <w:bottom w:val="none" w:sz="0" w:space="0" w:color="auto"/>
                                        <w:right w:val="none" w:sz="0" w:space="0" w:color="auto"/>
                                      </w:divBdr>
                                    </w:div>
                                  </w:divsChild>
                                </w:div>
                                <w:div w:id="2060661087">
                                  <w:marLeft w:val="0"/>
                                  <w:marRight w:val="0"/>
                                  <w:marTop w:val="0"/>
                                  <w:marBottom w:val="0"/>
                                  <w:divBdr>
                                    <w:top w:val="none" w:sz="0" w:space="0" w:color="auto"/>
                                    <w:left w:val="none" w:sz="0" w:space="0" w:color="auto"/>
                                    <w:bottom w:val="none" w:sz="0" w:space="0" w:color="auto"/>
                                    <w:right w:val="none" w:sz="0" w:space="0" w:color="auto"/>
                                  </w:divBdr>
                                  <w:divsChild>
                                    <w:div w:id="1592814870">
                                      <w:marLeft w:val="0"/>
                                      <w:marRight w:val="0"/>
                                      <w:marTop w:val="0"/>
                                      <w:marBottom w:val="0"/>
                                      <w:divBdr>
                                        <w:top w:val="none" w:sz="0" w:space="0" w:color="auto"/>
                                        <w:left w:val="none" w:sz="0" w:space="0" w:color="auto"/>
                                        <w:bottom w:val="none" w:sz="0" w:space="0" w:color="auto"/>
                                        <w:right w:val="none" w:sz="0" w:space="0" w:color="auto"/>
                                      </w:divBdr>
                                    </w:div>
                                  </w:divsChild>
                                </w:div>
                                <w:div w:id="1892305119">
                                  <w:marLeft w:val="0"/>
                                  <w:marRight w:val="0"/>
                                  <w:marTop w:val="0"/>
                                  <w:marBottom w:val="0"/>
                                  <w:divBdr>
                                    <w:top w:val="none" w:sz="0" w:space="0" w:color="auto"/>
                                    <w:left w:val="none" w:sz="0" w:space="0" w:color="auto"/>
                                    <w:bottom w:val="none" w:sz="0" w:space="0" w:color="auto"/>
                                    <w:right w:val="none" w:sz="0" w:space="0" w:color="auto"/>
                                  </w:divBdr>
                                  <w:divsChild>
                                    <w:div w:id="676612534">
                                      <w:marLeft w:val="0"/>
                                      <w:marRight w:val="0"/>
                                      <w:marTop w:val="0"/>
                                      <w:marBottom w:val="0"/>
                                      <w:divBdr>
                                        <w:top w:val="none" w:sz="0" w:space="0" w:color="auto"/>
                                        <w:left w:val="none" w:sz="0" w:space="0" w:color="auto"/>
                                        <w:bottom w:val="none" w:sz="0" w:space="0" w:color="auto"/>
                                        <w:right w:val="none" w:sz="0" w:space="0" w:color="auto"/>
                                      </w:divBdr>
                                    </w:div>
                                  </w:divsChild>
                                </w:div>
                                <w:div w:id="1801141607">
                                  <w:marLeft w:val="0"/>
                                  <w:marRight w:val="0"/>
                                  <w:marTop w:val="0"/>
                                  <w:marBottom w:val="0"/>
                                  <w:divBdr>
                                    <w:top w:val="none" w:sz="0" w:space="0" w:color="auto"/>
                                    <w:left w:val="none" w:sz="0" w:space="0" w:color="auto"/>
                                    <w:bottom w:val="none" w:sz="0" w:space="0" w:color="auto"/>
                                    <w:right w:val="none" w:sz="0" w:space="0" w:color="auto"/>
                                  </w:divBdr>
                                  <w:divsChild>
                                    <w:div w:id="832259285">
                                      <w:marLeft w:val="0"/>
                                      <w:marRight w:val="0"/>
                                      <w:marTop w:val="0"/>
                                      <w:marBottom w:val="0"/>
                                      <w:divBdr>
                                        <w:top w:val="none" w:sz="0" w:space="0" w:color="auto"/>
                                        <w:left w:val="none" w:sz="0" w:space="0" w:color="auto"/>
                                        <w:bottom w:val="none" w:sz="0" w:space="0" w:color="auto"/>
                                        <w:right w:val="none" w:sz="0" w:space="0" w:color="auto"/>
                                      </w:divBdr>
                                    </w:div>
                                    <w:div w:id="1681615692">
                                      <w:marLeft w:val="0"/>
                                      <w:marRight w:val="0"/>
                                      <w:marTop w:val="0"/>
                                      <w:marBottom w:val="0"/>
                                      <w:divBdr>
                                        <w:top w:val="none" w:sz="0" w:space="0" w:color="auto"/>
                                        <w:left w:val="none" w:sz="0" w:space="0" w:color="auto"/>
                                        <w:bottom w:val="none" w:sz="0" w:space="0" w:color="auto"/>
                                        <w:right w:val="none" w:sz="0" w:space="0" w:color="auto"/>
                                      </w:divBdr>
                                      <w:divsChild>
                                        <w:div w:id="1034423122">
                                          <w:marLeft w:val="150"/>
                                          <w:marRight w:val="150"/>
                                          <w:marTop w:val="150"/>
                                          <w:marBottom w:val="150"/>
                                          <w:divBdr>
                                            <w:top w:val="single" w:sz="6" w:space="4" w:color="808080"/>
                                            <w:left w:val="single" w:sz="6" w:space="4" w:color="808080"/>
                                            <w:bottom w:val="single" w:sz="6" w:space="4" w:color="808080"/>
                                            <w:right w:val="single" w:sz="6" w:space="4" w:color="808080"/>
                                          </w:divBdr>
                                        </w:div>
                                      </w:divsChild>
                                    </w:div>
                                  </w:divsChild>
                                </w:div>
                                <w:div w:id="1209029838">
                                  <w:marLeft w:val="0"/>
                                  <w:marRight w:val="0"/>
                                  <w:marTop w:val="0"/>
                                  <w:marBottom w:val="0"/>
                                  <w:divBdr>
                                    <w:top w:val="none" w:sz="0" w:space="0" w:color="auto"/>
                                    <w:left w:val="none" w:sz="0" w:space="0" w:color="auto"/>
                                    <w:bottom w:val="none" w:sz="0" w:space="0" w:color="auto"/>
                                    <w:right w:val="none" w:sz="0" w:space="0" w:color="auto"/>
                                  </w:divBdr>
                                  <w:divsChild>
                                    <w:div w:id="587231428">
                                      <w:marLeft w:val="0"/>
                                      <w:marRight w:val="0"/>
                                      <w:marTop w:val="0"/>
                                      <w:marBottom w:val="0"/>
                                      <w:divBdr>
                                        <w:top w:val="none" w:sz="0" w:space="0" w:color="auto"/>
                                        <w:left w:val="none" w:sz="0" w:space="0" w:color="auto"/>
                                        <w:bottom w:val="none" w:sz="0" w:space="0" w:color="auto"/>
                                        <w:right w:val="none" w:sz="0" w:space="0" w:color="auto"/>
                                      </w:divBdr>
                                    </w:div>
                                  </w:divsChild>
                                </w:div>
                                <w:div w:id="327370341">
                                  <w:marLeft w:val="0"/>
                                  <w:marRight w:val="0"/>
                                  <w:marTop w:val="0"/>
                                  <w:marBottom w:val="0"/>
                                  <w:divBdr>
                                    <w:top w:val="none" w:sz="0" w:space="0" w:color="auto"/>
                                    <w:left w:val="none" w:sz="0" w:space="0" w:color="auto"/>
                                    <w:bottom w:val="none" w:sz="0" w:space="0" w:color="auto"/>
                                    <w:right w:val="none" w:sz="0" w:space="0" w:color="auto"/>
                                  </w:divBdr>
                                  <w:divsChild>
                                    <w:div w:id="6953829">
                                      <w:marLeft w:val="0"/>
                                      <w:marRight w:val="0"/>
                                      <w:marTop w:val="0"/>
                                      <w:marBottom w:val="0"/>
                                      <w:divBdr>
                                        <w:top w:val="none" w:sz="0" w:space="0" w:color="auto"/>
                                        <w:left w:val="none" w:sz="0" w:space="0" w:color="auto"/>
                                        <w:bottom w:val="none" w:sz="0" w:space="0" w:color="auto"/>
                                        <w:right w:val="none" w:sz="0" w:space="0" w:color="auto"/>
                                      </w:divBdr>
                                    </w:div>
                                  </w:divsChild>
                                </w:div>
                                <w:div w:id="2021081869">
                                  <w:marLeft w:val="0"/>
                                  <w:marRight w:val="0"/>
                                  <w:marTop w:val="0"/>
                                  <w:marBottom w:val="0"/>
                                  <w:divBdr>
                                    <w:top w:val="none" w:sz="0" w:space="0" w:color="auto"/>
                                    <w:left w:val="none" w:sz="0" w:space="0" w:color="auto"/>
                                    <w:bottom w:val="none" w:sz="0" w:space="0" w:color="auto"/>
                                    <w:right w:val="none" w:sz="0" w:space="0" w:color="auto"/>
                                  </w:divBdr>
                                  <w:divsChild>
                                    <w:div w:id="9393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9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0507">
      <w:bodyDiv w:val="1"/>
      <w:marLeft w:val="0"/>
      <w:marRight w:val="0"/>
      <w:marTop w:val="0"/>
      <w:marBottom w:val="0"/>
      <w:divBdr>
        <w:top w:val="none" w:sz="0" w:space="0" w:color="auto"/>
        <w:left w:val="none" w:sz="0" w:space="0" w:color="auto"/>
        <w:bottom w:val="none" w:sz="0" w:space="0" w:color="auto"/>
        <w:right w:val="none" w:sz="0" w:space="0" w:color="auto"/>
      </w:divBdr>
    </w:div>
    <w:div w:id="1826705540">
      <w:bodyDiv w:val="1"/>
      <w:marLeft w:val="0"/>
      <w:marRight w:val="0"/>
      <w:marTop w:val="0"/>
      <w:marBottom w:val="0"/>
      <w:divBdr>
        <w:top w:val="none" w:sz="0" w:space="0" w:color="auto"/>
        <w:left w:val="none" w:sz="0" w:space="0" w:color="auto"/>
        <w:bottom w:val="none" w:sz="0" w:space="0" w:color="auto"/>
        <w:right w:val="none" w:sz="0" w:space="0" w:color="auto"/>
      </w:divBdr>
    </w:div>
    <w:div w:id="1855220552">
      <w:bodyDiv w:val="1"/>
      <w:marLeft w:val="0"/>
      <w:marRight w:val="0"/>
      <w:marTop w:val="0"/>
      <w:marBottom w:val="0"/>
      <w:divBdr>
        <w:top w:val="none" w:sz="0" w:space="0" w:color="auto"/>
        <w:left w:val="none" w:sz="0" w:space="0" w:color="auto"/>
        <w:bottom w:val="none" w:sz="0" w:space="0" w:color="auto"/>
        <w:right w:val="none" w:sz="0" w:space="0" w:color="auto"/>
      </w:divBdr>
    </w:div>
    <w:div w:id="1876309406">
      <w:bodyDiv w:val="1"/>
      <w:marLeft w:val="0"/>
      <w:marRight w:val="0"/>
      <w:marTop w:val="0"/>
      <w:marBottom w:val="0"/>
      <w:divBdr>
        <w:top w:val="none" w:sz="0" w:space="0" w:color="auto"/>
        <w:left w:val="none" w:sz="0" w:space="0" w:color="auto"/>
        <w:bottom w:val="none" w:sz="0" w:space="0" w:color="auto"/>
        <w:right w:val="none" w:sz="0" w:space="0" w:color="auto"/>
      </w:divBdr>
    </w:div>
    <w:div w:id="1879928145">
      <w:bodyDiv w:val="1"/>
      <w:marLeft w:val="0"/>
      <w:marRight w:val="0"/>
      <w:marTop w:val="0"/>
      <w:marBottom w:val="0"/>
      <w:divBdr>
        <w:top w:val="none" w:sz="0" w:space="0" w:color="auto"/>
        <w:left w:val="none" w:sz="0" w:space="0" w:color="auto"/>
        <w:bottom w:val="none" w:sz="0" w:space="0" w:color="auto"/>
        <w:right w:val="none" w:sz="0" w:space="0" w:color="auto"/>
      </w:divBdr>
    </w:div>
    <w:div w:id="1894465173">
      <w:bodyDiv w:val="1"/>
      <w:marLeft w:val="0"/>
      <w:marRight w:val="0"/>
      <w:marTop w:val="0"/>
      <w:marBottom w:val="0"/>
      <w:divBdr>
        <w:top w:val="none" w:sz="0" w:space="0" w:color="auto"/>
        <w:left w:val="none" w:sz="0" w:space="0" w:color="auto"/>
        <w:bottom w:val="none" w:sz="0" w:space="0" w:color="auto"/>
        <w:right w:val="none" w:sz="0" w:space="0" w:color="auto"/>
      </w:divBdr>
    </w:div>
    <w:div w:id="2064406215">
      <w:bodyDiv w:val="1"/>
      <w:marLeft w:val="0"/>
      <w:marRight w:val="0"/>
      <w:marTop w:val="0"/>
      <w:marBottom w:val="0"/>
      <w:divBdr>
        <w:top w:val="none" w:sz="0" w:space="0" w:color="auto"/>
        <w:left w:val="none" w:sz="0" w:space="0" w:color="auto"/>
        <w:bottom w:val="none" w:sz="0" w:space="0" w:color="auto"/>
        <w:right w:val="none" w:sz="0" w:space="0" w:color="auto"/>
      </w:divBdr>
    </w:div>
    <w:div w:id="2086804096">
      <w:bodyDiv w:val="1"/>
      <w:marLeft w:val="0"/>
      <w:marRight w:val="0"/>
      <w:marTop w:val="0"/>
      <w:marBottom w:val="0"/>
      <w:divBdr>
        <w:top w:val="none" w:sz="0" w:space="0" w:color="auto"/>
        <w:left w:val="none" w:sz="0" w:space="0" w:color="auto"/>
        <w:bottom w:val="none" w:sz="0" w:space="0" w:color="auto"/>
        <w:right w:val="none" w:sz="0" w:space="0" w:color="auto"/>
      </w:divBdr>
    </w:div>
    <w:div w:id="2116441422">
      <w:bodyDiv w:val="1"/>
      <w:marLeft w:val="0"/>
      <w:marRight w:val="0"/>
      <w:marTop w:val="0"/>
      <w:marBottom w:val="0"/>
      <w:divBdr>
        <w:top w:val="none" w:sz="0" w:space="0" w:color="auto"/>
        <w:left w:val="none" w:sz="0" w:space="0" w:color="auto"/>
        <w:bottom w:val="none" w:sz="0" w:space="0" w:color="auto"/>
        <w:right w:val="none" w:sz="0" w:space="0" w:color="auto"/>
      </w:divBdr>
    </w:div>
    <w:div w:id="21195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li.legilux.public.lu/eli/etat/leg/ri/2007/09/12/n1" TargetMode="External"/><Relationship Id="rId26" Type="http://schemas.openxmlformats.org/officeDocument/2006/relationships/hyperlink" Target="http://www.childreninjudicialproceedings.e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hildreninjudicialproceedings.eu"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hildreninjudicialproceedings.eu" TargetMode="External"/><Relationship Id="rId33" Type="http://schemas.openxmlformats.org/officeDocument/2006/relationships/header" Target="header4.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hildreninjudicialproceedings.eu" TargetMode="External"/><Relationship Id="rId20" Type="http://schemas.openxmlformats.org/officeDocument/2006/relationships/hyperlink" Target="https://skydrive.live.com/embed?cid=EA045197000B3309&amp;resid=EA045197000B3309%21667&amp;authkey=AK0jN3Qk-dniu1o&amp;em=2&amp;ActiveCell='CRIM010'!A2" TargetMode="External"/><Relationship Id="rId29" Type="http://schemas.openxmlformats.org/officeDocument/2006/relationships/hyperlink" Target="http://www.childreninjudicialproceedings.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hildreninjudicialproceedings.eu" TargetMode="External"/><Relationship Id="rId32" Type="http://schemas.openxmlformats.org/officeDocument/2006/relationships/hyperlink" Target="http://www.childreninjudicialproceedings.eu"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ildreninjudicialproceedings.eu/Home/Default.aspx" TargetMode="External"/><Relationship Id="rId23" Type="http://schemas.openxmlformats.org/officeDocument/2006/relationships/hyperlink" Target="http://www.childreninjudicialproceedings.eu" TargetMode="External"/><Relationship Id="rId28" Type="http://schemas.openxmlformats.org/officeDocument/2006/relationships/hyperlink" Target="http://www.childreninjudicialproceedings.eu"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skydrive.live.com/embed?cid=EA045197000B3309&amp;resid=EA045197000B3309%21500&amp;authkey=AOX3cT7MT8wk0YQ&amp;em=2&amp;ActiveCell='HIDS1data'!A2" TargetMode="External"/><Relationship Id="rId31" Type="http://schemas.openxmlformats.org/officeDocument/2006/relationships/hyperlink" Target="http://www.childreninjudicialproceedings.e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ldreninjudicialproceedings.eu/Home/Default.aspx" TargetMode="External"/><Relationship Id="rId22" Type="http://schemas.openxmlformats.org/officeDocument/2006/relationships/hyperlink" Target="http://www.childreninjudicialproceedings.eu" TargetMode="External"/><Relationship Id="rId27" Type="http://schemas.openxmlformats.org/officeDocument/2006/relationships/hyperlink" Target="http://www.childreninjudicialproceedings.eu" TargetMode="External"/><Relationship Id="rId30" Type="http://schemas.openxmlformats.org/officeDocument/2006/relationships/hyperlink" Target="http://www.childreninjudicialproceedings.eu" TargetMode="Externa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childreninjudicialproceedings.eu" TargetMode="External"/><Relationship Id="rId2" Type="http://schemas.openxmlformats.org/officeDocument/2006/relationships/hyperlink" Target="http://www.coe.int/t/dghl/standardsetting/childjustice/publicationsavailable_en.asp" TargetMode="External"/><Relationship Id="rId1" Type="http://schemas.openxmlformats.org/officeDocument/2006/relationships/hyperlink" Target="http://www.childreninjudicialproceedings.eu" TargetMode="External"/><Relationship Id="rId6" Type="http://schemas.openxmlformats.org/officeDocument/2006/relationships/hyperlink" Target="http://www.childreninjudicialproceedings.eu" TargetMode="External"/><Relationship Id="rId5" Type="http://schemas.openxmlformats.org/officeDocument/2006/relationships/hyperlink" Target="http://www.childreninjudicialproceedings.eu" TargetMode="External"/><Relationship Id="rId4" Type="http://schemas.openxmlformats.org/officeDocument/2006/relationships/hyperlink" Target="http://fra.europa.eu/en/project/2012/children-and-jus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9AE72-3BB4-4ECB-91DC-E6FE1355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TotalTime>
  <Pages>165</Pages>
  <Words>61955</Words>
  <Characters>353150</Characters>
  <Application>Microsoft Office Word</Application>
  <DocSecurity>4</DocSecurity>
  <Lines>2942</Lines>
  <Paragraphs>828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Mantouvalou</dc:creator>
  <cp:lastModifiedBy>Clemente, Jolandie</cp:lastModifiedBy>
  <cp:revision>2</cp:revision>
  <cp:lastPrinted>2015-01-13T11:19:00Z</cp:lastPrinted>
  <dcterms:created xsi:type="dcterms:W3CDTF">2015-01-13T21:33:00Z</dcterms:created>
  <dcterms:modified xsi:type="dcterms:W3CDTF">2015-01-13T21:33:00Z</dcterms:modified>
</cp:coreProperties>
</file>