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B13DF3" w:rsidRPr="007B47FB" w:rsidTr="00B13DF3">
        <w:trPr>
          <w:trHeight w:hRule="exact" w:val="567"/>
        </w:trPr>
        <w:tc>
          <w:tcPr>
            <w:tcW w:w="9072" w:type="dxa"/>
          </w:tcPr>
          <w:p w:rsidR="00B13DF3" w:rsidRDefault="00B13DF3" w:rsidP="00771703">
            <w:pPr>
              <w:pStyle w:val="NormalNoSpace"/>
              <w:spacing w:line="240" w:lineRule="auto"/>
              <w:ind w:left="-57"/>
              <w:rPr>
                <w:noProof/>
                <w:lang w:eastAsia="en-GB"/>
              </w:rPr>
            </w:pPr>
            <w:bookmarkStart w:id="0" w:name="TitlePage"/>
            <w:bookmarkStart w:id="1" w:name="TitlePages"/>
          </w:p>
        </w:tc>
      </w:tr>
      <w:tr w:rsidR="00B13DF3" w:rsidRPr="007B47FB" w:rsidTr="00F46954">
        <w:trPr>
          <w:trHeight w:hRule="exact" w:val="5443"/>
        </w:trPr>
        <w:tc>
          <w:tcPr>
            <w:tcW w:w="9072" w:type="dxa"/>
          </w:tcPr>
          <w:p w:rsidR="00660C9C" w:rsidRDefault="00660C9C" w:rsidP="00A41C86">
            <w:pPr>
              <w:pStyle w:val="NormalNoSpace"/>
              <w:spacing w:line="240" w:lineRule="auto"/>
              <w:ind w:left="-57"/>
              <w:jc w:val="right"/>
            </w:pPr>
          </w:p>
          <w:p w:rsidR="00660C9C" w:rsidRPr="00660C9C" w:rsidRDefault="00660C9C" w:rsidP="00660C9C"/>
          <w:p w:rsidR="00660C9C" w:rsidRPr="00660C9C" w:rsidRDefault="00660C9C" w:rsidP="00660C9C"/>
          <w:p w:rsidR="00660C9C" w:rsidRDefault="00660C9C" w:rsidP="00660C9C"/>
          <w:p w:rsidR="00B13DF3" w:rsidRPr="00660C9C" w:rsidRDefault="00B13DF3" w:rsidP="00660C9C"/>
        </w:tc>
      </w:tr>
      <w:tr w:rsidR="00760383" w:rsidRPr="007B47FB" w:rsidTr="00482F4C">
        <w:trPr>
          <w:trHeight w:hRule="exact" w:val="3724"/>
        </w:trPr>
        <w:tc>
          <w:tcPr>
            <w:tcW w:w="9072" w:type="dxa"/>
          </w:tcPr>
          <w:p w:rsidR="00660C9C" w:rsidRPr="000D323B" w:rsidRDefault="00660C9C" w:rsidP="00660C9C">
            <w:pPr>
              <w:pStyle w:val="DocTitle"/>
              <w:widowControl w:val="0"/>
              <w:spacing w:before="0" w:after="0" w:line="240" w:lineRule="auto"/>
              <w:jc w:val="both"/>
            </w:pPr>
            <w:r w:rsidRPr="004D793D">
              <w:t xml:space="preserve">Study on children's involvement in judicial proceedings – </w:t>
            </w:r>
            <w:r>
              <w:t>c</w:t>
            </w:r>
            <w:r w:rsidRPr="004D793D">
              <w:t xml:space="preserve">ontextual </w:t>
            </w:r>
            <w:r>
              <w:t>o</w:t>
            </w:r>
            <w:r w:rsidRPr="004D793D">
              <w:t>verview for administrative justice –</w:t>
            </w:r>
            <w:r w:rsidRPr="004D793D">
              <w:rPr>
                <w:i/>
              </w:rPr>
              <w:t xml:space="preserve"> </w:t>
            </w:r>
            <w:r w:rsidR="00F60A1E">
              <w:rPr>
                <w:lang w:val="en-US"/>
              </w:rPr>
              <w:t>Belgium</w:t>
            </w:r>
          </w:p>
          <w:p w:rsidR="00760383" w:rsidRPr="007B47FB" w:rsidRDefault="00760383" w:rsidP="00457F5F">
            <w:pPr>
              <w:pStyle w:val="DocSubTitle"/>
            </w:pPr>
            <w:bookmarkStart w:id="2" w:name="DocSubTitle1"/>
            <w:bookmarkEnd w:id="2"/>
          </w:p>
          <w:p w:rsidR="00760383" w:rsidRDefault="00660C9C" w:rsidP="00FF79A5">
            <w:pPr>
              <w:pStyle w:val="DocDate"/>
            </w:pPr>
            <w:r w:rsidRPr="00273093">
              <w:t>July 2014 (Research carried out between July 2013 and January 2014)</w:t>
            </w:r>
          </w:p>
          <w:p w:rsidR="00660C9C" w:rsidRDefault="00660C9C" w:rsidP="00FF79A5">
            <w:pPr>
              <w:pStyle w:val="DocDate"/>
            </w:pPr>
          </w:p>
          <w:p w:rsidR="00660C9C" w:rsidRPr="007B47FB" w:rsidRDefault="00660C9C" w:rsidP="00FF79A5">
            <w:pPr>
              <w:pStyle w:val="DocDate"/>
            </w:pPr>
          </w:p>
        </w:tc>
      </w:tr>
    </w:tbl>
    <w:p w:rsidR="00C219D4" w:rsidRDefault="00660C9C">
      <w:pPr>
        <w:sectPr w:rsidR="00C219D4" w:rsidSect="007A5E42">
          <w:headerReference w:type="default" r:id="rId8"/>
          <w:headerReference w:type="first" r:id="rId9"/>
          <w:footerReference w:type="first" r:id="rId10"/>
          <w:type w:val="oddPage"/>
          <w:pgSz w:w="11907" w:h="16840" w:code="9"/>
          <w:pgMar w:top="1418" w:right="1418" w:bottom="1021" w:left="1418" w:header="680" w:footer="567" w:gutter="0"/>
          <w:pgNumType w:start="1"/>
          <w:cols w:space="708"/>
          <w:titlePg/>
          <w:docGrid w:linePitch="360"/>
        </w:sectPr>
      </w:pPr>
      <w:r>
        <w:rPr>
          <w:noProof/>
          <w:lang w:val="en-US"/>
        </w:rPr>
        <w:drawing>
          <wp:anchor distT="0" distB="0" distL="114300" distR="114300" simplePos="0" relativeHeight="251680768" behindDoc="0" locked="0" layoutInCell="1" allowOverlap="1" wp14:anchorId="44A0343D" wp14:editId="5100D3FD">
            <wp:simplePos x="0" y="0"/>
            <wp:positionH relativeFrom="margin">
              <wp:posOffset>1031875</wp:posOffset>
            </wp:positionH>
            <wp:positionV relativeFrom="margin">
              <wp:posOffset>6420485</wp:posOffset>
            </wp:positionV>
            <wp:extent cx="933450" cy="9334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pic:spPr>
                </pic:pic>
              </a:graphicData>
            </a:graphic>
          </wp:anchor>
        </w:drawing>
      </w:r>
      <w:r>
        <w:rPr>
          <w:noProof/>
          <w:lang w:val="en-US"/>
        </w:rPr>
        <w:drawing>
          <wp:anchor distT="0" distB="0" distL="114300" distR="114300" simplePos="0" relativeHeight="251675648" behindDoc="0" locked="0" layoutInCell="1" allowOverlap="1" wp14:anchorId="27D163DC" wp14:editId="26F0A552">
            <wp:simplePos x="0" y="0"/>
            <wp:positionH relativeFrom="margin">
              <wp:posOffset>-57150</wp:posOffset>
            </wp:positionH>
            <wp:positionV relativeFrom="margin">
              <wp:posOffset>6427470</wp:posOffset>
            </wp:positionV>
            <wp:extent cx="942975" cy="942975"/>
            <wp:effectExtent l="0" t="0" r="952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pic:spPr>
                </pic:pic>
              </a:graphicData>
            </a:graphic>
          </wp:anchor>
        </w:drawing>
      </w:r>
    </w:p>
    <w:p w:rsidR="00ED0340" w:rsidRPr="007B47FB" w:rsidRDefault="00ED0340" w:rsidP="00ED0340">
      <w:pPr>
        <w:pStyle w:val="Heading1NoTOC"/>
      </w:pPr>
      <w:bookmarkStart w:id="3" w:name="DocSubTitle2"/>
      <w:bookmarkStart w:id="4" w:name="ContentsPage"/>
      <w:bookmarkStart w:id="5" w:name="Section2"/>
      <w:bookmarkEnd w:id="0"/>
      <w:bookmarkEnd w:id="1"/>
      <w:bookmarkEnd w:id="3"/>
      <w:r w:rsidRPr="007B47FB">
        <w:lastRenderedPageBreak/>
        <w:t>Contents</w:t>
      </w:r>
    </w:p>
    <w:bookmarkStart w:id="6" w:name="ContentsOpt2"/>
    <w:p w:rsidR="00537401" w:rsidRDefault="00C7550C">
      <w:pPr>
        <w:pStyle w:val="TOC2"/>
        <w:rPr>
          <w:rFonts w:asciiTheme="minorHAnsi" w:eastAsiaTheme="minorEastAsia" w:hAnsiTheme="minorHAnsi" w:cstheme="minorBidi"/>
          <w:b w:val="0"/>
          <w:noProof/>
          <w:color w:val="auto"/>
          <w:sz w:val="22"/>
          <w:szCs w:val="22"/>
          <w:lang w:val="en-US"/>
        </w:rPr>
      </w:pPr>
      <w:r w:rsidRPr="007B47FB">
        <w:rPr>
          <w:color w:val="0067AC" w:themeColor="text2"/>
        </w:rPr>
        <w:fldChar w:fldCharType="begin"/>
      </w:r>
      <w:r w:rsidR="00FE34E9" w:rsidRPr="007B47FB">
        <w:instrText xml:space="preserve"> TOC \h \z \t "Heading 1,1,</w:instrText>
      </w:r>
      <w:r w:rsidR="00F739E0" w:rsidRPr="007B47FB">
        <w:instrText>Heading 1</w:instrText>
      </w:r>
      <w:r w:rsidR="00F739E0">
        <w:instrText>NoPg</w:instrText>
      </w:r>
      <w:r w:rsidR="00F739E0" w:rsidRPr="007B47FB">
        <w:instrText>,1,</w:instrText>
      </w:r>
      <w:r w:rsidR="00FE34E9" w:rsidRPr="007B47FB">
        <w:instrText>Heading 2,3,Heading 3,4,Heading 1NoNumb,2</w:instrText>
      </w:r>
      <w:r w:rsidR="00497505" w:rsidRPr="007B47FB">
        <w:instrText>,Heading 2NoNumb,5,Heading 3NoNumb,6</w:instrText>
      </w:r>
      <w:r w:rsidR="00B327E7">
        <w:instrText>,AnnexHeading</w:instrText>
      </w:r>
      <w:r w:rsidR="00B327E7" w:rsidRPr="007B47FB">
        <w:instrText>,2</w:instrText>
      </w:r>
      <w:r w:rsidR="0044073E">
        <w:instrText>,</w:instrText>
      </w:r>
      <w:r w:rsidR="00F739E0">
        <w:instrText>AnnexHeading NoPage</w:instrText>
      </w:r>
      <w:r w:rsidR="00F739E0" w:rsidRPr="007B47FB">
        <w:instrText>,2</w:instrText>
      </w:r>
      <w:r w:rsidR="00F739E0">
        <w:instrText>,</w:instrText>
      </w:r>
      <w:r w:rsidR="0044073E">
        <w:instrText>Stage,7</w:instrText>
      </w:r>
      <w:r w:rsidR="00FE34E9" w:rsidRPr="007B47FB">
        <w:instrText xml:space="preserve">" </w:instrText>
      </w:r>
      <w:r w:rsidRPr="007B47FB">
        <w:rPr>
          <w:color w:val="0067AC" w:themeColor="text2"/>
        </w:rPr>
        <w:fldChar w:fldCharType="separate"/>
      </w:r>
      <w:hyperlink w:anchor="_Toc409792178" w:history="1">
        <w:r w:rsidR="00537401" w:rsidRPr="0073230A">
          <w:rPr>
            <w:rStyle w:val="Hyperlink"/>
            <w:noProof/>
          </w:rPr>
          <w:t>Abbreviations</w:t>
        </w:r>
        <w:r w:rsidR="00537401">
          <w:rPr>
            <w:noProof/>
            <w:webHidden/>
          </w:rPr>
          <w:tab/>
        </w:r>
        <w:r w:rsidR="00537401">
          <w:rPr>
            <w:noProof/>
            <w:webHidden/>
          </w:rPr>
          <w:fldChar w:fldCharType="begin"/>
        </w:r>
        <w:r w:rsidR="00537401">
          <w:rPr>
            <w:noProof/>
            <w:webHidden/>
          </w:rPr>
          <w:instrText xml:space="preserve"> PAGEREF _Toc409792178 \h </w:instrText>
        </w:r>
        <w:r w:rsidR="00537401">
          <w:rPr>
            <w:noProof/>
            <w:webHidden/>
          </w:rPr>
        </w:r>
        <w:r w:rsidR="00537401">
          <w:rPr>
            <w:noProof/>
            <w:webHidden/>
          </w:rPr>
          <w:fldChar w:fldCharType="separate"/>
        </w:r>
        <w:r w:rsidR="00537401">
          <w:rPr>
            <w:noProof/>
            <w:webHidden/>
          </w:rPr>
          <w:t>v</w:t>
        </w:r>
        <w:r w:rsidR="00537401">
          <w:rPr>
            <w:noProof/>
            <w:webHidden/>
          </w:rPr>
          <w:fldChar w:fldCharType="end"/>
        </w:r>
      </w:hyperlink>
    </w:p>
    <w:p w:rsidR="00537401" w:rsidRDefault="00537401" w:rsidP="00537401">
      <w:pPr>
        <w:pStyle w:val="TOC1"/>
        <w:rPr>
          <w:rFonts w:asciiTheme="minorHAnsi" w:eastAsiaTheme="minorEastAsia" w:hAnsiTheme="minorHAnsi" w:cstheme="minorBidi"/>
          <w:noProof/>
          <w:color w:val="auto"/>
          <w:sz w:val="22"/>
          <w:szCs w:val="22"/>
          <w:lang w:val="en-US"/>
        </w:rPr>
      </w:pPr>
      <w:hyperlink w:anchor="_Toc409792179" w:history="1">
        <w:r w:rsidRPr="0073230A">
          <w:rPr>
            <w:rStyle w:val="Hyperlink"/>
            <w:noProof/>
          </w:rPr>
          <w:t>1</w:t>
        </w:r>
        <w:r>
          <w:rPr>
            <w:rFonts w:asciiTheme="minorHAnsi" w:eastAsiaTheme="minorEastAsia" w:hAnsiTheme="minorHAnsi" w:cstheme="minorBidi"/>
            <w:noProof/>
            <w:color w:val="auto"/>
            <w:sz w:val="22"/>
            <w:szCs w:val="22"/>
            <w:lang w:val="en-US"/>
          </w:rPr>
          <w:tab/>
        </w:r>
        <w:r w:rsidRPr="0073230A">
          <w:rPr>
            <w:rStyle w:val="Hyperlink"/>
            <w:noProof/>
          </w:rPr>
          <w:t>Introduction</w:t>
        </w:r>
        <w:r>
          <w:rPr>
            <w:noProof/>
            <w:webHidden/>
          </w:rPr>
          <w:tab/>
        </w:r>
        <w:r>
          <w:rPr>
            <w:noProof/>
            <w:webHidden/>
          </w:rPr>
          <w:fldChar w:fldCharType="begin"/>
        </w:r>
        <w:r>
          <w:rPr>
            <w:noProof/>
            <w:webHidden/>
          </w:rPr>
          <w:instrText xml:space="preserve"> PAGEREF _Toc409792179 \h </w:instrText>
        </w:r>
        <w:r>
          <w:rPr>
            <w:noProof/>
            <w:webHidden/>
          </w:rPr>
        </w:r>
        <w:r>
          <w:rPr>
            <w:noProof/>
            <w:webHidden/>
          </w:rPr>
          <w:fldChar w:fldCharType="separate"/>
        </w:r>
        <w:r>
          <w:rPr>
            <w:noProof/>
            <w:webHidden/>
          </w:rPr>
          <w:t>1</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180" w:history="1">
        <w:r w:rsidRPr="0073230A">
          <w:rPr>
            <w:rStyle w:val="Hyperlink"/>
            <w:noProof/>
          </w:rPr>
          <w:t>Introduction and context</w:t>
        </w:r>
        <w:r>
          <w:rPr>
            <w:noProof/>
            <w:webHidden/>
          </w:rPr>
          <w:tab/>
        </w:r>
        <w:r>
          <w:rPr>
            <w:noProof/>
            <w:webHidden/>
          </w:rPr>
          <w:fldChar w:fldCharType="begin"/>
        </w:r>
        <w:r>
          <w:rPr>
            <w:noProof/>
            <w:webHidden/>
          </w:rPr>
          <w:instrText xml:space="preserve"> PAGEREF _Toc409792180 \h </w:instrText>
        </w:r>
        <w:r>
          <w:rPr>
            <w:noProof/>
            <w:webHidden/>
          </w:rPr>
        </w:r>
        <w:r>
          <w:rPr>
            <w:noProof/>
            <w:webHidden/>
          </w:rPr>
          <w:fldChar w:fldCharType="separate"/>
        </w:r>
        <w:r>
          <w:rPr>
            <w:noProof/>
            <w:webHidden/>
          </w:rPr>
          <w:t>1</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181" w:history="1">
        <w:r w:rsidRPr="0073230A">
          <w:rPr>
            <w:rStyle w:val="Hyperlink"/>
            <w:noProof/>
          </w:rPr>
          <w:t>Structure and scope</w:t>
        </w:r>
        <w:r>
          <w:rPr>
            <w:noProof/>
            <w:webHidden/>
          </w:rPr>
          <w:tab/>
        </w:r>
        <w:r>
          <w:rPr>
            <w:noProof/>
            <w:webHidden/>
          </w:rPr>
          <w:fldChar w:fldCharType="begin"/>
        </w:r>
        <w:r>
          <w:rPr>
            <w:noProof/>
            <w:webHidden/>
          </w:rPr>
          <w:instrText xml:space="preserve"> PAGEREF _Toc409792181 \h </w:instrText>
        </w:r>
        <w:r>
          <w:rPr>
            <w:noProof/>
            <w:webHidden/>
          </w:rPr>
        </w:r>
        <w:r>
          <w:rPr>
            <w:noProof/>
            <w:webHidden/>
          </w:rPr>
          <w:fldChar w:fldCharType="separate"/>
        </w:r>
        <w:r>
          <w:rPr>
            <w:noProof/>
            <w:webHidden/>
          </w:rPr>
          <w:t>1</w:t>
        </w:r>
        <w:r>
          <w:rPr>
            <w:noProof/>
            <w:webHidden/>
          </w:rPr>
          <w:fldChar w:fldCharType="end"/>
        </w:r>
      </w:hyperlink>
    </w:p>
    <w:p w:rsidR="00537401" w:rsidRDefault="00537401" w:rsidP="00537401">
      <w:pPr>
        <w:pStyle w:val="TOC1"/>
        <w:rPr>
          <w:rFonts w:asciiTheme="minorHAnsi" w:eastAsiaTheme="minorEastAsia" w:hAnsiTheme="minorHAnsi" w:cstheme="minorBidi"/>
          <w:noProof/>
          <w:color w:val="auto"/>
          <w:sz w:val="22"/>
          <w:szCs w:val="22"/>
          <w:lang w:val="en-US"/>
        </w:rPr>
      </w:pPr>
      <w:hyperlink w:anchor="_Toc409792182" w:history="1">
        <w:r w:rsidRPr="0073230A">
          <w:rPr>
            <w:rStyle w:val="Hyperlink"/>
            <w:rFonts w:eastAsia="Calibri"/>
            <w:noProof/>
          </w:rPr>
          <w:t>2</w:t>
        </w:r>
        <w:r>
          <w:rPr>
            <w:rFonts w:asciiTheme="minorHAnsi" w:eastAsiaTheme="minorEastAsia" w:hAnsiTheme="minorHAnsi" w:cstheme="minorBidi"/>
            <w:noProof/>
            <w:color w:val="auto"/>
            <w:sz w:val="22"/>
            <w:szCs w:val="22"/>
            <w:lang w:val="en-US"/>
          </w:rPr>
          <w:tab/>
        </w:r>
        <w:r w:rsidRPr="0073230A">
          <w:rPr>
            <w:rStyle w:val="Hyperlink"/>
            <w:rFonts w:eastAsia="Calibri"/>
            <w:noProof/>
            <w:lang w:val="en-US"/>
          </w:rPr>
          <w:t>O</w:t>
        </w:r>
        <w:r w:rsidRPr="0073230A">
          <w:rPr>
            <w:rStyle w:val="Hyperlink"/>
            <w:rFonts w:eastAsia="Calibri"/>
            <w:noProof/>
          </w:rPr>
          <w:t xml:space="preserve">verview of Member State’s approach to children in administrative </w:t>
        </w:r>
        <w:r w:rsidRPr="0073230A">
          <w:rPr>
            <w:rStyle w:val="Hyperlink"/>
            <w:rFonts w:eastAsia="Calibri"/>
            <w:noProof/>
            <w:lang w:val="en-US"/>
          </w:rPr>
          <w:t>J</w:t>
        </w:r>
        <w:r w:rsidRPr="0073230A">
          <w:rPr>
            <w:rStyle w:val="Hyperlink"/>
            <w:rFonts w:eastAsia="Calibri"/>
            <w:noProof/>
          </w:rPr>
          <w:t>udicial proceedings and specialised services dealing with such children</w:t>
        </w:r>
        <w:r>
          <w:rPr>
            <w:noProof/>
            <w:webHidden/>
          </w:rPr>
          <w:tab/>
        </w:r>
        <w:r>
          <w:rPr>
            <w:noProof/>
            <w:webHidden/>
          </w:rPr>
          <w:fldChar w:fldCharType="begin"/>
        </w:r>
        <w:r>
          <w:rPr>
            <w:noProof/>
            <w:webHidden/>
          </w:rPr>
          <w:instrText xml:space="preserve"> PAGEREF _Toc409792182 \h </w:instrText>
        </w:r>
        <w:r>
          <w:rPr>
            <w:noProof/>
            <w:webHidden/>
          </w:rPr>
        </w:r>
        <w:r>
          <w:rPr>
            <w:noProof/>
            <w:webHidden/>
          </w:rPr>
          <w:fldChar w:fldCharType="separate"/>
        </w:r>
        <w:r>
          <w:rPr>
            <w:noProof/>
            <w:webHidden/>
          </w:rPr>
          <w:t>1</w:t>
        </w:r>
        <w:r>
          <w:rPr>
            <w:noProof/>
            <w:webHidden/>
          </w:rPr>
          <w:fldChar w:fldCharType="end"/>
        </w:r>
      </w:hyperlink>
    </w:p>
    <w:p w:rsidR="00537401" w:rsidRDefault="00537401" w:rsidP="00537401">
      <w:pPr>
        <w:pStyle w:val="TOC3"/>
        <w:rPr>
          <w:rFonts w:asciiTheme="minorHAnsi" w:eastAsiaTheme="minorEastAsia" w:hAnsiTheme="minorHAnsi" w:cstheme="minorBidi"/>
          <w:noProof/>
          <w:sz w:val="22"/>
          <w:szCs w:val="22"/>
          <w:lang w:val="en-US"/>
        </w:rPr>
      </w:pPr>
      <w:hyperlink w:anchor="_Toc409792183" w:history="1">
        <w:r w:rsidRPr="0073230A">
          <w:rPr>
            <w:rStyle w:val="Hyperlink"/>
            <w:rFonts w:eastAsia="Calibri"/>
            <w:noProof/>
          </w:rPr>
          <w:t>2.1</w:t>
        </w:r>
        <w:r>
          <w:rPr>
            <w:rFonts w:asciiTheme="minorHAnsi" w:eastAsiaTheme="minorEastAsia" w:hAnsiTheme="minorHAnsi" w:cstheme="minorBidi"/>
            <w:noProof/>
            <w:sz w:val="22"/>
            <w:szCs w:val="22"/>
            <w:lang w:val="en-US"/>
          </w:rPr>
          <w:tab/>
        </w:r>
        <w:r w:rsidRPr="0073230A">
          <w:rPr>
            <w:rStyle w:val="Hyperlink"/>
            <w:rFonts w:eastAsia="Calibri"/>
            <w:noProof/>
          </w:rPr>
          <w:t>Brief description of judicial system and institutions</w:t>
        </w:r>
        <w:r>
          <w:rPr>
            <w:noProof/>
            <w:webHidden/>
          </w:rPr>
          <w:tab/>
        </w:r>
        <w:r>
          <w:rPr>
            <w:noProof/>
            <w:webHidden/>
          </w:rPr>
          <w:fldChar w:fldCharType="begin"/>
        </w:r>
        <w:r>
          <w:rPr>
            <w:noProof/>
            <w:webHidden/>
          </w:rPr>
          <w:instrText xml:space="preserve"> PAGEREF _Toc409792183 \h </w:instrText>
        </w:r>
        <w:r>
          <w:rPr>
            <w:noProof/>
            <w:webHidden/>
          </w:rPr>
        </w:r>
        <w:r>
          <w:rPr>
            <w:noProof/>
            <w:webHidden/>
          </w:rPr>
          <w:fldChar w:fldCharType="separate"/>
        </w:r>
        <w:r>
          <w:rPr>
            <w:noProof/>
            <w:webHidden/>
          </w:rPr>
          <w:t>1</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184" w:history="1">
        <w:r w:rsidRPr="0073230A">
          <w:rPr>
            <w:rStyle w:val="Hyperlink"/>
            <w:noProof/>
          </w:rPr>
          <w:t>The legal framework</w:t>
        </w:r>
        <w:r>
          <w:rPr>
            <w:noProof/>
            <w:webHidden/>
          </w:rPr>
          <w:tab/>
        </w:r>
        <w:r>
          <w:rPr>
            <w:noProof/>
            <w:webHidden/>
          </w:rPr>
          <w:fldChar w:fldCharType="begin"/>
        </w:r>
        <w:r>
          <w:rPr>
            <w:noProof/>
            <w:webHidden/>
          </w:rPr>
          <w:instrText xml:space="preserve"> PAGEREF _Toc409792184 \h </w:instrText>
        </w:r>
        <w:r>
          <w:rPr>
            <w:noProof/>
            <w:webHidden/>
          </w:rPr>
        </w:r>
        <w:r>
          <w:rPr>
            <w:noProof/>
            <w:webHidden/>
          </w:rPr>
          <w:fldChar w:fldCharType="separate"/>
        </w:r>
        <w:r>
          <w:rPr>
            <w:noProof/>
            <w:webHidden/>
          </w:rPr>
          <w:t>1</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185" w:history="1">
        <w:r w:rsidRPr="0073230A">
          <w:rPr>
            <w:rStyle w:val="Hyperlink"/>
            <w:noProof/>
          </w:rPr>
          <w:t>Institutional framework</w:t>
        </w:r>
        <w:r>
          <w:rPr>
            <w:noProof/>
            <w:webHidden/>
          </w:rPr>
          <w:tab/>
        </w:r>
        <w:r>
          <w:rPr>
            <w:noProof/>
            <w:webHidden/>
          </w:rPr>
          <w:fldChar w:fldCharType="begin"/>
        </w:r>
        <w:r>
          <w:rPr>
            <w:noProof/>
            <w:webHidden/>
          </w:rPr>
          <w:instrText xml:space="preserve"> PAGEREF _Toc409792185 \h </w:instrText>
        </w:r>
        <w:r>
          <w:rPr>
            <w:noProof/>
            <w:webHidden/>
          </w:rPr>
        </w:r>
        <w:r>
          <w:rPr>
            <w:noProof/>
            <w:webHidden/>
          </w:rPr>
          <w:fldChar w:fldCharType="separate"/>
        </w:r>
        <w:r>
          <w:rPr>
            <w:noProof/>
            <w:webHidden/>
          </w:rPr>
          <w:t>2</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186" w:history="1">
        <w:r w:rsidRPr="0073230A">
          <w:rPr>
            <w:rStyle w:val="Hyperlink"/>
            <w:noProof/>
          </w:rPr>
          <w:t>Mediation/ombudsmen</w:t>
        </w:r>
        <w:r>
          <w:rPr>
            <w:noProof/>
            <w:webHidden/>
          </w:rPr>
          <w:tab/>
        </w:r>
        <w:r>
          <w:rPr>
            <w:noProof/>
            <w:webHidden/>
          </w:rPr>
          <w:fldChar w:fldCharType="begin"/>
        </w:r>
        <w:r>
          <w:rPr>
            <w:noProof/>
            <w:webHidden/>
          </w:rPr>
          <w:instrText xml:space="preserve"> PAGEREF _Toc409792186 \h </w:instrText>
        </w:r>
        <w:r>
          <w:rPr>
            <w:noProof/>
            <w:webHidden/>
          </w:rPr>
        </w:r>
        <w:r>
          <w:rPr>
            <w:noProof/>
            <w:webHidden/>
          </w:rPr>
          <w:fldChar w:fldCharType="separate"/>
        </w:r>
        <w:r>
          <w:rPr>
            <w:noProof/>
            <w:webHidden/>
          </w:rPr>
          <w:t>3</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187" w:history="1">
        <w:r w:rsidRPr="0073230A">
          <w:rPr>
            <w:rStyle w:val="Hyperlink"/>
            <w:noProof/>
          </w:rPr>
          <w:t>Administrative justice system</w:t>
        </w:r>
        <w:r>
          <w:rPr>
            <w:noProof/>
            <w:webHidden/>
          </w:rPr>
          <w:tab/>
        </w:r>
        <w:r>
          <w:rPr>
            <w:noProof/>
            <w:webHidden/>
          </w:rPr>
          <w:fldChar w:fldCharType="begin"/>
        </w:r>
        <w:r>
          <w:rPr>
            <w:noProof/>
            <w:webHidden/>
          </w:rPr>
          <w:instrText xml:space="preserve"> PAGEREF _Toc409792187 \h </w:instrText>
        </w:r>
        <w:r>
          <w:rPr>
            <w:noProof/>
            <w:webHidden/>
          </w:rPr>
        </w:r>
        <w:r>
          <w:rPr>
            <w:noProof/>
            <w:webHidden/>
          </w:rPr>
          <w:fldChar w:fldCharType="separate"/>
        </w:r>
        <w:r>
          <w:rPr>
            <w:noProof/>
            <w:webHidden/>
          </w:rPr>
          <w:t>4</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188" w:history="1">
        <w:r w:rsidRPr="0073230A">
          <w:rPr>
            <w:rStyle w:val="Hyperlink"/>
            <w:noProof/>
          </w:rPr>
          <w:t>Asylum</w:t>
        </w:r>
        <w:r>
          <w:rPr>
            <w:noProof/>
            <w:webHidden/>
          </w:rPr>
          <w:tab/>
        </w:r>
        <w:r>
          <w:rPr>
            <w:noProof/>
            <w:webHidden/>
          </w:rPr>
          <w:fldChar w:fldCharType="begin"/>
        </w:r>
        <w:r>
          <w:rPr>
            <w:noProof/>
            <w:webHidden/>
          </w:rPr>
          <w:instrText xml:space="preserve"> PAGEREF _Toc409792188 \h </w:instrText>
        </w:r>
        <w:r>
          <w:rPr>
            <w:noProof/>
            <w:webHidden/>
          </w:rPr>
        </w:r>
        <w:r>
          <w:rPr>
            <w:noProof/>
            <w:webHidden/>
          </w:rPr>
          <w:fldChar w:fldCharType="separate"/>
        </w:r>
        <w:r>
          <w:rPr>
            <w:noProof/>
            <w:webHidden/>
          </w:rPr>
          <w:t>6</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189" w:history="1">
        <w:r w:rsidRPr="0073230A">
          <w:rPr>
            <w:rStyle w:val="Hyperlink"/>
            <w:noProof/>
          </w:rPr>
          <w:t>Migration</w:t>
        </w:r>
        <w:r>
          <w:rPr>
            <w:noProof/>
            <w:webHidden/>
          </w:rPr>
          <w:tab/>
        </w:r>
        <w:r>
          <w:rPr>
            <w:noProof/>
            <w:webHidden/>
          </w:rPr>
          <w:fldChar w:fldCharType="begin"/>
        </w:r>
        <w:r>
          <w:rPr>
            <w:noProof/>
            <w:webHidden/>
          </w:rPr>
          <w:instrText xml:space="preserve"> PAGEREF _Toc409792189 \h </w:instrText>
        </w:r>
        <w:r>
          <w:rPr>
            <w:noProof/>
            <w:webHidden/>
          </w:rPr>
        </w:r>
        <w:r>
          <w:rPr>
            <w:noProof/>
            <w:webHidden/>
          </w:rPr>
          <w:fldChar w:fldCharType="separate"/>
        </w:r>
        <w:r>
          <w:rPr>
            <w:noProof/>
            <w:webHidden/>
          </w:rPr>
          <w:t>6</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190" w:history="1">
        <w:r w:rsidRPr="0073230A">
          <w:rPr>
            <w:rStyle w:val="Hyperlink"/>
            <w:noProof/>
          </w:rPr>
          <w:t>Education</w:t>
        </w:r>
        <w:r>
          <w:rPr>
            <w:noProof/>
            <w:webHidden/>
          </w:rPr>
          <w:tab/>
        </w:r>
        <w:r>
          <w:rPr>
            <w:noProof/>
            <w:webHidden/>
          </w:rPr>
          <w:fldChar w:fldCharType="begin"/>
        </w:r>
        <w:r>
          <w:rPr>
            <w:noProof/>
            <w:webHidden/>
          </w:rPr>
          <w:instrText xml:space="preserve"> PAGEREF _Toc409792190 \h </w:instrText>
        </w:r>
        <w:r>
          <w:rPr>
            <w:noProof/>
            <w:webHidden/>
          </w:rPr>
        </w:r>
        <w:r>
          <w:rPr>
            <w:noProof/>
            <w:webHidden/>
          </w:rPr>
          <w:fldChar w:fldCharType="separate"/>
        </w:r>
        <w:r>
          <w:rPr>
            <w:noProof/>
            <w:webHidden/>
          </w:rPr>
          <w:t>6</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191" w:history="1">
        <w:r w:rsidRPr="0073230A">
          <w:rPr>
            <w:rStyle w:val="Hyperlink"/>
            <w:noProof/>
          </w:rPr>
          <w:t>Health care</w:t>
        </w:r>
        <w:r>
          <w:rPr>
            <w:noProof/>
            <w:webHidden/>
          </w:rPr>
          <w:tab/>
        </w:r>
        <w:r>
          <w:rPr>
            <w:noProof/>
            <w:webHidden/>
          </w:rPr>
          <w:fldChar w:fldCharType="begin"/>
        </w:r>
        <w:r>
          <w:rPr>
            <w:noProof/>
            <w:webHidden/>
          </w:rPr>
          <w:instrText xml:space="preserve"> PAGEREF _Toc409792191 \h </w:instrText>
        </w:r>
        <w:r>
          <w:rPr>
            <w:noProof/>
            <w:webHidden/>
          </w:rPr>
        </w:r>
        <w:r>
          <w:rPr>
            <w:noProof/>
            <w:webHidden/>
          </w:rPr>
          <w:fldChar w:fldCharType="separate"/>
        </w:r>
        <w:r>
          <w:rPr>
            <w:noProof/>
            <w:webHidden/>
          </w:rPr>
          <w:t>7</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192" w:history="1">
        <w:r w:rsidRPr="0073230A">
          <w:rPr>
            <w:rStyle w:val="Hyperlink"/>
            <w:noProof/>
          </w:rPr>
          <w:t>Child protection/placement into care</w:t>
        </w:r>
        <w:r>
          <w:rPr>
            <w:noProof/>
            <w:webHidden/>
          </w:rPr>
          <w:tab/>
        </w:r>
        <w:r>
          <w:rPr>
            <w:noProof/>
            <w:webHidden/>
          </w:rPr>
          <w:fldChar w:fldCharType="begin"/>
        </w:r>
        <w:r>
          <w:rPr>
            <w:noProof/>
            <w:webHidden/>
          </w:rPr>
          <w:instrText xml:space="preserve"> PAGEREF _Toc409792192 \h </w:instrText>
        </w:r>
        <w:r>
          <w:rPr>
            <w:noProof/>
            <w:webHidden/>
          </w:rPr>
        </w:r>
        <w:r>
          <w:rPr>
            <w:noProof/>
            <w:webHidden/>
          </w:rPr>
          <w:fldChar w:fldCharType="separate"/>
        </w:r>
        <w:r>
          <w:rPr>
            <w:noProof/>
            <w:webHidden/>
          </w:rPr>
          <w:t>8</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193" w:history="1">
        <w:r w:rsidRPr="0073230A">
          <w:rPr>
            <w:rStyle w:val="Hyperlink"/>
            <w:noProof/>
          </w:rPr>
          <w:t>Children below MACR</w:t>
        </w:r>
        <w:r>
          <w:rPr>
            <w:noProof/>
            <w:webHidden/>
          </w:rPr>
          <w:tab/>
        </w:r>
        <w:r>
          <w:rPr>
            <w:noProof/>
            <w:webHidden/>
          </w:rPr>
          <w:fldChar w:fldCharType="begin"/>
        </w:r>
        <w:r>
          <w:rPr>
            <w:noProof/>
            <w:webHidden/>
          </w:rPr>
          <w:instrText xml:space="preserve"> PAGEREF _Toc409792193 \h </w:instrText>
        </w:r>
        <w:r>
          <w:rPr>
            <w:noProof/>
            <w:webHidden/>
          </w:rPr>
        </w:r>
        <w:r>
          <w:rPr>
            <w:noProof/>
            <w:webHidden/>
          </w:rPr>
          <w:fldChar w:fldCharType="separate"/>
        </w:r>
        <w:r>
          <w:rPr>
            <w:noProof/>
            <w:webHidden/>
          </w:rPr>
          <w:t>8</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194" w:history="1">
        <w:r w:rsidRPr="0073230A">
          <w:rPr>
            <w:rStyle w:val="Hyperlink"/>
            <w:noProof/>
          </w:rPr>
          <w:t>Administrative sanctions</w:t>
        </w:r>
        <w:r>
          <w:rPr>
            <w:noProof/>
            <w:webHidden/>
          </w:rPr>
          <w:tab/>
        </w:r>
        <w:r>
          <w:rPr>
            <w:noProof/>
            <w:webHidden/>
          </w:rPr>
          <w:fldChar w:fldCharType="begin"/>
        </w:r>
        <w:r>
          <w:rPr>
            <w:noProof/>
            <w:webHidden/>
          </w:rPr>
          <w:instrText xml:space="preserve"> PAGEREF _Toc409792194 \h </w:instrText>
        </w:r>
        <w:r>
          <w:rPr>
            <w:noProof/>
            <w:webHidden/>
          </w:rPr>
        </w:r>
        <w:r>
          <w:rPr>
            <w:noProof/>
            <w:webHidden/>
          </w:rPr>
          <w:fldChar w:fldCharType="separate"/>
        </w:r>
        <w:r>
          <w:rPr>
            <w:noProof/>
            <w:webHidden/>
          </w:rPr>
          <w:t>9</w:t>
        </w:r>
        <w:r>
          <w:rPr>
            <w:noProof/>
            <w:webHidden/>
          </w:rPr>
          <w:fldChar w:fldCharType="end"/>
        </w:r>
      </w:hyperlink>
    </w:p>
    <w:p w:rsidR="00537401" w:rsidRDefault="00537401" w:rsidP="00537401">
      <w:pPr>
        <w:pStyle w:val="TOC3"/>
        <w:rPr>
          <w:rFonts w:asciiTheme="minorHAnsi" w:eastAsiaTheme="minorEastAsia" w:hAnsiTheme="minorHAnsi" w:cstheme="minorBidi"/>
          <w:noProof/>
          <w:sz w:val="22"/>
          <w:szCs w:val="22"/>
          <w:lang w:val="en-US"/>
        </w:rPr>
      </w:pPr>
      <w:hyperlink w:anchor="_Toc409792195" w:history="1">
        <w:r w:rsidRPr="0073230A">
          <w:rPr>
            <w:rStyle w:val="Hyperlink"/>
            <w:noProof/>
          </w:rPr>
          <w:t>2.2</w:t>
        </w:r>
        <w:r>
          <w:rPr>
            <w:rFonts w:asciiTheme="minorHAnsi" w:eastAsiaTheme="minorEastAsia" w:hAnsiTheme="minorHAnsi" w:cstheme="minorBidi"/>
            <w:noProof/>
            <w:sz w:val="22"/>
            <w:szCs w:val="22"/>
            <w:lang w:val="en-US"/>
          </w:rPr>
          <w:tab/>
        </w:r>
        <w:r w:rsidRPr="0073230A">
          <w:rPr>
            <w:rStyle w:val="Hyperlink"/>
            <w:noProof/>
          </w:rPr>
          <w:t>General approach towards children under administrative law: evolving capacities, best interests of the child, principle of non-discrimination</w:t>
        </w:r>
        <w:r>
          <w:rPr>
            <w:noProof/>
            <w:webHidden/>
          </w:rPr>
          <w:tab/>
        </w:r>
        <w:r>
          <w:rPr>
            <w:noProof/>
            <w:webHidden/>
          </w:rPr>
          <w:fldChar w:fldCharType="begin"/>
        </w:r>
        <w:r>
          <w:rPr>
            <w:noProof/>
            <w:webHidden/>
          </w:rPr>
          <w:instrText xml:space="preserve"> PAGEREF _Toc409792195 \h </w:instrText>
        </w:r>
        <w:r>
          <w:rPr>
            <w:noProof/>
            <w:webHidden/>
          </w:rPr>
        </w:r>
        <w:r>
          <w:rPr>
            <w:noProof/>
            <w:webHidden/>
          </w:rPr>
          <w:fldChar w:fldCharType="separate"/>
        </w:r>
        <w:r>
          <w:rPr>
            <w:noProof/>
            <w:webHidden/>
          </w:rPr>
          <w:t>10</w:t>
        </w:r>
        <w:r>
          <w:rPr>
            <w:noProof/>
            <w:webHidden/>
          </w:rPr>
          <w:fldChar w:fldCharType="end"/>
        </w:r>
      </w:hyperlink>
    </w:p>
    <w:p w:rsidR="00537401" w:rsidRDefault="00537401" w:rsidP="00537401">
      <w:pPr>
        <w:pStyle w:val="TOC4"/>
        <w:rPr>
          <w:rFonts w:asciiTheme="minorHAnsi" w:eastAsiaTheme="minorEastAsia" w:hAnsiTheme="minorHAnsi" w:cstheme="minorBidi"/>
          <w:noProof/>
          <w:sz w:val="22"/>
          <w:szCs w:val="22"/>
          <w:lang w:val="en-US"/>
        </w:rPr>
      </w:pPr>
      <w:hyperlink w:anchor="_Toc409792196" w:history="1">
        <w:r w:rsidRPr="0073230A">
          <w:rPr>
            <w:rStyle w:val="Hyperlink"/>
            <w:noProof/>
          </w:rPr>
          <w:t>2.2.1</w:t>
        </w:r>
        <w:r>
          <w:rPr>
            <w:rFonts w:asciiTheme="minorHAnsi" w:eastAsiaTheme="minorEastAsia" w:hAnsiTheme="minorHAnsi" w:cstheme="minorBidi"/>
            <w:noProof/>
            <w:sz w:val="22"/>
            <w:szCs w:val="22"/>
            <w:lang w:val="en-US"/>
          </w:rPr>
          <w:tab/>
        </w:r>
        <w:r w:rsidRPr="0073230A">
          <w:rPr>
            <w:rStyle w:val="Hyperlink"/>
            <w:noProof/>
          </w:rPr>
          <w:t>Main principles/objectives for children’s involvement in administrative judicial proceedings</w:t>
        </w:r>
        <w:r>
          <w:rPr>
            <w:noProof/>
            <w:webHidden/>
          </w:rPr>
          <w:tab/>
        </w:r>
        <w:r>
          <w:rPr>
            <w:noProof/>
            <w:webHidden/>
          </w:rPr>
          <w:fldChar w:fldCharType="begin"/>
        </w:r>
        <w:r>
          <w:rPr>
            <w:noProof/>
            <w:webHidden/>
          </w:rPr>
          <w:instrText xml:space="preserve"> PAGEREF _Toc409792196 \h </w:instrText>
        </w:r>
        <w:r>
          <w:rPr>
            <w:noProof/>
            <w:webHidden/>
          </w:rPr>
        </w:r>
        <w:r>
          <w:rPr>
            <w:noProof/>
            <w:webHidden/>
          </w:rPr>
          <w:fldChar w:fldCharType="separate"/>
        </w:r>
        <w:r>
          <w:rPr>
            <w:noProof/>
            <w:webHidden/>
          </w:rPr>
          <w:t>10</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197" w:history="1">
        <w:r w:rsidRPr="0073230A">
          <w:rPr>
            <w:rStyle w:val="Hyperlink"/>
            <w:noProof/>
          </w:rPr>
          <w:t>Ensuring the child’s best interests</w:t>
        </w:r>
        <w:r>
          <w:rPr>
            <w:noProof/>
            <w:webHidden/>
          </w:rPr>
          <w:tab/>
        </w:r>
        <w:r>
          <w:rPr>
            <w:noProof/>
            <w:webHidden/>
          </w:rPr>
          <w:fldChar w:fldCharType="begin"/>
        </w:r>
        <w:r>
          <w:rPr>
            <w:noProof/>
            <w:webHidden/>
          </w:rPr>
          <w:instrText xml:space="preserve"> PAGEREF _Toc409792197 \h </w:instrText>
        </w:r>
        <w:r>
          <w:rPr>
            <w:noProof/>
            <w:webHidden/>
          </w:rPr>
        </w:r>
        <w:r>
          <w:rPr>
            <w:noProof/>
            <w:webHidden/>
          </w:rPr>
          <w:fldChar w:fldCharType="separate"/>
        </w:r>
        <w:r>
          <w:rPr>
            <w:noProof/>
            <w:webHidden/>
          </w:rPr>
          <w:t>11</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198" w:history="1">
        <w:r w:rsidRPr="0073230A">
          <w:rPr>
            <w:rStyle w:val="Hyperlink"/>
            <w:noProof/>
          </w:rPr>
          <w:t>Evolving capacity</w:t>
        </w:r>
        <w:r>
          <w:rPr>
            <w:noProof/>
            <w:webHidden/>
          </w:rPr>
          <w:tab/>
        </w:r>
        <w:r>
          <w:rPr>
            <w:noProof/>
            <w:webHidden/>
          </w:rPr>
          <w:fldChar w:fldCharType="begin"/>
        </w:r>
        <w:r>
          <w:rPr>
            <w:noProof/>
            <w:webHidden/>
          </w:rPr>
          <w:instrText xml:space="preserve"> PAGEREF _Toc409792198 \h </w:instrText>
        </w:r>
        <w:r>
          <w:rPr>
            <w:noProof/>
            <w:webHidden/>
          </w:rPr>
        </w:r>
        <w:r>
          <w:rPr>
            <w:noProof/>
            <w:webHidden/>
          </w:rPr>
          <w:fldChar w:fldCharType="separate"/>
        </w:r>
        <w:r>
          <w:rPr>
            <w:noProof/>
            <w:webHidden/>
          </w:rPr>
          <w:t>11</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199" w:history="1">
        <w:r w:rsidRPr="0073230A">
          <w:rPr>
            <w:rStyle w:val="Hyperlink"/>
            <w:noProof/>
          </w:rPr>
          <w:t>Protection from discrimination</w:t>
        </w:r>
        <w:r>
          <w:rPr>
            <w:noProof/>
            <w:webHidden/>
          </w:rPr>
          <w:tab/>
        </w:r>
        <w:r>
          <w:rPr>
            <w:noProof/>
            <w:webHidden/>
          </w:rPr>
          <w:fldChar w:fldCharType="begin"/>
        </w:r>
        <w:r>
          <w:rPr>
            <w:noProof/>
            <w:webHidden/>
          </w:rPr>
          <w:instrText xml:space="preserve"> PAGEREF _Toc409792199 \h </w:instrText>
        </w:r>
        <w:r>
          <w:rPr>
            <w:noProof/>
            <w:webHidden/>
          </w:rPr>
        </w:r>
        <w:r>
          <w:rPr>
            <w:noProof/>
            <w:webHidden/>
          </w:rPr>
          <w:fldChar w:fldCharType="separate"/>
        </w:r>
        <w:r>
          <w:rPr>
            <w:noProof/>
            <w:webHidden/>
          </w:rPr>
          <w:t>12</w:t>
        </w:r>
        <w:r>
          <w:rPr>
            <w:noProof/>
            <w:webHidden/>
          </w:rPr>
          <w:fldChar w:fldCharType="end"/>
        </w:r>
      </w:hyperlink>
    </w:p>
    <w:p w:rsidR="00537401" w:rsidRDefault="00537401" w:rsidP="00537401">
      <w:pPr>
        <w:pStyle w:val="TOC3"/>
        <w:rPr>
          <w:rFonts w:asciiTheme="minorHAnsi" w:eastAsiaTheme="minorEastAsia" w:hAnsiTheme="minorHAnsi" w:cstheme="minorBidi"/>
          <w:noProof/>
          <w:sz w:val="22"/>
          <w:szCs w:val="22"/>
          <w:lang w:val="en-US"/>
        </w:rPr>
      </w:pPr>
      <w:hyperlink w:anchor="_Toc409792200" w:history="1">
        <w:r w:rsidRPr="0073230A">
          <w:rPr>
            <w:rStyle w:val="Hyperlink"/>
            <w:noProof/>
          </w:rPr>
          <w:t>2.3</w:t>
        </w:r>
        <w:r>
          <w:rPr>
            <w:rFonts w:asciiTheme="minorHAnsi" w:eastAsiaTheme="minorEastAsia" w:hAnsiTheme="minorHAnsi" w:cstheme="minorBidi"/>
            <w:noProof/>
            <w:sz w:val="22"/>
            <w:szCs w:val="22"/>
            <w:lang w:val="en-US"/>
          </w:rPr>
          <w:tab/>
        </w:r>
        <w:r w:rsidRPr="0073230A">
          <w:rPr>
            <w:rStyle w:val="Hyperlink"/>
            <w:noProof/>
          </w:rPr>
          <w:t>Monitoring mechanisms, multidisciplinary approach and training</w:t>
        </w:r>
        <w:r>
          <w:rPr>
            <w:noProof/>
            <w:webHidden/>
          </w:rPr>
          <w:tab/>
        </w:r>
        <w:r>
          <w:rPr>
            <w:noProof/>
            <w:webHidden/>
          </w:rPr>
          <w:fldChar w:fldCharType="begin"/>
        </w:r>
        <w:r>
          <w:rPr>
            <w:noProof/>
            <w:webHidden/>
          </w:rPr>
          <w:instrText xml:space="preserve"> PAGEREF _Toc409792200 \h </w:instrText>
        </w:r>
        <w:r>
          <w:rPr>
            <w:noProof/>
            <w:webHidden/>
          </w:rPr>
        </w:r>
        <w:r>
          <w:rPr>
            <w:noProof/>
            <w:webHidden/>
          </w:rPr>
          <w:fldChar w:fldCharType="separate"/>
        </w:r>
        <w:r>
          <w:rPr>
            <w:noProof/>
            <w:webHidden/>
          </w:rPr>
          <w:t>13</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201" w:history="1">
        <w:r w:rsidRPr="0073230A">
          <w:rPr>
            <w:rStyle w:val="Hyperlink"/>
            <w:noProof/>
          </w:rPr>
          <w:t>Monitoring mechanisms</w:t>
        </w:r>
        <w:r>
          <w:rPr>
            <w:noProof/>
            <w:webHidden/>
          </w:rPr>
          <w:tab/>
        </w:r>
        <w:r>
          <w:rPr>
            <w:noProof/>
            <w:webHidden/>
          </w:rPr>
          <w:fldChar w:fldCharType="begin"/>
        </w:r>
        <w:r>
          <w:rPr>
            <w:noProof/>
            <w:webHidden/>
          </w:rPr>
          <w:instrText xml:space="preserve"> PAGEREF _Toc409792201 \h </w:instrText>
        </w:r>
        <w:r>
          <w:rPr>
            <w:noProof/>
            <w:webHidden/>
          </w:rPr>
        </w:r>
        <w:r>
          <w:rPr>
            <w:noProof/>
            <w:webHidden/>
          </w:rPr>
          <w:fldChar w:fldCharType="separate"/>
        </w:r>
        <w:r>
          <w:rPr>
            <w:noProof/>
            <w:webHidden/>
          </w:rPr>
          <w:t>13</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202" w:history="1">
        <w:r w:rsidRPr="0073230A">
          <w:rPr>
            <w:rStyle w:val="Hyperlink"/>
            <w:noProof/>
          </w:rPr>
          <w:t>Multidisciplinary measures</w:t>
        </w:r>
        <w:r>
          <w:rPr>
            <w:noProof/>
            <w:webHidden/>
          </w:rPr>
          <w:tab/>
        </w:r>
        <w:r>
          <w:rPr>
            <w:noProof/>
            <w:webHidden/>
          </w:rPr>
          <w:fldChar w:fldCharType="begin"/>
        </w:r>
        <w:r>
          <w:rPr>
            <w:noProof/>
            <w:webHidden/>
          </w:rPr>
          <w:instrText xml:space="preserve"> PAGEREF _Toc409792202 \h </w:instrText>
        </w:r>
        <w:r>
          <w:rPr>
            <w:noProof/>
            <w:webHidden/>
          </w:rPr>
        </w:r>
        <w:r>
          <w:rPr>
            <w:noProof/>
            <w:webHidden/>
          </w:rPr>
          <w:fldChar w:fldCharType="separate"/>
        </w:r>
        <w:r>
          <w:rPr>
            <w:noProof/>
            <w:webHidden/>
          </w:rPr>
          <w:t>13</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203" w:history="1">
        <w:r w:rsidRPr="0073230A">
          <w:rPr>
            <w:rStyle w:val="Hyperlink"/>
            <w:noProof/>
          </w:rPr>
          <w:t>Interactions between criminal, civil and/or administrative judicial proceedings</w:t>
        </w:r>
        <w:r>
          <w:rPr>
            <w:noProof/>
            <w:webHidden/>
          </w:rPr>
          <w:tab/>
        </w:r>
        <w:r>
          <w:rPr>
            <w:noProof/>
            <w:webHidden/>
          </w:rPr>
          <w:fldChar w:fldCharType="begin"/>
        </w:r>
        <w:r>
          <w:rPr>
            <w:noProof/>
            <w:webHidden/>
          </w:rPr>
          <w:instrText xml:space="preserve"> PAGEREF _Toc409792203 \h </w:instrText>
        </w:r>
        <w:r>
          <w:rPr>
            <w:noProof/>
            <w:webHidden/>
          </w:rPr>
        </w:r>
        <w:r>
          <w:rPr>
            <w:noProof/>
            <w:webHidden/>
          </w:rPr>
          <w:fldChar w:fldCharType="separate"/>
        </w:r>
        <w:r>
          <w:rPr>
            <w:noProof/>
            <w:webHidden/>
          </w:rPr>
          <w:t>14</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204" w:history="1">
        <w:r w:rsidRPr="0073230A">
          <w:rPr>
            <w:rStyle w:val="Hyperlink"/>
            <w:noProof/>
          </w:rPr>
          <w:t>Training</w:t>
        </w:r>
        <w:r>
          <w:rPr>
            <w:noProof/>
            <w:webHidden/>
          </w:rPr>
          <w:tab/>
        </w:r>
        <w:r>
          <w:rPr>
            <w:noProof/>
            <w:webHidden/>
          </w:rPr>
          <w:fldChar w:fldCharType="begin"/>
        </w:r>
        <w:r>
          <w:rPr>
            <w:noProof/>
            <w:webHidden/>
          </w:rPr>
          <w:instrText xml:space="preserve"> PAGEREF _Toc409792204 \h </w:instrText>
        </w:r>
        <w:r>
          <w:rPr>
            <w:noProof/>
            <w:webHidden/>
          </w:rPr>
        </w:r>
        <w:r>
          <w:rPr>
            <w:noProof/>
            <w:webHidden/>
          </w:rPr>
          <w:fldChar w:fldCharType="separate"/>
        </w:r>
        <w:r>
          <w:rPr>
            <w:noProof/>
            <w:webHidden/>
          </w:rPr>
          <w:t>14</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205" w:history="1">
        <w:r w:rsidRPr="0073230A">
          <w:rPr>
            <w:rStyle w:val="Hyperlink"/>
            <w:noProof/>
          </w:rPr>
          <w:t>Vetting</w:t>
        </w:r>
        <w:r>
          <w:rPr>
            <w:noProof/>
            <w:webHidden/>
          </w:rPr>
          <w:tab/>
        </w:r>
        <w:r>
          <w:rPr>
            <w:noProof/>
            <w:webHidden/>
          </w:rPr>
          <w:fldChar w:fldCharType="begin"/>
        </w:r>
        <w:r>
          <w:rPr>
            <w:noProof/>
            <w:webHidden/>
          </w:rPr>
          <w:instrText xml:space="preserve"> PAGEREF _Toc409792205 \h </w:instrText>
        </w:r>
        <w:r>
          <w:rPr>
            <w:noProof/>
            <w:webHidden/>
          </w:rPr>
        </w:r>
        <w:r>
          <w:rPr>
            <w:noProof/>
            <w:webHidden/>
          </w:rPr>
          <w:fldChar w:fldCharType="separate"/>
        </w:r>
        <w:r>
          <w:rPr>
            <w:noProof/>
            <w:webHidden/>
          </w:rPr>
          <w:t>15</w:t>
        </w:r>
        <w:r>
          <w:rPr>
            <w:noProof/>
            <w:webHidden/>
          </w:rPr>
          <w:fldChar w:fldCharType="end"/>
        </w:r>
      </w:hyperlink>
    </w:p>
    <w:p w:rsidR="00537401" w:rsidRDefault="00537401" w:rsidP="00537401">
      <w:pPr>
        <w:pStyle w:val="TOC1"/>
        <w:rPr>
          <w:rFonts w:asciiTheme="minorHAnsi" w:eastAsiaTheme="minorEastAsia" w:hAnsiTheme="minorHAnsi" w:cstheme="minorBidi"/>
          <w:noProof/>
          <w:color w:val="auto"/>
          <w:sz w:val="22"/>
          <w:szCs w:val="22"/>
          <w:lang w:val="en-US"/>
        </w:rPr>
      </w:pPr>
      <w:hyperlink w:anchor="_Toc409792206" w:history="1">
        <w:r w:rsidRPr="0073230A">
          <w:rPr>
            <w:rStyle w:val="Hyperlink"/>
            <w:rFonts w:eastAsia="Times New Roman"/>
            <w:noProof/>
          </w:rPr>
          <w:t>3</w:t>
        </w:r>
        <w:r>
          <w:rPr>
            <w:rFonts w:asciiTheme="minorHAnsi" w:eastAsiaTheme="minorEastAsia" w:hAnsiTheme="minorHAnsi" w:cstheme="minorBidi"/>
            <w:noProof/>
            <w:color w:val="auto"/>
            <w:sz w:val="22"/>
            <w:szCs w:val="22"/>
            <w:lang w:val="en-US"/>
          </w:rPr>
          <w:tab/>
        </w:r>
        <w:r w:rsidRPr="0073230A">
          <w:rPr>
            <w:rStyle w:val="Hyperlink"/>
            <w:rFonts w:eastAsia="Times New Roman"/>
            <w:noProof/>
          </w:rPr>
          <w:t>Child-friendly justice in administrative judicial proceedings</w:t>
        </w:r>
        <w:r>
          <w:rPr>
            <w:noProof/>
            <w:webHidden/>
          </w:rPr>
          <w:tab/>
        </w:r>
        <w:r>
          <w:rPr>
            <w:noProof/>
            <w:webHidden/>
          </w:rPr>
          <w:fldChar w:fldCharType="begin"/>
        </w:r>
        <w:r>
          <w:rPr>
            <w:noProof/>
            <w:webHidden/>
          </w:rPr>
          <w:instrText xml:space="preserve"> PAGEREF _Toc409792206 \h </w:instrText>
        </w:r>
        <w:r>
          <w:rPr>
            <w:noProof/>
            <w:webHidden/>
          </w:rPr>
        </w:r>
        <w:r>
          <w:rPr>
            <w:noProof/>
            <w:webHidden/>
          </w:rPr>
          <w:fldChar w:fldCharType="separate"/>
        </w:r>
        <w:r>
          <w:rPr>
            <w:noProof/>
            <w:webHidden/>
          </w:rPr>
          <w:t>16</w:t>
        </w:r>
        <w:r>
          <w:rPr>
            <w:noProof/>
            <w:webHidden/>
          </w:rPr>
          <w:fldChar w:fldCharType="end"/>
        </w:r>
      </w:hyperlink>
    </w:p>
    <w:p w:rsidR="00537401" w:rsidRDefault="00537401" w:rsidP="00537401">
      <w:pPr>
        <w:pStyle w:val="TOC3"/>
        <w:rPr>
          <w:rFonts w:asciiTheme="minorHAnsi" w:eastAsiaTheme="minorEastAsia" w:hAnsiTheme="minorHAnsi" w:cstheme="minorBidi"/>
          <w:noProof/>
          <w:sz w:val="22"/>
          <w:szCs w:val="22"/>
          <w:lang w:val="en-US"/>
        </w:rPr>
      </w:pPr>
      <w:hyperlink w:anchor="_Toc409792207" w:history="1">
        <w:r w:rsidRPr="0073230A">
          <w:rPr>
            <w:rStyle w:val="Hyperlink"/>
            <w:rFonts w:eastAsia="Times New Roman"/>
            <w:noProof/>
          </w:rPr>
          <w:t>3.1</w:t>
        </w:r>
        <w:r>
          <w:rPr>
            <w:rFonts w:asciiTheme="minorHAnsi" w:eastAsiaTheme="minorEastAsia" w:hAnsiTheme="minorHAnsi" w:cstheme="minorBidi"/>
            <w:noProof/>
            <w:sz w:val="22"/>
            <w:szCs w:val="22"/>
            <w:lang w:val="en-US"/>
          </w:rPr>
          <w:tab/>
        </w:r>
        <w:r w:rsidRPr="0073230A">
          <w:rPr>
            <w:rStyle w:val="Hyperlink"/>
            <w:rFonts w:eastAsia="Times New Roman"/>
            <w:noProof/>
          </w:rPr>
          <w:t>The child as an actor in administrative judicial proceedings</w:t>
        </w:r>
        <w:r>
          <w:rPr>
            <w:noProof/>
            <w:webHidden/>
          </w:rPr>
          <w:tab/>
        </w:r>
        <w:r>
          <w:rPr>
            <w:noProof/>
            <w:webHidden/>
          </w:rPr>
          <w:fldChar w:fldCharType="begin"/>
        </w:r>
        <w:r>
          <w:rPr>
            <w:noProof/>
            <w:webHidden/>
          </w:rPr>
          <w:instrText xml:space="preserve"> PAGEREF _Toc409792207 \h </w:instrText>
        </w:r>
        <w:r>
          <w:rPr>
            <w:noProof/>
            <w:webHidden/>
          </w:rPr>
        </w:r>
        <w:r>
          <w:rPr>
            <w:noProof/>
            <w:webHidden/>
          </w:rPr>
          <w:fldChar w:fldCharType="separate"/>
        </w:r>
        <w:r>
          <w:rPr>
            <w:noProof/>
            <w:webHidden/>
          </w:rPr>
          <w:t>16</w:t>
        </w:r>
        <w:r>
          <w:rPr>
            <w:noProof/>
            <w:webHidden/>
          </w:rPr>
          <w:fldChar w:fldCharType="end"/>
        </w:r>
      </w:hyperlink>
    </w:p>
    <w:p w:rsidR="00537401" w:rsidRDefault="00537401" w:rsidP="00537401">
      <w:pPr>
        <w:pStyle w:val="TOC4"/>
        <w:rPr>
          <w:rFonts w:asciiTheme="minorHAnsi" w:eastAsiaTheme="minorEastAsia" w:hAnsiTheme="minorHAnsi" w:cstheme="minorBidi"/>
          <w:noProof/>
          <w:sz w:val="22"/>
          <w:szCs w:val="22"/>
          <w:lang w:val="en-US"/>
        </w:rPr>
      </w:pPr>
      <w:hyperlink w:anchor="_Toc409792208" w:history="1">
        <w:r w:rsidRPr="0073230A">
          <w:rPr>
            <w:rStyle w:val="Hyperlink"/>
            <w:noProof/>
          </w:rPr>
          <w:t>3.1.1</w:t>
        </w:r>
        <w:r>
          <w:rPr>
            <w:rFonts w:asciiTheme="minorHAnsi" w:eastAsiaTheme="minorEastAsia" w:hAnsiTheme="minorHAnsi" w:cstheme="minorBidi"/>
            <w:noProof/>
            <w:sz w:val="22"/>
            <w:szCs w:val="22"/>
            <w:lang w:val="en-US"/>
          </w:rPr>
          <w:tab/>
        </w:r>
        <w:r w:rsidRPr="0073230A">
          <w:rPr>
            <w:rStyle w:val="Hyperlink"/>
            <w:noProof/>
          </w:rPr>
          <w:t>General procedural rules applicable to children involved in judicial proceedings including proceedings reviewing administrative authorities’ decisions in the sectors of asylum, migration, education, health, administrative sanctions and offences below the MACR.</w:t>
        </w:r>
        <w:r>
          <w:rPr>
            <w:noProof/>
            <w:webHidden/>
          </w:rPr>
          <w:tab/>
        </w:r>
        <w:r>
          <w:rPr>
            <w:noProof/>
            <w:webHidden/>
          </w:rPr>
          <w:fldChar w:fldCharType="begin"/>
        </w:r>
        <w:r>
          <w:rPr>
            <w:noProof/>
            <w:webHidden/>
          </w:rPr>
          <w:instrText xml:space="preserve"> PAGEREF _Toc409792208 \h </w:instrText>
        </w:r>
        <w:r>
          <w:rPr>
            <w:noProof/>
            <w:webHidden/>
          </w:rPr>
        </w:r>
        <w:r>
          <w:rPr>
            <w:noProof/>
            <w:webHidden/>
          </w:rPr>
          <w:fldChar w:fldCharType="separate"/>
        </w:r>
        <w:r>
          <w:rPr>
            <w:noProof/>
            <w:webHidden/>
          </w:rPr>
          <w:t>16</w:t>
        </w:r>
        <w:r>
          <w:rPr>
            <w:noProof/>
            <w:webHidden/>
          </w:rPr>
          <w:fldChar w:fldCharType="end"/>
        </w:r>
      </w:hyperlink>
    </w:p>
    <w:bookmarkStart w:id="7" w:name="_GoBack"/>
    <w:p w:rsidR="00537401" w:rsidRDefault="00537401" w:rsidP="00537401">
      <w:pPr>
        <w:pStyle w:val="TOC4"/>
        <w:rPr>
          <w:rFonts w:asciiTheme="minorHAnsi" w:eastAsiaTheme="minorEastAsia" w:hAnsiTheme="minorHAnsi" w:cstheme="minorBidi"/>
          <w:noProof/>
          <w:sz w:val="22"/>
          <w:szCs w:val="22"/>
          <w:lang w:val="en-US"/>
        </w:rPr>
      </w:pPr>
      <w:r w:rsidRPr="0073230A">
        <w:rPr>
          <w:rStyle w:val="Hyperlink"/>
          <w:noProof/>
        </w:rPr>
        <w:fldChar w:fldCharType="begin"/>
      </w:r>
      <w:r w:rsidRPr="0073230A">
        <w:rPr>
          <w:rStyle w:val="Hyperlink"/>
          <w:noProof/>
        </w:rPr>
        <w:instrText xml:space="preserve"> </w:instrText>
      </w:r>
      <w:r>
        <w:rPr>
          <w:noProof/>
        </w:rPr>
        <w:instrText>HYPERLINK \l "_Toc409792209"</w:instrText>
      </w:r>
      <w:r w:rsidRPr="0073230A">
        <w:rPr>
          <w:rStyle w:val="Hyperlink"/>
          <w:noProof/>
        </w:rPr>
        <w:instrText xml:space="preserve"> </w:instrText>
      </w:r>
      <w:r w:rsidRPr="0073230A">
        <w:rPr>
          <w:rStyle w:val="Hyperlink"/>
          <w:noProof/>
        </w:rPr>
      </w:r>
      <w:r w:rsidRPr="0073230A">
        <w:rPr>
          <w:rStyle w:val="Hyperlink"/>
          <w:noProof/>
        </w:rPr>
        <w:fldChar w:fldCharType="separate"/>
      </w:r>
      <w:r w:rsidRPr="0073230A">
        <w:rPr>
          <w:rStyle w:val="Hyperlink"/>
          <w:noProof/>
        </w:rPr>
        <w:t>3.1.2</w:t>
      </w:r>
      <w:r>
        <w:rPr>
          <w:rFonts w:asciiTheme="minorHAnsi" w:eastAsiaTheme="minorEastAsia" w:hAnsiTheme="minorHAnsi" w:cstheme="minorBidi"/>
          <w:noProof/>
          <w:sz w:val="22"/>
          <w:szCs w:val="22"/>
          <w:lang w:val="en-US"/>
        </w:rPr>
        <w:tab/>
      </w:r>
      <w:r w:rsidRPr="0073230A">
        <w:rPr>
          <w:rStyle w:val="Hyperlink"/>
          <w:noProof/>
        </w:rPr>
        <w:t>Procedural rules applicable to children involved in asylum proceedings</w:t>
      </w:r>
      <w:r>
        <w:rPr>
          <w:noProof/>
          <w:webHidden/>
        </w:rPr>
        <w:tab/>
      </w:r>
      <w:r>
        <w:rPr>
          <w:noProof/>
          <w:webHidden/>
        </w:rPr>
        <w:fldChar w:fldCharType="begin"/>
      </w:r>
      <w:r>
        <w:rPr>
          <w:noProof/>
          <w:webHidden/>
        </w:rPr>
        <w:instrText xml:space="preserve"> PAGEREF _Toc409792209 \h </w:instrText>
      </w:r>
      <w:r>
        <w:rPr>
          <w:noProof/>
          <w:webHidden/>
        </w:rPr>
      </w:r>
      <w:r>
        <w:rPr>
          <w:noProof/>
          <w:webHidden/>
        </w:rPr>
        <w:fldChar w:fldCharType="separate"/>
      </w:r>
      <w:r>
        <w:rPr>
          <w:noProof/>
          <w:webHidden/>
        </w:rPr>
        <w:t>19</w:t>
      </w:r>
      <w:r>
        <w:rPr>
          <w:noProof/>
          <w:webHidden/>
        </w:rPr>
        <w:fldChar w:fldCharType="end"/>
      </w:r>
      <w:r w:rsidRPr="0073230A">
        <w:rPr>
          <w:rStyle w:val="Hyperlink"/>
          <w:noProof/>
        </w:rPr>
        <w:fldChar w:fldCharType="end"/>
      </w:r>
    </w:p>
    <w:bookmarkEnd w:id="7"/>
    <w:p w:rsidR="00537401" w:rsidRDefault="00537401">
      <w:pPr>
        <w:pStyle w:val="TOC6"/>
        <w:tabs>
          <w:tab w:val="right" w:leader="dot" w:pos="9061"/>
        </w:tabs>
        <w:rPr>
          <w:rFonts w:asciiTheme="minorHAnsi" w:eastAsiaTheme="minorEastAsia" w:hAnsiTheme="minorHAnsi" w:cstheme="minorBidi"/>
          <w:noProof/>
          <w:sz w:val="22"/>
          <w:szCs w:val="22"/>
          <w:lang w:val="en-US"/>
        </w:rPr>
      </w:pPr>
      <w:r w:rsidRPr="0073230A">
        <w:rPr>
          <w:rStyle w:val="Hyperlink"/>
          <w:noProof/>
        </w:rPr>
        <w:fldChar w:fldCharType="begin"/>
      </w:r>
      <w:r w:rsidRPr="0073230A">
        <w:rPr>
          <w:rStyle w:val="Hyperlink"/>
          <w:noProof/>
        </w:rPr>
        <w:instrText xml:space="preserve"> </w:instrText>
      </w:r>
      <w:r>
        <w:rPr>
          <w:noProof/>
        </w:rPr>
        <w:instrText>HYPERLINK \l "_Toc409792210"</w:instrText>
      </w:r>
      <w:r w:rsidRPr="0073230A">
        <w:rPr>
          <w:rStyle w:val="Hyperlink"/>
          <w:noProof/>
        </w:rPr>
        <w:instrText xml:space="preserve"> </w:instrText>
      </w:r>
      <w:r w:rsidRPr="0073230A">
        <w:rPr>
          <w:rStyle w:val="Hyperlink"/>
          <w:noProof/>
        </w:rPr>
      </w:r>
      <w:r w:rsidRPr="0073230A">
        <w:rPr>
          <w:rStyle w:val="Hyperlink"/>
          <w:noProof/>
        </w:rPr>
        <w:fldChar w:fldCharType="separate"/>
      </w:r>
      <w:r w:rsidRPr="0073230A">
        <w:rPr>
          <w:rStyle w:val="Hyperlink"/>
          <w:noProof/>
        </w:rPr>
        <w:t>The unaccompanied child national of a country outside the European Economic Area (EEA)</w:t>
      </w:r>
      <w:r>
        <w:rPr>
          <w:noProof/>
          <w:webHidden/>
        </w:rPr>
        <w:tab/>
      </w:r>
      <w:r>
        <w:rPr>
          <w:noProof/>
          <w:webHidden/>
        </w:rPr>
        <w:fldChar w:fldCharType="begin"/>
      </w:r>
      <w:r>
        <w:rPr>
          <w:noProof/>
          <w:webHidden/>
        </w:rPr>
        <w:instrText xml:space="preserve"> PAGEREF _Toc409792210 \h </w:instrText>
      </w:r>
      <w:r>
        <w:rPr>
          <w:noProof/>
          <w:webHidden/>
        </w:rPr>
      </w:r>
      <w:r>
        <w:rPr>
          <w:noProof/>
          <w:webHidden/>
        </w:rPr>
        <w:fldChar w:fldCharType="separate"/>
      </w:r>
      <w:r>
        <w:rPr>
          <w:noProof/>
          <w:webHidden/>
        </w:rPr>
        <w:t>19</w:t>
      </w:r>
      <w:r>
        <w:rPr>
          <w:noProof/>
          <w:webHidden/>
        </w:rPr>
        <w:fldChar w:fldCharType="end"/>
      </w:r>
      <w:r w:rsidRPr="0073230A">
        <w:rPr>
          <w:rStyle w:val="Hyperlink"/>
          <w:noProof/>
        </w:rPr>
        <w:fldChar w:fldCharType="end"/>
      </w:r>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211" w:history="1">
        <w:r w:rsidRPr="0073230A">
          <w:rPr>
            <w:rStyle w:val="Hyperlink"/>
            <w:rFonts w:eastAsia="Times New Roman"/>
            <w:noProof/>
          </w:rPr>
          <w:t>The unaccompanied EEA child</w:t>
        </w:r>
        <w:r>
          <w:rPr>
            <w:noProof/>
            <w:webHidden/>
          </w:rPr>
          <w:tab/>
        </w:r>
        <w:r>
          <w:rPr>
            <w:noProof/>
            <w:webHidden/>
          </w:rPr>
          <w:fldChar w:fldCharType="begin"/>
        </w:r>
        <w:r>
          <w:rPr>
            <w:noProof/>
            <w:webHidden/>
          </w:rPr>
          <w:instrText xml:space="preserve"> PAGEREF _Toc409792211 \h </w:instrText>
        </w:r>
        <w:r>
          <w:rPr>
            <w:noProof/>
            <w:webHidden/>
          </w:rPr>
        </w:r>
        <w:r>
          <w:rPr>
            <w:noProof/>
            <w:webHidden/>
          </w:rPr>
          <w:fldChar w:fldCharType="separate"/>
        </w:r>
        <w:r>
          <w:rPr>
            <w:noProof/>
            <w:webHidden/>
          </w:rPr>
          <w:t>20</w:t>
        </w:r>
        <w:r>
          <w:rPr>
            <w:noProof/>
            <w:webHidden/>
          </w:rPr>
          <w:fldChar w:fldCharType="end"/>
        </w:r>
      </w:hyperlink>
    </w:p>
    <w:p w:rsidR="00537401" w:rsidRDefault="00537401" w:rsidP="00537401">
      <w:pPr>
        <w:pStyle w:val="TOC4"/>
        <w:rPr>
          <w:rFonts w:asciiTheme="minorHAnsi" w:eastAsiaTheme="minorEastAsia" w:hAnsiTheme="minorHAnsi" w:cstheme="minorBidi"/>
          <w:noProof/>
          <w:sz w:val="22"/>
          <w:szCs w:val="22"/>
          <w:lang w:val="en-US"/>
        </w:rPr>
      </w:pPr>
      <w:hyperlink w:anchor="_Toc409792212" w:history="1">
        <w:r w:rsidRPr="0073230A">
          <w:rPr>
            <w:rStyle w:val="Hyperlink"/>
            <w:noProof/>
          </w:rPr>
          <w:t>3.1.3</w:t>
        </w:r>
        <w:r>
          <w:rPr>
            <w:rFonts w:asciiTheme="minorHAnsi" w:eastAsiaTheme="minorEastAsia" w:hAnsiTheme="minorHAnsi" w:cstheme="minorBidi"/>
            <w:noProof/>
            <w:sz w:val="22"/>
            <w:szCs w:val="22"/>
            <w:lang w:val="en-US"/>
          </w:rPr>
          <w:tab/>
        </w:r>
        <w:r w:rsidRPr="0073230A">
          <w:rPr>
            <w:rStyle w:val="Hyperlink"/>
            <w:noProof/>
          </w:rPr>
          <w:t>Procedural rules applicable to children involved in migration proceedings</w:t>
        </w:r>
        <w:r>
          <w:rPr>
            <w:noProof/>
            <w:webHidden/>
          </w:rPr>
          <w:tab/>
        </w:r>
        <w:r>
          <w:rPr>
            <w:noProof/>
            <w:webHidden/>
          </w:rPr>
          <w:fldChar w:fldCharType="begin"/>
        </w:r>
        <w:r>
          <w:rPr>
            <w:noProof/>
            <w:webHidden/>
          </w:rPr>
          <w:instrText xml:space="preserve"> PAGEREF _Toc409792212 \h </w:instrText>
        </w:r>
        <w:r>
          <w:rPr>
            <w:noProof/>
            <w:webHidden/>
          </w:rPr>
        </w:r>
        <w:r>
          <w:rPr>
            <w:noProof/>
            <w:webHidden/>
          </w:rPr>
          <w:fldChar w:fldCharType="separate"/>
        </w:r>
        <w:r>
          <w:rPr>
            <w:noProof/>
            <w:webHidden/>
          </w:rPr>
          <w:t>20</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213" w:history="1">
        <w:r w:rsidRPr="0073230A">
          <w:rPr>
            <w:rStyle w:val="Hyperlink"/>
            <w:noProof/>
          </w:rPr>
          <w:t>Mental health</w:t>
        </w:r>
        <w:r>
          <w:rPr>
            <w:noProof/>
            <w:webHidden/>
          </w:rPr>
          <w:tab/>
        </w:r>
        <w:r>
          <w:rPr>
            <w:noProof/>
            <w:webHidden/>
          </w:rPr>
          <w:fldChar w:fldCharType="begin"/>
        </w:r>
        <w:r>
          <w:rPr>
            <w:noProof/>
            <w:webHidden/>
          </w:rPr>
          <w:instrText xml:space="preserve"> PAGEREF _Toc409792213 \h </w:instrText>
        </w:r>
        <w:r>
          <w:rPr>
            <w:noProof/>
            <w:webHidden/>
          </w:rPr>
        </w:r>
        <w:r>
          <w:rPr>
            <w:noProof/>
            <w:webHidden/>
          </w:rPr>
          <w:fldChar w:fldCharType="separate"/>
        </w:r>
        <w:r>
          <w:rPr>
            <w:noProof/>
            <w:webHidden/>
          </w:rPr>
          <w:t>21</w:t>
        </w:r>
        <w:r>
          <w:rPr>
            <w:noProof/>
            <w:webHidden/>
          </w:rPr>
          <w:fldChar w:fldCharType="end"/>
        </w:r>
      </w:hyperlink>
    </w:p>
    <w:p w:rsidR="00537401" w:rsidRDefault="00537401" w:rsidP="00537401">
      <w:pPr>
        <w:pStyle w:val="TOC4"/>
        <w:rPr>
          <w:rFonts w:asciiTheme="minorHAnsi" w:eastAsiaTheme="minorEastAsia" w:hAnsiTheme="minorHAnsi" w:cstheme="minorBidi"/>
          <w:noProof/>
          <w:sz w:val="22"/>
          <w:szCs w:val="22"/>
          <w:lang w:val="en-US"/>
        </w:rPr>
      </w:pPr>
      <w:hyperlink w:anchor="_Toc409792214" w:history="1">
        <w:r w:rsidRPr="0073230A">
          <w:rPr>
            <w:rStyle w:val="Hyperlink"/>
            <w:noProof/>
          </w:rPr>
          <w:t>3.1.4</w:t>
        </w:r>
        <w:r>
          <w:rPr>
            <w:rFonts w:asciiTheme="minorHAnsi" w:eastAsiaTheme="minorEastAsia" w:hAnsiTheme="minorHAnsi" w:cstheme="minorBidi"/>
            <w:noProof/>
            <w:sz w:val="22"/>
            <w:szCs w:val="22"/>
            <w:lang w:val="en-US"/>
          </w:rPr>
          <w:tab/>
        </w:r>
        <w:r w:rsidRPr="0073230A">
          <w:rPr>
            <w:rStyle w:val="Hyperlink"/>
            <w:noProof/>
          </w:rPr>
          <w:t>Procedural rules applicable to children involved in proceedings for placement into care</w:t>
        </w:r>
        <w:r>
          <w:rPr>
            <w:noProof/>
            <w:webHidden/>
          </w:rPr>
          <w:tab/>
        </w:r>
        <w:r>
          <w:rPr>
            <w:noProof/>
            <w:webHidden/>
          </w:rPr>
          <w:fldChar w:fldCharType="begin"/>
        </w:r>
        <w:r>
          <w:rPr>
            <w:noProof/>
            <w:webHidden/>
          </w:rPr>
          <w:instrText xml:space="preserve"> PAGEREF _Toc409792214 \h </w:instrText>
        </w:r>
        <w:r>
          <w:rPr>
            <w:noProof/>
            <w:webHidden/>
          </w:rPr>
        </w:r>
        <w:r>
          <w:rPr>
            <w:noProof/>
            <w:webHidden/>
          </w:rPr>
          <w:fldChar w:fldCharType="separate"/>
        </w:r>
        <w:r>
          <w:rPr>
            <w:noProof/>
            <w:webHidden/>
          </w:rPr>
          <w:t>22</w:t>
        </w:r>
        <w:r>
          <w:rPr>
            <w:noProof/>
            <w:webHidden/>
          </w:rPr>
          <w:fldChar w:fldCharType="end"/>
        </w:r>
      </w:hyperlink>
    </w:p>
    <w:p w:rsidR="00537401" w:rsidRDefault="00537401" w:rsidP="00537401">
      <w:pPr>
        <w:pStyle w:val="TOC4"/>
        <w:rPr>
          <w:rFonts w:asciiTheme="minorHAnsi" w:eastAsiaTheme="minorEastAsia" w:hAnsiTheme="minorHAnsi" w:cstheme="minorBidi"/>
          <w:noProof/>
          <w:sz w:val="22"/>
          <w:szCs w:val="22"/>
          <w:lang w:val="en-US"/>
        </w:rPr>
      </w:pPr>
      <w:hyperlink w:anchor="_Toc409792215" w:history="1">
        <w:r w:rsidRPr="0073230A">
          <w:rPr>
            <w:rStyle w:val="Hyperlink"/>
            <w:noProof/>
          </w:rPr>
          <w:t>3.1.5</w:t>
        </w:r>
        <w:r>
          <w:rPr>
            <w:rFonts w:asciiTheme="minorHAnsi" w:eastAsiaTheme="minorEastAsia" w:hAnsiTheme="minorHAnsi" w:cstheme="minorBidi"/>
            <w:noProof/>
            <w:sz w:val="22"/>
            <w:szCs w:val="22"/>
            <w:lang w:val="en-US"/>
          </w:rPr>
          <w:tab/>
        </w:r>
        <w:r w:rsidRPr="0073230A">
          <w:rPr>
            <w:rStyle w:val="Hyperlink"/>
            <w:noProof/>
          </w:rPr>
          <w:t>Procedural rules applicable to children involved in administrative sanctions proceedings</w:t>
        </w:r>
        <w:r>
          <w:rPr>
            <w:noProof/>
            <w:webHidden/>
          </w:rPr>
          <w:tab/>
        </w:r>
        <w:r>
          <w:rPr>
            <w:noProof/>
            <w:webHidden/>
          </w:rPr>
          <w:fldChar w:fldCharType="begin"/>
        </w:r>
        <w:r>
          <w:rPr>
            <w:noProof/>
            <w:webHidden/>
          </w:rPr>
          <w:instrText xml:space="preserve"> PAGEREF _Toc409792215 \h </w:instrText>
        </w:r>
        <w:r>
          <w:rPr>
            <w:noProof/>
            <w:webHidden/>
          </w:rPr>
        </w:r>
        <w:r>
          <w:rPr>
            <w:noProof/>
            <w:webHidden/>
          </w:rPr>
          <w:fldChar w:fldCharType="separate"/>
        </w:r>
        <w:r>
          <w:rPr>
            <w:noProof/>
            <w:webHidden/>
          </w:rPr>
          <w:t>23</w:t>
        </w:r>
        <w:r>
          <w:rPr>
            <w:noProof/>
            <w:webHidden/>
          </w:rPr>
          <w:fldChar w:fldCharType="end"/>
        </w:r>
      </w:hyperlink>
    </w:p>
    <w:p w:rsidR="00537401" w:rsidRDefault="00537401" w:rsidP="00537401">
      <w:pPr>
        <w:pStyle w:val="TOC3"/>
        <w:rPr>
          <w:rFonts w:asciiTheme="minorHAnsi" w:eastAsiaTheme="minorEastAsia" w:hAnsiTheme="minorHAnsi" w:cstheme="minorBidi"/>
          <w:noProof/>
          <w:sz w:val="22"/>
          <w:szCs w:val="22"/>
          <w:lang w:val="en-US"/>
        </w:rPr>
      </w:pPr>
      <w:hyperlink w:anchor="_Toc409792216" w:history="1">
        <w:r w:rsidRPr="0073230A">
          <w:rPr>
            <w:rStyle w:val="Hyperlink"/>
            <w:noProof/>
          </w:rPr>
          <w:t>3.2</w:t>
        </w:r>
        <w:r>
          <w:rPr>
            <w:rFonts w:asciiTheme="minorHAnsi" w:eastAsiaTheme="minorEastAsia" w:hAnsiTheme="minorHAnsi" w:cstheme="minorBidi"/>
            <w:noProof/>
            <w:sz w:val="22"/>
            <w:szCs w:val="22"/>
            <w:lang w:val="en-US"/>
          </w:rPr>
          <w:tab/>
        </w:r>
        <w:r w:rsidRPr="0073230A">
          <w:rPr>
            <w:rStyle w:val="Hyperlink"/>
            <w:noProof/>
          </w:rPr>
          <w:t>Provision of information</w:t>
        </w:r>
        <w:r>
          <w:rPr>
            <w:noProof/>
            <w:webHidden/>
          </w:rPr>
          <w:tab/>
        </w:r>
        <w:r>
          <w:rPr>
            <w:noProof/>
            <w:webHidden/>
          </w:rPr>
          <w:fldChar w:fldCharType="begin"/>
        </w:r>
        <w:r>
          <w:rPr>
            <w:noProof/>
            <w:webHidden/>
          </w:rPr>
          <w:instrText xml:space="preserve"> PAGEREF _Toc409792216 \h </w:instrText>
        </w:r>
        <w:r>
          <w:rPr>
            <w:noProof/>
            <w:webHidden/>
          </w:rPr>
        </w:r>
        <w:r>
          <w:rPr>
            <w:noProof/>
            <w:webHidden/>
          </w:rPr>
          <w:fldChar w:fldCharType="separate"/>
        </w:r>
        <w:r>
          <w:rPr>
            <w:noProof/>
            <w:webHidden/>
          </w:rPr>
          <w:t>24</w:t>
        </w:r>
        <w:r>
          <w:rPr>
            <w:noProof/>
            <w:webHidden/>
          </w:rPr>
          <w:fldChar w:fldCharType="end"/>
        </w:r>
      </w:hyperlink>
    </w:p>
    <w:p w:rsidR="00537401" w:rsidRDefault="00537401" w:rsidP="00537401">
      <w:pPr>
        <w:pStyle w:val="TOC4"/>
        <w:rPr>
          <w:rFonts w:asciiTheme="minorHAnsi" w:eastAsiaTheme="minorEastAsia" w:hAnsiTheme="minorHAnsi" w:cstheme="minorBidi"/>
          <w:noProof/>
          <w:sz w:val="22"/>
          <w:szCs w:val="22"/>
          <w:lang w:val="en-US"/>
        </w:rPr>
      </w:pPr>
      <w:hyperlink w:anchor="_Toc409792217" w:history="1">
        <w:r w:rsidRPr="0073230A">
          <w:rPr>
            <w:rStyle w:val="Hyperlink"/>
            <w:noProof/>
          </w:rPr>
          <w:t>3.2.1</w:t>
        </w:r>
        <w:r>
          <w:rPr>
            <w:rFonts w:asciiTheme="minorHAnsi" w:eastAsiaTheme="minorEastAsia" w:hAnsiTheme="minorHAnsi" w:cstheme="minorBidi"/>
            <w:noProof/>
            <w:sz w:val="22"/>
            <w:szCs w:val="22"/>
            <w:lang w:val="en-US"/>
          </w:rPr>
          <w:tab/>
        </w:r>
        <w:r w:rsidRPr="0073230A">
          <w:rPr>
            <w:rStyle w:val="Hyperlink"/>
            <w:noProof/>
          </w:rPr>
          <w:t>General procedural rules applicable to children involved in administrative judicial proceedings including proceedings reviewing administrative authorities’ decisions in the sectors of asylum, migration and education</w:t>
        </w:r>
        <w:r>
          <w:rPr>
            <w:noProof/>
            <w:webHidden/>
          </w:rPr>
          <w:tab/>
        </w:r>
        <w:r>
          <w:rPr>
            <w:noProof/>
            <w:webHidden/>
          </w:rPr>
          <w:fldChar w:fldCharType="begin"/>
        </w:r>
        <w:r>
          <w:rPr>
            <w:noProof/>
            <w:webHidden/>
          </w:rPr>
          <w:instrText xml:space="preserve"> PAGEREF _Toc409792217 \h </w:instrText>
        </w:r>
        <w:r>
          <w:rPr>
            <w:noProof/>
            <w:webHidden/>
          </w:rPr>
        </w:r>
        <w:r>
          <w:rPr>
            <w:noProof/>
            <w:webHidden/>
          </w:rPr>
          <w:fldChar w:fldCharType="separate"/>
        </w:r>
        <w:r>
          <w:rPr>
            <w:noProof/>
            <w:webHidden/>
          </w:rPr>
          <w:t>24</w:t>
        </w:r>
        <w:r>
          <w:rPr>
            <w:noProof/>
            <w:webHidden/>
          </w:rPr>
          <w:fldChar w:fldCharType="end"/>
        </w:r>
      </w:hyperlink>
    </w:p>
    <w:p w:rsidR="00537401" w:rsidRDefault="00537401" w:rsidP="00537401">
      <w:pPr>
        <w:pStyle w:val="TOC4"/>
        <w:rPr>
          <w:rFonts w:asciiTheme="minorHAnsi" w:eastAsiaTheme="minorEastAsia" w:hAnsiTheme="minorHAnsi" w:cstheme="minorBidi"/>
          <w:noProof/>
          <w:sz w:val="22"/>
          <w:szCs w:val="22"/>
          <w:lang w:val="en-US"/>
        </w:rPr>
      </w:pPr>
      <w:hyperlink w:anchor="_Toc409792218" w:history="1">
        <w:r w:rsidRPr="0073230A">
          <w:rPr>
            <w:rStyle w:val="Hyperlink"/>
            <w:noProof/>
          </w:rPr>
          <w:t>3.2.2</w:t>
        </w:r>
        <w:r>
          <w:rPr>
            <w:rFonts w:asciiTheme="minorHAnsi" w:eastAsiaTheme="minorEastAsia" w:hAnsiTheme="minorHAnsi" w:cstheme="minorBidi"/>
            <w:noProof/>
            <w:sz w:val="22"/>
            <w:szCs w:val="22"/>
            <w:lang w:val="en-US"/>
          </w:rPr>
          <w:tab/>
        </w:r>
        <w:r w:rsidRPr="0073230A">
          <w:rPr>
            <w:rStyle w:val="Hyperlink"/>
            <w:noProof/>
          </w:rPr>
          <w:t>Procedural rules applicable to children involved in asylum proceedings</w:t>
        </w:r>
        <w:r>
          <w:rPr>
            <w:noProof/>
            <w:webHidden/>
          </w:rPr>
          <w:tab/>
        </w:r>
        <w:r>
          <w:rPr>
            <w:noProof/>
            <w:webHidden/>
          </w:rPr>
          <w:fldChar w:fldCharType="begin"/>
        </w:r>
        <w:r>
          <w:rPr>
            <w:noProof/>
            <w:webHidden/>
          </w:rPr>
          <w:instrText xml:space="preserve"> PAGEREF _Toc409792218 \h </w:instrText>
        </w:r>
        <w:r>
          <w:rPr>
            <w:noProof/>
            <w:webHidden/>
          </w:rPr>
        </w:r>
        <w:r>
          <w:rPr>
            <w:noProof/>
            <w:webHidden/>
          </w:rPr>
          <w:fldChar w:fldCharType="separate"/>
        </w:r>
        <w:r>
          <w:rPr>
            <w:noProof/>
            <w:webHidden/>
          </w:rPr>
          <w:t>27</w:t>
        </w:r>
        <w:r>
          <w:rPr>
            <w:noProof/>
            <w:webHidden/>
          </w:rPr>
          <w:fldChar w:fldCharType="end"/>
        </w:r>
      </w:hyperlink>
    </w:p>
    <w:p w:rsidR="00537401" w:rsidRDefault="00537401" w:rsidP="00537401">
      <w:pPr>
        <w:pStyle w:val="TOC4"/>
        <w:rPr>
          <w:rFonts w:asciiTheme="minorHAnsi" w:eastAsiaTheme="minorEastAsia" w:hAnsiTheme="minorHAnsi" w:cstheme="minorBidi"/>
          <w:noProof/>
          <w:sz w:val="22"/>
          <w:szCs w:val="22"/>
          <w:lang w:val="en-US"/>
        </w:rPr>
      </w:pPr>
      <w:hyperlink w:anchor="_Toc409792219" w:history="1">
        <w:r w:rsidRPr="0073230A">
          <w:rPr>
            <w:rStyle w:val="Hyperlink"/>
            <w:noProof/>
          </w:rPr>
          <w:t>3.2.3</w:t>
        </w:r>
        <w:r>
          <w:rPr>
            <w:rFonts w:asciiTheme="minorHAnsi" w:eastAsiaTheme="minorEastAsia" w:hAnsiTheme="minorHAnsi" w:cstheme="minorBidi"/>
            <w:noProof/>
            <w:sz w:val="22"/>
            <w:szCs w:val="22"/>
            <w:lang w:val="en-US"/>
          </w:rPr>
          <w:tab/>
        </w:r>
        <w:r w:rsidRPr="0073230A">
          <w:rPr>
            <w:rStyle w:val="Hyperlink"/>
            <w:noProof/>
          </w:rPr>
          <w:t>Procedural rules applicable to children involved in health care proceedings</w:t>
        </w:r>
        <w:r>
          <w:rPr>
            <w:noProof/>
            <w:webHidden/>
          </w:rPr>
          <w:tab/>
        </w:r>
        <w:r>
          <w:rPr>
            <w:noProof/>
            <w:webHidden/>
          </w:rPr>
          <w:fldChar w:fldCharType="begin"/>
        </w:r>
        <w:r>
          <w:rPr>
            <w:noProof/>
            <w:webHidden/>
          </w:rPr>
          <w:instrText xml:space="preserve"> PAGEREF _Toc409792219 \h </w:instrText>
        </w:r>
        <w:r>
          <w:rPr>
            <w:noProof/>
            <w:webHidden/>
          </w:rPr>
        </w:r>
        <w:r>
          <w:rPr>
            <w:noProof/>
            <w:webHidden/>
          </w:rPr>
          <w:fldChar w:fldCharType="separate"/>
        </w:r>
        <w:r>
          <w:rPr>
            <w:noProof/>
            <w:webHidden/>
          </w:rPr>
          <w:t>27</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220" w:history="1">
        <w:r w:rsidRPr="0073230A">
          <w:rPr>
            <w:rStyle w:val="Hyperlink"/>
            <w:noProof/>
          </w:rPr>
          <w:t>Mental health</w:t>
        </w:r>
        <w:r>
          <w:rPr>
            <w:noProof/>
            <w:webHidden/>
          </w:rPr>
          <w:tab/>
        </w:r>
        <w:r>
          <w:rPr>
            <w:noProof/>
            <w:webHidden/>
          </w:rPr>
          <w:fldChar w:fldCharType="begin"/>
        </w:r>
        <w:r>
          <w:rPr>
            <w:noProof/>
            <w:webHidden/>
          </w:rPr>
          <w:instrText xml:space="preserve"> PAGEREF _Toc409792220 \h </w:instrText>
        </w:r>
        <w:r>
          <w:rPr>
            <w:noProof/>
            <w:webHidden/>
          </w:rPr>
        </w:r>
        <w:r>
          <w:rPr>
            <w:noProof/>
            <w:webHidden/>
          </w:rPr>
          <w:fldChar w:fldCharType="separate"/>
        </w:r>
        <w:r>
          <w:rPr>
            <w:noProof/>
            <w:webHidden/>
          </w:rPr>
          <w:t>28</w:t>
        </w:r>
        <w:r>
          <w:rPr>
            <w:noProof/>
            <w:webHidden/>
          </w:rPr>
          <w:fldChar w:fldCharType="end"/>
        </w:r>
      </w:hyperlink>
    </w:p>
    <w:p w:rsidR="00537401" w:rsidRDefault="00537401" w:rsidP="00537401">
      <w:pPr>
        <w:pStyle w:val="TOC4"/>
        <w:rPr>
          <w:rFonts w:asciiTheme="minorHAnsi" w:eastAsiaTheme="minorEastAsia" w:hAnsiTheme="minorHAnsi" w:cstheme="minorBidi"/>
          <w:noProof/>
          <w:sz w:val="22"/>
          <w:szCs w:val="22"/>
          <w:lang w:val="en-US"/>
        </w:rPr>
      </w:pPr>
      <w:hyperlink w:anchor="_Toc409792221" w:history="1">
        <w:r w:rsidRPr="0073230A">
          <w:rPr>
            <w:rStyle w:val="Hyperlink"/>
            <w:noProof/>
          </w:rPr>
          <w:t>3.2.4</w:t>
        </w:r>
        <w:r>
          <w:rPr>
            <w:rFonts w:asciiTheme="minorHAnsi" w:eastAsiaTheme="minorEastAsia" w:hAnsiTheme="minorHAnsi" w:cstheme="minorBidi"/>
            <w:noProof/>
            <w:sz w:val="22"/>
            <w:szCs w:val="22"/>
            <w:lang w:val="en-US"/>
          </w:rPr>
          <w:tab/>
        </w:r>
        <w:r w:rsidRPr="0073230A">
          <w:rPr>
            <w:rStyle w:val="Hyperlink"/>
            <w:noProof/>
          </w:rPr>
          <w:t>Procedural rules applicable to children involved in placement into care proceedings</w:t>
        </w:r>
        <w:r>
          <w:rPr>
            <w:noProof/>
            <w:webHidden/>
          </w:rPr>
          <w:tab/>
        </w:r>
        <w:r>
          <w:rPr>
            <w:noProof/>
            <w:webHidden/>
          </w:rPr>
          <w:fldChar w:fldCharType="begin"/>
        </w:r>
        <w:r>
          <w:rPr>
            <w:noProof/>
            <w:webHidden/>
          </w:rPr>
          <w:instrText xml:space="preserve"> PAGEREF _Toc409792221 \h </w:instrText>
        </w:r>
        <w:r>
          <w:rPr>
            <w:noProof/>
            <w:webHidden/>
          </w:rPr>
        </w:r>
        <w:r>
          <w:rPr>
            <w:noProof/>
            <w:webHidden/>
          </w:rPr>
          <w:fldChar w:fldCharType="separate"/>
        </w:r>
        <w:r>
          <w:rPr>
            <w:noProof/>
            <w:webHidden/>
          </w:rPr>
          <w:t>30</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222" w:history="1">
        <w:r w:rsidRPr="0073230A">
          <w:rPr>
            <w:rStyle w:val="Hyperlink"/>
            <w:noProof/>
          </w:rPr>
          <w:t>Youth care service</w:t>
        </w:r>
        <w:r>
          <w:rPr>
            <w:noProof/>
            <w:webHidden/>
          </w:rPr>
          <w:tab/>
        </w:r>
        <w:r>
          <w:rPr>
            <w:noProof/>
            <w:webHidden/>
          </w:rPr>
          <w:fldChar w:fldCharType="begin"/>
        </w:r>
        <w:r>
          <w:rPr>
            <w:noProof/>
            <w:webHidden/>
          </w:rPr>
          <w:instrText xml:space="preserve"> PAGEREF _Toc409792222 \h </w:instrText>
        </w:r>
        <w:r>
          <w:rPr>
            <w:noProof/>
            <w:webHidden/>
          </w:rPr>
        </w:r>
        <w:r>
          <w:rPr>
            <w:noProof/>
            <w:webHidden/>
          </w:rPr>
          <w:fldChar w:fldCharType="separate"/>
        </w:r>
        <w:r>
          <w:rPr>
            <w:noProof/>
            <w:webHidden/>
          </w:rPr>
          <w:t>30</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223" w:history="1">
        <w:r w:rsidRPr="0073230A">
          <w:rPr>
            <w:rStyle w:val="Hyperlink"/>
            <w:noProof/>
          </w:rPr>
          <w:t>Youth tribunals</w:t>
        </w:r>
        <w:r>
          <w:rPr>
            <w:noProof/>
            <w:webHidden/>
          </w:rPr>
          <w:tab/>
        </w:r>
        <w:r>
          <w:rPr>
            <w:noProof/>
            <w:webHidden/>
          </w:rPr>
          <w:fldChar w:fldCharType="begin"/>
        </w:r>
        <w:r>
          <w:rPr>
            <w:noProof/>
            <w:webHidden/>
          </w:rPr>
          <w:instrText xml:space="preserve"> PAGEREF _Toc409792223 \h </w:instrText>
        </w:r>
        <w:r>
          <w:rPr>
            <w:noProof/>
            <w:webHidden/>
          </w:rPr>
        </w:r>
        <w:r>
          <w:rPr>
            <w:noProof/>
            <w:webHidden/>
          </w:rPr>
          <w:fldChar w:fldCharType="separate"/>
        </w:r>
        <w:r>
          <w:rPr>
            <w:noProof/>
            <w:webHidden/>
          </w:rPr>
          <w:t>30</w:t>
        </w:r>
        <w:r>
          <w:rPr>
            <w:noProof/>
            <w:webHidden/>
          </w:rPr>
          <w:fldChar w:fldCharType="end"/>
        </w:r>
      </w:hyperlink>
    </w:p>
    <w:p w:rsidR="00537401" w:rsidRDefault="00537401" w:rsidP="00537401">
      <w:pPr>
        <w:pStyle w:val="TOC3"/>
        <w:rPr>
          <w:rFonts w:asciiTheme="minorHAnsi" w:eastAsiaTheme="minorEastAsia" w:hAnsiTheme="minorHAnsi" w:cstheme="minorBidi"/>
          <w:noProof/>
          <w:sz w:val="22"/>
          <w:szCs w:val="22"/>
          <w:lang w:val="en-US"/>
        </w:rPr>
      </w:pPr>
      <w:hyperlink w:anchor="_Toc409792224" w:history="1">
        <w:r w:rsidRPr="0073230A">
          <w:rPr>
            <w:rStyle w:val="Hyperlink"/>
            <w:noProof/>
          </w:rPr>
          <w:t>3.3</w:t>
        </w:r>
        <w:r>
          <w:rPr>
            <w:rFonts w:asciiTheme="minorHAnsi" w:eastAsiaTheme="minorEastAsia" w:hAnsiTheme="minorHAnsi" w:cstheme="minorBidi"/>
            <w:noProof/>
            <w:sz w:val="22"/>
            <w:szCs w:val="22"/>
            <w:lang w:val="en-US"/>
          </w:rPr>
          <w:tab/>
        </w:r>
        <w:r w:rsidRPr="0073230A">
          <w:rPr>
            <w:rStyle w:val="Hyperlink"/>
            <w:noProof/>
          </w:rPr>
          <w:t>Protection of the child’s private and family life</w:t>
        </w:r>
        <w:r>
          <w:rPr>
            <w:noProof/>
            <w:webHidden/>
          </w:rPr>
          <w:tab/>
        </w:r>
        <w:r>
          <w:rPr>
            <w:noProof/>
            <w:webHidden/>
          </w:rPr>
          <w:fldChar w:fldCharType="begin"/>
        </w:r>
        <w:r>
          <w:rPr>
            <w:noProof/>
            <w:webHidden/>
          </w:rPr>
          <w:instrText xml:space="preserve"> PAGEREF _Toc409792224 \h </w:instrText>
        </w:r>
        <w:r>
          <w:rPr>
            <w:noProof/>
            <w:webHidden/>
          </w:rPr>
        </w:r>
        <w:r>
          <w:rPr>
            <w:noProof/>
            <w:webHidden/>
          </w:rPr>
          <w:fldChar w:fldCharType="separate"/>
        </w:r>
        <w:r>
          <w:rPr>
            <w:noProof/>
            <w:webHidden/>
          </w:rPr>
          <w:t>32</w:t>
        </w:r>
        <w:r>
          <w:rPr>
            <w:noProof/>
            <w:webHidden/>
          </w:rPr>
          <w:fldChar w:fldCharType="end"/>
        </w:r>
      </w:hyperlink>
    </w:p>
    <w:p w:rsidR="00537401" w:rsidRDefault="00537401" w:rsidP="00537401">
      <w:pPr>
        <w:pStyle w:val="TOC4"/>
        <w:rPr>
          <w:rFonts w:asciiTheme="minorHAnsi" w:eastAsiaTheme="minorEastAsia" w:hAnsiTheme="minorHAnsi" w:cstheme="minorBidi"/>
          <w:noProof/>
          <w:sz w:val="22"/>
          <w:szCs w:val="22"/>
          <w:lang w:val="en-US"/>
        </w:rPr>
      </w:pPr>
      <w:hyperlink w:anchor="_Toc409792225" w:history="1">
        <w:r w:rsidRPr="0073230A">
          <w:rPr>
            <w:rStyle w:val="Hyperlink"/>
            <w:noProof/>
          </w:rPr>
          <w:t>3.3.1</w:t>
        </w:r>
        <w:r>
          <w:rPr>
            <w:rFonts w:asciiTheme="minorHAnsi" w:eastAsiaTheme="minorEastAsia" w:hAnsiTheme="minorHAnsi" w:cstheme="minorBidi"/>
            <w:noProof/>
            <w:sz w:val="22"/>
            <w:szCs w:val="22"/>
            <w:lang w:val="en-US"/>
          </w:rPr>
          <w:tab/>
        </w:r>
        <w:r w:rsidRPr="0073230A">
          <w:rPr>
            <w:rStyle w:val="Hyperlink"/>
            <w:noProof/>
          </w:rPr>
          <w:t>General procedural rules applicable to children involved in administrative judicial proceedings including proceedings reviewing administrative authorities’ decisions in the sectors of asylum, migration and education</w:t>
        </w:r>
        <w:r>
          <w:rPr>
            <w:noProof/>
            <w:webHidden/>
          </w:rPr>
          <w:tab/>
        </w:r>
        <w:r>
          <w:rPr>
            <w:noProof/>
            <w:webHidden/>
          </w:rPr>
          <w:fldChar w:fldCharType="begin"/>
        </w:r>
        <w:r>
          <w:rPr>
            <w:noProof/>
            <w:webHidden/>
          </w:rPr>
          <w:instrText xml:space="preserve"> PAGEREF _Toc409792225 \h </w:instrText>
        </w:r>
        <w:r>
          <w:rPr>
            <w:noProof/>
            <w:webHidden/>
          </w:rPr>
        </w:r>
        <w:r>
          <w:rPr>
            <w:noProof/>
            <w:webHidden/>
          </w:rPr>
          <w:fldChar w:fldCharType="separate"/>
        </w:r>
        <w:r>
          <w:rPr>
            <w:noProof/>
            <w:webHidden/>
          </w:rPr>
          <w:t>32</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226" w:history="1">
        <w:r w:rsidRPr="0073230A">
          <w:rPr>
            <w:rStyle w:val="Hyperlink"/>
            <w:noProof/>
          </w:rPr>
          <w:t>Protection of the personal data and privacy of children</w:t>
        </w:r>
        <w:r>
          <w:rPr>
            <w:noProof/>
            <w:webHidden/>
          </w:rPr>
          <w:tab/>
        </w:r>
        <w:r>
          <w:rPr>
            <w:noProof/>
            <w:webHidden/>
          </w:rPr>
          <w:fldChar w:fldCharType="begin"/>
        </w:r>
        <w:r>
          <w:rPr>
            <w:noProof/>
            <w:webHidden/>
          </w:rPr>
          <w:instrText xml:space="preserve"> PAGEREF _Toc409792226 \h </w:instrText>
        </w:r>
        <w:r>
          <w:rPr>
            <w:noProof/>
            <w:webHidden/>
          </w:rPr>
        </w:r>
        <w:r>
          <w:rPr>
            <w:noProof/>
            <w:webHidden/>
          </w:rPr>
          <w:fldChar w:fldCharType="separate"/>
        </w:r>
        <w:r>
          <w:rPr>
            <w:noProof/>
            <w:webHidden/>
          </w:rPr>
          <w:t>32</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227" w:history="1">
        <w:r w:rsidRPr="0073230A">
          <w:rPr>
            <w:rStyle w:val="Hyperlink"/>
            <w:noProof/>
          </w:rPr>
          <w:t>Protection of personal data in judicial proceedings</w:t>
        </w:r>
        <w:r>
          <w:rPr>
            <w:noProof/>
            <w:webHidden/>
          </w:rPr>
          <w:tab/>
        </w:r>
        <w:r>
          <w:rPr>
            <w:noProof/>
            <w:webHidden/>
          </w:rPr>
          <w:fldChar w:fldCharType="begin"/>
        </w:r>
        <w:r>
          <w:rPr>
            <w:noProof/>
            <w:webHidden/>
          </w:rPr>
          <w:instrText xml:space="preserve"> PAGEREF _Toc409792227 \h </w:instrText>
        </w:r>
        <w:r>
          <w:rPr>
            <w:noProof/>
            <w:webHidden/>
          </w:rPr>
        </w:r>
        <w:r>
          <w:rPr>
            <w:noProof/>
            <w:webHidden/>
          </w:rPr>
          <w:fldChar w:fldCharType="separate"/>
        </w:r>
        <w:r>
          <w:rPr>
            <w:noProof/>
            <w:webHidden/>
          </w:rPr>
          <w:t>32</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228" w:history="1">
        <w:r w:rsidRPr="0073230A">
          <w:rPr>
            <w:rStyle w:val="Hyperlink"/>
            <w:noProof/>
          </w:rPr>
          <w:t>Protection of privacy in judicial proceedings</w:t>
        </w:r>
        <w:r>
          <w:rPr>
            <w:noProof/>
            <w:webHidden/>
          </w:rPr>
          <w:tab/>
        </w:r>
        <w:r>
          <w:rPr>
            <w:noProof/>
            <w:webHidden/>
          </w:rPr>
          <w:fldChar w:fldCharType="begin"/>
        </w:r>
        <w:r>
          <w:rPr>
            <w:noProof/>
            <w:webHidden/>
          </w:rPr>
          <w:instrText xml:space="preserve"> PAGEREF _Toc409792228 \h </w:instrText>
        </w:r>
        <w:r>
          <w:rPr>
            <w:noProof/>
            <w:webHidden/>
          </w:rPr>
        </w:r>
        <w:r>
          <w:rPr>
            <w:noProof/>
            <w:webHidden/>
          </w:rPr>
          <w:fldChar w:fldCharType="separate"/>
        </w:r>
        <w:r>
          <w:rPr>
            <w:noProof/>
            <w:webHidden/>
          </w:rPr>
          <w:t>33</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229" w:history="1">
        <w:r w:rsidRPr="0073230A">
          <w:rPr>
            <w:rStyle w:val="Hyperlink"/>
            <w:noProof/>
          </w:rPr>
          <w:t>Confidentiality rules applicable to professionals involved in judicial proceedings</w:t>
        </w:r>
        <w:r>
          <w:rPr>
            <w:noProof/>
            <w:webHidden/>
          </w:rPr>
          <w:tab/>
        </w:r>
        <w:r>
          <w:rPr>
            <w:noProof/>
            <w:webHidden/>
          </w:rPr>
          <w:fldChar w:fldCharType="begin"/>
        </w:r>
        <w:r>
          <w:rPr>
            <w:noProof/>
            <w:webHidden/>
          </w:rPr>
          <w:instrText xml:space="preserve"> PAGEREF _Toc409792229 \h </w:instrText>
        </w:r>
        <w:r>
          <w:rPr>
            <w:noProof/>
            <w:webHidden/>
          </w:rPr>
        </w:r>
        <w:r>
          <w:rPr>
            <w:noProof/>
            <w:webHidden/>
          </w:rPr>
          <w:fldChar w:fldCharType="separate"/>
        </w:r>
        <w:r>
          <w:rPr>
            <w:noProof/>
            <w:webHidden/>
          </w:rPr>
          <w:t>33</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230" w:history="1">
        <w:r w:rsidRPr="0073230A">
          <w:rPr>
            <w:rStyle w:val="Hyperlink"/>
            <w:noProof/>
          </w:rPr>
          <w:t>Protection of privacy by the media</w:t>
        </w:r>
        <w:r>
          <w:rPr>
            <w:noProof/>
            <w:webHidden/>
          </w:rPr>
          <w:tab/>
        </w:r>
        <w:r>
          <w:rPr>
            <w:noProof/>
            <w:webHidden/>
          </w:rPr>
          <w:fldChar w:fldCharType="begin"/>
        </w:r>
        <w:r>
          <w:rPr>
            <w:noProof/>
            <w:webHidden/>
          </w:rPr>
          <w:instrText xml:space="preserve"> PAGEREF _Toc409792230 \h </w:instrText>
        </w:r>
        <w:r>
          <w:rPr>
            <w:noProof/>
            <w:webHidden/>
          </w:rPr>
        </w:r>
        <w:r>
          <w:rPr>
            <w:noProof/>
            <w:webHidden/>
          </w:rPr>
          <w:fldChar w:fldCharType="separate"/>
        </w:r>
        <w:r>
          <w:rPr>
            <w:noProof/>
            <w:webHidden/>
          </w:rPr>
          <w:t>34</w:t>
        </w:r>
        <w:r>
          <w:rPr>
            <w:noProof/>
            <w:webHidden/>
          </w:rPr>
          <w:fldChar w:fldCharType="end"/>
        </w:r>
      </w:hyperlink>
    </w:p>
    <w:p w:rsidR="00537401" w:rsidRDefault="00537401" w:rsidP="00537401">
      <w:pPr>
        <w:pStyle w:val="TOC4"/>
        <w:rPr>
          <w:rFonts w:asciiTheme="minorHAnsi" w:eastAsiaTheme="minorEastAsia" w:hAnsiTheme="minorHAnsi" w:cstheme="minorBidi"/>
          <w:noProof/>
          <w:sz w:val="22"/>
          <w:szCs w:val="22"/>
          <w:lang w:val="en-US"/>
        </w:rPr>
      </w:pPr>
      <w:hyperlink w:anchor="_Toc409792231" w:history="1">
        <w:r w:rsidRPr="0073230A">
          <w:rPr>
            <w:rStyle w:val="Hyperlink"/>
            <w:noProof/>
          </w:rPr>
          <w:t>3.3.2</w:t>
        </w:r>
        <w:r>
          <w:rPr>
            <w:rFonts w:asciiTheme="minorHAnsi" w:eastAsiaTheme="minorEastAsia" w:hAnsiTheme="minorHAnsi" w:cstheme="minorBidi"/>
            <w:noProof/>
            <w:sz w:val="22"/>
            <w:szCs w:val="22"/>
            <w:lang w:val="en-US"/>
          </w:rPr>
          <w:tab/>
        </w:r>
        <w:r w:rsidRPr="0073230A">
          <w:rPr>
            <w:rStyle w:val="Hyperlink"/>
            <w:noProof/>
          </w:rPr>
          <w:t>Procedural rules applicable to children involved in placement into care and administrative sanctions proceedings</w:t>
        </w:r>
        <w:r>
          <w:rPr>
            <w:noProof/>
            <w:webHidden/>
          </w:rPr>
          <w:tab/>
        </w:r>
        <w:r>
          <w:rPr>
            <w:noProof/>
            <w:webHidden/>
          </w:rPr>
          <w:fldChar w:fldCharType="begin"/>
        </w:r>
        <w:r>
          <w:rPr>
            <w:noProof/>
            <w:webHidden/>
          </w:rPr>
          <w:instrText xml:space="preserve"> PAGEREF _Toc409792231 \h </w:instrText>
        </w:r>
        <w:r>
          <w:rPr>
            <w:noProof/>
            <w:webHidden/>
          </w:rPr>
        </w:r>
        <w:r>
          <w:rPr>
            <w:noProof/>
            <w:webHidden/>
          </w:rPr>
          <w:fldChar w:fldCharType="separate"/>
        </w:r>
        <w:r>
          <w:rPr>
            <w:noProof/>
            <w:webHidden/>
          </w:rPr>
          <w:t>34</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232" w:history="1">
        <w:r w:rsidRPr="0073230A">
          <w:rPr>
            <w:rStyle w:val="Hyperlink"/>
            <w:noProof/>
          </w:rPr>
          <w:t>Protection of the child’s personal data and privacy</w:t>
        </w:r>
        <w:r>
          <w:rPr>
            <w:noProof/>
            <w:webHidden/>
          </w:rPr>
          <w:tab/>
        </w:r>
        <w:r>
          <w:rPr>
            <w:noProof/>
            <w:webHidden/>
          </w:rPr>
          <w:fldChar w:fldCharType="begin"/>
        </w:r>
        <w:r>
          <w:rPr>
            <w:noProof/>
            <w:webHidden/>
          </w:rPr>
          <w:instrText xml:space="preserve"> PAGEREF _Toc409792232 \h </w:instrText>
        </w:r>
        <w:r>
          <w:rPr>
            <w:noProof/>
            <w:webHidden/>
          </w:rPr>
        </w:r>
        <w:r>
          <w:rPr>
            <w:noProof/>
            <w:webHidden/>
          </w:rPr>
          <w:fldChar w:fldCharType="separate"/>
        </w:r>
        <w:r>
          <w:rPr>
            <w:noProof/>
            <w:webHidden/>
          </w:rPr>
          <w:t>34</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233" w:history="1">
        <w:r w:rsidRPr="0073230A">
          <w:rPr>
            <w:rStyle w:val="Hyperlink"/>
            <w:noProof/>
          </w:rPr>
          <w:t>Protection of privacy by the media</w:t>
        </w:r>
        <w:r>
          <w:rPr>
            <w:noProof/>
            <w:webHidden/>
          </w:rPr>
          <w:tab/>
        </w:r>
        <w:r>
          <w:rPr>
            <w:noProof/>
            <w:webHidden/>
          </w:rPr>
          <w:fldChar w:fldCharType="begin"/>
        </w:r>
        <w:r>
          <w:rPr>
            <w:noProof/>
            <w:webHidden/>
          </w:rPr>
          <w:instrText xml:space="preserve"> PAGEREF _Toc409792233 \h </w:instrText>
        </w:r>
        <w:r>
          <w:rPr>
            <w:noProof/>
            <w:webHidden/>
          </w:rPr>
        </w:r>
        <w:r>
          <w:rPr>
            <w:noProof/>
            <w:webHidden/>
          </w:rPr>
          <w:fldChar w:fldCharType="separate"/>
        </w:r>
        <w:r>
          <w:rPr>
            <w:noProof/>
            <w:webHidden/>
          </w:rPr>
          <w:t>35</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234" w:history="1">
        <w:r w:rsidRPr="0073230A">
          <w:rPr>
            <w:rStyle w:val="Hyperlink"/>
            <w:noProof/>
          </w:rPr>
          <w:t>Avoiding adverse effects on the child and avoiding conflict</w:t>
        </w:r>
        <w:r>
          <w:rPr>
            <w:noProof/>
            <w:webHidden/>
          </w:rPr>
          <w:tab/>
        </w:r>
        <w:r>
          <w:rPr>
            <w:noProof/>
            <w:webHidden/>
          </w:rPr>
          <w:fldChar w:fldCharType="begin"/>
        </w:r>
        <w:r>
          <w:rPr>
            <w:noProof/>
            <w:webHidden/>
          </w:rPr>
          <w:instrText xml:space="preserve"> PAGEREF _Toc409792234 \h </w:instrText>
        </w:r>
        <w:r>
          <w:rPr>
            <w:noProof/>
            <w:webHidden/>
          </w:rPr>
        </w:r>
        <w:r>
          <w:rPr>
            <w:noProof/>
            <w:webHidden/>
          </w:rPr>
          <w:fldChar w:fldCharType="separate"/>
        </w:r>
        <w:r>
          <w:rPr>
            <w:noProof/>
            <w:webHidden/>
          </w:rPr>
          <w:t>35</w:t>
        </w:r>
        <w:r>
          <w:rPr>
            <w:noProof/>
            <w:webHidden/>
          </w:rPr>
          <w:fldChar w:fldCharType="end"/>
        </w:r>
      </w:hyperlink>
    </w:p>
    <w:p w:rsidR="00537401" w:rsidRDefault="00537401" w:rsidP="00537401">
      <w:pPr>
        <w:pStyle w:val="TOC4"/>
        <w:rPr>
          <w:rFonts w:asciiTheme="minorHAnsi" w:eastAsiaTheme="minorEastAsia" w:hAnsiTheme="minorHAnsi" w:cstheme="minorBidi"/>
          <w:noProof/>
          <w:sz w:val="22"/>
          <w:szCs w:val="22"/>
          <w:lang w:val="en-US"/>
        </w:rPr>
      </w:pPr>
      <w:hyperlink w:anchor="_Toc409792235" w:history="1">
        <w:r w:rsidRPr="0073230A">
          <w:rPr>
            <w:rStyle w:val="Hyperlink"/>
            <w:noProof/>
          </w:rPr>
          <w:t>3.3.3</w:t>
        </w:r>
        <w:r>
          <w:rPr>
            <w:rFonts w:asciiTheme="minorHAnsi" w:eastAsiaTheme="minorEastAsia" w:hAnsiTheme="minorHAnsi" w:cstheme="minorBidi"/>
            <w:noProof/>
            <w:sz w:val="22"/>
            <w:szCs w:val="22"/>
            <w:lang w:val="en-US"/>
          </w:rPr>
          <w:tab/>
        </w:r>
        <w:r w:rsidRPr="0073230A">
          <w:rPr>
            <w:rStyle w:val="Hyperlink"/>
            <w:noProof/>
          </w:rPr>
          <w:t>Procedural rules applicable to children involved in health care proceedings</w:t>
        </w:r>
        <w:r>
          <w:rPr>
            <w:noProof/>
            <w:webHidden/>
          </w:rPr>
          <w:tab/>
        </w:r>
        <w:r>
          <w:rPr>
            <w:noProof/>
            <w:webHidden/>
          </w:rPr>
          <w:fldChar w:fldCharType="begin"/>
        </w:r>
        <w:r>
          <w:rPr>
            <w:noProof/>
            <w:webHidden/>
          </w:rPr>
          <w:instrText xml:space="preserve"> PAGEREF _Toc409792235 \h </w:instrText>
        </w:r>
        <w:r>
          <w:rPr>
            <w:noProof/>
            <w:webHidden/>
          </w:rPr>
        </w:r>
        <w:r>
          <w:rPr>
            <w:noProof/>
            <w:webHidden/>
          </w:rPr>
          <w:fldChar w:fldCharType="separate"/>
        </w:r>
        <w:r>
          <w:rPr>
            <w:noProof/>
            <w:webHidden/>
          </w:rPr>
          <w:t>35</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236" w:history="1">
        <w:r w:rsidRPr="0073230A">
          <w:rPr>
            <w:rStyle w:val="Hyperlink"/>
            <w:noProof/>
          </w:rPr>
          <w:t>Protection of the child’s personal data and privacy</w:t>
        </w:r>
        <w:r>
          <w:rPr>
            <w:noProof/>
            <w:webHidden/>
          </w:rPr>
          <w:tab/>
        </w:r>
        <w:r>
          <w:rPr>
            <w:noProof/>
            <w:webHidden/>
          </w:rPr>
          <w:fldChar w:fldCharType="begin"/>
        </w:r>
        <w:r>
          <w:rPr>
            <w:noProof/>
            <w:webHidden/>
          </w:rPr>
          <w:instrText xml:space="preserve"> PAGEREF _Toc409792236 \h </w:instrText>
        </w:r>
        <w:r>
          <w:rPr>
            <w:noProof/>
            <w:webHidden/>
          </w:rPr>
        </w:r>
        <w:r>
          <w:rPr>
            <w:noProof/>
            <w:webHidden/>
          </w:rPr>
          <w:fldChar w:fldCharType="separate"/>
        </w:r>
        <w:r>
          <w:rPr>
            <w:noProof/>
            <w:webHidden/>
          </w:rPr>
          <w:t>35</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237" w:history="1">
        <w:r w:rsidRPr="0073230A">
          <w:rPr>
            <w:rStyle w:val="Hyperlink"/>
            <w:noProof/>
          </w:rPr>
          <w:t>Mental health</w:t>
        </w:r>
        <w:r>
          <w:rPr>
            <w:noProof/>
            <w:webHidden/>
          </w:rPr>
          <w:tab/>
        </w:r>
        <w:r>
          <w:rPr>
            <w:noProof/>
            <w:webHidden/>
          </w:rPr>
          <w:fldChar w:fldCharType="begin"/>
        </w:r>
        <w:r>
          <w:rPr>
            <w:noProof/>
            <w:webHidden/>
          </w:rPr>
          <w:instrText xml:space="preserve"> PAGEREF _Toc409792237 \h </w:instrText>
        </w:r>
        <w:r>
          <w:rPr>
            <w:noProof/>
            <w:webHidden/>
          </w:rPr>
        </w:r>
        <w:r>
          <w:rPr>
            <w:noProof/>
            <w:webHidden/>
          </w:rPr>
          <w:fldChar w:fldCharType="separate"/>
        </w:r>
        <w:r>
          <w:rPr>
            <w:noProof/>
            <w:webHidden/>
          </w:rPr>
          <w:t>36</w:t>
        </w:r>
        <w:r>
          <w:rPr>
            <w:noProof/>
            <w:webHidden/>
          </w:rPr>
          <w:fldChar w:fldCharType="end"/>
        </w:r>
      </w:hyperlink>
    </w:p>
    <w:p w:rsidR="00537401" w:rsidRDefault="00537401" w:rsidP="00537401">
      <w:pPr>
        <w:pStyle w:val="TOC3"/>
        <w:rPr>
          <w:rFonts w:asciiTheme="minorHAnsi" w:eastAsiaTheme="minorEastAsia" w:hAnsiTheme="minorHAnsi" w:cstheme="minorBidi"/>
          <w:noProof/>
          <w:sz w:val="22"/>
          <w:szCs w:val="22"/>
          <w:lang w:val="en-US"/>
        </w:rPr>
      </w:pPr>
      <w:hyperlink w:anchor="_Toc409792238" w:history="1">
        <w:r w:rsidRPr="0073230A">
          <w:rPr>
            <w:rStyle w:val="Hyperlink"/>
            <w:noProof/>
          </w:rPr>
          <w:t>3.4</w:t>
        </w:r>
        <w:r>
          <w:rPr>
            <w:rFonts w:asciiTheme="minorHAnsi" w:eastAsiaTheme="minorEastAsia" w:hAnsiTheme="minorHAnsi" w:cstheme="minorBidi"/>
            <w:noProof/>
            <w:sz w:val="22"/>
            <w:szCs w:val="22"/>
            <w:lang w:val="en-US"/>
          </w:rPr>
          <w:tab/>
        </w:r>
        <w:r w:rsidRPr="0073230A">
          <w:rPr>
            <w:rStyle w:val="Hyperlink"/>
            <w:noProof/>
          </w:rPr>
          <w:t>Protection from harm during proceedings and interviews and ensuring a child friendly process</w:t>
        </w:r>
        <w:r>
          <w:rPr>
            <w:noProof/>
            <w:webHidden/>
          </w:rPr>
          <w:tab/>
        </w:r>
        <w:r>
          <w:rPr>
            <w:noProof/>
            <w:webHidden/>
          </w:rPr>
          <w:fldChar w:fldCharType="begin"/>
        </w:r>
        <w:r>
          <w:rPr>
            <w:noProof/>
            <w:webHidden/>
          </w:rPr>
          <w:instrText xml:space="preserve"> PAGEREF _Toc409792238 \h </w:instrText>
        </w:r>
        <w:r>
          <w:rPr>
            <w:noProof/>
            <w:webHidden/>
          </w:rPr>
        </w:r>
        <w:r>
          <w:rPr>
            <w:noProof/>
            <w:webHidden/>
          </w:rPr>
          <w:fldChar w:fldCharType="separate"/>
        </w:r>
        <w:r>
          <w:rPr>
            <w:noProof/>
            <w:webHidden/>
          </w:rPr>
          <w:t>36</w:t>
        </w:r>
        <w:r>
          <w:rPr>
            <w:noProof/>
            <w:webHidden/>
          </w:rPr>
          <w:fldChar w:fldCharType="end"/>
        </w:r>
      </w:hyperlink>
    </w:p>
    <w:p w:rsidR="00537401" w:rsidRDefault="00537401" w:rsidP="00537401">
      <w:pPr>
        <w:pStyle w:val="TOC4"/>
        <w:rPr>
          <w:rFonts w:asciiTheme="minorHAnsi" w:eastAsiaTheme="minorEastAsia" w:hAnsiTheme="minorHAnsi" w:cstheme="minorBidi"/>
          <w:noProof/>
          <w:sz w:val="22"/>
          <w:szCs w:val="22"/>
          <w:lang w:val="en-US"/>
        </w:rPr>
      </w:pPr>
      <w:hyperlink w:anchor="_Toc409792239" w:history="1">
        <w:r w:rsidRPr="0073230A">
          <w:rPr>
            <w:rStyle w:val="Hyperlink"/>
            <w:noProof/>
          </w:rPr>
          <w:t>3.4.1</w:t>
        </w:r>
        <w:r>
          <w:rPr>
            <w:rFonts w:asciiTheme="minorHAnsi" w:eastAsiaTheme="minorEastAsia" w:hAnsiTheme="minorHAnsi" w:cstheme="minorBidi"/>
            <w:noProof/>
            <w:sz w:val="22"/>
            <w:szCs w:val="22"/>
            <w:lang w:val="en-US"/>
          </w:rPr>
          <w:tab/>
        </w:r>
        <w:r w:rsidRPr="0073230A">
          <w:rPr>
            <w:rStyle w:val="Hyperlink"/>
            <w:noProof/>
          </w:rPr>
          <w:t>General procedural rules applicable to children involved in administrative judicial proceedings including proceedings reviewing administrative authorities’ decisions in the sectors of asylum, migration and education</w:t>
        </w:r>
        <w:r>
          <w:rPr>
            <w:noProof/>
            <w:webHidden/>
          </w:rPr>
          <w:tab/>
        </w:r>
        <w:r>
          <w:rPr>
            <w:noProof/>
            <w:webHidden/>
          </w:rPr>
          <w:fldChar w:fldCharType="begin"/>
        </w:r>
        <w:r>
          <w:rPr>
            <w:noProof/>
            <w:webHidden/>
          </w:rPr>
          <w:instrText xml:space="preserve"> PAGEREF _Toc409792239 \h </w:instrText>
        </w:r>
        <w:r>
          <w:rPr>
            <w:noProof/>
            <w:webHidden/>
          </w:rPr>
        </w:r>
        <w:r>
          <w:rPr>
            <w:noProof/>
            <w:webHidden/>
          </w:rPr>
          <w:fldChar w:fldCharType="separate"/>
        </w:r>
        <w:r>
          <w:rPr>
            <w:noProof/>
            <w:webHidden/>
          </w:rPr>
          <w:t>36</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240" w:history="1">
        <w:r w:rsidRPr="0073230A">
          <w:rPr>
            <w:rStyle w:val="Hyperlink"/>
            <w:noProof/>
          </w:rPr>
          <w:t>Avoiding undue delays and provisional or preliminary decisions</w:t>
        </w:r>
        <w:r>
          <w:rPr>
            <w:noProof/>
            <w:webHidden/>
          </w:rPr>
          <w:tab/>
        </w:r>
        <w:r>
          <w:rPr>
            <w:noProof/>
            <w:webHidden/>
          </w:rPr>
          <w:fldChar w:fldCharType="begin"/>
        </w:r>
        <w:r>
          <w:rPr>
            <w:noProof/>
            <w:webHidden/>
          </w:rPr>
          <w:instrText xml:space="preserve"> PAGEREF _Toc409792240 \h </w:instrText>
        </w:r>
        <w:r>
          <w:rPr>
            <w:noProof/>
            <w:webHidden/>
          </w:rPr>
        </w:r>
        <w:r>
          <w:rPr>
            <w:noProof/>
            <w:webHidden/>
          </w:rPr>
          <w:fldChar w:fldCharType="separate"/>
        </w:r>
        <w:r>
          <w:rPr>
            <w:noProof/>
            <w:webHidden/>
          </w:rPr>
          <w:t>36</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241" w:history="1">
        <w:r w:rsidRPr="0073230A">
          <w:rPr>
            <w:rStyle w:val="Hyperlink"/>
            <w:noProof/>
          </w:rPr>
          <w:t>Child-friendly environment</w:t>
        </w:r>
        <w:r>
          <w:rPr>
            <w:noProof/>
            <w:webHidden/>
          </w:rPr>
          <w:tab/>
        </w:r>
        <w:r>
          <w:rPr>
            <w:noProof/>
            <w:webHidden/>
          </w:rPr>
          <w:fldChar w:fldCharType="begin"/>
        </w:r>
        <w:r>
          <w:rPr>
            <w:noProof/>
            <w:webHidden/>
          </w:rPr>
          <w:instrText xml:space="preserve"> PAGEREF _Toc409792241 \h </w:instrText>
        </w:r>
        <w:r>
          <w:rPr>
            <w:noProof/>
            <w:webHidden/>
          </w:rPr>
        </w:r>
        <w:r>
          <w:rPr>
            <w:noProof/>
            <w:webHidden/>
          </w:rPr>
          <w:fldChar w:fldCharType="separate"/>
        </w:r>
        <w:r>
          <w:rPr>
            <w:noProof/>
            <w:webHidden/>
          </w:rPr>
          <w:t>37</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242" w:history="1">
        <w:r w:rsidRPr="0073230A">
          <w:rPr>
            <w:rStyle w:val="Hyperlink"/>
            <w:noProof/>
          </w:rPr>
          <w:t>Protecting a child from harm and assisting the child</w:t>
        </w:r>
        <w:r>
          <w:rPr>
            <w:noProof/>
            <w:webHidden/>
          </w:rPr>
          <w:tab/>
        </w:r>
        <w:r>
          <w:rPr>
            <w:noProof/>
            <w:webHidden/>
          </w:rPr>
          <w:fldChar w:fldCharType="begin"/>
        </w:r>
        <w:r>
          <w:rPr>
            <w:noProof/>
            <w:webHidden/>
          </w:rPr>
          <w:instrText xml:space="preserve"> PAGEREF _Toc409792242 \h </w:instrText>
        </w:r>
        <w:r>
          <w:rPr>
            <w:noProof/>
            <w:webHidden/>
          </w:rPr>
        </w:r>
        <w:r>
          <w:rPr>
            <w:noProof/>
            <w:webHidden/>
          </w:rPr>
          <w:fldChar w:fldCharType="separate"/>
        </w:r>
        <w:r>
          <w:rPr>
            <w:noProof/>
            <w:webHidden/>
          </w:rPr>
          <w:t>38</w:t>
        </w:r>
        <w:r>
          <w:rPr>
            <w:noProof/>
            <w:webHidden/>
          </w:rPr>
          <w:fldChar w:fldCharType="end"/>
        </w:r>
      </w:hyperlink>
    </w:p>
    <w:p w:rsidR="00537401" w:rsidRDefault="00537401" w:rsidP="00537401">
      <w:pPr>
        <w:pStyle w:val="TOC4"/>
        <w:rPr>
          <w:rFonts w:asciiTheme="minorHAnsi" w:eastAsiaTheme="minorEastAsia" w:hAnsiTheme="minorHAnsi" w:cstheme="minorBidi"/>
          <w:noProof/>
          <w:sz w:val="22"/>
          <w:szCs w:val="22"/>
          <w:lang w:val="en-US"/>
        </w:rPr>
      </w:pPr>
      <w:hyperlink w:anchor="_Toc409792243" w:history="1">
        <w:r w:rsidRPr="0073230A">
          <w:rPr>
            <w:rStyle w:val="Hyperlink"/>
            <w:noProof/>
          </w:rPr>
          <w:t>3.4.2</w:t>
        </w:r>
        <w:r>
          <w:rPr>
            <w:rFonts w:asciiTheme="minorHAnsi" w:eastAsiaTheme="minorEastAsia" w:hAnsiTheme="minorHAnsi" w:cstheme="minorBidi"/>
            <w:noProof/>
            <w:sz w:val="22"/>
            <w:szCs w:val="22"/>
            <w:lang w:val="en-US"/>
          </w:rPr>
          <w:tab/>
        </w:r>
        <w:r w:rsidRPr="0073230A">
          <w:rPr>
            <w:rStyle w:val="Hyperlink"/>
            <w:noProof/>
          </w:rPr>
          <w:t>Procedural rules applicable to children involved in asylum and migration proceedings</w:t>
        </w:r>
        <w:r>
          <w:rPr>
            <w:noProof/>
            <w:webHidden/>
          </w:rPr>
          <w:tab/>
        </w:r>
        <w:r>
          <w:rPr>
            <w:noProof/>
            <w:webHidden/>
          </w:rPr>
          <w:fldChar w:fldCharType="begin"/>
        </w:r>
        <w:r>
          <w:rPr>
            <w:noProof/>
            <w:webHidden/>
          </w:rPr>
          <w:instrText xml:space="preserve"> PAGEREF _Toc409792243 \h </w:instrText>
        </w:r>
        <w:r>
          <w:rPr>
            <w:noProof/>
            <w:webHidden/>
          </w:rPr>
        </w:r>
        <w:r>
          <w:rPr>
            <w:noProof/>
            <w:webHidden/>
          </w:rPr>
          <w:fldChar w:fldCharType="separate"/>
        </w:r>
        <w:r>
          <w:rPr>
            <w:noProof/>
            <w:webHidden/>
          </w:rPr>
          <w:t>40</w:t>
        </w:r>
        <w:r>
          <w:rPr>
            <w:noProof/>
            <w:webHidden/>
          </w:rPr>
          <w:fldChar w:fldCharType="end"/>
        </w:r>
      </w:hyperlink>
    </w:p>
    <w:p w:rsidR="00537401" w:rsidRDefault="00537401" w:rsidP="00537401">
      <w:pPr>
        <w:pStyle w:val="TOC4"/>
        <w:rPr>
          <w:rFonts w:asciiTheme="minorHAnsi" w:eastAsiaTheme="minorEastAsia" w:hAnsiTheme="minorHAnsi" w:cstheme="minorBidi"/>
          <w:noProof/>
          <w:sz w:val="22"/>
          <w:szCs w:val="22"/>
          <w:lang w:val="en-US"/>
        </w:rPr>
      </w:pPr>
      <w:hyperlink w:anchor="_Toc409792244" w:history="1">
        <w:r w:rsidRPr="0073230A">
          <w:rPr>
            <w:rStyle w:val="Hyperlink"/>
            <w:noProof/>
          </w:rPr>
          <w:t>3.4.3</w:t>
        </w:r>
        <w:r>
          <w:rPr>
            <w:rFonts w:asciiTheme="minorHAnsi" w:eastAsiaTheme="minorEastAsia" w:hAnsiTheme="minorHAnsi" w:cstheme="minorBidi"/>
            <w:noProof/>
            <w:sz w:val="22"/>
            <w:szCs w:val="22"/>
            <w:lang w:val="en-US"/>
          </w:rPr>
          <w:tab/>
        </w:r>
        <w:r w:rsidRPr="0073230A">
          <w:rPr>
            <w:rStyle w:val="Hyperlink"/>
            <w:noProof/>
          </w:rPr>
          <w:t>Procedural rules applicable to children involved in placement into care proceedings</w:t>
        </w:r>
        <w:r>
          <w:rPr>
            <w:noProof/>
            <w:webHidden/>
          </w:rPr>
          <w:tab/>
        </w:r>
        <w:r>
          <w:rPr>
            <w:noProof/>
            <w:webHidden/>
          </w:rPr>
          <w:fldChar w:fldCharType="begin"/>
        </w:r>
        <w:r>
          <w:rPr>
            <w:noProof/>
            <w:webHidden/>
          </w:rPr>
          <w:instrText xml:space="preserve"> PAGEREF _Toc409792244 \h </w:instrText>
        </w:r>
        <w:r>
          <w:rPr>
            <w:noProof/>
            <w:webHidden/>
          </w:rPr>
        </w:r>
        <w:r>
          <w:rPr>
            <w:noProof/>
            <w:webHidden/>
          </w:rPr>
          <w:fldChar w:fldCharType="separate"/>
        </w:r>
        <w:r>
          <w:rPr>
            <w:noProof/>
            <w:webHidden/>
          </w:rPr>
          <w:t>40</w:t>
        </w:r>
        <w:r>
          <w:rPr>
            <w:noProof/>
            <w:webHidden/>
          </w:rPr>
          <w:fldChar w:fldCharType="end"/>
        </w:r>
      </w:hyperlink>
    </w:p>
    <w:p w:rsidR="00537401" w:rsidRDefault="00537401" w:rsidP="00537401">
      <w:pPr>
        <w:pStyle w:val="TOC4"/>
        <w:rPr>
          <w:rFonts w:asciiTheme="minorHAnsi" w:eastAsiaTheme="minorEastAsia" w:hAnsiTheme="minorHAnsi" w:cstheme="minorBidi"/>
          <w:noProof/>
          <w:sz w:val="22"/>
          <w:szCs w:val="22"/>
          <w:lang w:val="en-US"/>
        </w:rPr>
      </w:pPr>
      <w:hyperlink w:anchor="_Toc409792245" w:history="1">
        <w:r w:rsidRPr="0073230A">
          <w:rPr>
            <w:rStyle w:val="Hyperlink"/>
            <w:noProof/>
          </w:rPr>
          <w:t>3.4.4</w:t>
        </w:r>
        <w:r>
          <w:rPr>
            <w:rFonts w:asciiTheme="minorHAnsi" w:eastAsiaTheme="minorEastAsia" w:hAnsiTheme="minorHAnsi" w:cstheme="minorBidi"/>
            <w:noProof/>
            <w:sz w:val="22"/>
            <w:szCs w:val="22"/>
            <w:lang w:val="en-US"/>
          </w:rPr>
          <w:tab/>
        </w:r>
        <w:r w:rsidRPr="0073230A">
          <w:rPr>
            <w:rStyle w:val="Hyperlink"/>
            <w:noProof/>
          </w:rPr>
          <w:t>Procedural rules applicable to children involved in administrative sanctions proceedings</w:t>
        </w:r>
        <w:r>
          <w:rPr>
            <w:noProof/>
            <w:webHidden/>
          </w:rPr>
          <w:tab/>
        </w:r>
        <w:r>
          <w:rPr>
            <w:noProof/>
            <w:webHidden/>
          </w:rPr>
          <w:fldChar w:fldCharType="begin"/>
        </w:r>
        <w:r>
          <w:rPr>
            <w:noProof/>
            <w:webHidden/>
          </w:rPr>
          <w:instrText xml:space="preserve"> PAGEREF _Toc409792245 \h </w:instrText>
        </w:r>
        <w:r>
          <w:rPr>
            <w:noProof/>
            <w:webHidden/>
          </w:rPr>
        </w:r>
        <w:r>
          <w:rPr>
            <w:noProof/>
            <w:webHidden/>
          </w:rPr>
          <w:fldChar w:fldCharType="separate"/>
        </w:r>
        <w:r>
          <w:rPr>
            <w:noProof/>
            <w:webHidden/>
          </w:rPr>
          <w:t>42</w:t>
        </w:r>
        <w:r>
          <w:rPr>
            <w:noProof/>
            <w:webHidden/>
          </w:rPr>
          <w:fldChar w:fldCharType="end"/>
        </w:r>
      </w:hyperlink>
    </w:p>
    <w:p w:rsidR="00537401" w:rsidRDefault="00537401" w:rsidP="00537401">
      <w:pPr>
        <w:pStyle w:val="TOC4"/>
        <w:rPr>
          <w:rFonts w:asciiTheme="minorHAnsi" w:eastAsiaTheme="minorEastAsia" w:hAnsiTheme="minorHAnsi" w:cstheme="minorBidi"/>
          <w:noProof/>
          <w:sz w:val="22"/>
          <w:szCs w:val="22"/>
          <w:lang w:val="en-US"/>
        </w:rPr>
      </w:pPr>
      <w:hyperlink w:anchor="_Toc409792246" w:history="1">
        <w:r w:rsidRPr="0073230A">
          <w:rPr>
            <w:rStyle w:val="Hyperlink"/>
            <w:noProof/>
          </w:rPr>
          <w:t>3.4.5</w:t>
        </w:r>
        <w:r>
          <w:rPr>
            <w:rFonts w:asciiTheme="minorHAnsi" w:eastAsiaTheme="minorEastAsia" w:hAnsiTheme="minorHAnsi" w:cstheme="minorBidi"/>
            <w:noProof/>
            <w:sz w:val="22"/>
            <w:szCs w:val="22"/>
            <w:lang w:val="en-US"/>
          </w:rPr>
          <w:tab/>
        </w:r>
        <w:r w:rsidRPr="0073230A">
          <w:rPr>
            <w:rStyle w:val="Hyperlink"/>
            <w:noProof/>
          </w:rPr>
          <w:t>Procedural rules applicable to children involved in health care proceedings</w:t>
        </w:r>
        <w:r>
          <w:rPr>
            <w:noProof/>
            <w:webHidden/>
          </w:rPr>
          <w:tab/>
        </w:r>
        <w:r>
          <w:rPr>
            <w:noProof/>
            <w:webHidden/>
          </w:rPr>
          <w:fldChar w:fldCharType="begin"/>
        </w:r>
        <w:r>
          <w:rPr>
            <w:noProof/>
            <w:webHidden/>
          </w:rPr>
          <w:instrText xml:space="preserve"> PAGEREF _Toc409792246 \h </w:instrText>
        </w:r>
        <w:r>
          <w:rPr>
            <w:noProof/>
            <w:webHidden/>
          </w:rPr>
        </w:r>
        <w:r>
          <w:rPr>
            <w:noProof/>
            <w:webHidden/>
          </w:rPr>
          <w:fldChar w:fldCharType="separate"/>
        </w:r>
        <w:r>
          <w:rPr>
            <w:noProof/>
            <w:webHidden/>
          </w:rPr>
          <w:t>42</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247" w:history="1">
        <w:r w:rsidRPr="0073230A">
          <w:rPr>
            <w:rStyle w:val="Hyperlink"/>
            <w:noProof/>
          </w:rPr>
          <w:t>Mental health</w:t>
        </w:r>
        <w:r>
          <w:rPr>
            <w:noProof/>
            <w:webHidden/>
          </w:rPr>
          <w:tab/>
        </w:r>
        <w:r>
          <w:rPr>
            <w:noProof/>
            <w:webHidden/>
          </w:rPr>
          <w:fldChar w:fldCharType="begin"/>
        </w:r>
        <w:r>
          <w:rPr>
            <w:noProof/>
            <w:webHidden/>
          </w:rPr>
          <w:instrText xml:space="preserve"> PAGEREF _Toc409792247 \h </w:instrText>
        </w:r>
        <w:r>
          <w:rPr>
            <w:noProof/>
            <w:webHidden/>
          </w:rPr>
        </w:r>
        <w:r>
          <w:rPr>
            <w:noProof/>
            <w:webHidden/>
          </w:rPr>
          <w:fldChar w:fldCharType="separate"/>
        </w:r>
        <w:r>
          <w:rPr>
            <w:noProof/>
            <w:webHidden/>
          </w:rPr>
          <w:t>42</w:t>
        </w:r>
        <w:r>
          <w:rPr>
            <w:noProof/>
            <w:webHidden/>
          </w:rPr>
          <w:fldChar w:fldCharType="end"/>
        </w:r>
      </w:hyperlink>
    </w:p>
    <w:p w:rsidR="00537401" w:rsidRDefault="00537401" w:rsidP="00537401">
      <w:pPr>
        <w:pStyle w:val="TOC3"/>
        <w:rPr>
          <w:rFonts w:asciiTheme="minorHAnsi" w:eastAsiaTheme="minorEastAsia" w:hAnsiTheme="minorHAnsi" w:cstheme="minorBidi"/>
          <w:noProof/>
          <w:sz w:val="22"/>
          <w:szCs w:val="22"/>
          <w:lang w:val="en-US"/>
        </w:rPr>
      </w:pPr>
      <w:hyperlink w:anchor="_Toc409792248" w:history="1">
        <w:r w:rsidRPr="0073230A">
          <w:rPr>
            <w:rStyle w:val="Hyperlink"/>
            <w:noProof/>
          </w:rPr>
          <w:t>3.5</w:t>
        </w:r>
        <w:r>
          <w:rPr>
            <w:rFonts w:asciiTheme="minorHAnsi" w:eastAsiaTheme="minorEastAsia" w:hAnsiTheme="minorHAnsi" w:cstheme="minorBidi"/>
            <w:noProof/>
            <w:sz w:val="22"/>
            <w:szCs w:val="22"/>
            <w:lang w:val="en-US"/>
          </w:rPr>
          <w:tab/>
        </w:r>
        <w:r w:rsidRPr="0073230A">
          <w:rPr>
            <w:rStyle w:val="Hyperlink"/>
            <w:noProof/>
          </w:rPr>
          <w:t>Right to be heard and to participate in administrative judicial proceedings</w:t>
        </w:r>
        <w:r>
          <w:rPr>
            <w:noProof/>
            <w:webHidden/>
          </w:rPr>
          <w:tab/>
        </w:r>
        <w:r>
          <w:rPr>
            <w:noProof/>
            <w:webHidden/>
          </w:rPr>
          <w:fldChar w:fldCharType="begin"/>
        </w:r>
        <w:r>
          <w:rPr>
            <w:noProof/>
            <w:webHidden/>
          </w:rPr>
          <w:instrText xml:space="preserve"> PAGEREF _Toc409792248 \h </w:instrText>
        </w:r>
        <w:r>
          <w:rPr>
            <w:noProof/>
            <w:webHidden/>
          </w:rPr>
        </w:r>
        <w:r>
          <w:rPr>
            <w:noProof/>
            <w:webHidden/>
          </w:rPr>
          <w:fldChar w:fldCharType="separate"/>
        </w:r>
        <w:r>
          <w:rPr>
            <w:noProof/>
            <w:webHidden/>
          </w:rPr>
          <w:t>43</w:t>
        </w:r>
        <w:r>
          <w:rPr>
            <w:noProof/>
            <w:webHidden/>
          </w:rPr>
          <w:fldChar w:fldCharType="end"/>
        </w:r>
      </w:hyperlink>
    </w:p>
    <w:p w:rsidR="00537401" w:rsidRDefault="00537401" w:rsidP="00537401">
      <w:pPr>
        <w:pStyle w:val="TOC4"/>
        <w:rPr>
          <w:rFonts w:asciiTheme="minorHAnsi" w:eastAsiaTheme="minorEastAsia" w:hAnsiTheme="minorHAnsi" w:cstheme="minorBidi"/>
          <w:noProof/>
          <w:sz w:val="22"/>
          <w:szCs w:val="22"/>
          <w:lang w:val="en-US"/>
        </w:rPr>
      </w:pPr>
      <w:hyperlink w:anchor="_Toc409792249" w:history="1">
        <w:r w:rsidRPr="0073230A">
          <w:rPr>
            <w:rStyle w:val="Hyperlink"/>
            <w:noProof/>
          </w:rPr>
          <w:t>3.5.1</w:t>
        </w:r>
        <w:r>
          <w:rPr>
            <w:rFonts w:asciiTheme="minorHAnsi" w:eastAsiaTheme="minorEastAsia" w:hAnsiTheme="minorHAnsi" w:cstheme="minorBidi"/>
            <w:noProof/>
            <w:sz w:val="22"/>
            <w:szCs w:val="22"/>
            <w:lang w:val="en-US"/>
          </w:rPr>
          <w:tab/>
        </w:r>
        <w:r w:rsidRPr="0073230A">
          <w:rPr>
            <w:rStyle w:val="Hyperlink"/>
            <w:noProof/>
          </w:rPr>
          <w:t>General procedural rules applicable to children involved in administrative judicial proceedings including proceedings reviewing administrative authorities’ decisions in the sectors of asylum, migration and education</w:t>
        </w:r>
        <w:r>
          <w:rPr>
            <w:noProof/>
            <w:webHidden/>
          </w:rPr>
          <w:tab/>
        </w:r>
        <w:r>
          <w:rPr>
            <w:noProof/>
            <w:webHidden/>
          </w:rPr>
          <w:fldChar w:fldCharType="begin"/>
        </w:r>
        <w:r>
          <w:rPr>
            <w:noProof/>
            <w:webHidden/>
          </w:rPr>
          <w:instrText xml:space="preserve"> PAGEREF _Toc409792249 \h </w:instrText>
        </w:r>
        <w:r>
          <w:rPr>
            <w:noProof/>
            <w:webHidden/>
          </w:rPr>
        </w:r>
        <w:r>
          <w:rPr>
            <w:noProof/>
            <w:webHidden/>
          </w:rPr>
          <w:fldChar w:fldCharType="separate"/>
        </w:r>
        <w:r>
          <w:rPr>
            <w:noProof/>
            <w:webHidden/>
          </w:rPr>
          <w:t>43</w:t>
        </w:r>
        <w:r>
          <w:rPr>
            <w:noProof/>
            <w:webHidden/>
          </w:rPr>
          <w:fldChar w:fldCharType="end"/>
        </w:r>
      </w:hyperlink>
    </w:p>
    <w:p w:rsidR="00537401" w:rsidRDefault="00537401" w:rsidP="00537401">
      <w:pPr>
        <w:pStyle w:val="TOC4"/>
        <w:rPr>
          <w:rFonts w:asciiTheme="minorHAnsi" w:eastAsiaTheme="minorEastAsia" w:hAnsiTheme="minorHAnsi" w:cstheme="minorBidi"/>
          <w:noProof/>
          <w:sz w:val="22"/>
          <w:szCs w:val="22"/>
          <w:lang w:val="en-US"/>
        </w:rPr>
      </w:pPr>
      <w:hyperlink w:anchor="_Toc409792250" w:history="1">
        <w:r w:rsidRPr="0073230A">
          <w:rPr>
            <w:rStyle w:val="Hyperlink"/>
            <w:noProof/>
          </w:rPr>
          <w:t>3.5.2</w:t>
        </w:r>
        <w:r>
          <w:rPr>
            <w:rFonts w:asciiTheme="minorHAnsi" w:eastAsiaTheme="minorEastAsia" w:hAnsiTheme="minorHAnsi" w:cstheme="minorBidi"/>
            <w:noProof/>
            <w:sz w:val="22"/>
            <w:szCs w:val="22"/>
            <w:lang w:val="en-US"/>
          </w:rPr>
          <w:tab/>
        </w:r>
        <w:r w:rsidRPr="0073230A">
          <w:rPr>
            <w:rStyle w:val="Hyperlink"/>
            <w:noProof/>
          </w:rPr>
          <w:t>Procedural rules applicable to children involved in asylum and migration proceedings</w:t>
        </w:r>
        <w:r>
          <w:rPr>
            <w:noProof/>
            <w:webHidden/>
          </w:rPr>
          <w:tab/>
        </w:r>
        <w:r>
          <w:rPr>
            <w:noProof/>
            <w:webHidden/>
          </w:rPr>
          <w:fldChar w:fldCharType="begin"/>
        </w:r>
        <w:r>
          <w:rPr>
            <w:noProof/>
            <w:webHidden/>
          </w:rPr>
          <w:instrText xml:space="preserve"> PAGEREF _Toc409792250 \h </w:instrText>
        </w:r>
        <w:r>
          <w:rPr>
            <w:noProof/>
            <w:webHidden/>
          </w:rPr>
        </w:r>
        <w:r>
          <w:rPr>
            <w:noProof/>
            <w:webHidden/>
          </w:rPr>
          <w:fldChar w:fldCharType="separate"/>
        </w:r>
        <w:r>
          <w:rPr>
            <w:noProof/>
            <w:webHidden/>
          </w:rPr>
          <w:t>44</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251" w:history="1">
        <w:r w:rsidRPr="0073230A">
          <w:rPr>
            <w:rStyle w:val="Hyperlink"/>
            <w:noProof/>
          </w:rPr>
          <w:t>The unaccompanied child national of a country outside the European Economic Area (EEA)</w:t>
        </w:r>
        <w:r>
          <w:rPr>
            <w:noProof/>
            <w:webHidden/>
          </w:rPr>
          <w:tab/>
        </w:r>
        <w:r>
          <w:rPr>
            <w:noProof/>
            <w:webHidden/>
          </w:rPr>
          <w:fldChar w:fldCharType="begin"/>
        </w:r>
        <w:r>
          <w:rPr>
            <w:noProof/>
            <w:webHidden/>
          </w:rPr>
          <w:instrText xml:space="preserve"> PAGEREF _Toc409792251 \h </w:instrText>
        </w:r>
        <w:r>
          <w:rPr>
            <w:noProof/>
            <w:webHidden/>
          </w:rPr>
        </w:r>
        <w:r>
          <w:rPr>
            <w:noProof/>
            <w:webHidden/>
          </w:rPr>
          <w:fldChar w:fldCharType="separate"/>
        </w:r>
        <w:r>
          <w:rPr>
            <w:noProof/>
            <w:webHidden/>
          </w:rPr>
          <w:t>45</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252" w:history="1">
        <w:r w:rsidRPr="0073230A">
          <w:rPr>
            <w:rStyle w:val="Hyperlink"/>
            <w:noProof/>
          </w:rPr>
          <w:t>The unaccompanied EEA child</w:t>
        </w:r>
        <w:r>
          <w:rPr>
            <w:noProof/>
            <w:webHidden/>
          </w:rPr>
          <w:tab/>
        </w:r>
        <w:r>
          <w:rPr>
            <w:noProof/>
            <w:webHidden/>
          </w:rPr>
          <w:fldChar w:fldCharType="begin"/>
        </w:r>
        <w:r>
          <w:rPr>
            <w:noProof/>
            <w:webHidden/>
          </w:rPr>
          <w:instrText xml:space="preserve"> PAGEREF _Toc409792252 \h </w:instrText>
        </w:r>
        <w:r>
          <w:rPr>
            <w:noProof/>
            <w:webHidden/>
          </w:rPr>
        </w:r>
        <w:r>
          <w:rPr>
            <w:noProof/>
            <w:webHidden/>
          </w:rPr>
          <w:fldChar w:fldCharType="separate"/>
        </w:r>
        <w:r>
          <w:rPr>
            <w:noProof/>
            <w:webHidden/>
          </w:rPr>
          <w:t>45</w:t>
        </w:r>
        <w:r>
          <w:rPr>
            <w:noProof/>
            <w:webHidden/>
          </w:rPr>
          <w:fldChar w:fldCharType="end"/>
        </w:r>
      </w:hyperlink>
    </w:p>
    <w:p w:rsidR="00537401" w:rsidRDefault="00537401" w:rsidP="00537401">
      <w:pPr>
        <w:pStyle w:val="TOC4"/>
        <w:rPr>
          <w:rFonts w:asciiTheme="minorHAnsi" w:eastAsiaTheme="minorEastAsia" w:hAnsiTheme="minorHAnsi" w:cstheme="minorBidi"/>
          <w:noProof/>
          <w:sz w:val="22"/>
          <w:szCs w:val="22"/>
          <w:lang w:val="en-US"/>
        </w:rPr>
      </w:pPr>
      <w:hyperlink w:anchor="_Toc409792253" w:history="1">
        <w:r w:rsidRPr="0073230A">
          <w:rPr>
            <w:rStyle w:val="Hyperlink"/>
            <w:noProof/>
          </w:rPr>
          <w:t>3.5.3</w:t>
        </w:r>
        <w:r>
          <w:rPr>
            <w:rFonts w:asciiTheme="minorHAnsi" w:eastAsiaTheme="minorEastAsia" w:hAnsiTheme="minorHAnsi" w:cstheme="minorBidi"/>
            <w:noProof/>
            <w:sz w:val="22"/>
            <w:szCs w:val="22"/>
            <w:lang w:val="en-US"/>
          </w:rPr>
          <w:tab/>
        </w:r>
        <w:r w:rsidRPr="0073230A">
          <w:rPr>
            <w:rStyle w:val="Hyperlink"/>
            <w:noProof/>
          </w:rPr>
          <w:t>Procedural rules applicable to children involved in placement into care and administrative sanctions proceedings</w:t>
        </w:r>
        <w:r>
          <w:rPr>
            <w:noProof/>
            <w:webHidden/>
          </w:rPr>
          <w:tab/>
        </w:r>
        <w:r>
          <w:rPr>
            <w:noProof/>
            <w:webHidden/>
          </w:rPr>
          <w:fldChar w:fldCharType="begin"/>
        </w:r>
        <w:r>
          <w:rPr>
            <w:noProof/>
            <w:webHidden/>
          </w:rPr>
          <w:instrText xml:space="preserve"> PAGEREF _Toc409792253 \h </w:instrText>
        </w:r>
        <w:r>
          <w:rPr>
            <w:noProof/>
            <w:webHidden/>
          </w:rPr>
        </w:r>
        <w:r>
          <w:rPr>
            <w:noProof/>
            <w:webHidden/>
          </w:rPr>
          <w:fldChar w:fldCharType="separate"/>
        </w:r>
        <w:r>
          <w:rPr>
            <w:noProof/>
            <w:webHidden/>
          </w:rPr>
          <w:t>45</w:t>
        </w:r>
        <w:r>
          <w:rPr>
            <w:noProof/>
            <w:webHidden/>
          </w:rPr>
          <w:fldChar w:fldCharType="end"/>
        </w:r>
      </w:hyperlink>
    </w:p>
    <w:p w:rsidR="00537401" w:rsidRDefault="00537401" w:rsidP="00537401">
      <w:pPr>
        <w:pStyle w:val="TOC4"/>
        <w:rPr>
          <w:rFonts w:asciiTheme="minorHAnsi" w:eastAsiaTheme="minorEastAsia" w:hAnsiTheme="minorHAnsi" w:cstheme="minorBidi"/>
          <w:noProof/>
          <w:sz w:val="22"/>
          <w:szCs w:val="22"/>
          <w:lang w:val="en-US"/>
        </w:rPr>
      </w:pPr>
      <w:hyperlink w:anchor="_Toc409792254" w:history="1">
        <w:r w:rsidRPr="0073230A">
          <w:rPr>
            <w:rStyle w:val="Hyperlink"/>
            <w:noProof/>
          </w:rPr>
          <w:t>3.5.4</w:t>
        </w:r>
        <w:r>
          <w:rPr>
            <w:rFonts w:asciiTheme="minorHAnsi" w:eastAsiaTheme="minorEastAsia" w:hAnsiTheme="minorHAnsi" w:cstheme="minorBidi"/>
            <w:noProof/>
            <w:sz w:val="22"/>
            <w:szCs w:val="22"/>
            <w:lang w:val="en-US"/>
          </w:rPr>
          <w:tab/>
        </w:r>
        <w:r w:rsidRPr="0073230A">
          <w:rPr>
            <w:rStyle w:val="Hyperlink"/>
            <w:noProof/>
          </w:rPr>
          <w:t>Procedural rules applicable to children involved in health care proceedings</w:t>
        </w:r>
        <w:r>
          <w:rPr>
            <w:noProof/>
            <w:webHidden/>
          </w:rPr>
          <w:tab/>
        </w:r>
        <w:r>
          <w:rPr>
            <w:noProof/>
            <w:webHidden/>
          </w:rPr>
          <w:fldChar w:fldCharType="begin"/>
        </w:r>
        <w:r>
          <w:rPr>
            <w:noProof/>
            <w:webHidden/>
          </w:rPr>
          <w:instrText xml:space="preserve"> PAGEREF _Toc409792254 \h </w:instrText>
        </w:r>
        <w:r>
          <w:rPr>
            <w:noProof/>
            <w:webHidden/>
          </w:rPr>
        </w:r>
        <w:r>
          <w:rPr>
            <w:noProof/>
            <w:webHidden/>
          </w:rPr>
          <w:fldChar w:fldCharType="separate"/>
        </w:r>
        <w:r>
          <w:rPr>
            <w:noProof/>
            <w:webHidden/>
          </w:rPr>
          <w:t>46</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255" w:history="1">
        <w:r w:rsidRPr="0073230A">
          <w:rPr>
            <w:rStyle w:val="Hyperlink"/>
            <w:noProof/>
          </w:rPr>
          <w:t>Mental health</w:t>
        </w:r>
        <w:r>
          <w:rPr>
            <w:noProof/>
            <w:webHidden/>
          </w:rPr>
          <w:tab/>
        </w:r>
        <w:r>
          <w:rPr>
            <w:noProof/>
            <w:webHidden/>
          </w:rPr>
          <w:fldChar w:fldCharType="begin"/>
        </w:r>
        <w:r>
          <w:rPr>
            <w:noProof/>
            <w:webHidden/>
          </w:rPr>
          <w:instrText xml:space="preserve"> PAGEREF _Toc409792255 \h </w:instrText>
        </w:r>
        <w:r>
          <w:rPr>
            <w:noProof/>
            <w:webHidden/>
          </w:rPr>
        </w:r>
        <w:r>
          <w:rPr>
            <w:noProof/>
            <w:webHidden/>
          </w:rPr>
          <w:fldChar w:fldCharType="separate"/>
        </w:r>
        <w:r>
          <w:rPr>
            <w:noProof/>
            <w:webHidden/>
          </w:rPr>
          <w:t>46</w:t>
        </w:r>
        <w:r>
          <w:rPr>
            <w:noProof/>
            <w:webHidden/>
          </w:rPr>
          <w:fldChar w:fldCharType="end"/>
        </w:r>
      </w:hyperlink>
    </w:p>
    <w:p w:rsidR="00537401" w:rsidRDefault="00537401" w:rsidP="00537401">
      <w:pPr>
        <w:pStyle w:val="TOC3"/>
        <w:rPr>
          <w:rFonts w:asciiTheme="minorHAnsi" w:eastAsiaTheme="minorEastAsia" w:hAnsiTheme="minorHAnsi" w:cstheme="minorBidi"/>
          <w:noProof/>
          <w:sz w:val="22"/>
          <w:szCs w:val="22"/>
          <w:lang w:val="en-US"/>
        </w:rPr>
      </w:pPr>
      <w:hyperlink w:anchor="_Toc409792256" w:history="1">
        <w:r w:rsidRPr="0073230A">
          <w:rPr>
            <w:rStyle w:val="Hyperlink"/>
            <w:noProof/>
          </w:rPr>
          <w:t>3.6</w:t>
        </w:r>
        <w:r>
          <w:rPr>
            <w:rFonts w:asciiTheme="minorHAnsi" w:eastAsiaTheme="minorEastAsia" w:hAnsiTheme="minorHAnsi" w:cstheme="minorBidi"/>
            <w:noProof/>
            <w:sz w:val="22"/>
            <w:szCs w:val="22"/>
            <w:lang w:val="en-US"/>
          </w:rPr>
          <w:tab/>
        </w:r>
        <w:r w:rsidRPr="0073230A">
          <w:rPr>
            <w:rStyle w:val="Hyperlink"/>
            <w:noProof/>
          </w:rPr>
          <w:t>Right to legal counsel, legal assistance and representation</w:t>
        </w:r>
        <w:r>
          <w:rPr>
            <w:noProof/>
            <w:webHidden/>
          </w:rPr>
          <w:tab/>
        </w:r>
        <w:r>
          <w:rPr>
            <w:noProof/>
            <w:webHidden/>
          </w:rPr>
          <w:fldChar w:fldCharType="begin"/>
        </w:r>
        <w:r>
          <w:rPr>
            <w:noProof/>
            <w:webHidden/>
          </w:rPr>
          <w:instrText xml:space="preserve"> PAGEREF _Toc409792256 \h </w:instrText>
        </w:r>
        <w:r>
          <w:rPr>
            <w:noProof/>
            <w:webHidden/>
          </w:rPr>
        </w:r>
        <w:r>
          <w:rPr>
            <w:noProof/>
            <w:webHidden/>
          </w:rPr>
          <w:fldChar w:fldCharType="separate"/>
        </w:r>
        <w:r>
          <w:rPr>
            <w:noProof/>
            <w:webHidden/>
          </w:rPr>
          <w:t>46</w:t>
        </w:r>
        <w:r>
          <w:rPr>
            <w:noProof/>
            <w:webHidden/>
          </w:rPr>
          <w:fldChar w:fldCharType="end"/>
        </w:r>
      </w:hyperlink>
    </w:p>
    <w:p w:rsidR="00537401" w:rsidRDefault="00537401" w:rsidP="00537401">
      <w:pPr>
        <w:pStyle w:val="TOC4"/>
        <w:rPr>
          <w:rFonts w:asciiTheme="minorHAnsi" w:eastAsiaTheme="minorEastAsia" w:hAnsiTheme="minorHAnsi" w:cstheme="minorBidi"/>
          <w:noProof/>
          <w:sz w:val="22"/>
          <w:szCs w:val="22"/>
          <w:lang w:val="en-US"/>
        </w:rPr>
      </w:pPr>
      <w:hyperlink w:anchor="_Toc409792257" w:history="1">
        <w:r w:rsidRPr="0073230A">
          <w:rPr>
            <w:rStyle w:val="Hyperlink"/>
            <w:noProof/>
          </w:rPr>
          <w:t>3.6.1</w:t>
        </w:r>
        <w:r>
          <w:rPr>
            <w:rFonts w:asciiTheme="minorHAnsi" w:eastAsiaTheme="minorEastAsia" w:hAnsiTheme="minorHAnsi" w:cstheme="minorBidi"/>
            <w:noProof/>
            <w:sz w:val="22"/>
            <w:szCs w:val="22"/>
            <w:lang w:val="en-US"/>
          </w:rPr>
          <w:tab/>
        </w:r>
        <w:r w:rsidRPr="0073230A">
          <w:rPr>
            <w:rStyle w:val="Hyperlink"/>
            <w:noProof/>
          </w:rPr>
          <w:t>General procedural rules applicable to children involved in administrative judicial proceedings including proceedings reviewing administrative authorities’ decisions in the sectors of asylum, migration and education</w:t>
        </w:r>
        <w:r>
          <w:rPr>
            <w:noProof/>
            <w:webHidden/>
          </w:rPr>
          <w:tab/>
        </w:r>
        <w:r>
          <w:rPr>
            <w:noProof/>
            <w:webHidden/>
          </w:rPr>
          <w:fldChar w:fldCharType="begin"/>
        </w:r>
        <w:r>
          <w:rPr>
            <w:noProof/>
            <w:webHidden/>
          </w:rPr>
          <w:instrText xml:space="preserve"> PAGEREF _Toc409792257 \h </w:instrText>
        </w:r>
        <w:r>
          <w:rPr>
            <w:noProof/>
            <w:webHidden/>
          </w:rPr>
        </w:r>
        <w:r>
          <w:rPr>
            <w:noProof/>
            <w:webHidden/>
          </w:rPr>
          <w:fldChar w:fldCharType="separate"/>
        </w:r>
        <w:r>
          <w:rPr>
            <w:noProof/>
            <w:webHidden/>
          </w:rPr>
          <w:t>46</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258" w:history="1">
        <w:r w:rsidRPr="0073230A">
          <w:rPr>
            <w:rStyle w:val="Hyperlink"/>
            <w:noProof/>
          </w:rPr>
          <w:t>Legal representation</w:t>
        </w:r>
        <w:r>
          <w:rPr>
            <w:noProof/>
            <w:webHidden/>
          </w:rPr>
          <w:tab/>
        </w:r>
        <w:r>
          <w:rPr>
            <w:noProof/>
            <w:webHidden/>
          </w:rPr>
          <w:fldChar w:fldCharType="begin"/>
        </w:r>
        <w:r>
          <w:rPr>
            <w:noProof/>
            <w:webHidden/>
          </w:rPr>
          <w:instrText xml:space="preserve"> PAGEREF _Toc409792258 \h </w:instrText>
        </w:r>
        <w:r>
          <w:rPr>
            <w:noProof/>
            <w:webHidden/>
          </w:rPr>
        </w:r>
        <w:r>
          <w:rPr>
            <w:noProof/>
            <w:webHidden/>
          </w:rPr>
          <w:fldChar w:fldCharType="separate"/>
        </w:r>
        <w:r>
          <w:rPr>
            <w:noProof/>
            <w:webHidden/>
          </w:rPr>
          <w:t>47</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259" w:history="1">
        <w:r w:rsidRPr="0073230A">
          <w:rPr>
            <w:rStyle w:val="Hyperlink"/>
            <w:noProof/>
          </w:rPr>
          <w:t>Legal counsel</w:t>
        </w:r>
        <w:r>
          <w:rPr>
            <w:noProof/>
            <w:webHidden/>
          </w:rPr>
          <w:tab/>
        </w:r>
        <w:r>
          <w:rPr>
            <w:noProof/>
            <w:webHidden/>
          </w:rPr>
          <w:fldChar w:fldCharType="begin"/>
        </w:r>
        <w:r>
          <w:rPr>
            <w:noProof/>
            <w:webHidden/>
          </w:rPr>
          <w:instrText xml:space="preserve"> PAGEREF _Toc409792259 \h </w:instrText>
        </w:r>
        <w:r>
          <w:rPr>
            <w:noProof/>
            <w:webHidden/>
          </w:rPr>
        </w:r>
        <w:r>
          <w:rPr>
            <w:noProof/>
            <w:webHidden/>
          </w:rPr>
          <w:fldChar w:fldCharType="separate"/>
        </w:r>
        <w:r>
          <w:rPr>
            <w:noProof/>
            <w:webHidden/>
          </w:rPr>
          <w:t>47</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260" w:history="1">
        <w:r w:rsidRPr="0073230A">
          <w:rPr>
            <w:rStyle w:val="Hyperlink"/>
            <w:noProof/>
          </w:rPr>
          <w:t>Legal aid</w:t>
        </w:r>
        <w:r>
          <w:rPr>
            <w:noProof/>
            <w:webHidden/>
          </w:rPr>
          <w:tab/>
        </w:r>
        <w:r>
          <w:rPr>
            <w:noProof/>
            <w:webHidden/>
          </w:rPr>
          <w:fldChar w:fldCharType="begin"/>
        </w:r>
        <w:r>
          <w:rPr>
            <w:noProof/>
            <w:webHidden/>
          </w:rPr>
          <w:instrText xml:space="preserve"> PAGEREF _Toc409792260 \h </w:instrText>
        </w:r>
        <w:r>
          <w:rPr>
            <w:noProof/>
            <w:webHidden/>
          </w:rPr>
        </w:r>
        <w:r>
          <w:rPr>
            <w:noProof/>
            <w:webHidden/>
          </w:rPr>
          <w:fldChar w:fldCharType="separate"/>
        </w:r>
        <w:r>
          <w:rPr>
            <w:noProof/>
            <w:webHidden/>
          </w:rPr>
          <w:t>48</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261" w:history="1">
        <w:r w:rsidRPr="0073230A">
          <w:rPr>
            <w:rStyle w:val="Hyperlink"/>
            <w:noProof/>
          </w:rPr>
          <w:t>Conflict of interests</w:t>
        </w:r>
        <w:r>
          <w:rPr>
            <w:noProof/>
            <w:webHidden/>
          </w:rPr>
          <w:tab/>
        </w:r>
        <w:r>
          <w:rPr>
            <w:noProof/>
            <w:webHidden/>
          </w:rPr>
          <w:fldChar w:fldCharType="begin"/>
        </w:r>
        <w:r>
          <w:rPr>
            <w:noProof/>
            <w:webHidden/>
          </w:rPr>
          <w:instrText xml:space="preserve"> PAGEREF _Toc409792261 \h </w:instrText>
        </w:r>
        <w:r>
          <w:rPr>
            <w:noProof/>
            <w:webHidden/>
          </w:rPr>
        </w:r>
        <w:r>
          <w:rPr>
            <w:noProof/>
            <w:webHidden/>
          </w:rPr>
          <w:fldChar w:fldCharType="separate"/>
        </w:r>
        <w:r>
          <w:rPr>
            <w:noProof/>
            <w:webHidden/>
          </w:rPr>
          <w:t>48</w:t>
        </w:r>
        <w:r>
          <w:rPr>
            <w:noProof/>
            <w:webHidden/>
          </w:rPr>
          <w:fldChar w:fldCharType="end"/>
        </w:r>
      </w:hyperlink>
    </w:p>
    <w:p w:rsidR="00537401" w:rsidRDefault="00537401" w:rsidP="00537401">
      <w:pPr>
        <w:pStyle w:val="TOC4"/>
        <w:rPr>
          <w:rFonts w:asciiTheme="minorHAnsi" w:eastAsiaTheme="minorEastAsia" w:hAnsiTheme="minorHAnsi" w:cstheme="minorBidi"/>
          <w:noProof/>
          <w:sz w:val="22"/>
          <w:szCs w:val="22"/>
          <w:lang w:val="en-US"/>
        </w:rPr>
      </w:pPr>
      <w:hyperlink w:anchor="_Toc409792262" w:history="1">
        <w:r w:rsidRPr="0073230A">
          <w:rPr>
            <w:rStyle w:val="Hyperlink"/>
            <w:noProof/>
          </w:rPr>
          <w:t>3.6.2</w:t>
        </w:r>
        <w:r>
          <w:rPr>
            <w:rFonts w:asciiTheme="minorHAnsi" w:eastAsiaTheme="minorEastAsia" w:hAnsiTheme="minorHAnsi" w:cstheme="minorBidi"/>
            <w:noProof/>
            <w:sz w:val="22"/>
            <w:szCs w:val="22"/>
            <w:lang w:val="en-US"/>
          </w:rPr>
          <w:tab/>
        </w:r>
        <w:r w:rsidRPr="0073230A">
          <w:rPr>
            <w:rStyle w:val="Hyperlink"/>
            <w:noProof/>
          </w:rPr>
          <w:t>Procedural rules applicable to children involved in asylum and migration proceedings</w:t>
        </w:r>
        <w:r>
          <w:rPr>
            <w:noProof/>
            <w:webHidden/>
          </w:rPr>
          <w:tab/>
        </w:r>
        <w:r>
          <w:rPr>
            <w:noProof/>
            <w:webHidden/>
          </w:rPr>
          <w:fldChar w:fldCharType="begin"/>
        </w:r>
        <w:r>
          <w:rPr>
            <w:noProof/>
            <w:webHidden/>
          </w:rPr>
          <w:instrText xml:space="preserve"> PAGEREF _Toc409792262 \h </w:instrText>
        </w:r>
        <w:r>
          <w:rPr>
            <w:noProof/>
            <w:webHidden/>
          </w:rPr>
        </w:r>
        <w:r>
          <w:rPr>
            <w:noProof/>
            <w:webHidden/>
          </w:rPr>
          <w:fldChar w:fldCharType="separate"/>
        </w:r>
        <w:r>
          <w:rPr>
            <w:noProof/>
            <w:webHidden/>
          </w:rPr>
          <w:t>49</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263" w:history="1">
        <w:r w:rsidRPr="0073230A">
          <w:rPr>
            <w:rStyle w:val="Hyperlink"/>
            <w:noProof/>
          </w:rPr>
          <w:t>Unaccompanied children</w:t>
        </w:r>
        <w:r>
          <w:rPr>
            <w:noProof/>
            <w:webHidden/>
          </w:rPr>
          <w:tab/>
        </w:r>
        <w:r>
          <w:rPr>
            <w:noProof/>
            <w:webHidden/>
          </w:rPr>
          <w:fldChar w:fldCharType="begin"/>
        </w:r>
        <w:r>
          <w:rPr>
            <w:noProof/>
            <w:webHidden/>
          </w:rPr>
          <w:instrText xml:space="preserve"> PAGEREF _Toc409792263 \h </w:instrText>
        </w:r>
        <w:r>
          <w:rPr>
            <w:noProof/>
            <w:webHidden/>
          </w:rPr>
        </w:r>
        <w:r>
          <w:rPr>
            <w:noProof/>
            <w:webHidden/>
          </w:rPr>
          <w:fldChar w:fldCharType="separate"/>
        </w:r>
        <w:r>
          <w:rPr>
            <w:noProof/>
            <w:webHidden/>
          </w:rPr>
          <w:t>49</w:t>
        </w:r>
        <w:r>
          <w:rPr>
            <w:noProof/>
            <w:webHidden/>
          </w:rPr>
          <w:fldChar w:fldCharType="end"/>
        </w:r>
      </w:hyperlink>
    </w:p>
    <w:p w:rsidR="00537401" w:rsidRDefault="00537401" w:rsidP="00537401">
      <w:pPr>
        <w:pStyle w:val="TOC4"/>
        <w:rPr>
          <w:rFonts w:asciiTheme="minorHAnsi" w:eastAsiaTheme="minorEastAsia" w:hAnsiTheme="minorHAnsi" w:cstheme="minorBidi"/>
          <w:noProof/>
          <w:sz w:val="22"/>
          <w:szCs w:val="22"/>
          <w:lang w:val="en-US"/>
        </w:rPr>
      </w:pPr>
      <w:hyperlink w:anchor="_Toc409792264" w:history="1">
        <w:r w:rsidRPr="0073230A">
          <w:rPr>
            <w:rStyle w:val="Hyperlink"/>
            <w:noProof/>
          </w:rPr>
          <w:t>3.6.3</w:t>
        </w:r>
        <w:r>
          <w:rPr>
            <w:rFonts w:asciiTheme="minorHAnsi" w:eastAsiaTheme="minorEastAsia" w:hAnsiTheme="minorHAnsi" w:cstheme="minorBidi"/>
            <w:noProof/>
            <w:sz w:val="22"/>
            <w:szCs w:val="22"/>
            <w:lang w:val="en-US"/>
          </w:rPr>
          <w:tab/>
        </w:r>
        <w:r w:rsidRPr="0073230A">
          <w:rPr>
            <w:rStyle w:val="Hyperlink"/>
            <w:noProof/>
          </w:rPr>
          <w:t>Procedural rules applicable to children involved in placement into care and administrative sanctions proceedings</w:t>
        </w:r>
        <w:r>
          <w:rPr>
            <w:noProof/>
            <w:webHidden/>
          </w:rPr>
          <w:tab/>
        </w:r>
        <w:r>
          <w:rPr>
            <w:noProof/>
            <w:webHidden/>
          </w:rPr>
          <w:fldChar w:fldCharType="begin"/>
        </w:r>
        <w:r>
          <w:rPr>
            <w:noProof/>
            <w:webHidden/>
          </w:rPr>
          <w:instrText xml:space="preserve"> PAGEREF _Toc409792264 \h </w:instrText>
        </w:r>
        <w:r>
          <w:rPr>
            <w:noProof/>
            <w:webHidden/>
          </w:rPr>
        </w:r>
        <w:r>
          <w:rPr>
            <w:noProof/>
            <w:webHidden/>
          </w:rPr>
          <w:fldChar w:fldCharType="separate"/>
        </w:r>
        <w:r>
          <w:rPr>
            <w:noProof/>
            <w:webHidden/>
          </w:rPr>
          <w:t>50</w:t>
        </w:r>
        <w:r>
          <w:rPr>
            <w:noProof/>
            <w:webHidden/>
          </w:rPr>
          <w:fldChar w:fldCharType="end"/>
        </w:r>
      </w:hyperlink>
    </w:p>
    <w:p w:rsidR="00537401" w:rsidRDefault="00537401" w:rsidP="00537401">
      <w:pPr>
        <w:pStyle w:val="TOC4"/>
        <w:rPr>
          <w:rFonts w:asciiTheme="minorHAnsi" w:eastAsiaTheme="minorEastAsia" w:hAnsiTheme="minorHAnsi" w:cstheme="minorBidi"/>
          <w:noProof/>
          <w:sz w:val="22"/>
          <w:szCs w:val="22"/>
          <w:lang w:val="en-US"/>
        </w:rPr>
      </w:pPr>
      <w:hyperlink w:anchor="_Toc409792265" w:history="1">
        <w:r w:rsidRPr="0073230A">
          <w:rPr>
            <w:rStyle w:val="Hyperlink"/>
            <w:noProof/>
          </w:rPr>
          <w:t>3.6.4</w:t>
        </w:r>
        <w:r>
          <w:rPr>
            <w:rFonts w:asciiTheme="minorHAnsi" w:eastAsiaTheme="minorEastAsia" w:hAnsiTheme="minorHAnsi" w:cstheme="minorBidi"/>
            <w:noProof/>
            <w:sz w:val="22"/>
            <w:szCs w:val="22"/>
            <w:lang w:val="en-US"/>
          </w:rPr>
          <w:tab/>
        </w:r>
        <w:r w:rsidRPr="0073230A">
          <w:rPr>
            <w:rStyle w:val="Hyperlink"/>
            <w:noProof/>
          </w:rPr>
          <w:t>Procedural rules applicable to children involved in health care proceedings</w:t>
        </w:r>
        <w:r>
          <w:rPr>
            <w:noProof/>
            <w:webHidden/>
          </w:rPr>
          <w:tab/>
        </w:r>
        <w:r>
          <w:rPr>
            <w:noProof/>
            <w:webHidden/>
          </w:rPr>
          <w:fldChar w:fldCharType="begin"/>
        </w:r>
        <w:r>
          <w:rPr>
            <w:noProof/>
            <w:webHidden/>
          </w:rPr>
          <w:instrText xml:space="preserve"> PAGEREF _Toc409792265 \h </w:instrText>
        </w:r>
        <w:r>
          <w:rPr>
            <w:noProof/>
            <w:webHidden/>
          </w:rPr>
        </w:r>
        <w:r>
          <w:rPr>
            <w:noProof/>
            <w:webHidden/>
          </w:rPr>
          <w:fldChar w:fldCharType="separate"/>
        </w:r>
        <w:r>
          <w:rPr>
            <w:noProof/>
            <w:webHidden/>
          </w:rPr>
          <w:t>50</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266" w:history="1">
        <w:r w:rsidRPr="0073230A">
          <w:rPr>
            <w:rStyle w:val="Hyperlink"/>
            <w:noProof/>
          </w:rPr>
          <w:t>Mental health</w:t>
        </w:r>
        <w:r>
          <w:rPr>
            <w:noProof/>
            <w:webHidden/>
          </w:rPr>
          <w:tab/>
        </w:r>
        <w:r>
          <w:rPr>
            <w:noProof/>
            <w:webHidden/>
          </w:rPr>
          <w:fldChar w:fldCharType="begin"/>
        </w:r>
        <w:r>
          <w:rPr>
            <w:noProof/>
            <w:webHidden/>
          </w:rPr>
          <w:instrText xml:space="preserve"> PAGEREF _Toc409792266 \h </w:instrText>
        </w:r>
        <w:r>
          <w:rPr>
            <w:noProof/>
            <w:webHidden/>
          </w:rPr>
        </w:r>
        <w:r>
          <w:rPr>
            <w:noProof/>
            <w:webHidden/>
          </w:rPr>
          <w:fldChar w:fldCharType="separate"/>
        </w:r>
        <w:r>
          <w:rPr>
            <w:noProof/>
            <w:webHidden/>
          </w:rPr>
          <w:t>50</w:t>
        </w:r>
        <w:r>
          <w:rPr>
            <w:noProof/>
            <w:webHidden/>
          </w:rPr>
          <w:fldChar w:fldCharType="end"/>
        </w:r>
      </w:hyperlink>
    </w:p>
    <w:p w:rsidR="00537401" w:rsidRDefault="00537401" w:rsidP="00537401">
      <w:pPr>
        <w:pStyle w:val="TOC3"/>
        <w:rPr>
          <w:rFonts w:asciiTheme="minorHAnsi" w:eastAsiaTheme="minorEastAsia" w:hAnsiTheme="minorHAnsi" w:cstheme="minorBidi"/>
          <w:noProof/>
          <w:sz w:val="22"/>
          <w:szCs w:val="22"/>
          <w:lang w:val="en-US"/>
        </w:rPr>
      </w:pPr>
      <w:hyperlink w:anchor="_Toc409792267" w:history="1">
        <w:r w:rsidRPr="0073230A">
          <w:rPr>
            <w:rStyle w:val="Hyperlink"/>
            <w:noProof/>
          </w:rPr>
          <w:t>3.7</w:t>
        </w:r>
        <w:r>
          <w:rPr>
            <w:rFonts w:asciiTheme="minorHAnsi" w:eastAsiaTheme="minorEastAsia" w:hAnsiTheme="minorHAnsi" w:cstheme="minorBidi"/>
            <w:noProof/>
            <w:sz w:val="22"/>
            <w:szCs w:val="22"/>
            <w:lang w:val="en-US"/>
          </w:rPr>
          <w:tab/>
        </w:r>
        <w:r w:rsidRPr="0073230A">
          <w:rPr>
            <w:rStyle w:val="Hyperlink"/>
            <w:noProof/>
          </w:rPr>
          <w:t>Restrictions on liberty</w:t>
        </w:r>
        <w:r>
          <w:rPr>
            <w:noProof/>
            <w:webHidden/>
          </w:rPr>
          <w:tab/>
        </w:r>
        <w:r>
          <w:rPr>
            <w:noProof/>
            <w:webHidden/>
          </w:rPr>
          <w:fldChar w:fldCharType="begin"/>
        </w:r>
        <w:r>
          <w:rPr>
            <w:noProof/>
            <w:webHidden/>
          </w:rPr>
          <w:instrText xml:space="preserve"> PAGEREF _Toc409792267 \h </w:instrText>
        </w:r>
        <w:r>
          <w:rPr>
            <w:noProof/>
            <w:webHidden/>
          </w:rPr>
        </w:r>
        <w:r>
          <w:rPr>
            <w:noProof/>
            <w:webHidden/>
          </w:rPr>
          <w:fldChar w:fldCharType="separate"/>
        </w:r>
        <w:r>
          <w:rPr>
            <w:noProof/>
            <w:webHidden/>
          </w:rPr>
          <w:t>51</w:t>
        </w:r>
        <w:r>
          <w:rPr>
            <w:noProof/>
            <w:webHidden/>
          </w:rPr>
          <w:fldChar w:fldCharType="end"/>
        </w:r>
      </w:hyperlink>
    </w:p>
    <w:p w:rsidR="00537401" w:rsidRDefault="00537401" w:rsidP="00537401">
      <w:pPr>
        <w:pStyle w:val="TOC4"/>
        <w:rPr>
          <w:rFonts w:asciiTheme="minorHAnsi" w:eastAsiaTheme="minorEastAsia" w:hAnsiTheme="minorHAnsi" w:cstheme="minorBidi"/>
          <w:noProof/>
          <w:sz w:val="22"/>
          <w:szCs w:val="22"/>
          <w:lang w:val="en-US"/>
        </w:rPr>
      </w:pPr>
      <w:hyperlink w:anchor="_Toc409792268" w:history="1">
        <w:r w:rsidRPr="0073230A">
          <w:rPr>
            <w:rStyle w:val="Hyperlink"/>
            <w:noProof/>
          </w:rPr>
          <w:t>3.7.1</w:t>
        </w:r>
        <w:r>
          <w:rPr>
            <w:rFonts w:asciiTheme="minorHAnsi" w:eastAsiaTheme="minorEastAsia" w:hAnsiTheme="minorHAnsi" w:cstheme="minorBidi"/>
            <w:noProof/>
            <w:sz w:val="22"/>
            <w:szCs w:val="22"/>
            <w:lang w:val="en-US"/>
          </w:rPr>
          <w:tab/>
        </w:r>
        <w:r w:rsidRPr="0073230A">
          <w:rPr>
            <w:rStyle w:val="Hyperlink"/>
            <w:noProof/>
          </w:rPr>
          <w:t>Procedural rules applicable to children involved in asylum and migration proceedings</w:t>
        </w:r>
        <w:r>
          <w:rPr>
            <w:noProof/>
            <w:webHidden/>
          </w:rPr>
          <w:tab/>
        </w:r>
        <w:r>
          <w:rPr>
            <w:noProof/>
            <w:webHidden/>
          </w:rPr>
          <w:fldChar w:fldCharType="begin"/>
        </w:r>
        <w:r>
          <w:rPr>
            <w:noProof/>
            <w:webHidden/>
          </w:rPr>
          <w:instrText xml:space="preserve"> PAGEREF _Toc409792268 \h </w:instrText>
        </w:r>
        <w:r>
          <w:rPr>
            <w:noProof/>
            <w:webHidden/>
          </w:rPr>
        </w:r>
        <w:r>
          <w:rPr>
            <w:noProof/>
            <w:webHidden/>
          </w:rPr>
          <w:fldChar w:fldCharType="separate"/>
        </w:r>
        <w:r>
          <w:rPr>
            <w:noProof/>
            <w:webHidden/>
          </w:rPr>
          <w:t>51</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269" w:history="1">
        <w:r w:rsidRPr="0073230A">
          <w:rPr>
            <w:rStyle w:val="Hyperlink"/>
            <w:noProof/>
          </w:rPr>
          <w:t>Child asylum seeker or illegal migrant with his/her family</w:t>
        </w:r>
        <w:r>
          <w:rPr>
            <w:noProof/>
            <w:webHidden/>
          </w:rPr>
          <w:tab/>
        </w:r>
        <w:r>
          <w:rPr>
            <w:noProof/>
            <w:webHidden/>
          </w:rPr>
          <w:fldChar w:fldCharType="begin"/>
        </w:r>
        <w:r>
          <w:rPr>
            <w:noProof/>
            <w:webHidden/>
          </w:rPr>
          <w:instrText xml:space="preserve"> PAGEREF _Toc409792269 \h </w:instrText>
        </w:r>
        <w:r>
          <w:rPr>
            <w:noProof/>
            <w:webHidden/>
          </w:rPr>
        </w:r>
        <w:r>
          <w:rPr>
            <w:noProof/>
            <w:webHidden/>
          </w:rPr>
          <w:fldChar w:fldCharType="separate"/>
        </w:r>
        <w:r>
          <w:rPr>
            <w:noProof/>
            <w:webHidden/>
          </w:rPr>
          <w:t>52</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270" w:history="1">
        <w:r w:rsidRPr="0073230A">
          <w:rPr>
            <w:rStyle w:val="Hyperlink"/>
            <w:noProof/>
          </w:rPr>
          <w:t>Unaccompanied non EEA national child</w:t>
        </w:r>
        <w:r>
          <w:rPr>
            <w:noProof/>
            <w:webHidden/>
          </w:rPr>
          <w:tab/>
        </w:r>
        <w:r>
          <w:rPr>
            <w:noProof/>
            <w:webHidden/>
          </w:rPr>
          <w:fldChar w:fldCharType="begin"/>
        </w:r>
        <w:r>
          <w:rPr>
            <w:noProof/>
            <w:webHidden/>
          </w:rPr>
          <w:instrText xml:space="preserve"> PAGEREF _Toc409792270 \h </w:instrText>
        </w:r>
        <w:r>
          <w:rPr>
            <w:noProof/>
            <w:webHidden/>
          </w:rPr>
        </w:r>
        <w:r>
          <w:rPr>
            <w:noProof/>
            <w:webHidden/>
          </w:rPr>
          <w:fldChar w:fldCharType="separate"/>
        </w:r>
        <w:r>
          <w:rPr>
            <w:noProof/>
            <w:webHidden/>
          </w:rPr>
          <w:t>52</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271" w:history="1">
        <w:r w:rsidRPr="0073230A">
          <w:rPr>
            <w:rStyle w:val="Hyperlink"/>
            <w:noProof/>
          </w:rPr>
          <w:t>Unaccompanied EEA national child</w:t>
        </w:r>
        <w:r>
          <w:rPr>
            <w:noProof/>
            <w:webHidden/>
          </w:rPr>
          <w:tab/>
        </w:r>
        <w:r>
          <w:rPr>
            <w:noProof/>
            <w:webHidden/>
          </w:rPr>
          <w:fldChar w:fldCharType="begin"/>
        </w:r>
        <w:r>
          <w:rPr>
            <w:noProof/>
            <w:webHidden/>
          </w:rPr>
          <w:instrText xml:space="preserve"> PAGEREF _Toc409792271 \h </w:instrText>
        </w:r>
        <w:r>
          <w:rPr>
            <w:noProof/>
            <w:webHidden/>
          </w:rPr>
        </w:r>
        <w:r>
          <w:rPr>
            <w:noProof/>
            <w:webHidden/>
          </w:rPr>
          <w:fldChar w:fldCharType="separate"/>
        </w:r>
        <w:r>
          <w:rPr>
            <w:noProof/>
            <w:webHidden/>
          </w:rPr>
          <w:t>53</w:t>
        </w:r>
        <w:r>
          <w:rPr>
            <w:noProof/>
            <w:webHidden/>
          </w:rPr>
          <w:fldChar w:fldCharType="end"/>
        </w:r>
      </w:hyperlink>
    </w:p>
    <w:p w:rsidR="00537401" w:rsidRDefault="00537401" w:rsidP="00537401">
      <w:pPr>
        <w:pStyle w:val="TOC4"/>
        <w:rPr>
          <w:rFonts w:asciiTheme="minorHAnsi" w:eastAsiaTheme="minorEastAsia" w:hAnsiTheme="minorHAnsi" w:cstheme="minorBidi"/>
          <w:noProof/>
          <w:sz w:val="22"/>
          <w:szCs w:val="22"/>
          <w:lang w:val="en-US"/>
        </w:rPr>
      </w:pPr>
      <w:hyperlink w:anchor="_Toc409792272" w:history="1">
        <w:r w:rsidRPr="0073230A">
          <w:rPr>
            <w:rStyle w:val="Hyperlink"/>
            <w:noProof/>
          </w:rPr>
          <w:t>3.7.2</w:t>
        </w:r>
        <w:r>
          <w:rPr>
            <w:rFonts w:asciiTheme="minorHAnsi" w:eastAsiaTheme="minorEastAsia" w:hAnsiTheme="minorHAnsi" w:cstheme="minorBidi"/>
            <w:noProof/>
            <w:sz w:val="22"/>
            <w:szCs w:val="22"/>
            <w:lang w:val="en-US"/>
          </w:rPr>
          <w:tab/>
        </w:r>
        <w:r w:rsidRPr="0073230A">
          <w:rPr>
            <w:rStyle w:val="Hyperlink"/>
            <w:noProof/>
          </w:rPr>
          <w:t>Procedural rules applicable to children involved in placement into care</w:t>
        </w:r>
        <w:r>
          <w:rPr>
            <w:noProof/>
            <w:webHidden/>
          </w:rPr>
          <w:tab/>
        </w:r>
        <w:r>
          <w:rPr>
            <w:noProof/>
            <w:webHidden/>
          </w:rPr>
          <w:fldChar w:fldCharType="begin"/>
        </w:r>
        <w:r>
          <w:rPr>
            <w:noProof/>
            <w:webHidden/>
          </w:rPr>
          <w:instrText xml:space="preserve"> PAGEREF _Toc409792272 \h </w:instrText>
        </w:r>
        <w:r>
          <w:rPr>
            <w:noProof/>
            <w:webHidden/>
          </w:rPr>
        </w:r>
        <w:r>
          <w:rPr>
            <w:noProof/>
            <w:webHidden/>
          </w:rPr>
          <w:fldChar w:fldCharType="separate"/>
        </w:r>
        <w:r>
          <w:rPr>
            <w:noProof/>
            <w:webHidden/>
          </w:rPr>
          <w:t>53</w:t>
        </w:r>
        <w:r>
          <w:rPr>
            <w:noProof/>
            <w:webHidden/>
          </w:rPr>
          <w:fldChar w:fldCharType="end"/>
        </w:r>
      </w:hyperlink>
    </w:p>
    <w:p w:rsidR="00537401" w:rsidRDefault="00537401" w:rsidP="00537401">
      <w:pPr>
        <w:pStyle w:val="TOC4"/>
        <w:rPr>
          <w:rFonts w:asciiTheme="minorHAnsi" w:eastAsiaTheme="minorEastAsia" w:hAnsiTheme="minorHAnsi" w:cstheme="minorBidi"/>
          <w:noProof/>
          <w:sz w:val="22"/>
          <w:szCs w:val="22"/>
          <w:lang w:val="en-US"/>
        </w:rPr>
      </w:pPr>
      <w:hyperlink w:anchor="_Toc409792273" w:history="1">
        <w:r w:rsidRPr="0073230A">
          <w:rPr>
            <w:rStyle w:val="Hyperlink"/>
            <w:noProof/>
          </w:rPr>
          <w:t>3.7.3</w:t>
        </w:r>
        <w:r>
          <w:rPr>
            <w:rFonts w:asciiTheme="minorHAnsi" w:eastAsiaTheme="minorEastAsia" w:hAnsiTheme="minorHAnsi" w:cstheme="minorBidi"/>
            <w:noProof/>
            <w:sz w:val="22"/>
            <w:szCs w:val="22"/>
            <w:lang w:val="en-US"/>
          </w:rPr>
          <w:tab/>
        </w:r>
        <w:r w:rsidRPr="0073230A">
          <w:rPr>
            <w:rStyle w:val="Hyperlink"/>
            <w:noProof/>
          </w:rPr>
          <w:t>Procedural rules applicable to children below MACR who have committed offences</w:t>
        </w:r>
        <w:r>
          <w:rPr>
            <w:noProof/>
            <w:webHidden/>
          </w:rPr>
          <w:tab/>
        </w:r>
        <w:r>
          <w:rPr>
            <w:noProof/>
            <w:webHidden/>
          </w:rPr>
          <w:fldChar w:fldCharType="begin"/>
        </w:r>
        <w:r>
          <w:rPr>
            <w:noProof/>
            <w:webHidden/>
          </w:rPr>
          <w:instrText xml:space="preserve"> PAGEREF _Toc409792273 \h </w:instrText>
        </w:r>
        <w:r>
          <w:rPr>
            <w:noProof/>
            <w:webHidden/>
          </w:rPr>
        </w:r>
        <w:r>
          <w:rPr>
            <w:noProof/>
            <w:webHidden/>
          </w:rPr>
          <w:fldChar w:fldCharType="separate"/>
        </w:r>
        <w:r>
          <w:rPr>
            <w:noProof/>
            <w:webHidden/>
          </w:rPr>
          <w:t>54</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274" w:history="1">
        <w:r w:rsidRPr="0073230A">
          <w:rPr>
            <w:rStyle w:val="Hyperlink"/>
            <w:noProof/>
          </w:rPr>
          <w:t>Youth tribunals</w:t>
        </w:r>
        <w:r>
          <w:rPr>
            <w:noProof/>
            <w:webHidden/>
          </w:rPr>
          <w:tab/>
        </w:r>
        <w:r>
          <w:rPr>
            <w:noProof/>
            <w:webHidden/>
          </w:rPr>
          <w:fldChar w:fldCharType="begin"/>
        </w:r>
        <w:r>
          <w:rPr>
            <w:noProof/>
            <w:webHidden/>
          </w:rPr>
          <w:instrText xml:space="preserve"> PAGEREF _Toc409792274 \h </w:instrText>
        </w:r>
        <w:r>
          <w:rPr>
            <w:noProof/>
            <w:webHidden/>
          </w:rPr>
        </w:r>
        <w:r>
          <w:rPr>
            <w:noProof/>
            <w:webHidden/>
          </w:rPr>
          <w:fldChar w:fldCharType="separate"/>
        </w:r>
        <w:r>
          <w:rPr>
            <w:noProof/>
            <w:webHidden/>
          </w:rPr>
          <w:t>54</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275" w:history="1">
        <w:r w:rsidRPr="0073230A">
          <w:rPr>
            <w:rStyle w:val="Hyperlink"/>
            <w:noProof/>
          </w:rPr>
          <w:t>Police – administrative detention</w:t>
        </w:r>
        <w:r>
          <w:rPr>
            <w:noProof/>
            <w:webHidden/>
          </w:rPr>
          <w:tab/>
        </w:r>
        <w:r>
          <w:rPr>
            <w:noProof/>
            <w:webHidden/>
          </w:rPr>
          <w:fldChar w:fldCharType="begin"/>
        </w:r>
        <w:r>
          <w:rPr>
            <w:noProof/>
            <w:webHidden/>
          </w:rPr>
          <w:instrText xml:space="preserve"> PAGEREF _Toc409792275 \h </w:instrText>
        </w:r>
        <w:r>
          <w:rPr>
            <w:noProof/>
            <w:webHidden/>
          </w:rPr>
        </w:r>
        <w:r>
          <w:rPr>
            <w:noProof/>
            <w:webHidden/>
          </w:rPr>
          <w:fldChar w:fldCharType="separate"/>
        </w:r>
        <w:r>
          <w:rPr>
            <w:noProof/>
            <w:webHidden/>
          </w:rPr>
          <w:t>55</w:t>
        </w:r>
        <w:r>
          <w:rPr>
            <w:noProof/>
            <w:webHidden/>
          </w:rPr>
          <w:fldChar w:fldCharType="end"/>
        </w:r>
      </w:hyperlink>
    </w:p>
    <w:p w:rsidR="00537401" w:rsidRDefault="00537401" w:rsidP="00537401">
      <w:pPr>
        <w:pStyle w:val="TOC4"/>
        <w:rPr>
          <w:rFonts w:asciiTheme="minorHAnsi" w:eastAsiaTheme="minorEastAsia" w:hAnsiTheme="minorHAnsi" w:cstheme="minorBidi"/>
          <w:noProof/>
          <w:sz w:val="22"/>
          <w:szCs w:val="22"/>
          <w:lang w:val="en-US"/>
        </w:rPr>
      </w:pPr>
      <w:hyperlink w:anchor="_Toc409792276" w:history="1">
        <w:r w:rsidRPr="0073230A">
          <w:rPr>
            <w:rStyle w:val="Hyperlink"/>
            <w:noProof/>
          </w:rPr>
          <w:t>3.7.4</w:t>
        </w:r>
        <w:r>
          <w:rPr>
            <w:rFonts w:asciiTheme="minorHAnsi" w:eastAsiaTheme="minorEastAsia" w:hAnsiTheme="minorHAnsi" w:cstheme="minorBidi"/>
            <w:noProof/>
            <w:sz w:val="22"/>
            <w:szCs w:val="22"/>
            <w:lang w:val="en-US"/>
          </w:rPr>
          <w:tab/>
        </w:r>
        <w:r w:rsidRPr="0073230A">
          <w:rPr>
            <w:rStyle w:val="Hyperlink"/>
            <w:noProof/>
          </w:rPr>
          <w:t>Procedural rules applicable to children involved in health care proceedings – mental health</w:t>
        </w:r>
        <w:r>
          <w:rPr>
            <w:noProof/>
            <w:webHidden/>
          </w:rPr>
          <w:tab/>
        </w:r>
        <w:r>
          <w:rPr>
            <w:noProof/>
            <w:webHidden/>
          </w:rPr>
          <w:fldChar w:fldCharType="begin"/>
        </w:r>
        <w:r>
          <w:rPr>
            <w:noProof/>
            <w:webHidden/>
          </w:rPr>
          <w:instrText xml:space="preserve"> PAGEREF _Toc409792276 \h </w:instrText>
        </w:r>
        <w:r>
          <w:rPr>
            <w:noProof/>
            <w:webHidden/>
          </w:rPr>
        </w:r>
        <w:r>
          <w:rPr>
            <w:noProof/>
            <w:webHidden/>
          </w:rPr>
          <w:fldChar w:fldCharType="separate"/>
        </w:r>
        <w:r>
          <w:rPr>
            <w:noProof/>
            <w:webHidden/>
          </w:rPr>
          <w:t>56</w:t>
        </w:r>
        <w:r>
          <w:rPr>
            <w:noProof/>
            <w:webHidden/>
          </w:rPr>
          <w:fldChar w:fldCharType="end"/>
        </w:r>
      </w:hyperlink>
    </w:p>
    <w:p w:rsidR="00537401" w:rsidRDefault="00537401" w:rsidP="00537401">
      <w:pPr>
        <w:pStyle w:val="TOC3"/>
        <w:rPr>
          <w:rFonts w:asciiTheme="minorHAnsi" w:eastAsiaTheme="minorEastAsia" w:hAnsiTheme="minorHAnsi" w:cstheme="minorBidi"/>
          <w:noProof/>
          <w:sz w:val="22"/>
          <w:szCs w:val="22"/>
          <w:lang w:val="en-US"/>
        </w:rPr>
      </w:pPr>
      <w:hyperlink w:anchor="_Toc409792277" w:history="1">
        <w:r w:rsidRPr="0073230A">
          <w:rPr>
            <w:rStyle w:val="Hyperlink"/>
            <w:noProof/>
          </w:rPr>
          <w:t>3.8</w:t>
        </w:r>
        <w:r>
          <w:rPr>
            <w:rFonts w:asciiTheme="minorHAnsi" w:eastAsiaTheme="minorEastAsia" w:hAnsiTheme="minorHAnsi" w:cstheme="minorBidi"/>
            <w:noProof/>
            <w:sz w:val="22"/>
            <w:szCs w:val="22"/>
            <w:lang w:val="en-US"/>
          </w:rPr>
          <w:tab/>
        </w:r>
        <w:r w:rsidRPr="0073230A">
          <w:rPr>
            <w:rStyle w:val="Hyperlink"/>
            <w:noProof/>
          </w:rPr>
          <w:t>Remedies or compensation exist for violation of rights and failure to act</w:t>
        </w:r>
        <w:r>
          <w:rPr>
            <w:noProof/>
            <w:webHidden/>
          </w:rPr>
          <w:tab/>
        </w:r>
        <w:r>
          <w:rPr>
            <w:noProof/>
            <w:webHidden/>
          </w:rPr>
          <w:fldChar w:fldCharType="begin"/>
        </w:r>
        <w:r>
          <w:rPr>
            <w:noProof/>
            <w:webHidden/>
          </w:rPr>
          <w:instrText xml:space="preserve"> PAGEREF _Toc409792277 \h </w:instrText>
        </w:r>
        <w:r>
          <w:rPr>
            <w:noProof/>
            <w:webHidden/>
          </w:rPr>
        </w:r>
        <w:r>
          <w:rPr>
            <w:noProof/>
            <w:webHidden/>
          </w:rPr>
          <w:fldChar w:fldCharType="separate"/>
        </w:r>
        <w:r>
          <w:rPr>
            <w:noProof/>
            <w:webHidden/>
          </w:rPr>
          <w:t>57</w:t>
        </w:r>
        <w:r>
          <w:rPr>
            <w:noProof/>
            <w:webHidden/>
          </w:rPr>
          <w:fldChar w:fldCharType="end"/>
        </w:r>
      </w:hyperlink>
    </w:p>
    <w:p w:rsidR="00537401" w:rsidRDefault="00537401" w:rsidP="00537401">
      <w:pPr>
        <w:pStyle w:val="TOC4"/>
        <w:rPr>
          <w:rFonts w:asciiTheme="minorHAnsi" w:eastAsiaTheme="minorEastAsia" w:hAnsiTheme="minorHAnsi" w:cstheme="minorBidi"/>
          <w:noProof/>
          <w:sz w:val="22"/>
          <w:szCs w:val="22"/>
          <w:lang w:val="en-US"/>
        </w:rPr>
      </w:pPr>
      <w:hyperlink w:anchor="_Toc409792278" w:history="1">
        <w:r w:rsidRPr="0073230A">
          <w:rPr>
            <w:rStyle w:val="Hyperlink"/>
            <w:noProof/>
          </w:rPr>
          <w:t>3.8.1</w:t>
        </w:r>
        <w:r>
          <w:rPr>
            <w:rFonts w:asciiTheme="minorHAnsi" w:eastAsiaTheme="minorEastAsia" w:hAnsiTheme="minorHAnsi" w:cstheme="minorBidi"/>
            <w:noProof/>
            <w:sz w:val="22"/>
            <w:szCs w:val="22"/>
            <w:lang w:val="en-US"/>
          </w:rPr>
          <w:tab/>
        </w:r>
        <w:r w:rsidRPr="0073230A">
          <w:rPr>
            <w:rStyle w:val="Hyperlink"/>
            <w:noProof/>
          </w:rPr>
          <w:t>General procedural rules applicable to children involved in administrative judicial proceedings including proceedings reviewing administrative authorities’ decisions in the sectors of asylum, migration and education</w:t>
        </w:r>
        <w:r>
          <w:rPr>
            <w:noProof/>
            <w:webHidden/>
          </w:rPr>
          <w:tab/>
        </w:r>
        <w:r>
          <w:rPr>
            <w:noProof/>
            <w:webHidden/>
          </w:rPr>
          <w:fldChar w:fldCharType="begin"/>
        </w:r>
        <w:r>
          <w:rPr>
            <w:noProof/>
            <w:webHidden/>
          </w:rPr>
          <w:instrText xml:space="preserve"> PAGEREF _Toc409792278 \h </w:instrText>
        </w:r>
        <w:r>
          <w:rPr>
            <w:noProof/>
            <w:webHidden/>
          </w:rPr>
        </w:r>
        <w:r>
          <w:rPr>
            <w:noProof/>
            <w:webHidden/>
          </w:rPr>
          <w:fldChar w:fldCharType="separate"/>
        </w:r>
        <w:r>
          <w:rPr>
            <w:noProof/>
            <w:webHidden/>
          </w:rPr>
          <w:t>57</w:t>
        </w:r>
        <w:r>
          <w:rPr>
            <w:noProof/>
            <w:webHidden/>
          </w:rPr>
          <w:fldChar w:fldCharType="end"/>
        </w:r>
      </w:hyperlink>
    </w:p>
    <w:p w:rsidR="00537401" w:rsidRDefault="00537401" w:rsidP="00537401">
      <w:pPr>
        <w:pStyle w:val="TOC4"/>
        <w:rPr>
          <w:rFonts w:asciiTheme="minorHAnsi" w:eastAsiaTheme="minorEastAsia" w:hAnsiTheme="minorHAnsi" w:cstheme="minorBidi"/>
          <w:noProof/>
          <w:sz w:val="22"/>
          <w:szCs w:val="22"/>
          <w:lang w:val="en-US"/>
        </w:rPr>
      </w:pPr>
      <w:hyperlink w:anchor="_Toc409792279" w:history="1">
        <w:r w:rsidRPr="0073230A">
          <w:rPr>
            <w:rStyle w:val="Hyperlink"/>
            <w:noProof/>
          </w:rPr>
          <w:t>3.8.2</w:t>
        </w:r>
        <w:r>
          <w:rPr>
            <w:rFonts w:asciiTheme="minorHAnsi" w:eastAsiaTheme="minorEastAsia" w:hAnsiTheme="minorHAnsi" w:cstheme="minorBidi"/>
            <w:noProof/>
            <w:sz w:val="22"/>
            <w:szCs w:val="22"/>
            <w:lang w:val="en-US"/>
          </w:rPr>
          <w:tab/>
        </w:r>
        <w:r w:rsidRPr="0073230A">
          <w:rPr>
            <w:rStyle w:val="Hyperlink"/>
            <w:noProof/>
          </w:rPr>
          <w:t>Procedural rules applicable to children involved in asylum and migration proceedings</w:t>
        </w:r>
        <w:r>
          <w:rPr>
            <w:noProof/>
            <w:webHidden/>
          </w:rPr>
          <w:tab/>
        </w:r>
        <w:r>
          <w:rPr>
            <w:noProof/>
            <w:webHidden/>
          </w:rPr>
          <w:fldChar w:fldCharType="begin"/>
        </w:r>
        <w:r>
          <w:rPr>
            <w:noProof/>
            <w:webHidden/>
          </w:rPr>
          <w:instrText xml:space="preserve"> PAGEREF _Toc409792279 \h </w:instrText>
        </w:r>
        <w:r>
          <w:rPr>
            <w:noProof/>
            <w:webHidden/>
          </w:rPr>
        </w:r>
        <w:r>
          <w:rPr>
            <w:noProof/>
            <w:webHidden/>
          </w:rPr>
          <w:fldChar w:fldCharType="separate"/>
        </w:r>
        <w:r>
          <w:rPr>
            <w:noProof/>
            <w:webHidden/>
          </w:rPr>
          <w:t>58</w:t>
        </w:r>
        <w:r>
          <w:rPr>
            <w:noProof/>
            <w:webHidden/>
          </w:rPr>
          <w:fldChar w:fldCharType="end"/>
        </w:r>
      </w:hyperlink>
    </w:p>
    <w:p w:rsidR="00537401" w:rsidRDefault="00537401" w:rsidP="00537401">
      <w:pPr>
        <w:pStyle w:val="TOC4"/>
        <w:rPr>
          <w:rFonts w:asciiTheme="minorHAnsi" w:eastAsiaTheme="minorEastAsia" w:hAnsiTheme="minorHAnsi" w:cstheme="minorBidi"/>
          <w:noProof/>
          <w:sz w:val="22"/>
          <w:szCs w:val="22"/>
          <w:lang w:val="en-US"/>
        </w:rPr>
      </w:pPr>
      <w:hyperlink w:anchor="_Toc409792280" w:history="1">
        <w:r w:rsidRPr="0073230A">
          <w:rPr>
            <w:rStyle w:val="Hyperlink"/>
            <w:noProof/>
          </w:rPr>
          <w:t>3.8.3</w:t>
        </w:r>
        <w:r>
          <w:rPr>
            <w:rFonts w:asciiTheme="minorHAnsi" w:eastAsiaTheme="minorEastAsia" w:hAnsiTheme="minorHAnsi" w:cstheme="minorBidi"/>
            <w:noProof/>
            <w:sz w:val="22"/>
            <w:szCs w:val="22"/>
            <w:lang w:val="en-US"/>
          </w:rPr>
          <w:tab/>
        </w:r>
        <w:r w:rsidRPr="0073230A">
          <w:rPr>
            <w:rStyle w:val="Hyperlink"/>
            <w:noProof/>
          </w:rPr>
          <w:t>Procedural rules applicable to children involved in placement into care proceedings</w:t>
        </w:r>
        <w:r>
          <w:rPr>
            <w:noProof/>
            <w:webHidden/>
          </w:rPr>
          <w:tab/>
        </w:r>
        <w:r>
          <w:rPr>
            <w:noProof/>
            <w:webHidden/>
          </w:rPr>
          <w:fldChar w:fldCharType="begin"/>
        </w:r>
        <w:r>
          <w:rPr>
            <w:noProof/>
            <w:webHidden/>
          </w:rPr>
          <w:instrText xml:space="preserve"> PAGEREF _Toc409792280 \h </w:instrText>
        </w:r>
        <w:r>
          <w:rPr>
            <w:noProof/>
            <w:webHidden/>
          </w:rPr>
        </w:r>
        <w:r>
          <w:rPr>
            <w:noProof/>
            <w:webHidden/>
          </w:rPr>
          <w:fldChar w:fldCharType="separate"/>
        </w:r>
        <w:r>
          <w:rPr>
            <w:noProof/>
            <w:webHidden/>
          </w:rPr>
          <w:t>59</w:t>
        </w:r>
        <w:r>
          <w:rPr>
            <w:noProof/>
            <w:webHidden/>
          </w:rPr>
          <w:fldChar w:fldCharType="end"/>
        </w:r>
      </w:hyperlink>
    </w:p>
    <w:p w:rsidR="00537401" w:rsidRDefault="00537401" w:rsidP="00537401">
      <w:pPr>
        <w:pStyle w:val="TOC4"/>
        <w:rPr>
          <w:rFonts w:asciiTheme="minorHAnsi" w:eastAsiaTheme="minorEastAsia" w:hAnsiTheme="minorHAnsi" w:cstheme="minorBidi"/>
          <w:noProof/>
          <w:sz w:val="22"/>
          <w:szCs w:val="22"/>
          <w:lang w:val="en-US"/>
        </w:rPr>
      </w:pPr>
      <w:hyperlink w:anchor="_Toc409792281" w:history="1">
        <w:r w:rsidRPr="0073230A">
          <w:rPr>
            <w:rStyle w:val="Hyperlink"/>
            <w:noProof/>
          </w:rPr>
          <w:t>3.8.4</w:t>
        </w:r>
        <w:r>
          <w:rPr>
            <w:rFonts w:asciiTheme="minorHAnsi" w:eastAsiaTheme="minorEastAsia" w:hAnsiTheme="minorHAnsi" w:cstheme="minorBidi"/>
            <w:noProof/>
            <w:sz w:val="22"/>
            <w:szCs w:val="22"/>
            <w:lang w:val="en-US"/>
          </w:rPr>
          <w:tab/>
        </w:r>
        <w:r w:rsidRPr="0073230A">
          <w:rPr>
            <w:rStyle w:val="Hyperlink"/>
            <w:noProof/>
          </w:rPr>
          <w:t>Procedural rules applicable to children involved in administrative sanctions proceedings</w:t>
        </w:r>
        <w:r>
          <w:rPr>
            <w:noProof/>
            <w:webHidden/>
          </w:rPr>
          <w:tab/>
        </w:r>
        <w:r>
          <w:rPr>
            <w:noProof/>
            <w:webHidden/>
          </w:rPr>
          <w:fldChar w:fldCharType="begin"/>
        </w:r>
        <w:r>
          <w:rPr>
            <w:noProof/>
            <w:webHidden/>
          </w:rPr>
          <w:instrText xml:space="preserve"> PAGEREF _Toc409792281 \h </w:instrText>
        </w:r>
        <w:r>
          <w:rPr>
            <w:noProof/>
            <w:webHidden/>
          </w:rPr>
        </w:r>
        <w:r>
          <w:rPr>
            <w:noProof/>
            <w:webHidden/>
          </w:rPr>
          <w:fldChar w:fldCharType="separate"/>
        </w:r>
        <w:r>
          <w:rPr>
            <w:noProof/>
            <w:webHidden/>
          </w:rPr>
          <w:t>60</w:t>
        </w:r>
        <w:r>
          <w:rPr>
            <w:noProof/>
            <w:webHidden/>
          </w:rPr>
          <w:fldChar w:fldCharType="end"/>
        </w:r>
      </w:hyperlink>
    </w:p>
    <w:p w:rsidR="00537401" w:rsidRDefault="00537401" w:rsidP="00537401">
      <w:pPr>
        <w:pStyle w:val="TOC4"/>
        <w:rPr>
          <w:rFonts w:asciiTheme="minorHAnsi" w:eastAsiaTheme="minorEastAsia" w:hAnsiTheme="minorHAnsi" w:cstheme="minorBidi"/>
          <w:noProof/>
          <w:sz w:val="22"/>
          <w:szCs w:val="22"/>
          <w:lang w:val="en-US"/>
        </w:rPr>
      </w:pPr>
      <w:hyperlink w:anchor="_Toc409792282" w:history="1">
        <w:r w:rsidRPr="0073230A">
          <w:rPr>
            <w:rStyle w:val="Hyperlink"/>
            <w:noProof/>
          </w:rPr>
          <w:t>3.8.5</w:t>
        </w:r>
        <w:r>
          <w:rPr>
            <w:rFonts w:asciiTheme="minorHAnsi" w:eastAsiaTheme="minorEastAsia" w:hAnsiTheme="minorHAnsi" w:cstheme="minorBidi"/>
            <w:noProof/>
            <w:sz w:val="22"/>
            <w:szCs w:val="22"/>
            <w:lang w:val="en-US"/>
          </w:rPr>
          <w:tab/>
        </w:r>
        <w:r w:rsidRPr="0073230A">
          <w:rPr>
            <w:rStyle w:val="Hyperlink"/>
            <w:noProof/>
          </w:rPr>
          <w:t>Procedural rules applicable to children involved in health care proceedings</w:t>
        </w:r>
        <w:r>
          <w:rPr>
            <w:noProof/>
            <w:webHidden/>
          </w:rPr>
          <w:tab/>
        </w:r>
        <w:r>
          <w:rPr>
            <w:noProof/>
            <w:webHidden/>
          </w:rPr>
          <w:fldChar w:fldCharType="begin"/>
        </w:r>
        <w:r>
          <w:rPr>
            <w:noProof/>
            <w:webHidden/>
          </w:rPr>
          <w:instrText xml:space="preserve"> PAGEREF _Toc409792282 \h </w:instrText>
        </w:r>
        <w:r>
          <w:rPr>
            <w:noProof/>
            <w:webHidden/>
          </w:rPr>
        </w:r>
        <w:r>
          <w:rPr>
            <w:noProof/>
            <w:webHidden/>
          </w:rPr>
          <w:fldChar w:fldCharType="separate"/>
        </w:r>
        <w:r>
          <w:rPr>
            <w:noProof/>
            <w:webHidden/>
          </w:rPr>
          <w:t>60</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283" w:history="1">
        <w:r w:rsidRPr="0073230A">
          <w:rPr>
            <w:rStyle w:val="Hyperlink"/>
            <w:noProof/>
          </w:rPr>
          <w:t>Mental health</w:t>
        </w:r>
        <w:r>
          <w:rPr>
            <w:noProof/>
            <w:webHidden/>
          </w:rPr>
          <w:tab/>
        </w:r>
        <w:r>
          <w:rPr>
            <w:noProof/>
            <w:webHidden/>
          </w:rPr>
          <w:fldChar w:fldCharType="begin"/>
        </w:r>
        <w:r>
          <w:rPr>
            <w:noProof/>
            <w:webHidden/>
          </w:rPr>
          <w:instrText xml:space="preserve"> PAGEREF _Toc409792283 \h </w:instrText>
        </w:r>
        <w:r>
          <w:rPr>
            <w:noProof/>
            <w:webHidden/>
          </w:rPr>
        </w:r>
        <w:r>
          <w:rPr>
            <w:noProof/>
            <w:webHidden/>
          </w:rPr>
          <w:fldChar w:fldCharType="separate"/>
        </w:r>
        <w:r>
          <w:rPr>
            <w:noProof/>
            <w:webHidden/>
          </w:rPr>
          <w:t>60</w:t>
        </w:r>
        <w:r>
          <w:rPr>
            <w:noProof/>
            <w:webHidden/>
          </w:rPr>
          <w:fldChar w:fldCharType="end"/>
        </w:r>
      </w:hyperlink>
    </w:p>
    <w:p w:rsidR="00537401" w:rsidRDefault="00537401" w:rsidP="00537401">
      <w:pPr>
        <w:pStyle w:val="TOC3"/>
        <w:rPr>
          <w:rFonts w:asciiTheme="minorHAnsi" w:eastAsiaTheme="minorEastAsia" w:hAnsiTheme="minorHAnsi" w:cstheme="minorBidi"/>
          <w:noProof/>
          <w:sz w:val="22"/>
          <w:szCs w:val="22"/>
          <w:lang w:val="en-US"/>
        </w:rPr>
      </w:pPr>
      <w:hyperlink w:anchor="_Toc409792284" w:history="1">
        <w:r w:rsidRPr="0073230A">
          <w:rPr>
            <w:rStyle w:val="Hyperlink"/>
            <w:noProof/>
          </w:rPr>
          <w:t>3.9</w:t>
        </w:r>
        <w:r>
          <w:rPr>
            <w:rFonts w:asciiTheme="minorHAnsi" w:eastAsiaTheme="minorEastAsia" w:hAnsiTheme="minorHAnsi" w:cstheme="minorBidi"/>
            <w:noProof/>
            <w:sz w:val="22"/>
            <w:szCs w:val="22"/>
            <w:lang w:val="en-US"/>
          </w:rPr>
          <w:tab/>
        </w:r>
        <w:r w:rsidRPr="0073230A">
          <w:rPr>
            <w:rStyle w:val="Hyperlink"/>
            <w:noProof/>
          </w:rPr>
          <w:t>Legal costs</w:t>
        </w:r>
        <w:r>
          <w:rPr>
            <w:noProof/>
            <w:webHidden/>
          </w:rPr>
          <w:tab/>
        </w:r>
        <w:r>
          <w:rPr>
            <w:noProof/>
            <w:webHidden/>
          </w:rPr>
          <w:fldChar w:fldCharType="begin"/>
        </w:r>
        <w:r>
          <w:rPr>
            <w:noProof/>
            <w:webHidden/>
          </w:rPr>
          <w:instrText xml:space="preserve"> PAGEREF _Toc409792284 \h </w:instrText>
        </w:r>
        <w:r>
          <w:rPr>
            <w:noProof/>
            <w:webHidden/>
          </w:rPr>
        </w:r>
        <w:r>
          <w:rPr>
            <w:noProof/>
            <w:webHidden/>
          </w:rPr>
          <w:fldChar w:fldCharType="separate"/>
        </w:r>
        <w:r>
          <w:rPr>
            <w:noProof/>
            <w:webHidden/>
          </w:rPr>
          <w:t>61</w:t>
        </w:r>
        <w:r>
          <w:rPr>
            <w:noProof/>
            <w:webHidden/>
          </w:rPr>
          <w:fldChar w:fldCharType="end"/>
        </w:r>
      </w:hyperlink>
    </w:p>
    <w:p w:rsidR="00537401" w:rsidRDefault="00537401" w:rsidP="00537401">
      <w:pPr>
        <w:pStyle w:val="TOC4"/>
        <w:rPr>
          <w:rFonts w:asciiTheme="minorHAnsi" w:eastAsiaTheme="minorEastAsia" w:hAnsiTheme="minorHAnsi" w:cstheme="minorBidi"/>
          <w:noProof/>
          <w:sz w:val="22"/>
          <w:szCs w:val="22"/>
          <w:lang w:val="en-US"/>
        </w:rPr>
      </w:pPr>
      <w:hyperlink w:anchor="_Toc409792285" w:history="1">
        <w:r w:rsidRPr="0073230A">
          <w:rPr>
            <w:rStyle w:val="Hyperlink"/>
            <w:noProof/>
          </w:rPr>
          <w:t>3.9.1</w:t>
        </w:r>
        <w:r>
          <w:rPr>
            <w:rFonts w:asciiTheme="minorHAnsi" w:eastAsiaTheme="minorEastAsia" w:hAnsiTheme="minorHAnsi" w:cstheme="minorBidi"/>
            <w:noProof/>
            <w:sz w:val="22"/>
            <w:szCs w:val="22"/>
            <w:lang w:val="en-US"/>
          </w:rPr>
          <w:tab/>
        </w:r>
        <w:r w:rsidRPr="0073230A">
          <w:rPr>
            <w:rStyle w:val="Hyperlink"/>
            <w:noProof/>
          </w:rPr>
          <w:t>General procedural rules applicable to children involved in administrative judicial proceedings including proceedings reviewing administrative authorities’ decisions in the sectors of asylum, migration and education</w:t>
        </w:r>
        <w:r>
          <w:rPr>
            <w:noProof/>
            <w:webHidden/>
          </w:rPr>
          <w:tab/>
        </w:r>
        <w:r>
          <w:rPr>
            <w:noProof/>
            <w:webHidden/>
          </w:rPr>
          <w:fldChar w:fldCharType="begin"/>
        </w:r>
        <w:r>
          <w:rPr>
            <w:noProof/>
            <w:webHidden/>
          </w:rPr>
          <w:instrText xml:space="preserve"> PAGEREF _Toc409792285 \h </w:instrText>
        </w:r>
        <w:r>
          <w:rPr>
            <w:noProof/>
            <w:webHidden/>
          </w:rPr>
        </w:r>
        <w:r>
          <w:rPr>
            <w:noProof/>
            <w:webHidden/>
          </w:rPr>
          <w:fldChar w:fldCharType="separate"/>
        </w:r>
        <w:r>
          <w:rPr>
            <w:noProof/>
            <w:webHidden/>
          </w:rPr>
          <w:t>61</w:t>
        </w:r>
        <w:r>
          <w:rPr>
            <w:noProof/>
            <w:webHidden/>
          </w:rPr>
          <w:fldChar w:fldCharType="end"/>
        </w:r>
      </w:hyperlink>
    </w:p>
    <w:p w:rsidR="00537401" w:rsidRDefault="00537401" w:rsidP="00537401">
      <w:pPr>
        <w:pStyle w:val="TOC4"/>
        <w:rPr>
          <w:rFonts w:asciiTheme="minorHAnsi" w:eastAsiaTheme="minorEastAsia" w:hAnsiTheme="minorHAnsi" w:cstheme="minorBidi"/>
          <w:noProof/>
          <w:sz w:val="22"/>
          <w:szCs w:val="22"/>
          <w:lang w:val="en-US"/>
        </w:rPr>
      </w:pPr>
      <w:hyperlink w:anchor="_Toc409792286" w:history="1">
        <w:r w:rsidRPr="0073230A">
          <w:rPr>
            <w:rStyle w:val="Hyperlink"/>
            <w:noProof/>
          </w:rPr>
          <w:t>3.9.2</w:t>
        </w:r>
        <w:r>
          <w:rPr>
            <w:rFonts w:asciiTheme="minorHAnsi" w:eastAsiaTheme="minorEastAsia" w:hAnsiTheme="minorHAnsi" w:cstheme="minorBidi"/>
            <w:noProof/>
            <w:sz w:val="22"/>
            <w:szCs w:val="22"/>
            <w:lang w:val="en-US"/>
          </w:rPr>
          <w:tab/>
        </w:r>
        <w:r w:rsidRPr="0073230A">
          <w:rPr>
            <w:rStyle w:val="Hyperlink"/>
            <w:noProof/>
          </w:rPr>
          <w:t>Procedural rules applicable to children involved in asylum and migration proceedings</w:t>
        </w:r>
        <w:r>
          <w:rPr>
            <w:noProof/>
            <w:webHidden/>
          </w:rPr>
          <w:tab/>
        </w:r>
        <w:r>
          <w:rPr>
            <w:noProof/>
            <w:webHidden/>
          </w:rPr>
          <w:fldChar w:fldCharType="begin"/>
        </w:r>
        <w:r>
          <w:rPr>
            <w:noProof/>
            <w:webHidden/>
          </w:rPr>
          <w:instrText xml:space="preserve"> PAGEREF _Toc409792286 \h </w:instrText>
        </w:r>
        <w:r>
          <w:rPr>
            <w:noProof/>
            <w:webHidden/>
          </w:rPr>
        </w:r>
        <w:r>
          <w:rPr>
            <w:noProof/>
            <w:webHidden/>
          </w:rPr>
          <w:fldChar w:fldCharType="separate"/>
        </w:r>
        <w:r>
          <w:rPr>
            <w:noProof/>
            <w:webHidden/>
          </w:rPr>
          <w:t>62</w:t>
        </w:r>
        <w:r>
          <w:rPr>
            <w:noProof/>
            <w:webHidden/>
          </w:rPr>
          <w:fldChar w:fldCharType="end"/>
        </w:r>
      </w:hyperlink>
    </w:p>
    <w:p w:rsidR="00537401" w:rsidRDefault="00537401" w:rsidP="00537401">
      <w:pPr>
        <w:pStyle w:val="TOC4"/>
        <w:rPr>
          <w:rFonts w:asciiTheme="minorHAnsi" w:eastAsiaTheme="minorEastAsia" w:hAnsiTheme="minorHAnsi" w:cstheme="minorBidi"/>
          <w:noProof/>
          <w:sz w:val="22"/>
          <w:szCs w:val="22"/>
          <w:lang w:val="en-US"/>
        </w:rPr>
      </w:pPr>
      <w:hyperlink w:anchor="_Toc409792287" w:history="1">
        <w:r w:rsidRPr="0073230A">
          <w:rPr>
            <w:rStyle w:val="Hyperlink"/>
            <w:noProof/>
          </w:rPr>
          <w:t>3.9.3</w:t>
        </w:r>
        <w:r>
          <w:rPr>
            <w:rFonts w:asciiTheme="minorHAnsi" w:eastAsiaTheme="minorEastAsia" w:hAnsiTheme="minorHAnsi" w:cstheme="minorBidi"/>
            <w:noProof/>
            <w:sz w:val="22"/>
            <w:szCs w:val="22"/>
            <w:lang w:val="en-US"/>
          </w:rPr>
          <w:tab/>
        </w:r>
        <w:r w:rsidRPr="0073230A">
          <w:rPr>
            <w:rStyle w:val="Hyperlink"/>
            <w:noProof/>
          </w:rPr>
          <w:t>Procedural rules applicable to children involved in health care placement into care and administrative sanction proceedings</w:t>
        </w:r>
        <w:r>
          <w:rPr>
            <w:noProof/>
            <w:webHidden/>
          </w:rPr>
          <w:tab/>
        </w:r>
        <w:r>
          <w:rPr>
            <w:noProof/>
            <w:webHidden/>
          </w:rPr>
          <w:fldChar w:fldCharType="begin"/>
        </w:r>
        <w:r>
          <w:rPr>
            <w:noProof/>
            <w:webHidden/>
          </w:rPr>
          <w:instrText xml:space="preserve"> PAGEREF _Toc409792287 \h </w:instrText>
        </w:r>
        <w:r>
          <w:rPr>
            <w:noProof/>
            <w:webHidden/>
          </w:rPr>
        </w:r>
        <w:r>
          <w:rPr>
            <w:noProof/>
            <w:webHidden/>
          </w:rPr>
          <w:fldChar w:fldCharType="separate"/>
        </w:r>
        <w:r>
          <w:rPr>
            <w:noProof/>
            <w:webHidden/>
          </w:rPr>
          <w:t>62</w:t>
        </w:r>
        <w:r>
          <w:rPr>
            <w:noProof/>
            <w:webHidden/>
          </w:rPr>
          <w:fldChar w:fldCharType="end"/>
        </w:r>
      </w:hyperlink>
    </w:p>
    <w:p w:rsidR="00537401" w:rsidRDefault="00537401" w:rsidP="00537401">
      <w:pPr>
        <w:pStyle w:val="TOC3"/>
        <w:rPr>
          <w:rFonts w:asciiTheme="minorHAnsi" w:eastAsiaTheme="minorEastAsia" w:hAnsiTheme="minorHAnsi" w:cstheme="minorBidi"/>
          <w:noProof/>
          <w:sz w:val="22"/>
          <w:szCs w:val="22"/>
          <w:lang w:val="en-US"/>
        </w:rPr>
      </w:pPr>
      <w:hyperlink w:anchor="_Toc409792288" w:history="1">
        <w:r w:rsidRPr="0073230A">
          <w:rPr>
            <w:rStyle w:val="Hyperlink"/>
            <w:noProof/>
          </w:rPr>
          <w:t>3.10</w:t>
        </w:r>
        <w:r>
          <w:rPr>
            <w:rFonts w:asciiTheme="minorHAnsi" w:eastAsiaTheme="minorEastAsia" w:hAnsiTheme="minorHAnsi" w:cstheme="minorBidi"/>
            <w:noProof/>
            <w:sz w:val="22"/>
            <w:szCs w:val="22"/>
            <w:lang w:val="en-US"/>
          </w:rPr>
          <w:tab/>
        </w:r>
        <w:r w:rsidRPr="0073230A">
          <w:rPr>
            <w:rStyle w:val="Hyperlink"/>
            <w:noProof/>
          </w:rPr>
          <w:t>Enforcement of administrative court judgements</w:t>
        </w:r>
        <w:r>
          <w:rPr>
            <w:noProof/>
            <w:webHidden/>
          </w:rPr>
          <w:tab/>
        </w:r>
        <w:r>
          <w:rPr>
            <w:noProof/>
            <w:webHidden/>
          </w:rPr>
          <w:fldChar w:fldCharType="begin"/>
        </w:r>
        <w:r>
          <w:rPr>
            <w:noProof/>
            <w:webHidden/>
          </w:rPr>
          <w:instrText xml:space="preserve"> PAGEREF _Toc409792288 \h </w:instrText>
        </w:r>
        <w:r>
          <w:rPr>
            <w:noProof/>
            <w:webHidden/>
          </w:rPr>
        </w:r>
        <w:r>
          <w:rPr>
            <w:noProof/>
            <w:webHidden/>
          </w:rPr>
          <w:fldChar w:fldCharType="separate"/>
        </w:r>
        <w:r>
          <w:rPr>
            <w:noProof/>
            <w:webHidden/>
          </w:rPr>
          <w:t>63</w:t>
        </w:r>
        <w:r>
          <w:rPr>
            <w:noProof/>
            <w:webHidden/>
          </w:rPr>
          <w:fldChar w:fldCharType="end"/>
        </w:r>
      </w:hyperlink>
    </w:p>
    <w:p w:rsidR="00537401" w:rsidRDefault="00537401" w:rsidP="00537401">
      <w:pPr>
        <w:pStyle w:val="TOC4"/>
        <w:rPr>
          <w:rFonts w:asciiTheme="minorHAnsi" w:eastAsiaTheme="minorEastAsia" w:hAnsiTheme="minorHAnsi" w:cstheme="minorBidi"/>
          <w:noProof/>
          <w:sz w:val="22"/>
          <w:szCs w:val="22"/>
          <w:lang w:val="en-US"/>
        </w:rPr>
      </w:pPr>
      <w:hyperlink w:anchor="_Toc409792289" w:history="1">
        <w:r w:rsidRPr="0073230A">
          <w:rPr>
            <w:rStyle w:val="Hyperlink"/>
            <w:noProof/>
          </w:rPr>
          <w:t>3.10.1</w:t>
        </w:r>
        <w:r>
          <w:rPr>
            <w:rFonts w:asciiTheme="minorHAnsi" w:eastAsiaTheme="minorEastAsia" w:hAnsiTheme="minorHAnsi" w:cstheme="minorBidi"/>
            <w:noProof/>
            <w:sz w:val="22"/>
            <w:szCs w:val="22"/>
            <w:lang w:val="en-US"/>
          </w:rPr>
          <w:tab/>
        </w:r>
        <w:r w:rsidRPr="0073230A">
          <w:rPr>
            <w:rStyle w:val="Hyperlink"/>
            <w:noProof/>
          </w:rPr>
          <w:t>General procedural rules applicable to children involved in administrative judicial proceedings including proceedings reviewing administrative authorities’ decisions in the sectors of asylum, migration and education</w:t>
        </w:r>
        <w:r>
          <w:rPr>
            <w:noProof/>
            <w:webHidden/>
          </w:rPr>
          <w:tab/>
        </w:r>
        <w:r>
          <w:rPr>
            <w:noProof/>
            <w:webHidden/>
          </w:rPr>
          <w:fldChar w:fldCharType="begin"/>
        </w:r>
        <w:r>
          <w:rPr>
            <w:noProof/>
            <w:webHidden/>
          </w:rPr>
          <w:instrText xml:space="preserve"> PAGEREF _Toc409792289 \h </w:instrText>
        </w:r>
        <w:r>
          <w:rPr>
            <w:noProof/>
            <w:webHidden/>
          </w:rPr>
        </w:r>
        <w:r>
          <w:rPr>
            <w:noProof/>
            <w:webHidden/>
          </w:rPr>
          <w:fldChar w:fldCharType="separate"/>
        </w:r>
        <w:r>
          <w:rPr>
            <w:noProof/>
            <w:webHidden/>
          </w:rPr>
          <w:t>63</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290" w:history="1">
        <w:r w:rsidRPr="0073230A">
          <w:rPr>
            <w:rStyle w:val="Hyperlink"/>
            <w:noProof/>
          </w:rPr>
          <w:t>Enforceability of the judgement</w:t>
        </w:r>
        <w:r>
          <w:rPr>
            <w:noProof/>
            <w:webHidden/>
          </w:rPr>
          <w:tab/>
        </w:r>
        <w:r>
          <w:rPr>
            <w:noProof/>
            <w:webHidden/>
          </w:rPr>
          <w:fldChar w:fldCharType="begin"/>
        </w:r>
        <w:r>
          <w:rPr>
            <w:noProof/>
            <w:webHidden/>
          </w:rPr>
          <w:instrText xml:space="preserve"> PAGEREF _Toc409792290 \h </w:instrText>
        </w:r>
        <w:r>
          <w:rPr>
            <w:noProof/>
            <w:webHidden/>
          </w:rPr>
        </w:r>
        <w:r>
          <w:rPr>
            <w:noProof/>
            <w:webHidden/>
          </w:rPr>
          <w:fldChar w:fldCharType="separate"/>
        </w:r>
        <w:r>
          <w:rPr>
            <w:noProof/>
            <w:webHidden/>
          </w:rPr>
          <w:t>63</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291" w:history="1">
        <w:r w:rsidRPr="0073230A">
          <w:rPr>
            <w:rStyle w:val="Hyperlink"/>
            <w:noProof/>
          </w:rPr>
          <w:t>Information about the judgement</w:t>
        </w:r>
        <w:r>
          <w:rPr>
            <w:noProof/>
            <w:webHidden/>
          </w:rPr>
          <w:tab/>
        </w:r>
        <w:r>
          <w:rPr>
            <w:noProof/>
            <w:webHidden/>
          </w:rPr>
          <w:fldChar w:fldCharType="begin"/>
        </w:r>
        <w:r>
          <w:rPr>
            <w:noProof/>
            <w:webHidden/>
          </w:rPr>
          <w:instrText xml:space="preserve"> PAGEREF _Toc409792291 \h </w:instrText>
        </w:r>
        <w:r>
          <w:rPr>
            <w:noProof/>
            <w:webHidden/>
          </w:rPr>
        </w:r>
        <w:r>
          <w:rPr>
            <w:noProof/>
            <w:webHidden/>
          </w:rPr>
          <w:fldChar w:fldCharType="separate"/>
        </w:r>
        <w:r>
          <w:rPr>
            <w:noProof/>
            <w:webHidden/>
          </w:rPr>
          <w:t>64</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292" w:history="1">
        <w:r w:rsidRPr="0073230A">
          <w:rPr>
            <w:rStyle w:val="Hyperlink"/>
            <w:noProof/>
          </w:rPr>
          <w:t>Measures available to protect the child during enforcement proceedings</w:t>
        </w:r>
        <w:r>
          <w:rPr>
            <w:noProof/>
            <w:webHidden/>
          </w:rPr>
          <w:tab/>
        </w:r>
        <w:r>
          <w:rPr>
            <w:noProof/>
            <w:webHidden/>
          </w:rPr>
          <w:fldChar w:fldCharType="begin"/>
        </w:r>
        <w:r>
          <w:rPr>
            <w:noProof/>
            <w:webHidden/>
          </w:rPr>
          <w:instrText xml:space="preserve"> PAGEREF _Toc409792292 \h </w:instrText>
        </w:r>
        <w:r>
          <w:rPr>
            <w:noProof/>
            <w:webHidden/>
          </w:rPr>
        </w:r>
        <w:r>
          <w:rPr>
            <w:noProof/>
            <w:webHidden/>
          </w:rPr>
          <w:fldChar w:fldCharType="separate"/>
        </w:r>
        <w:r>
          <w:rPr>
            <w:noProof/>
            <w:webHidden/>
          </w:rPr>
          <w:t>65</w:t>
        </w:r>
        <w:r>
          <w:rPr>
            <w:noProof/>
            <w:webHidden/>
          </w:rPr>
          <w:fldChar w:fldCharType="end"/>
        </w:r>
      </w:hyperlink>
    </w:p>
    <w:p w:rsidR="00537401" w:rsidRDefault="00537401" w:rsidP="00537401">
      <w:pPr>
        <w:pStyle w:val="TOC4"/>
        <w:rPr>
          <w:rFonts w:asciiTheme="minorHAnsi" w:eastAsiaTheme="minorEastAsia" w:hAnsiTheme="minorHAnsi" w:cstheme="minorBidi"/>
          <w:noProof/>
          <w:sz w:val="22"/>
          <w:szCs w:val="22"/>
          <w:lang w:val="en-US"/>
        </w:rPr>
      </w:pPr>
      <w:hyperlink w:anchor="_Toc409792293" w:history="1">
        <w:r w:rsidRPr="0073230A">
          <w:rPr>
            <w:rStyle w:val="Hyperlink"/>
            <w:noProof/>
          </w:rPr>
          <w:t>3.10.2</w:t>
        </w:r>
        <w:r>
          <w:rPr>
            <w:rFonts w:asciiTheme="minorHAnsi" w:eastAsiaTheme="minorEastAsia" w:hAnsiTheme="minorHAnsi" w:cstheme="minorBidi"/>
            <w:noProof/>
            <w:sz w:val="22"/>
            <w:szCs w:val="22"/>
            <w:lang w:val="en-US"/>
          </w:rPr>
          <w:tab/>
        </w:r>
        <w:r w:rsidRPr="0073230A">
          <w:rPr>
            <w:rStyle w:val="Hyperlink"/>
            <w:noProof/>
          </w:rPr>
          <w:t>Procedural rules applicable to children involved in health care proceedings</w:t>
        </w:r>
        <w:r>
          <w:rPr>
            <w:noProof/>
            <w:webHidden/>
          </w:rPr>
          <w:tab/>
        </w:r>
        <w:r>
          <w:rPr>
            <w:noProof/>
            <w:webHidden/>
          </w:rPr>
          <w:fldChar w:fldCharType="begin"/>
        </w:r>
        <w:r>
          <w:rPr>
            <w:noProof/>
            <w:webHidden/>
          </w:rPr>
          <w:instrText xml:space="preserve"> PAGEREF _Toc409792293 \h </w:instrText>
        </w:r>
        <w:r>
          <w:rPr>
            <w:noProof/>
            <w:webHidden/>
          </w:rPr>
        </w:r>
        <w:r>
          <w:rPr>
            <w:noProof/>
            <w:webHidden/>
          </w:rPr>
          <w:fldChar w:fldCharType="separate"/>
        </w:r>
        <w:r>
          <w:rPr>
            <w:noProof/>
            <w:webHidden/>
          </w:rPr>
          <w:t>65</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294" w:history="1">
        <w:r w:rsidRPr="0073230A">
          <w:rPr>
            <w:rStyle w:val="Hyperlink"/>
            <w:noProof/>
          </w:rPr>
          <w:t>Information about the judgement</w:t>
        </w:r>
        <w:r>
          <w:rPr>
            <w:noProof/>
            <w:webHidden/>
          </w:rPr>
          <w:tab/>
        </w:r>
        <w:r>
          <w:rPr>
            <w:noProof/>
            <w:webHidden/>
          </w:rPr>
          <w:fldChar w:fldCharType="begin"/>
        </w:r>
        <w:r>
          <w:rPr>
            <w:noProof/>
            <w:webHidden/>
          </w:rPr>
          <w:instrText xml:space="preserve"> PAGEREF _Toc409792294 \h </w:instrText>
        </w:r>
        <w:r>
          <w:rPr>
            <w:noProof/>
            <w:webHidden/>
          </w:rPr>
        </w:r>
        <w:r>
          <w:rPr>
            <w:noProof/>
            <w:webHidden/>
          </w:rPr>
          <w:fldChar w:fldCharType="separate"/>
        </w:r>
        <w:r>
          <w:rPr>
            <w:noProof/>
            <w:webHidden/>
          </w:rPr>
          <w:t>65</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295" w:history="1">
        <w:r w:rsidRPr="0073230A">
          <w:rPr>
            <w:rStyle w:val="Hyperlink"/>
            <w:noProof/>
          </w:rPr>
          <w:t>Enforceability of the judgement</w:t>
        </w:r>
        <w:r>
          <w:rPr>
            <w:noProof/>
            <w:webHidden/>
          </w:rPr>
          <w:tab/>
        </w:r>
        <w:r>
          <w:rPr>
            <w:noProof/>
            <w:webHidden/>
          </w:rPr>
          <w:fldChar w:fldCharType="begin"/>
        </w:r>
        <w:r>
          <w:rPr>
            <w:noProof/>
            <w:webHidden/>
          </w:rPr>
          <w:instrText xml:space="preserve"> PAGEREF _Toc409792295 \h </w:instrText>
        </w:r>
        <w:r>
          <w:rPr>
            <w:noProof/>
            <w:webHidden/>
          </w:rPr>
        </w:r>
        <w:r>
          <w:rPr>
            <w:noProof/>
            <w:webHidden/>
          </w:rPr>
          <w:fldChar w:fldCharType="separate"/>
        </w:r>
        <w:r>
          <w:rPr>
            <w:noProof/>
            <w:webHidden/>
          </w:rPr>
          <w:t>66</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296" w:history="1">
        <w:r w:rsidRPr="0073230A">
          <w:rPr>
            <w:rStyle w:val="Hyperlink"/>
            <w:noProof/>
          </w:rPr>
          <w:t>Coercive measures available to enforce</w:t>
        </w:r>
        <w:r>
          <w:rPr>
            <w:noProof/>
            <w:webHidden/>
          </w:rPr>
          <w:tab/>
        </w:r>
        <w:r>
          <w:rPr>
            <w:noProof/>
            <w:webHidden/>
          </w:rPr>
          <w:fldChar w:fldCharType="begin"/>
        </w:r>
        <w:r>
          <w:rPr>
            <w:noProof/>
            <w:webHidden/>
          </w:rPr>
          <w:instrText xml:space="preserve"> PAGEREF _Toc409792296 \h </w:instrText>
        </w:r>
        <w:r>
          <w:rPr>
            <w:noProof/>
            <w:webHidden/>
          </w:rPr>
        </w:r>
        <w:r>
          <w:rPr>
            <w:noProof/>
            <w:webHidden/>
          </w:rPr>
          <w:fldChar w:fldCharType="separate"/>
        </w:r>
        <w:r>
          <w:rPr>
            <w:noProof/>
            <w:webHidden/>
          </w:rPr>
          <w:t>66</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297" w:history="1">
        <w:r w:rsidRPr="0073230A">
          <w:rPr>
            <w:rStyle w:val="Hyperlink"/>
            <w:noProof/>
          </w:rPr>
          <w:t>Mental health proceedings</w:t>
        </w:r>
        <w:r>
          <w:rPr>
            <w:noProof/>
            <w:webHidden/>
          </w:rPr>
          <w:tab/>
        </w:r>
        <w:r>
          <w:rPr>
            <w:noProof/>
            <w:webHidden/>
          </w:rPr>
          <w:fldChar w:fldCharType="begin"/>
        </w:r>
        <w:r>
          <w:rPr>
            <w:noProof/>
            <w:webHidden/>
          </w:rPr>
          <w:instrText xml:space="preserve"> PAGEREF _Toc409792297 \h </w:instrText>
        </w:r>
        <w:r>
          <w:rPr>
            <w:noProof/>
            <w:webHidden/>
          </w:rPr>
        </w:r>
        <w:r>
          <w:rPr>
            <w:noProof/>
            <w:webHidden/>
          </w:rPr>
          <w:fldChar w:fldCharType="separate"/>
        </w:r>
        <w:r>
          <w:rPr>
            <w:noProof/>
            <w:webHidden/>
          </w:rPr>
          <w:t>67</w:t>
        </w:r>
        <w:r>
          <w:rPr>
            <w:noProof/>
            <w:webHidden/>
          </w:rPr>
          <w:fldChar w:fldCharType="end"/>
        </w:r>
      </w:hyperlink>
    </w:p>
    <w:p w:rsidR="00537401" w:rsidRDefault="00537401" w:rsidP="00537401">
      <w:pPr>
        <w:pStyle w:val="TOC4"/>
        <w:rPr>
          <w:rFonts w:asciiTheme="minorHAnsi" w:eastAsiaTheme="minorEastAsia" w:hAnsiTheme="minorHAnsi" w:cstheme="minorBidi"/>
          <w:noProof/>
          <w:sz w:val="22"/>
          <w:szCs w:val="22"/>
          <w:lang w:val="en-US"/>
        </w:rPr>
      </w:pPr>
      <w:hyperlink w:anchor="_Toc409792298" w:history="1">
        <w:r w:rsidRPr="0073230A">
          <w:rPr>
            <w:rStyle w:val="Hyperlink"/>
            <w:noProof/>
          </w:rPr>
          <w:t>3.10.3</w:t>
        </w:r>
        <w:r>
          <w:rPr>
            <w:rFonts w:asciiTheme="minorHAnsi" w:eastAsiaTheme="minorEastAsia" w:hAnsiTheme="minorHAnsi" w:cstheme="minorBidi"/>
            <w:noProof/>
            <w:sz w:val="22"/>
            <w:szCs w:val="22"/>
            <w:lang w:val="en-US"/>
          </w:rPr>
          <w:tab/>
        </w:r>
        <w:r w:rsidRPr="0073230A">
          <w:rPr>
            <w:rStyle w:val="Hyperlink"/>
            <w:noProof/>
          </w:rPr>
          <w:t>Procedural rules applicable to children involved in placement into care proceedings</w:t>
        </w:r>
        <w:r>
          <w:rPr>
            <w:noProof/>
            <w:webHidden/>
          </w:rPr>
          <w:tab/>
        </w:r>
        <w:r>
          <w:rPr>
            <w:noProof/>
            <w:webHidden/>
          </w:rPr>
          <w:fldChar w:fldCharType="begin"/>
        </w:r>
        <w:r>
          <w:rPr>
            <w:noProof/>
            <w:webHidden/>
          </w:rPr>
          <w:instrText xml:space="preserve"> PAGEREF _Toc409792298 \h </w:instrText>
        </w:r>
        <w:r>
          <w:rPr>
            <w:noProof/>
            <w:webHidden/>
          </w:rPr>
        </w:r>
        <w:r>
          <w:rPr>
            <w:noProof/>
            <w:webHidden/>
          </w:rPr>
          <w:fldChar w:fldCharType="separate"/>
        </w:r>
        <w:r>
          <w:rPr>
            <w:noProof/>
            <w:webHidden/>
          </w:rPr>
          <w:t>67</w:t>
        </w:r>
        <w:r>
          <w:rPr>
            <w:noProof/>
            <w:webHidden/>
          </w:rPr>
          <w:fldChar w:fldCharType="end"/>
        </w:r>
      </w:hyperlink>
    </w:p>
    <w:p w:rsidR="00537401" w:rsidRDefault="00537401" w:rsidP="00537401">
      <w:pPr>
        <w:pStyle w:val="TOC4"/>
        <w:rPr>
          <w:rFonts w:asciiTheme="minorHAnsi" w:eastAsiaTheme="minorEastAsia" w:hAnsiTheme="minorHAnsi" w:cstheme="minorBidi"/>
          <w:noProof/>
          <w:sz w:val="22"/>
          <w:szCs w:val="22"/>
          <w:lang w:val="en-US"/>
        </w:rPr>
      </w:pPr>
      <w:hyperlink w:anchor="_Toc409792299" w:history="1">
        <w:r w:rsidRPr="0073230A">
          <w:rPr>
            <w:rStyle w:val="Hyperlink"/>
            <w:noProof/>
          </w:rPr>
          <w:t>3.10.4</w:t>
        </w:r>
        <w:r>
          <w:rPr>
            <w:rFonts w:asciiTheme="minorHAnsi" w:eastAsiaTheme="minorEastAsia" w:hAnsiTheme="minorHAnsi" w:cstheme="minorBidi"/>
            <w:noProof/>
            <w:sz w:val="22"/>
            <w:szCs w:val="22"/>
            <w:lang w:val="en-US"/>
          </w:rPr>
          <w:tab/>
        </w:r>
        <w:r w:rsidRPr="0073230A">
          <w:rPr>
            <w:rStyle w:val="Hyperlink"/>
            <w:noProof/>
          </w:rPr>
          <w:t>Procedural rules applicable to children involved in administrative sanctions proceedings</w:t>
        </w:r>
        <w:r>
          <w:rPr>
            <w:noProof/>
            <w:webHidden/>
          </w:rPr>
          <w:tab/>
        </w:r>
        <w:r>
          <w:rPr>
            <w:noProof/>
            <w:webHidden/>
          </w:rPr>
          <w:fldChar w:fldCharType="begin"/>
        </w:r>
        <w:r>
          <w:rPr>
            <w:noProof/>
            <w:webHidden/>
          </w:rPr>
          <w:instrText xml:space="preserve"> PAGEREF _Toc409792299 \h </w:instrText>
        </w:r>
        <w:r>
          <w:rPr>
            <w:noProof/>
            <w:webHidden/>
          </w:rPr>
        </w:r>
        <w:r>
          <w:rPr>
            <w:noProof/>
            <w:webHidden/>
          </w:rPr>
          <w:fldChar w:fldCharType="separate"/>
        </w:r>
        <w:r>
          <w:rPr>
            <w:noProof/>
            <w:webHidden/>
          </w:rPr>
          <w:t>68</w:t>
        </w:r>
        <w:r>
          <w:rPr>
            <w:noProof/>
            <w:webHidden/>
          </w:rPr>
          <w:fldChar w:fldCharType="end"/>
        </w:r>
      </w:hyperlink>
    </w:p>
    <w:p w:rsidR="00537401" w:rsidRDefault="00537401">
      <w:pPr>
        <w:pStyle w:val="TOC2"/>
        <w:rPr>
          <w:rFonts w:asciiTheme="minorHAnsi" w:eastAsiaTheme="minorEastAsia" w:hAnsiTheme="minorHAnsi" w:cstheme="minorBidi"/>
          <w:b w:val="0"/>
          <w:noProof/>
          <w:color w:val="auto"/>
          <w:sz w:val="22"/>
          <w:szCs w:val="22"/>
          <w:lang w:val="en-US"/>
        </w:rPr>
      </w:pPr>
      <w:hyperlink w:anchor="_Toc409792300" w:history="1">
        <w:r w:rsidRPr="0073230A">
          <w:rPr>
            <w:rStyle w:val="Hyperlink"/>
            <w:noProof/>
          </w:rPr>
          <w:t>Conclusions</w:t>
        </w:r>
        <w:r>
          <w:rPr>
            <w:noProof/>
            <w:webHidden/>
          </w:rPr>
          <w:tab/>
        </w:r>
        <w:r>
          <w:rPr>
            <w:noProof/>
            <w:webHidden/>
          </w:rPr>
          <w:fldChar w:fldCharType="begin"/>
        </w:r>
        <w:r>
          <w:rPr>
            <w:noProof/>
            <w:webHidden/>
          </w:rPr>
          <w:instrText xml:space="preserve"> PAGEREF _Toc409792300 \h </w:instrText>
        </w:r>
        <w:r>
          <w:rPr>
            <w:noProof/>
            <w:webHidden/>
          </w:rPr>
        </w:r>
        <w:r>
          <w:rPr>
            <w:noProof/>
            <w:webHidden/>
          </w:rPr>
          <w:fldChar w:fldCharType="separate"/>
        </w:r>
        <w:r>
          <w:rPr>
            <w:noProof/>
            <w:webHidden/>
          </w:rPr>
          <w:t>69</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301" w:history="1">
        <w:r w:rsidRPr="0073230A">
          <w:rPr>
            <w:rStyle w:val="Hyperlink"/>
            <w:noProof/>
          </w:rPr>
          <w:t>Institutional and legal framework</w:t>
        </w:r>
        <w:r>
          <w:rPr>
            <w:noProof/>
            <w:webHidden/>
          </w:rPr>
          <w:tab/>
        </w:r>
        <w:r>
          <w:rPr>
            <w:noProof/>
            <w:webHidden/>
          </w:rPr>
          <w:fldChar w:fldCharType="begin"/>
        </w:r>
        <w:r>
          <w:rPr>
            <w:noProof/>
            <w:webHidden/>
          </w:rPr>
          <w:instrText xml:space="preserve"> PAGEREF _Toc409792301 \h </w:instrText>
        </w:r>
        <w:r>
          <w:rPr>
            <w:noProof/>
            <w:webHidden/>
          </w:rPr>
        </w:r>
        <w:r>
          <w:rPr>
            <w:noProof/>
            <w:webHidden/>
          </w:rPr>
          <w:fldChar w:fldCharType="separate"/>
        </w:r>
        <w:r>
          <w:rPr>
            <w:noProof/>
            <w:webHidden/>
          </w:rPr>
          <w:t>69</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302" w:history="1">
        <w:r w:rsidRPr="0073230A">
          <w:rPr>
            <w:rStyle w:val="Hyperlink"/>
            <w:noProof/>
          </w:rPr>
          <w:t>General approach towards children under administrative law</w:t>
        </w:r>
        <w:r>
          <w:rPr>
            <w:noProof/>
            <w:webHidden/>
          </w:rPr>
          <w:tab/>
        </w:r>
        <w:r>
          <w:rPr>
            <w:noProof/>
            <w:webHidden/>
          </w:rPr>
          <w:fldChar w:fldCharType="begin"/>
        </w:r>
        <w:r>
          <w:rPr>
            <w:noProof/>
            <w:webHidden/>
          </w:rPr>
          <w:instrText xml:space="preserve"> PAGEREF _Toc409792302 \h </w:instrText>
        </w:r>
        <w:r>
          <w:rPr>
            <w:noProof/>
            <w:webHidden/>
          </w:rPr>
        </w:r>
        <w:r>
          <w:rPr>
            <w:noProof/>
            <w:webHidden/>
          </w:rPr>
          <w:fldChar w:fldCharType="separate"/>
        </w:r>
        <w:r>
          <w:rPr>
            <w:noProof/>
            <w:webHidden/>
          </w:rPr>
          <w:t>69</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303" w:history="1">
        <w:r w:rsidRPr="0073230A">
          <w:rPr>
            <w:rStyle w:val="Hyperlink"/>
            <w:noProof/>
          </w:rPr>
          <w:t>The child as an actor in administrative judicial proceedings</w:t>
        </w:r>
        <w:r>
          <w:rPr>
            <w:noProof/>
            <w:webHidden/>
          </w:rPr>
          <w:tab/>
        </w:r>
        <w:r>
          <w:rPr>
            <w:noProof/>
            <w:webHidden/>
          </w:rPr>
          <w:fldChar w:fldCharType="begin"/>
        </w:r>
        <w:r>
          <w:rPr>
            <w:noProof/>
            <w:webHidden/>
          </w:rPr>
          <w:instrText xml:space="preserve"> PAGEREF _Toc409792303 \h </w:instrText>
        </w:r>
        <w:r>
          <w:rPr>
            <w:noProof/>
            <w:webHidden/>
          </w:rPr>
        </w:r>
        <w:r>
          <w:rPr>
            <w:noProof/>
            <w:webHidden/>
          </w:rPr>
          <w:fldChar w:fldCharType="separate"/>
        </w:r>
        <w:r>
          <w:rPr>
            <w:noProof/>
            <w:webHidden/>
          </w:rPr>
          <w:t>69</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304" w:history="1">
        <w:r w:rsidRPr="0073230A">
          <w:rPr>
            <w:rStyle w:val="Hyperlink"/>
            <w:noProof/>
          </w:rPr>
          <w:t>Provision of information to children</w:t>
        </w:r>
        <w:r>
          <w:rPr>
            <w:noProof/>
            <w:webHidden/>
          </w:rPr>
          <w:tab/>
        </w:r>
        <w:r>
          <w:rPr>
            <w:noProof/>
            <w:webHidden/>
          </w:rPr>
          <w:fldChar w:fldCharType="begin"/>
        </w:r>
        <w:r>
          <w:rPr>
            <w:noProof/>
            <w:webHidden/>
          </w:rPr>
          <w:instrText xml:space="preserve"> PAGEREF _Toc409792304 \h </w:instrText>
        </w:r>
        <w:r>
          <w:rPr>
            <w:noProof/>
            <w:webHidden/>
          </w:rPr>
        </w:r>
        <w:r>
          <w:rPr>
            <w:noProof/>
            <w:webHidden/>
          </w:rPr>
          <w:fldChar w:fldCharType="separate"/>
        </w:r>
        <w:r>
          <w:rPr>
            <w:noProof/>
            <w:webHidden/>
          </w:rPr>
          <w:t>70</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305" w:history="1">
        <w:r w:rsidRPr="0073230A">
          <w:rPr>
            <w:rStyle w:val="Hyperlink"/>
            <w:noProof/>
          </w:rPr>
          <w:t>Protection of the child’s private and family life</w:t>
        </w:r>
        <w:r>
          <w:rPr>
            <w:noProof/>
            <w:webHidden/>
          </w:rPr>
          <w:tab/>
        </w:r>
        <w:r>
          <w:rPr>
            <w:noProof/>
            <w:webHidden/>
          </w:rPr>
          <w:fldChar w:fldCharType="begin"/>
        </w:r>
        <w:r>
          <w:rPr>
            <w:noProof/>
            <w:webHidden/>
          </w:rPr>
          <w:instrText xml:space="preserve"> PAGEREF _Toc409792305 \h </w:instrText>
        </w:r>
        <w:r>
          <w:rPr>
            <w:noProof/>
            <w:webHidden/>
          </w:rPr>
        </w:r>
        <w:r>
          <w:rPr>
            <w:noProof/>
            <w:webHidden/>
          </w:rPr>
          <w:fldChar w:fldCharType="separate"/>
        </w:r>
        <w:r>
          <w:rPr>
            <w:noProof/>
            <w:webHidden/>
          </w:rPr>
          <w:t>70</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306" w:history="1">
        <w:r w:rsidRPr="0073230A">
          <w:rPr>
            <w:rStyle w:val="Hyperlink"/>
            <w:noProof/>
          </w:rPr>
          <w:t>Protecting the child from harm</w:t>
        </w:r>
        <w:r>
          <w:rPr>
            <w:noProof/>
            <w:webHidden/>
          </w:rPr>
          <w:tab/>
        </w:r>
        <w:r>
          <w:rPr>
            <w:noProof/>
            <w:webHidden/>
          </w:rPr>
          <w:fldChar w:fldCharType="begin"/>
        </w:r>
        <w:r>
          <w:rPr>
            <w:noProof/>
            <w:webHidden/>
          </w:rPr>
          <w:instrText xml:space="preserve"> PAGEREF _Toc409792306 \h </w:instrText>
        </w:r>
        <w:r>
          <w:rPr>
            <w:noProof/>
            <w:webHidden/>
          </w:rPr>
        </w:r>
        <w:r>
          <w:rPr>
            <w:noProof/>
            <w:webHidden/>
          </w:rPr>
          <w:fldChar w:fldCharType="separate"/>
        </w:r>
        <w:r>
          <w:rPr>
            <w:noProof/>
            <w:webHidden/>
          </w:rPr>
          <w:t>70</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307" w:history="1">
        <w:r w:rsidRPr="0073230A">
          <w:rPr>
            <w:rStyle w:val="Hyperlink"/>
            <w:noProof/>
          </w:rPr>
          <w:t>Right to be heard and participate in administrative judicial proceedings</w:t>
        </w:r>
        <w:r>
          <w:rPr>
            <w:noProof/>
            <w:webHidden/>
          </w:rPr>
          <w:tab/>
        </w:r>
        <w:r>
          <w:rPr>
            <w:noProof/>
            <w:webHidden/>
          </w:rPr>
          <w:fldChar w:fldCharType="begin"/>
        </w:r>
        <w:r>
          <w:rPr>
            <w:noProof/>
            <w:webHidden/>
          </w:rPr>
          <w:instrText xml:space="preserve"> PAGEREF _Toc409792307 \h </w:instrText>
        </w:r>
        <w:r>
          <w:rPr>
            <w:noProof/>
            <w:webHidden/>
          </w:rPr>
        </w:r>
        <w:r>
          <w:rPr>
            <w:noProof/>
            <w:webHidden/>
          </w:rPr>
          <w:fldChar w:fldCharType="separate"/>
        </w:r>
        <w:r>
          <w:rPr>
            <w:noProof/>
            <w:webHidden/>
          </w:rPr>
          <w:t>71</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308" w:history="1">
        <w:r w:rsidRPr="0073230A">
          <w:rPr>
            <w:rStyle w:val="Hyperlink"/>
            <w:noProof/>
          </w:rPr>
          <w:t>Right to legal counsel, legal assistance and representation</w:t>
        </w:r>
        <w:r>
          <w:rPr>
            <w:noProof/>
            <w:webHidden/>
          </w:rPr>
          <w:tab/>
        </w:r>
        <w:r>
          <w:rPr>
            <w:noProof/>
            <w:webHidden/>
          </w:rPr>
          <w:fldChar w:fldCharType="begin"/>
        </w:r>
        <w:r>
          <w:rPr>
            <w:noProof/>
            <w:webHidden/>
          </w:rPr>
          <w:instrText xml:space="preserve"> PAGEREF _Toc409792308 \h </w:instrText>
        </w:r>
        <w:r>
          <w:rPr>
            <w:noProof/>
            <w:webHidden/>
          </w:rPr>
        </w:r>
        <w:r>
          <w:rPr>
            <w:noProof/>
            <w:webHidden/>
          </w:rPr>
          <w:fldChar w:fldCharType="separate"/>
        </w:r>
        <w:r>
          <w:rPr>
            <w:noProof/>
            <w:webHidden/>
          </w:rPr>
          <w:t>71</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309" w:history="1">
        <w:r w:rsidRPr="0073230A">
          <w:rPr>
            <w:rStyle w:val="Hyperlink"/>
            <w:noProof/>
          </w:rPr>
          <w:t>Restrictions of liberty</w:t>
        </w:r>
        <w:r>
          <w:rPr>
            <w:noProof/>
            <w:webHidden/>
          </w:rPr>
          <w:tab/>
        </w:r>
        <w:r>
          <w:rPr>
            <w:noProof/>
            <w:webHidden/>
          </w:rPr>
          <w:fldChar w:fldCharType="begin"/>
        </w:r>
        <w:r>
          <w:rPr>
            <w:noProof/>
            <w:webHidden/>
          </w:rPr>
          <w:instrText xml:space="preserve"> PAGEREF _Toc409792309 \h </w:instrText>
        </w:r>
        <w:r>
          <w:rPr>
            <w:noProof/>
            <w:webHidden/>
          </w:rPr>
        </w:r>
        <w:r>
          <w:rPr>
            <w:noProof/>
            <w:webHidden/>
          </w:rPr>
          <w:fldChar w:fldCharType="separate"/>
        </w:r>
        <w:r>
          <w:rPr>
            <w:noProof/>
            <w:webHidden/>
          </w:rPr>
          <w:t>71</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310" w:history="1">
        <w:r w:rsidRPr="0073230A">
          <w:rPr>
            <w:rStyle w:val="Hyperlink"/>
            <w:noProof/>
          </w:rPr>
          <w:t>Remedies or compensation for violation of rights and failure to act</w:t>
        </w:r>
        <w:r>
          <w:rPr>
            <w:noProof/>
            <w:webHidden/>
          </w:rPr>
          <w:tab/>
        </w:r>
        <w:r>
          <w:rPr>
            <w:noProof/>
            <w:webHidden/>
          </w:rPr>
          <w:fldChar w:fldCharType="begin"/>
        </w:r>
        <w:r>
          <w:rPr>
            <w:noProof/>
            <w:webHidden/>
          </w:rPr>
          <w:instrText xml:space="preserve"> PAGEREF _Toc409792310 \h </w:instrText>
        </w:r>
        <w:r>
          <w:rPr>
            <w:noProof/>
            <w:webHidden/>
          </w:rPr>
        </w:r>
        <w:r>
          <w:rPr>
            <w:noProof/>
            <w:webHidden/>
          </w:rPr>
          <w:fldChar w:fldCharType="separate"/>
        </w:r>
        <w:r>
          <w:rPr>
            <w:noProof/>
            <w:webHidden/>
          </w:rPr>
          <w:t>72</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311" w:history="1">
        <w:r w:rsidRPr="0073230A">
          <w:rPr>
            <w:rStyle w:val="Hyperlink"/>
            <w:noProof/>
          </w:rPr>
          <w:t>Legal costs</w:t>
        </w:r>
        <w:r>
          <w:rPr>
            <w:noProof/>
            <w:webHidden/>
          </w:rPr>
          <w:tab/>
        </w:r>
        <w:r>
          <w:rPr>
            <w:noProof/>
            <w:webHidden/>
          </w:rPr>
          <w:fldChar w:fldCharType="begin"/>
        </w:r>
        <w:r>
          <w:rPr>
            <w:noProof/>
            <w:webHidden/>
          </w:rPr>
          <w:instrText xml:space="preserve"> PAGEREF _Toc409792311 \h </w:instrText>
        </w:r>
        <w:r>
          <w:rPr>
            <w:noProof/>
            <w:webHidden/>
          </w:rPr>
        </w:r>
        <w:r>
          <w:rPr>
            <w:noProof/>
            <w:webHidden/>
          </w:rPr>
          <w:fldChar w:fldCharType="separate"/>
        </w:r>
        <w:r>
          <w:rPr>
            <w:noProof/>
            <w:webHidden/>
          </w:rPr>
          <w:t>72</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312" w:history="1">
        <w:r w:rsidRPr="0073230A">
          <w:rPr>
            <w:rStyle w:val="Hyperlink"/>
            <w:noProof/>
          </w:rPr>
          <w:t>Enforcement of civil court judgements</w:t>
        </w:r>
        <w:r>
          <w:rPr>
            <w:noProof/>
            <w:webHidden/>
          </w:rPr>
          <w:tab/>
        </w:r>
        <w:r>
          <w:rPr>
            <w:noProof/>
            <w:webHidden/>
          </w:rPr>
          <w:fldChar w:fldCharType="begin"/>
        </w:r>
        <w:r>
          <w:rPr>
            <w:noProof/>
            <w:webHidden/>
          </w:rPr>
          <w:instrText xml:space="preserve"> PAGEREF _Toc409792312 \h </w:instrText>
        </w:r>
        <w:r>
          <w:rPr>
            <w:noProof/>
            <w:webHidden/>
          </w:rPr>
        </w:r>
        <w:r>
          <w:rPr>
            <w:noProof/>
            <w:webHidden/>
          </w:rPr>
          <w:fldChar w:fldCharType="separate"/>
        </w:r>
        <w:r>
          <w:rPr>
            <w:noProof/>
            <w:webHidden/>
          </w:rPr>
          <w:t>72</w:t>
        </w:r>
        <w:r>
          <w:rPr>
            <w:noProof/>
            <w:webHidden/>
          </w:rPr>
          <w:fldChar w:fldCharType="end"/>
        </w:r>
      </w:hyperlink>
    </w:p>
    <w:p w:rsidR="00537401" w:rsidRDefault="00537401">
      <w:pPr>
        <w:pStyle w:val="TOC6"/>
        <w:tabs>
          <w:tab w:val="right" w:leader="dot" w:pos="9061"/>
        </w:tabs>
        <w:rPr>
          <w:rFonts w:asciiTheme="minorHAnsi" w:eastAsiaTheme="minorEastAsia" w:hAnsiTheme="minorHAnsi" w:cstheme="minorBidi"/>
          <w:noProof/>
          <w:sz w:val="22"/>
          <w:szCs w:val="22"/>
          <w:lang w:val="en-US"/>
        </w:rPr>
      </w:pPr>
      <w:hyperlink w:anchor="_Toc409792313" w:history="1">
        <w:r w:rsidRPr="0073230A">
          <w:rPr>
            <w:rStyle w:val="Hyperlink"/>
            <w:noProof/>
          </w:rPr>
          <w:t>Strengths and gaps</w:t>
        </w:r>
        <w:r>
          <w:rPr>
            <w:noProof/>
            <w:webHidden/>
          </w:rPr>
          <w:tab/>
        </w:r>
        <w:r>
          <w:rPr>
            <w:noProof/>
            <w:webHidden/>
          </w:rPr>
          <w:fldChar w:fldCharType="begin"/>
        </w:r>
        <w:r>
          <w:rPr>
            <w:noProof/>
            <w:webHidden/>
          </w:rPr>
          <w:instrText xml:space="preserve"> PAGEREF _Toc409792313 \h </w:instrText>
        </w:r>
        <w:r>
          <w:rPr>
            <w:noProof/>
            <w:webHidden/>
          </w:rPr>
        </w:r>
        <w:r>
          <w:rPr>
            <w:noProof/>
            <w:webHidden/>
          </w:rPr>
          <w:fldChar w:fldCharType="separate"/>
        </w:r>
        <w:r>
          <w:rPr>
            <w:noProof/>
            <w:webHidden/>
          </w:rPr>
          <w:t>72</w:t>
        </w:r>
        <w:r>
          <w:rPr>
            <w:noProof/>
            <w:webHidden/>
          </w:rPr>
          <w:fldChar w:fldCharType="end"/>
        </w:r>
      </w:hyperlink>
    </w:p>
    <w:p w:rsidR="00537401" w:rsidRDefault="00537401">
      <w:pPr>
        <w:pStyle w:val="TOC2"/>
        <w:tabs>
          <w:tab w:val="left" w:pos="1531"/>
        </w:tabs>
        <w:rPr>
          <w:rFonts w:asciiTheme="minorHAnsi" w:eastAsiaTheme="minorEastAsia" w:hAnsiTheme="minorHAnsi" w:cstheme="minorBidi"/>
          <w:b w:val="0"/>
          <w:noProof/>
          <w:color w:val="auto"/>
          <w:sz w:val="22"/>
          <w:szCs w:val="22"/>
          <w:lang w:val="en-US"/>
        </w:rPr>
      </w:pPr>
      <w:hyperlink w:anchor="_Toc409792314" w:history="1">
        <w:r w:rsidRPr="0073230A">
          <w:rPr>
            <w:rStyle w:val="Hyperlink"/>
            <w:noProof/>
            <w:lang w:val="fr-BE"/>
          </w:rPr>
          <w:t>Annex 1</w:t>
        </w:r>
        <w:r>
          <w:rPr>
            <w:rFonts w:asciiTheme="minorHAnsi" w:eastAsiaTheme="minorEastAsia" w:hAnsiTheme="minorHAnsi" w:cstheme="minorBidi"/>
            <w:b w:val="0"/>
            <w:noProof/>
            <w:color w:val="auto"/>
            <w:sz w:val="22"/>
            <w:szCs w:val="22"/>
            <w:lang w:val="en-US"/>
          </w:rPr>
          <w:tab/>
        </w:r>
        <w:r w:rsidRPr="0073230A">
          <w:rPr>
            <w:rStyle w:val="Hyperlink"/>
            <w:noProof/>
          </w:rPr>
          <w:t>L</w:t>
        </w:r>
        <w:r w:rsidRPr="0073230A">
          <w:rPr>
            <w:rStyle w:val="Hyperlink"/>
            <w:noProof/>
            <w:lang w:val="en-US"/>
          </w:rPr>
          <w:t>ist of l</w:t>
        </w:r>
        <w:r w:rsidRPr="0073230A">
          <w:rPr>
            <w:rStyle w:val="Hyperlink"/>
            <w:noProof/>
          </w:rPr>
          <w:t>egislation</w:t>
        </w:r>
        <w:r>
          <w:rPr>
            <w:noProof/>
            <w:webHidden/>
          </w:rPr>
          <w:tab/>
        </w:r>
        <w:r>
          <w:rPr>
            <w:noProof/>
            <w:webHidden/>
          </w:rPr>
          <w:fldChar w:fldCharType="begin"/>
        </w:r>
        <w:r>
          <w:rPr>
            <w:noProof/>
            <w:webHidden/>
          </w:rPr>
          <w:instrText xml:space="preserve"> PAGEREF _Toc409792314 \h </w:instrText>
        </w:r>
        <w:r>
          <w:rPr>
            <w:noProof/>
            <w:webHidden/>
          </w:rPr>
        </w:r>
        <w:r>
          <w:rPr>
            <w:noProof/>
            <w:webHidden/>
          </w:rPr>
          <w:fldChar w:fldCharType="separate"/>
        </w:r>
        <w:r>
          <w:rPr>
            <w:noProof/>
            <w:webHidden/>
          </w:rPr>
          <w:t>73</w:t>
        </w:r>
        <w:r>
          <w:rPr>
            <w:noProof/>
            <w:webHidden/>
          </w:rPr>
          <w:fldChar w:fldCharType="end"/>
        </w:r>
      </w:hyperlink>
    </w:p>
    <w:p w:rsidR="00FE34E9" w:rsidRDefault="00C7550C" w:rsidP="00526AAE">
      <w:pPr>
        <w:pStyle w:val="TOC2"/>
        <w:tabs>
          <w:tab w:val="left" w:pos="1531"/>
        </w:tabs>
      </w:pPr>
      <w:r w:rsidRPr="007B47FB">
        <w:fldChar w:fldCharType="end"/>
      </w:r>
    </w:p>
    <w:bookmarkEnd w:id="6"/>
    <w:p w:rsidR="00660C9C" w:rsidRPr="00660C9C" w:rsidRDefault="00660C9C" w:rsidP="00660C9C">
      <w:r>
        <w:br w:type="page"/>
      </w:r>
    </w:p>
    <w:p w:rsidR="00660C9C" w:rsidRPr="00660C9C" w:rsidRDefault="00660C9C" w:rsidP="00960EC3">
      <w:pPr>
        <w:pStyle w:val="Heading1NoNumb"/>
      </w:pPr>
      <w:bookmarkStart w:id="8" w:name="_Toc401654864"/>
      <w:bookmarkStart w:id="9" w:name="_Toc409792178"/>
      <w:r w:rsidRPr="00660C9C">
        <w:lastRenderedPageBreak/>
        <w:t>Abbreviations</w:t>
      </w:r>
      <w:bookmarkEnd w:id="8"/>
      <w:bookmarkEnd w:id="9"/>
    </w:p>
    <w:p w:rsidR="00660C9C" w:rsidRPr="00660C9C" w:rsidRDefault="00660C9C" w:rsidP="00660C9C">
      <w:pPr>
        <w:widowControl w:val="0"/>
        <w:spacing w:before="0" w:after="0" w:line="240" w:lineRule="auto"/>
        <w:jc w:val="both"/>
        <w:rPr>
          <w:rFonts w:eastAsia="Calibri" w:cs="Arial"/>
          <w:szCs w:val="20"/>
        </w:rPr>
      </w:pPr>
    </w:p>
    <w:p w:rsidR="00F60A1E" w:rsidRPr="00A36DEB" w:rsidRDefault="00F60A1E" w:rsidP="00F60A1E">
      <w:pPr>
        <w:widowControl w:val="0"/>
        <w:spacing w:before="0" w:after="0" w:line="240" w:lineRule="auto"/>
      </w:pPr>
      <w:r w:rsidRPr="00A36DEB">
        <w:t>CA</w:t>
      </w:r>
      <w:r w:rsidRPr="00A36DEB">
        <w:tab/>
      </w:r>
      <w:r w:rsidRPr="00A36DEB">
        <w:tab/>
        <w:t>Competent Authority</w:t>
      </w:r>
    </w:p>
    <w:p w:rsidR="00F60A1E" w:rsidRPr="00A36DEB" w:rsidRDefault="00F60A1E" w:rsidP="00F60A1E">
      <w:pPr>
        <w:widowControl w:val="0"/>
        <w:spacing w:before="0" w:after="0" w:line="240" w:lineRule="auto"/>
      </w:pPr>
    </w:p>
    <w:p w:rsidR="00F60A1E" w:rsidRPr="00A36DEB" w:rsidRDefault="00F60A1E" w:rsidP="00F60A1E">
      <w:pPr>
        <w:widowControl w:val="0"/>
        <w:spacing w:before="0" w:after="0" w:line="240" w:lineRule="auto"/>
      </w:pPr>
      <w:r w:rsidRPr="00A36DEB">
        <w:t>CRC</w:t>
      </w:r>
      <w:r w:rsidRPr="00A36DEB">
        <w:tab/>
      </w:r>
      <w:r w:rsidRPr="00A36DEB">
        <w:tab/>
        <w:t>United Nations Convention on the Rights of the Child</w:t>
      </w:r>
    </w:p>
    <w:p w:rsidR="00F60A1E" w:rsidRPr="00A36DEB" w:rsidRDefault="00F60A1E" w:rsidP="00F60A1E">
      <w:pPr>
        <w:widowControl w:val="0"/>
        <w:spacing w:before="0" w:after="0" w:line="240" w:lineRule="auto"/>
      </w:pPr>
    </w:p>
    <w:p w:rsidR="00F60A1E" w:rsidRPr="00A36DEB" w:rsidRDefault="00F60A1E" w:rsidP="00F60A1E">
      <w:pPr>
        <w:widowControl w:val="0"/>
        <w:spacing w:before="0" w:after="0" w:line="240" w:lineRule="auto"/>
      </w:pPr>
      <w:r w:rsidRPr="00A36DEB">
        <w:t>CoE</w:t>
      </w:r>
      <w:r w:rsidRPr="00A36DEB">
        <w:tab/>
      </w:r>
      <w:r w:rsidRPr="00A36DEB">
        <w:tab/>
        <w:t>Council of Europe</w:t>
      </w:r>
    </w:p>
    <w:p w:rsidR="00F60A1E" w:rsidRPr="00A36DEB" w:rsidRDefault="00F60A1E" w:rsidP="00F60A1E">
      <w:pPr>
        <w:widowControl w:val="0"/>
        <w:spacing w:before="0" w:after="0" w:line="240" w:lineRule="auto"/>
      </w:pPr>
    </w:p>
    <w:p w:rsidR="00F60A1E" w:rsidRPr="00A36DEB" w:rsidRDefault="00F60A1E" w:rsidP="00F60A1E">
      <w:pPr>
        <w:widowControl w:val="0"/>
        <w:spacing w:before="0" w:after="0" w:line="240" w:lineRule="auto"/>
      </w:pPr>
      <w:r w:rsidRPr="00A36DEB">
        <w:t>EEA</w:t>
      </w:r>
      <w:r w:rsidRPr="00A36DEB">
        <w:tab/>
      </w:r>
      <w:r w:rsidRPr="00A36DEB">
        <w:tab/>
        <w:t>European Economic Area</w:t>
      </w:r>
    </w:p>
    <w:p w:rsidR="00F60A1E" w:rsidRPr="00A36DEB" w:rsidRDefault="00F60A1E" w:rsidP="00F60A1E">
      <w:pPr>
        <w:widowControl w:val="0"/>
        <w:spacing w:before="0" w:after="0" w:line="240" w:lineRule="auto"/>
      </w:pPr>
    </w:p>
    <w:p w:rsidR="00F60A1E" w:rsidRPr="00A36DEB" w:rsidRDefault="00F60A1E" w:rsidP="00F60A1E">
      <w:pPr>
        <w:widowControl w:val="0"/>
        <w:spacing w:before="0" w:after="0" w:line="240" w:lineRule="auto"/>
      </w:pPr>
      <w:r w:rsidRPr="00A36DEB">
        <w:t>EU</w:t>
      </w:r>
      <w:r w:rsidRPr="00A36DEB">
        <w:tab/>
      </w:r>
      <w:r w:rsidRPr="00A36DEB">
        <w:tab/>
        <w:t>European Union</w:t>
      </w:r>
    </w:p>
    <w:p w:rsidR="00F60A1E" w:rsidRPr="00A36DEB" w:rsidRDefault="00F60A1E" w:rsidP="00F60A1E">
      <w:pPr>
        <w:widowControl w:val="0"/>
        <w:spacing w:before="0" w:after="0" w:line="240" w:lineRule="auto"/>
      </w:pPr>
    </w:p>
    <w:p w:rsidR="00F60A1E" w:rsidRPr="00A36DEB" w:rsidRDefault="00F60A1E" w:rsidP="00F60A1E">
      <w:pPr>
        <w:widowControl w:val="0"/>
        <w:spacing w:before="0" w:after="0" w:line="240" w:lineRule="auto"/>
      </w:pPr>
      <w:r w:rsidRPr="00A36DEB">
        <w:t xml:space="preserve">MACR </w:t>
      </w:r>
      <w:r w:rsidRPr="00A36DEB">
        <w:tab/>
      </w:r>
      <w:r w:rsidRPr="00A36DEB">
        <w:tab/>
        <w:t>Minimum Age of Criminal Liability</w:t>
      </w:r>
    </w:p>
    <w:p w:rsidR="00F60A1E" w:rsidRPr="00A36DEB" w:rsidRDefault="00F60A1E" w:rsidP="00F60A1E">
      <w:pPr>
        <w:widowControl w:val="0"/>
        <w:spacing w:before="0" w:after="0" w:line="240" w:lineRule="auto"/>
      </w:pPr>
    </w:p>
    <w:p w:rsidR="00F60A1E" w:rsidRPr="00A36DEB" w:rsidRDefault="00F60A1E" w:rsidP="00F60A1E">
      <w:pPr>
        <w:widowControl w:val="0"/>
        <w:spacing w:before="0" w:after="0" w:line="240" w:lineRule="auto"/>
      </w:pPr>
      <w:r w:rsidRPr="00A36DEB">
        <w:t xml:space="preserve">SMEV </w:t>
      </w:r>
      <w:r w:rsidRPr="00A36DEB">
        <w:tab/>
      </w:r>
      <w:r w:rsidRPr="00A36DEB">
        <w:tab/>
        <w:t>The service of unaccompanied European children in vulnerable situations</w:t>
      </w:r>
    </w:p>
    <w:p w:rsidR="00F148E6" w:rsidRPr="00660C9C" w:rsidRDefault="00F148E6" w:rsidP="00660C9C"/>
    <w:bookmarkEnd w:id="4"/>
    <w:p w:rsidR="00660C9C" w:rsidRPr="00660C9C" w:rsidRDefault="00660C9C" w:rsidP="00660C9C"/>
    <w:p w:rsidR="00660C9C" w:rsidRPr="00660C9C" w:rsidRDefault="00660C9C" w:rsidP="00660C9C"/>
    <w:p w:rsidR="00D17D9A" w:rsidRPr="00660C9C" w:rsidRDefault="00D17D9A" w:rsidP="00660C9C">
      <w:pPr>
        <w:sectPr w:rsidR="00D17D9A" w:rsidRPr="00660C9C" w:rsidSect="00525433">
          <w:headerReference w:type="default" r:id="rId13"/>
          <w:footerReference w:type="default" r:id="rId14"/>
          <w:headerReference w:type="first" r:id="rId15"/>
          <w:footerReference w:type="first" r:id="rId16"/>
          <w:pgSz w:w="11907" w:h="16840" w:code="9"/>
          <w:pgMar w:top="1848" w:right="1418" w:bottom="1021" w:left="1418" w:header="680" w:footer="567" w:gutter="0"/>
          <w:pgNumType w:fmt="lowerRoman" w:start="1"/>
          <w:cols w:space="708"/>
          <w:titlePg/>
          <w:docGrid w:linePitch="360"/>
        </w:sectPr>
      </w:pPr>
    </w:p>
    <w:p w:rsidR="00660C9C" w:rsidRDefault="00660C9C" w:rsidP="00660C9C">
      <w:pPr>
        <w:pStyle w:val="Heading1"/>
      </w:pPr>
      <w:bookmarkStart w:id="10" w:name="_Toc401219644"/>
      <w:bookmarkStart w:id="11" w:name="_Toc401221472"/>
      <w:bookmarkStart w:id="12" w:name="_Toc401221549"/>
      <w:bookmarkStart w:id="13" w:name="_Toc401232305"/>
      <w:bookmarkStart w:id="14" w:name="_Toc401232460"/>
      <w:bookmarkStart w:id="15" w:name="_Toc401654865"/>
      <w:bookmarkStart w:id="16" w:name="_Toc401070014"/>
      <w:bookmarkStart w:id="17" w:name="_Toc336262933"/>
      <w:bookmarkStart w:id="18" w:name="_Toc334778901"/>
      <w:bookmarkStart w:id="19" w:name="_Toc336332184"/>
      <w:bookmarkStart w:id="20" w:name="_Toc409792179"/>
      <w:bookmarkEnd w:id="5"/>
      <w:r w:rsidRPr="0022162F">
        <w:lastRenderedPageBreak/>
        <w:t>Introduction</w:t>
      </w:r>
      <w:bookmarkEnd w:id="10"/>
      <w:bookmarkEnd w:id="11"/>
      <w:bookmarkEnd w:id="12"/>
      <w:bookmarkEnd w:id="13"/>
      <w:bookmarkEnd w:id="14"/>
      <w:bookmarkEnd w:id="15"/>
      <w:bookmarkEnd w:id="20"/>
      <w:r w:rsidRPr="0022162F">
        <w:t xml:space="preserve"> </w:t>
      </w:r>
    </w:p>
    <w:p w:rsidR="00660C9C" w:rsidRDefault="00660C9C" w:rsidP="00227001">
      <w:pPr>
        <w:pStyle w:val="Heading3NoNumb"/>
        <w:ind w:firstLine="851"/>
      </w:pPr>
      <w:bookmarkStart w:id="21" w:name="_Toc401219645"/>
      <w:bookmarkStart w:id="22" w:name="_Toc401221473"/>
      <w:bookmarkStart w:id="23" w:name="_Toc401221550"/>
      <w:bookmarkStart w:id="24" w:name="_Toc401654866"/>
      <w:bookmarkStart w:id="25" w:name="_Toc409792180"/>
      <w:r>
        <w:t xml:space="preserve">Introduction </w:t>
      </w:r>
      <w:r w:rsidRPr="0022162F">
        <w:t>and context</w:t>
      </w:r>
      <w:bookmarkEnd w:id="16"/>
      <w:bookmarkEnd w:id="21"/>
      <w:bookmarkEnd w:id="22"/>
      <w:bookmarkEnd w:id="23"/>
      <w:bookmarkEnd w:id="24"/>
      <w:bookmarkEnd w:id="25"/>
    </w:p>
    <w:p w:rsidR="00660C9C" w:rsidRPr="00A62D58" w:rsidRDefault="00660C9C" w:rsidP="00960EC3">
      <w:pPr>
        <w:widowControl w:val="0"/>
        <w:spacing w:before="0" w:after="0" w:line="240" w:lineRule="auto"/>
        <w:ind w:left="851"/>
        <w:jc w:val="both"/>
      </w:pPr>
      <w:r w:rsidRPr="00A62D58">
        <w:rPr>
          <w:color w:val="000000"/>
        </w:rPr>
        <w:t>The promotion and protection of the rights of the child is one of the objectives of the EU on which the Treaty of Lisbon has put further emphasis. This report is part of a study ‘to collect data on children’s involvement in judicial proceedings in the EU’ which supports the implementation of the Commission Communication of 15 February 2011 ‘</w:t>
      </w:r>
      <w:hyperlink r:id="rId17" w:history="1">
        <w:r w:rsidRPr="006E3206">
          <w:rPr>
            <w:rStyle w:val="Hyperlink"/>
            <w:rFonts w:cs="Arial"/>
          </w:rPr>
          <w:t>An EU Agenda for the rights of the child’</w:t>
        </w:r>
      </w:hyperlink>
      <w:r w:rsidRPr="00A62D58">
        <w:rPr>
          <w:color w:val="000000"/>
        </w:rPr>
        <w:t xml:space="preserve">, </w:t>
      </w:r>
      <w:r>
        <w:rPr>
          <w:color w:val="000000"/>
        </w:rPr>
        <w:t>which</w:t>
      </w:r>
      <w:r w:rsidRPr="00A62D58">
        <w:rPr>
          <w:color w:val="000000"/>
        </w:rPr>
        <w:t xml:space="preserve"> identified the lack of reliable, comparable and official data on the situation of children in the Member States (MS). This deficiency is a serious obstacle to the development and implementation of evidence-based policies and is particularly evident in the context of child friendly justice and the protection of children in vulnerable situations. Making the justice system more child friendly in Europe is a key action of the EU Agenda. It is an area of high practical relevance where the EU has, under the Treaties, competences to turn the rights of the child into reality by means of EU legislation. Improved data is crucial to the framing of such legislation.</w:t>
      </w:r>
    </w:p>
    <w:p w:rsidR="00660C9C" w:rsidRDefault="00660C9C" w:rsidP="00960EC3">
      <w:pPr>
        <w:widowControl w:val="0"/>
        <w:spacing w:before="0" w:after="0" w:line="240" w:lineRule="auto"/>
        <w:ind w:left="851"/>
        <w:jc w:val="both"/>
      </w:pPr>
    </w:p>
    <w:p w:rsidR="00660C9C" w:rsidRDefault="00660C9C" w:rsidP="00960EC3">
      <w:pPr>
        <w:widowControl w:val="0"/>
        <w:spacing w:before="0" w:after="0" w:line="240" w:lineRule="auto"/>
        <w:ind w:left="851"/>
        <w:jc w:val="both"/>
      </w:pPr>
      <w:r w:rsidRPr="008B742E">
        <w:t xml:space="preserve">The objective of this </w:t>
      </w:r>
      <w:r>
        <w:t>study</w:t>
      </w:r>
      <w:r w:rsidRPr="008B742E">
        <w:t xml:space="preserve"> is</w:t>
      </w:r>
      <w:r>
        <w:t>:</w:t>
      </w:r>
    </w:p>
    <w:p w:rsidR="00660C9C" w:rsidRDefault="00660C9C" w:rsidP="00660C9C">
      <w:pPr>
        <w:widowControl w:val="0"/>
        <w:spacing w:before="0" w:after="0" w:line="240" w:lineRule="auto"/>
        <w:jc w:val="both"/>
      </w:pPr>
    </w:p>
    <w:p w:rsidR="00660C9C" w:rsidRDefault="00660C9C" w:rsidP="00960EC3">
      <w:pPr>
        <w:pStyle w:val="BTBullet1"/>
      </w:pPr>
      <w:r w:rsidRPr="00B11945">
        <w:t xml:space="preserve">to establish statistics and collect data based on structural, process and outcome indicators on children involved in </w:t>
      </w:r>
      <w:r>
        <w:t>administrative</w:t>
      </w:r>
      <w:r w:rsidRPr="00B11945">
        <w:t xml:space="preserve"> judicial proceedings for the years 2008-2010 (and 2011 if available) for all 28 EU Member States</w:t>
      </w:r>
      <w:r>
        <w:t>;</w:t>
      </w:r>
    </w:p>
    <w:p w:rsidR="00660C9C" w:rsidRPr="00B11945" w:rsidRDefault="00660C9C" w:rsidP="00960EC3">
      <w:pPr>
        <w:pStyle w:val="BTBullet1"/>
      </w:pPr>
      <w:r w:rsidRPr="00B11945">
        <w:t xml:space="preserve">to provide a narrative overview of children's involvement in </w:t>
      </w:r>
      <w:r>
        <w:t>administrative</w:t>
      </w:r>
      <w:r w:rsidRPr="00B11945">
        <w:t xml:space="preserve"> judicial proceedings in the EU.</w:t>
      </w:r>
      <w:r w:rsidRPr="00A62D58">
        <w:rPr>
          <w:lang w:val="en-US"/>
        </w:rPr>
        <w:t xml:space="preserve"> </w:t>
      </w:r>
      <w:r w:rsidRPr="002F16F8">
        <w:rPr>
          <w:lang w:val="en-US"/>
        </w:rPr>
        <w:t xml:space="preserve">The </w:t>
      </w:r>
      <w:r>
        <w:rPr>
          <w:lang w:val="en-US"/>
        </w:rPr>
        <w:t>report</w:t>
      </w:r>
      <w:r w:rsidRPr="002F16F8">
        <w:rPr>
          <w:lang w:val="en-US"/>
        </w:rPr>
        <w:t xml:space="preserve"> describes the situation in each Member State as at 1 June 2012.</w:t>
      </w:r>
    </w:p>
    <w:p w:rsidR="00660C9C" w:rsidRPr="008B742E" w:rsidRDefault="00660C9C" w:rsidP="00660C9C">
      <w:pPr>
        <w:widowControl w:val="0"/>
        <w:spacing w:before="0" w:after="0" w:line="240" w:lineRule="auto"/>
        <w:jc w:val="both"/>
      </w:pPr>
    </w:p>
    <w:p w:rsidR="00660C9C" w:rsidRPr="00EE2A4C" w:rsidRDefault="00660C9C" w:rsidP="00F60A1E">
      <w:pPr>
        <w:tabs>
          <w:tab w:val="left" w:pos="2442"/>
        </w:tabs>
        <w:spacing w:before="0" w:after="0" w:line="240" w:lineRule="auto"/>
        <w:ind w:left="851"/>
        <w:jc w:val="both"/>
        <w:rPr>
          <w:lang w:val="en-US"/>
        </w:rPr>
      </w:pPr>
      <w:r w:rsidRPr="00397F2C">
        <w:rPr>
          <w:lang w:val="en-US"/>
        </w:rPr>
        <w:t xml:space="preserve">This </w:t>
      </w:r>
      <w:r>
        <w:rPr>
          <w:lang w:val="en-US"/>
        </w:rPr>
        <w:t>report</w:t>
      </w:r>
      <w:r w:rsidRPr="00397F2C">
        <w:rPr>
          <w:lang w:val="en-US"/>
        </w:rPr>
        <w:t xml:space="preserve"> </w:t>
      </w:r>
      <w:r>
        <w:rPr>
          <w:lang w:val="en-US"/>
        </w:rPr>
        <w:t>examines the</w:t>
      </w:r>
      <w:r w:rsidRPr="00397F2C">
        <w:rPr>
          <w:lang w:val="en-US"/>
        </w:rPr>
        <w:t xml:space="preserve"> </w:t>
      </w:r>
      <w:r>
        <w:rPr>
          <w:lang w:val="en-US"/>
        </w:rPr>
        <w:t xml:space="preserve">safeguards in place for </w:t>
      </w:r>
      <w:r w:rsidRPr="00397F2C">
        <w:rPr>
          <w:lang w:val="en-US"/>
        </w:rPr>
        <w:t>children</w:t>
      </w:r>
      <w:r>
        <w:rPr>
          <w:lang w:val="en-US"/>
        </w:rPr>
        <w:t xml:space="preserve"> involved </w:t>
      </w:r>
      <w:r w:rsidRPr="00397F2C">
        <w:rPr>
          <w:lang w:val="en-US"/>
        </w:rPr>
        <w:t xml:space="preserve">in </w:t>
      </w:r>
      <w:r w:rsidRPr="00EE2A4C">
        <w:rPr>
          <w:b/>
          <w:lang w:val="en-US"/>
        </w:rPr>
        <w:t>administrative</w:t>
      </w:r>
      <w:r w:rsidRPr="00397F2C">
        <w:rPr>
          <w:b/>
          <w:lang w:val="en-US"/>
        </w:rPr>
        <w:t xml:space="preserve"> judicial proceedings</w:t>
      </w:r>
      <w:r w:rsidRPr="00397F2C">
        <w:rPr>
          <w:lang w:val="en-US"/>
        </w:rPr>
        <w:t xml:space="preserve">. </w:t>
      </w:r>
      <w:r w:rsidRPr="002F16F8">
        <w:rPr>
          <w:lang w:val="en-US"/>
        </w:rPr>
        <w:t xml:space="preserve">The </w:t>
      </w:r>
      <w:hyperlink r:id="rId18" w:history="1">
        <w:r w:rsidRPr="00654B0E">
          <w:rPr>
            <w:rStyle w:val="Hyperlink"/>
            <w:rFonts w:cs="Arial"/>
            <w:lang w:val="en-US"/>
          </w:rPr>
          <w:t>Council of Europe Guidelines on child-friendly justice</w:t>
        </w:r>
      </w:hyperlink>
      <w:r w:rsidRPr="002F16F8">
        <w:rPr>
          <w:lang w:val="en-US"/>
        </w:rPr>
        <w:t xml:space="preserve"> serve as a</w:t>
      </w:r>
      <w:r>
        <w:rPr>
          <w:lang w:val="en-US"/>
        </w:rPr>
        <w:t xml:space="preserve"> basis </w:t>
      </w:r>
      <w:r w:rsidRPr="002F16F8">
        <w:rPr>
          <w:lang w:val="en-US"/>
        </w:rPr>
        <w:t>for the analysis of the provisions affecting</w:t>
      </w:r>
      <w:r>
        <w:rPr>
          <w:lang w:val="en-US"/>
        </w:rPr>
        <w:t xml:space="preserve"> </w:t>
      </w:r>
      <w:r w:rsidRPr="002F16F8">
        <w:rPr>
          <w:lang w:val="en-US"/>
        </w:rPr>
        <w:t>children in civil judicial proceedings in each Member State.</w:t>
      </w:r>
      <w:r>
        <w:rPr>
          <w:lang w:val="en-US"/>
        </w:rPr>
        <w:t xml:space="preserve"> </w:t>
      </w:r>
    </w:p>
    <w:p w:rsidR="00660C9C" w:rsidRPr="000D323B" w:rsidRDefault="00660C9C" w:rsidP="00227001">
      <w:pPr>
        <w:pStyle w:val="Heading3NoNumb"/>
        <w:ind w:firstLine="851"/>
      </w:pPr>
      <w:bookmarkStart w:id="26" w:name="_Toc401654867"/>
      <w:bookmarkStart w:id="27" w:name="_Toc409792181"/>
      <w:r w:rsidRPr="000D323B">
        <w:t>Structure and scope</w:t>
      </w:r>
      <w:bookmarkEnd w:id="26"/>
      <w:bookmarkEnd w:id="27"/>
    </w:p>
    <w:p w:rsidR="00660C9C" w:rsidRPr="00AF7175" w:rsidRDefault="00660C9C" w:rsidP="00960EC3">
      <w:pPr>
        <w:tabs>
          <w:tab w:val="left" w:pos="2442"/>
        </w:tabs>
        <w:spacing w:before="0" w:after="0" w:line="240" w:lineRule="auto"/>
        <w:ind w:left="851"/>
        <w:jc w:val="both"/>
        <w:rPr>
          <w:lang w:val="en-US"/>
        </w:rPr>
      </w:pPr>
    </w:p>
    <w:p w:rsidR="00660C9C" w:rsidRPr="00AF7175" w:rsidRDefault="00660C9C" w:rsidP="00960EC3">
      <w:pPr>
        <w:tabs>
          <w:tab w:val="left" w:pos="2442"/>
        </w:tabs>
        <w:spacing w:before="0" w:after="0" w:line="240" w:lineRule="auto"/>
        <w:ind w:left="851"/>
        <w:jc w:val="both"/>
        <w:rPr>
          <w:lang w:val="en-US"/>
        </w:rPr>
      </w:pPr>
      <w:r w:rsidRPr="002F16F8">
        <w:rPr>
          <w:lang w:val="en-US"/>
        </w:rPr>
        <w:t>Th</w:t>
      </w:r>
      <w:r>
        <w:rPr>
          <w:lang w:val="en-US"/>
        </w:rPr>
        <w:t xml:space="preserve">is report </w:t>
      </w:r>
      <w:r w:rsidRPr="002F16F8">
        <w:rPr>
          <w:lang w:val="en-US"/>
        </w:rPr>
        <w:t xml:space="preserve">describes the national </w:t>
      </w:r>
      <w:r>
        <w:rPr>
          <w:lang w:val="en-US"/>
        </w:rPr>
        <w:t>administrative</w:t>
      </w:r>
      <w:r w:rsidRPr="002F16F8">
        <w:rPr>
          <w:lang w:val="en-US"/>
        </w:rPr>
        <w:t xml:space="preserve"> justice system insofar as children’s involvement is concerned.</w:t>
      </w:r>
      <w:r>
        <w:rPr>
          <w:lang w:val="en-US"/>
        </w:rPr>
        <w:t xml:space="preserve"> </w:t>
      </w:r>
      <w:r w:rsidRPr="00AF7175">
        <w:rPr>
          <w:lang w:val="en-US"/>
        </w:rPr>
        <w:t xml:space="preserve">The scope of this report is </w:t>
      </w:r>
      <w:r w:rsidRPr="00EE2A4C">
        <w:rPr>
          <w:b/>
          <w:lang w:val="en-US"/>
        </w:rPr>
        <w:t>limited to judicial proceedings</w:t>
      </w:r>
      <w:r w:rsidRPr="00AF7175">
        <w:rPr>
          <w:lang w:val="en-US"/>
        </w:rPr>
        <w:t>, which include proceedings before judicial or other authorities competent to judicially decide on the matter. The rules applicable to proceedings before administrative authorities do not fall within the scope of this study. In addition to general administrative judicial proceedings, this report reviews the safeguards in place for children in seven specific sectors:</w:t>
      </w:r>
    </w:p>
    <w:p w:rsidR="00660C9C" w:rsidRPr="00AF7175" w:rsidRDefault="00660C9C" w:rsidP="00960EC3">
      <w:pPr>
        <w:tabs>
          <w:tab w:val="left" w:pos="2442"/>
        </w:tabs>
        <w:spacing w:before="0" w:after="0" w:line="240" w:lineRule="auto"/>
        <w:ind w:left="851"/>
        <w:jc w:val="both"/>
        <w:rPr>
          <w:lang w:val="en-US"/>
        </w:rPr>
      </w:pPr>
      <w:r w:rsidRPr="00AF7175">
        <w:rPr>
          <w:lang w:val="en-US"/>
        </w:rPr>
        <w:tab/>
      </w:r>
    </w:p>
    <w:p w:rsidR="00660C9C" w:rsidRPr="00AF7175" w:rsidRDefault="00660C9C" w:rsidP="00960EC3">
      <w:pPr>
        <w:pStyle w:val="BTBullet1"/>
        <w:numPr>
          <w:ilvl w:val="0"/>
          <w:numId w:val="11"/>
        </w:numPr>
        <w:tabs>
          <w:tab w:val="clear" w:pos="340"/>
          <w:tab w:val="num" w:pos="1191"/>
        </w:tabs>
        <w:ind w:left="1191"/>
        <w:rPr>
          <w:lang w:val="en-US"/>
        </w:rPr>
      </w:pPr>
      <w:r w:rsidRPr="00AF7175">
        <w:rPr>
          <w:lang w:val="en-US"/>
        </w:rPr>
        <w:t>General rules applying to</w:t>
      </w:r>
      <w:r>
        <w:rPr>
          <w:lang w:val="en-US"/>
        </w:rPr>
        <w:t xml:space="preserve"> administrative</w:t>
      </w:r>
      <w:r w:rsidRPr="00AF7175">
        <w:rPr>
          <w:lang w:val="en-US"/>
        </w:rPr>
        <w:t xml:space="preserve"> judicial proceedings including judicial proceedings reviewing administrative authorities’ decisions;</w:t>
      </w:r>
    </w:p>
    <w:p w:rsidR="00660C9C" w:rsidRPr="00AF7175" w:rsidRDefault="00660C9C" w:rsidP="00960EC3">
      <w:pPr>
        <w:pStyle w:val="BTBullet1"/>
        <w:numPr>
          <w:ilvl w:val="0"/>
          <w:numId w:val="11"/>
        </w:numPr>
        <w:tabs>
          <w:tab w:val="clear" w:pos="340"/>
          <w:tab w:val="num" w:pos="1191"/>
        </w:tabs>
        <w:ind w:left="1191"/>
        <w:rPr>
          <w:lang w:val="en-US"/>
        </w:rPr>
      </w:pPr>
      <w:r w:rsidRPr="00AF7175">
        <w:rPr>
          <w:lang w:val="en-US"/>
        </w:rPr>
        <w:t>Judicial proceedings in the sector of asylum;</w:t>
      </w:r>
    </w:p>
    <w:p w:rsidR="00660C9C" w:rsidRPr="00AF7175" w:rsidRDefault="00660C9C" w:rsidP="00960EC3">
      <w:pPr>
        <w:pStyle w:val="BTBullet1"/>
        <w:numPr>
          <w:ilvl w:val="0"/>
          <w:numId w:val="11"/>
        </w:numPr>
        <w:tabs>
          <w:tab w:val="clear" w:pos="340"/>
          <w:tab w:val="num" w:pos="1191"/>
        </w:tabs>
        <w:ind w:left="1191"/>
        <w:rPr>
          <w:lang w:val="en-US"/>
        </w:rPr>
      </w:pPr>
      <w:r w:rsidRPr="00AF7175">
        <w:rPr>
          <w:lang w:val="en-US"/>
        </w:rPr>
        <w:t>Judicial proceedings in the sector of migration;</w:t>
      </w:r>
    </w:p>
    <w:p w:rsidR="00660C9C" w:rsidRPr="00AF7175" w:rsidRDefault="00660C9C" w:rsidP="00960EC3">
      <w:pPr>
        <w:pStyle w:val="BTBullet1"/>
        <w:numPr>
          <w:ilvl w:val="0"/>
          <w:numId w:val="11"/>
        </w:numPr>
        <w:tabs>
          <w:tab w:val="clear" w:pos="340"/>
          <w:tab w:val="num" w:pos="1191"/>
        </w:tabs>
        <w:ind w:left="1191"/>
        <w:rPr>
          <w:lang w:val="en-US"/>
        </w:rPr>
      </w:pPr>
      <w:r w:rsidRPr="00AF7175">
        <w:rPr>
          <w:lang w:val="en-US"/>
        </w:rPr>
        <w:t xml:space="preserve">Judicial proceedings in the sector of education; </w:t>
      </w:r>
    </w:p>
    <w:p w:rsidR="00660C9C" w:rsidRPr="00AF7175" w:rsidRDefault="00660C9C" w:rsidP="00960EC3">
      <w:pPr>
        <w:pStyle w:val="BTBullet1"/>
        <w:numPr>
          <w:ilvl w:val="0"/>
          <w:numId w:val="11"/>
        </w:numPr>
        <w:tabs>
          <w:tab w:val="clear" w:pos="340"/>
          <w:tab w:val="num" w:pos="1191"/>
        </w:tabs>
        <w:ind w:left="1191"/>
        <w:rPr>
          <w:lang w:val="en-US"/>
        </w:rPr>
      </w:pPr>
      <w:r w:rsidRPr="00AF7175">
        <w:rPr>
          <w:lang w:val="en-US"/>
        </w:rPr>
        <w:t>Judicial proceedings in the sector of health;</w:t>
      </w:r>
    </w:p>
    <w:p w:rsidR="00660C9C" w:rsidRPr="00AF7175" w:rsidRDefault="00660C9C" w:rsidP="00960EC3">
      <w:pPr>
        <w:pStyle w:val="BTBullet1"/>
        <w:numPr>
          <w:ilvl w:val="0"/>
          <w:numId w:val="11"/>
        </w:numPr>
        <w:tabs>
          <w:tab w:val="clear" w:pos="340"/>
          <w:tab w:val="num" w:pos="1191"/>
        </w:tabs>
        <w:ind w:left="1191"/>
        <w:rPr>
          <w:lang w:val="en-US"/>
        </w:rPr>
      </w:pPr>
      <w:r w:rsidRPr="00AF7175">
        <w:rPr>
          <w:lang w:val="en-US"/>
        </w:rPr>
        <w:t>Judicial proceedings in the sector of placement into care;</w:t>
      </w:r>
    </w:p>
    <w:p w:rsidR="00660C9C" w:rsidRPr="00AF7175" w:rsidRDefault="00660C9C" w:rsidP="00960EC3">
      <w:pPr>
        <w:pStyle w:val="BTBullet1"/>
        <w:numPr>
          <w:ilvl w:val="0"/>
          <w:numId w:val="11"/>
        </w:numPr>
        <w:tabs>
          <w:tab w:val="clear" w:pos="340"/>
          <w:tab w:val="num" w:pos="1191"/>
        </w:tabs>
        <w:ind w:left="1191"/>
        <w:rPr>
          <w:lang w:val="en-US"/>
        </w:rPr>
      </w:pPr>
      <w:r w:rsidRPr="00AF7175">
        <w:rPr>
          <w:lang w:val="en-US"/>
        </w:rPr>
        <w:t>Judicial proceedings in the sector of administrative sanctions;</w:t>
      </w:r>
    </w:p>
    <w:p w:rsidR="00660C9C" w:rsidRPr="00AF7175" w:rsidRDefault="00660C9C" w:rsidP="00960EC3">
      <w:pPr>
        <w:pStyle w:val="BTBullet1"/>
        <w:numPr>
          <w:ilvl w:val="0"/>
          <w:numId w:val="11"/>
        </w:numPr>
        <w:tabs>
          <w:tab w:val="clear" w:pos="340"/>
          <w:tab w:val="num" w:pos="1191"/>
        </w:tabs>
        <w:ind w:left="1191"/>
        <w:rPr>
          <w:lang w:val="en-US"/>
        </w:rPr>
      </w:pPr>
      <w:r w:rsidRPr="00AF7175">
        <w:rPr>
          <w:lang w:val="en-US"/>
        </w:rPr>
        <w:t>Judicial proceedings regarding offences committed by children below the age of criminal responsibility (MACR).</w:t>
      </w:r>
    </w:p>
    <w:p w:rsidR="00660C9C" w:rsidRPr="00AF7175" w:rsidRDefault="00660C9C" w:rsidP="00960EC3">
      <w:pPr>
        <w:spacing w:before="0" w:after="0" w:line="240" w:lineRule="auto"/>
        <w:ind w:left="851"/>
        <w:jc w:val="both"/>
        <w:rPr>
          <w:lang w:val="en-US"/>
        </w:rPr>
      </w:pPr>
    </w:p>
    <w:p w:rsidR="00660C9C" w:rsidRPr="00AF7175" w:rsidRDefault="00660C9C" w:rsidP="00960EC3">
      <w:pPr>
        <w:spacing w:before="0" w:after="0" w:line="240" w:lineRule="auto"/>
        <w:ind w:left="851"/>
        <w:jc w:val="both"/>
        <w:rPr>
          <w:lang w:val="en-US"/>
        </w:rPr>
      </w:pPr>
      <w:r w:rsidRPr="00AF7175">
        <w:rPr>
          <w:lang w:val="en-US"/>
        </w:rPr>
        <w:t>Depending o</w:t>
      </w:r>
      <w:r>
        <w:rPr>
          <w:lang w:val="en-US"/>
        </w:rPr>
        <w:t>n</w:t>
      </w:r>
      <w:r w:rsidRPr="00AF7175">
        <w:rPr>
          <w:lang w:val="en-US"/>
        </w:rPr>
        <w:t xml:space="preserve"> the Member State, judicial proceedings in those seven sectors may be dealt with by different courts through administrative, civil or criminal judicial proceedings. For example, in one Member State, decisions in the health sector may be dealt with by juvenile courts through civil judicial proceedings while in another Member State such decisions may be dealt with by administrative courts through administrative judicial proceedings. However</w:t>
      </w:r>
      <w:r>
        <w:rPr>
          <w:lang w:val="en-US"/>
        </w:rPr>
        <w:t>,</w:t>
      </w:r>
      <w:r w:rsidRPr="00AF7175">
        <w:rPr>
          <w:lang w:val="en-US"/>
        </w:rPr>
        <w:t xml:space="preserve"> for the sake of clarity and completeness</w:t>
      </w:r>
      <w:r>
        <w:rPr>
          <w:lang w:val="en-US"/>
        </w:rPr>
        <w:t>, and consistency from one country report to another,</w:t>
      </w:r>
      <w:r w:rsidRPr="00AF7175">
        <w:rPr>
          <w:lang w:val="en-US"/>
        </w:rPr>
        <w:t xml:space="preserve"> the rules applying to the judicial proceedings falling within the sectors mentioned above will be described in this</w:t>
      </w:r>
      <w:r>
        <w:rPr>
          <w:lang w:val="en-US"/>
        </w:rPr>
        <w:t xml:space="preserve"> administrative justice overview</w:t>
      </w:r>
      <w:r w:rsidRPr="00AF7175">
        <w:rPr>
          <w:lang w:val="en-US"/>
        </w:rPr>
        <w:t xml:space="preserve"> no matter whether they are dealt with through civil or administrative judicial proceedings. </w:t>
      </w:r>
    </w:p>
    <w:p w:rsidR="00660C9C" w:rsidRPr="00AF7175" w:rsidRDefault="00660C9C" w:rsidP="00660C9C">
      <w:pPr>
        <w:spacing w:before="0" w:after="0" w:line="240" w:lineRule="auto"/>
        <w:jc w:val="both"/>
        <w:rPr>
          <w:lang w:val="en-US"/>
        </w:rPr>
      </w:pPr>
    </w:p>
    <w:p w:rsidR="00660C9C" w:rsidRPr="00AF7175" w:rsidRDefault="00660C9C" w:rsidP="00960EC3">
      <w:pPr>
        <w:spacing w:before="0" w:after="0" w:line="240" w:lineRule="auto"/>
        <w:ind w:left="851"/>
        <w:jc w:val="both"/>
        <w:rPr>
          <w:lang w:val="en-US"/>
        </w:rPr>
      </w:pPr>
      <w:r w:rsidRPr="00EE2A4C">
        <w:rPr>
          <w:b/>
          <w:lang w:val="en-US"/>
        </w:rPr>
        <w:t>Chapter 1</w:t>
      </w:r>
      <w:r w:rsidRPr="00AF7175">
        <w:rPr>
          <w:lang w:val="en-US"/>
        </w:rPr>
        <w:t xml:space="preserve"> provides an overview of the Member State’s approach to children in administrative judicial proceedings and judicial proceedings in the above sectors. It includes a description of the competent authorities and services.</w:t>
      </w:r>
    </w:p>
    <w:p w:rsidR="00660C9C" w:rsidRPr="00AF7175" w:rsidRDefault="00660C9C" w:rsidP="00960EC3">
      <w:pPr>
        <w:spacing w:before="0" w:after="0" w:line="240" w:lineRule="auto"/>
        <w:ind w:left="851"/>
        <w:jc w:val="both"/>
        <w:rPr>
          <w:lang w:val="en-US"/>
        </w:rPr>
      </w:pPr>
    </w:p>
    <w:p w:rsidR="00660C9C" w:rsidRDefault="00660C9C" w:rsidP="00960EC3">
      <w:pPr>
        <w:spacing w:before="0" w:after="0" w:line="240" w:lineRule="auto"/>
        <w:ind w:left="851"/>
        <w:jc w:val="both"/>
        <w:rPr>
          <w:lang w:val="en-US"/>
        </w:rPr>
      </w:pPr>
      <w:r w:rsidRPr="00EE2A4C">
        <w:rPr>
          <w:b/>
          <w:lang w:val="en-US"/>
        </w:rPr>
        <w:t>Chapter 2</w:t>
      </w:r>
      <w:r w:rsidRPr="00AF7175">
        <w:rPr>
          <w:lang w:val="en-US"/>
        </w:rPr>
        <w:t xml:space="preserve"> of this report is divided in</w:t>
      </w:r>
      <w:r>
        <w:rPr>
          <w:lang w:val="en-US"/>
        </w:rPr>
        <w:t>to</w:t>
      </w:r>
      <w:r w:rsidRPr="00AF7175">
        <w:rPr>
          <w:lang w:val="en-US"/>
        </w:rPr>
        <w:t xml:space="preserve"> sections (2.1, 2.2</w:t>
      </w:r>
      <w:r>
        <w:rPr>
          <w:lang w:val="en-US"/>
        </w:rPr>
        <w:t>,</w:t>
      </w:r>
      <w:r w:rsidRPr="00AF7175">
        <w:rPr>
          <w:lang w:val="en-US"/>
        </w:rPr>
        <w:t xml:space="preserve"> etc.) according to the different safeguards examined (e.g. </w:t>
      </w:r>
      <w:r>
        <w:rPr>
          <w:lang w:val="en-US"/>
        </w:rPr>
        <w:t xml:space="preserve">the </w:t>
      </w:r>
      <w:r w:rsidRPr="00AF7175">
        <w:rPr>
          <w:lang w:val="en-US"/>
        </w:rPr>
        <w:t xml:space="preserve">right to be heard, </w:t>
      </w:r>
      <w:r>
        <w:rPr>
          <w:lang w:val="en-US"/>
        </w:rPr>
        <w:t xml:space="preserve">the </w:t>
      </w:r>
      <w:r w:rsidRPr="00AF7175">
        <w:rPr>
          <w:lang w:val="en-US"/>
        </w:rPr>
        <w:t>right to information</w:t>
      </w:r>
      <w:r>
        <w:rPr>
          <w:lang w:val="en-US"/>
        </w:rPr>
        <w:t>,</w:t>
      </w:r>
      <w:r w:rsidRPr="00AF7175">
        <w:rPr>
          <w:lang w:val="en-US"/>
        </w:rPr>
        <w:t xml:space="preserve"> etc.). Each of these sections is divided in</w:t>
      </w:r>
      <w:r>
        <w:rPr>
          <w:lang w:val="en-US"/>
        </w:rPr>
        <w:t>to</w:t>
      </w:r>
      <w:r w:rsidRPr="00AF7175">
        <w:rPr>
          <w:lang w:val="en-US"/>
        </w:rPr>
        <w:t xml:space="preserve"> subsections describing the different rules applying to children involved in those judicial proceedings. The first subsection describes the general rules applying to judicial proceedings (including judicial proceedings reviewing administrative authorities’ decisions). </w:t>
      </w:r>
    </w:p>
    <w:p w:rsidR="00660C9C" w:rsidRDefault="00660C9C" w:rsidP="00960EC3">
      <w:pPr>
        <w:spacing w:before="0" w:after="0" w:line="240" w:lineRule="auto"/>
        <w:ind w:left="851"/>
        <w:jc w:val="both"/>
        <w:rPr>
          <w:lang w:val="en-US"/>
        </w:rPr>
      </w:pPr>
    </w:p>
    <w:p w:rsidR="00660C9C" w:rsidRPr="00E0202F" w:rsidRDefault="00660C9C" w:rsidP="00227001">
      <w:pPr>
        <w:pBdr>
          <w:top w:val="single" w:sz="4" w:space="1" w:color="auto"/>
          <w:left w:val="single" w:sz="4" w:space="4" w:color="auto"/>
          <w:bottom w:val="single" w:sz="4" w:space="1" w:color="auto"/>
          <w:right w:val="single" w:sz="4" w:space="4" w:color="auto"/>
        </w:pBdr>
        <w:spacing w:before="0" w:after="0" w:line="240" w:lineRule="auto"/>
        <w:ind w:left="851"/>
        <w:jc w:val="center"/>
        <w:rPr>
          <w:b/>
          <w:lang w:val="en-US"/>
        </w:rPr>
      </w:pPr>
      <w:r w:rsidRPr="00E0202F">
        <w:rPr>
          <w:b/>
          <w:lang w:val="en-US"/>
        </w:rPr>
        <w:t>NOTE:</w:t>
      </w:r>
    </w:p>
    <w:p w:rsidR="00660C9C" w:rsidRPr="00E0202F" w:rsidRDefault="00660C9C" w:rsidP="00227001">
      <w:pPr>
        <w:pBdr>
          <w:top w:val="single" w:sz="4" w:space="1" w:color="auto"/>
          <w:left w:val="single" w:sz="4" w:space="4" w:color="auto"/>
          <w:bottom w:val="single" w:sz="4" w:space="1" w:color="auto"/>
          <w:right w:val="single" w:sz="4" w:space="4" w:color="auto"/>
        </w:pBdr>
        <w:spacing w:before="0" w:after="0" w:line="240" w:lineRule="auto"/>
        <w:ind w:left="851"/>
        <w:jc w:val="both"/>
        <w:rPr>
          <w:b/>
          <w:lang w:val="en-US"/>
        </w:rPr>
      </w:pPr>
      <w:r w:rsidRPr="00E0202F">
        <w:rPr>
          <w:b/>
          <w:lang w:val="en-US"/>
        </w:rPr>
        <w:t xml:space="preserve">If specific rules exist for children involved in judicial proceedings in one of the seven specific sectors, e.g. asylum, migration, education, those rules will be described in further separate subsections. On the contrary, if no specific rules exist in those sectors, the general rules described in the first subsection will be the only rules described. </w:t>
      </w:r>
    </w:p>
    <w:p w:rsidR="00660C9C" w:rsidRPr="00AF7175" w:rsidRDefault="00660C9C" w:rsidP="00960EC3">
      <w:pPr>
        <w:spacing w:before="0" w:after="0" w:line="240" w:lineRule="auto"/>
        <w:ind w:left="851"/>
        <w:jc w:val="both"/>
        <w:rPr>
          <w:lang w:val="en-US"/>
        </w:rPr>
      </w:pPr>
    </w:p>
    <w:p w:rsidR="00660C9C" w:rsidRPr="00AF7175" w:rsidRDefault="00660C9C" w:rsidP="00960EC3">
      <w:pPr>
        <w:spacing w:before="0" w:after="0" w:line="240" w:lineRule="auto"/>
        <w:ind w:left="851"/>
        <w:jc w:val="both"/>
        <w:rPr>
          <w:lang w:val="en-US"/>
        </w:rPr>
      </w:pPr>
      <w:r w:rsidRPr="00AF7175">
        <w:rPr>
          <w:lang w:val="en-US"/>
        </w:rPr>
        <w:t>According to each Member State’s legislation</w:t>
      </w:r>
      <w:r>
        <w:rPr>
          <w:lang w:val="en-US"/>
        </w:rPr>
        <w:t>,</w:t>
      </w:r>
      <w:r w:rsidRPr="00AF7175">
        <w:rPr>
          <w:lang w:val="en-US"/>
        </w:rPr>
        <w:t xml:space="preserve"> there might be </w:t>
      </w:r>
      <w:r w:rsidRPr="00EE2A4C">
        <w:rPr>
          <w:b/>
          <w:lang w:val="en-US"/>
        </w:rPr>
        <w:t>cross references between civil procedural rules and administrative procedural rules</w:t>
      </w:r>
      <w:r w:rsidRPr="00AF7175">
        <w:rPr>
          <w:lang w:val="en-US"/>
        </w:rPr>
        <w:t xml:space="preserve">. Therefore it should be noted that:  </w:t>
      </w:r>
    </w:p>
    <w:p w:rsidR="00660C9C" w:rsidRPr="00AF7175" w:rsidRDefault="00660C9C" w:rsidP="00960EC3">
      <w:pPr>
        <w:spacing w:before="0" w:after="0" w:line="240" w:lineRule="auto"/>
        <w:ind w:left="851"/>
        <w:jc w:val="both"/>
        <w:rPr>
          <w:lang w:val="en-US"/>
        </w:rPr>
      </w:pPr>
    </w:p>
    <w:p w:rsidR="00660C9C" w:rsidRPr="00AF7175" w:rsidRDefault="00660C9C" w:rsidP="00960EC3">
      <w:pPr>
        <w:pStyle w:val="BTBullet1"/>
        <w:numPr>
          <w:ilvl w:val="0"/>
          <w:numId w:val="11"/>
        </w:numPr>
        <w:tabs>
          <w:tab w:val="clear" w:pos="340"/>
          <w:tab w:val="num" w:pos="1191"/>
        </w:tabs>
        <w:ind w:left="1191"/>
        <w:rPr>
          <w:lang w:val="en-US"/>
        </w:rPr>
      </w:pPr>
      <w:r w:rsidRPr="00AF7175">
        <w:rPr>
          <w:lang w:val="en-US"/>
        </w:rPr>
        <w:t>General rules and principles codified in a substantive or procedural law code (e.g. Civil Code, Civil Procedural Code, Judicial Code) may apply to any proceeding before any court (e.g. rules concerning procedural capacity are likely to be described in the Civil Procedural Code, however those rules also apply to administrative judicial proceedings). These general rules and principles may be supplemented by sector specific procedural or substantive rules.</w:t>
      </w:r>
    </w:p>
    <w:p w:rsidR="00660C9C" w:rsidRPr="00AF7175" w:rsidRDefault="00660C9C" w:rsidP="00960EC3">
      <w:pPr>
        <w:pStyle w:val="BTBullet1"/>
        <w:numPr>
          <w:ilvl w:val="0"/>
          <w:numId w:val="11"/>
        </w:numPr>
        <w:tabs>
          <w:tab w:val="clear" w:pos="340"/>
          <w:tab w:val="num" w:pos="1191"/>
        </w:tabs>
        <w:ind w:left="1191"/>
        <w:rPr>
          <w:lang w:val="en-US"/>
        </w:rPr>
      </w:pPr>
      <w:r w:rsidRPr="00AF7175">
        <w:rPr>
          <w:lang w:val="en-US"/>
        </w:rPr>
        <w:t xml:space="preserve">Specific sections of Civil, Civil Procedural and Judicial Code may include rules specifically regulating administrative judicial proceedings or proceedings before other authorities competent to judicially decide on the matter (e.g. Chapter X of Civil Procedural Code laying down provisions on judicial review of administrative decisions).  </w:t>
      </w:r>
    </w:p>
    <w:p w:rsidR="00660C9C" w:rsidRPr="00AF7175" w:rsidRDefault="00660C9C" w:rsidP="00960EC3">
      <w:pPr>
        <w:pStyle w:val="BTBullet1"/>
        <w:numPr>
          <w:ilvl w:val="0"/>
          <w:numId w:val="11"/>
        </w:numPr>
        <w:tabs>
          <w:tab w:val="clear" w:pos="340"/>
          <w:tab w:val="num" w:pos="1191"/>
        </w:tabs>
        <w:ind w:left="1191"/>
        <w:rPr>
          <w:lang w:val="en-US"/>
        </w:rPr>
      </w:pPr>
      <w:r w:rsidRPr="00AF7175">
        <w:rPr>
          <w:lang w:val="en-US"/>
        </w:rPr>
        <w:t>Specific Administrative Code, Administrative Procedural Code or administrative procedurals laws may apply to administrative judicial proceedings or proceedings before other authorities competent to judicially decide on the matter.</w:t>
      </w:r>
    </w:p>
    <w:p w:rsidR="00660C9C" w:rsidRPr="00AF7175" w:rsidRDefault="00660C9C" w:rsidP="00960EC3">
      <w:pPr>
        <w:spacing w:before="0" w:after="0" w:line="240" w:lineRule="auto"/>
        <w:ind w:left="851"/>
        <w:jc w:val="both"/>
        <w:rPr>
          <w:lang w:val="en-US"/>
        </w:rPr>
      </w:pPr>
    </w:p>
    <w:p w:rsidR="00660C9C" w:rsidRDefault="00660C9C" w:rsidP="00960EC3">
      <w:pPr>
        <w:spacing w:before="0" w:after="0" w:line="240" w:lineRule="auto"/>
        <w:ind w:left="851"/>
        <w:jc w:val="both"/>
      </w:pPr>
      <w:r w:rsidRPr="00AF7175">
        <w:rPr>
          <w:lang w:val="en-US"/>
        </w:rPr>
        <w:t>The table below summarises the relevant proceedings and competent court in the sectors mentioned above. For the sake of completeness</w:t>
      </w:r>
      <w:r>
        <w:rPr>
          <w:lang w:val="en-US"/>
        </w:rPr>
        <w:t>,</w:t>
      </w:r>
      <w:r w:rsidRPr="00AF7175">
        <w:rPr>
          <w:lang w:val="en-US"/>
        </w:rPr>
        <w:t xml:space="preserve"> the table </w:t>
      </w:r>
      <w:r>
        <w:rPr>
          <w:lang w:val="en-US"/>
        </w:rPr>
        <w:t>includes the</w:t>
      </w:r>
      <w:r w:rsidRPr="00AF7175">
        <w:rPr>
          <w:lang w:val="en-US"/>
        </w:rPr>
        <w:t xml:space="preserve"> relevant judicial proceedings and the competent court in </w:t>
      </w:r>
      <w:r>
        <w:rPr>
          <w:lang w:val="en-US"/>
        </w:rPr>
        <w:t>the field of</w:t>
      </w:r>
      <w:r w:rsidRPr="00AF7175">
        <w:rPr>
          <w:lang w:val="en-US"/>
        </w:rPr>
        <w:t xml:space="preserve"> family</w:t>
      </w:r>
      <w:r>
        <w:rPr>
          <w:lang w:val="en-US"/>
        </w:rPr>
        <w:t xml:space="preserve"> law</w:t>
      </w:r>
      <w:r w:rsidRPr="00AF7175">
        <w:rPr>
          <w:lang w:val="en-US"/>
        </w:rPr>
        <w:t xml:space="preserve"> and employment</w:t>
      </w:r>
      <w:r>
        <w:rPr>
          <w:lang w:val="en-US"/>
        </w:rPr>
        <w:t xml:space="preserve"> law, which are </w:t>
      </w:r>
      <w:r w:rsidRPr="00AF7175">
        <w:rPr>
          <w:lang w:val="en-US"/>
        </w:rPr>
        <w:t xml:space="preserve">described in the </w:t>
      </w:r>
      <w:hyperlink r:id="rId19" w:history="1">
        <w:r w:rsidRPr="00AE7830">
          <w:rPr>
            <w:rStyle w:val="Hyperlink"/>
            <w:rFonts w:cs="Arial"/>
            <w:b/>
            <w:lang w:val="en-US"/>
          </w:rPr>
          <w:t>overview for civil justice</w:t>
        </w:r>
      </w:hyperlink>
      <w:r w:rsidRPr="00AF7175">
        <w:rPr>
          <w:lang w:val="en-US"/>
        </w:rPr>
        <w:t>.</w:t>
      </w:r>
    </w:p>
    <w:p w:rsidR="00660C9C" w:rsidRDefault="00660C9C" w:rsidP="00660C9C">
      <w:pPr>
        <w:pStyle w:val="Otherheading1"/>
        <w:keepNext w:val="0"/>
        <w:widowControl w:val="0"/>
        <w:spacing w:before="0" w:after="0"/>
        <w:jc w:val="both"/>
        <w:rPr>
          <w:caps w:val="0"/>
          <w:color w:val="auto"/>
          <w:lang w:val="en-GB"/>
        </w:rPr>
      </w:pPr>
    </w:p>
    <w:p w:rsidR="00660C9C" w:rsidRDefault="00660C9C" w:rsidP="00660C9C">
      <w:pPr>
        <w:pStyle w:val="Otherheading1"/>
        <w:keepNext w:val="0"/>
        <w:widowControl w:val="0"/>
        <w:spacing w:before="0" w:after="0"/>
        <w:jc w:val="both"/>
        <w:rPr>
          <w:caps w:val="0"/>
          <w:color w:val="auto"/>
          <w:lang w:val="en-GB"/>
        </w:rPr>
      </w:pPr>
    </w:p>
    <w:p w:rsidR="00660C9C" w:rsidRDefault="00660C9C" w:rsidP="00660C9C">
      <w:pPr>
        <w:pStyle w:val="Otherheading1"/>
        <w:keepNext w:val="0"/>
        <w:widowControl w:val="0"/>
        <w:spacing w:before="0" w:after="0"/>
        <w:jc w:val="both"/>
        <w:rPr>
          <w:caps w:val="0"/>
          <w:color w:val="auto"/>
          <w:lang w:val="en-GB"/>
        </w:rPr>
      </w:pPr>
    </w:p>
    <w:p w:rsidR="00660C9C" w:rsidRDefault="00660C9C" w:rsidP="00660C9C">
      <w:pPr>
        <w:pStyle w:val="BodyText"/>
        <w:sectPr w:rsidR="00660C9C" w:rsidSect="00525433">
          <w:headerReference w:type="default" r:id="rId20"/>
          <w:footerReference w:type="default" r:id="rId21"/>
          <w:pgSz w:w="11907" w:h="16840" w:code="9"/>
          <w:pgMar w:top="1418" w:right="1418" w:bottom="1021" w:left="1418" w:header="680" w:footer="567" w:gutter="0"/>
          <w:pgNumType w:start="1"/>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7"/>
        <w:gridCol w:w="1079"/>
        <w:gridCol w:w="1337"/>
        <w:gridCol w:w="1372"/>
        <w:gridCol w:w="1502"/>
        <w:gridCol w:w="1502"/>
        <w:gridCol w:w="1502"/>
        <w:gridCol w:w="1502"/>
        <w:gridCol w:w="1502"/>
        <w:gridCol w:w="1491"/>
      </w:tblGrid>
      <w:tr w:rsidR="00F60A1E" w:rsidTr="00F60A1E">
        <w:trPr>
          <w:trHeight w:val="833"/>
        </w:trPr>
        <w:tc>
          <w:tcPr>
            <w:tcW w:w="5000" w:type="pct"/>
            <w:gridSpan w:val="10"/>
            <w:tcBorders>
              <w:top w:val="single" w:sz="4" w:space="0" w:color="auto"/>
              <w:left w:val="single" w:sz="4" w:space="0" w:color="auto"/>
              <w:bottom w:val="single" w:sz="4" w:space="0" w:color="auto"/>
              <w:right w:val="single" w:sz="4" w:space="0" w:color="auto"/>
            </w:tcBorders>
            <w:shd w:val="clear" w:color="auto" w:fill="DBE5F1"/>
            <w:vAlign w:val="center"/>
            <w:hideMark/>
          </w:tcPr>
          <w:p w:rsidR="00F60A1E" w:rsidRDefault="00F60A1E" w:rsidP="00F60A1E">
            <w:pPr>
              <w:spacing w:after="0" w:line="240" w:lineRule="auto"/>
              <w:jc w:val="center"/>
              <w:rPr>
                <w:b/>
              </w:rPr>
            </w:pPr>
            <w:r>
              <w:rPr>
                <w:b/>
              </w:rPr>
              <w:lastRenderedPageBreak/>
              <w:t>Type of judicial proceedings and court competence per sector</w:t>
            </w:r>
            <w:r>
              <w:rPr>
                <w:rStyle w:val="FootnoteReference"/>
                <w:b/>
              </w:rPr>
              <w:footnoteReference w:id="1"/>
            </w:r>
          </w:p>
        </w:tc>
      </w:tr>
      <w:tr w:rsidR="00F60A1E" w:rsidTr="00F60A1E">
        <w:trPr>
          <w:trHeight w:val="703"/>
        </w:trPr>
        <w:tc>
          <w:tcPr>
            <w:tcW w:w="438" w:type="pct"/>
            <w:tcBorders>
              <w:top w:val="single" w:sz="4" w:space="0" w:color="auto"/>
              <w:left w:val="single" w:sz="4" w:space="0" w:color="auto"/>
              <w:bottom w:val="single" w:sz="4" w:space="0" w:color="auto"/>
              <w:right w:val="single" w:sz="4" w:space="0" w:color="auto"/>
            </w:tcBorders>
            <w:shd w:val="clear" w:color="auto" w:fill="D6E3BC"/>
            <w:vAlign w:val="center"/>
          </w:tcPr>
          <w:p w:rsidR="00F60A1E" w:rsidRDefault="00F60A1E" w:rsidP="00F60A1E">
            <w:pPr>
              <w:spacing w:after="0" w:line="240" w:lineRule="auto"/>
              <w:jc w:val="center"/>
              <w:rPr>
                <w:b/>
              </w:rPr>
            </w:pPr>
          </w:p>
        </w:tc>
        <w:tc>
          <w:tcPr>
            <w:tcW w:w="376"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F60A1E" w:rsidRDefault="00F60A1E" w:rsidP="00F60A1E">
            <w:pPr>
              <w:spacing w:after="0" w:line="240" w:lineRule="auto"/>
              <w:jc w:val="center"/>
              <w:rPr>
                <w:b/>
                <w:sz w:val="16"/>
                <w:szCs w:val="16"/>
              </w:rPr>
            </w:pPr>
            <w:r>
              <w:rPr>
                <w:b/>
                <w:sz w:val="16"/>
                <w:szCs w:val="16"/>
              </w:rPr>
              <w:t>Contextual overview for civil justice</w:t>
            </w:r>
            <w:r>
              <w:rPr>
                <w:b/>
                <w:vertAlign w:val="superscript"/>
              </w:rPr>
              <w:footnoteReference w:id="2"/>
            </w:r>
          </w:p>
        </w:tc>
        <w:tc>
          <w:tcPr>
            <w:tcW w:w="435"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F60A1E" w:rsidRDefault="00F60A1E" w:rsidP="00F60A1E">
            <w:pPr>
              <w:spacing w:after="0" w:line="240" w:lineRule="auto"/>
              <w:jc w:val="center"/>
              <w:rPr>
                <w:b/>
                <w:sz w:val="16"/>
                <w:szCs w:val="16"/>
              </w:rPr>
            </w:pPr>
            <w:r>
              <w:rPr>
                <w:b/>
                <w:sz w:val="16"/>
                <w:szCs w:val="16"/>
              </w:rPr>
              <w:t>Contextual overview for civil justice</w:t>
            </w:r>
          </w:p>
        </w:tc>
        <w:tc>
          <w:tcPr>
            <w:tcW w:w="497"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F60A1E" w:rsidRDefault="00F60A1E" w:rsidP="00F60A1E">
            <w:pPr>
              <w:spacing w:after="0" w:line="240" w:lineRule="auto"/>
              <w:jc w:val="center"/>
              <w:rPr>
                <w:b/>
                <w:sz w:val="16"/>
                <w:szCs w:val="16"/>
              </w:rPr>
            </w:pPr>
            <w:r>
              <w:rPr>
                <w:b/>
                <w:sz w:val="16"/>
                <w:szCs w:val="16"/>
              </w:rPr>
              <w:t>Contextual overview for administrative justice</w:t>
            </w:r>
          </w:p>
        </w:tc>
        <w:tc>
          <w:tcPr>
            <w:tcW w:w="543"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F60A1E" w:rsidRDefault="00F60A1E" w:rsidP="00F60A1E">
            <w:pPr>
              <w:spacing w:after="0" w:line="240" w:lineRule="auto"/>
              <w:jc w:val="center"/>
              <w:rPr>
                <w:b/>
                <w:sz w:val="16"/>
                <w:szCs w:val="16"/>
              </w:rPr>
            </w:pPr>
            <w:r>
              <w:rPr>
                <w:b/>
                <w:sz w:val="16"/>
                <w:szCs w:val="16"/>
              </w:rPr>
              <w:t>Contextual overview for administrative justice</w:t>
            </w:r>
          </w:p>
        </w:tc>
        <w:tc>
          <w:tcPr>
            <w:tcW w:w="543"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F60A1E" w:rsidRDefault="00F60A1E" w:rsidP="00F60A1E">
            <w:pPr>
              <w:spacing w:after="0" w:line="240" w:lineRule="auto"/>
              <w:jc w:val="center"/>
              <w:rPr>
                <w:b/>
                <w:sz w:val="16"/>
                <w:szCs w:val="16"/>
              </w:rPr>
            </w:pPr>
            <w:r>
              <w:rPr>
                <w:b/>
                <w:sz w:val="16"/>
                <w:szCs w:val="16"/>
              </w:rPr>
              <w:t>Contextual overview for administrative justice</w:t>
            </w:r>
          </w:p>
        </w:tc>
        <w:tc>
          <w:tcPr>
            <w:tcW w:w="543"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F60A1E" w:rsidRDefault="00F60A1E" w:rsidP="00F60A1E">
            <w:pPr>
              <w:spacing w:after="0" w:line="240" w:lineRule="auto"/>
              <w:jc w:val="center"/>
              <w:rPr>
                <w:b/>
                <w:sz w:val="16"/>
                <w:szCs w:val="16"/>
              </w:rPr>
            </w:pPr>
            <w:r>
              <w:rPr>
                <w:b/>
                <w:sz w:val="16"/>
                <w:szCs w:val="16"/>
              </w:rPr>
              <w:t>Contextual overview for administrative justice</w:t>
            </w:r>
          </w:p>
        </w:tc>
        <w:tc>
          <w:tcPr>
            <w:tcW w:w="543"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F60A1E" w:rsidRDefault="00F60A1E" w:rsidP="00F60A1E">
            <w:pPr>
              <w:spacing w:after="0" w:line="240" w:lineRule="auto"/>
              <w:jc w:val="center"/>
              <w:rPr>
                <w:b/>
                <w:sz w:val="16"/>
                <w:szCs w:val="16"/>
              </w:rPr>
            </w:pPr>
            <w:r>
              <w:rPr>
                <w:b/>
                <w:sz w:val="16"/>
                <w:szCs w:val="16"/>
              </w:rPr>
              <w:t>Contextual overview for administrative justice</w:t>
            </w:r>
          </w:p>
        </w:tc>
        <w:tc>
          <w:tcPr>
            <w:tcW w:w="543"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F60A1E" w:rsidRDefault="00F60A1E" w:rsidP="00F60A1E">
            <w:pPr>
              <w:spacing w:after="0" w:line="240" w:lineRule="auto"/>
              <w:jc w:val="center"/>
              <w:rPr>
                <w:b/>
                <w:sz w:val="16"/>
                <w:szCs w:val="16"/>
              </w:rPr>
            </w:pPr>
            <w:r>
              <w:rPr>
                <w:b/>
                <w:sz w:val="16"/>
                <w:szCs w:val="16"/>
              </w:rPr>
              <w:t>Contextual overview for administrative justice</w:t>
            </w:r>
          </w:p>
        </w:tc>
        <w:tc>
          <w:tcPr>
            <w:tcW w:w="539"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F60A1E" w:rsidRDefault="00F60A1E" w:rsidP="00F60A1E">
            <w:pPr>
              <w:spacing w:after="0" w:line="240" w:lineRule="auto"/>
              <w:jc w:val="center"/>
              <w:rPr>
                <w:b/>
                <w:sz w:val="16"/>
                <w:szCs w:val="16"/>
              </w:rPr>
            </w:pPr>
            <w:r>
              <w:rPr>
                <w:b/>
                <w:sz w:val="16"/>
                <w:szCs w:val="16"/>
              </w:rPr>
              <w:t>Contextual overview for administrative justice</w:t>
            </w:r>
          </w:p>
        </w:tc>
      </w:tr>
      <w:tr w:rsidR="00F60A1E" w:rsidTr="00F60A1E">
        <w:trPr>
          <w:trHeight w:val="703"/>
        </w:trPr>
        <w:tc>
          <w:tcPr>
            <w:tcW w:w="438"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F60A1E" w:rsidRDefault="00F60A1E" w:rsidP="00F60A1E">
            <w:pPr>
              <w:spacing w:after="0" w:line="240" w:lineRule="auto"/>
              <w:jc w:val="center"/>
              <w:rPr>
                <w:b/>
                <w:sz w:val="16"/>
                <w:szCs w:val="16"/>
              </w:rPr>
            </w:pPr>
            <w:r>
              <w:rPr>
                <w:b/>
                <w:sz w:val="16"/>
                <w:szCs w:val="16"/>
              </w:rPr>
              <w:t>Sectors:</w:t>
            </w:r>
          </w:p>
        </w:tc>
        <w:tc>
          <w:tcPr>
            <w:tcW w:w="376"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F60A1E" w:rsidRDefault="00F60A1E" w:rsidP="00F60A1E">
            <w:pPr>
              <w:spacing w:after="0" w:line="240" w:lineRule="auto"/>
              <w:jc w:val="center"/>
              <w:rPr>
                <w:b/>
                <w:sz w:val="16"/>
                <w:szCs w:val="16"/>
              </w:rPr>
            </w:pPr>
            <w:r>
              <w:rPr>
                <w:b/>
                <w:sz w:val="16"/>
                <w:szCs w:val="16"/>
              </w:rPr>
              <w:t>Family</w:t>
            </w:r>
          </w:p>
        </w:tc>
        <w:tc>
          <w:tcPr>
            <w:tcW w:w="435"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F60A1E" w:rsidRDefault="00F60A1E" w:rsidP="00F60A1E">
            <w:pPr>
              <w:spacing w:after="0" w:line="240" w:lineRule="auto"/>
              <w:jc w:val="center"/>
              <w:rPr>
                <w:b/>
                <w:sz w:val="16"/>
                <w:szCs w:val="16"/>
              </w:rPr>
            </w:pPr>
            <w:r>
              <w:rPr>
                <w:b/>
                <w:sz w:val="16"/>
                <w:szCs w:val="16"/>
              </w:rPr>
              <w:t>Employment</w:t>
            </w:r>
          </w:p>
        </w:tc>
        <w:tc>
          <w:tcPr>
            <w:tcW w:w="497"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F60A1E" w:rsidRDefault="00F60A1E" w:rsidP="00F60A1E">
            <w:pPr>
              <w:spacing w:after="0" w:line="240" w:lineRule="auto"/>
              <w:jc w:val="center"/>
              <w:rPr>
                <w:b/>
                <w:sz w:val="16"/>
                <w:szCs w:val="16"/>
              </w:rPr>
            </w:pPr>
            <w:r>
              <w:rPr>
                <w:b/>
                <w:sz w:val="16"/>
                <w:szCs w:val="16"/>
              </w:rPr>
              <w:t>Asylum</w:t>
            </w:r>
          </w:p>
        </w:tc>
        <w:tc>
          <w:tcPr>
            <w:tcW w:w="543"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F60A1E" w:rsidRDefault="00F60A1E" w:rsidP="00F60A1E">
            <w:pPr>
              <w:spacing w:after="0" w:line="240" w:lineRule="auto"/>
              <w:jc w:val="center"/>
              <w:rPr>
                <w:b/>
                <w:sz w:val="16"/>
                <w:szCs w:val="16"/>
              </w:rPr>
            </w:pPr>
            <w:r>
              <w:rPr>
                <w:b/>
                <w:sz w:val="16"/>
                <w:szCs w:val="16"/>
              </w:rPr>
              <w:t>Migration</w:t>
            </w:r>
          </w:p>
        </w:tc>
        <w:tc>
          <w:tcPr>
            <w:tcW w:w="543"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F60A1E" w:rsidRDefault="00F60A1E" w:rsidP="00F60A1E">
            <w:pPr>
              <w:spacing w:after="0" w:line="240" w:lineRule="auto"/>
              <w:jc w:val="center"/>
              <w:rPr>
                <w:b/>
                <w:sz w:val="16"/>
                <w:szCs w:val="16"/>
              </w:rPr>
            </w:pPr>
            <w:r>
              <w:rPr>
                <w:b/>
                <w:sz w:val="16"/>
                <w:szCs w:val="16"/>
              </w:rPr>
              <w:t>Education</w:t>
            </w:r>
          </w:p>
        </w:tc>
        <w:tc>
          <w:tcPr>
            <w:tcW w:w="543"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F60A1E" w:rsidRDefault="00F60A1E" w:rsidP="00F60A1E">
            <w:pPr>
              <w:spacing w:after="0" w:line="240" w:lineRule="auto"/>
              <w:jc w:val="center"/>
              <w:rPr>
                <w:b/>
                <w:sz w:val="16"/>
                <w:szCs w:val="16"/>
              </w:rPr>
            </w:pPr>
            <w:r>
              <w:rPr>
                <w:b/>
                <w:sz w:val="16"/>
                <w:szCs w:val="16"/>
              </w:rPr>
              <w:t>Health</w:t>
            </w:r>
          </w:p>
        </w:tc>
        <w:tc>
          <w:tcPr>
            <w:tcW w:w="543"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F60A1E" w:rsidRDefault="00F60A1E" w:rsidP="00F60A1E">
            <w:pPr>
              <w:spacing w:after="0" w:line="240" w:lineRule="auto"/>
              <w:jc w:val="center"/>
              <w:rPr>
                <w:b/>
                <w:sz w:val="16"/>
                <w:szCs w:val="16"/>
              </w:rPr>
            </w:pPr>
            <w:r>
              <w:rPr>
                <w:b/>
                <w:sz w:val="16"/>
                <w:szCs w:val="16"/>
              </w:rPr>
              <w:t>Placement in care</w:t>
            </w:r>
          </w:p>
        </w:tc>
        <w:tc>
          <w:tcPr>
            <w:tcW w:w="543"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F60A1E" w:rsidRDefault="00F60A1E" w:rsidP="00F60A1E">
            <w:pPr>
              <w:spacing w:after="0" w:line="240" w:lineRule="auto"/>
              <w:jc w:val="center"/>
              <w:rPr>
                <w:b/>
                <w:sz w:val="16"/>
                <w:szCs w:val="16"/>
              </w:rPr>
            </w:pPr>
            <w:r>
              <w:rPr>
                <w:b/>
                <w:sz w:val="16"/>
                <w:szCs w:val="16"/>
              </w:rPr>
              <w:t>Administrative sanctions</w:t>
            </w:r>
          </w:p>
        </w:tc>
        <w:tc>
          <w:tcPr>
            <w:tcW w:w="539"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F60A1E" w:rsidRDefault="00F60A1E" w:rsidP="00F60A1E">
            <w:pPr>
              <w:spacing w:after="0" w:line="240" w:lineRule="auto"/>
              <w:jc w:val="center"/>
              <w:rPr>
                <w:b/>
                <w:sz w:val="16"/>
                <w:szCs w:val="16"/>
              </w:rPr>
            </w:pPr>
            <w:r>
              <w:rPr>
                <w:b/>
                <w:sz w:val="16"/>
                <w:szCs w:val="16"/>
              </w:rPr>
              <w:t>Offences &lt; MACR</w:t>
            </w:r>
            <w:r>
              <w:rPr>
                <w:b/>
                <w:sz w:val="16"/>
                <w:szCs w:val="16"/>
                <w:vertAlign w:val="superscript"/>
              </w:rPr>
              <w:footnoteReference w:id="3"/>
            </w:r>
          </w:p>
        </w:tc>
      </w:tr>
      <w:tr w:rsidR="00F60A1E" w:rsidTr="00F60A1E">
        <w:trPr>
          <w:trHeight w:val="1263"/>
        </w:trPr>
        <w:tc>
          <w:tcPr>
            <w:tcW w:w="438"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F60A1E" w:rsidRDefault="00F60A1E" w:rsidP="00F60A1E">
            <w:pPr>
              <w:spacing w:after="0" w:line="240" w:lineRule="auto"/>
              <w:jc w:val="center"/>
              <w:rPr>
                <w:b/>
                <w:sz w:val="16"/>
                <w:szCs w:val="16"/>
              </w:rPr>
            </w:pPr>
            <w:r>
              <w:rPr>
                <w:b/>
                <w:sz w:val="16"/>
                <w:szCs w:val="16"/>
              </w:rPr>
              <w:t>Type of proceeding applying in the sector</w:t>
            </w:r>
          </w:p>
        </w:tc>
        <w:tc>
          <w:tcPr>
            <w:tcW w:w="376" w:type="pct"/>
            <w:tcBorders>
              <w:top w:val="single" w:sz="4" w:space="0" w:color="auto"/>
              <w:left w:val="single" w:sz="4" w:space="0" w:color="auto"/>
              <w:bottom w:val="single" w:sz="4" w:space="0" w:color="auto"/>
              <w:right w:val="single" w:sz="4" w:space="0" w:color="auto"/>
            </w:tcBorders>
            <w:shd w:val="clear" w:color="auto" w:fill="FFFFFF"/>
            <w:vAlign w:val="center"/>
          </w:tcPr>
          <w:p w:rsidR="00F60A1E" w:rsidRPr="00C31F83" w:rsidRDefault="00F60A1E" w:rsidP="00F60A1E">
            <w:pPr>
              <w:spacing w:before="0" w:after="0" w:line="240" w:lineRule="auto"/>
              <w:rPr>
                <w:sz w:val="16"/>
                <w:szCs w:val="16"/>
              </w:rPr>
            </w:pPr>
            <w:r>
              <w:rPr>
                <w:sz w:val="16"/>
                <w:szCs w:val="16"/>
              </w:rPr>
              <w:t>Civil judicial proceeding</w:t>
            </w:r>
          </w:p>
        </w:tc>
        <w:tc>
          <w:tcPr>
            <w:tcW w:w="435" w:type="pct"/>
            <w:tcBorders>
              <w:top w:val="single" w:sz="4" w:space="0" w:color="auto"/>
              <w:left w:val="single" w:sz="4" w:space="0" w:color="auto"/>
              <w:bottom w:val="single" w:sz="4" w:space="0" w:color="auto"/>
              <w:right w:val="single" w:sz="4" w:space="0" w:color="auto"/>
            </w:tcBorders>
            <w:shd w:val="clear" w:color="auto" w:fill="FFFFFF"/>
            <w:vAlign w:val="center"/>
          </w:tcPr>
          <w:p w:rsidR="00F60A1E" w:rsidRPr="00C31F83" w:rsidRDefault="00F60A1E" w:rsidP="00F60A1E">
            <w:pPr>
              <w:spacing w:before="0" w:after="0" w:line="240" w:lineRule="auto"/>
              <w:rPr>
                <w:sz w:val="16"/>
                <w:szCs w:val="16"/>
              </w:rPr>
            </w:pPr>
            <w:r>
              <w:rPr>
                <w:sz w:val="16"/>
                <w:szCs w:val="16"/>
              </w:rPr>
              <w:t>Civil judicial proceeding</w:t>
            </w:r>
          </w:p>
        </w:tc>
        <w:tc>
          <w:tcPr>
            <w:tcW w:w="497" w:type="pct"/>
            <w:tcBorders>
              <w:top w:val="single" w:sz="4" w:space="0" w:color="auto"/>
              <w:left w:val="single" w:sz="4" w:space="0" w:color="auto"/>
              <w:bottom w:val="single" w:sz="4" w:space="0" w:color="auto"/>
              <w:right w:val="single" w:sz="4" w:space="0" w:color="auto"/>
            </w:tcBorders>
            <w:shd w:val="clear" w:color="auto" w:fill="FFFFFF"/>
            <w:vAlign w:val="center"/>
          </w:tcPr>
          <w:p w:rsidR="00F60A1E" w:rsidRPr="000907DA" w:rsidRDefault="00F60A1E" w:rsidP="00F60A1E">
            <w:pPr>
              <w:spacing w:before="0" w:after="0" w:line="240" w:lineRule="auto"/>
              <w:rPr>
                <w:sz w:val="16"/>
                <w:szCs w:val="16"/>
              </w:rPr>
            </w:pPr>
            <w:r w:rsidRPr="000907DA">
              <w:rPr>
                <w:sz w:val="16"/>
                <w:szCs w:val="16"/>
              </w:rPr>
              <w:t>Administrative judicial proceeding</w:t>
            </w: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rsidR="00F60A1E" w:rsidRPr="000907DA" w:rsidRDefault="00F60A1E" w:rsidP="00F60A1E">
            <w:pPr>
              <w:spacing w:before="0" w:after="0" w:line="240" w:lineRule="auto"/>
              <w:rPr>
                <w:sz w:val="16"/>
                <w:szCs w:val="16"/>
              </w:rPr>
            </w:pPr>
            <w:r w:rsidRPr="000907DA">
              <w:rPr>
                <w:sz w:val="16"/>
                <w:szCs w:val="16"/>
              </w:rPr>
              <w:t>Administrative judicial proceeding</w:t>
            </w: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rsidR="00F60A1E" w:rsidRPr="00303150" w:rsidRDefault="00F60A1E" w:rsidP="00F60A1E">
            <w:pPr>
              <w:spacing w:before="0" w:after="0" w:line="240" w:lineRule="auto"/>
              <w:rPr>
                <w:sz w:val="16"/>
                <w:szCs w:val="16"/>
              </w:rPr>
            </w:pPr>
            <w:r w:rsidRPr="00303150">
              <w:rPr>
                <w:sz w:val="16"/>
                <w:szCs w:val="16"/>
              </w:rPr>
              <w:t>Administrative judicial proceeding</w:t>
            </w: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rsidR="00F60A1E" w:rsidRPr="000907DA" w:rsidRDefault="00F60A1E" w:rsidP="00F60A1E">
            <w:pPr>
              <w:spacing w:before="0" w:after="0" w:line="240" w:lineRule="auto"/>
              <w:rPr>
                <w:sz w:val="16"/>
                <w:szCs w:val="16"/>
              </w:rPr>
            </w:pPr>
            <w:r w:rsidRPr="000907DA">
              <w:rPr>
                <w:sz w:val="16"/>
                <w:szCs w:val="16"/>
              </w:rPr>
              <w:t>Civil judicial proceeding</w:t>
            </w: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rsidR="00F60A1E" w:rsidRDefault="00F60A1E" w:rsidP="00F60A1E">
            <w:pPr>
              <w:spacing w:before="0" w:after="0" w:line="240" w:lineRule="auto"/>
              <w:rPr>
                <w:sz w:val="16"/>
                <w:szCs w:val="16"/>
              </w:rPr>
            </w:pPr>
            <w:r>
              <w:rPr>
                <w:sz w:val="16"/>
                <w:szCs w:val="16"/>
              </w:rPr>
              <w:t>Civil judicial proceeding</w:t>
            </w: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rsidR="00F60A1E" w:rsidRDefault="00F60A1E" w:rsidP="00F60A1E">
            <w:pPr>
              <w:spacing w:before="0" w:after="0" w:line="240" w:lineRule="auto"/>
              <w:rPr>
                <w:sz w:val="16"/>
                <w:szCs w:val="16"/>
              </w:rPr>
            </w:pPr>
            <w:r>
              <w:rPr>
                <w:sz w:val="16"/>
                <w:szCs w:val="16"/>
              </w:rPr>
              <w:t>Civil judicial proceeding</w:t>
            </w: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rsidR="00F60A1E" w:rsidRDefault="00F60A1E" w:rsidP="00F60A1E">
            <w:pPr>
              <w:spacing w:before="0" w:after="0" w:line="240" w:lineRule="auto"/>
              <w:rPr>
                <w:sz w:val="16"/>
                <w:szCs w:val="16"/>
              </w:rPr>
            </w:pPr>
            <w:r>
              <w:rPr>
                <w:sz w:val="16"/>
                <w:szCs w:val="16"/>
              </w:rPr>
              <w:t>Judicial proceeding of civil and criminal nature</w:t>
            </w:r>
          </w:p>
        </w:tc>
      </w:tr>
      <w:tr w:rsidR="00F60A1E" w:rsidTr="00F60A1E">
        <w:trPr>
          <w:trHeight w:val="1410"/>
        </w:trPr>
        <w:tc>
          <w:tcPr>
            <w:tcW w:w="438" w:type="pct"/>
            <w:tcBorders>
              <w:top w:val="single" w:sz="4" w:space="0" w:color="auto"/>
              <w:left w:val="single" w:sz="4" w:space="0" w:color="auto"/>
              <w:bottom w:val="single" w:sz="4" w:space="0" w:color="auto"/>
              <w:right w:val="single" w:sz="4" w:space="0" w:color="auto"/>
            </w:tcBorders>
            <w:shd w:val="clear" w:color="auto" w:fill="D6E3BC"/>
            <w:vAlign w:val="center"/>
            <w:hideMark/>
          </w:tcPr>
          <w:p w:rsidR="00F60A1E" w:rsidRDefault="00F60A1E" w:rsidP="00F60A1E">
            <w:pPr>
              <w:spacing w:after="0" w:line="240" w:lineRule="auto"/>
              <w:jc w:val="center"/>
              <w:rPr>
                <w:b/>
                <w:sz w:val="16"/>
                <w:szCs w:val="16"/>
              </w:rPr>
            </w:pPr>
            <w:r>
              <w:rPr>
                <w:b/>
                <w:sz w:val="16"/>
                <w:szCs w:val="16"/>
              </w:rPr>
              <w:t xml:space="preserve">Competent Court(s) </w:t>
            </w:r>
          </w:p>
        </w:tc>
        <w:tc>
          <w:tcPr>
            <w:tcW w:w="376" w:type="pct"/>
            <w:tcBorders>
              <w:top w:val="single" w:sz="4" w:space="0" w:color="auto"/>
              <w:left w:val="single" w:sz="4" w:space="0" w:color="auto"/>
              <w:bottom w:val="single" w:sz="4" w:space="0" w:color="auto"/>
              <w:right w:val="single" w:sz="4" w:space="0" w:color="auto"/>
            </w:tcBorders>
            <w:shd w:val="clear" w:color="auto" w:fill="FFFFFF"/>
          </w:tcPr>
          <w:p w:rsidR="00F60A1E" w:rsidRPr="00C31F83" w:rsidRDefault="00F60A1E" w:rsidP="00F60A1E">
            <w:pPr>
              <w:spacing w:before="0" w:after="0" w:line="240" w:lineRule="auto"/>
              <w:rPr>
                <w:sz w:val="16"/>
                <w:szCs w:val="16"/>
              </w:rPr>
            </w:pPr>
            <w:r>
              <w:rPr>
                <w:sz w:val="16"/>
                <w:szCs w:val="16"/>
              </w:rPr>
              <w:t>Currently Civil Magistrate’s Court, Civil Court and Youth Tribunal. By September 2014 it will be the Family and Youth Tribunal</w:t>
            </w:r>
          </w:p>
        </w:tc>
        <w:tc>
          <w:tcPr>
            <w:tcW w:w="435" w:type="pct"/>
            <w:tcBorders>
              <w:top w:val="single" w:sz="4" w:space="0" w:color="auto"/>
              <w:left w:val="single" w:sz="4" w:space="0" w:color="auto"/>
              <w:bottom w:val="single" w:sz="4" w:space="0" w:color="auto"/>
              <w:right w:val="single" w:sz="4" w:space="0" w:color="auto"/>
            </w:tcBorders>
            <w:shd w:val="clear" w:color="auto" w:fill="FFFFFF"/>
          </w:tcPr>
          <w:p w:rsidR="00F60A1E" w:rsidRPr="00C31F83" w:rsidRDefault="00F60A1E" w:rsidP="00F60A1E">
            <w:pPr>
              <w:spacing w:before="0" w:after="0" w:line="240" w:lineRule="auto"/>
              <w:rPr>
                <w:sz w:val="16"/>
                <w:szCs w:val="16"/>
              </w:rPr>
            </w:pPr>
            <w:r>
              <w:rPr>
                <w:sz w:val="16"/>
                <w:szCs w:val="16"/>
              </w:rPr>
              <w:t>Labour Tribunal/Labour Court</w:t>
            </w:r>
          </w:p>
        </w:tc>
        <w:tc>
          <w:tcPr>
            <w:tcW w:w="497" w:type="pct"/>
            <w:tcBorders>
              <w:top w:val="single" w:sz="4" w:space="0" w:color="auto"/>
              <w:left w:val="single" w:sz="4" w:space="0" w:color="auto"/>
              <w:bottom w:val="single" w:sz="4" w:space="0" w:color="auto"/>
              <w:right w:val="single" w:sz="4" w:space="0" w:color="auto"/>
            </w:tcBorders>
            <w:shd w:val="clear" w:color="auto" w:fill="FFFFFF"/>
          </w:tcPr>
          <w:p w:rsidR="00F60A1E" w:rsidRPr="000907DA" w:rsidRDefault="00F60A1E" w:rsidP="00F60A1E">
            <w:pPr>
              <w:spacing w:before="0" w:after="0" w:line="240" w:lineRule="auto"/>
              <w:rPr>
                <w:sz w:val="16"/>
                <w:szCs w:val="16"/>
              </w:rPr>
            </w:pPr>
            <w:r w:rsidRPr="000907DA">
              <w:rPr>
                <w:sz w:val="16"/>
                <w:szCs w:val="16"/>
              </w:rPr>
              <w:t>Council of State through cassation procedure</w:t>
            </w:r>
          </w:p>
        </w:tc>
        <w:tc>
          <w:tcPr>
            <w:tcW w:w="543" w:type="pct"/>
            <w:tcBorders>
              <w:top w:val="single" w:sz="4" w:space="0" w:color="auto"/>
              <w:left w:val="single" w:sz="4" w:space="0" w:color="auto"/>
              <w:bottom w:val="single" w:sz="4" w:space="0" w:color="auto"/>
              <w:right w:val="single" w:sz="4" w:space="0" w:color="auto"/>
            </w:tcBorders>
            <w:shd w:val="clear" w:color="auto" w:fill="FFFFFF"/>
          </w:tcPr>
          <w:p w:rsidR="00F60A1E" w:rsidRDefault="00F60A1E" w:rsidP="00F60A1E">
            <w:pPr>
              <w:spacing w:before="0" w:after="0" w:line="240" w:lineRule="auto"/>
              <w:rPr>
                <w:sz w:val="16"/>
                <w:szCs w:val="16"/>
              </w:rPr>
            </w:pPr>
            <w:r w:rsidRPr="00307EFB">
              <w:rPr>
                <w:sz w:val="16"/>
                <w:szCs w:val="16"/>
              </w:rPr>
              <w:t>Council of State through cassation procedure</w:t>
            </w:r>
          </w:p>
        </w:tc>
        <w:tc>
          <w:tcPr>
            <w:tcW w:w="543" w:type="pct"/>
            <w:tcBorders>
              <w:top w:val="single" w:sz="4" w:space="0" w:color="auto"/>
              <w:left w:val="single" w:sz="4" w:space="0" w:color="auto"/>
              <w:bottom w:val="single" w:sz="4" w:space="0" w:color="auto"/>
              <w:right w:val="single" w:sz="4" w:space="0" w:color="auto"/>
            </w:tcBorders>
            <w:shd w:val="clear" w:color="auto" w:fill="FFFFFF"/>
          </w:tcPr>
          <w:p w:rsidR="00F60A1E" w:rsidRDefault="00F60A1E" w:rsidP="00F60A1E">
            <w:pPr>
              <w:spacing w:before="0" w:after="0" w:line="240" w:lineRule="auto"/>
              <w:rPr>
                <w:sz w:val="16"/>
                <w:szCs w:val="16"/>
              </w:rPr>
            </w:pPr>
            <w:r w:rsidRPr="00307EFB">
              <w:rPr>
                <w:sz w:val="16"/>
                <w:szCs w:val="16"/>
              </w:rPr>
              <w:t xml:space="preserve">Council of State </w:t>
            </w:r>
            <w:r>
              <w:rPr>
                <w:sz w:val="16"/>
                <w:szCs w:val="16"/>
              </w:rPr>
              <w:t>or an ordinary Civil Court</w:t>
            </w:r>
          </w:p>
        </w:tc>
        <w:tc>
          <w:tcPr>
            <w:tcW w:w="543" w:type="pct"/>
            <w:tcBorders>
              <w:top w:val="single" w:sz="4" w:space="0" w:color="auto"/>
              <w:left w:val="single" w:sz="4" w:space="0" w:color="auto"/>
              <w:bottom w:val="single" w:sz="4" w:space="0" w:color="auto"/>
              <w:right w:val="single" w:sz="4" w:space="0" w:color="auto"/>
            </w:tcBorders>
            <w:shd w:val="clear" w:color="auto" w:fill="FFFFFF"/>
          </w:tcPr>
          <w:p w:rsidR="00F60A1E" w:rsidRDefault="00F60A1E" w:rsidP="00F60A1E">
            <w:pPr>
              <w:spacing w:before="0" w:after="0" w:line="240" w:lineRule="auto"/>
              <w:rPr>
                <w:sz w:val="16"/>
                <w:szCs w:val="16"/>
              </w:rPr>
            </w:pPr>
            <w:r>
              <w:rPr>
                <w:sz w:val="16"/>
                <w:szCs w:val="16"/>
              </w:rPr>
              <w:t>Ordinary court or with mental health cases before youth tribunal</w:t>
            </w:r>
          </w:p>
        </w:tc>
        <w:tc>
          <w:tcPr>
            <w:tcW w:w="543" w:type="pct"/>
            <w:tcBorders>
              <w:top w:val="single" w:sz="4" w:space="0" w:color="auto"/>
              <w:left w:val="single" w:sz="4" w:space="0" w:color="auto"/>
              <w:bottom w:val="single" w:sz="4" w:space="0" w:color="auto"/>
              <w:right w:val="single" w:sz="4" w:space="0" w:color="auto"/>
            </w:tcBorders>
            <w:shd w:val="clear" w:color="auto" w:fill="FFFFFF"/>
          </w:tcPr>
          <w:p w:rsidR="00F60A1E" w:rsidRPr="00E946B3" w:rsidRDefault="00F60A1E" w:rsidP="00F60A1E">
            <w:pPr>
              <w:spacing w:before="0" w:after="0" w:line="240" w:lineRule="auto"/>
              <w:rPr>
                <w:sz w:val="16"/>
                <w:szCs w:val="16"/>
              </w:rPr>
            </w:pPr>
            <w:r>
              <w:rPr>
                <w:sz w:val="16"/>
                <w:szCs w:val="16"/>
              </w:rPr>
              <w:t>Youth tribunal</w:t>
            </w:r>
          </w:p>
        </w:tc>
        <w:tc>
          <w:tcPr>
            <w:tcW w:w="543" w:type="pct"/>
            <w:tcBorders>
              <w:top w:val="single" w:sz="4" w:space="0" w:color="auto"/>
              <w:left w:val="single" w:sz="4" w:space="0" w:color="auto"/>
              <w:bottom w:val="single" w:sz="4" w:space="0" w:color="auto"/>
              <w:right w:val="single" w:sz="4" w:space="0" w:color="auto"/>
            </w:tcBorders>
            <w:shd w:val="clear" w:color="auto" w:fill="FFFFFF"/>
          </w:tcPr>
          <w:p w:rsidR="00F60A1E" w:rsidRPr="000907DA" w:rsidRDefault="00F60A1E" w:rsidP="00F60A1E">
            <w:pPr>
              <w:pStyle w:val="ListParagraph"/>
              <w:ind w:left="56"/>
              <w:rPr>
                <w:sz w:val="16"/>
                <w:szCs w:val="16"/>
              </w:rPr>
            </w:pPr>
            <w:r>
              <w:rPr>
                <w:sz w:val="16"/>
                <w:szCs w:val="16"/>
              </w:rPr>
              <w:t>Y</w:t>
            </w:r>
            <w:r w:rsidRPr="000907DA">
              <w:rPr>
                <w:sz w:val="16"/>
                <w:szCs w:val="16"/>
              </w:rPr>
              <w:t>outh tribunal</w:t>
            </w:r>
          </w:p>
        </w:tc>
        <w:tc>
          <w:tcPr>
            <w:tcW w:w="539" w:type="pct"/>
            <w:tcBorders>
              <w:top w:val="single" w:sz="4" w:space="0" w:color="auto"/>
              <w:left w:val="single" w:sz="4" w:space="0" w:color="auto"/>
              <w:bottom w:val="single" w:sz="4" w:space="0" w:color="auto"/>
              <w:right w:val="single" w:sz="4" w:space="0" w:color="auto"/>
            </w:tcBorders>
            <w:shd w:val="clear" w:color="auto" w:fill="FFFFFF"/>
          </w:tcPr>
          <w:p w:rsidR="00F60A1E" w:rsidRPr="00E946B3" w:rsidRDefault="00F60A1E" w:rsidP="00F60A1E">
            <w:pPr>
              <w:pStyle w:val="ListParagraph"/>
              <w:ind w:left="56"/>
              <w:rPr>
                <w:sz w:val="16"/>
                <w:szCs w:val="16"/>
              </w:rPr>
            </w:pPr>
            <w:r w:rsidRPr="00E946B3">
              <w:rPr>
                <w:sz w:val="16"/>
                <w:szCs w:val="16"/>
              </w:rPr>
              <w:t xml:space="preserve">Youth tribunal </w:t>
            </w:r>
          </w:p>
        </w:tc>
      </w:tr>
    </w:tbl>
    <w:p w:rsidR="00660C9C" w:rsidRPr="00660C9C" w:rsidRDefault="00660C9C" w:rsidP="00660C9C">
      <w:pPr>
        <w:sectPr w:rsidR="00660C9C" w:rsidRPr="00660C9C" w:rsidSect="00660C9C">
          <w:headerReference w:type="default" r:id="rId22"/>
          <w:footerReference w:type="default" r:id="rId23"/>
          <w:pgSz w:w="16840" w:h="11907" w:orient="landscape" w:code="9"/>
          <w:pgMar w:top="1417" w:right="1417" w:bottom="1020" w:left="1417" w:header="680" w:footer="567" w:gutter="0"/>
          <w:cols w:space="708"/>
          <w:docGrid w:linePitch="360"/>
        </w:sectPr>
      </w:pPr>
    </w:p>
    <w:p w:rsidR="00660C9C" w:rsidRPr="00660C9C" w:rsidRDefault="00660C9C" w:rsidP="00660C9C">
      <w:pPr>
        <w:pStyle w:val="Heading1noPg"/>
        <w:rPr>
          <w:rFonts w:eastAsia="Calibri"/>
        </w:rPr>
      </w:pPr>
      <w:bookmarkStart w:id="28" w:name="_Toc401654868"/>
      <w:bookmarkStart w:id="29" w:name="_Toc409792182"/>
      <w:r w:rsidRPr="00660C9C">
        <w:rPr>
          <w:rFonts w:eastAsia="Calibri"/>
          <w:lang w:val="en-US"/>
        </w:rPr>
        <w:lastRenderedPageBreak/>
        <w:t>O</w:t>
      </w:r>
      <w:r w:rsidRPr="00660C9C">
        <w:rPr>
          <w:rFonts w:eastAsia="Calibri"/>
        </w:rPr>
        <w:t xml:space="preserve">verview of Member State’s approach to children in administrative </w:t>
      </w:r>
      <w:r w:rsidRPr="00660C9C">
        <w:rPr>
          <w:rFonts w:eastAsia="Calibri"/>
          <w:lang w:val="en-US"/>
        </w:rPr>
        <w:t>J</w:t>
      </w:r>
      <w:r w:rsidRPr="00660C9C">
        <w:rPr>
          <w:rFonts w:eastAsia="Calibri"/>
        </w:rPr>
        <w:t>udicial proceedings and specialised services dealing with such children</w:t>
      </w:r>
      <w:bookmarkEnd w:id="28"/>
      <w:bookmarkEnd w:id="29"/>
    </w:p>
    <w:p w:rsidR="00AC7914" w:rsidRPr="00F60A1E" w:rsidRDefault="00660C9C" w:rsidP="00AC7914">
      <w:pPr>
        <w:pStyle w:val="Heading2"/>
        <w:rPr>
          <w:rFonts w:eastAsia="Calibri"/>
        </w:rPr>
      </w:pPr>
      <w:bookmarkStart w:id="30" w:name="_Toc401654869"/>
      <w:bookmarkStart w:id="31" w:name="_Toc409792183"/>
      <w:r w:rsidRPr="00660C9C">
        <w:rPr>
          <w:rFonts w:eastAsia="Calibri"/>
        </w:rPr>
        <w:t>Brief description of judicial system and institutions</w:t>
      </w:r>
      <w:bookmarkEnd w:id="30"/>
      <w:bookmarkEnd w:id="31"/>
    </w:p>
    <w:p w:rsidR="00F60A1E" w:rsidRPr="00F60A1E" w:rsidRDefault="00227001" w:rsidP="00227001">
      <w:pPr>
        <w:pStyle w:val="Heading3NoNumb"/>
        <w:ind w:left="851"/>
      </w:pPr>
      <w:bookmarkStart w:id="32" w:name="_Toc409792184"/>
      <w:r>
        <w:t>The legal framework</w:t>
      </w:r>
      <w:bookmarkEnd w:id="32"/>
    </w:p>
    <w:p w:rsidR="00F60A1E" w:rsidRPr="00F60A1E" w:rsidRDefault="00F60A1E" w:rsidP="00F60A1E">
      <w:pPr>
        <w:spacing w:before="0" w:after="0" w:line="240" w:lineRule="auto"/>
        <w:ind w:left="851"/>
        <w:jc w:val="both"/>
      </w:pPr>
      <w:r w:rsidRPr="00F60A1E">
        <w:t>Belgium is a Federal State composed of three communities, i.e. the Flemish community, the French community and the German-speaking community, three regions, i.e. the Walloon Region, Flanders and the Brussels Capital region, which are divided into 10 Provinces and 589 municipalities. The Federal authorities retain the competence to regulate the situation of children in judicial proceedings. The Communities are competent to implement and adopt legal measures and to regulate institutions and services supporting children, which they fund and organise. In particular, Communities are competent for youth care, i.e. youth protection services in charge of children</w:t>
      </w:r>
      <w:r w:rsidRPr="00F60A1E">
        <w:rPr>
          <w:vertAlign w:val="superscript"/>
        </w:rPr>
        <w:footnoteReference w:id="4"/>
      </w:r>
      <w:r w:rsidRPr="00F60A1E">
        <w:t>, including legislation on the provision of youth care and administrative decisions in this sector, whilst the Federal authorities regulate judicial proceedings.</w:t>
      </w:r>
    </w:p>
    <w:p w:rsidR="00F60A1E" w:rsidRPr="00F60A1E" w:rsidRDefault="00F60A1E" w:rsidP="00F60A1E">
      <w:pPr>
        <w:spacing w:before="0" w:after="0" w:line="240" w:lineRule="auto"/>
        <w:ind w:left="851"/>
        <w:jc w:val="both"/>
      </w:pPr>
    </w:p>
    <w:p w:rsidR="00F60A1E" w:rsidRPr="00F60A1E" w:rsidRDefault="00F60A1E" w:rsidP="00F60A1E">
      <w:pPr>
        <w:widowControl w:val="0"/>
        <w:spacing w:before="0" w:after="0" w:line="240" w:lineRule="auto"/>
        <w:ind w:left="851"/>
        <w:jc w:val="both"/>
        <w:rPr>
          <w:szCs w:val="20"/>
        </w:rPr>
      </w:pPr>
      <w:r w:rsidRPr="00F60A1E">
        <w:rPr>
          <w:szCs w:val="20"/>
        </w:rPr>
        <w:t>There is no Code of administrative procedure or administrative law in Belgium. As a result, the rules on administrative law and procedure are fragmented in legislation at the Federal, regional and community level, as well as in provincial and municipal regulations. The legal framework</w:t>
      </w:r>
      <w:r w:rsidRPr="00F60A1E">
        <w:rPr>
          <w:szCs w:val="20"/>
          <w:vertAlign w:val="superscript"/>
        </w:rPr>
        <w:footnoteReference w:id="5"/>
      </w:r>
      <w:r w:rsidRPr="00F60A1E">
        <w:t xml:space="preserve"> </w:t>
      </w:r>
      <w:r w:rsidRPr="00F60A1E">
        <w:rPr>
          <w:szCs w:val="20"/>
        </w:rPr>
        <w:t xml:space="preserve">applicable to children involved in administrative judicial proceedings and judicial proceedings in sectors covered by this report includes </w:t>
      </w:r>
      <w:r w:rsidRPr="00F60A1E">
        <w:rPr>
          <w:i/>
          <w:szCs w:val="20"/>
        </w:rPr>
        <w:t>inter alia</w:t>
      </w:r>
      <w:r w:rsidRPr="00F60A1E">
        <w:rPr>
          <w:szCs w:val="20"/>
        </w:rPr>
        <w:t>:</w:t>
      </w:r>
    </w:p>
    <w:p w:rsidR="00F60A1E" w:rsidRPr="00F60A1E" w:rsidRDefault="00F60A1E" w:rsidP="00F60A1E">
      <w:pPr>
        <w:widowControl w:val="0"/>
        <w:spacing w:before="0" w:after="0" w:line="240" w:lineRule="auto"/>
        <w:jc w:val="both"/>
        <w:rPr>
          <w:szCs w:val="20"/>
        </w:rPr>
      </w:pPr>
    </w:p>
    <w:p w:rsidR="00F60A1E" w:rsidRPr="00F60A1E" w:rsidRDefault="00F60A1E" w:rsidP="00F60A1E">
      <w:pPr>
        <w:numPr>
          <w:ilvl w:val="0"/>
          <w:numId w:val="22"/>
        </w:numPr>
        <w:spacing w:before="0" w:after="0"/>
      </w:pPr>
      <w:r w:rsidRPr="00F60A1E">
        <w:t xml:space="preserve">the </w:t>
      </w:r>
      <w:hyperlink r:id="rId24" w:history="1">
        <w:r w:rsidRPr="00F60A1E">
          <w:rPr>
            <w:rFonts w:cs="Arial"/>
            <w:color w:val="0000FF" w:themeColor="hyperlink"/>
            <w:u w:val="single"/>
          </w:rPr>
          <w:t>Constitution</w:t>
        </w:r>
      </w:hyperlink>
      <w:r w:rsidRPr="00F60A1E">
        <w:t>;</w:t>
      </w:r>
    </w:p>
    <w:p w:rsidR="00F60A1E" w:rsidRPr="00F60A1E" w:rsidRDefault="00F60A1E" w:rsidP="00F60A1E">
      <w:pPr>
        <w:numPr>
          <w:ilvl w:val="0"/>
          <w:numId w:val="22"/>
        </w:numPr>
        <w:spacing w:before="0" w:after="0"/>
      </w:pPr>
      <w:r w:rsidRPr="00F60A1E">
        <w:t xml:space="preserve">the </w:t>
      </w:r>
      <w:hyperlink r:id="rId25" w:history="1">
        <w:r w:rsidRPr="00F60A1E">
          <w:rPr>
            <w:rFonts w:cs="Arial"/>
            <w:color w:val="0000FF" w:themeColor="hyperlink"/>
            <w:u w:val="single"/>
          </w:rPr>
          <w:t>Judicial Code</w:t>
        </w:r>
      </w:hyperlink>
      <w:r w:rsidRPr="00F60A1E">
        <w:t>;</w:t>
      </w:r>
    </w:p>
    <w:p w:rsidR="00F60A1E" w:rsidRPr="00F60A1E" w:rsidRDefault="00F60A1E" w:rsidP="00F60A1E">
      <w:pPr>
        <w:numPr>
          <w:ilvl w:val="0"/>
          <w:numId w:val="22"/>
        </w:numPr>
        <w:spacing w:before="0" w:after="0"/>
      </w:pPr>
      <w:r w:rsidRPr="00F60A1E">
        <w:t xml:space="preserve">the </w:t>
      </w:r>
      <w:hyperlink r:id="rId26" w:history="1">
        <w:r w:rsidRPr="00F60A1E">
          <w:rPr>
            <w:rFonts w:cs="Arial"/>
            <w:color w:val="0000FF" w:themeColor="hyperlink"/>
            <w:u w:val="single"/>
          </w:rPr>
          <w:t>Civil Code</w:t>
        </w:r>
      </w:hyperlink>
      <w:r w:rsidRPr="00F60A1E">
        <w:t>;</w:t>
      </w:r>
    </w:p>
    <w:p w:rsidR="00F60A1E" w:rsidRPr="00F60A1E" w:rsidRDefault="00F60A1E" w:rsidP="00F60A1E">
      <w:pPr>
        <w:numPr>
          <w:ilvl w:val="0"/>
          <w:numId w:val="22"/>
        </w:numPr>
        <w:spacing w:before="0" w:after="0"/>
      </w:pPr>
      <w:r w:rsidRPr="00F60A1E">
        <w:t xml:space="preserve">the </w:t>
      </w:r>
      <w:hyperlink r:id="rId27" w:history="1">
        <w:r w:rsidRPr="00F60A1E">
          <w:rPr>
            <w:rFonts w:cs="Arial"/>
            <w:color w:val="0000FF" w:themeColor="hyperlink"/>
            <w:u w:val="single"/>
          </w:rPr>
          <w:t>Coordinated Laws of 12 January 1973 on the Council of State</w:t>
        </w:r>
      </w:hyperlink>
      <w:r w:rsidRPr="00F60A1E">
        <w:t>;</w:t>
      </w:r>
    </w:p>
    <w:p w:rsidR="00F60A1E" w:rsidRPr="00F60A1E" w:rsidRDefault="00F60A1E" w:rsidP="00F60A1E">
      <w:pPr>
        <w:numPr>
          <w:ilvl w:val="0"/>
          <w:numId w:val="22"/>
        </w:numPr>
        <w:spacing w:before="0" w:after="0"/>
      </w:pPr>
      <w:r w:rsidRPr="00F60A1E">
        <w:t xml:space="preserve">the Act of 8 April 1965 on the protection of youth and the care of minors who committed acts qualified as offences – hereafter the </w:t>
      </w:r>
      <w:hyperlink r:id="rId28" w:history="1">
        <w:r w:rsidRPr="00F60A1E">
          <w:rPr>
            <w:rFonts w:cs="Arial"/>
            <w:color w:val="0000FF" w:themeColor="hyperlink"/>
            <w:u w:val="single"/>
          </w:rPr>
          <w:t>Youth Protection Act</w:t>
        </w:r>
      </w:hyperlink>
      <w:r w:rsidRPr="00F60A1E">
        <w:t>;</w:t>
      </w:r>
    </w:p>
    <w:p w:rsidR="00F60A1E" w:rsidRPr="00F60A1E" w:rsidRDefault="00F60A1E" w:rsidP="00F60A1E">
      <w:pPr>
        <w:numPr>
          <w:ilvl w:val="0"/>
          <w:numId w:val="22"/>
        </w:numPr>
        <w:spacing w:before="0" w:after="0"/>
      </w:pPr>
      <w:r w:rsidRPr="00F60A1E">
        <w:t xml:space="preserve">the </w:t>
      </w:r>
      <w:hyperlink r:id="rId29" w:history="1">
        <w:r w:rsidRPr="00F60A1E">
          <w:rPr>
            <w:rFonts w:cs="Arial"/>
            <w:color w:val="0000FF" w:themeColor="hyperlink"/>
            <w:u w:val="single"/>
          </w:rPr>
          <w:t>New Act of 18 June 2013 on the creation of a family and youth tribunal</w:t>
        </w:r>
      </w:hyperlink>
      <w:r w:rsidRPr="00F60A1E">
        <w:t xml:space="preserve"> which will enter into force on 1 September 2014;</w:t>
      </w:r>
    </w:p>
    <w:p w:rsidR="00F60A1E" w:rsidRPr="00F60A1E" w:rsidRDefault="00F60A1E" w:rsidP="00F60A1E">
      <w:pPr>
        <w:numPr>
          <w:ilvl w:val="0"/>
          <w:numId w:val="22"/>
        </w:numPr>
        <w:spacing w:before="0" w:after="0"/>
      </w:pPr>
      <w:r w:rsidRPr="00F60A1E">
        <w:t xml:space="preserve">the </w:t>
      </w:r>
      <w:hyperlink r:id="rId30" w:history="1">
        <w:r w:rsidRPr="00F60A1E">
          <w:rPr>
            <w:color w:val="0000FF" w:themeColor="hyperlink"/>
            <w:u w:val="single"/>
          </w:rPr>
          <w:t>Act of 24 June 2013 on municipal administrative sanctions</w:t>
        </w:r>
      </w:hyperlink>
      <w:r w:rsidRPr="00F60A1E">
        <w:t>;</w:t>
      </w:r>
    </w:p>
    <w:p w:rsidR="00F60A1E" w:rsidRPr="00F60A1E" w:rsidRDefault="00F60A1E" w:rsidP="00F60A1E">
      <w:pPr>
        <w:numPr>
          <w:ilvl w:val="0"/>
          <w:numId w:val="22"/>
        </w:numPr>
        <w:spacing w:before="0" w:after="0"/>
      </w:pPr>
      <w:r w:rsidRPr="00F60A1E">
        <w:t xml:space="preserve">the </w:t>
      </w:r>
      <w:hyperlink r:id="rId31" w:history="1">
        <w:r w:rsidRPr="00F60A1E">
          <w:rPr>
            <w:rFonts w:cs="Arial"/>
            <w:color w:val="0000FF" w:themeColor="hyperlink"/>
            <w:u w:val="single"/>
          </w:rPr>
          <w:t>Act of 26 June 1990 on the protection of mentally ill persons</w:t>
        </w:r>
      </w:hyperlink>
      <w:r w:rsidRPr="00F60A1E">
        <w:t>;</w:t>
      </w:r>
    </w:p>
    <w:p w:rsidR="00F60A1E" w:rsidRPr="00F60A1E" w:rsidRDefault="00F60A1E" w:rsidP="00F60A1E">
      <w:pPr>
        <w:numPr>
          <w:ilvl w:val="0"/>
          <w:numId w:val="22"/>
        </w:numPr>
        <w:spacing w:before="0" w:after="0"/>
      </w:pPr>
      <w:r w:rsidRPr="00F60A1E">
        <w:t xml:space="preserve">the </w:t>
      </w:r>
      <w:hyperlink r:id="rId32" w:history="1">
        <w:r w:rsidRPr="00F60A1E">
          <w:rPr>
            <w:rFonts w:cs="Arial"/>
            <w:color w:val="0000FF" w:themeColor="hyperlink"/>
            <w:u w:val="single"/>
          </w:rPr>
          <w:t>Act of 15 December 1980 on the access to territory, stay, establishment and expulsion of foreigners</w:t>
        </w:r>
      </w:hyperlink>
      <w:r w:rsidRPr="00F60A1E">
        <w:t>;</w:t>
      </w:r>
    </w:p>
    <w:p w:rsidR="00F60A1E" w:rsidRPr="00F60A1E" w:rsidRDefault="00F60A1E" w:rsidP="00F60A1E">
      <w:pPr>
        <w:numPr>
          <w:ilvl w:val="0"/>
          <w:numId w:val="22"/>
        </w:numPr>
        <w:spacing w:before="0" w:after="0"/>
        <w:rPr>
          <w:rFonts w:cs="Arial"/>
          <w:color w:val="0000FF" w:themeColor="hyperlink"/>
          <w:u w:val="single"/>
        </w:rPr>
      </w:pPr>
      <w:r w:rsidRPr="00F60A1E">
        <w:rPr>
          <w:rFonts w:cs="Arial"/>
          <w:color w:val="0000FF" w:themeColor="hyperlink"/>
          <w:u w:val="single"/>
        </w:rPr>
        <w:t xml:space="preserve">the </w:t>
      </w:r>
      <w:hyperlink r:id="rId33" w:history="1">
        <w:r w:rsidRPr="00F60A1E">
          <w:rPr>
            <w:rFonts w:cs="Arial"/>
            <w:color w:val="0000FF" w:themeColor="hyperlink"/>
            <w:u w:val="single"/>
          </w:rPr>
          <w:t>Flemish Community Decree of 12 July 2013 on integrated youth welfare</w:t>
        </w:r>
      </w:hyperlink>
      <w:r w:rsidRPr="00F60A1E">
        <w:rPr>
          <w:rFonts w:cs="Arial"/>
          <w:color w:val="0000FF" w:themeColor="hyperlink"/>
          <w:u w:val="single"/>
        </w:rPr>
        <w:t>;</w:t>
      </w:r>
    </w:p>
    <w:p w:rsidR="00F60A1E" w:rsidRPr="00F60A1E" w:rsidRDefault="00F60A1E" w:rsidP="00F60A1E">
      <w:pPr>
        <w:numPr>
          <w:ilvl w:val="0"/>
          <w:numId w:val="22"/>
        </w:numPr>
        <w:spacing w:before="0" w:after="0"/>
        <w:rPr>
          <w:rFonts w:cs="Arial"/>
          <w:color w:val="0000FF" w:themeColor="hyperlink"/>
          <w:u w:val="single"/>
        </w:rPr>
      </w:pPr>
      <w:r w:rsidRPr="00F60A1E">
        <w:rPr>
          <w:rFonts w:cs="Arial"/>
          <w:color w:val="0000FF" w:themeColor="hyperlink"/>
          <w:u w:val="single"/>
        </w:rPr>
        <w:t xml:space="preserve">the </w:t>
      </w:r>
      <w:hyperlink r:id="rId34" w:history="1">
        <w:r w:rsidRPr="00F60A1E">
          <w:rPr>
            <w:rFonts w:cs="Arial"/>
            <w:color w:val="0000FF" w:themeColor="hyperlink"/>
            <w:u w:val="single"/>
          </w:rPr>
          <w:t>German Community Decree of 19 May 2008 on youth assistance</w:t>
        </w:r>
      </w:hyperlink>
      <w:r w:rsidRPr="00F60A1E">
        <w:rPr>
          <w:rFonts w:cs="Arial"/>
          <w:color w:val="0000FF" w:themeColor="hyperlink"/>
          <w:u w:val="single"/>
        </w:rPr>
        <w:t>;</w:t>
      </w:r>
    </w:p>
    <w:p w:rsidR="00F60A1E" w:rsidRPr="00F60A1E" w:rsidRDefault="00F60A1E" w:rsidP="00F60A1E">
      <w:pPr>
        <w:numPr>
          <w:ilvl w:val="0"/>
          <w:numId w:val="22"/>
        </w:numPr>
        <w:spacing w:before="0" w:after="0"/>
        <w:rPr>
          <w:rFonts w:cs="Arial"/>
          <w:color w:val="0000FF" w:themeColor="hyperlink"/>
          <w:u w:val="single"/>
        </w:rPr>
      </w:pPr>
      <w:r w:rsidRPr="00F60A1E">
        <w:rPr>
          <w:rFonts w:cs="Arial"/>
          <w:color w:val="0000FF" w:themeColor="hyperlink"/>
          <w:u w:val="single"/>
        </w:rPr>
        <w:t xml:space="preserve">the </w:t>
      </w:r>
      <w:hyperlink r:id="rId35" w:history="1">
        <w:r w:rsidRPr="00F60A1E">
          <w:rPr>
            <w:rFonts w:cs="Arial"/>
            <w:color w:val="0000FF" w:themeColor="hyperlink"/>
            <w:u w:val="single"/>
          </w:rPr>
          <w:t xml:space="preserve">Flemish Community Decree of 7 May 2004 on the child’s legal status in the integrated youth Services </w:t>
        </w:r>
      </w:hyperlink>
      <w:r w:rsidRPr="00F60A1E">
        <w:rPr>
          <w:rFonts w:cs="Arial"/>
          <w:color w:val="0000FF" w:themeColor="hyperlink"/>
          <w:u w:val="single"/>
        </w:rPr>
        <w:t>;</w:t>
      </w:r>
    </w:p>
    <w:p w:rsidR="00F60A1E" w:rsidRPr="00F60A1E" w:rsidRDefault="00F60A1E" w:rsidP="00F60A1E">
      <w:pPr>
        <w:numPr>
          <w:ilvl w:val="0"/>
          <w:numId w:val="22"/>
        </w:numPr>
        <w:spacing w:before="0" w:after="0"/>
        <w:rPr>
          <w:rFonts w:cs="Arial"/>
          <w:color w:val="0000FF" w:themeColor="hyperlink"/>
          <w:u w:val="single"/>
        </w:rPr>
      </w:pPr>
      <w:r w:rsidRPr="00F60A1E">
        <w:rPr>
          <w:rFonts w:cs="Arial"/>
          <w:color w:val="0000FF" w:themeColor="hyperlink"/>
          <w:u w:val="single"/>
        </w:rPr>
        <w:t xml:space="preserve">the </w:t>
      </w:r>
      <w:hyperlink r:id="rId36" w:history="1">
        <w:r w:rsidRPr="00F60A1E">
          <w:rPr>
            <w:rFonts w:cs="Arial"/>
            <w:color w:val="0000FF" w:themeColor="hyperlink"/>
            <w:u w:val="single"/>
          </w:rPr>
          <w:t>French Community Decree of 4 March 1991 on youth care</w:t>
        </w:r>
      </w:hyperlink>
      <w:r w:rsidRPr="00F60A1E">
        <w:rPr>
          <w:rFonts w:cs="Arial"/>
          <w:color w:val="0000FF" w:themeColor="hyperlink"/>
          <w:u w:val="single"/>
        </w:rPr>
        <w:t>.</w:t>
      </w:r>
    </w:p>
    <w:p w:rsidR="00F60A1E" w:rsidRPr="00F60A1E" w:rsidRDefault="00F60A1E" w:rsidP="00F60A1E">
      <w:pPr>
        <w:ind w:left="720"/>
        <w:jc w:val="both"/>
        <w:rPr>
          <w:rFonts w:cs="Arial"/>
          <w:color w:val="0000FF" w:themeColor="hyperlink"/>
          <w:u w:val="single"/>
        </w:rPr>
      </w:pPr>
    </w:p>
    <w:p w:rsidR="00F60A1E" w:rsidRPr="00F60A1E" w:rsidRDefault="00F60A1E" w:rsidP="00F60A1E">
      <w:pPr>
        <w:autoSpaceDE w:val="0"/>
        <w:autoSpaceDN w:val="0"/>
        <w:adjustRightInd w:val="0"/>
        <w:spacing w:before="0" w:after="0" w:line="240" w:lineRule="auto"/>
        <w:ind w:left="851"/>
        <w:jc w:val="both"/>
        <w:rPr>
          <w:lang w:eastAsia="zh-CN"/>
        </w:rPr>
      </w:pPr>
      <w:r w:rsidRPr="00F60A1E">
        <w:rPr>
          <w:lang w:eastAsia="zh-CN"/>
        </w:rPr>
        <w:t xml:space="preserve">In addition to national legislation, international conventions apply – including </w:t>
      </w:r>
      <w:hyperlink r:id="rId37" w:history="1">
        <w:r w:rsidRPr="00F60A1E">
          <w:rPr>
            <w:rFonts w:cs="Arial"/>
            <w:color w:val="0000FF" w:themeColor="hyperlink"/>
            <w:u w:val="single"/>
            <w:lang w:eastAsia="zh-CN"/>
          </w:rPr>
          <w:t>the United Nations Convention on the Rights of the Child</w:t>
        </w:r>
      </w:hyperlink>
      <w:r w:rsidRPr="00F60A1E">
        <w:rPr>
          <w:lang w:eastAsia="zh-CN"/>
        </w:rPr>
        <w:t xml:space="preserve">, the </w:t>
      </w:r>
      <w:hyperlink r:id="rId38" w:history="1">
        <w:r w:rsidRPr="00F60A1E">
          <w:rPr>
            <w:rFonts w:cs="Arial"/>
            <w:color w:val="0000FF" w:themeColor="hyperlink"/>
            <w:u w:val="single"/>
            <w:lang w:eastAsia="zh-CN"/>
          </w:rPr>
          <w:t>Convention for the Protection of Human Rights and Fundamental Freedoms</w:t>
        </w:r>
      </w:hyperlink>
      <w:r w:rsidRPr="00F60A1E">
        <w:rPr>
          <w:lang w:eastAsia="zh-CN"/>
        </w:rPr>
        <w:t xml:space="preserve">, and the </w:t>
      </w:r>
      <w:hyperlink r:id="rId39" w:history="1">
        <w:r w:rsidRPr="00F60A1E">
          <w:rPr>
            <w:rFonts w:cs="Arial"/>
            <w:color w:val="0000FF" w:themeColor="hyperlink"/>
            <w:u w:val="single"/>
            <w:lang w:eastAsia="zh-CN"/>
          </w:rPr>
          <w:t>Council of Europe Guidelines on Child-Friendly Justice</w:t>
        </w:r>
      </w:hyperlink>
      <w:r w:rsidRPr="00F60A1E">
        <w:rPr>
          <w:lang w:eastAsia="zh-CN"/>
        </w:rPr>
        <w:t>.</w:t>
      </w:r>
    </w:p>
    <w:p w:rsidR="00F60A1E" w:rsidRPr="00F60A1E" w:rsidRDefault="00F60A1E" w:rsidP="00F60A1E">
      <w:pPr>
        <w:autoSpaceDE w:val="0"/>
        <w:autoSpaceDN w:val="0"/>
        <w:adjustRightInd w:val="0"/>
        <w:spacing w:before="0" w:after="0" w:line="240" w:lineRule="auto"/>
        <w:ind w:left="851"/>
        <w:jc w:val="both"/>
        <w:rPr>
          <w:b/>
          <w:lang w:eastAsia="zh-CN"/>
        </w:rPr>
      </w:pPr>
    </w:p>
    <w:p w:rsidR="00F60A1E" w:rsidRPr="00F60A1E" w:rsidRDefault="00F60A1E" w:rsidP="00F60A1E">
      <w:pPr>
        <w:widowControl w:val="0"/>
        <w:spacing w:before="0" w:after="0" w:line="240" w:lineRule="auto"/>
        <w:ind w:left="851"/>
        <w:jc w:val="both"/>
        <w:rPr>
          <w:bCs/>
        </w:rPr>
      </w:pPr>
      <w:r w:rsidRPr="00F60A1E">
        <w:t xml:space="preserve">In general, there are no specific legal rules on children in administrative judicial proceedings. Hence, the general rules of proceedings before the Council of State </w:t>
      </w:r>
      <w:r w:rsidRPr="00F60A1E">
        <w:rPr>
          <w:bCs/>
        </w:rPr>
        <w:t xml:space="preserve">provided by the </w:t>
      </w:r>
      <w:hyperlink r:id="rId40" w:history="1">
        <w:r w:rsidRPr="00F60A1E">
          <w:rPr>
            <w:bCs/>
            <w:color w:val="0000FF" w:themeColor="hyperlink"/>
            <w:u w:val="single"/>
          </w:rPr>
          <w:t>Coordinated Laws of 12 January 1973 on the Council of State</w:t>
        </w:r>
      </w:hyperlink>
      <w:r w:rsidRPr="00F60A1E">
        <w:rPr>
          <w:bCs/>
        </w:rPr>
        <w:t xml:space="preserve"> and other </w:t>
      </w:r>
      <w:hyperlink r:id="rId41" w:history="1">
        <w:r w:rsidRPr="00F60A1E">
          <w:rPr>
            <w:bCs/>
            <w:color w:val="0000FF" w:themeColor="hyperlink"/>
            <w:u w:val="single"/>
          </w:rPr>
          <w:t>specialised regulations</w:t>
        </w:r>
      </w:hyperlink>
      <w:r w:rsidRPr="00F60A1E">
        <w:rPr>
          <w:bCs/>
        </w:rPr>
        <w:t xml:space="preserve"> apply – supplemented by the </w:t>
      </w:r>
      <w:hyperlink r:id="rId42" w:history="1">
        <w:r w:rsidRPr="00F60A1E">
          <w:rPr>
            <w:rFonts w:cs="Arial"/>
            <w:color w:val="0000FF" w:themeColor="hyperlink"/>
            <w:u w:val="single"/>
          </w:rPr>
          <w:t>Judicial Code</w:t>
        </w:r>
      </w:hyperlink>
      <w:r w:rsidRPr="00F60A1E">
        <w:t xml:space="preserve"> containing civil procedural rules for when no specific Council of State rules exist</w:t>
      </w:r>
      <w:r w:rsidRPr="00F60A1E">
        <w:rPr>
          <w:vertAlign w:val="superscript"/>
        </w:rPr>
        <w:footnoteReference w:id="6"/>
      </w:r>
      <w:r w:rsidRPr="00F60A1E">
        <w:t>.</w:t>
      </w:r>
    </w:p>
    <w:p w:rsidR="00F60A1E" w:rsidRPr="00227001" w:rsidRDefault="00F60A1E" w:rsidP="00227001">
      <w:pPr>
        <w:pStyle w:val="Heading3NoNumb"/>
        <w:ind w:firstLine="851"/>
      </w:pPr>
      <w:bookmarkStart w:id="33" w:name="_Toc409792185"/>
      <w:r w:rsidRPr="00F60A1E">
        <w:t>Institutional framework</w:t>
      </w:r>
      <w:bookmarkEnd w:id="33"/>
    </w:p>
    <w:p w:rsidR="00F60A1E" w:rsidRPr="00F60A1E" w:rsidRDefault="00F60A1E" w:rsidP="00F60A1E">
      <w:pPr>
        <w:shd w:val="clear" w:color="auto" w:fill="FFFFFF"/>
        <w:spacing w:before="0" w:after="0" w:line="240" w:lineRule="auto"/>
        <w:ind w:left="851"/>
        <w:jc w:val="both"/>
        <w:rPr>
          <w:rFonts w:eastAsia="Calibri" w:cs="Arial"/>
          <w:szCs w:val="20"/>
          <w:lang w:eastAsia="en-GB"/>
        </w:rPr>
      </w:pPr>
      <w:r w:rsidRPr="00F60A1E">
        <w:rPr>
          <w:rFonts w:eastAsia="Calibri" w:cs="Arial"/>
          <w:szCs w:val="20"/>
          <w:lang w:eastAsia="en-GB"/>
        </w:rPr>
        <w:t>The</w:t>
      </w:r>
      <w:r w:rsidRPr="00F60A1E">
        <w:rPr>
          <w:rFonts w:eastAsia="Calibri"/>
          <w:b/>
          <w:szCs w:val="20"/>
          <w:lang w:eastAsia="en-GB"/>
        </w:rPr>
        <w:t> </w:t>
      </w:r>
      <w:r w:rsidRPr="00F60A1E">
        <w:rPr>
          <w:rFonts w:eastAsia="Calibri" w:cs="Arial"/>
          <w:szCs w:val="20"/>
          <w:lang w:eastAsia="en-GB"/>
        </w:rPr>
        <w:t>Constitutional Court examines</w:t>
      </w:r>
      <w:r w:rsidRPr="00F60A1E">
        <w:rPr>
          <w:rFonts w:eastAsia="Calibri"/>
          <w:szCs w:val="20"/>
          <w:lang w:eastAsia="en-GB"/>
        </w:rPr>
        <w:t xml:space="preserve"> the </w:t>
      </w:r>
      <w:r w:rsidRPr="00F60A1E">
        <w:rPr>
          <w:rFonts w:eastAsia="Calibri" w:cs="Arial"/>
          <w:bCs/>
          <w:szCs w:val="20"/>
          <w:bdr w:val="none" w:sz="0" w:space="0" w:color="auto" w:frame="1"/>
          <w:lang w:eastAsia="en-GB"/>
        </w:rPr>
        <w:t>conformity</w:t>
      </w:r>
      <w:r w:rsidRPr="00F60A1E">
        <w:rPr>
          <w:rFonts w:eastAsia="Calibri"/>
          <w:bCs/>
          <w:szCs w:val="20"/>
          <w:bdr w:val="none" w:sz="0" w:space="0" w:color="auto" w:frame="1"/>
          <w:lang w:eastAsia="en-GB"/>
        </w:rPr>
        <w:t> </w:t>
      </w:r>
      <w:r w:rsidRPr="00F60A1E">
        <w:rPr>
          <w:rFonts w:eastAsia="Calibri" w:cs="Arial"/>
          <w:szCs w:val="20"/>
          <w:lang w:eastAsia="en-GB"/>
        </w:rPr>
        <w:t>of laws, decrees and ordinances</w:t>
      </w:r>
      <w:r w:rsidRPr="00F60A1E">
        <w:rPr>
          <w:rFonts w:eastAsia="Calibri"/>
          <w:szCs w:val="20"/>
          <w:lang w:eastAsia="en-GB"/>
        </w:rPr>
        <w:t> </w:t>
      </w:r>
      <w:r w:rsidRPr="00F60A1E">
        <w:rPr>
          <w:rFonts w:eastAsia="Calibri" w:cs="Arial"/>
          <w:bCs/>
          <w:szCs w:val="20"/>
          <w:bdr w:val="none" w:sz="0" w:space="0" w:color="auto" w:frame="1"/>
          <w:lang w:eastAsia="en-GB"/>
        </w:rPr>
        <w:t>within the Constitution</w:t>
      </w:r>
      <w:r w:rsidRPr="00F60A1E">
        <w:rPr>
          <w:rFonts w:eastAsia="Calibri" w:cs="Arial"/>
          <w:szCs w:val="20"/>
          <w:lang w:eastAsia="en-GB"/>
        </w:rPr>
        <w:t>. It also oversees</w:t>
      </w:r>
      <w:r w:rsidRPr="00F60A1E">
        <w:rPr>
          <w:rFonts w:eastAsia="Calibri"/>
          <w:szCs w:val="20"/>
          <w:lang w:eastAsia="en-GB"/>
        </w:rPr>
        <w:t> </w:t>
      </w:r>
      <w:r w:rsidRPr="00F60A1E">
        <w:rPr>
          <w:rFonts w:eastAsia="Calibri" w:cs="Arial"/>
          <w:bCs/>
          <w:szCs w:val="20"/>
          <w:bdr w:val="none" w:sz="0" w:space="0" w:color="auto" w:frame="1"/>
          <w:lang w:eastAsia="en-GB"/>
        </w:rPr>
        <w:t>the division of powers</w:t>
      </w:r>
      <w:r w:rsidRPr="00F60A1E">
        <w:rPr>
          <w:rFonts w:eastAsia="Calibri"/>
          <w:szCs w:val="20"/>
          <w:lang w:eastAsia="en-GB"/>
        </w:rPr>
        <w:t> </w:t>
      </w:r>
      <w:r w:rsidRPr="00F60A1E">
        <w:rPr>
          <w:rFonts w:eastAsia="Calibri" w:cs="Arial"/>
          <w:szCs w:val="20"/>
          <w:lang w:eastAsia="en-GB"/>
        </w:rPr>
        <w:t>between the Federated authorities and the Federal State</w:t>
      </w:r>
      <w:r w:rsidRPr="00F60A1E">
        <w:rPr>
          <w:rFonts w:eastAsia="Calibri" w:cs="Arial"/>
          <w:szCs w:val="20"/>
          <w:vertAlign w:val="superscript"/>
          <w:lang w:eastAsia="en-GB"/>
        </w:rPr>
        <w:footnoteReference w:id="7"/>
      </w:r>
      <w:r w:rsidRPr="00F60A1E">
        <w:rPr>
          <w:rFonts w:eastAsia="Calibri" w:cs="Arial"/>
          <w:szCs w:val="20"/>
          <w:lang w:eastAsia="en-GB"/>
        </w:rPr>
        <w:t xml:space="preserve">. The Constitutional Court consists of 12 judges who ensure that the </w:t>
      </w:r>
      <w:hyperlink r:id="rId43" w:history="1">
        <w:r w:rsidRPr="00F60A1E">
          <w:rPr>
            <w:rFonts w:eastAsia="Calibri" w:cs="Arial"/>
            <w:color w:val="0000FF" w:themeColor="hyperlink"/>
            <w:szCs w:val="20"/>
            <w:u w:val="single"/>
            <w:lang w:eastAsia="en-GB"/>
          </w:rPr>
          <w:t>Constitution</w:t>
        </w:r>
      </w:hyperlink>
      <w:r w:rsidRPr="00F60A1E">
        <w:rPr>
          <w:rFonts w:eastAsia="Calibri" w:cs="Arial"/>
          <w:szCs w:val="20"/>
          <w:lang w:eastAsia="en-GB"/>
        </w:rPr>
        <w:t xml:space="preserve"> is observed by Belgian legislators. It may</w:t>
      </w:r>
      <w:r w:rsidRPr="00F60A1E">
        <w:rPr>
          <w:rFonts w:eastAsia="Calibri"/>
          <w:szCs w:val="20"/>
          <w:lang w:eastAsia="en-GB"/>
        </w:rPr>
        <w:t> </w:t>
      </w:r>
      <w:r w:rsidRPr="00F60A1E">
        <w:rPr>
          <w:rFonts w:eastAsia="Calibri" w:cs="Arial"/>
          <w:bCs/>
          <w:szCs w:val="20"/>
          <w:bdr w:val="none" w:sz="0" w:space="0" w:color="auto" w:frame="1"/>
          <w:lang w:eastAsia="en-GB"/>
        </w:rPr>
        <w:t>annul and suspend laws, decrees and ordinances</w:t>
      </w:r>
      <w:r w:rsidRPr="00F60A1E">
        <w:rPr>
          <w:rFonts w:eastAsia="Calibri" w:cs="Arial"/>
          <w:szCs w:val="20"/>
          <w:lang w:eastAsia="en-GB"/>
        </w:rPr>
        <w:t xml:space="preserve">. The Constitutional Court reviews the legislation regarding the rights and freedoms of Belgians, i.e. Articles 8 to 32 of the </w:t>
      </w:r>
      <w:hyperlink r:id="rId44" w:history="1">
        <w:r w:rsidRPr="00F60A1E">
          <w:rPr>
            <w:rFonts w:eastAsia="Calibri" w:cs="Arial"/>
            <w:color w:val="0000FF" w:themeColor="hyperlink"/>
            <w:szCs w:val="20"/>
            <w:u w:val="single"/>
            <w:lang w:eastAsia="en-GB"/>
          </w:rPr>
          <w:t>Constitution</w:t>
        </w:r>
      </w:hyperlink>
      <w:r w:rsidRPr="00F60A1E">
        <w:rPr>
          <w:rFonts w:eastAsia="Calibri" w:cs="Arial"/>
          <w:szCs w:val="20"/>
          <w:lang w:eastAsia="en-GB"/>
        </w:rPr>
        <w:t xml:space="preserve">, the principle of legality and equality in tax matters, i.e. Articles 170 and 172, and the protection of non-nationals – Article 191. </w:t>
      </w:r>
    </w:p>
    <w:p w:rsidR="00F60A1E" w:rsidRPr="00F60A1E" w:rsidRDefault="00F60A1E" w:rsidP="00F60A1E">
      <w:pPr>
        <w:shd w:val="clear" w:color="auto" w:fill="FFFFFF"/>
        <w:spacing w:before="0" w:after="0" w:line="240" w:lineRule="auto"/>
        <w:ind w:left="851"/>
        <w:jc w:val="both"/>
        <w:rPr>
          <w:rFonts w:eastAsia="Calibri" w:cs="Arial"/>
          <w:szCs w:val="20"/>
          <w:lang w:eastAsia="en-GB"/>
        </w:rPr>
      </w:pPr>
    </w:p>
    <w:p w:rsidR="00F60A1E" w:rsidRPr="00F60A1E" w:rsidRDefault="00537401" w:rsidP="00F60A1E">
      <w:pPr>
        <w:shd w:val="clear" w:color="auto" w:fill="FFFFFF"/>
        <w:spacing w:before="0" w:after="0" w:line="240" w:lineRule="auto"/>
        <w:ind w:left="851"/>
        <w:jc w:val="both"/>
        <w:rPr>
          <w:rFonts w:eastAsia="Calibri" w:cs="Arial"/>
          <w:szCs w:val="20"/>
          <w:lang w:eastAsia="en-GB"/>
        </w:rPr>
      </w:pPr>
      <w:hyperlink r:id="rId45" w:tgtFrame="_blank" w:history="1">
        <w:r w:rsidR="00F60A1E" w:rsidRPr="00F60A1E">
          <w:rPr>
            <w:rFonts w:eastAsia="Calibri" w:cs="Arial"/>
            <w:color w:val="0000FF" w:themeColor="hyperlink"/>
            <w:szCs w:val="20"/>
            <w:u w:val="single"/>
            <w:bdr w:val="none" w:sz="0" w:space="0" w:color="auto" w:frame="1"/>
            <w:lang w:eastAsia="en-GB"/>
          </w:rPr>
          <w:t>The</w:t>
        </w:r>
        <w:r w:rsidR="00F60A1E" w:rsidRPr="00F60A1E">
          <w:rPr>
            <w:rFonts w:eastAsia="Calibri" w:cs="Arial"/>
            <w:b/>
            <w:color w:val="0000FF" w:themeColor="hyperlink"/>
            <w:szCs w:val="20"/>
            <w:u w:val="single"/>
            <w:bdr w:val="none" w:sz="0" w:space="0" w:color="auto" w:frame="1"/>
            <w:lang w:eastAsia="en-GB"/>
          </w:rPr>
          <w:t xml:space="preserve"> </w:t>
        </w:r>
        <w:r w:rsidR="00F60A1E" w:rsidRPr="00F60A1E">
          <w:rPr>
            <w:rFonts w:eastAsia="Calibri" w:cs="Arial"/>
            <w:color w:val="0000FF" w:themeColor="hyperlink"/>
            <w:szCs w:val="20"/>
            <w:u w:val="single"/>
            <w:bdr w:val="none" w:sz="0" w:space="0" w:color="auto" w:frame="1"/>
            <w:lang w:eastAsia="en-GB"/>
          </w:rPr>
          <w:t>Council of State</w:t>
        </w:r>
      </w:hyperlink>
      <w:r w:rsidR="00F60A1E" w:rsidRPr="00F60A1E">
        <w:rPr>
          <w:rFonts w:eastAsia="Calibri" w:cs="Arial"/>
          <w:szCs w:val="20"/>
          <w:vertAlign w:val="superscript"/>
          <w:lang w:eastAsia="en-GB"/>
        </w:rPr>
        <w:footnoteReference w:id="8"/>
      </w:r>
      <w:r w:rsidR="00F60A1E" w:rsidRPr="00F60A1E">
        <w:rPr>
          <w:rFonts w:eastAsia="Calibri" w:cs="Arial"/>
          <w:szCs w:val="20"/>
          <w:lang w:eastAsia="en-GB"/>
        </w:rPr>
        <w:t xml:space="preserve"> is both an advisory and a judicial institution. The Council</w:t>
      </w:r>
      <w:r w:rsidR="00F60A1E" w:rsidRPr="00F60A1E">
        <w:rPr>
          <w:rFonts w:eastAsia="Calibri"/>
          <w:szCs w:val="20"/>
          <w:lang w:eastAsia="en-GB"/>
        </w:rPr>
        <w:t xml:space="preserve"> of State </w:t>
      </w:r>
      <w:r w:rsidR="00F60A1E" w:rsidRPr="00F60A1E">
        <w:rPr>
          <w:rFonts w:eastAsia="Calibri" w:cs="Arial"/>
          <w:bCs/>
          <w:szCs w:val="20"/>
          <w:bdr w:val="none" w:sz="0" w:space="0" w:color="auto" w:frame="1"/>
          <w:lang w:eastAsia="en-GB"/>
        </w:rPr>
        <w:t>consists</w:t>
      </w:r>
      <w:r w:rsidR="00F60A1E" w:rsidRPr="00F60A1E">
        <w:rPr>
          <w:rFonts w:eastAsia="Calibri" w:cs="Arial"/>
          <w:szCs w:val="20"/>
          <w:lang w:eastAsia="en-GB"/>
        </w:rPr>
        <w:t xml:space="preserve"> of two chambers – the Administrative Litigation Section and the Legislation Section. </w:t>
      </w:r>
    </w:p>
    <w:p w:rsidR="00F60A1E" w:rsidRPr="00F60A1E" w:rsidRDefault="00F60A1E" w:rsidP="00F60A1E">
      <w:pPr>
        <w:shd w:val="clear" w:color="auto" w:fill="FFFFFF"/>
        <w:spacing w:before="0" w:after="0" w:line="240" w:lineRule="auto"/>
        <w:ind w:left="851"/>
        <w:jc w:val="both"/>
        <w:rPr>
          <w:rFonts w:eastAsia="Calibri" w:cs="Arial"/>
          <w:szCs w:val="20"/>
          <w:lang w:eastAsia="en-GB"/>
        </w:rPr>
      </w:pPr>
    </w:p>
    <w:p w:rsidR="00F60A1E" w:rsidRPr="00F60A1E" w:rsidRDefault="00F60A1E" w:rsidP="00F60A1E">
      <w:pPr>
        <w:shd w:val="clear" w:color="auto" w:fill="FFFFFF"/>
        <w:spacing w:before="0" w:after="0" w:line="240" w:lineRule="auto"/>
        <w:ind w:left="851"/>
        <w:jc w:val="both"/>
        <w:rPr>
          <w:rFonts w:eastAsia="Calibri" w:cs="Arial"/>
          <w:szCs w:val="20"/>
          <w:lang w:eastAsia="en-GB"/>
        </w:rPr>
      </w:pPr>
      <w:r w:rsidRPr="00F60A1E">
        <w:rPr>
          <w:rFonts w:eastAsia="Calibri" w:cs="Arial"/>
          <w:szCs w:val="20"/>
          <w:lang w:eastAsia="en-GB"/>
        </w:rPr>
        <w:t>The two possible main actions before the Council of State are the annulment action or the cassation appeal. In annulment actions, the Council of State may</w:t>
      </w:r>
      <w:r w:rsidRPr="00F60A1E">
        <w:rPr>
          <w:rFonts w:eastAsia="Calibri"/>
          <w:szCs w:val="20"/>
          <w:lang w:eastAsia="en-GB"/>
        </w:rPr>
        <w:t> </w:t>
      </w:r>
      <w:r w:rsidRPr="00F60A1E">
        <w:rPr>
          <w:rFonts w:eastAsia="Calibri" w:cs="Arial"/>
          <w:bCs/>
          <w:szCs w:val="20"/>
          <w:bdr w:val="none" w:sz="0" w:space="0" w:color="auto" w:frame="1"/>
          <w:lang w:eastAsia="en-GB"/>
        </w:rPr>
        <w:t xml:space="preserve">suspend and annul administrative decisions, i.e. </w:t>
      </w:r>
      <w:r w:rsidRPr="00F60A1E">
        <w:rPr>
          <w:rFonts w:eastAsia="Calibri" w:cs="Arial"/>
          <w:szCs w:val="20"/>
          <w:lang w:eastAsia="en-GB"/>
        </w:rPr>
        <w:t>individual decisions and regulations that are</w:t>
      </w:r>
      <w:r w:rsidRPr="00F60A1E">
        <w:rPr>
          <w:rFonts w:eastAsia="Calibri"/>
          <w:szCs w:val="20"/>
          <w:lang w:eastAsia="en-GB"/>
        </w:rPr>
        <w:t> </w:t>
      </w:r>
      <w:r w:rsidRPr="00F60A1E">
        <w:rPr>
          <w:rFonts w:eastAsia="Calibri" w:cs="Arial"/>
          <w:bCs/>
          <w:szCs w:val="20"/>
          <w:bdr w:val="none" w:sz="0" w:space="0" w:color="auto" w:frame="1"/>
          <w:lang w:eastAsia="en-GB"/>
        </w:rPr>
        <w:t>in violation with the legislation</w:t>
      </w:r>
      <w:r w:rsidRPr="00F60A1E">
        <w:rPr>
          <w:rFonts w:eastAsia="Calibri" w:cs="Arial"/>
          <w:bCs/>
          <w:szCs w:val="20"/>
          <w:bdr w:val="none" w:sz="0" w:space="0" w:color="auto" w:frame="1"/>
          <w:vertAlign w:val="superscript"/>
          <w:lang w:eastAsia="en-GB"/>
        </w:rPr>
        <w:footnoteReference w:id="9"/>
      </w:r>
      <w:r w:rsidRPr="00F60A1E">
        <w:rPr>
          <w:rFonts w:eastAsia="Calibri" w:cs="Arial"/>
          <w:szCs w:val="20"/>
          <w:lang w:eastAsia="en-GB"/>
        </w:rPr>
        <w:t>. Any natural or legal persons may file an action before the Council of State against irregular administrative decisions that may have harmed them. In cassation appeals, the Council of State hears appeals</w:t>
      </w:r>
      <w:r w:rsidRPr="00F60A1E">
        <w:rPr>
          <w:rFonts w:eastAsia="Calibri"/>
          <w:szCs w:val="20"/>
          <w:lang w:eastAsia="en-GB"/>
        </w:rPr>
        <w:t> </w:t>
      </w:r>
      <w:r w:rsidRPr="00F60A1E">
        <w:rPr>
          <w:rFonts w:eastAsia="Calibri" w:cs="Arial"/>
          <w:bCs/>
          <w:szCs w:val="20"/>
          <w:bdr w:val="none" w:sz="0" w:space="0" w:color="auto" w:frame="1"/>
          <w:lang w:eastAsia="en-GB"/>
        </w:rPr>
        <w:t>against the decisions of</w:t>
      </w:r>
      <w:r w:rsidRPr="00F60A1E">
        <w:rPr>
          <w:rFonts w:eastAsia="Calibri"/>
          <w:bCs/>
          <w:szCs w:val="20"/>
          <w:bdr w:val="none" w:sz="0" w:space="0" w:color="auto" w:frame="1"/>
          <w:lang w:eastAsia="en-GB"/>
        </w:rPr>
        <w:t> </w:t>
      </w:r>
      <w:r w:rsidRPr="00F60A1E">
        <w:rPr>
          <w:rFonts w:eastAsia="Calibri" w:cs="Arial"/>
          <w:szCs w:val="20"/>
          <w:lang w:eastAsia="en-GB"/>
        </w:rPr>
        <w:t>quasi-judicial</w:t>
      </w:r>
      <w:r w:rsidRPr="00F60A1E">
        <w:rPr>
          <w:rFonts w:eastAsia="Calibri"/>
          <w:szCs w:val="20"/>
          <w:lang w:eastAsia="en-GB"/>
        </w:rPr>
        <w:t> </w:t>
      </w:r>
      <w:r w:rsidRPr="00F60A1E">
        <w:rPr>
          <w:rFonts w:eastAsia="Calibri" w:cs="Arial"/>
          <w:bCs/>
          <w:szCs w:val="20"/>
          <w:bdr w:val="none" w:sz="0" w:space="0" w:color="auto" w:frame="1"/>
          <w:lang w:eastAsia="en-GB"/>
        </w:rPr>
        <w:t>administrative authorities</w:t>
      </w:r>
      <w:r w:rsidRPr="00F60A1E">
        <w:rPr>
          <w:rFonts w:eastAsia="Calibri" w:cs="Arial"/>
          <w:szCs w:val="20"/>
          <w:lang w:eastAsia="en-GB"/>
        </w:rPr>
        <w:t>. When reviewing decisions on appeals from quasi-judicial</w:t>
      </w:r>
      <w:r w:rsidRPr="00F60A1E">
        <w:rPr>
          <w:rFonts w:eastAsia="Calibri"/>
          <w:szCs w:val="20"/>
          <w:lang w:eastAsia="en-GB"/>
        </w:rPr>
        <w:t> </w:t>
      </w:r>
      <w:r w:rsidRPr="00F60A1E">
        <w:rPr>
          <w:rFonts w:eastAsia="Calibri" w:cs="Arial"/>
          <w:bCs/>
          <w:szCs w:val="20"/>
          <w:bdr w:val="none" w:sz="0" w:space="0" w:color="auto" w:frame="1"/>
          <w:lang w:eastAsia="en-GB"/>
        </w:rPr>
        <w:t>administrative authorities</w:t>
      </w:r>
      <w:r w:rsidRPr="00F60A1E">
        <w:rPr>
          <w:rFonts w:eastAsia="Calibri" w:cs="Arial"/>
          <w:szCs w:val="20"/>
          <w:lang w:eastAsia="en-GB"/>
        </w:rPr>
        <w:t xml:space="preserve">, the Council of State does not reconsider the facts leading to the disputes but reviews the legality of the decisions. </w:t>
      </w:r>
    </w:p>
    <w:p w:rsidR="00F60A1E" w:rsidRPr="00F60A1E" w:rsidRDefault="00F60A1E" w:rsidP="00F60A1E">
      <w:pPr>
        <w:shd w:val="clear" w:color="auto" w:fill="FFFFFF"/>
        <w:spacing w:before="0" w:after="0" w:line="240" w:lineRule="auto"/>
        <w:ind w:left="851"/>
        <w:jc w:val="both"/>
        <w:rPr>
          <w:rFonts w:eastAsia="Calibri" w:cs="Arial"/>
          <w:szCs w:val="20"/>
          <w:lang w:eastAsia="en-GB"/>
        </w:rPr>
      </w:pPr>
    </w:p>
    <w:p w:rsidR="00F60A1E" w:rsidRPr="00F60A1E" w:rsidRDefault="00F60A1E" w:rsidP="00F60A1E">
      <w:pPr>
        <w:shd w:val="clear" w:color="auto" w:fill="FFFFFF"/>
        <w:spacing w:before="0" w:after="0" w:line="240" w:lineRule="auto"/>
        <w:ind w:left="851"/>
        <w:jc w:val="both"/>
        <w:rPr>
          <w:rFonts w:eastAsia="Calibri" w:cs="Arial"/>
          <w:szCs w:val="20"/>
          <w:lang w:eastAsia="en-GB"/>
        </w:rPr>
      </w:pPr>
      <w:r w:rsidRPr="00F60A1E">
        <w:rPr>
          <w:rFonts w:eastAsia="Calibri" w:cs="Arial"/>
          <w:szCs w:val="20"/>
          <w:lang w:eastAsia="en-GB"/>
        </w:rPr>
        <w:t>Finally, the Council’s Legislation Section</w:t>
      </w:r>
      <w:r w:rsidRPr="00F60A1E">
        <w:rPr>
          <w:rFonts w:eastAsia="Calibri"/>
          <w:szCs w:val="20"/>
          <w:lang w:eastAsia="en-GB"/>
        </w:rPr>
        <w:t> </w:t>
      </w:r>
      <w:r w:rsidRPr="00F60A1E">
        <w:rPr>
          <w:rFonts w:eastAsia="Calibri" w:cs="Arial"/>
          <w:bCs/>
          <w:szCs w:val="20"/>
          <w:bdr w:val="none" w:sz="0" w:space="0" w:color="auto" w:frame="1"/>
          <w:lang w:eastAsia="en-GB"/>
        </w:rPr>
        <w:t>acts as an advisory court</w:t>
      </w:r>
      <w:r w:rsidRPr="00F60A1E">
        <w:rPr>
          <w:rFonts w:eastAsia="Calibri"/>
          <w:bCs/>
          <w:szCs w:val="20"/>
          <w:bdr w:val="none" w:sz="0" w:space="0" w:color="auto" w:frame="1"/>
          <w:lang w:eastAsia="en-GB"/>
        </w:rPr>
        <w:t> </w:t>
      </w:r>
      <w:r w:rsidRPr="00F60A1E">
        <w:rPr>
          <w:rFonts w:eastAsia="Calibri" w:cs="Arial"/>
          <w:szCs w:val="20"/>
          <w:lang w:eastAsia="en-GB"/>
        </w:rPr>
        <w:t>on legislative and regulatory issues. </w:t>
      </w:r>
    </w:p>
    <w:p w:rsidR="00F60A1E" w:rsidRPr="00F60A1E" w:rsidRDefault="00F60A1E" w:rsidP="00F60A1E">
      <w:pPr>
        <w:spacing w:before="0" w:after="0" w:line="240" w:lineRule="auto"/>
        <w:ind w:left="851"/>
        <w:jc w:val="both"/>
      </w:pPr>
    </w:p>
    <w:p w:rsidR="00F60A1E" w:rsidRPr="00F60A1E" w:rsidRDefault="00F60A1E" w:rsidP="00F60A1E">
      <w:pPr>
        <w:spacing w:before="0" w:after="0" w:line="240" w:lineRule="auto"/>
        <w:ind w:left="851"/>
        <w:jc w:val="both"/>
      </w:pPr>
      <w:r w:rsidRPr="00F60A1E">
        <w:t>The civil magistrate courts (</w:t>
      </w:r>
      <w:r w:rsidRPr="00F60A1E">
        <w:rPr>
          <w:i/>
        </w:rPr>
        <w:t>Vredegerecht – Juge de paix</w:t>
      </w:r>
      <w:r w:rsidRPr="00F60A1E">
        <w:t xml:space="preserve">) is competent for civil matters with a value under EUR 1,860. A civil magistrate court is competent to hear compensation claims for the damages resulting from a decision of a public administrative authority, engaging the civil liability of the state, if under EUR 1,860. The civil magistrate is also competent to appoint guardian </w:t>
      </w:r>
      <w:r w:rsidRPr="00F60A1E">
        <w:rPr>
          <w:i/>
        </w:rPr>
        <w:t>ad litems</w:t>
      </w:r>
      <w:r w:rsidRPr="00F60A1E">
        <w:t xml:space="preserve"> to children.</w:t>
      </w:r>
    </w:p>
    <w:p w:rsidR="00F60A1E" w:rsidRPr="00F60A1E" w:rsidRDefault="00F60A1E" w:rsidP="00F60A1E">
      <w:pPr>
        <w:spacing w:before="0" w:after="0" w:line="240" w:lineRule="auto"/>
        <w:ind w:left="851"/>
        <w:jc w:val="both"/>
      </w:pPr>
    </w:p>
    <w:p w:rsidR="00F60A1E" w:rsidRPr="00F60A1E" w:rsidRDefault="00F60A1E" w:rsidP="00F60A1E">
      <w:pPr>
        <w:spacing w:before="0" w:after="0" w:line="240" w:lineRule="auto"/>
        <w:ind w:left="851"/>
        <w:jc w:val="both"/>
      </w:pPr>
      <w:r w:rsidRPr="00F60A1E">
        <w:t>The court of first instance (</w:t>
      </w:r>
      <w:r w:rsidRPr="00F60A1E">
        <w:rPr>
          <w:i/>
        </w:rPr>
        <w:t>Rechtbank van eerste aanleg - Tribunal de première instance</w:t>
      </w:r>
      <w:r w:rsidRPr="00F60A1E">
        <w:t>) includes four branches, i.e. the youth tribunal, the civil court, the correctional tribunal competent for certain criminal cases, and the court for the enforcement of sentences competent for criminal sentences.</w:t>
      </w:r>
    </w:p>
    <w:p w:rsidR="00F60A1E" w:rsidRPr="00F60A1E" w:rsidRDefault="00F60A1E" w:rsidP="00F60A1E">
      <w:pPr>
        <w:spacing w:before="0" w:after="0" w:line="240" w:lineRule="auto"/>
        <w:ind w:left="851"/>
        <w:jc w:val="both"/>
      </w:pPr>
    </w:p>
    <w:p w:rsidR="00F60A1E" w:rsidRPr="00F60A1E" w:rsidRDefault="00F60A1E" w:rsidP="00F60A1E">
      <w:pPr>
        <w:spacing w:before="0" w:after="0" w:line="240" w:lineRule="auto"/>
        <w:ind w:left="851"/>
        <w:jc w:val="both"/>
      </w:pPr>
      <w:r w:rsidRPr="00F60A1E">
        <w:t>The civil court (</w:t>
      </w:r>
      <w:r w:rsidRPr="00F60A1E">
        <w:rPr>
          <w:i/>
        </w:rPr>
        <w:t>Burgelijke rechtbank – Tribunal civil</w:t>
      </w:r>
      <w:r w:rsidRPr="00F60A1E">
        <w:t>) serves as the first instance court for civil matters with a value over EUR 1,860. The civil court is also competent to hear appeals against the civil magistrate’s court decisions on civil matters. A civil court is competent to hear compensation claims for the damages resulting from a decision of a public administrative authority, engaging the civil liability of the State, and in health care proceedings.</w:t>
      </w:r>
    </w:p>
    <w:p w:rsidR="00F60A1E" w:rsidRPr="00F60A1E" w:rsidRDefault="00F60A1E" w:rsidP="00F60A1E">
      <w:pPr>
        <w:spacing w:before="0" w:after="0" w:line="240" w:lineRule="auto"/>
        <w:ind w:left="851"/>
        <w:jc w:val="both"/>
      </w:pPr>
    </w:p>
    <w:p w:rsidR="00F60A1E" w:rsidRPr="00F60A1E" w:rsidRDefault="00F60A1E" w:rsidP="00F60A1E">
      <w:pPr>
        <w:spacing w:before="0" w:after="0" w:line="240" w:lineRule="auto"/>
        <w:ind w:left="851"/>
        <w:jc w:val="both"/>
      </w:pPr>
      <w:r w:rsidRPr="00F60A1E">
        <w:t>The youth tribunal (</w:t>
      </w:r>
      <w:r w:rsidRPr="00F60A1E">
        <w:rPr>
          <w:i/>
        </w:rPr>
        <w:t>Jeugdrechtbank – Tribunal de la jeunesse</w:t>
      </w:r>
      <w:r w:rsidRPr="00F60A1E">
        <w:t xml:space="preserve">) deals with matters of civil and criminal nature. The youth tribunal is competent when a child is suspected of having committed an act qualified as an offence, when children are in danger or in need of protection, and for specific matters such as placement into care and children with mental health issues. </w:t>
      </w:r>
    </w:p>
    <w:p w:rsidR="00F60A1E" w:rsidRPr="00F60A1E" w:rsidRDefault="00F60A1E" w:rsidP="00F60A1E">
      <w:pPr>
        <w:spacing w:before="0" w:after="0" w:line="240" w:lineRule="auto"/>
        <w:jc w:val="both"/>
      </w:pPr>
    </w:p>
    <w:p w:rsidR="00F60A1E" w:rsidRPr="00F60A1E" w:rsidRDefault="00F60A1E" w:rsidP="00F60A1E">
      <w:pPr>
        <w:spacing w:before="0" w:after="0" w:line="240" w:lineRule="auto"/>
        <w:ind w:left="851"/>
        <w:jc w:val="both"/>
      </w:pPr>
      <w:r w:rsidRPr="00F60A1E">
        <w:t>The court of appeal (</w:t>
      </w:r>
      <w:r w:rsidRPr="00F60A1E">
        <w:rPr>
          <w:i/>
        </w:rPr>
        <w:t>Hof van beroep – Cour d’appel</w:t>
      </w:r>
      <w:r w:rsidRPr="00F60A1E">
        <w:t>) hears appeals against the decisions of courts of first instance. The Court of Cassation (</w:t>
      </w:r>
      <w:r w:rsidRPr="00F60A1E">
        <w:rPr>
          <w:i/>
        </w:rPr>
        <w:t>Hof van cassatie – Cour de cassation</w:t>
      </w:r>
      <w:r w:rsidRPr="00F60A1E">
        <w:t xml:space="preserve">) is the </w:t>
      </w:r>
      <w:r w:rsidRPr="00F60A1E">
        <w:lastRenderedPageBreak/>
        <w:t>last instance court competent to ensure that procedural rules and other laws have been correctly applied. The Court of Cassation does not review the facts of the cases.</w:t>
      </w:r>
    </w:p>
    <w:p w:rsidR="00F60A1E" w:rsidRPr="00F60A1E" w:rsidRDefault="00F60A1E" w:rsidP="00F60A1E">
      <w:pPr>
        <w:spacing w:before="0" w:after="0" w:line="240" w:lineRule="auto"/>
        <w:ind w:left="851"/>
        <w:jc w:val="both"/>
      </w:pPr>
    </w:p>
    <w:p w:rsidR="00F60A1E" w:rsidRPr="00F60A1E" w:rsidRDefault="00F60A1E" w:rsidP="00F60A1E">
      <w:pPr>
        <w:spacing w:before="0" w:after="0" w:line="240" w:lineRule="auto"/>
        <w:ind w:left="851"/>
        <w:jc w:val="both"/>
      </w:pPr>
      <w:r w:rsidRPr="00F60A1E">
        <w:t>A new Act has recently been adopted on 30 July 2013, for the creation of a family and youth tribunal competent, for all family and youth matters currently scattered between three courts, i.e. the civil magistrate’s court, civil court and youth tribunal. In addition, the new law harmonises rules with regard to children, such as the requirement to hear a child who is 12 years of age or more. The law is expected to enter into force on September 2014</w:t>
      </w:r>
      <w:r w:rsidRPr="00F60A1E">
        <w:rPr>
          <w:vertAlign w:val="superscript"/>
        </w:rPr>
        <w:footnoteReference w:id="10"/>
      </w:r>
      <w:r w:rsidRPr="00F60A1E">
        <w:t xml:space="preserve"> – see also the Study </w:t>
      </w:r>
      <w:r w:rsidRPr="00F60A1E">
        <w:rPr>
          <w:rFonts w:eastAsia="Times New Roman"/>
          <w:color w:val="000000"/>
          <w:szCs w:val="22"/>
          <w:lang w:eastAsia="zh-CN"/>
        </w:rPr>
        <w:t>to collect data on children’s involvement in civil judicial proceedings</w:t>
      </w:r>
      <w:r w:rsidRPr="00F60A1E">
        <w:t>.</w:t>
      </w:r>
    </w:p>
    <w:p w:rsidR="00F60A1E" w:rsidRPr="00F60A1E" w:rsidRDefault="00F60A1E" w:rsidP="00F60A1E">
      <w:pPr>
        <w:shd w:val="clear" w:color="auto" w:fill="FFFFFF"/>
        <w:spacing w:before="0" w:after="0" w:line="240" w:lineRule="auto"/>
        <w:ind w:left="851"/>
        <w:jc w:val="both"/>
        <w:rPr>
          <w:rFonts w:eastAsia="Calibri" w:cs="Arial"/>
          <w:szCs w:val="20"/>
          <w:lang w:eastAsia="en-GB"/>
        </w:rPr>
      </w:pPr>
    </w:p>
    <w:p w:rsidR="00F60A1E" w:rsidRPr="00F60A1E" w:rsidRDefault="00F60A1E" w:rsidP="00F60A1E">
      <w:pPr>
        <w:widowControl w:val="0"/>
        <w:spacing w:before="0" w:after="0" w:line="240" w:lineRule="auto"/>
        <w:ind w:left="851"/>
        <w:jc w:val="both"/>
        <w:rPr>
          <w:szCs w:val="20"/>
        </w:rPr>
      </w:pPr>
      <w:r w:rsidRPr="00F60A1E">
        <w:rPr>
          <w:szCs w:val="20"/>
        </w:rPr>
        <w:t>Youth care services (</w:t>
      </w:r>
      <w:r w:rsidRPr="00F60A1E">
        <w:rPr>
          <w:i/>
          <w:szCs w:val="20"/>
        </w:rPr>
        <w:t>integrale jeugdhup – service d’aide à la jeunesse</w:t>
      </w:r>
      <w:r w:rsidRPr="00F60A1E">
        <w:rPr>
          <w:szCs w:val="20"/>
        </w:rPr>
        <w:t>) provide assistance to children and their families on a voluntary basis – the child needs to agree on the assistance, upon request of the child and his/her family, upon initiative of the youth service, or when the child is referred before the youth services by another service or stakeholder. The youth services are required to respect and guarantee the rights of the child. The services work preventively and aim at avoiding a case, which can be solved outside judicial proceedings, being sent before a court</w:t>
      </w:r>
      <w:r w:rsidRPr="00F60A1E">
        <w:rPr>
          <w:szCs w:val="20"/>
          <w:vertAlign w:val="superscript"/>
        </w:rPr>
        <w:footnoteReference w:id="11"/>
      </w:r>
      <w:r w:rsidRPr="00F60A1E">
        <w:rPr>
          <w:szCs w:val="20"/>
        </w:rPr>
        <w:t>.</w:t>
      </w:r>
    </w:p>
    <w:p w:rsidR="00F60A1E" w:rsidRPr="00F60A1E" w:rsidRDefault="00F60A1E" w:rsidP="00F60A1E">
      <w:pPr>
        <w:spacing w:before="0" w:after="0" w:line="240" w:lineRule="auto"/>
        <w:ind w:left="851"/>
        <w:jc w:val="both"/>
        <w:rPr>
          <w:lang w:eastAsia="fr-FR"/>
        </w:rPr>
      </w:pPr>
    </w:p>
    <w:p w:rsidR="00F60A1E" w:rsidRPr="00F60A1E" w:rsidRDefault="00F60A1E" w:rsidP="00F60A1E">
      <w:pPr>
        <w:spacing w:before="0" w:after="0" w:line="240" w:lineRule="auto"/>
        <w:ind w:left="851"/>
        <w:jc w:val="both"/>
        <w:rPr>
          <w:lang w:eastAsia="fr-FR"/>
        </w:rPr>
      </w:pPr>
      <w:r w:rsidRPr="00F60A1E">
        <w:rPr>
          <w:lang w:eastAsia="fr-FR"/>
        </w:rPr>
        <w:t>A prosecution office specialised in child-related issues is attached to the youth tribunal. The crown prosecutor and magistrates of the youth tribunal prosecution office also intervene before the civil courts in cases where children are involved</w:t>
      </w:r>
      <w:r w:rsidRPr="00F60A1E">
        <w:rPr>
          <w:vertAlign w:val="superscript"/>
          <w:lang w:eastAsia="fr-FR"/>
        </w:rPr>
        <w:footnoteReference w:id="12"/>
      </w:r>
      <w:r w:rsidRPr="00F60A1E">
        <w:rPr>
          <w:lang w:eastAsia="fr-FR"/>
        </w:rPr>
        <w:t>.</w:t>
      </w:r>
    </w:p>
    <w:p w:rsidR="00F60A1E" w:rsidRPr="00F60A1E" w:rsidRDefault="00F60A1E" w:rsidP="00F60A1E">
      <w:pPr>
        <w:widowControl w:val="0"/>
        <w:spacing w:before="0" w:after="0" w:line="240" w:lineRule="auto"/>
        <w:ind w:left="851"/>
        <w:jc w:val="both"/>
        <w:rPr>
          <w:szCs w:val="20"/>
        </w:rPr>
      </w:pPr>
    </w:p>
    <w:p w:rsidR="00F60A1E" w:rsidRPr="00F60A1E" w:rsidRDefault="00F60A1E" w:rsidP="00F60A1E">
      <w:pPr>
        <w:widowControl w:val="0"/>
        <w:spacing w:before="0" w:after="0" w:line="240" w:lineRule="auto"/>
        <w:ind w:left="851"/>
        <w:jc w:val="both"/>
        <w:rPr>
          <w:szCs w:val="20"/>
        </w:rPr>
      </w:pPr>
      <w:r w:rsidRPr="00F60A1E">
        <w:rPr>
          <w:szCs w:val="20"/>
        </w:rPr>
        <w:t>The Victim Support Service of the Houses of Justice (</w:t>
      </w:r>
      <w:r w:rsidRPr="00F60A1E">
        <w:rPr>
          <w:i/>
          <w:szCs w:val="20"/>
        </w:rPr>
        <w:t>Justitie huis - Maisons de Justice</w:t>
      </w:r>
      <w:r w:rsidRPr="00F60A1E">
        <w:rPr>
          <w:szCs w:val="20"/>
        </w:rPr>
        <w:t>), available within each judicial district, assists victims, adults and children, by providing information on formalities and proceedings before the courts</w:t>
      </w:r>
      <w:r w:rsidRPr="00F60A1E">
        <w:rPr>
          <w:szCs w:val="20"/>
          <w:vertAlign w:val="superscript"/>
        </w:rPr>
        <w:footnoteReference w:id="13"/>
      </w:r>
      <w:r w:rsidRPr="00F60A1E">
        <w:rPr>
          <w:szCs w:val="20"/>
        </w:rPr>
        <w:t xml:space="preserve">. </w:t>
      </w:r>
    </w:p>
    <w:p w:rsidR="00F60A1E" w:rsidRPr="00F60A1E" w:rsidRDefault="00F60A1E" w:rsidP="00F60A1E">
      <w:pPr>
        <w:widowControl w:val="0"/>
        <w:spacing w:before="0" w:after="0" w:line="240" w:lineRule="auto"/>
        <w:ind w:left="851"/>
        <w:jc w:val="both"/>
        <w:rPr>
          <w:szCs w:val="20"/>
        </w:rPr>
      </w:pPr>
    </w:p>
    <w:p w:rsidR="00F60A1E" w:rsidRPr="00F60A1E" w:rsidRDefault="00F60A1E" w:rsidP="00F60A1E">
      <w:pPr>
        <w:widowControl w:val="0"/>
        <w:spacing w:before="0" w:after="0" w:line="240" w:lineRule="auto"/>
        <w:ind w:left="851"/>
        <w:jc w:val="both"/>
        <w:rPr>
          <w:szCs w:val="20"/>
        </w:rPr>
      </w:pPr>
      <w:r w:rsidRPr="00F60A1E">
        <w:rPr>
          <w:szCs w:val="20"/>
        </w:rPr>
        <w:t>A judicial assistant from the Houses of Justice may be involved in the proceedings, upon request of a judge. A judicial assistant may be asked by a judge to carry out a civil social inquiry to gather information on the situation of the child’s family at the time of the proceedings</w:t>
      </w:r>
      <w:r w:rsidRPr="00F60A1E">
        <w:rPr>
          <w:szCs w:val="20"/>
          <w:vertAlign w:val="superscript"/>
        </w:rPr>
        <w:footnoteReference w:id="14"/>
      </w:r>
      <w:r w:rsidRPr="00F60A1E">
        <w:rPr>
          <w:szCs w:val="20"/>
        </w:rPr>
        <w:t>.</w:t>
      </w:r>
      <w:r w:rsidRPr="00F60A1E">
        <w:rPr>
          <w:rFonts w:cs="Arial"/>
          <w:szCs w:val="20"/>
        </w:rPr>
        <w:t xml:space="preserve"> </w:t>
      </w:r>
      <w:r w:rsidRPr="00F60A1E">
        <w:rPr>
          <w:szCs w:val="20"/>
        </w:rPr>
        <w:t>The judicial assistant collects information about the family situation, the current problems, the expectations, and the possible solutions to the conflict. These civil social studies are carried out when problems arise concerning parental authority, the residence of the child, and the right to have contact with the child in custody disputes.  In three situations, the internal adoption of a child, hearing of a child, and the consent to the marriage of a child, this specific procedure is required.</w:t>
      </w:r>
    </w:p>
    <w:p w:rsidR="00F60A1E" w:rsidRPr="00F60A1E" w:rsidRDefault="00F60A1E" w:rsidP="00F60A1E">
      <w:pPr>
        <w:widowControl w:val="0"/>
        <w:spacing w:before="0" w:after="0" w:line="240" w:lineRule="auto"/>
        <w:ind w:left="851"/>
        <w:jc w:val="both"/>
      </w:pPr>
    </w:p>
    <w:p w:rsidR="00F60A1E" w:rsidRPr="00F60A1E" w:rsidRDefault="00F60A1E" w:rsidP="00F60A1E">
      <w:pPr>
        <w:spacing w:before="0" w:after="0" w:line="240" w:lineRule="auto"/>
        <w:ind w:left="851"/>
        <w:jc w:val="both"/>
        <w:rPr>
          <w:rFonts w:eastAsia="Times New Roman"/>
          <w:lang w:val="en" w:eastAsia="nl-BE"/>
        </w:rPr>
      </w:pPr>
      <w:r w:rsidRPr="00F60A1E">
        <w:rPr>
          <w:rFonts w:eastAsia="Times New Roman"/>
          <w:lang w:val="en" w:eastAsia="nl-BE"/>
        </w:rPr>
        <w:t xml:space="preserve">The youth judge is assisted by </w:t>
      </w:r>
      <w:r w:rsidRPr="00F60A1E">
        <w:rPr>
          <w:rFonts w:eastAsia="Times New Roman"/>
          <w:bCs/>
          <w:lang w:val="en" w:eastAsia="nl-BE"/>
        </w:rPr>
        <w:t>the social service for judicial youth assistance</w:t>
      </w:r>
      <w:r w:rsidRPr="00F60A1E">
        <w:rPr>
          <w:rFonts w:eastAsia="Times New Roman"/>
          <w:bCs/>
          <w:vertAlign w:val="superscript"/>
          <w:lang w:val="en" w:eastAsia="nl-BE"/>
        </w:rPr>
        <w:footnoteReference w:id="15"/>
      </w:r>
      <w:r w:rsidRPr="00F60A1E">
        <w:rPr>
          <w:rFonts w:eastAsia="Times New Roman"/>
          <w:lang w:val="en" w:eastAsia="nl-BE"/>
        </w:rPr>
        <w:t>. The judge gives this service the assignment to further investigate the situation of the child before he/she decides which measure he/she will take for the child. The social service also ensures that the measure is implemented.</w:t>
      </w:r>
    </w:p>
    <w:p w:rsidR="00F60A1E" w:rsidRPr="00227001" w:rsidRDefault="00F60A1E" w:rsidP="00227001">
      <w:pPr>
        <w:pStyle w:val="Heading3NoNumb"/>
        <w:ind w:firstLine="851"/>
      </w:pPr>
      <w:bookmarkStart w:id="34" w:name="_Toc409792186"/>
      <w:r w:rsidRPr="00F60A1E">
        <w:t>Mediation/ombudsmen</w:t>
      </w:r>
      <w:bookmarkEnd w:id="34"/>
    </w:p>
    <w:p w:rsidR="00F60A1E" w:rsidRPr="00F60A1E" w:rsidRDefault="00F60A1E" w:rsidP="00F60A1E">
      <w:pPr>
        <w:shd w:val="clear" w:color="auto" w:fill="FFFFFF"/>
        <w:spacing w:before="0" w:after="0" w:line="240" w:lineRule="auto"/>
        <w:ind w:left="851"/>
        <w:jc w:val="both"/>
        <w:rPr>
          <w:rFonts w:eastAsia="Calibri" w:cs="Arial"/>
          <w:szCs w:val="20"/>
          <w:lang w:eastAsia="en-GB"/>
        </w:rPr>
      </w:pPr>
      <w:r w:rsidRPr="00F60A1E">
        <w:rPr>
          <w:rFonts w:eastAsia="Calibri" w:cs="Arial"/>
          <w:szCs w:val="20"/>
          <w:lang w:eastAsia="en-GB"/>
        </w:rPr>
        <w:t xml:space="preserve">As described below in several sectors, mediation is the first step to complain/appeal against a decision of an administrative authority. In health care, mediation services – which are established in every hospital, will review the complaint of a patient against a decision of a health practitioner from the hospital. Decisions by health practitioners outside hospitals, affecting the patient’s rights, can be appealed to the local mediator or, if none, to the Federal </w:t>
      </w:r>
      <w:r w:rsidRPr="00F60A1E">
        <w:rPr>
          <w:rFonts w:eastAsia="Calibri" w:cs="Arial"/>
          <w:szCs w:val="20"/>
          <w:lang w:eastAsia="en-GB"/>
        </w:rPr>
        <w:lastRenderedPageBreak/>
        <w:t>Commission on Patient Rights</w:t>
      </w:r>
      <w:r w:rsidRPr="00F60A1E">
        <w:rPr>
          <w:rFonts w:eastAsia="Calibri" w:cs="Arial"/>
          <w:szCs w:val="20"/>
          <w:vertAlign w:val="superscript"/>
          <w:lang w:eastAsia="en-GB"/>
        </w:rPr>
        <w:footnoteReference w:id="16"/>
      </w:r>
      <w:r w:rsidRPr="00F60A1E">
        <w:rPr>
          <w:rFonts w:eastAsia="Calibri" w:cs="Arial"/>
          <w:szCs w:val="20"/>
          <w:lang w:eastAsia="en-GB"/>
        </w:rPr>
        <w:t xml:space="preserve">. In administrative sanctions, a municipality must first offer to start mediation before imposing an administrative sanction. </w:t>
      </w:r>
    </w:p>
    <w:p w:rsidR="00F60A1E" w:rsidRPr="00F60A1E" w:rsidRDefault="00F60A1E" w:rsidP="00F60A1E">
      <w:pPr>
        <w:shd w:val="clear" w:color="auto" w:fill="FFFFFF"/>
        <w:spacing w:before="0" w:after="0" w:line="240" w:lineRule="auto"/>
        <w:ind w:left="851"/>
        <w:jc w:val="both"/>
        <w:rPr>
          <w:rFonts w:eastAsia="Calibri" w:cs="Arial"/>
          <w:szCs w:val="20"/>
          <w:lang w:eastAsia="en-GB"/>
        </w:rPr>
      </w:pPr>
    </w:p>
    <w:p w:rsidR="00F60A1E" w:rsidRPr="00F60A1E" w:rsidRDefault="00F60A1E" w:rsidP="00F60A1E">
      <w:pPr>
        <w:shd w:val="clear" w:color="auto" w:fill="FFFFFF"/>
        <w:spacing w:before="0" w:after="0" w:line="240" w:lineRule="auto"/>
        <w:ind w:left="851"/>
        <w:jc w:val="both"/>
        <w:rPr>
          <w:rFonts w:eastAsia="Calibri" w:cs="Arial"/>
          <w:szCs w:val="20"/>
          <w:lang w:eastAsia="en-GB"/>
        </w:rPr>
      </w:pPr>
      <w:r w:rsidRPr="00F60A1E">
        <w:rPr>
          <w:rFonts w:eastAsia="Calibri" w:cs="Arial"/>
          <w:szCs w:val="20"/>
          <w:lang w:eastAsia="en-GB"/>
        </w:rPr>
        <w:t>In addition, a child through his/her legal representative may turn to the Federal Ombudsman</w:t>
      </w:r>
      <w:r w:rsidRPr="00F60A1E">
        <w:rPr>
          <w:rFonts w:eastAsia="Calibri" w:cs="Arial"/>
          <w:szCs w:val="20"/>
          <w:vertAlign w:val="superscript"/>
          <w:lang w:eastAsia="en-GB"/>
        </w:rPr>
        <w:footnoteReference w:id="17"/>
      </w:r>
      <w:r w:rsidRPr="00F60A1E">
        <w:rPr>
          <w:rFonts w:eastAsia="Calibri" w:cs="Arial"/>
          <w:szCs w:val="20"/>
          <w:lang w:eastAsia="en-GB"/>
        </w:rPr>
        <w:t xml:space="preserve"> to review any action or decision of a federal public administrative authority. The Federal Ombudsman is active in the sectors of asylum, migration and social affairs. A procedure before the Federal Ombudsman does not suspend legal time limits for judicial appeals of a decision of an administrative authority. </w:t>
      </w:r>
    </w:p>
    <w:p w:rsidR="00F60A1E" w:rsidRPr="00F60A1E" w:rsidRDefault="00F60A1E" w:rsidP="00F60A1E">
      <w:pPr>
        <w:shd w:val="clear" w:color="auto" w:fill="FFFFFF"/>
        <w:spacing w:before="0" w:after="0" w:line="240" w:lineRule="auto"/>
        <w:ind w:left="851"/>
        <w:jc w:val="both"/>
        <w:rPr>
          <w:rFonts w:eastAsia="Calibri" w:cs="Arial"/>
          <w:szCs w:val="20"/>
          <w:lang w:eastAsia="en-GB"/>
        </w:rPr>
      </w:pPr>
    </w:p>
    <w:p w:rsidR="00F60A1E" w:rsidRPr="00F60A1E" w:rsidRDefault="00F60A1E" w:rsidP="00F60A1E">
      <w:pPr>
        <w:shd w:val="clear" w:color="auto" w:fill="FFFFFF"/>
        <w:spacing w:before="0" w:after="0" w:line="240" w:lineRule="auto"/>
        <w:ind w:left="851"/>
        <w:jc w:val="both"/>
        <w:rPr>
          <w:rFonts w:eastAsia="Calibri" w:cs="Arial"/>
          <w:szCs w:val="20"/>
          <w:highlight w:val="yellow"/>
          <w:lang w:eastAsia="en-GB"/>
        </w:rPr>
      </w:pPr>
      <w:r w:rsidRPr="00F60A1E">
        <w:rPr>
          <w:rFonts w:eastAsia="Calibri" w:cs="Arial"/>
          <w:szCs w:val="20"/>
          <w:lang w:eastAsia="en-GB"/>
        </w:rPr>
        <w:t>At the regional level, a child through his/her legal representative may complain to the Ombudsman for Wallonia and the Federation of Wallonia-Brussels</w:t>
      </w:r>
      <w:r w:rsidRPr="00F60A1E">
        <w:rPr>
          <w:rFonts w:eastAsia="Calibri" w:cs="Arial"/>
          <w:szCs w:val="20"/>
          <w:vertAlign w:val="superscript"/>
          <w:lang w:eastAsia="en-GB"/>
        </w:rPr>
        <w:footnoteReference w:id="18"/>
      </w:r>
      <w:r w:rsidRPr="00F60A1E">
        <w:rPr>
          <w:rFonts w:eastAsia="Calibri" w:cs="Arial"/>
          <w:szCs w:val="20"/>
          <w:lang w:eastAsia="en-GB"/>
        </w:rPr>
        <w:t xml:space="preserve"> if he/she disagrees with a decision of a Walloon regional administrative authority. In the German community, the Ombudsman for the German-speaking community has similar competence</w:t>
      </w:r>
      <w:r w:rsidRPr="00F60A1E">
        <w:rPr>
          <w:rFonts w:eastAsia="Calibri" w:cs="Arial"/>
          <w:szCs w:val="20"/>
          <w:vertAlign w:val="superscript"/>
          <w:lang w:eastAsia="en-GB"/>
        </w:rPr>
        <w:footnoteReference w:id="19"/>
      </w:r>
      <w:r w:rsidRPr="00F60A1E">
        <w:rPr>
          <w:rFonts w:eastAsia="Calibri" w:cs="Arial"/>
          <w:szCs w:val="20"/>
          <w:lang w:eastAsia="en-GB"/>
        </w:rPr>
        <w:t>. In Flanders, the Flemish Ombudsman service deals with complaints against Flemish administrative authorities</w:t>
      </w:r>
      <w:r w:rsidRPr="00F60A1E">
        <w:rPr>
          <w:rFonts w:eastAsia="Calibri" w:cs="Arial"/>
          <w:szCs w:val="20"/>
          <w:vertAlign w:val="superscript"/>
          <w:lang w:eastAsia="en-GB"/>
        </w:rPr>
        <w:footnoteReference w:id="20"/>
      </w:r>
      <w:r w:rsidRPr="00F60A1E">
        <w:rPr>
          <w:rFonts w:eastAsia="Calibri" w:cs="Arial"/>
          <w:szCs w:val="20"/>
          <w:lang w:eastAsia="en-GB"/>
        </w:rPr>
        <w:t>. Certain municipalities also have their own ombudsman services</w:t>
      </w:r>
      <w:r w:rsidRPr="00F60A1E">
        <w:rPr>
          <w:rFonts w:eastAsia="Calibri" w:cs="Arial"/>
          <w:szCs w:val="20"/>
          <w:vertAlign w:val="superscript"/>
          <w:lang w:eastAsia="en-GB"/>
        </w:rPr>
        <w:footnoteReference w:id="21"/>
      </w:r>
      <w:r w:rsidRPr="00F60A1E">
        <w:rPr>
          <w:rFonts w:eastAsia="Calibri" w:cs="Arial"/>
          <w:szCs w:val="20"/>
          <w:lang w:eastAsia="en-GB"/>
        </w:rPr>
        <w:t xml:space="preserve">. </w:t>
      </w:r>
    </w:p>
    <w:p w:rsidR="00F60A1E" w:rsidRPr="00F60A1E" w:rsidRDefault="00F60A1E" w:rsidP="00F60A1E">
      <w:pPr>
        <w:shd w:val="clear" w:color="auto" w:fill="FFFFFF"/>
        <w:spacing w:before="0" w:after="0" w:line="240" w:lineRule="auto"/>
        <w:ind w:left="851"/>
        <w:jc w:val="both"/>
        <w:rPr>
          <w:rFonts w:eastAsia="Calibri" w:cs="Arial"/>
          <w:szCs w:val="20"/>
          <w:highlight w:val="yellow"/>
          <w:lang w:eastAsia="en-GB"/>
        </w:rPr>
      </w:pPr>
    </w:p>
    <w:p w:rsidR="00F60A1E" w:rsidRPr="00F60A1E" w:rsidRDefault="00F60A1E" w:rsidP="00F60A1E">
      <w:pPr>
        <w:spacing w:before="0" w:after="0" w:line="240" w:lineRule="auto"/>
        <w:ind w:left="851"/>
        <w:jc w:val="both"/>
        <w:rPr>
          <w:lang w:eastAsia="fr-FR"/>
        </w:rPr>
      </w:pPr>
      <w:r w:rsidRPr="00F60A1E">
        <w:rPr>
          <w:lang w:eastAsia="fr-FR"/>
        </w:rPr>
        <w:t>As described in the Study to collect data on children’s involvement in criminal judicial proceedings, the Delegate General for the rights of the child in the French community (</w:t>
      </w:r>
      <w:hyperlink r:id="rId46" w:history="1">
        <w:r w:rsidRPr="00F60A1E">
          <w:rPr>
            <w:rFonts w:cs="Arial"/>
            <w:i/>
            <w:color w:val="0000FF" w:themeColor="hyperlink"/>
            <w:u w:val="single"/>
            <w:lang w:eastAsia="fr-FR"/>
          </w:rPr>
          <w:t>Délégué Général aux droits de l’enfant</w:t>
        </w:r>
      </w:hyperlink>
      <w:r w:rsidRPr="00F60A1E">
        <w:rPr>
          <w:lang w:eastAsia="fr-FR"/>
        </w:rPr>
        <w:t>) and Children’s Rights Commissioner of the Flemish community (</w:t>
      </w:r>
      <w:hyperlink r:id="rId47" w:history="1">
        <w:r w:rsidRPr="00F60A1E">
          <w:rPr>
            <w:rFonts w:cs="Arial"/>
            <w:i/>
            <w:color w:val="0000FF" w:themeColor="hyperlink"/>
            <w:u w:val="single"/>
            <w:lang w:eastAsia="fr-FR"/>
          </w:rPr>
          <w:t>het Kinderrechtencommissariaat</w:t>
        </w:r>
      </w:hyperlink>
      <w:r w:rsidRPr="00F60A1E">
        <w:rPr>
          <w:lang w:eastAsia="fr-FR"/>
        </w:rPr>
        <w:t>) have the mission to defend and promote the rights and interests of children and to ensure the correct application of legislation concerning children. They can receive information, complaints or requests for mediation relating to infringements of the rights of children. They are not, however, involved in the judicial proceedings.</w:t>
      </w:r>
    </w:p>
    <w:p w:rsidR="00F60A1E" w:rsidRPr="00F60A1E" w:rsidRDefault="00F60A1E" w:rsidP="00F60A1E">
      <w:pPr>
        <w:spacing w:before="0" w:after="0" w:line="240" w:lineRule="auto"/>
        <w:ind w:left="851"/>
        <w:jc w:val="both"/>
        <w:rPr>
          <w:lang w:eastAsia="fr-FR"/>
        </w:rPr>
      </w:pPr>
    </w:p>
    <w:p w:rsidR="00F60A1E" w:rsidRPr="00F60A1E" w:rsidRDefault="00F60A1E" w:rsidP="00F60A1E">
      <w:pPr>
        <w:spacing w:before="0" w:after="0" w:line="240" w:lineRule="auto"/>
        <w:ind w:left="851"/>
        <w:jc w:val="both"/>
        <w:rPr>
          <w:lang w:eastAsia="fr-FR"/>
        </w:rPr>
      </w:pPr>
      <w:r w:rsidRPr="00F60A1E">
        <w:t xml:space="preserve">The </w:t>
      </w:r>
      <w:r w:rsidRPr="00F60A1E">
        <w:rPr>
          <w:lang w:eastAsia="fr-FR"/>
        </w:rPr>
        <w:t>Interfederal Centre for Equal Opportunities</w:t>
      </w:r>
      <w:r w:rsidRPr="00F60A1E">
        <w:t xml:space="preserve"> is competent to hear any complaint if the child believes a public administrative authority’s decision leads to discrimination based on a protected ground – see point B below</w:t>
      </w:r>
      <w:r w:rsidRPr="00F60A1E">
        <w:rPr>
          <w:vertAlign w:val="superscript"/>
        </w:rPr>
        <w:footnoteReference w:id="22"/>
      </w:r>
      <w:r w:rsidRPr="00F60A1E">
        <w:t>.</w:t>
      </w:r>
    </w:p>
    <w:p w:rsidR="00F60A1E" w:rsidRPr="00F60A1E" w:rsidRDefault="00F60A1E" w:rsidP="00F60A1E">
      <w:pPr>
        <w:widowControl w:val="0"/>
        <w:spacing w:before="0" w:after="0" w:line="240" w:lineRule="auto"/>
        <w:ind w:left="851"/>
        <w:jc w:val="both"/>
        <w:rPr>
          <w:szCs w:val="20"/>
        </w:rPr>
      </w:pPr>
    </w:p>
    <w:p w:rsidR="00F60A1E" w:rsidRPr="00F60A1E" w:rsidRDefault="00F60A1E" w:rsidP="00F60A1E">
      <w:pPr>
        <w:shd w:val="clear" w:color="auto" w:fill="FFFFFF"/>
        <w:spacing w:before="0" w:after="0" w:line="240" w:lineRule="auto"/>
        <w:ind w:left="851"/>
        <w:jc w:val="both"/>
        <w:rPr>
          <w:rFonts w:eastAsia="Calibri" w:cs="Arial"/>
          <w:szCs w:val="20"/>
          <w:highlight w:val="yellow"/>
          <w:lang w:eastAsia="en-GB"/>
        </w:rPr>
      </w:pPr>
      <w:r w:rsidRPr="00F60A1E">
        <w:rPr>
          <w:rFonts w:eastAsia="Calibri" w:cs="Arial"/>
          <w:szCs w:val="20"/>
          <w:lang w:eastAsia="en-GB"/>
        </w:rPr>
        <w:t>As a result, for example, a child disagreeing with a decision in education in Wallonia could appeal to the Delegate General for the rights of the child, the Ombudsman for Wallonia and the Federation of Wallonia-Brussels, or the ombudsman of the municipality – if available. If the complaint relates to discrimination, the child may also turn to the Interfederal Centre for Equal Opportunities. If no satisfactory solution is found via mediation, the child, through his/her legal representative may always turn to judicial proceedings.</w:t>
      </w:r>
    </w:p>
    <w:p w:rsidR="00F60A1E" w:rsidRPr="00227001" w:rsidRDefault="00F60A1E" w:rsidP="00227001">
      <w:pPr>
        <w:pStyle w:val="Heading3NoNumb"/>
        <w:ind w:firstLine="851"/>
      </w:pPr>
      <w:bookmarkStart w:id="35" w:name="_Toc409792187"/>
      <w:r w:rsidRPr="00F60A1E">
        <w:t>Administrative justice system</w:t>
      </w:r>
      <w:bookmarkEnd w:id="35"/>
      <w:r w:rsidRPr="00F60A1E">
        <w:t xml:space="preserve"> </w:t>
      </w:r>
    </w:p>
    <w:p w:rsidR="00F60A1E" w:rsidRPr="00F60A1E" w:rsidRDefault="00F60A1E" w:rsidP="00F60A1E">
      <w:pPr>
        <w:widowControl w:val="0"/>
        <w:spacing w:before="0" w:after="0" w:line="240" w:lineRule="auto"/>
        <w:ind w:left="851"/>
        <w:jc w:val="both"/>
        <w:rPr>
          <w:szCs w:val="20"/>
        </w:rPr>
      </w:pPr>
      <w:r w:rsidRPr="00F60A1E">
        <w:rPr>
          <w:szCs w:val="20"/>
        </w:rPr>
        <w:t xml:space="preserve">Belgium has two administrative courts – the Council of State and the Constitutional Court. The two courts are not general first instance administrative courts. </w:t>
      </w:r>
    </w:p>
    <w:p w:rsidR="00F60A1E" w:rsidRPr="00F60A1E" w:rsidRDefault="00F60A1E" w:rsidP="00F60A1E">
      <w:pPr>
        <w:widowControl w:val="0"/>
        <w:spacing w:before="0" w:after="0" w:line="240" w:lineRule="auto"/>
        <w:ind w:left="851"/>
        <w:jc w:val="both"/>
        <w:rPr>
          <w:szCs w:val="20"/>
        </w:rPr>
      </w:pPr>
    </w:p>
    <w:p w:rsidR="00F60A1E" w:rsidRPr="00F60A1E" w:rsidRDefault="00F60A1E" w:rsidP="00F60A1E">
      <w:pPr>
        <w:widowControl w:val="0"/>
        <w:spacing w:before="0" w:after="0" w:line="240" w:lineRule="auto"/>
        <w:ind w:left="851"/>
        <w:jc w:val="both"/>
        <w:rPr>
          <w:szCs w:val="20"/>
        </w:rPr>
      </w:pPr>
      <w:r w:rsidRPr="00F60A1E">
        <w:rPr>
          <w:szCs w:val="20"/>
        </w:rPr>
        <w:t xml:space="preserve">The Constitutional Court verifies whether or not the legislation and administrative regulations are in compliance with the </w:t>
      </w:r>
      <w:hyperlink r:id="rId48" w:history="1">
        <w:r w:rsidRPr="00F60A1E">
          <w:rPr>
            <w:color w:val="0000FF" w:themeColor="hyperlink"/>
            <w:szCs w:val="20"/>
            <w:u w:val="single"/>
          </w:rPr>
          <w:t>Constitution</w:t>
        </w:r>
      </w:hyperlink>
      <w:r w:rsidRPr="00F60A1E">
        <w:rPr>
          <w:szCs w:val="20"/>
        </w:rPr>
        <w:t>.</w:t>
      </w:r>
    </w:p>
    <w:p w:rsidR="00F60A1E" w:rsidRPr="00F60A1E" w:rsidRDefault="00F60A1E" w:rsidP="00F60A1E">
      <w:pPr>
        <w:widowControl w:val="0"/>
        <w:spacing w:before="0" w:after="0" w:line="240" w:lineRule="auto"/>
        <w:ind w:left="851"/>
        <w:jc w:val="both"/>
        <w:rPr>
          <w:szCs w:val="20"/>
        </w:rPr>
      </w:pPr>
    </w:p>
    <w:p w:rsidR="00F60A1E" w:rsidRPr="00F60A1E" w:rsidRDefault="00F60A1E" w:rsidP="00F60A1E">
      <w:pPr>
        <w:widowControl w:val="0"/>
        <w:spacing w:before="0" w:after="0" w:line="240" w:lineRule="auto"/>
        <w:ind w:left="851"/>
        <w:jc w:val="both"/>
        <w:rPr>
          <w:szCs w:val="20"/>
        </w:rPr>
      </w:pPr>
      <w:r w:rsidRPr="00F60A1E">
        <w:rPr>
          <w:szCs w:val="20"/>
        </w:rPr>
        <w:t>Regarding the decisions of administrative authorities, the Council of State’s role is mostly limited to controlling the legality of administrative decisions. The two main types of proceedings before the Council of State are the annulment and suspension procedure and the cassation procedure. The annulment procedure, often combined with a suspension procedure, is a request for the annulment of an administrative authority’s decision. The cassation procedure consists of an appeal against a decision of a quasi-judicial administrative appeal authority, i.e. mostly relevant to the asylum and migration sector</w:t>
      </w:r>
      <w:r w:rsidRPr="00F60A1E">
        <w:rPr>
          <w:szCs w:val="20"/>
          <w:vertAlign w:val="superscript"/>
        </w:rPr>
        <w:footnoteReference w:id="23"/>
      </w:r>
      <w:r w:rsidRPr="00F60A1E">
        <w:rPr>
          <w:szCs w:val="20"/>
        </w:rPr>
        <w:t xml:space="preserve">. In some specific cases, the Council of </w:t>
      </w:r>
      <w:r w:rsidRPr="00F60A1E">
        <w:rPr>
          <w:szCs w:val="20"/>
        </w:rPr>
        <w:lastRenderedPageBreak/>
        <w:t xml:space="preserve">State acts as a full judicial jurisdiction although children would not typically be involved in such cases, i.e. in disputes regarding elections of the boards of certain administrative authorities, municipal elections, or conflict of competence between municipalities and provinces. </w:t>
      </w:r>
    </w:p>
    <w:p w:rsidR="00F60A1E" w:rsidRPr="00F60A1E" w:rsidRDefault="00F60A1E" w:rsidP="00F60A1E">
      <w:pPr>
        <w:widowControl w:val="0"/>
        <w:spacing w:before="0" w:after="0" w:line="240" w:lineRule="auto"/>
        <w:ind w:left="851"/>
        <w:jc w:val="both"/>
        <w:rPr>
          <w:szCs w:val="20"/>
        </w:rPr>
      </w:pPr>
    </w:p>
    <w:p w:rsidR="00F60A1E" w:rsidRPr="00F60A1E" w:rsidRDefault="00F60A1E" w:rsidP="00F60A1E">
      <w:pPr>
        <w:widowControl w:val="0"/>
        <w:spacing w:before="0" w:after="0" w:line="240" w:lineRule="auto"/>
        <w:ind w:left="851"/>
        <w:jc w:val="both"/>
        <w:rPr>
          <w:szCs w:val="20"/>
        </w:rPr>
      </w:pPr>
      <w:r w:rsidRPr="00F60A1E">
        <w:rPr>
          <w:szCs w:val="20"/>
        </w:rPr>
        <w:t>To challenge an administrative authority’s decision before the Council of State, a person must demonstrate an interest – personal, direct, and legitimate</w:t>
      </w:r>
      <w:r w:rsidRPr="00F60A1E">
        <w:rPr>
          <w:szCs w:val="20"/>
          <w:vertAlign w:val="superscript"/>
        </w:rPr>
        <w:footnoteReference w:id="24"/>
      </w:r>
      <w:r w:rsidRPr="00F60A1E">
        <w:rPr>
          <w:szCs w:val="20"/>
        </w:rPr>
        <w:t>, in the legality of the administrative authority’s decision that he/she wants to challenge.</w:t>
      </w:r>
    </w:p>
    <w:p w:rsidR="00F60A1E" w:rsidRPr="00F60A1E" w:rsidRDefault="00F60A1E" w:rsidP="00F60A1E">
      <w:pPr>
        <w:widowControl w:val="0"/>
        <w:spacing w:before="0" w:after="0" w:line="240" w:lineRule="auto"/>
        <w:ind w:left="851"/>
        <w:jc w:val="both"/>
        <w:rPr>
          <w:szCs w:val="20"/>
        </w:rPr>
      </w:pPr>
    </w:p>
    <w:p w:rsidR="00F60A1E" w:rsidRPr="00F60A1E" w:rsidRDefault="00F60A1E" w:rsidP="00F60A1E">
      <w:pPr>
        <w:widowControl w:val="0"/>
        <w:spacing w:before="0" w:after="0" w:line="240" w:lineRule="auto"/>
        <w:ind w:left="851"/>
        <w:jc w:val="both"/>
        <w:rPr>
          <w:szCs w:val="20"/>
        </w:rPr>
      </w:pPr>
      <w:r w:rsidRPr="00F60A1E">
        <w:rPr>
          <w:szCs w:val="20"/>
        </w:rPr>
        <w:t>Before turning to a judicial appeal of an administrative authority’s decision before the Council of State, the child, through his/her legal representative, will first need to turn to an appeal administrative authority, or a quasi-judicial administrative authority, if such an appeal exists and is mandatory</w:t>
      </w:r>
      <w:r w:rsidRPr="00F60A1E">
        <w:rPr>
          <w:szCs w:val="20"/>
          <w:vertAlign w:val="superscript"/>
        </w:rPr>
        <w:footnoteReference w:id="25"/>
      </w:r>
      <w:r w:rsidRPr="00F60A1E">
        <w:rPr>
          <w:szCs w:val="20"/>
        </w:rPr>
        <w:t>.</w:t>
      </w:r>
    </w:p>
    <w:p w:rsidR="00F60A1E" w:rsidRPr="00F60A1E" w:rsidRDefault="00F60A1E" w:rsidP="00F60A1E">
      <w:pPr>
        <w:widowControl w:val="0"/>
        <w:spacing w:before="0" w:after="0" w:line="240" w:lineRule="auto"/>
        <w:ind w:left="851"/>
        <w:jc w:val="both"/>
        <w:rPr>
          <w:szCs w:val="20"/>
          <w:highlight w:val="yellow"/>
        </w:rPr>
      </w:pPr>
    </w:p>
    <w:p w:rsidR="00F60A1E" w:rsidRPr="00F60A1E" w:rsidRDefault="00F60A1E" w:rsidP="00F60A1E">
      <w:pPr>
        <w:widowControl w:val="0"/>
        <w:spacing w:before="0" w:after="0" w:line="240" w:lineRule="auto"/>
        <w:ind w:left="851"/>
        <w:jc w:val="both"/>
        <w:rPr>
          <w:szCs w:val="20"/>
          <w:highlight w:val="yellow"/>
        </w:rPr>
      </w:pPr>
      <w:r w:rsidRPr="00F60A1E">
        <w:rPr>
          <w:szCs w:val="20"/>
        </w:rPr>
        <w:t>Ordinary courts, i.e. civil magistrate courts and courts of first instance – see above for further details, are also competent to hear appeals against decisions of public administrative authorities</w:t>
      </w:r>
      <w:r w:rsidRPr="00F60A1E">
        <w:rPr>
          <w:szCs w:val="20"/>
          <w:vertAlign w:val="superscript"/>
        </w:rPr>
        <w:footnoteReference w:id="26"/>
      </w:r>
      <w:r w:rsidRPr="00F60A1E">
        <w:rPr>
          <w:szCs w:val="20"/>
        </w:rPr>
        <w:t>. For an ordinary court to be competent a judicial appeal must involve subjective rights (</w:t>
      </w:r>
      <w:r w:rsidRPr="00F60A1E">
        <w:rPr>
          <w:i/>
          <w:szCs w:val="20"/>
        </w:rPr>
        <w:t>subjectieve rechten – droits subjectives</w:t>
      </w:r>
      <w:r w:rsidRPr="00F60A1E">
        <w:rPr>
          <w:szCs w:val="20"/>
        </w:rPr>
        <w:t>), i.e. a person believes that his/her rights have been violated by the administrative authority</w:t>
      </w:r>
      <w:r w:rsidRPr="00F60A1E">
        <w:rPr>
          <w:szCs w:val="20"/>
          <w:vertAlign w:val="superscript"/>
        </w:rPr>
        <w:footnoteReference w:id="27"/>
      </w:r>
      <w:r w:rsidRPr="00F60A1E">
        <w:rPr>
          <w:szCs w:val="20"/>
        </w:rPr>
        <w:t>. A judicial appeal may also concern civil rights, i.e. property rights and the rights of the person, or criminal law. A claim before the ordinary court is thus related to a breach of rights and not to the legality of the exercise of an administrative authority’s power. On the other hand, a claim based on the violation of political rights falls within the competence of an administrative jurisdiction.</w:t>
      </w:r>
    </w:p>
    <w:p w:rsidR="00F60A1E" w:rsidRPr="00F60A1E" w:rsidRDefault="00F60A1E" w:rsidP="00F60A1E">
      <w:pPr>
        <w:widowControl w:val="0"/>
        <w:spacing w:before="0" w:after="0" w:line="240" w:lineRule="auto"/>
        <w:ind w:left="851"/>
        <w:jc w:val="both"/>
        <w:rPr>
          <w:szCs w:val="20"/>
        </w:rPr>
      </w:pPr>
    </w:p>
    <w:p w:rsidR="00F60A1E" w:rsidRPr="00F60A1E" w:rsidRDefault="00F60A1E" w:rsidP="00F60A1E">
      <w:pPr>
        <w:widowControl w:val="0"/>
        <w:spacing w:before="0" w:after="0" w:line="240" w:lineRule="auto"/>
        <w:ind w:left="851"/>
        <w:jc w:val="both"/>
        <w:rPr>
          <w:szCs w:val="20"/>
        </w:rPr>
      </w:pPr>
      <w:r w:rsidRPr="00F60A1E">
        <w:rPr>
          <w:szCs w:val="20"/>
        </w:rPr>
        <w:t>Since the legislation does not define subjective civil and objective political rights – which actually define the differences between competences of the ordinary courts and the Council of State, case-law has attempted to provide clearer answers. However, there are many borderline cases where the jurisdiction competence is not yet clear. In a case of conflict of jurisdiction, the Court of Cassation is competent to decide – see below under section C</w:t>
      </w:r>
      <w:r w:rsidRPr="00F60A1E">
        <w:rPr>
          <w:szCs w:val="20"/>
          <w:vertAlign w:val="superscript"/>
        </w:rPr>
        <w:footnoteReference w:id="28"/>
      </w:r>
      <w:r w:rsidRPr="00F60A1E">
        <w:rPr>
          <w:szCs w:val="20"/>
        </w:rPr>
        <w:t>.</w:t>
      </w:r>
    </w:p>
    <w:p w:rsidR="00F60A1E" w:rsidRPr="00F60A1E" w:rsidRDefault="00F60A1E" w:rsidP="00F60A1E">
      <w:pPr>
        <w:widowControl w:val="0"/>
        <w:spacing w:before="0" w:after="0" w:line="240" w:lineRule="auto"/>
        <w:ind w:left="851"/>
        <w:jc w:val="both"/>
        <w:rPr>
          <w:szCs w:val="20"/>
        </w:rPr>
      </w:pPr>
    </w:p>
    <w:p w:rsidR="00F60A1E" w:rsidRPr="00F60A1E" w:rsidRDefault="00F60A1E" w:rsidP="00F60A1E">
      <w:pPr>
        <w:widowControl w:val="0"/>
        <w:spacing w:before="0" w:after="0" w:line="240" w:lineRule="auto"/>
        <w:ind w:left="851"/>
        <w:jc w:val="both"/>
        <w:rPr>
          <w:szCs w:val="20"/>
        </w:rPr>
      </w:pPr>
      <w:r w:rsidRPr="00F60A1E">
        <w:rPr>
          <w:szCs w:val="20"/>
        </w:rPr>
        <w:t>In addition to a judicial appeal before the Council of State to annul or suspend an administrative authority decision, a child, through his/her legal representative, may always claim before a civil court, compensation for damages resulting from a decision of a public administrative authority or, under certain conditions, make a claim before the Council of State</w:t>
      </w:r>
      <w:r w:rsidRPr="00F60A1E">
        <w:rPr>
          <w:szCs w:val="20"/>
          <w:vertAlign w:val="superscript"/>
        </w:rPr>
        <w:footnoteReference w:id="29"/>
      </w:r>
      <w:r w:rsidRPr="00F60A1E">
        <w:rPr>
          <w:szCs w:val="20"/>
        </w:rPr>
        <w:t>. Compensation claims have to prove that the damages are the result of administrative authorities’ decisions</w:t>
      </w:r>
      <w:r w:rsidRPr="00F60A1E">
        <w:rPr>
          <w:szCs w:val="20"/>
          <w:vertAlign w:val="superscript"/>
        </w:rPr>
        <w:footnoteReference w:id="30"/>
      </w:r>
      <w:r w:rsidRPr="00F60A1E">
        <w:rPr>
          <w:szCs w:val="20"/>
        </w:rPr>
        <w:t xml:space="preserve">. </w:t>
      </w:r>
    </w:p>
    <w:p w:rsidR="00F60A1E" w:rsidRPr="00F60A1E" w:rsidRDefault="00F60A1E" w:rsidP="00F60A1E">
      <w:pPr>
        <w:widowControl w:val="0"/>
        <w:spacing w:before="0" w:after="0" w:line="240" w:lineRule="auto"/>
        <w:ind w:left="851"/>
        <w:jc w:val="both"/>
        <w:rPr>
          <w:szCs w:val="20"/>
        </w:rPr>
      </w:pPr>
    </w:p>
    <w:p w:rsidR="00F60A1E" w:rsidRPr="00F60A1E" w:rsidRDefault="00F60A1E" w:rsidP="00F60A1E">
      <w:pPr>
        <w:widowControl w:val="0"/>
        <w:spacing w:before="0" w:after="0" w:line="240" w:lineRule="auto"/>
        <w:ind w:left="851"/>
        <w:jc w:val="both"/>
        <w:rPr>
          <w:szCs w:val="20"/>
        </w:rPr>
      </w:pPr>
      <w:r w:rsidRPr="00F60A1E">
        <w:rPr>
          <w:szCs w:val="20"/>
        </w:rPr>
        <w:t xml:space="preserve">Lastly, the youth tribunals are competent in certain sectors covered by this report, i.e. placement into care decisions, administrative sanctions and mental health. </w:t>
      </w:r>
    </w:p>
    <w:p w:rsidR="00F60A1E" w:rsidRPr="00F60A1E" w:rsidRDefault="00F60A1E" w:rsidP="00F60A1E">
      <w:pPr>
        <w:widowControl w:val="0"/>
        <w:spacing w:before="0" w:after="0" w:line="240" w:lineRule="auto"/>
        <w:ind w:left="851"/>
        <w:jc w:val="both"/>
        <w:rPr>
          <w:szCs w:val="20"/>
        </w:rPr>
      </w:pPr>
    </w:p>
    <w:p w:rsidR="00F60A1E" w:rsidRPr="00F60A1E" w:rsidRDefault="00F60A1E" w:rsidP="00F60A1E">
      <w:pPr>
        <w:widowControl w:val="0"/>
        <w:spacing w:before="0" w:after="0" w:line="240" w:lineRule="auto"/>
        <w:ind w:left="851"/>
        <w:jc w:val="both"/>
        <w:rPr>
          <w:szCs w:val="20"/>
        </w:rPr>
      </w:pPr>
      <w:r w:rsidRPr="00F60A1E">
        <w:rPr>
          <w:szCs w:val="20"/>
        </w:rPr>
        <w:t>Depending on the sector and the type of issue, the child, via his/her legal representative may have to initiate procedures before various administrative authorities, or quasi-judicial administrative authorities, to appeal against a decision of an administrative authority. As mentioned above, in many cases, proceedings before these administrative appeal/quasi-judicial administrative authorities are prerequisite to turning to the courts. There are a large number of quasi-judicial administrative authorities dealing with specific claims. The review below will only cover the most relevant claims.</w:t>
      </w:r>
    </w:p>
    <w:p w:rsidR="00F60A1E" w:rsidRPr="00227001" w:rsidRDefault="00F60A1E" w:rsidP="00227001">
      <w:pPr>
        <w:pStyle w:val="Heading3NoNumb"/>
        <w:ind w:firstLine="851"/>
      </w:pPr>
      <w:bookmarkStart w:id="36" w:name="_Toc409792188"/>
      <w:r w:rsidRPr="00F60A1E">
        <w:lastRenderedPageBreak/>
        <w:t>Asylum</w:t>
      </w:r>
      <w:bookmarkEnd w:id="36"/>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Decisions in the field of asylum are issued in administrative procedures by the Office of the Commissioner General for Refugees and Stateless Persons</w:t>
      </w:r>
      <w:r w:rsidRPr="00F60A1E">
        <w:rPr>
          <w:szCs w:val="20"/>
          <w:vertAlign w:val="superscript"/>
        </w:rPr>
        <w:footnoteReference w:id="31"/>
      </w:r>
      <w:r w:rsidRPr="00F60A1E">
        <w:rPr>
          <w:rFonts w:cs="Arial"/>
          <w:szCs w:val="20"/>
        </w:rPr>
        <w:t>, after a first review of the application by the Immigration Office</w:t>
      </w:r>
      <w:r w:rsidRPr="00F60A1E">
        <w:rPr>
          <w:szCs w:val="20"/>
          <w:vertAlign w:val="superscript"/>
        </w:rPr>
        <w:footnoteReference w:id="32"/>
      </w:r>
      <w:r w:rsidRPr="00F60A1E">
        <w:rPr>
          <w:rFonts w:cs="Arial"/>
          <w:szCs w:val="20"/>
        </w:rPr>
        <w:t>. Appeal of the decision of the Office of the Commissioner General for Refugees and Stateless Persons can be made to the Council for Foreigners Litigation, which is a quasi-judicial administrative authority</w:t>
      </w:r>
      <w:r w:rsidRPr="00F60A1E">
        <w:rPr>
          <w:szCs w:val="20"/>
          <w:vertAlign w:val="superscript"/>
        </w:rPr>
        <w:footnoteReference w:id="33"/>
      </w:r>
      <w:r w:rsidRPr="00F60A1E">
        <w:rPr>
          <w:rFonts w:cs="Arial"/>
          <w:szCs w:val="20"/>
        </w:rPr>
        <w:t>. The decisions of the Council for Foreigners Litigation are reviewed in administrative judicial proceedings by the Council of State through cassation procedures.</w:t>
      </w:r>
    </w:p>
    <w:p w:rsidR="00F60A1E" w:rsidRPr="00F60A1E" w:rsidRDefault="00F60A1E" w:rsidP="00F60A1E">
      <w:pPr>
        <w:widowControl w:val="0"/>
        <w:spacing w:before="0" w:after="0" w:line="240" w:lineRule="auto"/>
        <w:ind w:left="851"/>
        <w:jc w:val="both"/>
        <w:rPr>
          <w:rFonts w:cs="Arial"/>
          <w:szCs w:val="20"/>
        </w:rPr>
      </w:pPr>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The cassation procedure relates to the appeals against the decisions of the quasi-judicial administrative authorities. In cassation procedures, the Council of State reviews the legality of the decision. The admissibility of a cassation request is stricter than it is for an annulment procedure. To be admissible, a cassation request must be based on the violation of a law or substantial formality, the grounds for action must appear serious, and the violation must have an impact on the quasi-judicial authority’s decision</w:t>
      </w:r>
      <w:r w:rsidRPr="00F60A1E">
        <w:rPr>
          <w:szCs w:val="20"/>
          <w:vertAlign w:val="superscript"/>
        </w:rPr>
        <w:footnoteReference w:id="34"/>
      </w:r>
      <w:r w:rsidRPr="00F60A1E">
        <w:rPr>
          <w:rFonts w:cs="Arial"/>
          <w:szCs w:val="20"/>
        </w:rPr>
        <w:t>. If the Council of State quashes the decision of the Council for Foreigners Litigation, the case will return before the Council for Foreigners Litigation for a new decision.</w:t>
      </w:r>
    </w:p>
    <w:p w:rsidR="00F60A1E" w:rsidRPr="00F60A1E" w:rsidRDefault="00F60A1E" w:rsidP="00F60A1E">
      <w:pPr>
        <w:widowControl w:val="0"/>
        <w:spacing w:before="0" w:after="0" w:line="240" w:lineRule="auto"/>
        <w:ind w:left="851"/>
        <w:jc w:val="both"/>
        <w:rPr>
          <w:rFonts w:cs="Arial"/>
          <w:szCs w:val="20"/>
        </w:rPr>
      </w:pPr>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Decisions under Regulation EU/604/2013 (Dublin III) are taken by the delegate of the Minister. Those decisions can be appealed before the Council for Foreigners Litigation. The decisions of the Council for Foreigners Litigation are reviewed in administrative judicial proceedings by the Council of State through cassation procedures.</w:t>
      </w:r>
    </w:p>
    <w:p w:rsidR="00F60A1E" w:rsidRPr="00227001" w:rsidRDefault="00F60A1E" w:rsidP="00227001">
      <w:pPr>
        <w:pStyle w:val="Heading3NoNumb"/>
        <w:ind w:firstLine="851"/>
      </w:pPr>
      <w:bookmarkStart w:id="37" w:name="_Toc409792189"/>
      <w:r w:rsidRPr="00F60A1E">
        <w:t>Migration</w:t>
      </w:r>
      <w:bookmarkEnd w:id="37"/>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Decisions in the field of migration are issued in administrative procedures by the Immigration Office. Appeals of the decision of the Immigration Office are filed before the Council for Foreigners Litigation. The decisions of the Council for Foreigners Litigation are reviewed in administrative judicial proceedings by the Council of State through a cassation procedure – see above under ‘asylum’.</w:t>
      </w:r>
    </w:p>
    <w:p w:rsidR="00F60A1E" w:rsidRPr="00227001" w:rsidRDefault="00F60A1E" w:rsidP="00227001">
      <w:pPr>
        <w:pStyle w:val="Heading3NoNumb"/>
        <w:ind w:firstLine="851"/>
      </w:pPr>
      <w:bookmarkStart w:id="38" w:name="_Toc409792190"/>
      <w:r w:rsidRPr="00F60A1E">
        <w:t>Education</w:t>
      </w:r>
      <w:bookmarkEnd w:id="38"/>
    </w:p>
    <w:p w:rsidR="00F60A1E" w:rsidRPr="00F60A1E" w:rsidRDefault="00F60A1E" w:rsidP="00F60A1E">
      <w:pPr>
        <w:widowControl w:val="0"/>
        <w:spacing w:before="0" w:after="0" w:line="240" w:lineRule="auto"/>
        <w:ind w:left="851"/>
        <w:jc w:val="both"/>
        <w:rPr>
          <w:rFonts w:cs="Arial"/>
          <w:b/>
          <w:szCs w:val="20"/>
        </w:rPr>
      </w:pPr>
      <w:r w:rsidRPr="00F60A1E">
        <w:rPr>
          <w:rFonts w:cs="Arial"/>
          <w:szCs w:val="20"/>
        </w:rPr>
        <w:t>Education is organised at the community level.</w:t>
      </w:r>
      <w:r w:rsidRPr="00F60A1E">
        <w:rPr>
          <w:rFonts w:cs="Arial"/>
          <w:b/>
          <w:szCs w:val="20"/>
        </w:rPr>
        <w:t xml:space="preserve"> </w:t>
      </w:r>
    </w:p>
    <w:p w:rsidR="00F60A1E" w:rsidRPr="00F60A1E" w:rsidRDefault="00F60A1E" w:rsidP="00F60A1E">
      <w:pPr>
        <w:widowControl w:val="0"/>
        <w:spacing w:before="0" w:after="0" w:line="240" w:lineRule="auto"/>
        <w:ind w:left="851"/>
        <w:jc w:val="both"/>
        <w:rPr>
          <w:rFonts w:cs="Arial"/>
          <w:b/>
          <w:szCs w:val="20"/>
        </w:rPr>
      </w:pPr>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 xml:space="preserve">In the French community, decisions in the field of education are mostly issued by the school boards, or the heads of the school, depending on the type of decisions. </w:t>
      </w:r>
    </w:p>
    <w:p w:rsidR="00F60A1E" w:rsidRPr="00F60A1E" w:rsidRDefault="00F60A1E" w:rsidP="00F60A1E">
      <w:pPr>
        <w:widowControl w:val="0"/>
        <w:spacing w:before="0" w:after="0" w:line="240" w:lineRule="auto"/>
        <w:ind w:left="851"/>
        <w:jc w:val="both"/>
        <w:rPr>
          <w:rFonts w:cs="Arial"/>
          <w:szCs w:val="20"/>
        </w:rPr>
      </w:pPr>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School boards decide on examinations, i.e. on whether or not a child passes a school year. Such decisions are first appealed in accordance to each school procedure. In most cases, the appeal procedure results in the school board re-examining the child’s case. After such an appeal, the child, via his/her legal representative may appeal to the Appeal Council which is an administrative authority that is competent to decide on a decision adopted by a Board of either a private or a public school. The decision of the Appeal Council will replace the school board’s decision, or confirm it</w:t>
      </w:r>
      <w:r w:rsidRPr="00F60A1E">
        <w:rPr>
          <w:szCs w:val="20"/>
          <w:vertAlign w:val="superscript"/>
        </w:rPr>
        <w:footnoteReference w:id="35"/>
      </w:r>
      <w:r w:rsidRPr="00F60A1E">
        <w:rPr>
          <w:rFonts w:cs="Arial"/>
          <w:szCs w:val="20"/>
        </w:rPr>
        <w:t>. Decisions of the Appeal Council can be appealed in administrative judicial proceedings before the Council of State or an ordinary civil court – depending on whether or not it affects a subjective right as explained above</w:t>
      </w:r>
      <w:r w:rsidRPr="00F60A1E">
        <w:rPr>
          <w:szCs w:val="20"/>
          <w:vertAlign w:val="superscript"/>
        </w:rPr>
        <w:footnoteReference w:id="36"/>
      </w:r>
      <w:r w:rsidRPr="00F60A1E">
        <w:rPr>
          <w:rFonts w:cs="Arial"/>
          <w:szCs w:val="20"/>
        </w:rPr>
        <w:t xml:space="preserve">. </w:t>
      </w:r>
    </w:p>
    <w:p w:rsidR="00F60A1E" w:rsidRPr="00F60A1E" w:rsidRDefault="00F60A1E" w:rsidP="00F60A1E">
      <w:pPr>
        <w:widowControl w:val="0"/>
        <w:spacing w:before="0" w:after="0" w:line="240" w:lineRule="auto"/>
        <w:ind w:left="851"/>
        <w:jc w:val="both"/>
        <w:rPr>
          <w:rFonts w:cs="Arial"/>
          <w:szCs w:val="20"/>
        </w:rPr>
      </w:pPr>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 xml:space="preserve">The Heads of school decide on a child’s expulsion or suspension from a school – the school </w:t>
      </w:r>
      <w:r w:rsidRPr="00F60A1E">
        <w:rPr>
          <w:rFonts w:cs="Arial"/>
          <w:szCs w:val="20"/>
        </w:rPr>
        <w:lastRenderedPageBreak/>
        <w:t>board and the school’s psycho-medico-social centre must give an opinion on the case. Appeal procedures of those decisions depend on the type of schools involved. For public schools organised by the Wallonia-Brussels Federation, such decisions are appealed before the Minister for Education of the Wallonia-Brussels Federation. For courses organised by the province, appeals can be made to the Permanent Deputation of the Provincial Council. In the case of a course organised by a municipality, appeal is made to the College of Mayor and Aldermen. In the case of a course organised by the French Community Commission of the Brussels Region appeal can be made to the College of the French Community Commission. For free subsidised private schools</w:t>
      </w:r>
      <w:r w:rsidRPr="00F60A1E">
        <w:rPr>
          <w:szCs w:val="20"/>
          <w:vertAlign w:val="superscript"/>
        </w:rPr>
        <w:footnoteReference w:id="37"/>
      </w:r>
      <w:r w:rsidRPr="00F60A1E">
        <w:rPr>
          <w:rFonts w:cs="Arial"/>
          <w:szCs w:val="20"/>
        </w:rPr>
        <w:t>, such decisions are appealed before the school’s Board of Directors.</w:t>
      </w:r>
    </w:p>
    <w:p w:rsidR="00F60A1E" w:rsidRPr="00F60A1E" w:rsidRDefault="00F60A1E" w:rsidP="00F60A1E">
      <w:pPr>
        <w:widowControl w:val="0"/>
        <w:spacing w:before="0" w:after="0" w:line="240" w:lineRule="auto"/>
        <w:ind w:left="851"/>
        <w:jc w:val="both"/>
        <w:rPr>
          <w:rFonts w:cs="Arial"/>
          <w:szCs w:val="20"/>
        </w:rPr>
      </w:pPr>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Decisions of those appeal authorities, on the decisions of public or private school boards, can be appealed through administrative judicial proceedings before the Council of State, or in the ordinary civil courts – depending on whether or not the appeals affect subjective rights, as explained above</w:t>
      </w:r>
      <w:r w:rsidRPr="00F60A1E">
        <w:rPr>
          <w:szCs w:val="20"/>
          <w:vertAlign w:val="superscript"/>
        </w:rPr>
        <w:footnoteReference w:id="38"/>
      </w:r>
      <w:r w:rsidRPr="00F60A1E">
        <w:rPr>
          <w:rFonts w:cs="Arial"/>
          <w:szCs w:val="20"/>
        </w:rPr>
        <w:t xml:space="preserve">. </w:t>
      </w:r>
    </w:p>
    <w:p w:rsidR="00F60A1E" w:rsidRPr="00F60A1E" w:rsidRDefault="00F60A1E" w:rsidP="00F60A1E">
      <w:pPr>
        <w:widowControl w:val="0"/>
        <w:spacing w:before="0" w:after="0" w:line="240" w:lineRule="auto"/>
        <w:ind w:left="851"/>
        <w:jc w:val="both"/>
        <w:rPr>
          <w:rFonts w:cs="Arial"/>
          <w:szCs w:val="20"/>
          <w:highlight w:val="yellow"/>
        </w:rPr>
      </w:pPr>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In the Flemish community, decisions in the field of education are mostly issued by school boards and Heads of school. Regarding a school board decision, the child, via his/her legal representative, must first express his/her objection of the decision to the president of the school board. If the president of the school board deems the objections admissible, a new school board meeting will review the decision. After such a review, the child, via his/her legal representative may appeal to the Appeal Commission. Decisions of the Appeal Commission, resulting from the decisions of public or private school boards, can be appealed in administrative judicial proceedings to the Council of State or the ordinary civil courts – depending on whether or not the appeals affect subjective rights, as explained above</w:t>
      </w:r>
      <w:r w:rsidRPr="00F60A1E">
        <w:rPr>
          <w:szCs w:val="20"/>
          <w:vertAlign w:val="superscript"/>
        </w:rPr>
        <w:footnoteReference w:id="39"/>
      </w:r>
      <w:r w:rsidRPr="00F60A1E">
        <w:rPr>
          <w:rFonts w:cs="Arial"/>
          <w:szCs w:val="20"/>
        </w:rPr>
        <w:t xml:space="preserve">. </w:t>
      </w:r>
    </w:p>
    <w:p w:rsidR="00F60A1E" w:rsidRPr="00F60A1E" w:rsidRDefault="00F60A1E" w:rsidP="00F60A1E">
      <w:pPr>
        <w:widowControl w:val="0"/>
        <w:spacing w:before="0" w:after="0" w:line="240" w:lineRule="auto"/>
        <w:ind w:left="851"/>
        <w:jc w:val="both"/>
        <w:rPr>
          <w:rFonts w:cs="Arial"/>
          <w:szCs w:val="20"/>
        </w:rPr>
      </w:pPr>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 xml:space="preserve">The Head of school decides on expulsion or suspension of the child from the school – the school board must give advice on the case. Appeal of those decisions can be made before the Appeal Commission. Decisions of the Appeal Commission, resulting from the decisions of public or private school boards, can be appealed in administrative judicial proceedings to the Council of State or the ordinary civil courts – depending on whether or not the appeals affect subjective rights, as explained above. </w:t>
      </w:r>
    </w:p>
    <w:p w:rsidR="00F60A1E" w:rsidRPr="00227001" w:rsidRDefault="00F60A1E" w:rsidP="00227001">
      <w:pPr>
        <w:pStyle w:val="Heading3NoNumb"/>
        <w:ind w:firstLine="851"/>
      </w:pPr>
      <w:bookmarkStart w:id="39" w:name="_Toc409792191"/>
      <w:r w:rsidRPr="00F60A1E">
        <w:t>Health care</w:t>
      </w:r>
      <w:bookmarkEnd w:id="39"/>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Decisions in the field of health care are issued by health practitioners. Decisions affecting patients’ rights can be appealed to the local mediators or, if none, to the Federal Commission on Patient Rights</w:t>
      </w:r>
      <w:r w:rsidRPr="00F60A1E">
        <w:rPr>
          <w:szCs w:val="20"/>
          <w:vertAlign w:val="superscript"/>
        </w:rPr>
        <w:footnoteReference w:id="40"/>
      </w:r>
      <w:r w:rsidRPr="00F60A1E">
        <w:rPr>
          <w:rFonts w:cs="Arial"/>
          <w:szCs w:val="20"/>
        </w:rPr>
        <w:t xml:space="preserve">. Hospitals must set up a mediation service to review any claims from patients. Since those review mechanisms are mediation procedures, they cannot be appealed in administrative judicial proceedings. If the mediation does not provide a satisfactory solution, the child’s legal representative may file an action on behalf of the child through civil judicial proceedings before an ordinary court. </w:t>
      </w:r>
    </w:p>
    <w:p w:rsidR="00F60A1E" w:rsidRPr="00F60A1E" w:rsidRDefault="00F60A1E" w:rsidP="00F60A1E">
      <w:pPr>
        <w:widowControl w:val="0"/>
        <w:spacing w:before="0" w:after="0" w:line="240" w:lineRule="auto"/>
        <w:ind w:left="851"/>
        <w:jc w:val="both"/>
        <w:rPr>
          <w:rFonts w:cs="Arial"/>
          <w:szCs w:val="20"/>
        </w:rPr>
      </w:pPr>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Regarding decisions on children with mental health needs, the youth tribunals are competent to order protective measures and placements into observation in psychiatric services. The placement measure may only be taken in the absence of any other suitable treatment, and only if his/her health and safety are seriously put at risk, or they constitute a serious threat to the life or integrity of others. According to the law, inadequate moral values – social, religious, political or otherwise, cannot be considered as mental illness</w:t>
      </w:r>
      <w:r w:rsidRPr="00F60A1E">
        <w:rPr>
          <w:szCs w:val="20"/>
          <w:vertAlign w:val="superscript"/>
        </w:rPr>
        <w:footnoteReference w:id="41"/>
      </w:r>
      <w:r w:rsidRPr="00F60A1E">
        <w:rPr>
          <w:rFonts w:cs="Arial"/>
          <w:szCs w:val="20"/>
        </w:rPr>
        <w:t xml:space="preserve">. The youth tribunal applies civil judicial procedural rules, i.e. the </w:t>
      </w:r>
      <w:hyperlink r:id="rId49" w:history="1">
        <w:r w:rsidRPr="00F60A1E">
          <w:rPr>
            <w:rFonts w:cs="Arial"/>
            <w:color w:val="0000FF" w:themeColor="hyperlink"/>
            <w:szCs w:val="20"/>
            <w:u w:val="single"/>
          </w:rPr>
          <w:t>Youth Protection Act</w:t>
        </w:r>
      </w:hyperlink>
      <w:r w:rsidRPr="00F60A1E">
        <w:rPr>
          <w:rFonts w:cs="Arial"/>
          <w:szCs w:val="20"/>
        </w:rPr>
        <w:t xml:space="preserve"> and the </w:t>
      </w:r>
      <w:hyperlink r:id="rId50" w:history="1">
        <w:r w:rsidRPr="00F60A1E">
          <w:rPr>
            <w:rFonts w:cs="Arial"/>
            <w:color w:val="0000FF" w:themeColor="hyperlink"/>
            <w:szCs w:val="20"/>
            <w:u w:val="single"/>
          </w:rPr>
          <w:t>Act on the protection of mentally ill persons</w:t>
        </w:r>
      </w:hyperlink>
      <w:r w:rsidRPr="00F60A1E">
        <w:rPr>
          <w:rFonts w:cs="Arial"/>
          <w:szCs w:val="20"/>
        </w:rPr>
        <w:t xml:space="preserve">. </w:t>
      </w:r>
    </w:p>
    <w:p w:rsidR="00F60A1E" w:rsidRPr="00F60A1E" w:rsidRDefault="00F60A1E" w:rsidP="00F60A1E">
      <w:pPr>
        <w:widowControl w:val="0"/>
        <w:spacing w:before="0" w:after="0" w:line="240" w:lineRule="auto"/>
        <w:ind w:left="851"/>
        <w:jc w:val="both"/>
        <w:rPr>
          <w:rFonts w:cs="Arial"/>
          <w:szCs w:val="20"/>
        </w:rPr>
      </w:pPr>
    </w:p>
    <w:p w:rsidR="00F60A1E" w:rsidRPr="00F60A1E" w:rsidRDefault="00F60A1E" w:rsidP="00F60A1E">
      <w:pPr>
        <w:spacing w:before="0" w:after="0" w:line="240" w:lineRule="auto"/>
        <w:ind w:left="851"/>
        <w:jc w:val="both"/>
        <w:rPr>
          <w:szCs w:val="20"/>
        </w:rPr>
      </w:pPr>
      <w:r w:rsidRPr="00F60A1E">
        <w:rPr>
          <w:szCs w:val="20"/>
        </w:rPr>
        <w:lastRenderedPageBreak/>
        <w:t xml:space="preserve">Youth tribunals take measures towards children with mental illness, including those children with mental illness who have committed offences. Such measures can consist of: </w:t>
      </w:r>
    </w:p>
    <w:p w:rsidR="00F60A1E" w:rsidRPr="00F60A1E" w:rsidRDefault="00F60A1E" w:rsidP="00F60A1E">
      <w:pPr>
        <w:spacing w:before="0" w:after="0" w:line="240" w:lineRule="auto"/>
        <w:jc w:val="both"/>
        <w:rPr>
          <w:szCs w:val="20"/>
        </w:rPr>
      </w:pPr>
    </w:p>
    <w:p w:rsidR="00F60A1E" w:rsidRPr="00F60A1E" w:rsidRDefault="00F60A1E" w:rsidP="00F60A1E">
      <w:pPr>
        <w:numPr>
          <w:ilvl w:val="0"/>
          <w:numId w:val="22"/>
        </w:numPr>
        <w:spacing w:before="0" w:after="0"/>
      </w:pPr>
      <w:r w:rsidRPr="00F60A1E">
        <w:t xml:space="preserve">outpatient treatment with a psychological or psychiatric service (not yet in force); </w:t>
      </w:r>
    </w:p>
    <w:p w:rsidR="00F60A1E" w:rsidRPr="00F60A1E" w:rsidRDefault="00F60A1E" w:rsidP="00F60A1E">
      <w:pPr>
        <w:numPr>
          <w:ilvl w:val="0"/>
          <w:numId w:val="22"/>
        </w:numPr>
        <w:spacing w:before="0" w:after="0"/>
      </w:pPr>
      <w:r w:rsidRPr="00F60A1E">
        <w:t xml:space="preserve">placement into an appropriate facility for treatment; </w:t>
      </w:r>
    </w:p>
    <w:p w:rsidR="00F60A1E" w:rsidRPr="00F60A1E" w:rsidRDefault="00F60A1E" w:rsidP="00F60A1E">
      <w:pPr>
        <w:numPr>
          <w:ilvl w:val="0"/>
          <w:numId w:val="22"/>
        </w:numPr>
        <w:spacing w:before="0" w:after="0"/>
      </w:pPr>
      <w:r w:rsidRPr="00F60A1E">
        <w:t xml:space="preserve">placement into a hospital (not yet in force); </w:t>
      </w:r>
    </w:p>
    <w:p w:rsidR="00F60A1E" w:rsidRPr="00F60A1E" w:rsidRDefault="00F60A1E" w:rsidP="00F60A1E">
      <w:pPr>
        <w:numPr>
          <w:ilvl w:val="0"/>
          <w:numId w:val="22"/>
        </w:numPr>
        <w:spacing w:before="0" w:after="0"/>
      </w:pPr>
      <w:r w:rsidRPr="00F60A1E">
        <w:t>residential placement into an institution specialised in alcoholism, drug addiction or any other addiction (not yet in force);</w:t>
      </w:r>
    </w:p>
    <w:p w:rsidR="00F60A1E" w:rsidRPr="00F60A1E" w:rsidRDefault="00F60A1E" w:rsidP="00F60A1E">
      <w:pPr>
        <w:numPr>
          <w:ilvl w:val="0"/>
          <w:numId w:val="22"/>
        </w:numPr>
        <w:spacing w:before="0" w:after="0"/>
      </w:pPr>
      <w:r w:rsidRPr="00F60A1E">
        <w:t>residential placement in an open or closed section of a child psychiatry service (not yet in force)</w:t>
      </w:r>
      <w:r w:rsidRPr="00F60A1E">
        <w:rPr>
          <w:vertAlign w:val="superscript"/>
        </w:rPr>
        <w:footnoteReference w:id="42"/>
      </w:r>
      <w:r w:rsidRPr="00F60A1E">
        <w:t>.</w:t>
      </w:r>
    </w:p>
    <w:p w:rsidR="00F60A1E" w:rsidRPr="00F60A1E" w:rsidRDefault="00F60A1E" w:rsidP="00F60A1E">
      <w:pPr>
        <w:widowControl w:val="0"/>
        <w:spacing w:before="0" w:after="0" w:line="240" w:lineRule="auto"/>
        <w:jc w:val="both"/>
        <w:rPr>
          <w:rFonts w:cs="Arial"/>
          <w:szCs w:val="20"/>
        </w:rPr>
      </w:pPr>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An appeal of a youth tribunal’s decision may be brought before a youth affairs chamber within a court of appeal</w:t>
      </w:r>
      <w:r w:rsidRPr="00F60A1E">
        <w:rPr>
          <w:szCs w:val="20"/>
          <w:vertAlign w:val="superscript"/>
        </w:rPr>
        <w:footnoteReference w:id="43"/>
      </w:r>
      <w:r w:rsidRPr="00F60A1E">
        <w:rPr>
          <w:rFonts w:cs="Arial"/>
          <w:szCs w:val="20"/>
        </w:rPr>
        <w:t>.</w:t>
      </w:r>
    </w:p>
    <w:p w:rsidR="00F60A1E" w:rsidRPr="00227001" w:rsidRDefault="00F60A1E" w:rsidP="00227001">
      <w:pPr>
        <w:pStyle w:val="Heading3NoNumb"/>
        <w:ind w:firstLine="851"/>
      </w:pPr>
      <w:bookmarkStart w:id="40" w:name="_Toc409792192"/>
      <w:r w:rsidRPr="00F60A1E">
        <w:t>Child protection/placement into care</w:t>
      </w:r>
      <w:bookmarkEnd w:id="40"/>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 xml:space="preserve">Measures for the protection of the child, including placement, are either voluntary or non-voluntary. </w:t>
      </w:r>
    </w:p>
    <w:p w:rsidR="00F60A1E" w:rsidRPr="00F60A1E" w:rsidRDefault="00F60A1E" w:rsidP="00F60A1E">
      <w:pPr>
        <w:widowControl w:val="0"/>
        <w:spacing w:before="0" w:after="0" w:line="240" w:lineRule="auto"/>
        <w:ind w:left="851"/>
        <w:jc w:val="both"/>
        <w:rPr>
          <w:rFonts w:cs="Arial"/>
          <w:szCs w:val="20"/>
        </w:rPr>
      </w:pPr>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 xml:space="preserve">Protection measures, including placement into care, are voluntary when the child’s legal representative and the child, when capable, agrees to the offer of youth assistance by the youth care services. Youth care services are organised at community level, therefore, community legislation applies on how youth care services handle children. </w:t>
      </w:r>
      <w:r w:rsidRPr="00F60A1E">
        <w:rPr>
          <w:szCs w:val="20"/>
        </w:rPr>
        <w:t>In the Flemish community, a child has the right to consent or refuse youth assistance – provided he/she is capable of a reasonable assessment of her/his interests. A child of 12 years of age, or older, is presumed to be capable of a reasonable assessment of his/her interests</w:t>
      </w:r>
      <w:r w:rsidRPr="00F60A1E">
        <w:rPr>
          <w:szCs w:val="20"/>
          <w:vertAlign w:val="superscript"/>
        </w:rPr>
        <w:footnoteReference w:id="44"/>
      </w:r>
      <w:r w:rsidRPr="00F60A1E">
        <w:rPr>
          <w:szCs w:val="20"/>
        </w:rPr>
        <w:t>. In the French community, a child of at least 14 years of age must provide his/her written consent to youth welfare assistance</w:t>
      </w:r>
      <w:r w:rsidRPr="00F60A1E">
        <w:rPr>
          <w:szCs w:val="20"/>
          <w:vertAlign w:val="superscript"/>
        </w:rPr>
        <w:footnoteReference w:id="45"/>
      </w:r>
      <w:r w:rsidRPr="00F60A1E">
        <w:rPr>
          <w:szCs w:val="20"/>
        </w:rPr>
        <w:t xml:space="preserve">. See more details in </w:t>
      </w:r>
      <w:hyperlink w:anchor="_The_child_as" w:history="1">
        <w:r w:rsidRPr="00F60A1E">
          <w:rPr>
            <w:color w:val="0000FF" w:themeColor="hyperlink"/>
            <w:szCs w:val="20"/>
            <w:u w:val="single"/>
          </w:rPr>
          <w:t>Section 2.1</w:t>
        </w:r>
      </w:hyperlink>
      <w:r w:rsidRPr="00F60A1E">
        <w:rPr>
          <w:szCs w:val="20"/>
        </w:rPr>
        <w:t>.</w:t>
      </w:r>
    </w:p>
    <w:p w:rsidR="00F60A1E" w:rsidRPr="00F60A1E" w:rsidRDefault="00F60A1E" w:rsidP="00F60A1E">
      <w:pPr>
        <w:widowControl w:val="0"/>
        <w:spacing w:before="0" w:after="0" w:line="240" w:lineRule="auto"/>
        <w:ind w:left="851"/>
        <w:jc w:val="both"/>
        <w:rPr>
          <w:rFonts w:cs="Arial"/>
          <w:szCs w:val="20"/>
        </w:rPr>
      </w:pPr>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 xml:space="preserve">Non-voluntary measures require the intervention of the youth tribunal which will apply the </w:t>
      </w:r>
      <w:hyperlink r:id="rId51" w:history="1">
        <w:r w:rsidRPr="00F60A1E">
          <w:rPr>
            <w:rFonts w:cs="Arial"/>
            <w:color w:val="0000FF" w:themeColor="hyperlink"/>
            <w:szCs w:val="20"/>
            <w:u w:val="single"/>
          </w:rPr>
          <w:t>Youth Protection Act</w:t>
        </w:r>
      </w:hyperlink>
      <w:r w:rsidRPr="00F60A1E">
        <w:rPr>
          <w:rFonts w:cs="Arial"/>
          <w:szCs w:val="20"/>
        </w:rPr>
        <w:t xml:space="preserve"> and the </w:t>
      </w:r>
      <w:hyperlink r:id="rId52" w:history="1">
        <w:r w:rsidRPr="00F60A1E">
          <w:rPr>
            <w:rFonts w:cs="Arial"/>
            <w:color w:val="0000FF" w:themeColor="hyperlink"/>
            <w:szCs w:val="20"/>
            <w:u w:val="single"/>
          </w:rPr>
          <w:t>Judicial Code</w:t>
        </w:r>
      </w:hyperlink>
      <w:r w:rsidRPr="00F60A1E">
        <w:rPr>
          <w:rFonts w:cs="Arial"/>
          <w:szCs w:val="20"/>
        </w:rPr>
        <w:t xml:space="preserve">. Hence, the proceedings are not administrative judicial proceedings, but civil judicial proceedings. Youth tribunals may intervene upon request of the Crown Prosecutor following the demands of the youth care services or any other person, including the child. Youth tribunals may then impose youth protection measures on children, including placements into care. Those measures are then implemented by youth care services. </w:t>
      </w:r>
    </w:p>
    <w:p w:rsidR="00F60A1E" w:rsidRPr="00F60A1E" w:rsidRDefault="00F60A1E" w:rsidP="00F60A1E">
      <w:pPr>
        <w:widowControl w:val="0"/>
        <w:spacing w:before="0" w:after="0" w:line="240" w:lineRule="auto"/>
        <w:ind w:left="851"/>
        <w:jc w:val="both"/>
        <w:rPr>
          <w:rFonts w:cs="Arial"/>
          <w:szCs w:val="20"/>
        </w:rPr>
      </w:pPr>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If the child and his/her legal representative disagree on how the youth protection measure is implemented by youth care services, they have the choice to complain before an administrative authority, or a counsellor</w:t>
      </w:r>
      <w:r w:rsidRPr="00F60A1E">
        <w:rPr>
          <w:szCs w:val="20"/>
          <w:vertAlign w:val="superscript"/>
        </w:rPr>
        <w:footnoteReference w:id="46"/>
      </w:r>
      <w:r w:rsidRPr="00F60A1E">
        <w:rPr>
          <w:rFonts w:cs="Arial"/>
          <w:szCs w:val="20"/>
        </w:rPr>
        <w:t>, and/or appeal to the youth tribunal to remove, replace or amend the measure</w:t>
      </w:r>
      <w:r w:rsidRPr="00F60A1E">
        <w:rPr>
          <w:szCs w:val="20"/>
          <w:vertAlign w:val="superscript"/>
        </w:rPr>
        <w:footnoteReference w:id="47"/>
      </w:r>
      <w:r w:rsidRPr="00F60A1E">
        <w:rPr>
          <w:rFonts w:cs="Arial"/>
          <w:szCs w:val="20"/>
        </w:rPr>
        <w:t>.</w:t>
      </w:r>
    </w:p>
    <w:p w:rsidR="00F60A1E" w:rsidRPr="00537401" w:rsidRDefault="00F60A1E" w:rsidP="00537401">
      <w:pPr>
        <w:pStyle w:val="Heading3NoNumb"/>
        <w:ind w:firstLine="851"/>
      </w:pPr>
      <w:bookmarkStart w:id="41" w:name="_Toc409792193"/>
      <w:r w:rsidRPr="00F60A1E">
        <w:t>Children below MACR</w:t>
      </w:r>
      <w:bookmarkEnd w:id="41"/>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Children below the Minimum Age of Criminal Liability (MACR), i.e. 16/18 years of age</w:t>
      </w:r>
      <w:r w:rsidRPr="00F60A1E">
        <w:rPr>
          <w:szCs w:val="20"/>
          <w:vertAlign w:val="superscript"/>
        </w:rPr>
        <w:footnoteReference w:id="48"/>
      </w:r>
      <w:r w:rsidRPr="00F60A1E">
        <w:rPr>
          <w:rFonts w:cs="Arial"/>
          <w:szCs w:val="20"/>
        </w:rPr>
        <w:t xml:space="preserve">, who </w:t>
      </w:r>
      <w:r w:rsidRPr="00F60A1E">
        <w:rPr>
          <w:rFonts w:cs="Arial"/>
          <w:szCs w:val="20"/>
        </w:rPr>
        <w:lastRenderedPageBreak/>
        <w:t xml:space="preserve">have committed offences, are dealt with by the youth tribunals applying the </w:t>
      </w:r>
      <w:hyperlink r:id="rId53" w:history="1">
        <w:r w:rsidRPr="00F60A1E">
          <w:rPr>
            <w:rFonts w:cs="Arial"/>
            <w:color w:val="0000FF" w:themeColor="hyperlink"/>
            <w:szCs w:val="20"/>
            <w:u w:val="single"/>
          </w:rPr>
          <w:t>Youth Protection Act</w:t>
        </w:r>
      </w:hyperlink>
      <w:r w:rsidRPr="00F60A1E">
        <w:rPr>
          <w:rFonts w:cs="Arial"/>
          <w:szCs w:val="20"/>
        </w:rPr>
        <w:t xml:space="preserve"> and the </w:t>
      </w:r>
      <w:hyperlink r:id="rId54" w:history="1">
        <w:r w:rsidRPr="00F60A1E">
          <w:rPr>
            <w:rFonts w:cs="Arial"/>
            <w:color w:val="0000FF" w:themeColor="hyperlink"/>
            <w:szCs w:val="20"/>
            <w:u w:val="single"/>
          </w:rPr>
          <w:t>Judicial Code</w:t>
        </w:r>
      </w:hyperlink>
      <w:r w:rsidRPr="00F60A1E">
        <w:rPr>
          <w:rFonts w:cs="Arial"/>
          <w:szCs w:val="20"/>
        </w:rPr>
        <w:t xml:space="preserve">. The proceedings are not administrative judicial proceedings and are more of a civil or criminal nature. Civil judicial procedural rules also apply to youth tribunal proceedings. The youth tribunal may take measures restraining the child’s liberty, including the placement of the child into a closed educational centre – see more in </w:t>
      </w:r>
      <w:hyperlink w:anchor="_2.7_Restrictions_of" w:history="1">
        <w:r w:rsidRPr="00F60A1E">
          <w:rPr>
            <w:rFonts w:cs="Arial"/>
            <w:color w:val="0000FF" w:themeColor="hyperlink"/>
            <w:szCs w:val="20"/>
            <w:u w:val="single"/>
          </w:rPr>
          <w:t>Section 2.7</w:t>
        </w:r>
      </w:hyperlink>
      <w:r w:rsidRPr="00F60A1E">
        <w:rPr>
          <w:rFonts w:cs="Arial"/>
          <w:szCs w:val="20"/>
        </w:rPr>
        <w:t xml:space="preserve">. </w:t>
      </w:r>
    </w:p>
    <w:p w:rsidR="00F60A1E" w:rsidRPr="00F60A1E" w:rsidRDefault="00F60A1E" w:rsidP="00F60A1E">
      <w:pPr>
        <w:widowControl w:val="0"/>
        <w:spacing w:before="0" w:after="0" w:line="240" w:lineRule="auto"/>
        <w:ind w:left="851"/>
        <w:jc w:val="both"/>
        <w:rPr>
          <w:rFonts w:cs="Arial"/>
          <w:szCs w:val="20"/>
        </w:rPr>
      </w:pPr>
    </w:p>
    <w:p w:rsidR="00F60A1E" w:rsidRPr="00F60A1E" w:rsidRDefault="00F60A1E" w:rsidP="00F60A1E">
      <w:pPr>
        <w:widowControl w:val="0"/>
        <w:spacing w:before="0" w:after="0" w:line="240" w:lineRule="auto"/>
        <w:ind w:left="851"/>
        <w:jc w:val="both"/>
        <w:rPr>
          <w:szCs w:val="20"/>
        </w:rPr>
      </w:pPr>
      <w:r w:rsidRPr="00F60A1E">
        <w:rPr>
          <w:szCs w:val="20"/>
        </w:rPr>
        <w:t>There is no minimum age at which the child, who committed an offence, will be deferred to a youth tribunal. It is up to the Crown Prosecutor to decide whether or not to prosecute a child. In practice, children under 10 or 12 year of age are rarely prosecuted</w:t>
      </w:r>
      <w:r w:rsidRPr="00F60A1E">
        <w:rPr>
          <w:szCs w:val="20"/>
          <w:vertAlign w:val="superscript"/>
        </w:rPr>
        <w:footnoteReference w:id="49"/>
      </w:r>
      <w:r w:rsidRPr="00F60A1E">
        <w:rPr>
          <w:szCs w:val="20"/>
        </w:rPr>
        <w:t>. Three measures are possible for a child under 12 years of age: 1) reprimand; 2) supervision by a competent social service; 3) intensive educational support. However, in practice, the judge can consider the child as a child in danger and choose youth protection measures</w:t>
      </w:r>
      <w:r w:rsidRPr="00F60A1E">
        <w:rPr>
          <w:szCs w:val="20"/>
          <w:vertAlign w:val="superscript"/>
        </w:rPr>
        <w:footnoteReference w:id="50"/>
      </w:r>
      <w:r w:rsidRPr="00F60A1E">
        <w:rPr>
          <w:szCs w:val="20"/>
        </w:rPr>
        <w:t>.</w:t>
      </w:r>
    </w:p>
    <w:p w:rsidR="00F60A1E" w:rsidRPr="00F60A1E" w:rsidRDefault="00F60A1E" w:rsidP="00F60A1E">
      <w:pPr>
        <w:widowControl w:val="0"/>
        <w:spacing w:before="0" w:after="0" w:line="240" w:lineRule="auto"/>
        <w:ind w:left="851"/>
        <w:jc w:val="both"/>
        <w:rPr>
          <w:rFonts w:cs="Arial"/>
          <w:szCs w:val="20"/>
        </w:rPr>
      </w:pPr>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 xml:space="preserve">Once a youth tribunal issues a decision about a child, the youth care service is competent to implement the decision and to take measures. The child him/herself – see </w:t>
      </w:r>
      <w:hyperlink w:anchor="_The_child_as" w:history="1">
        <w:r w:rsidRPr="00F60A1E">
          <w:rPr>
            <w:rFonts w:cs="Arial"/>
            <w:color w:val="0000FF" w:themeColor="hyperlink"/>
            <w:szCs w:val="20"/>
            <w:u w:val="single"/>
          </w:rPr>
          <w:t>Section 2.1</w:t>
        </w:r>
      </w:hyperlink>
      <w:r w:rsidRPr="00F60A1E">
        <w:rPr>
          <w:rFonts w:cs="Arial"/>
          <w:szCs w:val="20"/>
        </w:rPr>
        <w:t>, or his/her legal representative, may appeal to the youth tribunal against a decision of the youth care service on the implementation of the tribunal’s decision</w:t>
      </w:r>
      <w:r w:rsidRPr="00F60A1E">
        <w:rPr>
          <w:szCs w:val="20"/>
          <w:vertAlign w:val="superscript"/>
        </w:rPr>
        <w:footnoteReference w:id="51"/>
      </w:r>
      <w:r w:rsidRPr="00F60A1E">
        <w:rPr>
          <w:rFonts w:cs="Arial"/>
          <w:szCs w:val="20"/>
        </w:rPr>
        <w:t>.</w:t>
      </w:r>
    </w:p>
    <w:p w:rsidR="00F60A1E" w:rsidRPr="00F60A1E" w:rsidRDefault="00F60A1E" w:rsidP="00F60A1E">
      <w:pPr>
        <w:widowControl w:val="0"/>
        <w:spacing w:before="0" w:after="0" w:line="240" w:lineRule="auto"/>
        <w:ind w:left="851"/>
        <w:jc w:val="both"/>
        <w:rPr>
          <w:rFonts w:cs="Arial"/>
          <w:szCs w:val="20"/>
        </w:rPr>
      </w:pPr>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The proceedings for children below MACR, before the youth tribunals, are explained in detail in the Study to collect data on children’s involvement in criminal judicial proceedings and will not be repeated here with the exception of the issues related to deprivation of liberty.</w:t>
      </w:r>
    </w:p>
    <w:p w:rsidR="00F60A1E" w:rsidRPr="00F60A1E" w:rsidRDefault="00F60A1E" w:rsidP="00F60A1E">
      <w:pPr>
        <w:widowControl w:val="0"/>
        <w:spacing w:before="0" w:after="0" w:line="240" w:lineRule="auto"/>
        <w:ind w:left="851"/>
        <w:jc w:val="both"/>
        <w:rPr>
          <w:rFonts w:cs="Arial"/>
          <w:szCs w:val="20"/>
        </w:rPr>
      </w:pPr>
    </w:p>
    <w:p w:rsidR="00F60A1E" w:rsidRPr="00F60A1E" w:rsidRDefault="00F60A1E" w:rsidP="00F60A1E">
      <w:pPr>
        <w:widowControl w:val="0"/>
        <w:spacing w:before="0" w:after="0" w:line="240" w:lineRule="auto"/>
        <w:ind w:left="851"/>
        <w:jc w:val="both"/>
        <w:rPr>
          <w:rFonts w:cs="Arial"/>
          <w:b/>
          <w:szCs w:val="20"/>
        </w:rPr>
      </w:pPr>
      <w:r w:rsidRPr="00F60A1E">
        <w:rPr>
          <w:rFonts w:cs="Arial"/>
          <w:b/>
          <w:szCs w:val="20"/>
        </w:rPr>
        <w:t>For children under 10 or 12 years old who are not prosecuted before the youth tribunal, the proceedings on placement into care apply. In this report, the sector of proceedings related to offences involving children below the MACR will therefore be considered as falling within the sector of placement into care.</w:t>
      </w:r>
    </w:p>
    <w:p w:rsidR="00F60A1E" w:rsidRPr="00227001" w:rsidRDefault="00F60A1E" w:rsidP="00227001">
      <w:pPr>
        <w:pStyle w:val="Heading3NoNumb"/>
        <w:ind w:firstLine="851"/>
      </w:pPr>
      <w:bookmarkStart w:id="42" w:name="_Toc409792194"/>
      <w:r w:rsidRPr="00F60A1E">
        <w:t>Administrative sanctions</w:t>
      </w:r>
      <w:bookmarkEnd w:id="42"/>
      <w:r w:rsidRPr="00F60A1E">
        <w:t xml:space="preserve"> </w:t>
      </w:r>
    </w:p>
    <w:p w:rsidR="00F60A1E" w:rsidRPr="00F60A1E" w:rsidRDefault="00F60A1E" w:rsidP="00F60A1E">
      <w:pPr>
        <w:widowControl w:val="0"/>
        <w:spacing w:before="0" w:after="0" w:line="240" w:lineRule="auto"/>
        <w:ind w:left="851"/>
        <w:jc w:val="both"/>
        <w:rPr>
          <w:szCs w:val="20"/>
        </w:rPr>
      </w:pPr>
      <w:r w:rsidRPr="00F60A1E">
        <w:rPr>
          <w:szCs w:val="20"/>
        </w:rPr>
        <w:t>Administrative authorities can issue administrative sanctions in the fields of environment, tax, and social regulations. The regulation of administrative sanctions is scattered throughout various legislation at the Federal, Regional, community and municipal level</w:t>
      </w:r>
      <w:r w:rsidRPr="00F60A1E">
        <w:rPr>
          <w:szCs w:val="20"/>
          <w:vertAlign w:val="superscript"/>
        </w:rPr>
        <w:footnoteReference w:id="52"/>
      </w:r>
      <w:r w:rsidRPr="00F60A1E">
        <w:rPr>
          <w:szCs w:val="20"/>
        </w:rPr>
        <w:t>. Administrative sanctions can take various forms, including fines, orders, suspensions or withdrawals of authorisation. Administrative sanctions may be imposed on children for certain traffic offences and socially harmful behaviours, by various administrative authorities – mostly by municipalities</w:t>
      </w:r>
      <w:r w:rsidRPr="00F60A1E">
        <w:rPr>
          <w:szCs w:val="20"/>
          <w:vertAlign w:val="superscript"/>
        </w:rPr>
        <w:footnoteReference w:id="53"/>
      </w:r>
      <w:r w:rsidRPr="00F60A1E">
        <w:rPr>
          <w:szCs w:val="20"/>
        </w:rPr>
        <w:t>.</w:t>
      </w:r>
    </w:p>
    <w:p w:rsidR="00F60A1E" w:rsidRPr="00F60A1E" w:rsidRDefault="00F60A1E" w:rsidP="00F60A1E">
      <w:pPr>
        <w:widowControl w:val="0"/>
        <w:spacing w:before="0" w:after="0" w:line="240" w:lineRule="auto"/>
        <w:ind w:left="851"/>
        <w:jc w:val="both"/>
        <w:rPr>
          <w:b/>
          <w:szCs w:val="20"/>
        </w:rPr>
      </w:pPr>
    </w:p>
    <w:p w:rsidR="00F60A1E" w:rsidRPr="00F60A1E" w:rsidRDefault="00F60A1E" w:rsidP="00F60A1E">
      <w:pPr>
        <w:widowControl w:val="0"/>
        <w:spacing w:before="0" w:after="0" w:line="240" w:lineRule="auto"/>
        <w:ind w:left="851"/>
        <w:jc w:val="both"/>
        <w:rPr>
          <w:rFonts w:eastAsia="Times New Roman"/>
          <w:bCs/>
        </w:rPr>
      </w:pPr>
      <w:r w:rsidRPr="00F60A1E">
        <w:rPr>
          <w:rFonts w:eastAsia="Times New Roman"/>
          <w:bCs/>
        </w:rPr>
        <w:t xml:space="preserve">The </w:t>
      </w:r>
      <w:hyperlink r:id="rId55" w:anchor="3" w:history="1">
        <w:r w:rsidRPr="00F60A1E">
          <w:rPr>
            <w:rFonts w:eastAsia="Times New Roman" w:cs="Arial"/>
            <w:bCs/>
            <w:color w:val="0000FF" w:themeColor="hyperlink"/>
            <w:u w:val="single"/>
          </w:rPr>
          <w:t>Football Cell of the Interior Federal Public Service</w:t>
        </w:r>
      </w:hyperlink>
      <w:r w:rsidRPr="00F60A1E">
        <w:rPr>
          <w:rFonts w:eastAsia="Times New Roman"/>
          <w:bCs/>
        </w:rPr>
        <w:t xml:space="preserve"> may impose administrative sanctions on children for</w:t>
      </w:r>
      <w:r w:rsidRPr="00F60A1E">
        <w:t xml:space="preserve"> socially harmful behaviour taking place</w:t>
      </w:r>
      <w:r w:rsidRPr="00F60A1E">
        <w:rPr>
          <w:rFonts w:eastAsia="Times New Roman"/>
          <w:bCs/>
        </w:rPr>
        <w:t xml:space="preserve"> during football events, such as throwing projectiles, illegal intrusion into the stadium, incitement to violent behaviour, or the introduction of prohibited items</w:t>
      </w:r>
      <w:r w:rsidRPr="00F60A1E">
        <w:rPr>
          <w:rFonts w:eastAsia="Times New Roman"/>
          <w:bCs/>
          <w:vertAlign w:val="superscript"/>
        </w:rPr>
        <w:footnoteReference w:id="54"/>
      </w:r>
      <w:r w:rsidRPr="00F60A1E">
        <w:rPr>
          <w:rFonts w:eastAsia="Times New Roman"/>
          <w:bCs/>
        </w:rPr>
        <w:t xml:space="preserve">. The child’s behaviour must be asserted in an official Police report, which is transmitted to the Football Cell and to the Crown Prosecution Office. The Football Cell may impose a stadium ban lasting from three months to five years on a child who is older than 14 </w:t>
      </w:r>
      <w:r w:rsidRPr="00F60A1E">
        <w:rPr>
          <w:rFonts w:eastAsia="Times New Roman"/>
          <w:bCs/>
        </w:rPr>
        <w:lastRenderedPageBreak/>
        <w:t>years of age. The Football Cell must hear the child before imposing a sanction</w:t>
      </w:r>
      <w:r w:rsidRPr="00F60A1E">
        <w:rPr>
          <w:rFonts w:eastAsia="Times New Roman"/>
          <w:bCs/>
          <w:vertAlign w:val="superscript"/>
        </w:rPr>
        <w:footnoteReference w:id="55"/>
      </w:r>
      <w:r w:rsidRPr="00F60A1E">
        <w:rPr>
          <w:rFonts w:eastAsia="Times New Roman"/>
          <w:bCs/>
        </w:rPr>
        <w:t xml:space="preserve">. If the child does not have a legal counsel, a legal counsel will be appointed </w:t>
      </w:r>
      <w:r w:rsidRPr="00F60A1E">
        <w:rPr>
          <w:rFonts w:eastAsia="Times New Roman"/>
          <w:bCs/>
          <w:i/>
        </w:rPr>
        <w:t>ex officio</w:t>
      </w:r>
      <w:r w:rsidRPr="00F60A1E">
        <w:rPr>
          <w:rFonts w:eastAsia="Times New Roman"/>
          <w:bCs/>
        </w:rPr>
        <w:t xml:space="preserve"> to assist the child. The child, or his/her legal representative, may appeal the Football Cell’s decision to the youth tribunal – </w:t>
      </w:r>
      <w:r w:rsidRPr="00F60A1E">
        <w:t xml:space="preserve">applying the </w:t>
      </w:r>
      <w:hyperlink r:id="rId56" w:history="1">
        <w:r w:rsidRPr="00F60A1E">
          <w:rPr>
            <w:rFonts w:cs="Arial"/>
            <w:color w:val="0000FF" w:themeColor="hyperlink"/>
            <w:u w:val="single"/>
          </w:rPr>
          <w:t>Youth Protection Act</w:t>
        </w:r>
      </w:hyperlink>
      <w:r w:rsidRPr="00F60A1E">
        <w:t xml:space="preserve"> and the </w:t>
      </w:r>
      <w:hyperlink r:id="rId57" w:history="1">
        <w:r w:rsidRPr="00F60A1E">
          <w:rPr>
            <w:rFonts w:cs="Arial"/>
            <w:color w:val="0000FF" w:themeColor="hyperlink"/>
            <w:u w:val="single"/>
          </w:rPr>
          <w:t>Judicial Code</w:t>
        </w:r>
      </w:hyperlink>
      <w:r w:rsidRPr="00F60A1E">
        <w:t>, i.e. civil judicial procedural rules</w:t>
      </w:r>
      <w:r w:rsidRPr="00F60A1E">
        <w:rPr>
          <w:rFonts w:eastAsia="Times New Roman"/>
          <w:bCs/>
          <w:vertAlign w:val="superscript"/>
        </w:rPr>
        <w:footnoteReference w:id="56"/>
      </w:r>
      <w:r w:rsidRPr="00F60A1E">
        <w:rPr>
          <w:rFonts w:eastAsia="Times New Roman"/>
          <w:bCs/>
        </w:rPr>
        <w:t>.</w:t>
      </w:r>
    </w:p>
    <w:p w:rsidR="00F60A1E" w:rsidRPr="00F60A1E" w:rsidRDefault="00F60A1E" w:rsidP="00F60A1E">
      <w:pPr>
        <w:widowControl w:val="0"/>
        <w:spacing w:before="0" w:after="0" w:line="240" w:lineRule="auto"/>
        <w:jc w:val="both"/>
        <w:rPr>
          <w:rFonts w:eastAsia="Times New Roman"/>
          <w:bCs/>
        </w:rPr>
      </w:pPr>
    </w:p>
    <w:p w:rsidR="00F60A1E" w:rsidRPr="00F60A1E" w:rsidRDefault="00F60A1E" w:rsidP="00F60A1E">
      <w:pPr>
        <w:widowControl w:val="0"/>
        <w:spacing w:before="0" w:after="0" w:line="240" w:lineRule="auto"/>
        <w:ind w:left="851"/>
        <w:jc w:val="both"/>
        <w:rPr>
          <w:rFonts w:eastAsia="Times New Roman"/>
          <w:bCs/>
          <w:highlight w:val="yellow"/>
        </w:rPr>
      </w:pPr>
      <w:r w:rsidRPr="00F60A1E">
        <w:rPr>
          <w:rFonts w:eastAsia="Times New Roman"/>
          <w:bCs/>
        </w:rPr>
        <w:t>The crown prosecutor will be notified of the administrative proceedings against the child. The crown prosecutor then has one month to decide whether or not bringing the child’s case before a youth tribunal in order to apply youth protection measures is more appropriate than the administrative sanctions procedure. In this case, the administrative procedure will immediately cease</w:t>
      </w:r>
      <w:r w:rsidRPr="00F60A1E">
        <w:rPr>
          <w:rFonts w:eastAsia="Times New Roman"/>
          <w:bCs/>
          <w:vertAlign w:val="superscript"/>
        </w:rPr>
        <w:footnoteReference w:id="57"/>
      </w:r>
      <w:r w:rsidRPr="00F60A1E">
        <w:rPr>
          <w:rFonts w:eastAsia="Times New Roman"/>
          <w:bCs/>
        </w:rPr>
        <w:t>.</w:t>
      </w:r>
    </w:p>
    <w:p w:rsidR="00F60A1E" w:rsidRPr="00F60A1E" w:rsidRDefault="00F60A1E" w:rsidP="00F60A1E">
      <w:pPr>
        <w:widowControl w:val="0"/>
        <w:spacing w:before="0" w:after="0" w:line="240" w:lineRule="auto"/>
        <w:ind w:left="851"/>
        <w:jc w:val="both"/>
        <w:rPr>
          <w:rFonts w:eastAsia="Times New Roman"/>
          <w:bCs/>
          <w:highlight w:val="yellow"/>
        </w:rPr>
      </w:pPr>
    </w:p>
    <w:p w:rsidR="00F60A1E" w:rsidRPr="00F60A1E" w:rsidRDefault="00F60A1E" w:rsidP="00F60A1E">
      <w:pPr>
        <w:widowControl w:val="0"/>
        <w:spacing w:before="0" w:after="0" w:line="240" w:lineRule="auto"/>
        <w:ind w:left="851"/>
        <w:jc w:val="both"/>
        <w:rPr>
          <w:szCs w:val="20"/>
        </w:rPr>
      </w:pPr>
      <w:r w:rsidRPr="00F60A1E">
        <w:rPr>
          <w:szCs w:val="20"/>
        </w:rPr>
        <w:t xml:space="preserve">The </w:t>
      </w:r>
      <w:hyperlink r:id="rId58" w:history="1">
        <w:r w:rsidRPr="00F60A1E">
          <w:rPr>
            <w:color w:val="0000FF" w:themeColor="hyperlink"/>
            <w:szCs w:val="20"/>
            <w:u w:val="single"/>
          </w:rPr>
          <w:t>Act of 24 June 2013</w:t>
        </w:r>
      </w:hyperlink>
      <w:r w:rsidRPr="00F60A1E">
        <w:rPr>
          <w:szCs w:val="20"/>
        </w:rPr>
        <w:t xml:space="preserve"> on municipal administrative sanctions – in effect since 1</w:t>
      </w:r>
      <w:r w:rsidRPr="00F60A1E">
        <w:rPr>
          <w:szCs w:val="20"/>
          <w:vertAlign w:val="superscript"/>
        </w:rPr>
        <w:t>st</w:t>
      </w:r>
      <w:r w:rsidRPr="00F60A1E">
        <w:rPr>
          <w:szCs w:val="20"/>
        </w:rPr>
        <w:t xml:space="preserve"> January 2014,  allows municipal councils to establish administrative sanctions for violations of their regulations or ordinances and certain offences under the </w:t>
      </w:r>
      <w:hyperlink r:id="rId59" w:history="1">
        <w:r w:rsidRPr="00F60A1E">
          <w:rPr>
            <w:color w:val="0000FF" w:themeColor="hyperlink"/>
            <w:szCs w:val="20"/>
            <w:u w:val="single"/>
          </w:rPr>
          <w:t>Criminal Code</w:t>
        </w:r>
      </w:hyperlink>
      <w:r w:rsidRPr="00F60A1E">
        <w:rPr>
          <w:szCs w:val="20"/>
        </w:rPr>
        <w:t>, i.e. threats, assault and battery, insults, destruction, and some traffic and parking offences</w:t>
      </w:r>
      <w:r w:rsidRPr="00F60A1E">
        <w:rPr>
          <w:szCs w:val="20"/>
          <w:vertAlign w:val="superscript"/>
        </w:rPr>
        <w:footnoteReference w:id="58"/>
      </w:r>
      <w:r w:rsidRPr="00F60A1E">
        <w:rPr>
          <w:szCs w:val="20"/>
        </w:rPr>
        <w:t>. Before imposing an administrative sanction, the municipality must offer to start mediation</w:t>
      </w:r>
      <w:r w:rsidRPr="00F60A1E">
        <w:rPr>
          <w:szCs w:val="20"/>
          <w:vertAlign w:val="superscript"/>
        </w:rPr>
        <w:footnoteReference w:id="59"/>
      </w:r>
      <w:r w:rsidRPr="00F60A1E">
        <w:rPr>
          <w:szCs w:val="20"/>
        </w:rPr>
        <w:t>. In case mediation was refused, or no agreement was reached, the municipality may impose a fine up to EUR 175 to a child of at least 14 years of age</w:t>
      </w:r>
      <w:r w:rsidRPr="00F60A1E">
        <w:rPr>
          <w:szCs w:val="20"/>
          <w:vertAlign w:val="superscript"/>
        </w:rPr>
        <w:footnoteReference w:id="60"/>
      </w:r>
      <w:r w:rsidRPr="00F60A1E">
        <w:rPr>
          <w:szCs w:val="20"/>
        </w:rPr>
        <w:t>, or propose a civic service in order to raise the awareness of the child</w:t>
      </w:r>
      <w:r w:rsidRPr="00F60A1E">
        <w:rPr>
          <w:szCs w:val="20"/>
          <w:vertAlign w:val="superscript"/>
        </w:rPr>
        <w:footnoteReference w:id="61"/>
      </w:r>
      <w:r w:rsidRPr="00F60A1E">
        <w:rPr>
          <w:szCs w:val="20"/>
        </w:rPr>
        <w:t xml:space="preserve">. The civic service may consist of training or unpaid work under the supervision of the municipality or a competent public authority. The civic service lasts for a maximum of 15 hours. If the child does not have a legal counsel, a legal counsel will be appointed </w:t>
      </w:r>
      <w:r w:rsidRPr="00F60A1E">
        <w:rPr>
          <w:i/>
          <w:szCs w:val="20"/>
        </w:rPr>
        <w:t>ex officio</w:t>
      </w:r>
      <w:r w:rsidRPr="00F60A1E">
        <w:rPr>
          <w:szCs w:val="20"/>
        </w:rPr>
        <w:t xml:space="preserve"> to assist the child in the administrative procedure</w:t>
      </w:r>
      <w:r w:rsidRPr="00F60A1E">
        <w:rPr>
          <w:szCs w:val="20"/>
          <w:vertAlign w:val="superscript"/>
        </w:rPr>
        <w:footnoteReference w:id="62"/>
      </w:r>
      <w:r w:rsidRPr="00F60A1E">
        <w:rPr>
          <w:szCs w:val="20"/>
        </w:rPr>
        <w:t>. The child or his/her legal representative may appeal against the administrative sanction to the youth tribunal</w:t>
      </w:r>
      <w:r w:rsidRPr="00F60A1E">
        <w:rPr>
          <w:rFonts w:cs="Arial"/>
          <w:szCs w:val="20"/>
        </w:rPr>
        <w:t xml:space="preserve"> </w:t>
      </w:r>
      <w:r w:rsidRPr="00F60A1E">
        <w:rPr>
          <w:szCs w:val="20"/>
        </w:rPr>
        <w:t xml:space="preserve">applying the </w:t>
      </w:r>
      <w:hyperlink r:id="rId60" w:history="1">
        <w:r w:rsidRPr="00F60A1E">
          <w:rPr>
            <w:color w:val="0000FF" w:themeColor="hyperlink"/>
            <w:szCs w:val="20"/>
            <w:u w:val="single"/>
          </w:rPr>
          <w:t>Youth Protection Act</w:t>
        </w:r>
      </w:hyperlink>
      <w:r w:rsidRPr="00F60A1E">
        <w:rPr>
          <w:szCs w:val="20"/>
        </w:rPr>
        <w:t xml:space="preserve"> and the </w:t>
      </w:r>
      <w:hyperlink r:id="rId61" w:history="1">
        <w:r w:rsidRPr="00F60A1E">
          <w:rPr>
            <w:color w:val="0000FF" w:themeColor="hyperlink"/>
            <w:szCs w:val="20"/>
            <w:u w:val="single"/>
          </w:rPr>
          <w:t>Judicial Code</w:t>
        </w:r>
      </w:hyperlink>
      <w:r w:rsidRPr="00F60A1E">
        <w:rPr>
          <w:szCs w:val="20"/>
        </w:rPr>
        <w:t xml:space="preserve">, i.e. civil judicial procedural rules. </w:t>
      </w:r>
    </w:p>
    <w:p w:rsidR="00F60A1E" w:rsidRPr="00F60A1E" w:rsidRDefault="00F60A1E" w:rsidP="00F60A1E">
      <w:pPr>
        <w:widowControl w:val="0"/>
        <w:spacing w:before="0" w:after="0" w:line="240" w:lineRule="auto"/>
        <w:ind w:left="851"/>
        <w:jc w:val="both"/>
        <w:rPr>
          <w:szCs w:val="20"/>
        </w:rPr>
      </w:pPr>
    </w:p>
    <w:p w:rsidR="00F60A1E" w:rsidRPr="00F60A1E" w:rsidRDefault="00F60A1E" w:rsidP="00F60A1E">
      <w:pPr>
        <w:widowControl w:val="0"/>
        <w:spacing w:before="0" w:after="0" w:line="240" w:lineRule="auto"/>
        <w:ind w:left="851"/>
        <w:jc w:val="both"/>
        <w:rPr>
          <w:szCs w:val="20"/>
        </w:rPr>
      </w:pPr>
      <w:r w:rsidRPr="00F60A1E">
        <w:rPr>
          <w:szCs w:val="20"/>
        </w:rPr>
        <w:t xml:space="preserve">The youth tribunal will hear all the parties to the proceeding and review the legality and proportionality of the administrative sanction imposed. The youth tribunal may also decide to replace the administrative sanction by a youth protection measure. A youth protection measure can be a measure of care, protection or education – consisting, </w:t>
      </w:r>
      <w:r w:rsidRPr="00F60A1E">
        <w:rPr>
          <w:i/>
          <w:szCs w:val="20"/>
        </w:rPr>
        <w:t>inter alia,</w:t>
      </w:r>
      <w:r w:rsidRPr="00F60A1E">
        <w:rPr>
          <w:szCs w:val="20"/>
        </w:rPr>
        <w:t xml:space="preserve"> of a reprimand, community service, a treatment, or placement into an open/closed education centre</w:t>
      </w:r>
      <w:r w:rsidRPr="00F60A1E">
        <w:rPr>
          <w:szCs w:val="20"/>
          <w:vertAlign w:val="superscript"/>
        </w:rPr>
        <w:footnoteReference w:id="63"/>
      </w:r>
      <w:r w:rsidRPr="00F60A1E">
        <w:rPr>
          <w:szCs w:val="20"/>
        </w:rPr>
        <w:t xml:space="preserve">. The decision of the youth tribunal is not subject to appeal, except when the youth tribunal decides to impose a youth protection measure – see </w:t>
      </w:r>
      <w:hyperlink w:anchor="_2.8_Remedies_or" w:history="1">
        <w:r w:rsidRPr="00F60A1E">
          <w:rPr>
            <w:color w:val="0000FF" w:themeColor="hyperlink"/>
            <w:szCs w:val="20"/>
            <w:u w:val="single"/>
          </w:rPr>
          <w:t>Section 2.8</w:t>
        </w:r>
      </w:hyperlink>
      <w:r w:rsidRPr="00F60A1E">
        <w:rPr>
          <w:szCs w:val="20"/>
          <w:vertAlign w:val="superscript"/>
        </w:rPr>
        <w:footnoteReference w:id="64"/>
      </w:r>
      <w:r w:rsidRPr="00F60A1E">
        <w:rPr>
          <w:szCs w:val="20"/>
        </w:rPr>
        <w:t xml:space="preserve">. </w:t>
      </w:r>
    </w:p>
    <w:p w:rsidR="00F60A1E" w:rsidRPr="00F60A1E" w:rsidRDefault="00F60A1E" w:rsidP="0082630D">
      <w:pPr>
        <w:pStyle w:val="Heading2"/>
      </w:pPr>
      <w:bookmarkStart w:id="43" w:name="_Toc401578553"/>
      <w:bookmarkStart w:id="44" w:name="_Toc404767174"/>
      <w:bookmarkStart w:id="45" w:name="_Toc409792195"/>
      <w:r w:rsidRPr="00F60A1E">
        <w:t>General approach towards children under administrative law: evolving capacities, best interests of the child, principle of non-discrimination</w:t>
      </w:r>
      <w:bookmarkEnd w:id="43"/>
      <w:bookmarkEnd w:id="44"/>
      <w:bookmarkEnd w:id="45"/>
    </w:p>
    <w:p w:rsidR="00F60A1E" w:rsidRPr="00F60A1E" w:rsidRDefault="00F60A1E" w:rsidP="00537401">
      <w:pPr>
        <w:pStyle w:val="Heading3"/>
      </w:pPr>
      <w:bookmarkStart w:id="46" w:name="_Toc409792196"/>
      <w:r w:rsidRPr="00F60A1E">
        <w:t>Main principles/objectives for children’s involvement in administrative judicial proceedings</w:t>
      </w:r>
      <w:bookmarkEnd w:id="46"/>
    </w:p>
    <w:p w:rsidR="00F60A1E" w:rsidRPr="00F60A1E" w:rsidRDefault="00F60A1E" w:rsidP="00F60A1E">
      <w:pPr>
        <w:spacing w:before="0" w:after="0" w:line="240" w:lineRule="auto"/>
        <w:ind w:left="851"/>
        <w:jc w:val="both"/>
      </w:pPr>
      <w:r w:rsidRPr="00F60A1E">
        <w:t xml:space="preserve">As explained in the </w:t>
      </w:r>
      <w:r w:rsidRPr="00F60A1E">
        <w:rPr>
          <w:lang w:eastAsia="fr-FR"/>
        </w:rPr>
        <w:t>Study to collect data on children’s involvement in civil judicial proceedings</w:t>
      </w:r>
      <w:r w:rsidRPr="00F60A1E">
        <w:t xml:space="preserve">, the </w:t>
      </w:r>
      <w:hyperlink r:id="rId62" w:history="1">
        <w:r w:rsidRPr="00F60A1E">
          <w:rPr>
            <w:rFonts w:cs="Arial"/>
            <w:color w:val="0000FF" w:themeColor="hyperlink"/>
            <w:u w:val="single"/>
          </w:rPr>
          <w:t>UN Convention on the Rights of the Child</w:t>
        </w:r>
      </w:hyperlink>
      <w:r w:rsidRPr="00F60A1E">
        <w:t xml:space="preserve"> (CRC), as well as the Council of Europe Convention for the Protection of Human Rights and Fundamental Rights (ECHR), are both directly applicable in Belgium</w:t>
      </w:r>
      <w:r w:rsidRPr="00F60A1E">
        <w:rPr>
          <w:vertAlign w:val="superscript"/>
        </w:rPr>
        <w:footnoteReference w:id="65"/>
      </w:r>
      <w:r w:rsidRPr="00F60A1E">
        <w:t xml:space="preserve">. As a result, the safeguards provided in these international agreements determine children’s involvement in judicial proceedings, including the right to be </w:t>
      </w:r>
      <w:r w:rsidRPr="00F60A1E">
        <w:lastRenderedPageBreak/>
        <w:t>heard during the process leading to decisions that affect them, and to take part in this process</w:t>
      </w:r>
      <w:r w:rsidRPr="00F60A1E">
        <w:rPr>
          <w:vertAlign w:val="superscript"/>
        </w:rPr>
        <w:footnoteReference w:id="66"/>
      </w:r>
      <w:r w:rsidRPr="00F60A1E">
        <w:t>.</w:t>
      </w:r>
    </w:p>
    <w:p w:rsidR="00F60A1E" w:rsidRPr="00F60A1E" w:rsidRDefault="00F60A1E" w:rsidP="00F60A1E">
      <w:pPr>
        <w:spacing w:before="0" w:after="0" w:line="240" w:lineRule="auto"/>
        <w:ind w:left="851"/>
        <w:jc w:val="both"/>
      </w:pPr>
    </w:p>
    <w:p w:rsidR="00F60A1E" w:rsidRPr="00F60A1E" w:rsidRDefault="00F60A1E" w:rsidP="00F60A1E">
      <w:pPr>
        <w:spacing w:before="0" w:after="0" w:line="240" w:lineRule="auto"/>
        <w:ind w:left="851"/>
        <w:jc w:val="both"/>
      </w:pPr>
      <w:r w:rsidRPr="00F60A1E">
        <w:t xml:space="preserve">As a general rule, the child does not have the legal capacity to act. Hence, a child cannot file an action or act in an administrative judicial proceeding unless represented by his/her legal representative. Children remain under parental authority until they turn 18 years old, unless they become emancipated earlier due to marriage or a judicial decision. Parents are responsible for the care, education and supervision of their children. See more details in </w:t>
      </w:r>
      <w:hyperlink w:anchor="_The_child_as" w:history="1">
        <w:r w:rsidRPr="00F60A1E">
          <w:rPr>
            <w:rFonts w:cs="Arial"/>
            <w:color w:val="0000FF" w:themeColor="hyperlink"/>
            <w:u w:val="single"/>
          </w:rPr>
          <w:t>Section 2.1</w:t>
        </w:r>
      </w:hyperlink>
      <w:r w:rsidRPr="00F60A1E">
        <w:t>.</w:t>
      </w:r>
    </w:p>
    <w:p w:rsidR="00F60A1E" w:rsidRPr="00F60A1E" w:rsidRDefault="00F60A1E" w:rsidP="00F60A1E">
      <w:pPr>
        <w:spacing w:before="0" w:after="0" w:line="240" w:lineRule="auto"/>
        <w:ind w:left="851"/>
        <w:jc w:val="both"/>
      </w:pPr>
    </w:p>
    <w:p w:rsidR="00F60A1E" w:rsidRPr="00F60A1E" w:rsidRDefault="00F60A1E" w:rsidP="00F60A1E">
      <w:pPr>
        <w:spacing w:before="0" w:after="0" w:line="240" w:lineRule="auto"/>
        <w:ind w:left="851"/>
        <w:jc w:val="both"/>
      </w:pPr>
      <w:r w:rsidRPr="00F60A1E">
        <w:t xml:space="preserve">The principles of the </w:t>
      </w:r>
      <w:hyperlink r:id="rId63" w:history="1">
        <w:r w:rsidRPr="00F60A1E">
          <w:rPr>
            <w:rFonts w:cs="Arial"/>
            <w:color w:val="0000FF" w:themeColor="hyperlink"/>
            <w:u w:val="single"/>
          </w:rPr>
          <w:t>Youth Protection Act</w:t>
        </w:r>
      </w:hyperlink>
      <w:r w:rsidRPr="00F60A1E">
        <w:t xml:space="preserve"> specify that “children are dealt with by stakeholders, officials and judges who have received specific training on the rights of the child” and that “children may not, under any circumstances, be compared to an adult or treated as an adult in their degree of responsibility and the consequences of their actions”</w:t>
      </w:r>
      <w:r w:rsidRPr="00F60A1E">
        <w:rPr>
          <w:vertAlign w:val="superscript"/>
        </w:rPr>
        <w:footnoteReference w:id="67"/>
      </w:r>
      <w:r w:rsidRPr="00F60A1E">
        <w:t xml:space="preserve">. </w:t>
      </w:r>
    </w:p>
    <w:p w:rsidR="00F60A1E" w:rsidRPr="00F60A1E" w:rsidRDefault="00F60A1E" w:rsidP="00227001">
      <w:pPr>
        <w:pStyle w:val="Heading3NoNumb"/>
        <w:ind w:firstLine="851"/>
      </w:pPr>
      <w:bookmarkStart w:id="47" w:name="_Toc409792197"/>
      <w:r w:rsidRPr="00F60A1E">
        <w:t>Ensuring the child’s best interests</w:t>
      </w:r>
      <w:bookmarkEnd w:id="47"/>
      <w:r w:rsidRPr="00F60A1E">
        <w:t xml:space="preserve"> </w:t>
      </w:r>
    </w:p>
    <w:p w:rsidR="00F60A1E" w:rsidRPr="00F60A1E" w:rsidRDefault="00F60A1E" w:rsidP="00F60A1E">
      <w:pPr>
        <w:spacing w:before="0" w:after="0" w:line="240" w:lineRule="auto"/>
        <w:ind w:left="851"/>
        <w:jc w:val="both"/>
      </w:pPr>
      <w:r w:rsidRPr="00F60A1E">
        <w:t xml:space="preserve">As explained in the </w:t>
      </w:r>
      <w:r w:rsidRPr="00F60A1E">
        <w:rPr>
          <w:lang w:eastAsia="fr-FR"/>
        </w:rPr>
        <w:t>Study to collect data on children’s involvement in civil judicial proceedings</w:t>
      </w:r>
      <w:r w:rsidRPr="00F60A1E">
        <w:t xml:space="preserve">, the </w:t>
      </w:r>
      <w:hyperlink r:id="rId64" w:history="1">
        <w:r w:rsidRPr="00F60A1E">
          <w:rPr>
            <w:rFonts w:cs="Arial"/>
            <w:color w:val="0000FF" w:themeColor="hyperlink"/>
            <w:u w:val="single"/>
          </w:rPr>
          <w:t>Constitution</w:t>
        </w:r>
      </w:hyperlink>
      <w:r w:rsidRPr="00F60A1E">
        <w:t xml:space="preserve"> requires that, in all decisions affecting the child, the interests of the child must be of primary consideration</w:t>
      </w:r>
      <w:r w:rsidRPr="00F60A1E">
        <w:rPr>
          <w:vertAlign w:val="superscript"/>
        </w:rPr>
        <w:footnoteReference w:id="68"/>
      </w:r>
      <w:r w:rsidRPr="00F60A1E">
        <w:t xml:space="preserve">. </w:t>
      </w:r>
    </w:p>
    <w:p w:rsidR="00F60A1E" w:rsidRPr="00F60A1E" w:rsidRDefault="00F60A1E" w:rsidP="00F60A1E">
      <w:pPr>
        <w:spacing w:before="0" w:after="0" w:line="240" w:lineRule="auto"/>
        <w:ind w:left="851"/>
        <w:jc w:val="both"/>
      </w:pPr>
    </w:p>
    <w:p w:rsidR="00F60A1E" w:rsidRPr="00F60A1E" w:rsidRDefault="00F60A1E" w:rsidP="00F60A1E">
      <w:pPr>
        <w:spacing w:before="0" w:after="0" w:line="240" w:lineRule="auto"/>
        <w:ind w:left="851"/>
        <w:jc w:val="both"/>
      </w:pPr>
      <w:r w:rsidRPr="00F60A1E">
        <w:t xml:space="preserve">No provisions have been found on how the best interests of each child are assessed in cases where more than one child is involved in the judicial proceedings. There are no checklists or protocols in place to determine the child’s best interests in judicial proceedings. The judge hearing the case is competent to assess the best interests of the child. The </w:t>
      </w:r>
      <w:hyperlink r:id="rId65" w:history="1">
        <w:r w:rsidRPr="00F60A1E">
          <w:rPr>
            <w:rFonts w:cs="Arial"/>
            <w:color w:val="0000FF" w:themeColor="hyperlink"/>
            <w:u w:val="single"/>
          </w:rPr>
          <w:t>Constitution</w:t>
        </w:r>
      </w:hyperlink>
      <w:r w:rsidRPr="00F60A1E">
        <w:t xml:space="preserve"> states that the child has the right to express his/her views on any issues that concern him/her and requires the child’s view to be taken into account</w:t>
      </w:r>
      <w:r w:rsidRPr="00F60A1E">
        <w:rPr>
          <w:vertAlign w:val="superscript"/>
        </w:rPr>
        <w:footnoteReference w:id="69"/>
      </w:r>
      <w:r w:rsidRPr="00F60A1E">
        <w:t>. Accordingly, the child should be heard and his/her views must be taken into account whilst assessing his/her best interests.</w:t>
      </w:r>
    </w:p>
    <w:p w:rsidR="00F60A1E" w:rsidRPr="00F60A1E" w:rsidRDefault="00F60A1E" w:rsidP="00F60A1E">
      <w:pPr>
        <w:widowControl w:val="0"/>
        <w:spacing w:before="0" w:after="0" w:line="240" w:lineRule="auto"/>
        <w:ind w:left="851"/>
        <w:jc w:val="both"/>
        <w:rPr>
          <w:szCs w:val="20"/>
        </w:rPr>
      </w:pPr>
    </w:p>
    <w:p w:rsidR="00F60A1E" w:rsidRPr="00F60A1E" w:rsidRDefault="00F60A1E" w:rsidP="00F60A1E">
      <w:pPr>
        <w:widowControl w:val="0"/>
        <w:spacing w:before="0" w:after="0" w:line="240" w:lineRule="auto"/>
        <w:ind w:left="851"/>
        <w:jc w:val="both"/>
        <w:rPr>
          <w:szCs w:val="20"/>
        </w:rPr>
      </w:pPr>
      <w:r w:rsidRPr="00F60A1E">
        <w:rPr>
          <w:szCs w:val="20"/>
        </w:rPr>
        <w:t xml:space="preserve">The </w:t>
      </w:r>
      <w:hyperlink r:id="rId66" w:history="1">
        <w:r w:rsidRPr="00F60A1E">
          <w:rPr>
            <w:color w:val="0000FF" w:themeColor="hyperlink"/>
            <w:szCs w:val="20"/>
            <w:u w:val="single"/>
          </w:rPr>
          <w:t>Youth Protection Act</w:t>
        </w:r>
      </w:hyperlink>
      <w:r w:rsidRPr="00F60A1E">
        <w:rPr>
          <w:szCs w:val="20"/>
        </w:rPr>
        <w:t xml:space="preserve"> mentions the consideration of the ‘interests of the child’, but there is no requirement that the child’s best interests are a primary consideration for a child in a judicial proceeding. The youth tribunal will take into consideration various factors, i.e. the personality and maturity of the child, the family environment, and any previous measures taken against/for the child, before ordering any measure.</w:t>
      </w:r>
      <w:r w:rsidRPr="00F60A1E">
        <w:rPr>
          <w:szCs w:val="20"/>
          <w:vertAlign w:val="superscript"/>
        </w:rPr>
        <w:footnoteReference w:id="70"/>
      </w:r>
      <w:r w:rsidRPr="00F60A1E">
        <w:rPr>
          <w:szCs w:val="20"/>
        </w:rPr>
        <w:t xml:space="preserve"> </w:t>
      </w:r>
    </w:p>
    <w:p w:rsidR="00F60A1E" w:rsidRPr="00F60A1E" w:rsidRDefault="00F60A1E" w:rsidP="00F60A1E">
      <w:pPr>
        <w:widowControl w:val="0"/>
        <w:spacing w:before="0" w:after="0" w:line="240" w:lineRule="auto"/>
        <w:ind w:left="851"/>
        <w:jc w:val="both"/>
        <w:rPr>
          <w:szCs w:val="20"/>
        </w:rPr>
      </w:pPr>
    </w:p>
    <w:p w:rsidR="00F60A1E" w:rsidRPr="00F60A1E" w:rsidRDefault="00F60A1E" w:rsidP="00F60A1E">
      <w:pPr>
        <w:widowControl w:val="0"/>
        <w:spacing w:before="0" w:after="0" w:line="240" w:lineRule="auto"/>
        <w:ind w:left="851"/>
        <w:jc w:val="both"/>
        <w:rPr>
          <w:szCs w:val="20"/>
        </w:rPr>
      </w:pPr>
      <w:r w:rsidRPr="00F60A1E">
        <w:rPr>
          <w:szCs w:val="20"/>
        </w:rPr>
        <w:t>In Flanders, youth welfare services must take the interests of the child as the primary consideration when providing assistance to a child. The interests of the child are then determined in dialogue with the child, taking into account the opinions and responsibility of the parents. An appropriate follow-up, taking into consideration his/her age and maturity, is provided to the child's opinion</w:t>
      </w:r>
      <w:r w:rsidRPr="00F60A1E">
        <w:rPr>
          <w:szCs w:val="20"/>
          <w:vertAlign w:val="superscript"/>
        </w:rPr>
        <w:footnoteReference w:id="71"/>
      </w:r>
      <w:r w:rsidRPr="00F60A1E">
        <w:rPr>
          <w:szCs w:val="20"/>
        </w:rPr>
        <w:t>.</w:t>
      </w:r>
    </w:p>
    <w:p w:rsidR="00F60A1E" w:rsidRPr="00F60A1E" w:rsidRDefault="00F60A1E" w:rsidP="00F60A1E">
      <w:pPr>
        <w:widowControl w:val="0"/>
        <w:spacing w:before="0" w:after="0" w:line="240" w:lineRule="auto"/>
        <w:ind w:left="851"/>
        <w:jc w:val="both"/>
        <w:rPr>
          <w:szCs w:val="20"/>
        </w:rPr>
      </w:pPr>
    </w:p>
    <w:p w:rsidR="00F60A1E" w:rsidRPr="00F60A1E" w:rsidRDefault="00F60A1E" w:rsidP="00F60A1E">
      <w:pPr>
        <w:widowControl w:val="0"/>
        <w:spacing w:before="0" w:after="0" w:line="240" w:lineRule="auto"/>
        <w:ind w:left="851"/>
        <w:jc w:val="both"/>
        <w:rPr>
          <w:szCs w:val="20"/>
        </w:rPr>
      </w:pPr>
      <w:r w:rsidRPr="00F60A1E">
        <w:rPr>
          <w:szCs w:val="20"/>
        </w:rPr>
        <w:t>In the French community, the services are required to respect the rights of the child and to act in their best interests</w:t>
      </w:r>
      <w:r w:rsidRPr="00F60A1E">
        <w:rPr>
          <w:szCs w:val="20"/>
          <w:vertAlign w:val="superscript"/>
        </w:rPr>
        <w:footnoteReference w:id="72"/>
      </w:r>
      <w:r w:rsidRPr="00F60A1E">
        <w:rPr>
          <w:szCs w:val="20"/>
        </w:rPr>
        <w:t>. No requirements or protocols exist in the French community to determine the child’s best interests.</w:t>
      </w:r>
    </w:p>
    <w:p w:rsidR="00F60A1E" w:rsidRPr="00F60A1E" w:rsidRDefault="00227001" w:rsidP="00227001">
      <w:pPr>
        <w:pStyle w:val="Heading3NoNumb"/>
        <w:ind w:left="851"/>
      </w:pPr>
      <w:bookmarkStart w:id="48" w:name="_Toc409792198"/>
      <w:r>
        <w:t>Evolving capacity</w:t>
      </w:r>
      <w:bookmarkEnd w:id="48"/>
    </w:p>
    <w:p w:rsidR="00F60A1E" w:rsidRPr="00F60A1E" w:rsidRDefault="00F60A1E" w:rsidP="00F60A1E">
      <w:pPr>
        <w:spacing w:before="0" w:after="0" w:line="240" w:lineRule="auto"/>
        <w:ind w:left="851"/>
        <w:jc w:val="both"/>
      </w:pPr>
      <w:r w:rsidRPr="00F60A1E">
        <w:t xml:space="preserve">In addition to the applicability of the </w:t>
      </w:r>
      <w:hyperlink r:id="rId67" w:history="1">
        <w:r w:rsidRPr="00F60A1E">
          <w:rPr>
            <w:rFonts w:cs="Arial"/>
            <w:color w:val="0000FF" w:themeColor="hyperlink"/>
            <w:u w:val="single"/>
          </w:rPr>
          <w:t>CRC</w:t>
        </w:r>
      </w:hyperlink>
      <w:r w:rsidRPr="00F60A1E">
        <w:t xml:space="preserve"> provision, the </w:t>
      </w:r>
      <w:hyperlink r:id="rId68" w:history="1">
        <w:r w:rsidRPr="00F60A1E">
          <w:rPr>
            <w:rFonts w:cs="Arial"/>
            <w:color w:val="0000FF" w:themeColor="hyperlink"/>
            <w:u w:val="single"/>
          </w:rPr>
          <w:t>Constitution</w:t>
        </w:r>
      </w:hyperlink>
      <w:r w:rsidRPr="00F60A1E">
        <w:t xml:space="preserve"> recognises the principle of safeguarding the child’s evolving capacity in provisions requiring that measures and services should be beneficial for the child – so that they contribute to his/her development and that the child’s views must be taken into account having regard to his/her age and maturity</w:t>
      </w:r>
      <w:r w:rsidRPr="00F60A1E">
        <w:rPr>
          <w:vertAlign w:val="superscript"/>
        </w:rPr>
        <w:footnoteReference w:id="73"/>
      </w:r>
      <w:r w:rsidRPr="00F60A1E">
        <w:t xml:space="preserve">. This also applies to children involved in judicial proceedings, regardless of their roles as </w:t>
      </w:r>
      <w:r w:rsidRPr="00F60A1E">
        <w:lastRenderedPageBreak/>
        <w:t xml:space="preserve">witnesses, plaintiffs, defendants or subjects of proceedings. However, there are no specific rules or guidelines on how to apply the principle of evolving capacity and how a judge can assess such capacity. In practice, it will be assessed on a case-by-case basis by a judge. The actions of the child will be taken into consideration whilst assessing his/her evolving capacity. For example, the fact that a child requests to be heard, via a letter written by him/herself to the judge, will be regarded as demonstrating his/her capacity – see </w:t>
      </w:r>
      <w:hyperlink w:anchor="_2.5_Right_to_1" w:history="1">
        <w:r w:rsidRPr="00F60A1E">
          <w:rPr>
            <w:rFonts w:cs="Arial"/>
            <w:color w:val="0000FF" w:themeColor="hyperlink"/>
            <w:u w:val="single"/>
          </w:rPr>
          <w:t>Section 2.5</w:t>
        </w:r>
      </w:hyperlink>
      <w:r w:rsidRPr="00F60A1E">
        <w:t>.</w:t>
      </w:r>
    </w:p>
    <w:p w:rsidR="00F60A1E" w:rsidRPr="00F60A1E" w:rsidRDefault="00F60A1E" w:rsidP="00F60A1E">
      <w:pPr>
        <w:spacing w:before="0" w:after="0" w:line="240" w:lineRule="auto"/>
        <w:ind w:left="851"/>
        <w:jc w:val="both"/>
      </w:pPr>
    </w:p>
    <w:p w:rsidR="00F60A1E" w:rsidRPr="00F60A1E" w:rsidRDefault="00F60A1E" w:rsidP="00F60A1E">
      <w:pPr>
        <w:spacing w:before="0" w:after="0" w:line="240" w:lineRule="auto"/>
        <w:ind w:left="851"/>
        <w:jc w:val="both"/>
      </w:pPr>
      <w:r w:rsidRPr="00F60A1E">
        <w:t xml:space="preserve">There is no general statutory age limit for a child to be heard. However, some specific provisions do provide age limits. For example, the youth tribunal is required to personally hear a child of 12 years old and older. However, a youth judge may also hear a child younger than 12 years of age in a certain case – see </w:t>
      </w:r>
      <w:hyperlink w:anchor="_The_child_as_1" w:history="1">
        <w:r w:rsidRPr="00F60A1E">
          <w:rPr>
            <w:rFonts w:cs="Arial"/>
            <w:color w:val="0000FF" w:themeColor="hyperlink"/>
            <w:u w:val="single"/>
          </w:rPr>
          <w:t>Section 2.1</w:t>
        </w:r>
      </w:hyperlink>
      <w:r w:rsidRPr="00F60A1E">
        <w:t xml:space="preserve"> and </w:t>
      </w:r>
      <w:hyperlink w:anchor="_2.5_Right_to" w:history="1">
        <w:r w:rsidRPr="00F60A1E">
          <w:rPr>
            <w:rFonts w:cs="Arial"/>
            <w:color w:val="0000FF" w:themeColor="hyperlink"/>
            <w:u w:val="single"/>
          </w:rPr>
          <w:t>Section 2.5</w:t>
        </w:r>
      </w:hyperlink>
      <w:r w:rsidRPr="00F60A1E">
        <w:t xml:space="preserve"> for details. As mentioned in the children in criminal proceedings report, in practice, judges tend not to hear children under the age of 12 – which is considered as the age of sufficient maturity</w:t>
      </w:r>
      <w:r w:rsidRPr="00F60A1E">
        <w:rPr>
          <w:vertAlign w:val="superscript"/>
        </w:rPr>
        <w:footnoteReference w:id="74"/>
      </w:r>
      <w:r w:rsidRPr="00F60A1E">
        <w:t xml:space="preserve">. </w:t>
      </w:r>
    </w:p>
    <w:p w:rsidR="00F60A1E" w:rsidRPr="00F60A1E" w:rsidRDefault="00F60A1E" w:rsidP="00F60A1E">
      <w:pPr>
        <w:widowControl w:val="0"/>
        <w:spacing w:before="0" w:after="0" w:line="240" w:lineRule="auto"/>
        <w:ind w:left="851"/>
        <w:jc w:val="both"/>
        <w:rPr>
          <w:szCs w:val="20"/>
        </w:rPr>
      </w:pPr>
    </w:p>
    <w:p w:rsidR="00F60A1E" w:rsidRPr="00F60A1E" w:rsidRDefault="00F60A1E" w:rsidP="00F60A1E">
      <w:pPr>
        <w:spacing w:before="0" w:after="0" w:line="240" w:lineRule="auto"/>
        <w:ind w:left="851"/>
        <w:jc w:val="both"/>
      </w:pPr>
      <w:r w:rsidRPr="00F60A1E">
        <w:t>With respect to youth welfare services in the Flemish community, a child has the right to consent to, or refuse, youth assistance. In youth welfare, a child exercises his/her rights in his/her own right provided he/she is capable of a reasonable assessment of his/her interests, given his/her age and maturity. The child of 12 years or more is assumed to be capable of a reasonable assessment of his/her interests</w:t>
      </w:r>
      <w:r w:rsidRPr="00F60A1E">
        <w:rPr>
          <w:vertAlign w:val="superscript"/>
        </w:rPr>
        <w:footnoteReference w:id="75"/>
      </w:r>
      <w:r w:rsidRPr="00F60A1E">
        <w:t>. In the French community, a child of at least 14 years of age must provide his/her written consent to youth welfare assistance. If the child is under 14 years of age, the consent of the legal representative is required</w:t>
      </w:r>
      <w:r w:rsidRPr="00F60A1E">
        <w:rPr>
          <w:vertAlign w:val="superscript"/>
        </w:rPr>
        <w:footnoteReference w:id="76"/>
      </w:r>
      <w:r w:rsidRPr="00F60A1E">
        <w:t>.</w:t>
      </w:r>
    </w:p>
    <w:p w:rsidR="00F60A1E" w:rsidRPr="00F60A1E" w:rsidRDefault="00F60A1E" w:rsidP="00227001">
      <w:pPr>
        <w:pStyle w:val="Heading3NoNumb"/>
        <w:ind w:firstLine="851"/>
      </w:pPr>
      <w:bookmarkStart w:id="49" w:name="_Toc409792199"/>
      <w:r w:rsidRPr="00F60A1E">
        <w:t>Protection from discrimination</w:t>
      </w:r>
      <w:bookmarkEnd w:id="49"/>
    </w:p>
    <w:p w:rsidR="00F60A1E" w:rsidRPr="00F60A1E" w:rsidRDefault="00F60A1E" w:rsidP="00F60A1E">
      <w:pPr>
        <w:spacing w:before="0" w:after="0" w:line="240" w:lineRule="auto"/>
        <w:ind w:left="851"/>
        <w:jc w:val="both"/>
      </w:pPr>
      <w:r w:rsidRPr="00F60A1E">
        <w:t xml:space="preserve">As explained in the </w:t>
      </w:r>
      <w:r w:rsidRPr="00F60A1E">
        <w:rPr>
          <w:lang w:eastAsia="fr-FR"/>
        </w:rPr>
        <w:t>Study to collect data on children’s involvement in civil judicial proceedings</w:t>
      </w:r>
      <w:r w:rsidRPr="00F60A1E">
        <w:t xml:space="preserve">, direct and indirect discrimination on the grounds of age, sexual orientation, marital status, birth, wealth, religious or philosophical belief, political conviction, trade union conviction, language, current or future health status, disability, a physical or genetic characteristic or social origin is prohibited under the </w:t>
      </w:r>
      <w:hyperlink r:id="rId69" w:history="1">
        <w:r w:rsidRPr="00F60A1E">
          <w:rPr>
            <w:rFonts w:cs="Arial"/>
            <w:color w:val="0000FF" w:themeColor="hyperlink"/>
            <w:u w:val="single"/>
          </w:rPr>
          <w:t>Anti-Discrimination Act</w:t>
        </w:r>
      </w:hyperlink>
      <w:r w:rsidRPr="00F60A1E">
        <w:t xml:space="preserve"> and Regional Decrees which apply to public and private sector services including areas such as the social services, access to goods and services, health or education</w:t>
      </w:r>
      <w:r w:rsidRPr="00F60A1E">
        <w:rPr>
          <w:vertAlign w:val="superscript"/>
        </w:rPr>
        <w:footnoteReference w:id="77"/>
      </w:r>
      <w:r w:rsidRPr="00F60A1E">
        <w:t xml:space="preserve">. </w:t>
      </w:r>
    </w:p>
    <w:p w:rsidR="00F60A1E" w:rsidRPr="00F60A1E" w:rsidRDefault="00F60A1E" w:rsidP="00F60A1E">
      <w:pPr>
        <w:spacing w:before="0" w:after="0" w:line="240" w:lineRule="auto"/>
        <w:ind w:left="851"/>
        <w:jc w:val="both"/>
      </w:pPr>
    </w:p>
    <w:p w:rsidR="00F60A1E" w:rsidRPr="00F60A1E" w:rsidRDefault="00F60A1E" w:rsidP="00F60A1E">
      <w:pPr>
        <w:widowControl w:val="0"/>
        <w:spacing w:before="0" w:after="0" w:line="240" w:lineRule="auto"/>
        <w:ind w:left="851"/>
        <w:jc w:val="both"/>
        <w:rPr>
          <w:szCs w:val="20"/>
        </w:rPr>
      </w:pPr>
      <w:r w:rsidRPr="00F60A1E">
        <w:rPr>
          <w:szCs w:val="20"/>
        </w:rPr>
        <w:t xml:space="preserve">In case of discrimination, children, via their legal representatives, can complain before the </w:t>
      </w:r>
      <w:hyperlink r:id="rId70" w:history="1">
        <w:r w:rsidRPr="00F60A1E">
          <w:rPr>
            <w:color w:val="0000FF" w:themeColor="hyperlink"/>
            <w:szCs w:val="20"/>
            <w:u w:val="single"/>
          </w:rPr>
          <w:t>Interfederal Centre for Equal Opportunities</w:t>
        </w:r>
      </w:hyperlink>
      <w:r w:rsidRPr="00F60A1E">
        <w:rPr>
          <w:szCs w:val="20"/>
        </w:rPr>
        <w:t>, or before a court.</w:t>
      </w:r>
    </w:p>
    <w:p w:rsidR="00F60A1E" w:rsidRPr="00F60A1E" w:rsidRDefault="00F60A1E" w:rsidP="00F60A1E">
      <w:pPr>
        <w:widowControl w:val="0"/>
        <w:spacing w:before="0" w:after="0" w:line="240" w:lineRule="auto"/>
        <w:ind w:left="851"/>
        <w:jc w:val="both"/>
        <w:rPr>
          <w:szCs w:val="20"/>
        </w:rPr>
      </w:pPr>
    </w:p>
    <w:p w:rsidR="00F60A1E" w:rsidRPr="00F60A1E" w:rsidRDefault="00F60A1E" w:rsidP="00F60A1E">
      <w:pPr>
        <w:widowControl w:val="0"/>
        <w:spacing w:before="0" w:after="0" w:line="240" w:lineRule="auto"/>
        <w:ind w:left="851"/>
        <w:jc w:val="both"/>
        <w:rPr>
          <w:szCs w:val="20"/>
        </w:rPr>
      </w:pPr>
      <w:r w:rsidRPr="00F60A1E">
        <w:rPr>
          <w:szCs w:val="20"/>
        </w:rPr>
        <w:t xml:space="preserve">Non-EU national unaccompanied children receive specific protection in the form of appointed guardians. The guardian will be in charge of the child’s representation, to coordinate with different services and to find a sustainable solution in the interests of the child, within the most efficient timeframe – see </w:t>
      </w:r>
      <w:hyperlink w:anchor="_The_child_as" w:history="1">
        <w:r w:rsidRPr="00F60A1E">
          <w:rPr>
            <w:color w:val="0000FF" w:themeColor="hyperlink"/>
            <w:szCs w:val="20"/>
            <w:u w:val="single"/>
          </w:rPr>
          <w:t>Section 2.1</w:t>
        </w:r>
      </w:hyperlink>
      <w:r w:rsidRPr="00F60A1E">
        <w:rPr>
          <w:szCs w:val="20"/>
          <w:vertAlign w:val="superscript"/>
        </w:rPr>
        <w:footnoteReference w:id="78"/>
      </w:r>
      <w:r w:rsidRPr="00F60A1E">
        <w:rPr>
          <w:szCs w:val="20"/>
        </w:rPr>
        <w:t>.</w:t>
      </w:r>
    </w:p>
    <w:p w:rsidR="00F60A1E" w:rsidRPr="00F60A1E" w:rsidRDefault="00F60A1E" w:rsidP="00F60A1E">
      <w:pPr>
        <w:widowControl w:val="0"/>
        <w:spacing w:before="0" w:after="0" w:line="240" w:lineRule="auto"/>
        <w:ind w:left="851"/>
        <w:jc w:val="both"/>
        <w:rPr>
          <w:szCs w:val="20"/>
        </w:rPr>
      </w:pPr>
    </w:p>
    <w:p w:rsidR="00F60A1E" w:rsidRPr="00F60A1E" w:rsidRDefault="00F60A1E" w:rsidP="00F60A1E">
      <w:pPr>
        <w:widowControl w:val="0"/>
        <w:spacing w:before="0" w:after="0" w:line="240" w:lineRule="auto"/>
        <w:ind w:left="851"/>
        <w:jc w:val="both"/>
        <w:rPr>
          <w:szCs w:val="20"/>
        </w:rPr>
      </w:pPr>
      <w:r w:rsidRPr="00F60A1E">
        <w:rPr>
          <w:szCs w:val="20"/>
        </w:rPr>
        <w:t>Children with disabilities are protected from discrimination on the grounds of their disabilities. The refusal to ensure reasonable accommodation in favour of children with disabilities is considered as discrimination. For example, children with hearing disabilities involved in judicial proceedings can benefit from sign language interpreters, free of charge</w:t>
      </w:r>
      <w:r w:rsidRPr="00F60A1E">
        <w:rPr>
          <w:szCs w:val="20"/>
          <w:vertAlign w:val="superscript"/>
        </w:rPr>
        <w:footnoteReference w:id="79"/>
      </w:r>
      <w:r w:rsidRPr="00F60A1E">
        <w:rPr>
          <w:szCs w:val="20"/>
        </w:rPr>
        <w:t>.</w:t>
      </w:r>
    </w:p>
    <w:p w:rsidR="00F60A1E" w:rsidRPr="00F60A1E" w:rsidRDefault="00F60A1E" w:rsidP="00F60A1E">
      <w:pPr>
        <w:widowControl w:val="0"/>
        <w:spacing w:before="0" w:after="0" w:line="240" w:lineRule="auto"/>
        <w:ind w:left="851"/>
        <w:jc w:val="both"/>
        <w:rPr>
          <w:szCs w:val="20"/>
        </w:rPr>
      </w:pPr>
    </w:p>
    <w:p w:rsidR="00F60A1E" w:rsidRPr="00F60A1E" w:rsidRDefault="00F60A1E" w:rsidP="00F60A1E">
      <w:pPr>
        <w:widowControl w:val="0"/>
        <w:spacing w:before="0" w:after="0" w:line="240" w:lineRule="auto"/>
        <w:ind w:left="851"/>
        <w:jc w:val="both"/>
        <w:rPr>
          <w:szCs w:val="20"/>
        </w:rPr>
      </w:pPr>
      <w:r w:rsidRPr="00F60A1E">
        <w:rPr>
          <w:szCs w:val="20"/>
        </w:rPr>
        <w:t xml:space="preserve">Except for the above, no special protection mechanisms have been identified for the most vulnerable groups, e.g. Roma, and very young children. </w:t>
      </w:r>
    </w:p>
    <w:p w:rsidR="00F60A1E" w:rsidRPr="00F60A1E" w:rsidRDefault="00F60A1E" w:rsidP="0082630D">
      <w:pPr>
        <w:pStyle w:val="Heading2"/>
      </w:pPr>
      <w:bookmarkStart w:id="50" w:name="_Toc401578554"/>
      <w:bookmarkStart w:id="51" w:name="_Toc404767175"/>
      <w:bookmarkStart w:id="52" w:name="_Toc409792200"/>
      <w:r w:rsidRPr="00F60A1E">
        <w:lastRenderedPageBreak/>
        <w:t>Monitoring mechanisms, multidisciplinary approach and training</w:t>
      </w:r>
      <w:bookmarkEnd w:id="50"/>
      <w:bookmarkEnd w:id="51"/>
      <w:bookmarkEnd w:id="52"/>
      <w:r w:rsidRPr="00F60A1E">
        <w:t xml:space="preserve"> </w:t>
      </w:r>
    </w:p>
    <w:p w:rsidR="00F60A1E" w:rsidRPr="00F60A1E" w:rsidRDefault="00F60A1E" w:rsidP="00227001">
      <w:pPr>
        <w:pStyle w:val="Heading3NoNumb"/>
        <w:ind w:firstLine="851"/>
      </w:pPr>
      <w:bookmarkStart w:id="53" w:name="_Toc409792201"/>
      <w:r w:rsidRPr="00F60A1E">
        <w:t>Monitoring mechanisms</w:t>
      </w:r>
      <w:bookmarkEnd w:id="53"/>
    </w:p>
    <w:p w:rsidR="00F60A1E" w:rsidRPr="00F60A1E" w:rsidRDefault="00F60A1E" w:rsidP="00F60A1E">
      <w:pPr>
        <w:spacing w:before="0" w:after="0" w:line="240" w:lineRule="auto"/>
        <w:ind w:left="851"/>
        <w:jc w:val="both"/>
      </w:pPr>
      <w:r w:rsidRPr="00F60A1E">
        <w:t xml:space="preserve">As mentioned above, and in the </w:t>
      </w:r>
      <w:r w:rsidRPr="00F60A1E">
        <w:rPr>
          <w:lang w:eastAsia="fr-FR"/>
        </w:rPr>
        <w:t>Study to collect data on children’s involvement in civil judicial proceedings</w:t>
      </w:r>
      <w:r w:rsidRPr="00F60A1E">
        <w:t>, the Delegate General for the rights of the child in the French community (</w:t>
      </w:r>
      <w:hyperlink r:id="rId71" w:history="1">
        <w:r w:rsidRPr="00F60A1E">
          <w:rPr>
            <w:rFonts w:cs="Arial"/>
            <w:i/>
            <w:color w:val="0000FF" w:themeColor="hyperlink"/>
            <w:u w:val="single"/>
          </w:rPr>
          <w:t>Délégué Général aux droits de l’enfant</w:t>
        </w:r>
      </w:hyperlink>
      <w:r w:rsidRPr="00F60A1E">
        <w:t>) and the Children’s Rights Commissioner (</w:t>
      </w:r>
      <w:hyperlink r:id="rId72" w:history="1">
        <w:r w:rsidRPr="00F60A1E">
          <w:rPr>
            <w:rFonts w:cs="Arial"/>
            <w:i/>
            <w:color w:val="0000FF" w:themeColor="hyperlink"/>
            <w:u w:val="single"/>
          </w:rPr>
          <w:t>het Kinderrechtencommissariaat</w:t>
        </w:r>
      </w:hyperlink>
      <w:r w:rsidRPr="00F60A1E">
        <w:t>) in the Flemish community, have the mission to defend and promote the rights and interests of children. They also ensure the correct application of legislation concerning children. They can receive complaints or requests for mediation relating to infringements of the rights of children. They are not however involved in the judicial proceedings.</w:t>
      </w:r>
    </w:p>
    <w:p w:rsidR="00F60A1E" w:rsidRPr="00F60A1E" w:rsidRDefault="00F60A1E" w:rsidP="00F60A1E">
      <w:pPr>
        <w:spacing w:before="0" w:after="0" w:line="240" w:lineRule="auto"/>
        <w:ind w:left="851"/>
        <w:jc w:val="both"/>
      </w:pPr>
    </w:p>
    <w:p w:rsidR="00F60A1E" w:rsidRPr="00F60A1E" w:rsidRDefault="00F60A1E" w:rsidP="00F60A1E">
      <w:pPr>
        <w:widowControl w:val="0"/>
        <w:spacing w:before="0" w:after="0" w:line="240" w:lineRule="auto"/>
        <w:ind w:left="851"/>
        <w:jc w:val="both"/>
        <w:rPr>
          <w:szCs w:val="20"/>
        </w:rPr>
      </w:pPr>
      <w:r w:rsidRPr="00F60A1E">
        <w:rPr>
          <w:szCs w:val="20"/>
        </w:rPr>
        <w:t>The National Commission on the Rights of the Child serves as a platform where governmental and non-governmental organisations meet to discuss the realisation and implementation of children’s rights in Belgium. The Commission monitors the follow up on the UNCRC Committee’s observations and advises Federal, Regional and community governments on children’s rights issues</w:t>
      </w:r>
      <w:r w:rsidRPr="00F60A1E">
        <w:rPr>
          <w:szCs w:val="20"/>
          <w:vertAlign w:val="superscript"/>
        </w:rPr>
        <w:footnoteReference w:id="80"/>
      </w:r>
      <w:r w:rsidRPr="00F60A1E">
        <w:rPr>
          <w:szCs w:val="20"/>
        </w:rPr>
        <w:t>.</w:t>
      </w:r>
    </w:p>
    <w:p w:rsidR="00F60A1E" w:rsidRPr="00F60A1E" w:rsidRDefault="00F60A1E" w:rsidP="00F60A1E">
      <w:pPr>
        <w:widowControl w:val="0"/>
        <w:spacing w:before="0" w:after="0" w:line="240" w:lineRule="auto"/>
        <w:ind w:left="851"/>
        <w:jc w:val="both"/>
        <w:rPr>
          <w:szCs w:val="20"/>
          <w:highlight w:val="yellow"/>
        </w:rPr>
      </w:pPr>
    </w:p>
    <w:p w:rsidR="00F60A1E" w:rsidRPr="00F60A1E" w:rsidRDefault="00F60A1E" w:rsidP="00F60A1E">
      <w:pPr>
        <w:widowControl w:val="0"/>
        <w:spacing w:before="0" w:after="0" w:line="240" w:lineRule="auto"/>
        <w:ind w:left="851"/>
        <w:jc w:val="both"/>
        <w:rPr>
          <w:szCs w:val="20"/>
        </w:rPr>
      </w:pPr>
      <w:r w:rsidRPr="00F60A1E">
        <w:rPr>
          <w:szCs w:val="20"/>
        </w:rPr>
        <w:t>The Federal Ombudsman is competent to investigate how Federal administrative authorities act and function, to make recommendations to the Federal authorities, and to report to the Parliament. The Ombudsman may receive complaints from children, in particular, from non-national children in Belgium requesting Belgian nationality, or children below three years old living with their mother in detention</w:t>
      </w:r>
      <w:r w:rsidRPr="00F60A1E">
        <w:rPr>
          <w:szCs w:val="20"/>
          <w:vertAlign w:val="superscript"/>
        </w:rPr>
        <w:footnoteReference w:id="81"/>
      </w:r>
      <w:r w:rsidRPr="00F60A1E">
        <w:rPr>
          <w:szCs w:val="20"/>
        </w:rPr>
        <w:t>.</w:t>
      </w:r>
    </w:p>
    <w:p w:rsidR="00F60A1E" w:rsidRPr="00F60A1E" w:rsidRDefault="00F60A1E" w:rsidP="00227001">
      <w:pPr>
        <w:pStyle w:val="Heading3NoNumb"/>
        <w:ind w:firstLine="851"/>
      </w:pPr>
      <w:bookmarkStart w:id="54" w:name="_Toc409792202"/>
      <w:r w:rsidRPr="00F60A1E">
        <w:t>Multidisciplinary measures</w:t>
      </w:r>
      <w:bookmarkEnd w:id="54"/>
    </w:p>
    <w:p w:rsidR="00F60A1E" w:rsidRPr="00F60A1E" w:rsidRDefault="00F60A1E" w:rsidP="00F60A1E">
      <w:pPr>
        <w:spacing w:before="0" w:after="0" w:line="240" w:lineRule="auto"/>
        <w:ind w:left="851"/>
        <w:jc w:val="both"/>
      </w:pPr>
      <w:r w:rsidRPr="00F60A1E">
        <w:t>No legal obligation has been identified on the part of the courts to obtain multi-disciplinary understanding of children. No formalised cooperation procedures exist for professionals working in different government departments and agencies with, or for, children involved in administrative judicial proceedings. However, cooperation structures and protocols exist between services assisting children, albeit they are not linked to administrative judicial proceedings but to the assistance of children in need.</w:t>
      </w:r>
    </w:p>
    <w:p w:rsidR="00F60A1E" w:rsidRPr="00F60A1E" w:rsidRDefault="00F60A1E" w:rsidP="00F60A1E">
      <w:pPr>
        <w:spacing w:before="0" w:after="0" w:line="240" w:lineRule="auto"/>
        <w:ind w:left="851"/>
        <w:jc w:val="both"/>
      </w:pPr>
    </w:p>
    <w:p w:rsidR="00F60A1E" w:rsidRPr="00F60A1E" w:rsidRDefault="00F60A1E" w:rsidP="00F60A1E">
      <w:pPr>
        <w:spacing w:before="0" w:after="0" w:line="240" w:lineRule="auto"/>
        <w:ind w:left="851"/>
        <w:jc w:val="both"/>
      </w:pPr>
      <w:r w:rsidRPr="00F60A1E">
        <w:t xml:space="preserve">In case of child abuse, cooperation protocols exist to facilitate the reporting of such cases and the exchange of information between youth care workers and judicial authorities. </w:t>
      </w:r>
      <w:r w:rsidRPr="00F60A1E">
        <w:rPr>
          <w:u w:val="single"/>
        </w:rPr>
        <w:t>The French and German Community Working Group on child abuse has established a Protocol of intervention between the medical, psychological and social sectors</w:t>
      </w:r>
      <w:r w:rsidRPr="00F60A1E">
        <w:t xml:space="preserve"> and the judicial sector</w:t>
      </w:r>
      <w:r w:rsidRPr="00F60A1E">
        <w:rPr>
          <w:vertAlign w:val="superscript"/>
        </w:rPr>
        <w:footnoteReference w:id="82"/>
      </w:r>
      <w:r w:rsidRPr="00F60A1E">
        <w:t>. In the Flemish Community, a similar Protocol was adopted in 2010</w:t>
      </w:r>
      <w:r w:rsidRPr="00F60A1E">
        <w:rPr>
          <w:vertAlign w:val="superscript"/>
        </w:rPr>
        <w:footnoteReference w:id="83"/>
      </w:r>
      <w:r w:rsidRPr="00F60A1E">
        <w:t>.</w:t>
      </w:r>
    </w:p>
    <w:p w:rsidR="00F60A1E" w:rsidRPr="00F60A1E" w:rsidRDefault="00F60A1E" w:rsidP="00F60A1E">
      <w:pPr>
        <w:spacing w:before="0" w:after="0" w:line="240" w:lineRule="auto"/>
        <w:ind w:left="851"/>
        <w:jc w:val="both"/>
      </w:pPr>
    </w:p>
    <w:p w:rsidR="00F60A1E" w:rsidRPr="00F60A1E" w:rsidRDefault="00F60A1E" w:rsidP="00F60A1E">
      <w:pPr>
        <w:widowControl w:val="0"/>
        <w:spacing w:before="0" w:after="0" w:line="240" w:lineRule="auto"/>
        <w:ind w:left="851"/>
        <w:jc w:val="both"/>
        <w:rPr>
          <w:szCs w:val="20"/>
        </w:rPr>
      </w:pPr>
      <w:r w:rsidRPr="00F60A1E">
        <w:rPr>
          <w:szCs w:val="20"/>
        </w:rPr>
        <w:t>The Observatory on Children, Youth and Assistance to Young People, in the Wallonia-Brussels Federation, work together as a multidisciplinary team which supports decision-making in matters of youth care and children’s rights</w:t>
      </w:r>
      <w:r w:rsidRPr="00F60A1E">
        <w:rPr>
          <w:szCs w:val="20"/>
          <w:vertAlign w:val="superscript"/>
        </w:rPr>
        <w:footnoteReference w:id="84"/>
      </w:r>
      <w:r w:rsidRPr="00F60A1E">
        <w:rPr>
          <w:szCs w:val="20"/>
        </w:rPr>
        <w:t>. Cooperation procedures exist between the youth care and social assistance services in the French community</w:t>
      </w:r>
      <w:r w:rsidRPr="00F60A1E">
        <w:rPr>
          <w:szCs w:val="20"/>
          <w:vertAlign w:val="superscript"/>
        </w:rPr>
        <w:footnoteReference w:id="85"/>
      </w:r>
      <w:r w:rsidRPr="00F60A1E">
        <w:rPr>
          <w:szCs w:val="20"/>
        </w:rPr>
        <w:t>. In Flanders, youth care assistance is integrated with the social services to offer full spectrum assistance, i.e. social and youth care</w:t>
      </w:r>
      <w:r w:rsidRPr="00F60A1E">
        <w:rPr>
          <w:szCs w:val="20"/>
          <w:vertAlign w:val="superscript"/>
        </w:rPr>
        <w:footnoteReference w:id="86"/>
      </w:r>
      <w:r w:rsidRPr="00F60A1E">
        <w:rPr>
          <w:szCs w:val="20"/>
        </w:rPr>
        <w:t>.</w:t>
      </w:r>
    </w:p>
    <w:p w:rsidR="00F60A1E" w:rsidRPr="00F60A1E" w:rsidRDefault="00F60A1E" w:rsidP="00F60A1E">
      <w:pPr>
        <w:widowControl w:val="0"/>
        <w:spacing w:before="0" w:after="0" w:line="240" w:lineRule="auto"/>
        <w:ind w:left="851"/>
        <w:jc w:val="both"/>
        <w:rPr>
          <w:szCs w:val="20"/>
        </w:rPr>
      </w:pPr>
    </w:p>
    <w:p w:rsidR="00F60A1E" w:rsidRPr="00F60A1E" w:rsidRDefault="00F60A1E" w:rsidP="00F60A1E">
      <w:pPr>
        <w:widowControl w:val="0"/>
        <w:spacing w:before="0" w:after="0" w:line="240" w:lineRule="auto"/>
        <w:ind w:left="851"/>
        <w:jc w:val="both"/>
        <w:rPr>
          <w:szCs w:val="20"/>
        </w:rPr>
      </w:pPr>
      <w:r w:rsidRPr="00F60A1E">
        <w:rPr>
          <w:szCs w:val="20"/>
        </w:rPr>
        <w:t xml:space="preserve">In addition, the youth tribunals are competent to take protection measures for children in need or in danger, regardless of the types of proceedings in which the children are involved. Following the intervention of the youth tribunal, the youth care services will implement the </w:t>
      </w:r>
      <w:r w:rsidRPr="00F60A1E">
        <w:rPr>
          <w:szCs w:val="20"/>
        </w:rPr>
        <w:lastRenderedPageBreak/>
        <w:t>decision.</w:t>
      </w:r>
    </w:p>
    <w:p w:rsidR="00F60A1E" w:rsidRPr="00F60A1E" w:rsidRDefault="00F60A1E" w:rsidP="00F60A1E">
      <w:pPr>
        <w:spacing w:before="0" w:after="0" w:line="240" w:lineRule="auto"/>
        <w:ind w:left="851"/>
        <w:jc w:val="both"/>
      </w:pPr>
    </w:p>
    <w:p w:rsidR="00F60A1E" w:rsidRPr="00F60A1E" w:rsidRDefault="00F60A1E" w:rsidP="00F60A1E">
      <w:pPr>
        <w:spacing w:before="0" w:after="0" w:line="240" w:lineRule="auto"/>
        <w:ind w:left="851"/>
        <w:jc w:val="both"/>
      </w:pPr>
      <w:r w:rsidRPr="00F60A1E">
        <w:t>No common assessment frameworks have been identified for professionals working with, or for, children in administrative judicial proceedings.</w:t>
      </w:r>
    </w:p>
    <w:p w:rsidR="00F60A1E" w:rsidRPr="00227001" w:rsidRDefault="00F60A1E" w:rsidP="00227001">
      <w:pPr>
        <w:pStyle w:val="Heading3NoNumb"/>
        <w:ind w:firstLine="851"/>
      </w:pPr>
      <w:bookmarkStart w:id="55" w:name="_Toc409792203"/>
      <w:r w:rsidRPr="00F60A1E">
        <w:t>Interactions between criminal, civil and/or administrative judicial proceedings</w:t>
      </w:r>
      <w:bookmarkEnd w:id="55"/>
    </w:p>
    <w:p w:rsidR="00F60A1E" w:rsidRPr="00F60A1E" w:rsidRDefault="00F60A1E" w:rsidP="00F60A1E">
      <w:pPr>
        <w:spacing w:before="0" w:after="0" w:line="240" w:lineRule="auto"/>
        <w:ind w:left="851"/>
        <w:jc w:val="both"/>
      </w:pPr>
      <w:r w:rsidRPr="00F60A1E">
        <w:t xml:space="preserve">As explained in the </w:t>
      </w:r>
      <w:r w:rsidRPr="00F60A1E">
        <w:rPr>
          <w:lang w:eastAsia="fr-FR"/>
        </w:rPr>
        <w:t>Study to collect data on children’s involvement in civil judicial proceedings</w:t>
      </w:r>
      <w:r w:rsidRPr="00F60A1E">
        <w:t>, in the event the Council of State and a civil court hears the same case or related cases at the same time, one of the parties can file a request for settlement of jurisdiction before the Court of Cassation</w:t>
      </w:r>
      <w:r w:rsidRPr="00F60A1E">
        <w:rPr>
          <w:vertAlign w:val="superscript"/>
        </w:rPr>
        <w:footnoteReference w:id="87"/>
      </w:r>
      <w:r w:rsidRPr="00F60A1E">
        <w:t xml:space="preserve">. </w:t>
      </w:r>
    </w:p>
    <w:p w:rsidR="00F60A1E" w:rsidRPr="00F60A1E" w:rsidRDefault="00F60A1E" w:rsidP="00F60A1E">
      <w:pPr>
        <w:spacing w:before="0" w:after="0" w:line="240" w:lineRule="auto"/>
        <w:ind w:left="851"/>
        <w:jc w:val="both"/>
      </w:pPr>
    </w:p>
    <w:p w:rsidR="00F60A1E" w:rsidRPr="00F60A1E" w:rsidRDefault="00F60A1E" w:rsidP="00F60A1E">
      <w:pPr>
        <w:spacing w:before="0" w:after="0" w:line="240" w:lineRule="auto"/>
        <w:ind w:left="851"/>
        <w:jc w:val="both"/>
      </w:pPr>
      <w:r w:rsidRPr="00F60A1E">
        <w:t>In criminal proceedings, the court adjudicating the criminal case can hear a civil claim in relation to the criminal case. A civil claim can also be filed separately to the civil court. In the latter case, the civil proceeding will be suspended until a decision is taken by the criminal court as the dispute is dependent on the result of the criminal case</w:t>
      </w:r>
      <w:r w:rsidRPr="00F60A1E">
        <w:rPr>
          <w:vertAlign w:val="superscript"/>
        </w:rPr>
        <w:footnoteReference w:id="88"/>
      </w:r>
      <w:r w:rsidRPr="00F60A1E">
        <w:t>.</w:t>
      </w:r>
    </w:p>
    <w:p w:rsidR="00F60A1E" w:rsidRPr="00F60A1E" w:rsidRDefault="00F60A1E" w:rsidP="00F60A1E">
      <w:pPr>
        <w:spacing w:before="0" w:after="0" w:line="240" w:lineRule="auto"/>
        <w:ind w:left="851"/>
        <w:jc w:val="both"/>
        <w:rPr>
          <w:rFonts w:cs="Arial"/>
          <w:szCs w:val="20"/>
        </w:rPr>
      </w:pPr>
    </w:p>
    <w:p w:rsidR="00F60A1E" w:rsidRPr="00F60A1E" w:rsidRDefault="00F60A1E" w:rsidP="00F60A1E">
      <w:pPr>
        <w:spacing w:before="0" w:after="0" w:line="240" w:lineRule="auto"/>
        <w:ind w:left="851"/>
        <w:jc w:val="both"/>
        <w:rPr>
          <w:rFonts w:cs="Arial"/>
          <w:szCs w:val="20"/>
        </w:rPr>
      </w:pPr>
      <w:r w:rsidRPr="00F60A1E">
        <w:rPr>
          <w:rFonts w:cs="Arial"/>
          <w:szCs w:val="20"/>
        </w:rPr>
        <w:t>No formalised operational cooperation procedures have been identified to facilitate the interactions between the relevant organisations involved in criminal, civil and/or administrative judicial proceedings.</w:t>
      </w:r>
    </w:p>
    <w:p w:rsidR="00F60A1E" w:rsidRPr="00F60A1E" w:rsidRDefault="00F60A1E" w:rsidP="00F60A1E">
      <w:pPr>
        <w:spacing w:before="0" w:after="0" w:line="240" w:lineRule="auto"/>
        <w:ind w:left="851"/>
        <w:jc w:val="both"/>
        <w:rPr>
          <w:szCs w:val="20"/>
        </w:rPr>
      </w:pPr>
    </w:p>
    <w:p w:rsidR="00F60A1E" w:rsidRPr="00F60A1E" w:rsidRDefault="00F60A1E" w:rsidP="00F60A1E">
      <w:pPr>
        <w:spacing w:before="0" w:after="0" w:line="240" w:lineRule="auto"/>
        <w:ind w:left="851"/>
        <w:jc w:val="both"/>
      </w:pPr>
      <w:r w:rsidRPr="00F60A1E">
        <w:t>As mentioned above, regarding the protection and placement into care sector, the youth tribunals are competent to take protection measures for children in need or in danger – no matter the type of proceedings the child is involved in. The youth care services assist children and their families on a voluntary basis, in the sense that a child above 12/14 years old, or his/her legal representative for children under 12/14 years old, must agree to the intervention and assistance of the youth care services. In case the youth services deem that a measure must be imposed on the child without his/her consent, a youth tribunal will then be the only authority competent to impose a measure.</w:t>
      </w:r>
    </w:p>
    <w:p w:rsidR="00F60A1E" w:rsidRPr="00227001" w:rsidRDefault="00F60A1E" w:rsidP="00227001">
      <w:pPr>
        <w:pStyle w:val="Heading3NoNumb"/>
        <w:ind w:firstLine="851"/>
      </w:pPr>
      <w:bookmarkStart w:id="56" w:name="_Toc409792204"/>
      <w:r w:rsidRPr="00F60A1E">
        <w:t>Training</w:t>
      </w:r>
      <w:bookmarkEnd w:id="56"/>
    </w:p>
    <w:p w:rsidR="00F60A1E" w:rsidRPr="00F60A1E" w:rsidRDefault="00F60A1E" w:rsidP="00F60A1E">
      <w:pPr>
        <w:spacing w:before="0" w:after="0" w:line="240" w:lineRule="auto"/>
        <w:ind w:left="851"/>
        <w:jc w:val="both"/>
        <w:rPr>
          <w:szCs w:val="20"/>
        </w:rPr>
      </w:pPr>
      <w:r w:rsidRPr="00F60A1E">
        <w:rPr>
          <w:szCs w:val="20"/>
        </w:rPr>
        <w:t>As explained in the Study to collect data on children’s involvement in civil judicial proceedings, judges and prosecutors are required to have specific training on how to preside/prosecute in judicial proceedings. In addition, youth tribunal judges are required to undergo specific training on youth law, and in particular, on how to preside/prosecute in the youth tribunal</w:t>
      </w:r>
      <w:r w:rsidRPr="00F60A1E">
        <w:rPr>
          <w:szCs w:val="20"/>
          <w:vertAlign w:val="superscript"/>
        </w:rPr>
        <w:footnoteReference w:id="89"/>
      </w:r>
      <w:r w:rsidRPr="00F60A1E">
        <w:rPr>
          <w:szCs w:val="20"/>
        </w:rPr>
        <w:t>. The Superior Council of Justice (</w:t>
      </w:r>
      <w:r w:rsidRPr="00F60A1E">
        <w:rPr>
          <w:i/>
          <w:szCs w:val="20"/>
        </w:rPr>
        <w:t>Hoge Raad voor de Justitie – Conseil Supérieur de la Justice</w:t>
      </w:r>
      <w:r w:rsidRPr="00F60A1E">
        <w:rPr>
          <w:szCs w:val="20"/>
        </w:rPr>
        <w:t>) is in charge of regulating the training of judges, and the Institute for Judicial Training (</w:t>
      </w:r>
      <w:r w:rsidRPr="00F60A1E">
        <w:rPr>
          <w:i/>
          <w:szCs w:val="20"/>
        </w:rPr>
        <w:t>Instituut voor Gerechtelijke Opleiding – Institut de Formation Judiciaire</w:t>
      </w:r>
      <w:r w:rsidRPr="00F60A1E">
        <w:rPr>
          <w:szCs w:val="20"/>
          <w:vertAlign w:val="superscript"/>
        </w:rPr>
        <w:footnoteReference w:id="90"/>
      </w:r>
      <w:r w:rsidRPr="00F60A1E">
        <w:rPr>
          <w:szCs w:val="20"/>
        </w:rPr>
        <w:t xml:space="preserve">) organises these trainings. </w:t>
      </w:r>
    </w:p>
    <w:p w:rsidR="00F60A1E" w:rsidRPr="00F60A1E" w:rsidRDefault="00F60A1E" w:rsidP="00F60A1E">
      <w:pPr>
        <w:spacing w:before="0" w:after="0" w:line="240" w:lineRule="auto"/>
        <w:ind w:left="851"/>
        <w:jc w:val="both"/>
        <w:rPr>
          <w:szCs w:val="20"/>
        </w:rPr>
      </w:pPr>
    </w:p>
    <w:p w:rsidR="00F60A1E" w:rsidRPr="00F60A1E" w:rsidRDefault="00F60A1E" w:rsidP="00F60A1E">
      <w:pPr>
        <w:spacing w:before="0" w:after="0" w:line="240" w:lineRule="auto"/>
        <w:ind w:left="851"/>
        <w:jc w:val="both"/>
        <w:rPr>
          <w:szCs w:val="20"/>
        </w:rPr>
      </w:pPr>
      <w:r w:rsidRPr="00F60A1E">
        <w:rPr>
          <w:szCs w:val="20"/>
        </w:rPr>
        <w:t>In the French and German-speaking communities, each bar association has a juvenile section composed of volunteer legal counsels who have followed training in youth protection law. The legal counsels must also follow continuous training to stay on the list of legal counsels of the juvenile section</w:t>
      </w:r>
      <w:r w:rsidRPr="00F60A1E">
        <w:rPr>
          <w:szCs w:val="20"/>
          <w:vertAlign w:val="superscript"/>
        </w:rPr>
        <w:footnoteReference w:id="91"/>
      </w:r>
      <w:r w:rsidRPr="00F60A1E">
        <w:rPr>
          <w:szCs w:val="20"/>
        </w:rPr>
        <w:t>. In the Flemish community, a similar list of legal counsels exists and is composed of legal counsels holding a certificate of special training in youth protection law. The training involves a theoretical and practical part, i.e. a communication with children workshop, and an internship</w:t>
      </w:r>
      <w:r w:rsidRPr="00F60A1E">
        <w:rPr>
          <w:szCs w:val="20"/>
          <w:vertAlign w:val="superscript"/>
        </w:rPr>
        <w:footnoteReference w:id="92"/>
      </w:r>
      <w:r w:rsidRPr="00F60A1E">
        <w:rPr>
          <w:szCs w:val="20"/>
        </w:rPr>
        <w:t>.</w:t>
      </w:r>
    </w:p>
    <w:p w:rsidR="00F60A1E" w:rsidRPr="00F60A1E" w:rsidRDefault="00F60A1E" w:rsidP="00F60A1E">
      <w:pPr>
        <w:spacing w:before="0" w:after="0" w:line="240" w:lineRule="auto"/>
        <w:ind w:left="851"/>
        <w:jc w:val="both"/>
      </w:pPr>
    </w:p>
    <w:p w:rsidR="00F60A1E" w:rsidRPr="00F60A1E" w:rsidRDefault="00F60A1E" w:rsidP="00F60A1E">
      <w:pPr>
        <w:spacing w:before="0" w:after="0" w:line="240" w:lineRule="auto"/>
        <w:ind w:left="851"/>
        <w:jc w:val="both"/>
      </w:pPr>
      <w:r w:rsidRPr="00F60A1E">
        <w:t>Social workers must hold a Bachelor’s degree in education, social assistance or social science, in order to apply for positions as social workers.</w:t>
      </w:r>
    </w:p>
    <w:p w:rsidR="00F60A1E" w:rsidRPr="00F60A1E" w:rsidRDefault="00F60A1E" w:rsidP="00F60A1E">
      <w:pPr>
        <w:spacing w:before="0" w:after="0" w:line="240" w:lineRule="auto"/>
        <w:ind w:left="851"/>
        <w:jc w:val="both"/>
        <w:rPr>
          <w:szCs w:val="20"/>
        </w:rPr>
      </w:pPr>
    </w:p>
    <w:p w:rsidR="00F60A1E" w:rsidRPr="00F60A1E" w:rsidRDefault="00F60A1E" w:rsidP="00F60A1E">
      <w:pPr>
        <w:spacing w:before="0" w:after="0" w:line="240" w:lineRule="auto"/>
        <w:ind w:left="851"/>
        <w:jc w:val="both"/>
        <w:rPr>
          <w:szCs w:val="20"/>
        </w:rPr>
      </w:pPr>
      <w:r w:rsidRPr="00F60A1E">
        <w:rPr>
          <w:szCs w:val="20"/>
        </w:rPr>
        <w:lastRenderedPageBreak/>
        <w:t>Guardians appointed to assist unaccompanied non-national children must meet certain criteria skills and knowledge related to the problems that unaccompanied children face. The Guardianship Service ensures that guardians receive appropriate training which covers the following topics: migration law; juvenile law; civil law relating to property management; psychology; education; multiculturality. Each year, the guardian must attend such training</w:t>
      </w:r>
      <w:r w:rsidRPr="00F60A1E">
        <w:rPr>
          <w:szCs w:val="20"/>
          <w:vertAlign w:val="superscript"/>
        </w:rPr>
        <w:footnoteReference w:id="93"/>
      </w:r>
      <w:r w:rsidRPr="00F60A1E">
        <w:rPr>
          <w:szCs w:val="20"/>
        </w:rPr>
        <w:t xml:space="preserve">. </w:t>
      </w:r>
    </w:p>
    <w:p w:rsidR="00F60A1E" w:rsidRPr="00227001" w:rsidRDefault="00F60A1E" w:rsidP="00227001">
      <w:pPr>
        <w:pStyle w:val="Heading3NoNumb"/>
        <w:ind w:firstLine="851"/>
      </w:pPr>
      <w:bookmarkStart w:id="57" w:name="_Toc409792205"/>
      <w:r w:rsidRPr="00F60A1E">
        <w:t>Vetting</w:t>
      </w:r>
      <w:bookmarkEnd w:id="57"/>
    </w:p>
    <w:p w:rsidR="00F60A1E" w:rsidRPr="00F60A1E" w:rsidRDefault="00F60A1E" w:rsidP="00F60A1E">
      <w:pPr>
        <w:spacing w:before="0" w:after="0" w:line="240" w:lineRule="auto"/>
        <w:ind w:left="851"/>
        <w:jc w:val="both"/>
        <w:rPr>
          <w:szCs w:val="20"/>
        </w:rPr>
      </w:pPr>
      <w:r w:rsidRPr="00F60A1E">
        <w:rPr>
          <w:szCs w:val="20"/>
        </w:rPr>
        <w:t>As explained in the Study to collect data on children’s involvement in civil judicial proceedings, there is no vetting process for professionals working with, and for, children</w:t>
      </w:r>
      <w:r w:rsidRPr="00F60A1E">
        <w:rPr>
          <w:szCs w:val="20"/>
          <w:vertAlign w:val="superscript"/>
        </w:rPr>
        <w:footnoteReference w:id="94"/>
      </w:r>
      <w:r w:rsidRPr="00F60A1E">
        <w:rPr>
          <w:szCs w:val="20"/>
        </w:rPr>
        <w:t>. However, people applying for a position which involves working with and for children are required to provide a criminal record certificate with specific mention of whether or not the person has committed an offence against a child</w:t>
      </w:r>
      <w:r w:rsidRPr="00F60A1E">
        <w:rPr>
          <w:szCs w:val="20"/>
          <w:vertAlign w:val="superscript"/>
        </w:rPr>
        <w:footnoteReference w:id="95"/>
      </w:r>
      <w:r w:rsidRPr="00F60A1E">
        <w:rPr>
          <w:szCs w:val="20"/>
        </w:rPr>
        <w:t xml:space="preserve">. </w:t>
      </w:r>
    </w:p>
    <w:p w:rsidR="00F60A1E" w:rsidRPr="00F60A1E" w:rsidRDefault="00F60A1E" w:rsidP="00F60A1E">
      <w:pPr>
        <w:widowControl w:val="0"/>
        <w:spacing w:line="240" w:lineRule="auto"/>
        <w:jc w:val="both"/>
      </w:pPr>
    </w:p>
    <w:p w:rsidR="00AC7914" w:rsidRDefault="00AC7914" w:rsidP="00AC7914"/>
    <w:p w:rsidR="00AC7914" w:rsidRDefault="00AC7914" w:rsidP="00AC7914"/>
    <w:p w:rsidR="00AC7914" w:rsidRDefault="00AC7914" w:rsidP="00AC7914"/>
    <w:p w:rsidR="006D75C3" w:rsidRDefault="006D75C3" w:rsidP="00AC7914">
      <w:r>
        <w:br w:type="page"/>
      </w:r>
    </w:p>
    <w:p w:rsidR="00AC7914" w:rsidRPr="00AC7914" w:rsidRDefault="00AC7914" w:rsidP="00AC7914">
      <w:pPr>
        <w:pStyle w:val="Heading1noPg"/>
        <w:rPr>
          <w:rFonts w:eastAsia="Times New Roman"/>
        </w:rPr>
      </w:pPr>
      <w:bookmarkStart w:id="58" w:name="_Toc401654870"/>
      <w:bookmarkStart w:id="59" w:name="_Toc409792206"/>
      <w:r w:rsidRPr="006A6504">
        <w:rPr>
          <w:rFonts w:eastAsia="Times New Roman"/>
        </w:rPr>
        <w:lastRenderedPageBreak/>
        <w:t>Child-friendly justice in administrative judicial proceedings</w:t>
      </w:r>
      <w:bookmarkEnd w:id="58"/>
      <w:bookmarkEnd w:id="59"/>
    </w:p>
    <w:p w:rsidR="00AC7914" w:rsidRPr="006D75C3" w:rsidRDefault="00AC7914" w:rsidP="006D75C3">
      <w:pPr>
        <w:pStyle w:val="Heading2"/>
        <w:rPr>
          <w:rFonts w:eastAsia="Times New Roman"/>
        </w:rPr>
      </w:pPr>
      <w:bookmarkStart w:id="60" w:name="_The_child_as"/>
      <w:bookmarkStart w:id="61" w:name="_Toc338234110"/>
      <w:bookmarkStart w:id="62" w:name="_Toc401654871"/>
      <w:bookmarkStart w:id="63" w:name="_Toc409792207"/>
      <w:bookmarkEnd w:id="60"/>
      <w:r w:rsidRPr="006A6504">
        <w:rPr>
          <w:rFonts w:eastAsia="Times New Roman"/>
        </w:rPr>
        <w:t>The child as an actor in administrative judicial proceedings</w:t>
      </w:r>
      <w:bookmarkEnd w:id="61"/>
      <w:bookmarkEnd w:id="62"/>
      <w:bookmarkEnd w:id="63"/>
    </w:p>
    <w:p w:rsidR="00AC7914" w:rsidRPr="000D323B" w:rsidRDefault="00AC7914" w:rsidP="00AC7914">
      <w:pPr>
        <w:pStyle w:val="Heading3"/>
      </w:pPr>
      <w:bookmarkStart w:id="64" w:name="_Toc409792208"/>
      <w:r w:rsidRPr="00B86FE4">
        <w:t>General procedural rules applicable to children involv</w:t>
      </w:r>
      <w:r>
        <w:t xml:space="preserve">ed in judicial proceedings including proceedings reviewing administrative authorities’ </w:t>
      </w:r>
      <w:r w:rsidRPr="008B1206">
        <w:t>decisions in the sectors of asylum, migration, education, health, a</w:t>
      </w:r>
      <w:r w:rsidRPr="000D323B">
        <w:t xml:space="preserve">dministrative sanctions and offences below the </w:t>
      </w:r>
      <w:r w:rsidRPr="008B1206">
        <w:t>MACR</w:t>
      </w:r>
      <w:r w:rsidRPr="000D323B">
        <w:t>.</w:t>
      </w:r>
      <w:bookmarkEnd w:id="64"/>
      <w:r w:rsidRPr="008B1206">
        <w:t xml:space="preserve"> </w:t>
      </w:r>
    </w:p>
    <w:p w:rsidR="00F60A1E" w:rsidRPr="00F60A1E" w:rsidRDefault="00F60A1E" w:rsidP="00F60A1E">
      <w:pPr>
        <w:widowControl w:val="0"/>
        <w:spacing w:before="0" w:after="0" w:line="240" w:lineRule="auto"/>
        <w:ind w:left="851"/>
        <w:jc w:val="both"/>
        <w:rPr>
          <w:rFonts w:cs="Arial"/>
          <w:bCs/>
          <w:szCs w:val="20"/>
        </w:rPr>
      </w:pPr>
      <w:r w:rsidRPr="00F60A1E">
        <w:rPr>
          <w:rFonts w:cs="Arial"/>
          <w:bCs/>
          <w:szCs w:val="20"/>
        </w:rPr>
        <w:t>The general rules described below apply to administrative judicial proceedings in the sectors listed above. However, certain specific rules exist in several sectors which are described below in a separate subheading.</w:t>
      </w:r>
      <w:r w:rsidRPr="00F60A1E">
        <w:rPr>
          <w:rFonts w:cs="Arial"/>
          <w:szCs w:val="20"/>
        </w:rPr>
        <w:t xml:space="preserve"> Civil procedural rules apply to healthcare proceedings, proceedings concerning children involved in administrative sanctions, and proceedings concerning placement into care (including children below the MACR who have committed offences, see </w:t>
      </w:r>
      <w:hyperlink w:anchor="_Overview_of_Member_2" w:history="1">
        <w:r w:rsidRPr="00F60A1E">
          <w:rPr>
            <w:rFonts w:cs="Arial"/>
            <w:color w:val="0000FF" w:themeColor="hyperlink"/>
            <w:szCs w:val="20"/>
            <w:u w:val="single"/>
          </w:rPr>
          <w:t>Section 1</w:t>
        </w:r>
      </w:hyperlink>
      <w:r w:rsidRPr="00F60A1E">
        <w:rPr>
          <w:rFonts w:cs="Arial"/>
          <w:szCs w:val="20"/>
        </w:rPr>
        <w:t xml:space="preserve">). </w:t>
      </w:r>
    </w:p>
    <w:p w:rsidR="00F60A1E" w:rsidRPr="00F60A1E" w:rsidRDefault="00F60A1E" w:rsidP="00F60A1E">
      <w:pPr>
        <w:widowControl w:val="0"/>
        <w:spacing w:before="0" w:after="0" w:line="240" w:lineRule="auto"/>
        <w:jc w:val="both"/>
        <w:rPr>
          <w:bCs/>
          <w:szCs w:val="20"/>
        </w:rPr>
      </w:pPr>
    </w:p>
    <w:p w:rsidR="00F60A1E" w:rsidRPr="00F60A1E" w:rsidRDefault="00F60A1E" w:rsidP="00F60A1E">
      <w:pPr>
        <w:widowControl w:val="0"/>
        <w:spacing w:before="0" w:after="0" w:line="240" w:lineRule="auto"/>
        <w:ind w:left="851"/>
        <w:jc w:val="both"/>
        <w:rPr>
          <w:bCs/>
        </w:rPr>
      </w:pPr>
      <w:r w:rsidRPr="00F60A1E">
        <w:rPr>
          <w:bCs/>
          <w:szCs w:val="20"/>
        </w:rPr>
        <w:t xml:space="preserve">General procedural rules concern rules applicable to administrative judicial proceedings before the Council of State. Specific procedural rules provided by the </w:t>
      </w:r>
      <w:hyperlink r:id="rId73" w:history="1">
        <w:r w:rsidRPr="00F60A1E">
          <w:rPr>
            <w:bCs/>
            <w:color w:val="0000FF" w:themeColor="hyperlink"/>
            <w:szCs w:val="20"/>
            <w:u w:val="single"/>
          </w:rPr>
          <w:t>Coordinated Laws of 12 January 1973 on the Council of State</w:t>
        </w:r>
      </w:hyperlink>
      <w:r w:rsidRPr="00F60A1E">
        <w:rPr>
          <w:bCs/>
          <w:szCs w:val="20"/>
        </w:rPr>
        <w:t xml:space="preserve"> and other </w:t>
      </w:r>
      <w:hyperlink r:id="rId74" w:history="1">
        <w:r w:rsidRPr="00F60A1E">
          <w:rPr>
            <w:bCs/>
            <w:color w:val="0000FF" w:themeColor="hyperlink"/>
            <w:szCs w:val="20"/>
            <w:u w:val="single"/>
          </w:rPr>
          <w:t>specialised regulations</w:t>
        </w:r>
      </w:hyperlink>
      <w:r w:rsidRPr="00F60A1E">
        <w:rPr>
          <w:bCs/>
          <w:szCs w:val="20"/>
        </w:rPr>
        <w:t xml:space="preserve"> apply to proceedings before the Council of State, supplemented by the </w:t>
      </w:r>
      <w:hyperlink r:id="rId75" w:history="1">
        <w:r w:rsidRPr="00F60A1E">
          <w:rPr>
            <w:rFonts w:cs="Arial"/>
            <w:color w:val="0000FF" w:themeColor="hyperlink"/>
            <w:szCs w:val="20"/>
            <w:u w:val="single"/>
          </w:rPr>
          <w:t>Judicial Code</w:t>
        </w:r>
      </w:hyperlink>
      <w:r w:rsidRPr="00F60A1E">
        <w:rPr>
          <w:rFonts w:cs="Arial"/>
          <w:szCs w:val="20"/>
        </w:rPr>
        <w:t xml:space="preserve"> which contains the civil procedural rules, when no specific rules exist</w:t>
      </w:r>
      <w:r w:rsidRPr="00F60A1E">
        <w:rPr>
          <w:szCs w:val="20"/>
          <w:vertAlign w:val="superscript"/>
        </w:rPr>
        <w:footnoteReference w:id="96"/>
      </w:r>
      <w:r w:rsidRPr="00F60A1E">
        <w:rPr>
          <w:rFonts w:cs="Arial"/>
          <w:szCs w:val="20"/>
        </w:rPr>
        <w:t>.</w:t>
      </w:r>
    </w:p>
    <w:p w:rsidR="00F60A1E" w:rsidRPr="00F60A1E" w:rsidRDefault="00F60A1E" w:rsidP="00F60A1E">
      <w:pPr>
        <w:keepNext/>
        <w:keepLines/>
        <w:spacing w:after="0"/>
        <w:ind w:left="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The child as a plaintiff/defendant</w:t>
      </w:r>
      <w:r w:rsidRPr="00F60A1E">
        <w:rPr>
          <w:rFonts w:ascii="Calibri" w:eastAsiaTheme="majorEastAsia" w:hAnsi="Calibri" w:cstheme="majorBidi"/>
          <w:b/>
          <w:bCs/>
          <w:i/>
          <w:iCs/>
          <w:color w:val="0067AC"/>
          <w:sz w:val="22"/>
        </w:rPr>
        <w:br/>
      </w:r>
    </w:p>
    <w:p w:rsidR="00F60A1E" w:rsidRPr="00F60A1E" w:rsidRDefault="00F60A1E" w:rsidP="00F60A1E">
      <w:pPr>
        <w:widowControl w:val="0"/>
        <w:spacing w:before="0" w:after="0" w:line="240" w:lineRule="auto"/>
        <w:ind w:left="851"/>
        <w:jc w:val="both"/>
      </w:pPr>
      <w:r w:rsidRPr="00F60A1E">
        <w:t xml:space="preserve">There are no specific legal rules on children and children’s access to the Council of State. Hence, the general rules of the Council of State proceedings and the </w:t>
      </w:r>
      <w:hyperlink r:id="rId76" w:history="1">
        <w:r w:rsidRPr="00F60A1E">
          <w:rPr>
            <w:rFonts w:cs="Arial"/>
            <w:color w:val="0000FF" w:themeColor="hyperlink"/>
            <w:u w:val="single"/>
          </w:rPr>
          <w:t>Judicial Code</w:t>
        </w:r>
      </w:hyperlink>
      <w:r w:rsidRPr="00F60A1E">
        <w:t xml:space="preserve"> apply, as well as principles developed by the Council of State case-law.</w:t>
      </w:r>
    </w:p>
    <w:p w:rsidR="00F60A1E" w:rsidRPr="00F60A1E" w:rsidRDefault="00F60A1E" w:rsidP="00F60A1E">
      <w:pPr>
        <w:widowControl w:val="0"/>
        <w:spacing w:before="0" w:after="0" w:line="240" w:lineRule="auto"/>
        <w:ind w:left="851"/>
        <w:jc w:val="both"/>
      </w:pPr>
    </w:p>
    <w:p w:rsidR="00F60A1E" w:rsidRPr="00F60A1E" w:rsidRDefault="00F60A1E" w:rsidP="00F60A1E">
      <w:pPr>
        <w:widowControl w:val="0"/>
        <w:spacing w:before="0" w:after="0" w:line="240" w:lineRule="auto"/>
        <w:ind w:left="851"/>
        <w:jc w:val="both"/>
        <w:rPr>
          <w:bCs/>
        </w:rPr>
      </w:pPr>
      <w:r w:rsidRPr="00F60A1E">
        <w:t>As explained in the Study to collect data on children’s involvement in civil judicial proceedings, i</w:t>
      </w:r>
      <w:r w:rsidRPr="00F60A1E">
        <w:rPr>
          <w:bCs/>
        </w:rPr>
        <w:t>n Belgium, whilst children have legal capacity, i.e. the capacity to be the holder of rights and obligations, they do not have legal and procedural capacity to act</w:t>
      </w:r>
      <w:r w:rsidRPr="00F60A1E">
        <w:rPr>
          <w:bCs/>
          <w:vertAlign w:val="superscript"/>
        </w:rPr>
        <w:footnoteReference w:id="97"/>
      </w:r>
      <w:r w:rsidRPr="00F60A1E">
        <w:rPr>
          <w:bCs/>
        </w:rPr>
        <w:t>. Hence, they do not have the capacity to bring a case before the courts, to be parties to judicial proceedings, or to enter into contractual agreements in their own names. If a child initiates judicial proceedings, the proceedings will be suspended until the child is represented by his/her legal representative, or until the child turns 18 years of age</w:t>
      </w:r>
      <w:r w:rsidRPr="00F60A1E">
        <w:rPr>
          <w:bCs/>
          <w:vertAlign w:val="superscript"/>
        </w:rPr>
        <w:footnoteReference w:id="98"/>
      </w:r>
      <w:r w:rsidRPr="00F60A1E">
        <w:rPr>
          <w:bCs/>
        </w:rPr>
        <w:t xml:space="preserve">. </w:t>
      </w:r>
    </w:p>
    <w:p w:rsidR="00F60A1E" w:rsidRPr="00F60A1E" w:rsidRDefault="00F60A1E" w:rsidP="00F60A1E">
      <w:pPr>
        <w:widowControl w:val="0"/>
        <w:spacing w:before="0" w:after="0" w:line="240" w:lineRule="auto"/>
        <w:ind w:left="851"/>
        <w:jc w:val="both"/>
        <w:rPr>
          <w:bCs/>
          <w:highlight w:val="yellow"/>
        </w:rPr>
      </w:pPr>
    </w:p>
    <w:p w:rsidR="00F60A1E" w:rsidRPr="00F60A1E" w:rsidRDefault="00F60A1E" w:rsidP="00F60A1E">
      <w:pPr>
        <w:widowControl w:val="0"/>
        <w:spacing w:before="0" w:after="0" w:line="240" w:lineRule="auto"/>
        <w:ind w:left="851"/>
        <w:jc w:val="both"/>
        <w:rPr>
          <w:bCs/>
        </w:rPr>
      </w:pPr>
      <w:r w:rsidRPr="00F60A1E">
        <w:rPr>
          <w:bCs/>
        </w:rPr>
        <w:t>Exceptionally, emancipated children have limited procedural capacity to act</w:t>
      </w:r>
      <w:r w:rsidRPr="00F60A1E">
        <w:rPr>
          <w:bCs/>
          <w:vertAlign w:val="superscript"/>
        </w:rPr>
        <w:footnoteReference w:id="99"/>
      </w:r>
      <w:r w:rsidRPr="00F60A1E">
        <w:rPr>
          <w:bCs/>
        </w:rPr>
        <w:t>. Children of 15 years of age and above can be emancipated under specific circumstance such as marriage, or upon request of the child’s legal representative to the youth tribunal, or upon request of the child him/herself in case his/her parents are deceased. An emancipated child is no longer subject to parental authority and has the capacity to act alone or with the assistance of a guardian, i.e. with regard to the management of his/her property and can initiate some types of proceedings</w:t>
      </w:r>
      <w:r w:rsidRPr="00F60A1E">
        <w:rPr>
          <w:bCs/>
          <w:vertAlign w:val="superscript"/>
        </w:rPr>
        <w:footnoteReference w:id="100"/>
      </w:r>
      <w:r w:rsidRPr="00F60A1E">
        <w:rPr>
          <w:bCs/>
        </w:rPr>
        <w:t>. The emancipated child exception would rarely be used in judicial proceedings reviewing an administrative authority’s decision. Another exception involves considering the ability of a child in an extreme emergency situation, such requesting a judge to affix seals</w:t>
      </w:r>
      <w:r w:rsidRPr="00F60A1E">
        <w:rPr>
          <w:bCs/>
          <w:vertAlign w:val="superscript"/>
        </w:rPr>
        <w:footnoteReference w:id="101"/>
      </w:r>
      <w:r w:rsidRPr="00F60A1E">
        <w:rPr>
          <w:bCs/>
        </w:rPr>
        <w:t>.</w:t>
      </w:r>
    </w:p>
    <w:p w:rsidR="00F60A1E" w:rsidRPr="00F60A1E" w:rsidRDefault="00F60A1E" w:rsidP="00F60A1E">
      <w:pPr>
        <w:widowControl w:val="0"/>
        <w:spacing w:before="0" w:after="0" w:line="240" w:lineRule="auto"/>
        <w:jc w:val="both"/>
        <w:rPr>
          <w:bCs/>
          <w:highlight w:val="yellow"/>
        </w:rPr>
      </w:pPr>
    </w:p>
    <w:p w:rsidR="00F60A1E" w:rsidRPr="00F60A1E" w:rsidRDefault="00F60A1E" w:rsidP="00F60A1E">
      <w:pPr>
        <w:widowControl w:val="0"/>
        <w:spacing w:before="0" w:after="0" w:line="240" w:lineRule="auto"/>
        <w:ind w:left="851"/>
        <w:jc w:val="both"/>
        <w:rPr>
          <w:bCs/>
        </w:rPr>
      </w:pPr>
      <w:r w:rsidRPr="00F60A1E">
        <w:rPr>
          <w:bCs/>
        </w:rPr>
        <w:t xml:space="preserve">Courts have exceptionally allowed children to bring cases before the courts under specific </w:t>
      </w:r>
      <w:r w:rsidRPr="00F60A1E">
        <w:rPr>
          <w:bCs/>
        </w:rPr>
        <w:lastRenderedPageBreak/>
        <w:t>circumstances, or in case of conflicts between the children and their parents, when the actions are absolutely necessary, and with respect to conservatory measures. For example, a child has been allowed to provisionally appeal a decision when the time-frame for appeal was about to expire</w:t>
      </w:r>
      <w:r w:rsidRPr="00F60A1E">
        <w:rPr>
          <w:bCs/>
          <w:vertAlign w:val="superscript"/>
        </w:rPr>
        <w:footnoteReference w:id="102"/>
      </w:r>
      <w:r w:rsidRPr="00F60A1E">
        <w:rPr>
          <w:bCs/>
        </w:rPr>
        <w:t xml:space="preserve">. A child may also be allowed to act if the administrative authorities have addressed decisions directly to the child and the legal representative is not available or present to act on behalf of the child. </w:t>
      </w:r>
    </w:p>
    <w:p w:rsidR="00F60A1E" w:rsidRPr="00F60A1E" w:rsidRDefault="00F60A1E" w:rsidP="00F60A1E">
      <w:pPr>
        <w:widowControl w:val="0"/>
        <w:spacing w:before="0" w:after="0" w:line="240" w:lineRule="auto"/>
        <w:ind w:left="851"/>
        <w:jc w:val="both"/>
        <w:rPr>
          <w:bCs/>
        </w:rPr>
      </w:pPr>
    </w:p>
    <w:p w:rsidR="00F60A1E" w:rsidRPr="00F60A1E" w:rsidRDefault="00F60A1E" w:rsidP="00F60A1E">
      <w:pPr>
        <w:widowControl w:val="0"/>
        <w:spacing w:before="0" w:after="0" w:line="240" w:lineRule="auto"/>
        <w:ind w:left="851"/>
        <w:jc w:val="both"/>
        <w:rPr>
          <w:bCs/>
        </w:rPr>
      </w:pPr>
      <w:r w:rsidRPr="00F60A1E">
        <w:rPr>
          <w:bCs/>
        </w:rPr>
        <w:t>In particular, the Council of State has also considered admissible the appeal against the order to leave the territory by a child of 13 years old who received, in person, and by mistake, an order to leave the territory – since only an adult may receive such a notification on behalf of the child</w:t>
      </w:r>
      <w:r w:rsidRPr="00F60A1E">
        <w:rPr>
          <w:bCs/>
          <w:vertAlign w:val="superscript"/>
        </w:rPr>
        <w:footnoteReference w:id="103"/>
      </w:r>
      <w:r w:rsidRPr="00F60A1E">
        <w:rPr>
          <w:bCs/>
        </w:rPr>
        <w:t>. The Council of State also admitted actions brought by children in other situations, i.e. a child who ran away from home to live at a friend’s home. The Council of State considered admissible his/her appeal against a decision to refuse access to social assistance. A child expelled from a public school was allowed to submit an action, together with his legal representative, before the Council of State</w:t>
      </w:r>
      <w:r w:rsidRPr="00F60A1E">
        <w:rPr>
          <w:bCs/>
          <w:vertAlign w:val="superscript"/>
        </w:rPr>
        <w:footnoteReference w:id="104"/>
      </w:r>
      <w:r w:rsidRPr="00F60A1E">
        <w:rPr>
          <w:bCs/>
        </w:rPr>
        <w:t xml:space="preserve">. As a result, it can be concluded that the judge has some discretionary power to waive the conditions and age limit attached to a child participating in judicial proceedings. </w:t>
      </w:r>
    </w:p>
    <w:p w:rsidR="00F60A1E" w:rsidRPr="00F60A1E" w:rsidRDefault="00F60A1E" w:rsidP="00F60A1E">
      <w:pPr>
        <w:widowControl w:val="0"/>
        <w:spacing w:before="0" w:after="0" w:line="240" w:lineRule="auto"/>
        <w:ind w:left="851"/>
        <w:jc w:val="both"/>
        <w:rPr>
          <w:bCs/>
        </w:rPr>
      </w:pPr>
    </w:p>
    <w:p w:rsidR="00F60A1E" w:rsidRPr="00F60A1E" w:rsidRDefault="00F60A1E" w:rsidP="00F60A1E">
      <w:pPr>
        <w:widowControl w:val="0"/>
        <w:spacing w:before="0" w:after="0" w:line="240" w:lineRule="auto"/>
        <w:ind w:left="851"/>
        <w:jc w:val="both"/>
        <w:rPr>
          <w:bCs/>
        </w:rPr>
      </w:pPr>
      <w:r w:rsidRPr="00F60A1E">
        <w:rPr>
          <w:bCs/>
        </w:rPr>
        <w:t xml:space="preserve">The child’s legal representatives, i.e. parents or guardian, file an action and become parties to the proceedings on behalf of their child – as a result of their child’s incapacity to bring a case before court in his/her own name. This principle also applies to filing a request for precautionary and interim measures. </w:t>
      </w:r>
    </w:p>
    <w:p w:rsidR="00F60A1E" w:rsidRPr="00F60A1E" w:rsidRDefault="00F60A1E" w:rsidP="00F60A1E">
      <w:pPr>
        <w:widowControl w:val="0"/>
        <w:spacing w:before="0" w:after="0" w:line="240" w:lineRule="auto"/>
        <w:ind w:left="851"/>
        <w:jc w:val="both"/>
        <w:rPr>
          <w:bCs/>
        </w:rPr>
      </w:pPr>
    </w:p>
    <w:p w:rsidR="00F60A1E" w:rsidRPr="00F60A1E" w:rsidRDefault="00F60A1E" w:rsidP="00F60A1E">
      <w:pPr>
        <w:widowControl w:val="0"/>
        <w:spacing w:before="0" w:after="0" w:line="240" w:lineRule="auto"/>
        <w:ind w:left="851"/>
        <w:jc w:val="both"/>
        <w:rPr>
          <w:bCs/>
        </w:rPr>
      </w:pPr>
      <w:r w:rsidRPr="00F60A1E">
        <w:rPr>
          <w:bCs/>
        </w:rPr>
        <w:t>The child’s parents jointly exercise parental authority over their child. An action can be filed by one of the parents as the law presumes that the parents act in agreement with one another. In case of a disagreement between the parents over their parental authority, the youth tribunal is competent to authorise either parent to act</w:t>
      </w:r>
      <w:r w:rsidRPr="00F60A1E">
        <w:rPr>
          <w:bCs/>
          <w:vertAlign w:val="superscript"/>
        </w:rPr>
        <w:footnoteReference w:id="105"/>
      </w:r>
      <w:r w:rsidRPr="00F60A1E">
        <w:rPr>
          <w:bCs/>
        </w:rPr>
        <w:t xml:space="preserve">.  </w:t>
      </w:r>
    </w:p>
    <w:p w:rsidR="00F60A1E" w:rsidRPr="00F60A1E" w:rsidRDefault="00F60A1E" w:rsidP="00F60A1E">
      <w:pPr>
        <w:widowControl w:val="0"/>
        <w:spacing w:before="0" w:after="0" w:line="240" w:lineRule="auto"/>
        <w:ind w:left="851"/>
        <w:jc w:val="both"/>
        <w:rPr>
          <w:bCs/>
        </w:rPr>
      </w:pPr>
    </w:p>
    <w:p w:rsidR="00F60A1E" w:rsidRPr="00F60A1E" w:rsidRDefault="00F60A1E" w:rsidP="00F60A1E">
      <w:pPr>
        <w:widowControl w:val="0"/>
        <w:spacing w:before="0" w:after="0" w:line="240" w:lineRule="auto"/>
        <w:ind w:left="851"/>
        <w:jc w:val="both"/>
        <w:rPr>
          <w:bCs/>
        </w:rPr>
      </w:pPr>
      <w:r w:rsidRPr="00F60A1E">
        <w:rPr>
          <w:bCs/>
        </w:rPr>
        <w:t xml:space="preserve">In the event of a conflict of interests between the child and his/her parents, a civil magistrate court may appoint a guardian </w:t>
      </w:r>
      <w:r w:rsidRPr="00F60A1E">
        <w:rPr>
          <w:bCs/>
          <w:i/>
        </w:rPr>
        <w:t>ad litem</w:t>
      </w:r>
      <w:r w:rsidRPr="00F60A1E">
        <w:rPr>
          <w:bCs/>
        </w:rPr>
        <w:t xml:space="preserve"> upon request of any interested party or </w:t>
      </w:r>
      <w:r w:rsidRPr="00F60A1E">
        <w:rPr>
          <w:bCs/>
          <w:i/>
        </w:rPr>
        <w:t>ex officio</w:t>
      </w:r>
      <w:r w:rsidRPr="00F60A1E">
        <w:rPr>
          <w:bCs/>
          <w:i/>
          <w:vertAlign w:val="superscript"/>
        </w:rPr>
        <w:footnoteReference w:id="106"/>
      </w:r>
      <w:r w:rsidRPr="00F60A1E">
        <w:rPr>
          <w:bCs/>
        </w:rPr>
        <w:t>. The child does not have the legal capacity to act and therefore cannot petition a court in his/her own right. However, some courts have recognised the ability of children in their own right to petition for the appointments of guardian</w:t>
      </w:r>
      <w:r w:rsidRPr="00F60A1E">
        <w:rPr>
          <w:bCs/>
          <w:i/>
        </w:rPr>
        <w:t xml:space="preserve"> ad litems</w:t>
      </w:r>
      <w:r w:rsidRPr="00F60A1E">
        <w:rPr>
          <w:bCs/>
        </w:rPr>
        <w:t xml:space="preserve"> in emergency cases and for conservatory measures</w:t>
      </w:r>
      <w:r w:rsidRPr="00F60A1E">
        <w:rPr>
          <w:bCs/>
          <w:vertAlign w:val="superscript"/>
        </w:rPr>
        <w:footnoteReference w:id="107"/>
      </w:r>
      <w:r w:rsidRPr="00F60A1E">
        <w:rPr>
          <w:bCs/>
        </w:rPr>
        <w:t xml:space="preserve">. </w:t>
      </w:r>
    </w:p>
    <w:p w:rsidR="00F60A1E" w:rsidRPr="00F60A1E" w:rsidRDefault="00F60A1E" w:rsidP="00F60A1E">
      <w:pPr>
        <w:widowControl w:val="0"/>
        <w:spacing w:before="0" w:after="0" w:line="240" w:lineRule="auto"/>
        <w:ind w:left="851"/>
        <w:jc w:val="both"/>
        <w:rPr>
          <w:bCs/>
        </w:rPr>
      </w:pPr>
    </w:p>
    <w:p w:rsidR="00F60A1E" w:rsidRPr="00F60A1E" w:rsidRDefault="00F60A1E" w:rsidP="00F60A1E">
      <w:pPr>
        <w:spacing w:before="0" w:after="0" w:line="240" w:lineRule="auto"/>
        <w:ind w:left="851"/>
        <w:jc w:val="both"/>
        <w:rPr>
          <w:u w:val="single"/>
        </w:rPr>
      </w:pPr>
      <w:r w:rsidRPr="00F60A1E">
        <w:rPr>
          <w:bCs/>
        </w:rPr>
        <w:t>Children fall under parental authority until the age of 18 years old, or until their emancipation</w:t>
      </w:r>
      <w:r w:rsidRPr="00F60A1E">
        <w:rPr>
          <w:bCs/>
          <w:vertAlign w:val="superscript"/>
        </w:rPr>
        <w:footnoteReference w:id="108"/>
      </w:r>
      <w:r w:rsidRPr="00F60A1E">
        <w:rPr>
          <w:bCs/>
        </w:rPr>
        <w:t>. A child turning 18 years of age – having reaching majority, changes his/her status in the proceedings. Such a change should be notified to the parties and the proceedings should be paused</w:t>
      </w:r>
      <w:r w:rsidRPr="00F60A1E">
        <w:rPr>
          <w:bCs/>
          <w:vertAlign w:val="superscript"/>
        </w:rPr>
        <w:footnoteReference w:id="109"/>
      </w:r>
      <w:r w:rsidRPr="00F60A1E">
        <w:rPr>
          <w:bCs/>
        </w:rPr>
        <w:t>. However, based on case-law, in practice, the fact that a child reaches the age of 18 does not interrupt a judicial proceeding</w:t>
      </w:r>
      <w:r w:rsidRPr="00F60A1E">
        <w:rPr>
          <w:vertAlign w:val="superscript"/>
        </w:rPr>
        <w:footnoteReference w:id="110"/>
      </w:r>
      <w:r w:rsidRPr="00F60A1E">
        <w:rPr>
          <w:bCs/>
        </w:rPr>
        <w:t>, i.e. the judge may simply acknowledge that the child has reached 18 years of age and, as a result, the legal representative loses his/her right to represent him/her</w:t>
      </w:r>
      <w:r w:rsidRPr="00F60A1E">
        <w:rPr>
          <w:bCs/>
          <w:vertAlign w:val="superscript"/>
        </w:rPr>
        <w:footnoteReference w:id="111"/>
      </w:r>
      <w:r w:rsidRPr="00F60A1E">
        <w:rPr>
          <w:bCs/>
        </w:rPr>
        <w:t>.</w:t>
      </w:r>
    </w:p>
    <w:p w:rsidR="00F60A1E" w:rsidRPr="00F60A1E" w:rsidRDefault="00F60A1E" w:rsidP="00F60A1E">
      <w:pPr>
        <w:widowControl w:val="0"/>
        <w:spacing w:before="0" w:after="0" w:line="240" w:lineRule="auto"/>
        <w:ind w:left="851"/>
        <w:jc w:val="both"/>
        <w:rPr>
          <w:b/>
          <w:bCs/>
          <w:szCs w:val="20"/>
        </w:rPr>
      </w:pPr>
    </w:p>
    <w:p w:rsidR="00F60A1E" w:rsidRPr="00F60A1E" w:rsidRDefault="00F60A1E" w:rsidP="00F60A1E">
      <w:pPr>
        <w:widowControl w:val="0"/>
        <w:spacing w:before="0" w:after="0" w:line="240" w:lineRule="auto"/>
        <w:ind w:left="851"/>
        <w:jc w:val="both"/>
        <w:rPr>
          <w:szCs w:val="20"/>
        </w:rPr>
      </w:pPr>
      <w:r w:rsidRPr="00F60A1E">
        <w:rPr>
          <w:szCs w:val="20"/>
        </w:rPr>
        <w:t xml:space="preserve">As mentioned in </w:t>
      </w:r>
      <w:hyperlink w:anchor="_Overview_of_Member" w:history="1">
        <w:r w:rsidRPr="00F60A1E">
          <w:rPr>
            <w:color w:val="0000FF" w:themeColor="hyperlink"/>
            <w:szCs w:val="20"/>
            <w:u w:val="single"/>
          </w:rPr>
          <w:t>Section 1</w:t>
        </w:r>
      </w:hyperlink>
      <w:r w:rsidRPr="00F60A1E">
        <w:rPr>
          <w:szCs w:val="20"/>
        </w:rPr>
        <w:t xml:space="preserve">, to challenge an administrative authority’s decision before the Council of State, a child through his/her legal representative, or the emancipated child in </w:t>
      </w:r>
      <w:r w:rsidRPr="00F60A1E">
        <w:rPr>
          <w:szCs w:val="20"/>
        </w:rPr>
        <w:lastRenderedPageBreak/>
        <w:t>his/her own right, must demonstrate damage or an interest, e.g. personal, direct, legitimate,</w:t>
      </w:r>
      <w:r w:rsidRPr="00F60A1E">
        <w:t xml:space="preserve"> </w:t>
      </w:r>
      <w:r w:rsidRPr="00F60A1E">
        <w:rPr>
          <w:szCs w:val="20"/>
        </w:rPr>
        <w:t>certain and current</w:t>
      </w:r>
      <w:r w:rsidRPr="00F60A1E">
        <w:rPr>
          <w:szCs w:val="20"/>
          <w:vertAlign w:val="superscript"/>
        </w:rPr>
        <w:footnoteReference w:id="112"/>
      </w:r>
      <w:r w:rsidRPr="00F60A1E">
        <w:rPr>
          <w:szCs w:val="20"/>
        </w:rPr>
        <w:t>, in the legality of an administrative authority’s decision.</w:t>
      </w:r>
    </w:p>
    <w:p w:rsidR="00F60A1E" w:rsidRPr="00F60A1E" w:rsidRDefault="00F60A1E" w:rsidP="00F60A1E">
      <w:pPr>
        <w:widowControl w:val="0"/>
        <w:spacing w:before="0" w:after="0" w:line="240" w:lineRule="auto"/>
        <w:jc w:val="both"/>
        <w:rPr>
          <w:szCs w:val="20"/>
        </w:rPr>
      </w:pPr>
    </w:p>
    <w:p w:rsidR="00F60A1E" w:rsidRPr="00F60A1E" w:rsidRDefault="00F60A1E" w:rsidP="00F60A1E">
      <w:pPr>
        <w:widowControl w:val="0"/>
        <w:spacing w:before="0" w:after="0" w:line="240" w:lineRule="auto"/>
        <w:ind w:left="851"/>
        <w:jc w:val="both"/>
        <w:rPr>
          <w:szCs w:val="20"/>
        </w:rPr>
      </w:pPr>
      <w:r w:rsidRPr="00F60A1E">
        <w:rPr>
          <w:szCs w:val="20"/>
        </w:rPr>
        <w:t>The proceedings before the Council of State are mostly written. Due to the complexity of the proceedings, parties before the Council of State are usually represented by a legal counsel, albeit this is not compulsory except for cassation procedures</w:t>
      </w:r>
      <w:r w:rsidRPr="00F60A1E">
        <w:rPr>
          <w:szCs w:val="20"/>
          <w:vertAlign w:val="superscript"/>
        </w:rPr>
        <w:footnoteReference w:id="113"/>
      </w:r>
      <w:r w:rsidRPr="00F60A1E">
        <w:rPr>
          <w:szCs w:val="20"/>
        </w:rPr>
        <w:t xml:space="preserve">. See </w:t>
      </w:r>
      <w:hyperlink w:anchor="_2.6_Right_to" w:history="1">
        <w:r w:rsidRPr="00F60A1E">
          <w:rPr>
            <w:color w:val="0000FF" w:themeColor="hyperlink"/>
            <w:szCs w:val="20"/>
            <w:u w:val="single"/>
          </w:rPr>
          <w:t>Section 2.6</w:t>
        </w:r>
      </w:hyperlink>
      <w:r w:rsidRPr="00F60A1E">
        <w:rPr>
          <w:szCs w:val="20"/>
        </w:rPr>
        <w:t xml:space="preserve"> for further details on the legal counsel.</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Intervener</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Any person with an interest in an annulment or suspension proceeding before the Council of State may request to intervene in the hearing within 30 days of their notification of the proceedings. The request must demonstrate that the intervener has an interest in the solution of the case. The Council will hear the intervener on his/her request and decide whether or not to grant the person the status of intervener. The parties and the Auditor</w:t>
      </w:r>
      <w:r w:rsidRPr="00F60A1E">
        <w:rPr>
          <w:bCs/>
          <w:szCs w:val="20"/>
          <w:vertAlign w:val="superscript"/>
        </w:rPr>
        <w:footnoteReference w:id="114"/>
      </w:r>
      <w:r w:rsidRPr="00F60A1E">
        <w:rPr>
          <w:bCs/>
          <w:szCs w:val="20"/>
        </w:rPr>
        <w:t xml:space="preserve"> may provide their opinions on the intervention request</w:t>
      </w:r>
      <w:r w:rsidRPr="00F60A1E">
        <w:rPr>
          <w:bCs/>
          <w:szCs w:val="20"/>
          <w:vertAlign w:val="superscript"/>
        </w:rPr>
        <w:footnoteReference w:id="115"/>
      </w:r>
      <w:r w:rsidRPr="00F60A1E">
        <w:rPr>
          <w:bCs/>
          <w:szCs w:val="20"/>
        </w:rPr>
        <w:t>. The intervener may participate in the written procedure and the hearing. However, the intervener may only discuss the points brought forward by the parties’ action and cannot bring new grounds for action. In most cases, the intervener would act in defence of the administrative authority’s decision since he/she is a beneficiary of the decision</w:t>
      </w:r>
      <w:r w:rsidRPr="00F60A1E">
        <w:rPr>
          <w:bCs/>
          <w:szCs w:val="20"/>
          <w:vertAlign w:val="superscript"/>
        </w:rPr>
        <w:footnoteReference w:id="116"/>
      </w:r>
      <w:r w:rsidRPr="00F60A1E">
        <w:rPr>
          <w:bCs/>
          <w:szCs w:val="20"/>
        </w:rPr>
        <w:t>. It is noted that no intervention is possible in cassation procedures before the Council of State.</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The rules on legal and procedural capacity to act apply to child interveners.</w:t>
      </w:r>
    </w:p>
    <w:p w:rsidR="00F60A1E" w:rsidRPr="00F60A1E" w:rsidRDefault="00F60A1E" w:rsidP="00F60A1E">
      <w:pPr>
        <w:keepNext/>
        <w:keepLines/>
        <w:spacing w:after="0"/>
        <w:ind w:left="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The child as a witness</w:t>
      </w:r>
      <w:r w:rsidRPr="00F60A1E">
        <w:rPr>
          <w:rFonts w:ascii="Calibri" w:eastAsiaTheme="majorEastAsia" w:hAnsi="Calibri" w:cstheme="majorBidi"/>
          <w:b/>
          <w:bCs/>
          <w:i/>
          <w:iCs/>
          <w:color w:val="0067AC"/>
          <w:sz w:val="22"/>
        </w:rPr>
        <w:br/>
      </w:r>
    </w:p>
    <w:p w:rsidR="00F60A1E" w:rsidRPr="00F60A1E" w:rsidRDefault="00F60A1E" w:rsidP="00F60A1E">
      <w:pPr>
        <w:spacing w:before="0" w:after="0" w:line="240" w:lineRule="auto"/>
        <w:ind w:left="851"/>
        <w:jc w:val="both"/>
        <w:rPr>
          <w:bCs/>
          <w:szCs w:val="20"/>
        </w:rPr>
      </w:pPr>
      <w:r w:rsidRPr="00F60A1E">
        <w:rPr>
          <w:bCs/>
          <w:szCs w:val="20"/>
        </w:rPr>
        <w:t xml:space="preserve">There are no specific rules on child witnesses before the Council of State. Hence, the rules of the </w:t>
      </w:r>
      <w:hyperlink r:id="rId77" w:history="1">
        <w:r w:rsidRPr="00F60A1E">
          <w:rPr>
            <w:bCs/>
            <w:color w:val="0000FF" w:themeColor="hyperlink"/>
            <w:szCs w:val="20"/>
            <w:u w:val="single"/>
          </w:rPr>
          <w:t>Judicial Code</w:t>
        </w:r>
      </w:hyperlink>
      <w:r w:rsidRPr="00F60A1E">
        <w:rPr>
          <w:bCs/>
          <w:szCs w:val="20"/>
        </w:rPr>
        <w:t xml:space="preserve"> on child testimony and the general rules of a witness before the Council of State apply to both an adult and a child. The rules on legal and procedural capacity described above apply to child witnesses.</w:t>
      </w:r>
    </w:p>
    <w:p w:rsidR="00F60A1E" w:rsidRPr="00F60A1E" w:rsidRDefault="00F60A1E" w:rsidP="00F60A1E">
      <w:pPr>
        <w:spacing w:before="0" w:after="0" w:line="240" w:lineRule="auto"/>
        <w:ind w:left="851"/>
        <w:jc w:val="both"/>
        <w:rPr>
          <w:bCs/>
          <w:szCs w:val="20"/>
        </w:rPr>
      </w:pPr>
    </w:p>
    <w:p w:rsidR="00F60A1E" w:rsidRPr="00F60A1E" w:rsidRDefault="00F60A1E" w:rsidP="00F60A1E">
      <w:pPr>
        <w:spacing w:before="0" w:after="0" w:line="240" w:lineRule="auto"/>
        <w:ind w:left="851"/>
        <w:jc w:val="both"/>
        <w:rPr>
          <w:bCs/>
          <w:szCs w:val="20"/>
        </w:rPr>
      </w:pPr>
      <w:r w:rsidRPr="00F60A1E">
        <w:rPr>
          <w:bCs/>
          <w:szCs w:val="20"/>
        </w:rPr>
        <w:t xml:space="preserve">A witness may be called to testify in administrative judicial proceedings before the Council of State. However, as specified in the </w:t>
      </w:r>
      <w:hyperlink r:id="rId78" w:history="1">
        <w:r w:rsidRPr="00F60A1E">
          <w:rPr>
            <w:bCs/>
            <w:color w:val="0000FF" w:themeColor="hyperlink"/>
            <w:szCs w:val="20"/>
            <w:u w:val="single"/>
          </w:rPr>
          <w:t>Judicial Code</w:t>
        </w:r>
      </w:hyperlink>
      <w:r w:rsidRPr="00F60A1E">
        <w:rPr>
          <w:bCs/>
          <w:szCs w:val="20"/>
        </w:rPr>
        <w:t xml:space="preserve">, a child under 15 years of age cannot be heard under oath. The child’s declaration will be collected as information only. Child witnesses cannot be considered as parties to administrative judicial proceedings – see further details in </w:t>
      </w:r>
      <w:hyperlink w:anchor="_Toc338234115" w:history="1">
        <w:r w:rsidRPr="00F60A1E">
          <w:rPr>
            <w:bCs/>
            <w:color w:val="0000FF" w:themeColor="hyperlink"/>
            <w:szCs w:val="20"/>
            <w:u w:val="single"/>
          </w:rPr>
          <w:t>Section 2.5</w:t>
        </w:r>
      </w:hyperlink>
      <w:r w:rsidRPr="00F60A1E">
        <w:rPr>
          <w:bCs/>
          <w:szCs w:val="20"/>
        </w:rPr>
        <w:t>.</w:t>
      </w:r>
    </w:p>
    <w:p w:rsidR="00F60A1E" w:rsidRPr="00F60A1E" w:rsidRDefault="00F60A1E" w:rsidP="00F60A1E">
      <w:pPr>
        <w:spacing w:before="0" w:after="0" w:line="240" w:lineRule="auto"/>
        <w:ind w:left="851"/>
        <w:jc w:val="both"/>
        <w:rPr>
          <w:bCs/>
          <w:szCs w:val="20"/>
          <w:highlight w:val="yellow"/>
        </w:rPr>
      </w:pPr>
    </w:p>
    <w:p w:rsidR="00F60A1E" w:rsidRPr="00F60A1E" w:rsidRDefault="00F60A1E" w:rsidP="00F60A1E">
      <w:pPr>
        <w:spacing w:before="0" w:after="0" w:line="240" w:lineRule="auto"/>
        <w:ind w:left="851"/>
        <w:jc w:val="both"/>
        <w:rPr>
          <w:bCs/>
          <w:szCs w:val="20"/>
        </w:rPr>
      </w:pPr>
      <w:r w:rsidRPr="00F60A1E">
        <w:rPr>
          <w:bCs/>
          <w:szCs w:val="20"/>
        </w:rPr>
        <w:t>When a hearing is ordered by the judge, the child may refuse to testify</w:t>
      </w:r>
      <w:r w:rsidRPr="00F60A1E">
        <w:rPr>
          <w:bCs/>
          <w:szCs w:val="20"/>
          <w:vertAlign w:val="superscript"/>
        </w:rPr>
        <w:footnoteReference w:id="117"/>
      </w:r>
      <w:r w:rsidRPr="00F60A1E">
        <w:rPr>
          <w:bCs/>
          <w:szCs w:val="20"/>
        </w:rPr>
        <w:t xml:space="preserve">. There are no legal provisions requiring the agreement of the parents or guardian for the participation of the child as a witness. </w:t>
      </w:r>
    </w:p>
    <w:p w:rsidR="00F60A1E" w:rsidRPr="00F60A1E" w:rsidRDefault="00F60A1E" w:rsidP="00F60A1E">
      <w:pPr>
        <w:keepNext/>
        <w:keepLines/>
        <w:spacing w:after="0"/>
        <w:ind w:left="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The child as a subject of proceedings</w:t>
      </w:r>
      <w:r w:rsidRPr="00F60A1E">
        <w:rPr>
          <w:rFonts w:ascii="Calibri" w:eastAsiaTheme="majorEastAsia" w:hAnsi="Calibri" w:cstheme="majorBidi"/>
          <w:b/>
          <w:bCs/>
          <w:i/>
          <w:iCs/>
          <w:color w:val="0067AC"/>
          <w:sz w:val="22"/>
        </w:rPr>
        <w:br/>
      </w:r>
    </w:p>
    <w:p w:rsidR="00F60A1E" w:rsidRPr="00F60A1E" w:rsidRDefault="00F60A1E" w:rsidP="00F60A1E">
      <w:pPr>
        <w:widowControl w:val="0"/>
        <w:spacing w:before="0" w:after="0" w:line="240" w:lineRule="auto"/>
        <w:ind w:left="851"/>
        <w:jc w:val="both"/>
        <w:rPr>
          <w:bCs/>
          <w:szCs w:val="20"/>
        </w:rPr>
      </w:pPr>
      <w:r w:rsidRPr="00F60A1E">
        <w:rPr>
          <w:bCs/>
          <w:szCs w:val="20"/>
        </w:rPr>
        <w:t xml:space="preserve">No rules were identified on child subjects of administrative judicial proceedings in Belgium. A child affected by the proceedings may, through his/her legal representative, request to intervene in the proceedings as explained above. However, in Belgium, the child will not formally be the party or the intervener in the proceeding, but his/her legal representative acting on his/her behalf will be the party or the intervener, with exception when the child can be a party as mentioned above. In this sense, the child is only a subject of the proceedings that are </w:t>
      </w:r>
      <w:r w:rsidRPr="00F60A1E">
        <w:rPr>
          <w:bCs/>
          <w:szCs w:val="20"/>
        </w:rPr>
        <w:lastRenderedPageBreak/>
        <w:t>carried out by his/her legal representatives. However, for the purpose of this report, the child will be described as the plaintiff or the defendant.</w:t>
      </w:r>
    </w:p>
    <w:p w:rsidR="00F60A1E" w:rsidRPr="00F60A1E" w:rsidRDefault="00F60A1E" w:rsidP="0082630D">
      <w:pPr>
        <w:pStyle w:val="Heading3"/>
      </w:pPr>
      <w:bookmarkStart w:id="65" w:name="_Toc401219654"/>
      <w:bookmarkStart w:id="66" w:name="_Toc401221482"/>
      <w:bookmarkStart w:id="67" w:name="_Toc401221559"/>
      <w:bookmarkStart w:id="68" w:name="_Toc401232313"/>
      <w:bookmarkStart w:id="69" w:name="_Toc404767179"/>
      <w:bookmarkStart w:id="70" w:name="_Toc409792209"/>
      <w:r w:rsidRPr="00F60A1E">
        <w:t>Procedural rules applicable to children involved in asylum proceedings</w:t>
      </w:r>
      <w:bookmarkEnd w:id="65"/>
      <w:bookmarkEnd w:id="66"/>
      <w:bookmarkEnd w:id="67"/>
      <w:bookmarkEnd w:id="68"/>
      <w:bookmarkEnd w:id="69"/>
      <w:bookmarkEnd w:id="70"/>
    </w:p>
    <w:p w:rsidR="00F60A1E" w:rsidRPr="00F60A1E" w:rsidRDefault="00F60A1E" w:rsidP="00F60A1E">
      <w:pPr>
        <w:keepNext/>
        <w:keepLines/>
        <w:spacing w:after="0"/>
        <w:ind w:left="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The child as a plaintiff/defendant</w:t>
      </w:r>
      <w:r w:rsidRPr="00F60A1E">
        <w:rPr>
          <w:rFonts w:ascii="Calibri" w:eastAsiaTheme="majorEastAsia" w:hAnsi="Calibri" w:cstheme="majorBidi"/>
          <w:b/>
          <w:bCs/>
          <w:i/>
          <w:iCs/>
          <w:color w:val="0067AC"/>
          <w:sz w:val="22"/>
        </w:rPr>
        <w:br/>
      </w:r>
    </w:p>
    <w:p w:rsidR="00F60A1E" w:rsidRPr="00F60A1E" w:rsidRDefault="00F60A1E" w:rsidP="00F60A1E">
      <w:pPr>
        <w:widowControl w:val="0"/>
        <w:spacing w:before="0" w:after="0" w:line="240" w:lineRule="auto"/>
        <w:ind w:left="851"/>
        <w:jc w:val="both"/>
        <w:rPr>
          <w:bCs/>
          <w:szCs w:val="20"/>
        </w:rPr>
      </w:pPr>
      <w:r w:rsidRPr="00F60A1E">
        <w:rPr>
          <w:bCs/>
          <w:szCs w:val="20"/>
        </w:rPr>
        <w:t>Decisions on asylum and migration can be appealed in cassation procedure before the Council of State in administrative judicial proceedings. The general rules described above apply. Hence, the child must be represented by his/her legal representative in the proceedings. However, the case-law of the Council of State has recognised the capacity of children to appeal to the Council of State in their own right if they are able to act by themselves. In particular, if the child has introduced his/her asylum application by him/herself, the child must be allowed to act in the proceedings – including the appeal before the Council of State</w:t>
      </w:r>
      <w:r w:rsidRPr="00F60A1E">
        <w:rPr>
          <w:bCs/>
          <w:szCs w:val="20"/>
          <w:vertAlign w:val="superscript"/>
        </w:rPr>
        <w:footnoteReference w:id="118"/>
      </w:r>
      <w:r w:rsidRPr="00F60A1E">
        <w:rPr>
          <w:bCs/>
          <w:szCs w:val="20"/>
        </w:rPr>
        <w:t>. It is not clear whether or not that case-law could apply to migration proceedings.</w:t>
      </w:r>
    </w:p>
    <w:p w:rsidR="00F60A1E" w:rsidRPr="00F60A1E" w:rsidRDefault="00F60A1E" w:rsidP="00227001">
      <w:pPr>
        <w:pStyle w:val="Heading3NoNumb"/>
        <w:ind w:left="851"/>
      </w:pPr>
      <w:bookmarkStart w:id="71" w:name="_Toc401578559"/>
      <w:bookmarkStart w:id="72" w:name="_Toc409792210"/>
      <w:r w:rsidRPr="00F60A1E">
        <w:t>The unaccompanied child national of a country outside the European Economic Area (EEA)</w:t>
      </w:r>
      <w:bookmarkEnd w:id="71"/>
      <w:bookmarkEnd w:id="72"/>
    </w:p>
    <w:p w:rsidR="00F60A1E" w:rsidRPr="00F60A1E" w:rsidRDefault="00F60A1E" w:rsidP="00F60A1E">
      <w:pPr>
        <w:widowControl w:val="0"/>
        <w:spacing w:before="0" w:after="0" w:line="240" w:lineRule="auto"/>
        <w:ind w:left="851"/>
        <w:jc w:val="both"/>
        <w:rPr>
          <w:rFonts w:eastAsia="Times New Roman" w:cs="Arial"/>
          <w:szCs w:val="20"/>
        </w:rPr>
      </w:pPr>
      <w:r w:rsidRPr="00F60A1E">
        <w:rPr>
          <w:rFonts w:eastAsia="Times New Roman" w:cs="Arial"/>
          <w:szCs w:val="20"/>
        </w:rPr>
        <w:t>In Belgium, an unaccompanied non-national child is considered a child who appears or claims to be: aged under 18 years; a national of a country outside the EEA</w:t>
      </w:r>
      <w:r w:rsidRPr="00F60A1E">
        <w:rPr>
          <w:rFonts w:eastAsia="Times New Roman" w:cs="Calibri"/>
          <w:szCs w:val="20"/>
          <w:vertAlign w:val="superscript"/>
        </w:rPr>
        <w:footnoteReference w:id="119"/>
      </w:r>
      <w:r w:rsidRPr="00F60A1E">
        <w:rPr>
          <w:rFonts w:eastAsia="Times New Roman" w:cs="Arial"/>
          <w:szCs w:val="20"/>
        </w:rPr>
        <w:t>; unaccompanied by a person exercising parental responsibility or guardianship under his/her national law; a person who does not meet the conditions of entry and residence in Belgium or who has applied for asylum</w:t>
      </w:r>
      <w:r w:rsidRPr="00F60A1E">
        <w:rPr>
          <w:rFonts w:eastAsia="Times New Roman" w:cs="Calibri"/>
          <w:szCs w:val="20"/>
          <w:vertAlign w:val="superscript"/>
        </w:rPr>
        <w:footnoteReference w:id="120"/>
      </w:r>
      <w:r w:rsidRPr="00F60A1E">
        <w:rPr>
          <w:rFonts w:eastAsia="Times New Roman" w:cs="Arial"/>
          <w:szCs w:val="20"/>
        </w:rPr>
        <w:t xml:space="preserve">. </w:t>
      </w:r>
    </w:p>
    <w:p w:rsidR="00F60A1E" w:rsidRPr="00F60A1E" w:rsidRDefault="00F60A1E" w:rsidP="00F60A1E">
      <w:pPr>
        <w:widowControl w:val="0"/>
        <w:spacing w:before="0" w:after="0" w:line="240" w:lineRule="auto"/>
        <w:ind w:left="851"/>
        <w:jc w:val="both"/>
        <w:rPr>
          <w:rFonts w:eastAsia="Times New Roman" w:cs="Arial"/>
          <w:szCs w:val="20"/>
          <w:highlight w:val="yellow"/>
        </w:rPr>
      </w:pPr>
    </w:p>
    <w:p w:rsidR="00F60A1E" w:rsidRPr="00F60A1E" w:rsidRDefault="00F60A1E" w:rsidP="00F60A1E">
      <w:pPr>
        <w:widowControl w:val="0"/>
        <w:spacing w:before="0" w:after="0" w:line="240" w:lineRule="auto"/>
        <w:ind w:left="851"/>
        <w:jc w:val="both"/>
        <w:rPr>
          <w:rFonts w:eastAsia="Times New Roman" w:cs="Arial"/>
          <w:szCs w:val="20"/>
        </w:rPr>
      </w:pPr>
      <w:r w:rsidRPr="00F60A1E">
        <w:rPr>
          <w:rFonts w:eastAsia="Times New Roman" w:cs="Arial"/>
          <w:szCs w:val="20"/>
        </w:rPr>
        <w:t>Depending on the situation, the unaccompanied non-national child may initiate in his/her own right all procedures related to asylum proceedings, including application for asylum or subsidiary protection, request for authorisation to stay for humanitarian or medical reasons, request of the status of a victim of trafficking</w:t>
      </w:r>
      <w:r w:rsidRPr="00F60A1E">
        <w:rPr>
          <w:rFonts w:eastAsia="Times New Roman" w:cs="Calibri"/>
          <w:szCs w:val="20"/>
          <w:vertAlign w:val="superscript"/>
        </w:rPr>
        <w:footnoteReference w:id="121"/>
      </w:r>
      <w:r w:rsidRPr="00F60A1E">
        <w:rPr>
          <w:rFonts w:eastAsia="Times New Roman" w:cs="Arial"/>
          <w:szCs w:val="20"/>
        </w:rPr>
        <w:t>. The unaccompanied non-national child may also be represented by an appointed guardian and a legal counsel in all proceedings.</w:t>
      </w:r>
    </w:p>
    <w:p w:rsidR="00F60A1E" w:rsidRPr="00F60A1E" w:rsidRDefault="00F60A1E" w:rsidP="00F60A1E">
      <w:pPr>
        <w:widowControl w:val="0"/>
        <w:spacing w:before="0" w:after="0" w:line="240" w:lineRule="auto"/>
        <w:jc w:val="both"/>
        <w:rPr>
          <w:rFonts w:eastAsia="Times New Roman" w:cs="Arial"/>
          <w:szCs w:val="20"/>
        </w:rPr>
      </w:pPr>
    </w:p>
    <w:p w:rsidR="00F60A1E" w:rsidRPr="00F60A1E" w:rsidRDefault="00F60A1E" w:rsidP="00F60A1E">
      <w:pPr>
        <w:widowControl w:val="0"/>
        <w:spacing w:before="0" w:after="0" w:line="240" w:lineRule="auto"/>
        <w:ind w:left="851"/>
        <w:jc w:val="both"/>
        <w:rPr>
          <w:rFonts w:eastAsia="Times New Roman" w:cs="Arial"/>
          <w:szCs w:val="20"/>
          <w:highlight w:val="yellow"/>
        </w:rPr>
      </w:pPr>
      <w:r w:rsidRPr="00F60A1E">
        <w:rPr>
          <w:rFonts w:eastAsia="Times New Roman" w:cs="Arial"/>
          <w:szCs w:val="20"/>
        </w:rPr>
        <w:t xml:space="preserve">Any authority who has knowledge of the presence of an unaccompanied non-national child at the border or on the territory must inform the Guardianship Service, the Immigration Office for migrant children, and the </w:t>
      </w:r>
      <w:r w:rsidRPr="00F60A1E">
        <w:rPr>
          <w:rFonts w:eastAsia="Times New Roman" w:cs="Arial"/>
          <w:szCs w:val="20"/>
          <w:shd w:val="clear" w:color="auto" w:fill="FFFFFF"/>
        </w:rPr>
        <w:t>Commissioner General for Refugees and Stateless Persons</w:t>
      </w:r>
      <w:r w:rsidRPr="00F60A1E">
        <w:rPr>
          <w:rFonts w:eastAsia="Times New Roman" w:cs="Arial"/>
          <w:szCs w:val="20"/>
        </w:rPr>
        <w:t xml:space="preserve"> – in the case of an asylum seeker</w:t>
      </w:r>
      <w:r w:rsidRPr="00F60A1E">
        <w:rPr>
          <w:rFonts w:eastAsia="Times New Roman" w:cs="Calibri"/>
          <w:szCs w:val="20"/>
          <w:vertAlign w:val="superscript"/>
        </w:rPr>
        <w:footnoteReference w:id="122"/>
      </w:r>
      <w:r w:rsidRPr="00F60A1E">
        <w:rPr>
          <w:rFonts w:eastAsia="Times New Roman" w:cs="Arial"/>
          <w:szCs w:val="20"/>
        </w:rPr>
        <w:t>. Any individual or organisation may also report an unaccompanied non-national child. The Guardianship Service organises emergency housing for the child, immediately appoints a guardian and then proceeds to the child’s identification. The service checks whether or not the conditions are met for the child to be considered an unaccompanied non-national child. If there is no doubt as to his/her minority, the child is transferred to an observation and orientation centre and the guardianship is confirmed. In case the Guardianship Service or another asylum and migration authority issues a decision that the person’s age is of at least 18 years, the decision is notified to the child and their temporary guardian</w:t>
      </w:r>
      <w:r w:rsidRPr="00F60A1E">
        <w:rPr>
          <w:rFonts w:eastAsia="Times New Roman" w:cs="Calibri"/>
          <w:szCs w:val="20"/>
          <w:vertAlign w:val="superscript"/>
        </w:rPr>
        <w:footnoteReference w:id="123"/>
      </w:r>
      <w:r w:rsidRPr="00F60A1E">
        <w:rPr>
          <w:rFonts w:eastAsia="Times New Roman" w:cs="Arial"/>
          <w:szCs w:val="20"/>
        </w:rPr>
        <w:t>. An appeal against this decision may be lodged by the child represented by the temporary guardian, if needed, to the Council of State.</w:t>
      </w:r>
    </w:p>
    <w:p w:rsidR="00F60A1E" w:rsidRPr="00F60A1E" w:rsidRDefault="00F60A1E" w:rsidP="00F60A1E">
      <w:pPr>
        <w:widowControl w:val="0"/>
        <w:spacing w:before="0" w:after="0" w:line="240" w:lineRule="auto"/>
        <w:jc w:val="both"/>
        <w:rPr>
          <w:rFonts w:eastAsia="Times New Roman" w:cs="Arial"/>
          <w:szCs w:val="20"/>
          <w:highlight w:val="yellow"/>
        </w:rPr>
      </w:pPr>
    </w:p>
    <w:p w:rsidR="00F60A1E" w:rsidRPr="00F60A1E" w:rsidRDefault="00F60A1E" w:rsidP="00F60A1E">
      <w:pPr>
        <w:widowControl w:val="0"/>
        <w:spacing w:before="0" w:after="0" w:line="240" w:lineRule="auto"/>
        <w:ind w:left="851"/>
        <w:jc w:val="both"/>
        <w:rPr>
          <w:rFonts w:eastAsia="Times New Roman" w:cs="Arial"/>
          <w:szCs w:val="20"/>
        </w:rPr>
      </w:pPr>
      <w:r w:rsidRPr="00F60A1E">
        <w:rPr>
          <w:rFonts w:eastAsia="Times New Roman" w:cs="Arial"/>
          <w:szCs w:val="20"/>
        </w:rPr>
        <w:t xml:space="preserve">The guardian of an unaccompanied child is responsible for representing and assisting the child in asylum and migration administrative and judicial procedures. For asylum proceedings, the child may apply for asylum in his/her own right. The guardian must also ensure that the child receives the assistance of a legal counsel and has access to education, accommodation, </w:t>
      </w:r>
      <w:r w:rsidRPr="00F60A1E">
        <w:rPr>
          <w:rFonts w:eastAsia="Times New Roman" w:cs="Arial"/>
          <w:szCs w:val="20"/>
        </w:rPr>
        <w:lastRenderedPageBreak/>
        <w:t>medical and other care</w:t>
      </w:r>
      <w:r w:rsidRPr="00F60A1E">
        <w:rPr>
          <w:rFonts w:eastAsia="Times New Roman" w:cs="Calibri"/>
          <w:szCs w:val="20"/>
          <w:vertAlign w:val="superscript"/>
        </w:rPr>
        <w:footnoteReference w:id="124"/>
      </w:r>
      <w:r w:rsidRPr="00F60A1E">
        <w:rPr>
          <w:rFonts w:eastAsia="Times New Roman" w:cs="Arial"/>
          <w:szCs w:val="20"/>
        </w:rPr>
        <w:t>. In addition, the guardian is tasked to seek a sustainable solution in the interests of the child and search for his/her family members. If the child disagrees with his/her guardian’s decisions and actions, the child may ask the assistance of the Guardianship Service, or appeal to a civil magistrate’s court to solve any conflict of interests between him/herself and their guardian. The civil magistrate’s court and the Guardianship Service are competent to monitor the activities of the guardian. The guardian must present reports on the situation of the child to the civil magistrate’s court at least twice a year</w:t>
      </w:r>
      <w:r w:rsidRPr="00F60A1E">
        <w:rPr>
          <w:rFonts w:eastAsia="Times New Roman" w:cs="Calibri"/>
          <w:szCs w:val="20"/>
          <w:vertAlign w:val="superscript"/>
        </w:rPr>
        <w:footnoteReference w:id="125"/>
      </w:r>
      <w:r w:rsidRPr="00F60A1E">
        <w:rPr>
          <w:rFonts w:eastAsia="Times New Roman" w:cs="Arial"/>
          <w:szCs w:val="20"/>
        </w:rPr>
        <w:t xml:space="preserve">. </w:t>
      </w:r>
    </w:p>
    <w:p w:rsidR="00F60A1E" w:rsidRPr="00227001" w:rsidRDefault="00F60A1E" w:rsidP="00227001">
      <w:pPr>
        <w:pStyle w:val="Heading3NoNumb"/>
        <w:ind w:firstLine="851"/>
      </w:pPr>
      <w:bookmarkStart w:id="73" w:name="_Toc401578560"/>
      <w:bookmarkStart w:id="74" w:name="_Toc409792211"/>
      <w:r w:rsidRPr="00F60A1E">
        <w:rPr>
          <w:rFonts w:eastAsia="Times New Roman"/>
        </w:rPr>
        <w:t>The unaccompanied EEA child</w:t>
      </w:r>
      <w:r w:rsidRPr="00F60A1E">
        <w:rPr>
          <w:szCs w:val="22"/>
          <w:vertAlign w:val="superscript"/>
        </w:rPr>
        <w:footnoteReference w:id="126"/>
      </w:r>
      <w:bookmarkEnd w:id="73"/>
      <w:bookmarkEnd w:id="74"/>
    </w:p>
    <w:p w:rsidR="00F60A1E" w:rsidRPr="00F60A1E" w:rsidRDefault="00F60A1E" w:rsidP="00F60A1E">
      <w:pPr>
        <w:widowControl w:val="0"/>
        <w:spacing w:before="0" w:after="0" w:line="240" w:lineRule="auto"/>
        <w:ind w:left="851"/>
        <w:jc w:val="both"/>
        <w:rPr>
          <w:rFonts w:eastAsia="Times New Roman" w:cs="Arial"/>
          <w:szCs w:val="20"/>
        </w:rPr>
      </w:pPr>
      <w:r w:rsidRPr="00F60A1E">
        <w:rPr>
          <w:rFonts w:eastAsia="Times New Roman" w:cs="Arial"/>
          <w:szCs w:val="20"/>
        </w:rPr>
        <w:t>A child is considered an unaccompanied EEA child in a vulnerable situation, if she/he is a national of a EEA country other than Belgium, under the age of 18 years, not accompanied by a person holding the parental responsibility, has no document allowing him/her to travel and reside in Belgium, is not recorded in the official registers and who is in a situation of vulnerability</w:t>
      </w:r>
      <w:r w:rsidRPr="00F60A1E">
        <w:rPr>
          <w:rFonts w:eastAsia="Times New Roman" w:cs="Calibri"/>
          <w:szCs w:val="20"/>
          <w:vertAlign w:val="superscript"/>
        </w:rPr>
        <w:footnoteReference w:id="127"/>
      </w:r>
      <w:r w:rsidRPr="00F60A1E">
        <w:rPr>
          <w:rFonts w:eastAsia="Times New Roman" w:cs="Arial"/>
          <w:szCs w:val="20"/>
        </w:rPr>
        <w:t>. The Police officer who has knowledge of the presence of an unaccompanied EEA child must inform the Service of unaccompanied European children in vulnerable situations (SMEV) and the Immigration Office. The SMEV will support the child and take appropriate urgent measures to organise a social follow-up adapted to the child's situation. No specialised guardianship service exists for that category of children. The general rules on the representation of children will apply. Hence, the civil magistrate’s court may appoint a guardian.</w:t>
      </w:r>
    </w:p>
    <w:p w:rsidR="00F60A1E" w:rsidRPr="00F60A1E" w:rsidRDefault="00F60A1E" w:rsidP="00F60A1E">
      <w:pPr>
        <w:keepNext/>
        <w:keepLines/>
        <w:spacing w:after="0"/>
        <w:ind w:left="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The child as a witness</w:t>
      </w:r>
      <w:r w:rsidRPr="00F60A1E">
        <w:rPr>
          <w:rFonts w:ascii="Calibri" w:eastAsiaTheme="majorEastAsia" w:hAnsi="Calibri" w:cstheme="majorBidi"/>
          <w:b/>
          <w:bCs/>
          <w:i/>
          <w:iCs/>
          <w:color w:val="0067AC"/>
          <w:sz w:val="22"/>
        </w:rPr>
        <w:br/>
      </w:r>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The general rules described above apply to child witnesses in asylum and migration proceedings.</w:t>
      </w:r>
    </w:p>
    <w:p w:rsidR="00F60A1E" w:rsidRPr="00F60A1E" w:rsidRDefault="00F60A1E" w:rsidP="00F60A1E">
      <w:pPr>
        <w:keepNext/>
        <w:keepLines/>
        <w:spacing w:after="0"/>
        <w:ind w:left="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The child as a subject of proceedings</w:t>
      </w:r>
      <w:r w:rsidRPr="00F60A1E">
        <w:rPr>
          <w:rFonts w:ascii="Calibri" w:eastAsiaTheme="majorEastAsia" w:hAnsi="Calibri" w:cstheme="majorBidi"/>
          <w:b/>
          <w:bCs/>
          <w:i/>
          <w:iCs/>
          <w:color w:val="0067AC"/>
          <w:sz w:val="22"/>
        </w:rPr>
        <w:br/>
      </w:r>
    </w:p>
    <w:p w:rsidR="00F60A1E" w:rsidRPr="00F60A1E" w:rsidRDefault="00F60A1E" w:rsidP="00F60A1E">
      <w:pPr>
        <w:widowControl w:val="0"/>
        <w:spacing w:before="0" w:after="0" w:line="240" w:lineRule="auto"/>
        <w:ind w:left="851"/>
        <w:jc w:val="both"/>
        <w:rPr>
          <w:rFonts w:cs="Arial"/>
          <w:szCs w:val="20"/>
        </w:rPr>
      </w:pPr>
      <w:r w:rsidRPr="00F60A1E">
        <w:rPr>
          <w:bCs/>
          <w:szCs w:val="20"/>
        </w:rPr>
        <w:t>At the level of administrative procedure, the child accompanied by his/her family may apply for asylum in his/her own name or the parents may apply for asylum for the whole family. Hence, the child may either be a party or a subject in those proceedings</w:t>
      </w:r>
      <w:r w:rsidRPr="00F60A1E">
        <w:rPr>
          <w:bCs/>
          <w:szCs w:val="20"/>
          <w:vertAlign w:val="superscript"/>
        </w:rPr>
        <w:footnoteReference w:id="128"/>
      </w:r>
      <w:r w:rsidRPr="00F60A1E">
        <w:rPr>
          <w:bCs/>
          <w:szCs w:val="20"/>
        </w:rPr>
        <w:t xml:space="preserve">. </w:t>
      </w:r>
      <w:r w:rsidRPr="00F60A1E">
        <w:rPr>
          <w:rFonts w:cs="Arial"/>
          <w:szCs w:val="20"/>
        </w:rPr>
        <w:t xml:space="preserve">The general rules described above apply to </w:t>
      </w:r>
      <w:r w:rsidRPr="00F60A1E">
        <w:rPr>
          <w:bCs/>
          <w:szCs w:val="20"/>
        </w:rPr>
        <w:t>subjects of proceedings</w:t>
      </w:r>
      <w:r w:rsidRPr="00F60A1E">
        <w:rPr>
          <w:rFonts w:cs="Arial"/>
          <w:szCs w:val="20"/>
        </w:rPr>
        <w:t xml:space="preserve"> in asylum proceedings. The child could also intervene in the Council of State proceedings, as described above, and in accordance with the general rules on legal representation.</w:t>
      </w:r>
    </w:p>
    <w:p w:rsidR="00F60A1E" w:rsidRPr="00F60A1E" w:rsidRDefault="00F60A1E" w:rsidP="0082630D">
      <w:pPr>
        <w:pStyle w:val="Heading3"/>
      </w:pPr>
      <w:bookmarkStart w:id="75" w:name="_Toc401219655"/>
      <w:bookmarkStart w:id="76" w:name="_Toc401221483"/>
      <w:bookmarkStart w:id="77" w:name="_Toc401221560"/>
      <w:bookmarkStart w:id="78" w:name="_Toc401232314"/>
      <w:bookmarkStart w:id="79" w:name="_Toc404767180"/>
      <w:bookmarkStart w:id="80" w:name="_Toc409792212"/>
      <w:r w:rsidRPr="00F60A1E">
        <w:t>Procedural rules applicable to children involved in migration proceedings</w:t>
      </w:r>
      <w:bookmarkEnd w:id="75"/>
      <w:bookmarkEnd w:id="76"/>
      <w:bookmarkEnd w:id="77"/>
      <w:bookmarkEnd w:id="78"/>
      <w:bookmarkEnd w:id="79"/>
      <w:bookmarkEnd w:id="80"/>
    </w:p>
    <w:p w:rsidR="00F60A1E" w:rsidRPr="00F60A1E" w:rsidRDefault="00F60A1E" w:rsidP="00F60A1E">
      <w:pPr>
        <w:keepNext/>
        <w:keepLines/>
        <w:spacing w:after="0"/>
        <w:ind w:left="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The child as a plaintiff/defendant</w:t>
      </w:r>
      <w:r w:rsidRPr="00F60A1E">
        <w:rPr>
          <w:rFonts w:ascii="Calibri" w:eastAsiaTheme="majorEastAsia" w:hAnsi="Calibri" w:cstheme="majorBidi"/>
          <w:b/>
          <w:bCs/>
          <w:i/>
          <w:iCs/>
          <w:color w:val="0067AC"/>
          <w:sz w:val="22"/>
        </w:rPr>
        <w:br/>
      </w:r>
    </w:p>
    <w:p w:rsidR="00F60A1E" w:rsidRPr="00F60A1E" w:rsidRDefault="00F60A1E" w:rsidP="00F60A1E">
      <w:pPr>
        <w:widowControl w:val="0"/>
        <w:spacing w:before="0" w:after="0" w:line="240" w:lineRule="auto"/>
        <w:ind w:left="851"/>
        <w:jc w:val="both"/>
      </w:pPr>
      <w:r w:rsidRPr="00F60A1E">
        <w:t xml:space="preserve">As explained in </w:t>
      </w:r>
      <w:hyperlink w:anchor="_Overview_of_Member" w:history="1">
        <w:r w:rsidRPr="00F60A1E">
          <w:rPr>
            <w:rFonts w:cs="Arial"/>
            <w:color w:val="0000FF" w:themeColor="hyperlink"/>
            <w:u w:val="single"/>
          </w:rPr>
          <w:t>Section 1</w:t>
        </w:r>
      </w:hyperlink>
      <w:r w:rsidRPr="00F60A1E">
        <w:t>, appeals against medical treatment decisions can be made before the mediation services. If no satisfactory solution is found through mediation, a child can turn to the court in a civil judicial proceeding – the civil magistrate court or civil court will be competent depending on the type of decision.</w:t>
      </w:r>
    </w:p>
    <w:p w:rsidR="00F60A1E" w:rsidRPr="00F60A1E" w:rsidRDefault="00F60A1E" w:rsidP="00F60A1E">
      <w:pPr>
        <w:widowControl w:val="0"/>
        <w:tabs>
          <w:tab w:val="left" w:pos="2350"/>
        </w:tabs>
        <w:spacing w:before="0" w:after="0" w:line="240" w:lineRule="auto"/>
        <w:ind w:left="851"/>
        <w:jc w:val="both"/>
      </w:pPr>
      <w:r w:rsidRPr="00F60A1E">
        <w:tab/>
      </w:r>
    </w:p>
    <w:p w:rsidR="00F60A1E" w:rsidRPr="00F60A1E" w:rsidRDefault="00F60A1E" w:rsidP="00F60A1E">
      <w:pPr>
        <w:widowControl w:val="0"/>
        <w:spacing w:before="0" w:after="0" w:line="240" w:lineRule="auto"/>
        <w:ind w:left="851"/>
        <w:jc w:val="both"/>
      </w:pPr>
      <w:r w:rsidRPr="00F60A1E">
        <w:t>The general principles of legal and procedural capacity of the child described above in the general rules, apply in health care proceedings, with some additional specificities.</w:t>
      </w:r>
    </w:p>
    <w:p w:rsidR="00F60A1E" w:rsidRPr="00F60A1E" w:rsidRDefault="00F60A1E" w:rsidP="00F60A1E">
      <w:pPr>
        <w:widowControl w:val="0"/>
        <w:spacing w:before="0" w:after="0" w:line="240" w:lineRule="auto"/>
        <w:ind w:left="851"/>
        <w:jc w:val="both"/>
      </w:pPr>
    </w:p>
    <w:p w:rsidR="00F60A1E" w:rsidRPr="00F60A1E" w:rsidRDefault="00F60A1E" w:rsidP="00F60A1E">
      <w:pPr>
        <w:widowControl w:val="0"/>
        <w:spacing w:before="0" w:after="0" w:line="240" w:lineRule="auto"/>
        <w:ind w:left="851"/>
        <w:jc w:val="both"/>
      </w:pPr>
      <w:r w:rsidRPr="00F60A1E">
        <w:t>A child patient’s rights must be exercised through his/her legal represent</w:t>
      </w:r>
      <w:r w:rsidRPr="00F60A1E">
        <w:rPr>
          <w:i/>
        </w:rPr>
        <w:t>a</w:t>
      </w:r>
      <w:r w:rsidRPr="00F60A1E">
        <w:t>tive. However, a child must be associated to the exercise of his/her rights taking into account his/her age and maturity. In addition, a child may exercise his/her patient’s rights in his/her own if the child is considered having the sufficient maturity to assess his/her own interests</w:t>
      </w:r>
      <w:r w:rsidRPr="00F60A1E">
        <w:rPr>
          <w:vertAlign w:val="superscript"/>
        </w:rPr>
        <w:footnoteReference w:id="129"/>
      </w:r>
      <w:r w:rsidRPr="00F60A1E">
        <w:t>.</w:t>
      </w:r>
    </w:p>
    <w:p w:rsidR="00F60A1E" w:rsidRPr="00F60A1E" w:rsidRDefault="00F60A1E" w:rsidP="00F60A1E">
      <w:pPr>
        <w:widowControl w:val="0"/>
        <w:spacing w:before="0" w:after="0" w:line="240" w:lineRule="auto"/>
        <w:ind w:left="851"/>
        <w:jc w:val="both"/>
      </w:pPr>
    </w:p>
    <w:p w:rsidR="00F60A1E" w:rsidRPr="00F60A1E" w:rsidRDefault="00F60A1E" w:rsidP="00F60A1E">
      <w:pPr>
        <w:widowControl w:val="0"/>
        <w:spacing w:before="0" w:after="0" w:line="240" w:lineRule="auto"/>
        <w:ind w:left="851"/>
        <w:jc w:val="both"/>
      </w:pPr>
      <w:r w:rsidRPr="00F60A1E">
        <w:t>It is noted that the child’s legal representative is liable for the payment of the child’s health treatments under his/her obligation to care for the child. As a result, the child’s legal representative is party to any dispute regarding the payment of the child’s health treatments</w:t>
      </w:r>
      <w:r w:rsidRPr="00F60A1E">
        <w:rPr>
          <w:vertAlign w:val="superscript"/>
        </w:rPr>
        <w:footnoteReference w:id="130"/>
      </w:r>
      <w:r w:rsidRPr="00F60A1E">
        <w:t>.</w:t>
      </w:r>
    </w:p>
    <w:p w:rsidR="00F60A1E" w:rsidRPr="00F60A1E" w:rsidRDefault="00F60A1E" w:rsidP="00227001">
      <w:pPr>
        <w:pStyle w:val="Heading3NoNumb"/>
        <w:ind w:left="851"/>
      </w:pPr>
      <w:bookmarkStart w:id="81" w:name="_Toc409792213"/>
      <w:r w:rsidRPr="00F60A1E">
        <w:t>Mental health</w:t>
      </w:r>
      <w:bookmarkEnd w:id="81"/>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Regarding decisions on children with mental health care needs, the youth tribunal is competent to order protective measures and placements into observation in psychiatric services. The placement measure may be taken only in the absence of any other suitable treatment, i.e. if his/her condition requires it because his/her health and safety are seriously put at risk, or if the condition of the child constitute a serious threat to the life or integrity of others</w:t>
      </w:r>
      <w:r w:rsidRPr="00F60A1E">
        <w:rPr>
          <w:szCs w:val="20"/>
          <w:vertAlign w:val="superscript"/>
        </w:rPr>
        <w:footnoteReference w:id="131"/>
      </w:r>
      <w:r w:rsidRPr="00F60A1E">
        <w:rPr>
          <w:rFonts w:cs="Arial"/>
          <w:szCs w:val="20"/>
        </w:rPr>
        <w:t xml:space="preserve">. The youth tribunal applies civil judicial procedural rules, the </w:t>
      </w:r>
      <w:hyperlink r:id="rId79" w:history="1">
        <w:r w:rsidRPr="00F60A1E">
          <w:rPr>
            <w:rFonts w:cs="Arial"/>
            <w:color w:val="0000FF" w:themeColor="hyperlink"/>
            <w:szCs w:val="20"/>
            <w:u w:val="single"/>
          </w:rPr>
          <w:t>Youth Protection Act</w:t>
        </w:r>
      </w:hyperlink>
      <w:r w:rsidRPr="00F60A1E">
        <w:rPr>
          <w:rFonts w:cs="Arial"/>
          <w:szCs w:val="20"/>
        </w:rPr>
        <w:t xml:space="preserve">, and the </w:t>
      </w:r>
      <w:hyperlink r:id="rId80" w:history="1">
        <w:r w:rsidRPr="00F60A1E">
          <w:rPr>
            <w:rFonts w:cs="Arial"/>
            <w:color w:val="0000FF" w:themeColor="hyperlink"/>
            <w:szCs w:val="20"/>
            <w:u w:val="single"/>
          </w:rPr>
          <w:t>Act on the protection of mentally ill persons</w:t>
        </w:r>
      </w:hyperlink>
      <w:r w:rsidRPr="00F60A1E">
        <w:rPr>
          <w:rFonts w:cs="Arial"/>
          <w:szCs w:val="20"/>
        </w:rPr>
        <w:t xml:space="preserve">. </w:t>
      </w:r>
    </w:p>
    <w:p w:rsidR="00F60A1E" w:rsidRPr="00F60A1E" w:rsidRDefault="00F60A1E" w:rsidP="00F60A1E">
      <w:pPr>
        <w:widowControl w:val="0"/>
        <w:spacing w:before="0" w:after="0" w:line="240" w:lineRule="auto"/>
        <w:ind w:left="851"/>
        <w:jc w:val="both"/>
        <w:rPr>
          <w:rFonts w:cs="Arial"/>
          <w:szCs w:val="20"/>
        </w:rPr>
      </w:pPr>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The general rules on capacity to act apply to those proceedings. However, the child may be a party to the proceedings before the youth tribunals. The child party to the proceedings still requires the intervention of his/her legal representative to act, since the child lacks procedural capacity. In addition, the child may appeal the youth tribunal’s decision, in his/her own right, to the court of appeal. The child’s legal representative or legal counsel may also appeal the decision</w:t>
      </w:r>
      <w:r w:rsidRPr="00F60A1E">
        <w:rPr>
          <w:szCs w:val="20"/>
          <w:vertAlign w:val="superscript"/>
        </w:rPr>
        <w:footnoteReference w:id="132"/>
      </w:r>
      <w:r w:rsidRPr="00F60A1E">
        <w:rPr>
          <w:rFonts w:cs="Arial"/>
          <w:szCs w:val="20"/>
        </w:rPr>
        <w:t>.</w:t>
      </w:r>
    </w:p>
    <w:p w:rsidR="00F60A1E" w:rsidRPr="00F60A1E" w:rsidRDefault="00F60A1E" w:rsidP="00F60A1E">
      <w:pPr>
        <w:widowControl w:val="0"/>
        <w:spacing w:before="0" w:after="0" w:line="240" w:lineRule="auto"/>
        <w:ind w:left="851"/>
        <w:jc w:val="both"/>
        <w:rPr>
          <w:b/>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When the child turns 18 years old, the proceedings are not suspended, but the child will gain full capacity to act and will no longer be represented by his/her legal representative. The youth protection measures ordered by the youth tribunal will terminate when the child reaches 18 years old. However, for children with mental illness and who have committed offences, the measures may be maintained and extended until the children reach the maximum age of 20 years. Placement into a psychiatric service may be continued after the child turns 18 years old and until the child is cured</w:t>
      </w:r>
      <w:r w:rsidRPr="00F60A1E">
        <w:rPr>
          <w:bCs/>
          <w:szCs w:val="20"/>
          <w:vertAlign w:val="superscript"/>
        </w:rPr>
        <w:footnoteReference w:id="133"/>
      </w:r>
      <w:r w:rsidRPr="00F60A1E">
        <w:rPr>
          <w:bCs/>
          <w:szCs w:val="20"/>
        </w:rPr>
        <w:t>.</w:t>
      </w:r>
    </w:p>
    <w:p w:rsidR="00F60A1E" w:rsidRPr="00F60A1E" w:rsidRDefault="00F60A1E" w:rsidP="00F60A1E">
      <w:pPr>
        <w:keepNext/>
        <w:keepLines/>
        <w:spacing w:after="0"/>
        <w:ind w:left="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 xml:space="preserve">The child as a witness </w:t>
      </w:r>
      <w:r w:rsidRPr="00F60A1E">
        <w:rPr>
          <w:rFonts w:ascii="Calibri" w:eastAsiaTheme="majorEastAsia" w:hAnsi="Calibri" w:cstheme="majorBidi"/>
          <w:b/>
          <w:bCs/>
          <w:i/>
          <w:iCs/>
          <w:color w:val="0067AC"/>
          <w:sz w:val="22"/>
        </w:rPr>
        <w:br/>
      </w:r>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The same general rules described above apply to child witnesses in health care proceedings.</w:t>
      </w:r>
    </w:p>
    <w:p w:rsidR="00F60A1E" w:rsidRPr="00F60A1E" w:rsidRDefault="00F60A1E" w:rsidP="00F60A1E">
      <w:pPr>
        <w:keepNext/>
        <w:keepLines/>
        <w:spacing w:after="0"/>
        <w:ind w:left="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The child as a subject of proceedings</w:t>
      </w:r>
      <w:r w:rsidRPr="00F60A1E">
        <w:rPr>
          <w:rFonts w:ascii="Calibri" w:eastAsiaTheme="majorEastAsia" w:hAnsi="Calibri" w:cstheme="majorBidi"/>
          <w:b/>
          <w:bCs/>
          <w:i/>
          <w:iCs/>
          <w:color w:val="0067AC"/>
          <w:sz w:val="22"/>
        </w:rPr>
        <w:br/>
      </w:r>
    </w:p>
    <w:p w:rsidR="00F60A1E" w:rsidRPr="00F60A1E" w:rsidRDefault="00F60A1E" w:rsidP="00F60A1E">
      <w:pPr>
        <w:widowControl w:val="0"/>
        <w:spacing w:before="0" w:after="0" w:line="240" w:lineRule="auto"/>
        <w:ind w:left="851"/>
        <w:jc w:val="both"/>
        <w:rPr>
          <w:bCs/>
          <w:szCs w:val="20"/>
        </w:rPr>
      </w:pPr>
      <w:r w:rsidRPr="00F60A1E">
        <w:rPr>
          <w:bCs/>
          <w:szCs w:val="20"/>
        </w:rPr>
        <w:t>No rules were identified on child subjects of health care judicial proceedings in Belgium. It is noted however that in Belgium, the child will not formally be the party in the proceeding, but his/her legal representative acting on his/her behalf will be the party, with the exception when the child can be a party mentioned above. In this sense, the child is only a subject of the proceedings carried out by his/her legal representatives. However, for the purpose of this report, the child will be described as a plaintiff or a defendant.</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As an exception, the child will be a party to the proceedings before the youth tribunals – including mental health proceedings, although the child’s legal representative must carry out the procedural acts on behalf of the child due to the child’s lack of procedural capacity.</w:t>
      </w:r>
    </w:p>
    <w:p w:rsidR="00F60A1E" w:rsidRPr="00F60A1E" w:rsidRDefault="00F60A1E" w:rsidP="0082630D">
      <w:pPr>
        <w:pStyle w:val="Heading3"/>
      </w:pPr>
      <w:bookmarkStart w:id="82" w:name="_Toc401219656"/>
      <w:bookmarkStart w:id="83" w:name="_Toc401221484"/>
      <w:bookmarkStart w:id="84" w:name="_Toc401221561"/>
      <w:bookmarkStart w:id="85" w:name="_Toc401232315"/>
      <w:bookmarkStart w:id="86" w:name="_Toc404767181"/>
      <w:bookmarkStart w:id="87" w:name="_Toc409792214"/>
      <w:r w:rsidRPr="00F60A1E">
        <w:lastRenderedPageBreak/>
        <w:t>Procedural rules applicable to children involved in proceedings for placement into care</w:t>
      </w:r>
      <w:bookmarkEnd w:id="82"/>
      <w:bookmarkEnd w:id="83"/>
      <w:bookmarkEnd w:id="84"/>
      <w:bookmarkEnd w:id="85"/>
      <w:bookmarkEnd w:id="86"/>
      <w:bookmarkEnd w:id="87"/>
    </w:p>
    <w:p w:rsidR="00F60A1E" w:rsidRPr="00F60A1E" w:rsidRDefault="00F60A1E" w:rsidP="00F60A1E">
      <w:pPr>
        <w:keepNext/>
        <w:keepLines/>
        <w:spacing w:after="0"/>
        <w:ind w:left="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The child as a plaintiff/defendant</w:t>
      </w:r>
      <w:r w:rsidRPr="00F60A1E">
        <w:rPr>
          <w:rFonts w:ascii="Calibri" w:eastAsiaTheme="majorEastAsia" w:hAnsi="Calibri" w:cstheme="majorBidi"/>
          <w:b/>
          <w:bCs/>
          <w:i/>
          <w:iCs/>
          <w:color w:val="0067AC"/>
          <w:sz w:val="22"/>
        </w:rPr>
        <w:br/>
      </w:r>
    </w:p>
    <w:p w:rsidR="00F60A1E" w:rsidRPr="00F60A1E" w:rsidRDefault="00F60A1E" w:rsidP="00F60A1E">
      <w:pPr>
        <w:spacing w:before="0" w:after="0" w:line="240" w:lineRule="auto"/>
        <w:ind w:left="851"/>
        <w:jc w:val="both"/>
        <w:rPr>
          <w:bCs/>
          <w:szCs w:val="20"/>
        </w:rPr>
      </w:pPr>
      <w:r w:rsidRPr="00F60A1E">
        <w:rPr>
          <w:bCs/>
          <w:szCs w:val="20"/>
        </w:rPr>
        <w:t xml:space="preserve">As explained in the Study to collect data on children’s involvement in civil judicial proceedings and in </w:t>
      </w:r>
      <w:hyperlink w:anchor="_Overview_of_Member" w:history="1">
        <w:r w:rsidRPr="00F60A1E">
          <w:rPr>
            <w:bCs/>
            <w:color w:val="0000FF" w:themeColor="hyperlink"/>
            <w:szCs w:val="20"/>
            <w:u w:val="single"/>
          </w:rPr>
          <w:t>Section 1</w:t>
        </w:r>
      </w:hyperlink>
      <w:r w:rsidRPr="00F60A1E">
        <w:rPr>
          <w:bCs/>
          <w:szCs w:val="20"/>
        </w:rPr>
        <w:t>, youth care services provide assistance to children and their families upon request of the child and/or his/her family, upon initiative of the youth care service, or when the child is referred before the youth care services by another service or stakeholder. The child</w:t>
      </w:r>
      <w:r w:rsidRPr="00F60A1E">
        <w:rPr>
          <w:bCs/>
          <w:szCs w:val="20"/>
          <w:vertAlign w:val="superscript"/>
        </w:rPr>
        <w:footnoteReference w:id="134"/>
      </w:r>
      <w:r w:rsidRPr="00F60A1E">
        <w:rPr>
          <w:bCs/>
          <w:szCs w:val="20"/>
        </w:rPr>
        <w:t xml:space="preserve"> needs to agree on the assistance since it is only provided on a voluntary basis. Youth care services aim at preventing cases to be sent to a court. Youth services first always attempt to solve problematic situations with the consent of the child and his/her family (voluntary youth care). Only when voluntary youth care is no longer possible is the case referred to judicial proceedings (youth tribunal) via the crown prosecutor office</w:t>
      </w:r>
      <w:r w:rsidRPr="00F60A1E">
        <w:rPr>
          <w:bCs/>
          <w:szCs w:val="20"/>
          <w:vertAlign w:val="superscript"/>
        </w:rPr>
        <w:footnoteReference w:id="135"/>
      </w:r>
      <w:r w:rsidRPr="00F60A1E">
        <w:rPr>
          <w:bCs/>
          <w:szCs w:val="20"/>
        </w:rPr>
        <w:t>. In the Flemish community, the legislation recognises the capacity of the child to exercise his/her rights in his/her own right before the youth care services, if the child is capable to reasonable understand his/her best interests. A child of at least 12 years old is presumed to be able to understand his/her own interests</w:t>
      </w:r>
      <w:r w:rsidRPr="00F60A1E">
        <w:rPr>
          <w:bCs/>
          <w:szCs w:val="20"/>
          <w:vertAlign w:val="superscript"/>
        </w:rPr>
        <w:footnoteReference w:id="136"/>
      </w:r>
      <w:r w:rsidRPr="00F60A1E">
        <w:rPr>
          <w:bCs/>
          <w:szCs w:val="20"/>
        </w:rPr>
        <w:t>. In the French community, legislation allows a child to appeal in his/her own right against an administrative authority if that administrative authority did not respect his/her rights</w:t>
      </w:r>
      <w:r w:rsidRPr="00F60A1E">
        <w:rPr>
          <w:bCs/>
          <w:szCs w:val="20"/>
          <w:vertAlign w:val="superscript"/>
        </w:rPr>
        <w:footnoteReference w:id="137"/>
      </w:r>
      <w:r w:rsidRPr="00F60A1E">
        <w:rPr>
          <w:bCs/>
          <w:szCs w:val="20"/>
        </w:rPr>
        <w:t>.</w:t>
      </w:r>
    </w:p>
    <w:p w:rsidR="00F60A1E" w:rsidRPr="00F60A1E" w:rsidRDefault="00F60A1E" w:rsidP="00F60A1E">
      <w:pPr>
        <w:spacing w:before="0" w:after="0" w:line="240" w:lineRule="auto"/>
        <w:jc w:val="both"/>
        <w:rPr>
          <w:bCs/>
          <w:szCs w:val="20"/>
        </w:rPr>
      </w:pPr>
    </w:p>
    <w:p w:rsidR="00F60A1E" w:rsidRPr="00F60A1E" w:rsidRDefault="00F60A1E" w:rsidP="00F60A1E">
      <w:pPr>
        <w:spacing w:before="0" w:after="0" w:line="240" w:lineRule="auto"/>
        <w:ind w:left="851"/>
        <w:jc w:val="both"/>
        <w:rPr>
          <w:bCs/>
          <w:szCs w:val="20"/>
        </w:rPr>
      </w:pPr>
      <w:r w:rsidRPr="00F60A1E">
        <w:rPr>
          <w:bCs/>
          <w:szCs w:val="20"/>
        </w:rPr>
        <w:t>If the child and/or his/her legal representative refuses the assistance, and the youth care services consider that protection measures are necessary, the youth care services, via the crown prosecutor’s office, will bring the case before a youth judge who alone is competent to impose a forced protection measure. In addition, only a youth tribunal can order measures such as the placement of the child into care. A protection case must be brought by the Crown Prosecutor before a competent youth tribunal</w:t>
      </w:r>
      <w:r w:rsidRPr="00F60A1E">
        <w:rPr>
          <w:bCs/>
          <w:szCs w:val="20"/>
          <w:vertAlign w:val="superscript"/>
        </w:rPr>
        <w:footnoteReference w:id="138"/>
      </w:r>
      <w:r w:rsidRPr="00F60A1E">
        <w:rPr>
          <w:bCs/>
          <w:szCs w:val="20"/>
        </w:rPr>
        <w:t xml:space="preserve">. The youth judges may also impose precautionary and interim measures in cases where the children would need urgent protection measures. See more details in </w:t>
      </w:r>
      <w:hyperlink w:anchor="_2.4_Protection_from" w:history="1">
        <w:r w:rsidRPr="00F60A1E">
          <w:rPr>
            <w:bCs/>
            <w:color w:val="0000FF" w:themeColor="hyperlink"/>
            <w:szCs w:val="20"/>
            <w:u w:val="single"/>
          </w:rPr>
          <w:t>Section 2.4</w:t>
        </w:r>
      </w:hyperlink>
      <w:r w:rsidRPr="00F60A1E">
        <w:rPr>
          <w:bCs/>
          <w:szCs w:val="20"/>
        </w:rPr>
        <w:t xml:space="preserve">. </w:t>
      </w:r>
    </w:p>
    <w:p w:rsidR="00F60A1E" w:rsidRPr="00F60A1E" w:rsidRDefault="00F60A1E" w:rsidP="00F60A1E">
      <w:pPr>
        <w:spacing w:before="0" w:after="0" w:line="240" w:lineRule="auto"/>
        <w:ind w:left="851"/>
        <w:jc w:val="both"/>
        <w:rPr>
          <w:bCs/>
          <w:szCs w:val="20"/>
        </w:rPr>
      </w:pPr>
    </w:p>
    <w:p w:rsidR="00F60A1E" w:rsidRPr="00F60A1E" w:rsidRDefault="00F60A1E" w:rsidP="00F60A1E">
      <w:pPr>
        <w:spacing w:before="0" w:after="0" w:line="240" w:lineRule="auto"/>
        <w:ind w:left="851"/>
        <w:jc w:val="both"/>
        <w:rPr>
          <w:bCs/>
          <w:szCs w:val="20"/>
        </w:rPr>
      </w:pPr>
      <w:r w:rsidRPr="00F60A1E">
        <w:rPr>
          <w:bCs/>
          <w:szCs w:val="20"/>
        </w:rPr>
        <w:t xml:space="preserve">As mentioned previously, a child does not have legal capacity to act and therefore cannot file an action before a court. However, </w:t>
      </w:r>
      <w:r w:rsidRPr="00F60A1E">
        <w:rPr>
          <w:szCs w:val="20"/>
        </w:rPr>
        <w:t>a</w:t>
      </w:r>
      <w:r w:rsidRPr="00F60A1E">
        <w:rPr>
          <w:bCs/>
          <w:szCs w:val="20"/>
        </w:rPr>
        <w:t xml:space="preserve"> child in need of assistance can by him/herself contact the authorities. The authorities or Crown Prosecutor can then bring the matter before the competent judge. A child in need of protection can also get in touch directly with the Crown Prosecutor’s Office which could then bring the case before a youth judge. </w:t>
      </w:r>
    </w:p>
    <w:p w:rsidR="00F60A1E" w:rsidRPr="00F60A1E" w:rsidRDefault="00F60A1E" w:rsidP="00F60A1E">
      <w:pPr>
        <w:spacing w:before="0" w:after="0" w:line="240" w:lineRule="auto"/>
        <w:ind w:left="851"/>
        <w:jc w:val="both"/>
        <w:rPr>
          <w:bCs/>
          <w:szCs w:val="20"/>
        </w:rPr>
      </w:pPr>
    </w:p>
    <w:p w:rsidR="00F60A1E" w:rsidRPr="00F60A1E" w:rsidRDefault="00F60A1E" w:rsidP="00F60A1E">
      <w:pPr>
        <w:spacing w:before="0" w:after="0" w:line="240" w:lineRule="auto"/>
        <w:ind w:left="851"/>
        <w:jc w:val="both"/>
        <w:rPr>
          <w:b/>
          <w:bCs/>
          <w:i/>
          <w:szCs w:val="20"/>
        </w:rPr>
      </w:pPr>
      <w:r w:rsidRPr="00F60A1E">
        <w:rPr>
          <w:bCs/>
          <w:szCs w:val="20"/>
        </w:rPr>
        <w:t>As noted above, the child will be a party to proceedings before a youth tribunal, although the child’s legal representative must carry out the procedural acts on behalf of the child due to the child’s lack of procedural capacity.</w:t>
      </w:r>
    </w:p>
    <w:p w:rsidR="00F60A1E" w:rsidRPr="00F60A1E" w:rsidRDefault="00F60A1E" w:rsidP="00F60A1E">
      <w:pPr>
        <w:widowControl w:val="0"/>
        <w:spacing w:before="0" w:after="0" w:line="240" w:lineRule="auto"/>
        <w:jc w:val="both"/>
      </w:pPr>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Once a youth tribunal issues a decision about the child, the youth care services are competent to implement the decision and take measures. If the child and his/her legal representative disagree on how the youth protection measure is implemented by the youth care services, they have the choice to complain before an administrative authority</w:t>
      </w:r>
      <w:r w:rsidRPr="00F60A1E">
        <w:rPr>
          <w:szCs w:val="20"/>
          <w:vertAlign w:val="superscript"/>
        </w:rPr>
        <w:footnoteReference w:id="139"/>
      </w:r>
      <w:r w:rsidRPr="00F60A1E">
        <w:rPr>
          <w:rFonts w:cs="Arial"/>
          <w:szCs w:val="20"/>
        </w:rPr>
        <w:t xml:space="preserve"> and/or appeal to the </w:t>
      </w:r>
      <w:r w:rsidRPr="00F60A1E">
        <w:rPr>
          <w:rFonts w:cs="Arial"/>
          <w:szCs w:val="20"/>
        </w:rPr>
        <w:lastRenderedPageBreak/>
        <w:t>youth tribunal to remove, replace or amend the measure</w:t>
      </w:r>
      <w:r w:rsidRPr="00F60A1E">
        <w:rPr>
          <w:szCs w:val="20"/>
          <w:vertAlign w:val="superscript"/>
        </w:rPr>
        <w:footnoteReference w:id="140"/>
      </w:r>
      <w:r w:rsidRPr="00F60A1E">
        <w:rPr>
          <w:rFonts w:cs="Arial"/>
          <w:szCs w:val="20"/>
        </w:rPr>
        <w:t>.</w:t>
      </w:r>
    </w:p>
    <w:p w:rsidR="00F60A1E" w:rsidRPr="00F60A1E" w:rsidRDefault="00F60A1E" w:rsidP="00F60A1E">
      <w:pPr>
        <w:widowControl w:val="0"/>
        <w:spacing w:before="0" w:after="0" w:line="240" w:lineRule="auto"/>
        <w:ind w:left="851"/>
        <w:jc w:val="both"/>
        <w:rPr>
          <w:rFonts w:cs="Arial"/>
          <w:szCs w:val="20"/>
        </w:rPr>
      </w:pPr>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In the French community, the child aged at least 14, and/or his/her legal representative, may appeal to the youth tribunal against decisions of the youth care services on the implementation of the tribunal’s decision. A child under 14 years of age could only appeal in his/her own right to a youth tribunal if his/her legal representative does not do so</w:t>
      </w:r>
      <w:r w:rsidRPr="00F60A1E">
        <w:rPr>
          <w:szCs w:val="20"/>
          <w:vertAlign w:val="superscript"/>
        </w:rPr>
        <w:footnoteReference w:id="141"/>
      </w:r>
      <w:r w:rsidRPr="00F60A1E">
        <w:rPr>
          <w:rFonts w:cs="Arial"/>
          <w:szCs w:val="20"/>
        </w:rPr>
        <w:t>. The child and his/her legal representative have the right to complain to a competent administrative authority and to the youth counsellor where his/her rights have not been respected by the youth care services</w:t>
      </w:r>
      <w:r w:rsidRPr="00F60A1E">
        <w:rPr>
          <w:szCs w:val="20"/>
          <w:vertAlign w:val="superscript"/>
        </w:rPr>
        <w:footnoteReference w:id="142"/>
      </w:r>
      <w:r w:rsidRPr="00F60A1E">
        <w:rPr>
          <w:rFonts w:cs="Arial"/>
          <w:szCs w:val="20"/>
        </w:rPr>
        <w:t xml:space="preserve">. </w:t>
      </w:r>
    </w:p>
    <w:p w:rsidR="00F60A1E" w:rsidRPr="00F60A1E" w:rsidRDefault="00F60A1E" w:rsidP="00F60A1E">
      <w:pPr>
        <w:widowControl w:val="0"/>
        <w:spacing w:before="0" w:after="0" w:line="240" w:lineRule="auto"/>
        <w:ind w:left="851"/>
        <w:jc w:val="both"/>
        <w:rPr>
          <w:rFonts w:cs="Arial"/>
          <w:szCs w:val="20"/>
        </w:rPr>
      </w:pPr>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In the Flemish community, a child of at least 12 years of age or even younger and considered capable, may appeal to an administrative authority handling complaints on how youth care services implement the youth protection measures</w:t>
      </w:r>
      <w:r w:rsidRPr="00F60A1E">
        <w:rPr>
          <w:szCs w:val="20"/>
          <w:vertAlign w:val="superscript"/>
        </w:rPr>
        <w:footnoteReference w:id="143"/>
      </w:r>
      <w:r w:rsidRPr="00F60A1E">
        <w:rPr>
          <w:rFonts w:cs="Arial"/>
          <w:szCs w:val="20"/>
        </w:rPr>
        <w:t>. In addition, the child and/or his/her legal representative may request the youth tribunal to review the youth protection measures in order to remove, amend or replace them</w:t>
      </w:r>
      <w:r w:rsidRPr="00F60A1E">
        <w:rPr>
          <w:szCs w:val="20"/>
          <w:vertAlign w:val="superscript"/>
        </w:rPr>
        <w:footnoteReference w:id="144"/>
      </w:r>
      <w:r w:rsidRPr="00F60A1E">
        <w:rPr>
          <w:rFonts w:cs="Arial"/>
          <w:szCs w:val="20"/>
        </w:rPr>
        <w:t>.</w:t>
      </w:r>
    </w:p>
    <w:p w:rsidR="00F60A1E" w:rsidRPr="00F60A1E" w:rsidRDefault="00F60A1E" w:rsidP="00F60A1E">
      <w:pPr>
        <w:widowControl w:val="0"/>
        <w:spacing w:before="0" w:after="0" w:line="240" w:lineRule="auto"/>
        <w:ind w:left="851"/>
        <w:jc w:val="both"/>
        <w:rPr>
          <w:rFonts w:cs="Arial"/>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When the child turns 18 years old, the proceedings are not suspended, but the child will gain full capacity and will not be represented by his/her legal representative. The youth protection measures ordered by the youth tribunal will terminate when the child reaches 18 years old. However, for children with mental illness who have committed offences, the measures may be maintained and extended until the children reach the maximum age of 20</w:t>
      </w:r>
      <w:r w:rsidRPr="00F60A1E">
        <w:rPr>
          <w:bCs/>
          <w:szCs w:val="20"/>
          <w:vertAlign w:val="superscript"/>
        </w:rPr>
        <w:footnoteReference w:id="145"/>
      </w:r>
      <w:r w:rsidRPr="00F60A1E">
        <w:rPr>
          <w:bCs/>
          <w:szCs w:val="20"/>
        </w:rPr>
        <w:t>.</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subject of proceedings</w:t>
      </w:r>
    </w:p>
    <w:p w:rsidR="00F60A1E" w:rsidRPr="00F60A1E" w:rsidRDefault="00F60A1E" w:rsidP="00F60A1E">
      <w:pPr>
        <w:keepNext/>
        <w:spacing w:before="0" w:after="0" w:line="240" w:lineRule="auto"/>
        <w:ind w:left="851"/>
        <w:jc w:val="both"/>
        <w:rPr>
          <w:bCs/>
          <w:color w:val="FF0000"/>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No rules were identified on child subjects of placement into care judicial proceedings in Belgium. The child will be a party to the proceedings – including placement into care proceedings before the youth tribunal, although the child’s legal representative must carry out the procedural acts on behalf of the child due to the child’s lack of procedural capacity.</w:t>
      </w:r>
    </w:p>
    <w:p w:rsidR="00F60A1E" w:rsidRPr="00F60A1E" w:rsidRDefault="00F60A1E" w:rsidP="0082630D">
      <w:pPr>
        <w:pStyle w:val="Heading3"/>
      </w:pPr>
      <w:bookmarkStart w:id="88" w:name="_Toc401578563"/>
      <w:bookmarkStart w:id="89" w:name="_Toc404767182"/>
      <w:bookmarkStart w:id="90" w:name="_Toc409792215"/>
      <w:r w:rsidRPr="00F60A1E">
        <w:t>Procedural rules applicable to children involved in administrative sanctions proceedings</w:t>
      </w:r>
      <w:bookmarkEnd w:id="88"/>
      <w:bookmarkEnd w:id="89"/>
      <w:bookmarkEnd w:id="90"/>
      <w:r w:rsidRPr="00F60A1E">
        <w:t xml:space="preserve"> </w:t>
      </w:r>
    </w:p>
    <w:p w:rsidR="00F60A1E" w:rsidRPr="00F60A1E" w:rsidRDefault="00F60A1E" w:rsidP="00F60A1E">
      <w:pPr>
        <w:keepNext/>
        <w:keepLines/>
        <w:spacing w:after="0"/>
        <w:ind w:left="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The child as a plaintiff/defendant</w:t>
      </w:r>
      <w:r w:rsidRPr="00F60A1E">
        <w:rPr>
          <w:rFonts w:ascii="Calibri" w:eastAsiaTheme="majorEastAsia" w:hAnsi="Calibri" w:cstheme="majorBidi"/>
          <w:b/>
          <w:bCs/>
          <w:i/>
          <w:iCs/>
          <w:color w:val="0067AC"/>
          <w:sz w:val="22"/>
        </w:rPr>
        <w:br/>
      </w:r>
    </w:p>
    <w:p w:rsidR="00F60A1E" w:rsidRPr="00F60A1E" w:rsidRDefault="00F60A1E" w:rsidP="00F60A1E">
      <w:pPr>
        <w:keepNext/>
        <w:spacing w:before="0" w:after="0" w:line="240" w:lineRule="auto"/>
        <w:ind w:left="851"/>
        <w:jc w:val="both"/>
        <w:rPr>
          <w:rFonts w:cs="Arial"/>
          <w:szCs w:val="20"/>
        </w:rPr>
      </w:pPr>
      <w:r w:rsidRPr="00F60A1E">
        <w:rPr>
          <w:rFonts w:cs="Arial"/>
          <w:szCs w:val="20"/>
        </w:rPr>
        <w:t xml:space="preserve">As explained in </w:t>
      </w:r>
      <w:hyperlink w:anchor="_Overview_of_Member" w:history="1">
        <w:r w:rsidRPr="00F60A1E">
          <w:rPr>
            <w:rFonts w:cs="Arial"/>
            <w:color w:val="0000FF" w:themeColor="hyperlink"/>
            <w:szCs w:val="20"/>
            <w:u w:val="single"/>
          </w:rPr>
          <w:t>Section 1</w:t>
        </w:r>
      </w:hyperlink>
      <w:r w:rsidRPr="00F60A1E">
        <w:rPr>
          <w:rFonts w:cs="Arial"/>
          <w:szCs w:val="20"/>
        </w:rPr>
        <w:t>, administrative authorities and municipalities may impose administrative sanctions against children who are at least 14 years of age</w:t>
      </w:r>
      <w:r w:rsidRPr="00F60A1E">
        <w:rPr>
          <w:szCs w:val="20"/>
          <w:vertAlign w:val="superscript"/>
        </w:rPr>
        <w:footnoteReference w:id="146"/>
      </w:r>
      <w:r w:rsidRPr="00F60A1E">
        <w:rPr>
          <w:rFonts w:cs="Arial"/>
          <w:szCs w:val="20"/>
        </w:rPr>
        <w:t>. During administrative and judicial procedures, an appointed legal counsel assists and represents the child. Whilst the general rules on legal and procedural capacity to act, described above, apply to those proceedings, the legislation allows the child to appeal him/herself to the youth tribunal. The child, his/her legal representative, or legal counsel, may appeal against those administrative sanction decisions before the youth tribunal – free of charge</w:t>
      </w:r>
      <w:r w:rsidRPr="00F60A1E">
        <w:rPr>
          <w:rFonts w:cs="Arial"/>
          <w:szCs w:val="20"/>
          <w:vertAlign w:val="superscript"/>
        </w:rPr>
        <w:footnoteReference w:id="147"/>
      </w:r>
      <w:r w:rsidRPr="00F60A1E">
        <w:rPr>
          <w:rFonts w:cs="Arial"/>
          <w:szCs w:val="20"/>
        </w:rPr>
        <w:t>. The youth tribunal remains competent of the appeal even if the child has turned 18 years old during the proceedings. As opposed to other judicial proceedings where the child’s legal representative will be the party to the proceedings, the child may be a party to the proceedings before a youth tribunal. The child party to the proceedings still requires the intervention of his/her legal representative since the child lacks procedural capacity to act him/herself.</w:t>
      </w:r>
    </w:p>
    <w:p w:rsidR="00F60A1E" w:rsidRPr="00F60A1E" w:rsidRDefault="00F60A1E" w:rsidP="00F60A1E">
      <w:pPr>
        <w:widowControl w:val="0"/>
        <w:spacing w:before="0" w:after="0" w:line="240" w:lineRule="auto"/>
        <w:ind w:left="851"/>
        <w:jc w:val="both"/>
        <w:rPr>
          <w:rFonts w:cs="Arial"/>
          <w:szCs w:val="20"/>
        </w:rPr>
      </w:pPr>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When the administrative sanction consists of the payment of a fine, the child’s legal representative is liable to pay the fine</w:t>
      </w:r>
      <w:r w:rsidRPr="00F60A1E">
        <w:rPr>
          <w:szCs w:val="20"/>
          <w:vertAlign w:val="superscript"/>
        </w:rPr>
        <w:footnoteReference w:id="148"/>
      </w:r>
      <w:r w:rsidRPr="00F60A1E">
        <w:rPr>
          <w:rFonts w:cs="Arial"/>
          <w:szCs w:val="20"/>
        </w:rPr>
        <w:t>.</w:t>
      </w:r>
    </w:p>
    <w:p w:rsidR="00F60A1E" w:rsidRPr="00F60A1E" w:rsidRDefault="00F60A1E" w:rsidP="00F60A1E">
      <w:pPr>
        <w:keepNext/>
        <w:keepLines/>
        <w:spacing w:after="0"/>
        <w:ind w:left="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lastRenderedPageBreak/>
        <w:t xml:space="preserve">The child as a witness </w:t>
      </w:r>
      <w:r w:rsidRPr="00F60A1E">
        <w:rPr>
          <w:rFonts w:ascii="Calibri" w:eastAsiaTheme="majorEastAsia" w:hAnsi="Calibri" w:cstheme="majorBidi"/>
          <w:b/>
          <w:bCs/>
          <w:i/>
          <w:iCs/>
          <w:color w:val="0067AC"/>
          <w:sz w:val="22"/>
        </w:rPr>
        <w:br/>
      </w:r>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The same general rules described above apply to child witnesses in administrative sanctions proceedings.</w:t>
      </w:r>
    </w:p>
    <w:p w:rsidR="00F60A1E" w:rsidRPr="00F60A1E" w:rsidRDefault="00F60A1E" w:rsidP="00F60A1E">
      <w:pPr>
        <w:keepNext/>
        <w:keepLines/>
        <w:spacing w:after="0"/>
        <w:ind w:left="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The child as a subject of proceedings</w:t>
      </w:r>
      <w:r w:rsidRPr="00F60A1E">
        <w:rPr>
          <w:rFonts w:ascii="Calibri" w:eastAsiaTheme="majorEastAsia" w:hAnsi="Calibri" w:cstheme="majorBidi"/>
          <w:b/>
          <w:bCs/>
          <w:i/>
          <w:iCs/>
          <w:color w:val="0067AC"/>
          <w:sz w:val="22"/>
        </w:rPr>
        <w:br/>
      </w:r>
    </w:p>
    <w:p w:rsidR="00F60A1E" w:rsidRPr="00F60A1E" w:rsidRDefault="00F60A1E" w:rsidP="00F60A1E">
      <w:pPr>
        <w:widowControl w:val="0"/>
        <w:spacing w:before="0" w:after="0" w:line="240" w:lineRule="auto"/>
        <w:ind w:left="851"/>
        <w:jc w:val="both"/>
        <w:rPr>
          <w:bCs/>
          <w:szCs w:val="20"/>
        </w:rPr>
      </w:pPr>
      <w:r w:rsidRPr="00F60A1E">
        <w:rPr>
          <w:bCs/>
          <w:szCs w:val="20"/>
        </w:rPr>
        <w:t>No rules were identified on child subjects of administrative sanction judicial proceedings. A child in such proceedings will be a plaintiff or a defendant. The child is a party to the proceedings before a youth tribunal, although the child’s legal representative must carry out the procedural acts on behalf of the child due to the child’s lack of procedural capacity.</w:t>
      </w:r>
    </w:p>
    <w:p w:rsidR="00F60A1E" w:rsidRPr="00F60A1E" w:rsidRDefault="00F60A1E" w:rsidP="0082630D">
      <w:pPr>
        <w:pStyle w:val="Heading2"/>
      </w:pPr>
      <w:bookmarkStart w:id="91" w:name="_Toc371624427"/>
      <w:bookmarkStart w:id="92" w:name="_Toc401070019"/>
      <w:bookmarkStart w:id="93" w:name="_Toc401219659"/>
      <w:bookmarkStart w:id="94" w:name="_Toc401221487"/>
      <w:bookmarkStart w:id="95" w:name="_Toc401221564"/>
      <w:bookmarkStart w:id="96" w:name="_Toc401232318"/>
      <w:bookmarkStart w:id="97" w:name="_Toc404767183"/>
      <w:bookmarkStart w:id="98" w:name="_Toc338234111"/>
      <w:bookmarkStart w:id="99" w:name="_Toc409792216"/>
      <w:r w:rsidRPr="00F60A1E">
        <w:t>Provision of information</w:t>
      </w:r>
      <w:bookmarkEnd w:id="91"/>
      <w:bookmarkEnd w:id="92"/>
      <w:bookmarkEnd w:id="93"/>
      <w:bookmarkEnd w:id="94"/>
      <w:bookmarkEnd w:id="95"/>
      <w:bookmarkEnd w:id="96"/>
      <w:bookmarkEnd w:id="97"/>
      <w:bookmarkEnd w:id="99"/>
      <w:r w:rsidRPr="00F60A1E">
        <w:t xml:space="preserve"> </w:t>
      </w:r>
      <w:bookmarkEnd w:id="98"/>
    </w:p>
    <w:p w:rsidR="00F60A1E" w:rsidRPr="00F60A1E" w:rsidRDefault="00F60A1E" w:rsidP="0082630D">
      <w:pPr>
        <w:pStyle w:val="Heading3"/>
      </w:pPr>
      <w:bookmarkStart w:id="100" w:name="_Toc401578565"/>
      <w:bookmarkStart w:id="101" w:name="_Toc404767184"/>
      <w:bookmarkStart w:id="102" w:name="_Toc409792217"/>
      <w:r w:rsidRPr="00F60A1E">
        <w:t>General procedural rules applicable to children involved in administrative judicial proceedings including proceedings reviewing administrative authorities’ decisions in the sectors of asylum, migration and education</w:t>
      </w:r>
      <w:bookmarkEnd w:id="100"/>
      <w:bookmarkEnd w:id="101"/>
      <w:bookmarkEnd w:id="102"/>
      <w:r w:rsidRPr="00F60A1E">
        <w:t xml:space="preserve"> </w:t>
      </w:r>
    </w:p>
    <w:p w:rsidR="00F60A1E" w:rsidRPr="00F60A1E" w:rsidRDefault="00F60A1E" w:rsidP="00F60A1E">
      <w:pPr>
        <w:widowControl w:val="0"/>
        <w:spacing w:before="0" w:after="0" w:line="240" w:lineRule="auto"/>
        <w:ind w:left="851"/>
        <w:jc w:val="both"/>
        <w:rPr>
          <w:rFonts w:cs="Arial"/>
          <w:bCs/>
          <w:szCs w:val="20"/>
        </w:rPr>
      </w:pPr>
      <w:r w:rsidRPr="00F60A1E">
        <w:rPr>
          <w:rFonts w:cs="Arial"/>
          <w:bCs/>
          <w:szCs w:val="20"/>
        </w:rPr>
        <w:t>The general rules described below apply to administrative judicial proceedings in the sectors listed above. However, certain specific rules exist in several sectors which are described below in a separate subheading.</w:t>
      </w:r>
      <w:r w:rsidRPr="00F60A1E">
        <w:rPr>
          <w:rFonts w:cs="Arial"/>
          <w:szCs w:val="20"/>
        </w:rPr>
        <w:t xml:space="preserve"> Civil procedural rules apply to healthcare proceedings, proceedings concerning children involved in administrative sanctions and proceedings concerning placement into care (including children below the MACR who committed offences, see </w:t>
      </w:r>
      <w:hyperlink w:anchor="_Overview_of_Member_2" w:history="1">
        <w:r w:rsidRPr="00F60A1E">
          <w:rPr>
            <w:rFonts w:cs="Arial"/>
            <w:color w:val="0000FF" w:themeColor="hyperlink"/>
            <w:szCs w:val="20"/>
            <w:u w:val="single"/>
          </w:rPr>
          <w:t>Section 1</w:t>
        </w:r>
      </w:hyperlink>
      <w:r w:rsidRPr="00F60A1E">
        <w:rPr>
          <w:rFonts w:cs="Arial"/>
          <w:szCs w:val="20"/>
        </w:rPr>
        <w:t xml:space="preserve">). </w:t>
      </w:r>
    </w:p>
    <w:p w:rsidR="00F60A1E" w:rsidRPr="00F60A1E" w:rsidRDefault="00F60A1E" w:rsidP="00F60A1E">
      <w:pPr>
        <w:widowControl w:val="0"/>
        <w:spacing w:before="0" w:after="0" w:line="240" w:lineRule="auto"/>
        <w:ind w:left="851"/>
        <w:jc w:val="both"/>
        <w:rPr>
          <w:rFonts w:cs="Arial"/>
          <w:szCs w:val="20"/>
        </w:rPr>
      </w:pPr>
    </w:p>
    <w:p w:rsidR="00F60A1E" w:rsidRPr="00F60A1E" w:rsidRDefault="00F60A1E" w:rsidP="00F60A1E">
      <w:pPr>
        <w:widowControl w:val="0"/>
        <w:spacing w:before="0" w:after="0" w:line="240" w:lineRule="auto"/>
        <w:ind w:left="851"/>
        <w:jc w:val="both"/>
      </w:pPr>
      <w:r w:rsidRPr="00F60A1E">
        <w:t xml:space="preserve">There are no specific legal rules on the provision of information to children in administrative judicial proceedings. Hence, the general rules of proceedings before the Council of State and the </w:t>
      </w:r>
      <w:hyperlink r:id="rId81" w:history="1">
        <w:r w:rsidRPr="00F60A1E">
          <w:rPr>
            <w:rFonts w:cs="Arial"/>
            <w:color w:val="0000FF" w:themeColor="hyperlink"/>
            <w:u w:val="single"/>
          </w:rPr>
          <w:t>Judicial Code</w:t>
        </w:r>
      </w:hyperlink>
      <w:r w:rsidRPr="00F60A1E">
        <w:t xml:space="preserve"> apply.</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highlight w:val="yellow"/>
        </w:rPr>
      </w:pPr>
      <w:r w:rsidRPr="00F60A1E">
        <w:rPr>
          <w:bCs/>
          <w:szCs w:val="20"/>
        </w:rPr>
        <w:t>As explained in the Study to collect data on children’s involvement in civil judicial proceedings, children and/or their legal representatives can obtain information on judicial proceedings and receive assistance from the judicial assistants of the Houses of Justices located in each judicial district, or from their legal counsels. Judicial assistants can also refer children and their legal representatives to specialised services and will inform children and their legal representatives on any support services available to them. In addition, judicial clerks of the Council’s Registry have an obligation to inform any citizen, adult or child, on judicial proceedings and answer their questions on rights, obligations and proceedings. A judicial clerk must provide information in a manner that is as clear as possible so that persons who are not familiar with judicial proceedings can understand it</w:t>
      </w:r>
      <w:r w:rsidRPr="00F60A1E">
        <w:rPr>
          <w:bCs/>
          <w:szCs w:val="20"/>
          <w:vertAlign w:val="superscript"/>
        </w:rPr>
        <w:footnoteReference w:id="149"/>
      </w:r>
      <w:r w:rsidRPr="00F60A1E">
        <w:rPr>
          <w:bCs/>
          <w:szCs w:val="20"/>
        </w:rPr>
        <w:t>. Judicial clerks of the Registry cannot, however, provide legal consultations</w:t>
      </w:r>
      <w:r w:rsidRPr="00F60A1E">
        <w:rPr>
          <w:bCs/>
          <w:szCs w:val="20"/>
          <w:vertAlign w:val="superscript"/>
        </w:rPr>
        <w:footnoteReference w:id="150"/>
      </w:r>
      <w:r w:rsidRPr="00F60A1E">
        <w:rPr>
          <w:bCs/>
          <w:szCs w:val="20"/>
        </w:rPr>
        <w:t>. There are no age limits or conditions to access these services.</w:t>
      </w:r>
    </w:p>
    <w:p w:rsidR="00F60A1E" w:rsidRPr="00F60A1E" w:rsidRDefault="00F60A1E" w:rsidP="00F60A1E">
      <w:pPr>
        <w:spacing w:before="0" w:after="0" w:line="240" w:lineRule="auto"/>
        <w:ind w:left="851"/>
        <w:jc w:val="both"/>
        <w:rPr>
          <w:bCs/>
          <w:szCs w:val="20"/>
        </w:rPr>
      </w:pPr>
    </w:p>
    <w:p w:rsidR="00F60A1E" w:rsidRPr="00F60A1E" w:rsidRDefault="00F60A1E" w:rsidP="00F60A1E">
      <w:pPr>
        <w:spacing w:before="0" w:after="0" w:line="240" w:lineRule="auto"/>
        <w:ind w:left="851"/>
        <w:jc w:val="both"/>
        <w:rPr>
          <w:bCs/>
          <w:szCs w:val="20"/>
        </w:rPr>
      </w:pPr>
      <w:r w:rsidRPr="00F60A1E">
        <w:rPr>
          <w:bCs/>
          <w:szCs w:val="20"/>
        </w:rPr>
        <w:t>In Flanders, the Children’s Rights Shop (</w:t>
      </w:r>
      <w:hyperlink r:id="rId82" w:history="1">
        <w:r w:rsidRPr="00F60A1E">
          <w:rPr>
            <w:bCs/>
            <w:i/>
            <w:color w:val="0000FF" w:themeColor="hyperlink"/>
            <w:szCs w:val="20"/>
            <w:u w:val="single"/>
          </w:rPr>
          <w:t>kinderrechtswinkel</w:t>
        </w:r>
      </w:hyperlink>
      <w:r w:rsidRPr="00F60A1E">
        <w:rPr>
          <w:bCs/>
          <w:szCs w:val="20"/>
        </w:rPr>
        <w:t>), and in the French speaking community, t</w:t>
      </w:r>
      <w:r w:rsidRPr="00F60A1E">
        <w:rPr>
          <w:szCs w:val="20"/>
        </w:rPr>
        <w:t>he service of the youth rights (</w:t>
      </w:r>
      <w:hyperlink r:id="rId83" w:history="1">
        <w:r w:rsidRPr="00F60A1E">
          <w:rPr>
            <w:rFonts w:cs="Arial"/>
            <w:i/>
            <w:color w:val="0000FF" w:themeColor="hyperlink"/>
            <w:szCs w:val="20"/>
            <w:u w:val="single"/>
          </w:rPr>
          <w:t>service du droit des jeunes</w:t>
        </w:r>
      </w:hyperlink>
      <w:r w:rsidRPr="00F60A1E">
        <w:rPr>
          <w:szCs w:val="20"/>
        </w:rPr>
        <w:t>)</w:t>
      </w:r>
      <w:r w:rsidRPr="00F60A1E">
        <w:rPr>
          <w:bCs/>
          <w:szCs w:val="20"/>
        </w:rPr>
        <w:t xml:space="preserve"> provide legal assistance to the child and his/her family on his/her rights. There are no age limits or conditions to access these services.</w:t>
      </w:r>
    </w:p>
    <w:p w:rsidR="00F60A1E" w:rsidRPr="00F60A1E" w:rsidRDefault="00F60A1E" w:rsidP="00F60A1E">
      <w:pPr>
        <w:spacing w:before="0" w:after="0" w:line="240" w:lineRule="auto"/>
        <w:ind w:left="851"/>
        <w:jc w:val="both"/>
        <w:rPr>
          <w:bCs/>
          <w:szCs w:val="20"/>
        </w:rPr>
      </w:pPr>
    </w:p>
    <w:p w:rsidR="00F60A1E" w:rsidRPr="00F60A1E" w:rsidRDefault="00F60A1E" w:rsidP="00F60A1E">
      <w:pPr>
        <w:spacing w:before="0" w:after="0" w:line="240" w:lineRule="auto"/>
        <w:ind w:left="851"/>
        <w:jc w:val="both"/>
        <w:rPr>
          <w:szCs w:val="20"/>
        </w:rPr>
      </w:pPr>
      <w:r w:rsidRPr="00F60A1E">
        <w:rPr>
          <w:szCs w:val="20"/>
        </w:rPr>
        <w:t>For initial free-of-charge legal advice and information on judicial proceedings, children and their legal representatives can turn to primary legal aid – an initial legal advice or referral to a specialised organisation. It is offered by the House of Justice located in each judicial district and the Commission of Legal Aid where lawyers hold weekly legal aid hours.</w:t>
      </w:r>
    </w:p>
    <w:p w:rsidR="00F60A1E" w:rsidRPr="00F60A1E" w:rsidRDefault="00F60A1E" w:rsidP="00F60A1E">
      <w:pPr>
        <w:spacing w:before="0" w:after="0" w:line="240" w:lineRule="auto"/>
        <w:ind w:left="851"/>
        <w:jc w:val="both"/>
        <w:rPr>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 xml:space="preserve">Information on proceedings is also available on the internet at the </w:t>
      </w:r>
      <w:hyperlink r:id="rId84" w:history="1">
        <w:r w:rsidRPr="00F60A1E">
          <w:rPr>
            <w:rFonts w:cs="Arial"/>
            <w:bCs/>
            <w:color w:val="0000FF" w:themeColor="hyperlink"/>
            <w:szCs w:val="20"/>
            <w:u w:val="single"/>
          </w:rPr>
          <w:t>Ministry of Justice website</w:t>
        </w:r>
      </w:hyperlink>
      <w:r w:rsidRPr="00F60A1E">
        <w:rPr>
          <w:bCs/>
          <w:szCs w:val="20"/>
        </w:rPr>
        <w:t xml:space="preserve"> and official </w:t>
      </w:r>
      <w:hyperlink r:id="rId85" w:history="1">
        <w:r w:rsidRPr="00F60A1E">
          <w:rPr>
            <w:rFonts w:cs="Arial"/>
            <w:bCs/>
            <w:color w:val="0000FF" w:themeColor="hyperlink"/>
            <w:szCs w:val="20"/>
            <w:u w:val="single"/>
          </w:rPr>
          <w:t>Portal Belgium.be website</w:t>
        </w:r>
      </w:hyperlink>
      <w:r w:rsidRPr="00F60A1E">
        <w:rPr>
          <w:bCs/>
          <w:szCs w:val="20"/>
        </w:rPr>
        <w:t>. Specialised services and organisations</w:t>
      </w:r>
      <w:r w:rsidRPr="00F60A1E">
        <w:rPr>
          <w:bCs/>
          <w:szCs w:val="20"/>
          <w:vertAlign w:val="superscript"/>
        </w:rPr>
        <w:footnoteReference w:id="151"/>
      </w:r>
      <w:r w:rsidRPr="00F60A1E">
        <w:rPr>
          <w:bCs/>
          <w:szCs w:val="20"/>
        </w:rPr>
        <w:t xml:space="preserve"> make </w:t>
      </w:r>
      <w:r w:rsidRPr="00F60A1E">
        <w:rPr>
          <w:bCs/>
          <w:szCs w:val="20"/>
        </w:rPr>
        <w:lastRenderedPageBreak/>
        <w:t>available child-friendly information on their websites or use child-friendly leaflets when in contact with children. Some of the materials target different age groups, i.e. young children and teenagers. However, there is no generalised practice or requirement in place obliging the judicial authorities or the support services to make information on proceedings and rights available in a child-friendly format</w:t>
      </w:r>
      <w:r w:rsidRPr="00F60A1E">
        <w:rPr>
          <w:bCs/>
          <w:szCs w:val="20"/>
          <w:vertAlign w:val="superscript"/>
        </w:rPr>
        <w:footnoteReference w:id="152"/>
      </w:r>
      <w:r w:rsidRPr="00F60A1E">
        <w:rPr>
          <w:bCs/>
          <w:szCs w:val="20"/>
        </w:rPr>
        <w:t xml:space="preserve">. </w:t>
      </w:r>
    </w:p>
    <w:p w:rsidR="00F60A1E" w:rsidRPr="00F60A1E" w:rsidRDefault="00F60A1E" w:rsidP="00F60A1E">
      <w:pPr>
        <w:widowControl w:val="0"/>
        <w:spacing w:before="0" w:after="0" w:line="240" w:lineRule="auto"/>
        <w:ind w:left="851"/>
        <w:jc w:val="both"/>
        <w:rPr>
          <w:rFonts w:cs="Arial"/>
          <w:szCs w:val="20"/>
        </w:rPr>
      </w:pPr>
    </w:p>
    <w:p w:rsidR="00F60A1E" w:rsidRPr="00F60A1E" w:rsidRDefault="00F60A1E" w:rsidP="00F60A1E">
      <w:pPr>
        <w:widowControl w:val="0"/>
        <w:spacing w:before="0" w:after="0" w:line="240" w:lineRule="auto"/>
        <w:ind w:left="851"/>
        <w:jc w:val="both"/>
        <w:rPr>
          <w:bCs/>
          <w:szCs w:val="20"/>
        </w:rPr>
      </w:pPr>
      <w:r w:rsidRPr="00F60A1E">
        <w:rPr>
          <w:rFonts w:cs="Arial"/>
          <w:szCs w:val="20"/>
        </w:rPr>
        <w:t>No guidance has been identified for court authorities, law-enforcement agents, and defence counsels to ensure that children are informed of the availability of support services and of other organisations that can provide support measures, and on how to effectively access them. No legal provision has been identified requiring the social services to inform children coming into contact with them on their rights – with the exception of the youth care services as described below.</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There are no specific arrangements available for children resident in different Member States to receive information to protect their best interests</w:t>
      </w:r>
      <w:r w:rsidRPr="00F60A1E">
        <w:rPr>
          <w:bCs/>
          <w:szCs w:val="20"/>
          <w:vertAlign w:val="superscript"/>
        </w:rPr>
        <w:footnoteReference w:id="153"/>
      </w:r>
      <w:r w:rsidRPr="00F60A1E">
        <w:rPr>
          <w:bCs/>
          <w:szCs w:val="20"/>
        </w:rPr>
        <w:t>.</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plaintiff/defendant</w:t>
      </w:r>
    </w:p>
    <w:p w:rsidR="00F60A1E" w:rsidRPr="00F60A1E" w:rsidRDefault="00F60A1E" w:rsidP="00F60A1E">
      <w:pPr>
        <w:widowControl w:val="0"/>
        <w:spacing w:before="0" w:after="0" w:line="240" w:lineRule="auto"/>
        <w:ind w:left="229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Currently applicable legislation does not provide for the right of children to receive information in their own right, including information on the consequences of participating in judicial proceedings. However, nothing prevents the child and his/her legal representative requesting information from the above mentioned authorities or services. It is often understood that the legal counsels will be the ones informing children and their legal representatives about their rights and obligations.</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 xml:space="preserve">Besides the general rules described above, no rules have been identified on the provision of information to children or adults – including parents, on their rights and obligations in administrative judicial proceedings before the Council of State. As explained in the Study to collect data on children’s involvement in civil judicial proceedings, under currently applicable legislation, the child is not entitled to request information in his/her own right. In practice, children are informed about their rights and obligations via their parents/guardians who receive information from their legal counsels. With respect to this point, the child’s parents are not under the legal obligation of informing their child. Moreover, other actors, such as the courts, are not under the legal obligation of providing information on all aspects of judicial proceedings to children and/or their legal representatives. Hence, the provision of information depends on the diligence of the parents. This implies that information served to the child’s parent serves as an alternative to providing information to the child him/herself. The manner of communicating information to children is not specified in legislation. Thus it is up to the child’s legal representative or legal counsel to decide on the manner of communicating to the child the information received. </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 xml:space="preserve">No provision has been identified on ensuring that information is effectively delivered to the child and that is done in a child-friendly manner. No code of conduct has been identified for professionals to ensure that children effectively receive information. In Belgium, the </w:t>
      </w:r>
      <w:hyperlink r:id="rId86" w:history="1">
        <w:r w:rsidRPr="00F60A1E">
          <w:rPr>
            <w:bCs/>
            <w:color w:val="0000FF" w:themeColor="hyperlink"/>
            <w:szCs w:val="20"/>
            <w:u w:val="single"/>
          </w:rPr>
          <w:t>Council of Europe Guidelines on Child-Friendly Justice</w:t>
        </w:r>
      </w:hyperlink>
      <w:r w:rsidRPr="00F60A1E">
        <w:rPr>
          <w:bCs/>
          <w:szCs w:val="20"/>
        </w:rPr>
        <w:t xml:space="preserve"> apply and should guide those professionals.</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Public administrative authorities have an obligation to include in their decisions notified to individuals, information on the remedies, competent appeal authorities and courts, time limits and procedures to bring appeals</w:t>
      </w:r>
      <w:r w:rsidRPr="00F60A1E">
        <w:rPr>
          <w:bCs/>
          <w:szCs w:val="20"/>
          <w:vertAlign w:val="superscript"/>
        </w:rPr>
        <w:footnoteReference w:id="154"/>
      </w:r>
      <w:r w:rsidRPr="00F60A1E">
        <w:rPr>
          <w:bCs/>
          <w:szCs w:val="20"/>
        </w:rPr>
        <w:t>.</w:t>
      </w:r>
    </w:p>
    <w:p w:rsidR="00F60A1E" w:rsidRPr="00F60A1E" w:rsidRDefault="00F60A1E" w:rsidP="00F60A1E">
      <w:pPr>
        <w:widowControl w:val="0"/>
        <w:spacing w:before="0" w:after="0" w:line="240" w:lineRule="auto"/>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 xml:space="preserve">The time limits for appeals before the Council of State start running only if the administrative authorities’ decisions mention information on procedures, and time limits to appeal the </w:t>
      </w:r>
      <w:r w:rsidRPr="00F60A1E">
        <w:rPr>
          <w:bCs/>
          <w:szCs w:val="20"/>
        </w:rPr>
        <w:lastRenderedPageBreak/>
        <w:t>decisions, before the Council of State</w:t>
      </w:r>
      <w:r w:rsidRPr="00F60A1E">
        <w:rPr>
          <w:bCs/>
          <w:szCs w:val="20"/>
          <w:vertAlign w:val="superscript"/>
        </w:rPr>
        <w:footnoteReference w:id="155"/>
      </w:r>
      <w:r w:rsidRPr="00F60A1E">
        <w:rPr>
          <w:bCs/>
          <w:szCs w:val="20"/>
        </w:rPr>
        <w:t>.</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Once a party appeals to the Council of State, the Clerk’s Office prepares a case file including a copy of the procedure document and the file of the administrative procedure. Parties to the proceedings before the Council of State and their legal counsels have access to the case file.</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The delivery of an original procedural document, including the judicial decision or subpoenas, or the copies thereof, cannot be addressed directly to a child who is under 16 years old, but only to his/her parents</w:t>
      </w:r>
      <w:r w:rsidRPr="00F60A1E">
        <w:rPr>
          <w:bCs/>
          <w:szCs w:val="20"/>
          <w:vertAlign w:val="superscript"/>
        </w:rPr>
        <w:footnoteReference w:id="156"/>
      </w:r>
      <w:r w:rsidRPr="00F60A1E">
        <w:rPr>
          <w:bCs/>
          <w:szCs w:val="20"/>
        </w:rPr>
        <w:t>. In most cases, the documents will be delivered to the child’s legal representative who is party to the judicial proceedings on behalf of the child.</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At the end of the proceedings, the judgement of the Council of State contains the following information in addition to the reasoning of the decision and conclusions:</w:t>
      </w:r>
    </w:p>
    <w:p w:rsidR="00F60A1E" w:rsidRPr="00F60A1E" w:rsidRDefault="00F60A1E" w:rsidP="00F60A1E">
      <w:pPr>
        <w:widowControl w:val="0"/>
        <w:spacing w:before="0" w:after="0" w:line="240" w:lineRule="auto"/>
        <w:jc w:val="both"/>
        <w:rPr>
          <w:bCs/>
          <w:szCs w:val="20"/>
        </w:rPr>
      </w:pPr>
    </w:p>
    <w:p w:rsidR="00F60A1E" w:rsidRPr="00F60A1E" w:rsidRDefault="00F60A1E" w:rsidP="00F60A1E">
      <w:pPr>
        <w:numPr>
          <w:ilvl w:val="0"/>
          <w:numId w:val="13"/>
        </w:numPr>
        <w:spacing w:before="0" w:after="0"/>
      </w:pPr>
      <w:r w:rsidRPr="00F60A1E">
        <w:t>the name and address of the parties and of their legal counsels;</w:t>
      </w:r>
    </w:p>
    <w:p w:rsidR="00F60A1E" w:rsidRPr="00F60A1E" w:rsidRDefault="00F60A1E" w:rsidP="00F60A1E">
      <w:pPr>
        <w:numPr>
          <w:ilvl w:val="0"/>
          <w:numId w:val="13"/>
        </w:numPr>
        <w:spacing w:before="0" w:after="0"/>
      </w:pPr>
      <w:r w:rsidRPr="00F60A1E">
        <w:t>the legal provisions regarding the use of languages;</w:t>
      </w:r>
    </w:p>
    <w:p w:rsidR="00F60A1E" w:rsidRPr="00F60A1E" w:rsidRDefault="00F60A1E" w:rsidP="00F60A1E">
      <w:pPr>
        <w:numPr>
          <w:ilvl w:val="0"/>
          <w:numId w:val="13"/>
        </w:numPr>
        <w:spacing w:before="0" w:after="0"/>
      </w:pPr>
      <w:r w:rsidRPr="00F60A1E">
        <w:t>the convocation of parties and their legal counsels and their presence in the hearing;</w:t>
      </w:r>
    </w:p>
    <w:p w:rsidR="00F60A1E" w:rsidRPr="00F60A1E" w:rsidRDefault="00F60A1E" w:rsidP="00F60A1E">
      <w:pPr>
        <w:numPr>
          <w:ilvl w:val="0"/>
          <w:numId w:val="13"/>
        </w:numPr>
        <w:spacing w:before="0" w:after="0"/>
      </w:pPr>
      <w:r w:rsidRPr="00F60A1E">
        <w:t>a reference to the opinion of the auditor;</w:t>
      </w:r>
    </w:p>
    <w:p w:rsidR="00F60A1E" w:rsidRPr="00F60A1E" w:rsidRDefault="00F60A1E" w:rsidP="00F60A1E">
      <w:pPr>
        <w:numPr>
          <w:ilvl w:val="0"/>
          <w:numId w:val="13"/>
        </w:numPr>
        <w:spacing w:before="0" w:after="0"/>
      </w:pPr>
      <w:r w:rsidRPr="00F60A1E">
        <w:t>the reference and date of the public hearing pronouncing the judgement, as well as the names of the councilors, i.e. the judges of the Council of State .</w:t>
      </w:r>
      <w:r w:rsidRPr="00F60A1E">
        <w:rPr>
          <w:vertAlign w:val="superscript"/>
        </w:rPr>
        <w:footnoteReference w:id="157"/>
      </w:r>
    </w:p>
    <w:p w:rsidR="00F60A1E" w:rsidRPr="00F60A1E" w:rsidRDefault="00F60A1E" w:rsidP="00F60A1E">
      <w:pPr>
        <w:widowControl w:val="0"/>
        <w:spacing w:before="0" w:after="0" w:line="240" w:lineRule="auto"/>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The clerk must send a copy of the judgement to each party. The Council of State decisions are also published</w:t>
      </w:r>
      <w:r w:rsidRPr="00F60A1E">
        <w:rPr>
          <w:bCs/>
          <w:szCs w:val="20"/>
          <w:vertAlign w:val="superscript"/>
        </w:rPr>
        <w:footnoteReference w:id="158"/>
      </w:r>
      <w:r w:rsidRPr="00F60A1E">
        <w:rPr>
          <w:bCs/>
          <w:szCs w:val="20"/>
        </w:rPr>
        <w:t>. As referred to above, court decisions are typically not served to the child directly.</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 xml:space="preserve">Appeal of the Council of State’s decisions is available to the Court of Cassation – see </w:t>
      </w:r>
      <w:hyperlink w:anchor="_2.8_Remedies_or" w:history="1">
        <w:r w:rsidRPr="00F60A1E">
          <w:rPr>
            <w:bCs/>
            <w:color w:val="0000FF" w:themeColor="hyperlink"/>
            <w:szCs w:val="20"/>
            <w:u w:val="single"/>
          </w:rPr>
          <w:t>Section 2.8</w:t>
        </w:r>
      </w:hyperlink>
      <w:r w:rsidRPr="00F60A1E">
        <w:rPr>
          <w:bCs/>
          <w:szCs w:val="20"/>
        </w:rPr>
        <w:t>. It is rare that parties appeal Council of State decisions</w:t>
      </w:r>
      <w:r w:rsidRPr="00F60A1E">
        <w:rPr>
          <w:bCs/>
          <w:szCs w:val="20"/>
          <w:vertAlign w:val="superscript"/>
        </w:rPr>
        <w:footnoteReference w:id="159"/>
      </w:r>
      <w:r w:rsidRPr="00F60A1E">
        <w:rPr>
          <w:bCs/>
          <w:szCs w:val="20"/>
        </w:rPr>
        <w:t>.</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 xml:space="preserve">No specific legal provision has been identified requiring Council of State decisions to include information on the remedies available. However, the general rules of the </w:t>
      </w:r>
      <w:hyperlink r:id="rId87" w:history="1">
        <w:r w:rsidRPr="00F60A1E">
          <w:rPr>
            <w:rFonts w:cs="Arial"/>
            <w:color w:val="0000FF" w:themeColor="hyperlink"/>
            <w:szCs w:val="20"/>
            <w:u w:val="single"/>
          </w:rPr>
          <w:t>Judicial Code</w:t>
        </w:r>
      </w:hyperlink>
      <w:r w:rsidRPr="00F60A1E">
        <w:rPr>
          <w:rFonts w:cs="Arial"/>
          <w:szCs w:val="20"/>
        </w:rPr>
        <w:t xml:space="preserve"> </w:t>
      </w:r>
      <w:r w:rsidRPr="00F60A1E">
        <w:rPr>
          <w:bCs/>
          <w:szCs w:val="20"/>
        </w:rPr>
        <w:t>require that, to be valid, the decision must mention the remedies available, the timeframe within which the appeal should be introduced, and the name and address of the court having jurisdiction</w:t>
      </w:r>
      <w:r w:rsidRPr="00F60A1E">
        <w:rPr>
          <w:bCs/>
          <w:szCs w:val="20"/>
          <w:vertAlign w:val="superscript"/>
        </w:rPr>
        <w:footnoteReference w:id="160"/>
      </w:r>
      <w:r w:rsidRPr="00F60A1E">
        <w:rPr>
          <w:bCs/>
          <w:szCs w:val="20"/>
        </w:rPr>
        <w:t>.</w:t>
      </w:r>
    </w:p>
    <w:p w:rsidR="00F60A1E" w:rsidRPr="00F60A1E" w:rsidRDefault="00F60A1E" w:rsidP="00F60A1E">
      <w:pPr>
        <w:keepNext/>
        <w:keepLines/>
        <w:spacing w:after="0"/>
        <w:ind w:left="1702" w:hanging="851"/>
        <w:outlineLvl w:val="3"/>
        <w:rPr>
          <w:rFonts w:ascii="Calibri" w:eastAsiaTheme="majorEastAsia" w:hAnsi="Calibri" w:cstheme="majorBidi"/>
          <w:bCs/>
          <w:i/>
          <w:iCs/>
          <w:color w:val="0067AC"/>
          <w:sz w:val="22"/>
        </w:rPr>
      </w:pPr>
      <w:r w:rsidRPr="00F60A1E">
        <w:rPr>
          <w:rFonts w:ascii="Calibri" w:eastAsiaTheme="majorEastAsia" w:hAnsi="Calibri" w:cstheme="majorBidi"/>
          <w:bCs/>
          <w:i/>
          <w:iCs/>
          <w:color w:val="0067AC"/>
          <w:sz w:val="22"/>
        </w:rPr>
        <w:t>Interveners</w:t>
      </w:r>
    </w:p>
    <w:p w:rsidR="00F60A1E" w:rsidRPr="00F60A1E" w:rsidRDefault="00F60A1E" w:rsidP="00F60A1E">
      <w:pPr>
        <w:widowControl w:val="0"/>
        <w:spacing w:before="0" w:after="0" w:line="240" w:lineRule="auto"/>
        <w:ind w:left="851"/>
        <w:jc w:val="both"/>
        <w:rPr>
          <w:b/>
          <w:bCs/>
          <w:i/>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The rules described above apply to child interveners.</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witness</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highlight w:val="yellow"/>
        </w:rPr>
      </w:pPr>
      <w:r w:rsidRPr="00F60A1E">
        <w:rPr>
          <w:bCs/>
          <w:szCs w:val="20"/>
        </w:rPr>
        <w:t xml:space="preserve">No specific legal provision has been identified on the provision of information to child witnesses in proceedings before the Council of State. Hence, the general rules of proceedings before the Council of State and the </w:t>
      </w:r>
      <w:hyperlink r:id="rId88" w:history="1">
        <w:r w:rsidRPr="00F60A1E">
          <w:rPr>
            <w:rFonts w:cs="Arial"/>
            <w:color w:val="0000FF" w:themeColor="hyperlink"/>
            <w:szCs w:val="20"/>
            <w:u w:val="single"/>
          </w:rPr>
          <w:t>Judicial Code</w:t>
        </w:r>
      </w:hyperlink>
      <w:r w:rsidRPr="00F60A1E">
        <w:rPr>
          <w:rFonts w:cs="Arial"/>
          <w:szCs w:val="20"/>
        </w:rPr>
        <w:t xml:space="preserve"> apply. The Council or Auditor</w:t>
      </w:r>
      <w:r w:rsidRPr="00F60A1E">
        <w:rPr>
          <w:bCs/>
          <w:szCs w:val="20"/>
          <w:vertAlign w:val="superscript"/>
        </w:rPr>
        <w:footnoteReference w:id="161"/>
      </w:r>
      <w:r w:rsidRPr="00F60A1E">
        <w:rPr>
          <w:rFonts w:cs="Arial"/>
          <w:szCs w:val="20"/>
        </w:rPr>
        <w:t xml:space="preserve"> can order a witness to testify. The witness will be notified by registered letter. While the legislation of the Council of State does not specify what information is contained in the registered letter, in accordance with the </w:t>
      </w:r>
      <w:hyperlink r:id="rId89" w:history="1">
        <w:r w:rsidRPr="00F60A1E">
          <w:rPr>
            <w:rFonts w:cs="Arial"/>
            <w:color w:val="0000FF" w:themeColor="hyperlink"/>
            <w:szCs w:val="20"/>
            <w:u w:val="single"/>
          </w:rPr>
          <w:t>Judicial Code</w:t>
        </w:r>
      </w:hyperlink>
      <w:r w:rsidRPr="00F60A1E">
        <w:rPr>
          <w:rFonts w:cs="Arial"/>
          <w:szCs w:val="20"/>
        </w:rPr>
        <w:t xml:space="preserve">, the letter should include </w:t>
      </w:r>
      <w:r w:rsidRPr="00F60A1E">
        <w:rPr>
          <w:bCs/>
          <w:szCs w:val="20"/>
        </w:rPr>
        <w:t xml:space="preserve">the legal provisions of the </w:t>
      </w:r>
      <w:hyperlink r:id="rId90" w:history="1">
        <w:r w:rsidRPr="00F60A1E">
          <w:rPr>
            <w:rFonts w:cs="Arial"/>
            <w:color w:val="0000FF" w:themeColor="hyperlink"/>
            <w:szCs w:val="20"/>
            <w:u w:val="single"/>
          </w:rPr>
          <w:t>Judicial Code</w:t>
        </w:r>
      </w:hyperlink>
      <w:r w:rsidRPr="00F60A1E">
        <w:rPr>
          <w:bCs/>
          <w:szCs w:val="20"/>
        </w:rPr>
        <w:t xml:space="preserve"> on the rights of the witness – including the right of the child to refuse to be heard. </w:t>
      </w:r>
    </w:p>
    <w:p w:rsidR="00F60A1E" w:rsidRPr="00F60A1E" w:rsidRDefault="00F60A1E" w:rsidP="00F60A1E">
      <w:pPr>
        <w:widowControl w:val="0"/>
        <w:spacing w:before="0" w:after="0" w:line="240" w:lineRule="auto"/>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It is not a legal requirement under Belgian law to inform the witnesses about their rights and obligations prior to their hearings. There is no requirement to communicate information in a child-friendly manner.</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 xml:space="preserve">Witnesses are not provided with the status of parties in judicial proceedings. Besides the above, there are no rules on the provision of information to witnesses. Children cannot exercise their rights in their own right, as they lack procedural capacity to act – their legal representatives exercise the children’s rights on their behalf. </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subject of proceedings</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 xml:space="preserve">As mentioned in </w:t>
      </w:r>
      <w:hyperlink w:anchor="_The_child_as" w:history="1">
        <w:r w:rsidRPr="00F60A1E">
          <w:rPr>
            <w:bCs/>
            <w:color w:val="0000FF" w:themeColor="hyperlink"/>
            <w:szCs w:val="20"/>
            <w:u w:val="single"/>
          </w:rPr>
          <w:t>Section 2.1</w:t>
        </w:r>
      </w:hyperlink>
      <w:r w:rsidRPr="00F60A1E">
        <w:rPr>
          <w:bCs/>
          <w:szCs w:val="20"/>
        </w:rPr>
        <w:t xml:space="preserve">, no rules were identified on child subjects of administrative judicial proceedings in Belgium. A child affected by the proceedings may, through his/her legal representative, request to intervene in the proceedings. </w:t>
      </w:r>
    </w:p>
    <w:p w:rsidR="00F60A1E" w:rsidRPr="00F60A1E" w:rsidRDefault="00F60A1E" w:rsidP="0082630D">
      <w:pPr>
        <w:pStyle w:val="Heading3"/>
      </w:pPr>
      <w:bookmarkStart w:id="103" w:name="_Toc401578566"/>
      <w:bookmarkStart w:id="104" w:name="_Toc404767185"/>
      <w:bookmarkStart w:id="105" w:name="_Toc409792218"/>
      <w:r w:rsidRPr="00F60A1E">
        <w:t>Procedural rules applicable to children involved in asylum proceedings</w:t>
      </w:r>
      <w:bookmarkEnd w:id="103"/>
      <w:bookmarkEnd w:id="104"/>
      <w:bookmarkEnd w:id="105"/>
      <w:r w:rsidRPr="00F60A1E">
        <w:t xml:space="preserve"> </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plaintiff/defendant</w:t>
      </w:r>
    </w:p>
    <w:p w:rsidR="00F60A1E" w:rsidRPr="00F60A1E" w:rsidRDefault="00F60A1E" w:rsidP="00F60A1E">
      <w:pPr>
        <w:widowControl w:val="0"/>
        <w:spacing w:before="0" w:after="0" w:line="240" w:lineRule="auto"/>
        <w:ind w:left="2291"/>
        <w:jc w:val="both"/>
        <w:rPr>
          <w:bCs/>
          <w:szCs w:val="20"/>
        </w:rPr>
      </w:pPr>
    </w:p>
    <w:p w:rsidR="00F60A1E" w:rsidRPr="00F60A1E" w:rsidRDefault="00F60A1E" w:rsidP="00F60A1E">
      <w:pPr>
        <w:widowControl w:val="0"/>
        <w:spacing w:before="0" w:after="0" w:line="240" w:lineRule="auto"/>
        <w:ind w:left="851"/>
        <w:jc w:val="both"/>
      </w:pPr>
      <w:r w:rsidRPr="00F60A1E">
        <w:t>In asylum proceedings, guidelines exist regarding the hearing of the asylum applicant before the Office of the Commissioner General for Refugees and Stateless Persons, or the Immigration Office. According to those guidelines, communication with the child must be done in a manner adapted to the child. The officer-in-charge of the hearing must also inform the child and his/her legal representative or guardian on the administrative procedure and the remedies available</w:t>
      </w:r>
      <w:r w:rsidRPr="00F60A1E">
        <w:rPr>
          <w:vertAlign w:val="superscript"/>
        </w:rPr>
        <w:footnoteReference w:id="162"/>
      </w:r>
      <w:r w:rsidRPr="00F60A1E">
        <w:t>.</w:t>
      </w:r>
    </w:p>
    <w:p w:rsidR="00F60A1E" w:rsidRPr="00F60A1E" w:rsidRDefault="00F60A1E" w:rsidP="00F60A1E">
      <w:pPr>
        <w:widowControl w:val="0"/>
        <w:spacing w:before="0" w:after="0" w:line="240" w:lineRule="auto"/>
        <w:ind w:left="851"/>
        <w:jc w:val="both"/>
        <w:rPr>
          <w:b/>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The general rules described above apply to the appeals before the Council of State of decisions on asylum.</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witness</w:t>
      </w:r>
    </w:p>
    <w:p w:rsidR="00F60A1E" w:rsidRPr="00F60A1E" w:rsidRDefault="00F60A1E" w:rsidP="00F60A1E">
      <w:pPr>
        <w:widowControl w:val="0"/>
        <w:spacing w:before="0" w:after="0" w:line="240" w:lineRule="auto"/>
        <w:ind w:left="851"/>
        <w:jc w:val="both"/>
        <w:rPr>
          <w:bCs/>
          <w:color w:val="FF0000"/>
          <w:szCs w:val="20"/>
        </w:rPr>
      </w:pPr>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The same general rules described above apply to child witnesses in asylum proceedings.</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subject of proceedings</w:t>
      </w:r>
    </w:p>
    <w:p w:rsidR="00F60A1E" w:rsidRPr="00F60A1E" w:rsidRDefault="00F60A1E" w:rsidP="00F60A1E">
      <w:pPr>
        <w:widowControl w:val="0"/>
        <w:spacing w:before="0" w:after="0" w:line="240" w:lineRule="auto"/>
        <w:ind w:left="851"/>
        <w:jc w:val="both"/>
        <w:rPr>
          <w:bCs/>
          <w:color w:val="FF0000"/>
          <w:szCs w:val="20"/>
        </w:rPr>
      </w:pPr>
    </w:p>
    <w:p w:rsidR="00F60A1E" w:rsidRPr="00F60A1E" w:rsidRDefault="00F60A1E" w:rsidP="00F60A1E">
      <w:pPr>
        <w:widowControl w:val="0"/>
        <w:spacing w:before="0" w:after="0" w:line="240" w:lineRule="auto"/>
        <w:ind w:left="851"/>
        <w:jc w:val="both"/>
        <w:rPr>
          <w:bCs/>
          <w:szCs w:val="20"/>
        </w:rPr>
      </w:pPr>
      <w:r w:rsidRPr="00F60A1E">
        <w:rPr>
          <w:rFonts w:cs="Arial"/>
          <w:szCs w:val="20"/>
        </w:rPr>
        <w:t xml:space="preserve">The rules described above apply to child </w:t>
      </w:r>
      <w:r w:rsidRPr="00F60A1E">
        <w:rPr>
          <w:bCs/>
          <w:szCs w:val="20"/>
        </w:rPr>
        <w:t>subjects of proceedings</w:t>
      </w:r>
      <w:r w:rsidRPr="00F60A1E">
        <w:rPr>
          <w:rFonts w:cs="Arial"/>
          <w:szCs w:val="20"/>
        </w:rPr>
        <w:t xml:space="preserve"> in asylum proceedings. At the level of the Council of State proceedings, a</w:t>
      </w:r>
      <w:r w:rsidRPr="00F60A1E">
        <w:rPr>
          <w:bCs/>
          <w:szCs w:val="20"/>
        </w:rPr>
        <w:t xml:space="preserve">s mentioned in </w:t>
      </w:r>
      <w:hyperlink w:anchor="_The_child_as" w:history="1">
        <w:r w:rsidRPr="00F60A1E">
          <w:rPr>
            <w:bCs/>
            <w:color w:val="0000FF" w:themeColor="hyperlink"/>
            <w:szCs w:val="20"/>
            <w:u w:val="single"/>
          </w:rPr>
          <w:t>Section 2.1</w:t>
        </w:r>
      </w:hyperlink>
      <w:r w:rsidRPr="00F60A1E">
        <w:rPr>
          <w:bCs/>
          <w:szCs w:val="20"/>
        </w:rPr>
        <w:t xml:space="preserve">, no rules were identified on child subjects of administrative judicial proceedings in Belgium. A child affected by the proceedings may, through his/her legal representative, request to intervene in the proceedings. </w:t>
      </w:r>
    </w:p>
    <w:p w:rsidR="00F60A1E" w:rsidRPr="00F60A1E" w:rsidRDefault="00F60A1E" w:rsidP="0082630D">
      <w:pPr>
        <w:pStyle w:val="Heading3"/>
      </w:pPr>
      <w:bookmarkStart w:id="106" w:name="_Toc401578567"/>
      <w:bookmarkStart w:id="107" w:name="_Toc404767186"/>
      <w:bookmarkStart w:id="108" w:name="_Toc409792219"/>
      <w:r w:rsidRPr="00F60A1E">
        <w:t>Procedural rules applicable to children involved in health care proceedings</w:t>
      </w:r>
      <w:bookmarkEnd w:id="106"/>
      <w:bookmarkEnd w:id="107"/>
      <w:bookmarkEnd w:id="108"/>
      <w:r w:rsidRPr="00F60A1E">
        <w:t xml:space="preserve"> </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plaintiff/defendant</w:t>
      </w:r>
    </w:p>
    <w:p w:rsidR="00F60A1E" w:rsidRPr="00F60A1E" w:rsidRDefault="00F60A1E" w:rsidP="00F60A1E">
      <w:pPr>
        <w:widowControl w:val="0"/>
        <w:spacing w:before="0" w:after="0" w:line="240" w:lineRule="auto"/>
        <w:ind w:left="2291"/>
        <w:jc w:val="both"/>
        <w:rPr>
          <w:bCs/>
          <w:szCs w:val="20"/>
        </w:rPr>
      </w:pPr>
    </w:p>
    <w:p w:rsidR="00F60A1E" w:rsidRPr="00F60A1E" w:rsidRDefault="00F60A1E" w:rsidP="00F60A1E">
      <w:pPr>
        <w:widowControl w:val="0"/>
        <w:spacing w:before="0" w:after="0" w:line="240" w:lineRule="auto"/>
        <w:ind w:left="851"/>
        <w:jc w:val="both"/>
      </w:pPr>
      <w:r w:rsidRPr="00F60A1E">
        <w:t xml:space="preserve">As explained in </w:t>
      </w:r>
      <w:hyperlink w:anchor="_Overview_of_Member" w:history="1">
        <w:r w:rsidRPr="00F60A1E">
          <w:rPr>
            <w:rFonts w:cs="Arial"/>
            <w:color w:val="0000FF" w:themeColor="hyperlink"/>
            <w:u w:val="single"/>
          </w:rPr>
          <w:t>Section 1</w:t>
        </w:r>
      </w:hyperlink>
      <w:r w:rsidRPr="00F60A1E">
        <w:t>, to appeal against medical treatment decisions, a child can turn to a court in civil judicial proceedings if no mediation agreement could be reached.</w:t>
      </w:r>
    </w:p>
    <w:p w:rsidR="00F60A1E" w:rsidRPr="00F60A1E" w:rsidRDefault="00F60A1E" w:rsidP="00F60A1E">
      <w:pPr>
        <w:widowControl w:val="0"/>
        <w:spacing w:before="0" w:after="0" w:line="240" w:lineRule="auto"/>
        <w:ind w:left="851"/>
        <w:jc w:val="both"/>
      </w:pPr>
    </w:p>
    <w:p w:rsidR="00F60A1E" w:rsidRPr="00F60A1E" w:rsidRDefault="00F60A1E" w:rsidP="00F60A1E">
      <w:pPr>
        <w:widowControl w:val="0"/>
        <w:spacing w:before="0" w:after="0" w:line="240" w:lineRule="auto"/>
        <w:ind w:left="851"/>
        <w:jc w:val="both"/>
      </w:pPr>
      <w:r w:rsidRPr="00F60A1E">
        <w:t>A patient, child or adult, has the right to receive, from the health practitioners, all information concerning his/her health. A patient may consent to treatment only after being informed. A patient has the right to be informed on how to address a complaint before a mediation authority. Such information should include the procedure and function of the mediation authority. In addition, the patient has the right to receive information on remedies if no agreement or solution could be reached through mediation</w:t>
      </w:r>
      <w:r w:rsidRPr="00F60A1E">
        <w:rPr>
          <w:vertAlign w:val="superscript"/>
        </w:rPr>
        <w:footnoteReference w:id="163"/>
      </w:r>
      <w:r w:rsidRPr="00F60A1E">
        <w:t>. The rights of the child patient may be exercise by the child in his/her own right if the child is considered to be able to reasonably understand his/her best interests</w:t>
      </w:r>
      <w:r w:rsidRPr="00F60A1E">
        <w:rPr>
          <w:vertAlign w:val="superscript"/>
        </w:rPr>
        <w:footnoteReference w:id="164"/>
      </w:r>
      <w:r w:rsidRPr="00F60A1E">
        <w:t>.</w:t>
      </w:r>
    </w:p>
    <w:p w:rsidR="00F60A1E" w:rsidRPr="00F60A1E" w:rsidRDefault="00F60A1E" w:rsidP="00F60A1E">
      <w:pPr>
        <w:widowControl w:val="0"/>
        <w:spacing w:before="0" w:after="0" w:line="240" w:lineRule="auto"/>
        <w:ind w:left="851"/>
        <w:jc w:val="both"/>
      </w:pPr>
    </w:p>
    <w:p w:rsidR="00F60A1E" w:rsidRPr="00F60A1E" w:rsidRDefault="00F60A1E" w:rsidP="00F60A1E">
      <w:pPr>
        <w:widowControl w:val="0"/>
        <w:spacing w:before="0" w:after="0" w:line="240" w:lineRule="auto"/>
        <w:ind w:left="851"/>
        <w:jc w:val="both"/>
        <w:rPr>
          <w:bCs/>
          <w:szCs w:val="20"/>
        </w:rPr>
      </w:pPr>
      <w:r w:rsidRPr="00F60A1E">
        <w:rPr>
          <w:bCs/>
          <w:szCs w:val="20"/>
        </w:rPr>
        <w:t xml:space="preserve">The general rules on access to information on judicial proceedings, and the provision of information, apply in civil judicial proceedings regarding health care disputes. </w:t>
      </w:r>
    </w:p>
    <w:p w:rsidR="00F60A1E" w:rsidRPr="00F60A1E" w:rsidRDefault="00F60A1E" w:rsidP="00F60A1E">
      <w:pPr>
        <w:widowControl w:val="0"/>
        <w:spacing w:before="0" w:after="0" w:line="240" w:lineRule="auto"/>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 xml:space="preserve">As mentioned in the Study to collect data on children’s involvement in civil judicial proceedings, no rules have been identified on the provision of information to children or adults on their rights and obligations in civil judicial proceedings. Under currently applicable legislation, the child is not entitled to request information in his/her own right. In practice, children are informed about their rights and obligations via their parents/guardians, who receive information from their legal counsels. </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A child may also obtain information on the proceedings and his/her rights and obligations at the Houses of Justice located in each judicial district. It is important to note that as a result of the child’s lack of legal capacity to act formally, the child will not be a party to the proceedings, but rather, the child’s legal representative will act on his/her behalf.</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The parties are typically informed about judicial actions in the form of subpoenas which are served to them by bailiffs</w:t>
      </w:r>
      <w:r w:rsidRPr="00F60A1E">
        <w:rPr>
          <w:bCs/>
          <w:szCs w:val="20"/>
          <w:vertAlign w:val="superscript"/>
        </w:rPr>
        <w:footnoteReference w:id="165"/>
      </w:r>
      <w:r w:rsidRPr="00F60A1E">
        <w:rPr>
          <w:bCs/>
          <w:szCs w:val="20"/>
        </w:rPr>
        <w:t>. The subpoenas must include the names and addresses of the plaintiffs and the defendants, the dates, the subject of the claims and a summary of the legal arguments and the place, date and time of the hearings</w:t>
      </w:r>
      <w:r w:rsidRPr="00F60A1E">
        <w:rPr>
          <w:bCs/>
          <w:szCs w:val="20"/>
          <w:vertAlign w:val="superscript"/>
        </w:rPr>
        <w:footnoteReference w:id="166"/>
      </w:r>
      <w:r w:rsidRPr="00F60A1E">
        <w:rPr>
          <w:bCs/>
          <w:szCs w:val="20"/>
        </w:rPr>
        <w:t>.</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The delivery of an original procedural document, including judicial decisions or subpoena, or the copies thereof, cannot be addressed directly to a child who is under 16 years old, but only to his/her parents</w:t>
      </w:r>
      <w:r w:rsidRPr="00F60A1E">
        <w:rPr>
          <w:bCs/>
          <w:szCs w:val="20"/>
          <w:vertAlign w:val="superscript"/>
        </w:rPr>
        <w:footnoteReference w:id="167"/>
      </w:r>
      <w:r w:rsidRPr="00F60A1E">
        <w:rPr>
          <w:bCs/>
          <w:szCs w:val="20"/>
        </w:rPr>
        <w:t>.</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At the end of the proceedings, to be valid, the judgement must contain the following information in addition to the reasoning of the decision and conclusions:</w:t>
      </w:r>
    </w:p>
    <w:p w:rsidR="00F60A1E" w:rsidRPr="00F60A1E" w:rsidRDefault="00F60A1E" w:rsidP="00F60A1E">
      <w:pPr>
        <w:widowControl w:val="0"/>
        <w:spacing w:before="0" w:after="0" w:line="240" w:lineRule="auto"/>
        <w:jc w:val="both"/>
        <w:rPr>
          <w:bCs/>
          <w:szCs w:val="20"/>
        </w:rPr>
      </w:pPr>
    </w:p>
    <w:p w:rsidR="00F60A1E" w:rsidRPr="00F60A1E" w:rsidRDefault="00F60A1E" w:rsidP="00F60A1E">
      <w:pPr>
        <w:numPr>
          <w:ilvl w:val="0"/>
          <w:numId w:val="42"/>
        </w:numPr>
        <w:spacing w:before="0" w:after="0"/>
      </w:pPr>
      <w:r w:rsidRPr="00F60A1E">
        <w:t>the judge or the court that issued the judgement, the names of the judges who sat at the hearing, the crown prosecutor who advised and the clerk who attended the delivery of the judgement;</w:t>
      </w:r>
    </w:p>
    <w:p w:rsidR="00F60A1E" w:rsidRPr="00F60A1E" w:rsidRDefault="00F60A1E" w:rsidP="00F60A1E">
      <w:pPr>
        <w:numPr>
          <w:ilvl w:val="0"/>
          <w:numId w:val="13"/>
        </w:numPr>
        <w:spacing w:before="0" w:after="0"/>
      </w:pPr>
      <w:r w:rsidRPr="00F60A1E">
        <w:t>the name and address of the parties;</w:t>
      </w:r>
    </w:p>
    <w:p w:rsidR="00F60A1E" w:rsidRPr="00F60A1E" w:rsidRDefault="00F60A1E" w:rsidP="00F60A1E">
      <w:pPr>
        <w:numPr>
          <w:ilvl w:val="0"/>
          <w:numId w:val="13"/>
        </w:numPr>
        <w:spacing w:before="0" w:after="0"/>
      </w:pPr>
      <w:r w:rsidRPr="00F60A1E">
        <w:t>the purpose of the claim and the response to the conclusions and arguments of the parties;</w:t>
      </w:r>
    </w:p>
    <w:p w:rsidR="00F60A1E" w:rsidRPr="00F60A1E" w:rsidRDefault="00F60A1E" w:rsidP="00F60A1E">
      <w:pPr>
        <w:numPr>
          <w:ilvl w:val="0"/>
          <w:numId w:val="13"/>
        </w:numPr>
        <w:spacing w:before="0" w:after="0"/>
      </w:pPr>
      <w:r w:rsidRPr="00F60A1E">
        <w:t>reference to the opinion of the Crown Prosecutor.</w:t>
      </w:r>
    </w:p>
    <w:p w:rsidR="00F60A1E" w:rsidRPr="00F60A1E" w:rsidRDefault="00F60A1E" w:rsidP="00F60A1E">
      <w:pPr>
        <w:numPr>
          <w:ilvl w:val="0"/>
          <w:numId w:val="13"/>
        </w:numPr>
        <w:spacing w:before="0" w:after="0"/>
      </w:pPr>
      <w:r w:rsidRPr="00F60A1E">
        <w:t>the reference and date of the public hearing pronouncing the judgement.</w:t>
      </w:r>
    </w:p>
    <w:p w:rsidR="00F60A1E" w:rsidRPr="00F60A1E" w:rsidRDefault="00F60A1E" w:rsidP="00F60A1E">
      <w:pPr>
        <w:widowControl w:val="0"/>
        <w:spacing w:before="0" w:after="0" w:line="240" w:lineRule="auto"/>
        <w:jc w:val="both"/>
        <w:rPr>
          <w:bCs/>
          <w:szCs w:val="20"/>
        </w:rPr>
      </w:pP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The judgement must also mention, where applicable, the names of the legal counsels</w:t>
      </w:r>
      <w:r w:rsidRPr="00F60A1E">
        <w:rPr>
          <w:bCs/>
          <w:szCs w:val="20"/>
          <w:vertAlign w:val="superscript"/>
        </w:rPr>
        <w:footnoteReference w:id="168"/>
      </w:r>
      <w:r w:rsidRPr="00F60A1E">
        <w:rPr>
          <w:bCs/>
          <w:szCs w:val="20"/>
        </w:rPr>
        <w:t>.</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Within eight days from the issuance of the judgement, the clerk must send an unsigned copy of the judgement by a letter to each party or, where appropriate, their legal counsels. As referred to above, court decisions are typically not served to children directly. To be valid, the letter must mention the remedies available, the timeframe within which the appeal should be introduced, and the name and address of the court having jurisdiction</w:t>
      </w:r>
      <w:r w:rsidRPr="00F60A1E">
        <w:rPr>
          <w:bCs/>
          <w:szCs w:val="20"/>
          <w:vertAlign w:val="superscript"/>
        </w:rPr>
        <w:footnoteReference w:id="169"/>
      </w:r>
      <w:r w:rsidRPr="00F60A1E">
        <w:rPr>
          <w:bCs/>
          <w:szCs w:val="20"/>
        </w:rPr>
        <w:t>.</w:t>
      </w:r>
    </w:p>
    <w:p w:rsidR="00F60A1E" w:rsidRPr="00F60A1E" w:rsidRDefault="00F60A1E" w:rsidP="00227001">
      <w:pPr>
        <w:pStyle w:val="Heading3NoNumb"/>
        <w:ind w:left="851"/>
      </w:pPr>
      <w:bookmarkStart w:id="109" w:name="_Toc409792220"/>
      <w:r w:rsidRPr="00F60A1E">
        <w:t>Mental health</w:t>
      </w:r>
      <w:bookmarkEnd w:id="109"/>
      <w:r w:rsidR="00227001">
        <w:t xml:space="preserve"> </w:t>
      </w:r>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 xml:space="preserve">As explained in </w:t>
      </w:r>
      <w:hyperlink w:anchor="_Overview_of_Member" w:history="1">
        <w:r w:rsidRPr="00F60A1E">
          <w:rPr>
            <w:rFonts w:cs="Arial"/>
            <w:color w:val="0000FF" w:themeColor="hyperlink"/>
            <w:szCs w:val="20"/>
            <w:u w:val="single"/>
          </w:rPr>
          <w:t>Section 1</w:t>
        </w:r>
      </w:hyperlink>
      <w:r w:rsidRPr="00F60A1E">
        <w:rPr>
          <w:rFonts w:cs="Arial"/>
          <w:szCs w:val="20"/>
        </w:rPr>
        <w:t>, the youth tribunal is competent to take decisions on children with mental health care needs</w:t>
      </w:r>
      <w:r w:rsidRPr="00F60A1E">
        <w:rPr>
          <w:szCs w:val="20"/>
          <w:vertAlign w:val="superscript"/>
        </w:rPr>
        <w:footnoteReference w:id="170"/>
      </w:r>
      <w:r w:rsidRPr="00F60A1E">
        <w:rPr>
          <w:rFonts w:cs="Arial"/>
          <w:szCs w:val="20"/>
        </w:rPr>
        <w:t xml:space="preserve">. The youth tribunal applies the civil judicial procedural rules, the </w:t>
      </w:r>
      <w:hyperlink r:id="rId91" w:history="1">
        <w:r w:rsidRPr="00F60A1E">
          <w:rPr>
            <w:rFonts w:cs="Arial"/>
            <w:color w:val="0000FF" w:themeColor="hyperlink"/>
            <w:szCs w:val="20"/>
            <w:u w:val="single"/>
          </w:rPr>
          <w:t>Youth Protection Act</w:t>
        </w:r>
      </w:hyperlink>
      <w:r w:rsidRPr="00F60A1E">
        <w:rPr>
          <w:rFonts w:cs="Arial"/>
          <w:szCs w:val="20"/>
        </w:rPr>
        <w:t xml:space="preserve"> and the </w:t>
      </w:r>
      <w:hyperlink r:id="rId92" w:history="1">
        <w:r w:rsidRPr="00F60A1E">
          <w:rPr>
            <w:rFonts w:cs="Arial"/>
            <w:color w:val="0000FF" w:themeColor="hyperlink"/>
            <w:szCs w:val="20"/>
            <w:u w:val="single"/>
          </w:rPr>
          <w:t>Act on the protection of mentally ill persons</w:t>
        </w:r>
      </w:hyperlink>
      <w:r w:rsidRPr="00F60A1E">
        <w:rPr>
          <w:rFonts w:cs="Arial"/>
          <w:szCs w:val="20"/>
        </w:rPr>
        <w:t xml:space="preserve">. </w:t>
      </w:r>
    </w:p>
    <w:p w:rsidR="00F60A1E" w:rsidRPr="00F60A1E" w:rsidRDefault="00F60A1E" w:rsidP="00F60A1E">
      <w:pPr>
        <w:widowControl w:val="0"/>
        <w:spacing w:before="0" w:after="0" w:line="240" w:lineRule="auto"/>
        <w:ind w:left="851"/>
        <w:jc w:val="both"/>
        <w:rPr>
          <w:rFonts w:cs="Arial"/>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 xml:space="preserve">The general rules on access to information on judicial proceedings and the provision of </w:t>
      </w:r>
      <w:r w:rsidRPr="00F60A1E">
        <w:rPr>
          <w:bCs/>
          <w:szCs w:val="20"/>
        </w:rPr>
        <w:lastRenderedPageBreak/>
        <w:t>information apply in judicial proceedings regarding mental health proceedings. Civil procedural rules apply to youth tribunal proceedings.</w:t>
      </w:r>
    </w:p>
    <w:p w:rsidR="00F60A1E" w:rsidRPr="00F60A1E" w:rsidRDefault="00F60A1E" w:rsidP="00F60A1E">
      <w:pPr>
        <w:widowControl w:val="0"/>
        <w:spacing w:before="0" w:after="0" w:line="240" w:lineRule="auto"/>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In addition, when the Crown Prosecutor or the health practitioner makes a request for the termination or the maintenance of the child’s placement in a psychiatric service, they must inform the child patient of their requests</w:t>
      </w:r>
      <w:r w:rsidRPr="00F60A1E">
        <w:rPr>
          <w:bCs/>
          <w:szCs w:val="20"/>
          <w:vertAlign w:val="superscript"/>
        </w:rPr>
        <w:footnoteReference w:id="171"/>
      </w:r>
      <w:r w:rsidRPr="00F60A1E">
        <w:rPr>
          <w:bCs/>
          <w:szCs w:val="20"/>
        </w:rPr>
        <w:t>.</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Each child involved in a proceeding before a youth tribunal has the right to be informed of the content of his/her rights</w:t>
      </w:r>
      <w:r w:rsidRPr="00F60A1E">
        <w:rPr>
          <w:bCs/>
          <w:szCs w:val="20"/>
          <w:vertAlign w:val="superscript"/>
        </w:rPr>
        <w:footnoteReference w:id="172"/>
      </w:r>
      <w:r w:rsidRPr="00F60A1E">
        <w:rPr>
          <w:bCs/>
          <w:szCs w:val="20"/>
        </w:rPr>
        <w:t>. The child patient must receive information on his/her right to choose a legal counsel, to choose another psychiatric doctor and to choose a person of trust to assist her/him</w:t>
      </w:r>
      <w:r w:rsidRPr="00F60A1E">
        <w:rPr>
          <w:bCs/>
          <w:szCs w:val="20"/>
          <w:vertAlign w:val="superscript"/>
        </w:rPr>
        <w:footnoteReference w:id="173"/>
      </w:r>
      <w:r w:rsidRPr="00F60A1E">
        <w:rPr>
          <w:bCs/>
          <w:szCs w:val="20"/>
        </w:rPr>
        <w:t>. However, no legal requirement has been identified to ensure that children effectively receive information on their rights in a child-friendly manner.</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It is required that a copy of any decision taken by the youth tribunal in first instance or appeal will be provided to the child’s legal counsel on the day when the decision was taken</w:t>
      </w:r>
      <w:r w:rsidRPr="00F60A1E">
        <w:rPr>
          <w:bCs/>
          <w:szCs w:val="20"/>
          <w:vertAlign w:val="superscript"/>
        </w:rPr>
        <w:footnoteReference w:id="174"/>
      </w:r>
      <w:r w:rsidRPr="00F60A1E">
        <w:rPr>
          <w:bCs/>
          <w:szCs w:val="20"/>
        </w:rPr>
        <w:t>. Together with the decision on placement of the child with mental health, the notification should include information on how to appeal</w:t>
      </w:r>
      <w:r w:rsidRPr="00F60A1E">
        <w:rPr>
          <w:bCs/>
          <w:szCs w:val="20"/>
          <w:vertAlign w:val="superscript"/>
        </w:rPr>
        <w:footnoteReference w:id="175"/>
      </w:r>
      <w:r w:rsidRPr="00F60A1E">
        <w:rPr>
          <w:bCs/>
          <w:szCs w:val="20"/>
        </w:rPr>
        <w:t>.</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witness</w:t>
      </w:r>
    </w:p>
    <w:p w:rsidR="00F60A1E" w:rsidRPr="00F60A1E" w:rsidRDefault="00F60A1E" w:rsidP="00F60A1E">
      <w:pPr>
        <w:widowControl w:val="0"/>
        <w:spacing w:before="0" w:after="0" w:line="240" w:lineRule="auto"/>
        <w:ind w:left="851"/>
        <w:jc w:val="both"/>
        <w:rPr>
          <w:bCs/>
          <w:color w:val="FF0000"/>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 xml:space="preserve">As explained in the Study to collect data on children’s involvement in civil judicial proceedings, child witnesses are informed about court hearings in the form of subpoenas sent by the clerks, at least eight days prior to their hearings. The subpoena is served to the child directly if he/she is over 16 years old, whereas the subpoena is addressed to the child’s legal representative if he/she is under 16 years old. The subpoena contains information about the facts of the case admitted by the court, and the place and time of the hearing. In addition, the subpoena includes the legal provisions of the </w:t>
      </w:r>
      <w:hyperlink r:id="rId93" w:history="1">
        <w:r w:rsidRPr="00F60A1E">
          <w:rPr>
            <w:rFonts w:cs="Arial"/>
            <w:color w:val="0000FF" w:themeColor="hyperlink"/>
            <w:szCs w:val="20"/>
            <w:u w:val="single"/>
          </w:rPr>
          <w:t>Judicial Code</w:t>
        </w:r>
      </w:hyperlink>
      <w:r w:rsidRPr="00F60A1E">
        <w:rPr>
          <w:bCs/>
          <w:szCs w:val="20"/>
        </w:rPr>
        <w:t xml:space="preserve"> with regard to the rights of the witness – including the right of the child to refuse to be heard. Child witnesses may also be requested to testify, in the form of a simple warning. There is no legal requirement to formulate subpoenas and court-decisions in a child-friendly manner. </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 xml:space="preserve">It is not a legal requirement under Belgian law to inform the witnesses about their rights and obligations prior to their hearings. </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 xml:space="preserve">Witnesses are not provided with the status of parties in judicial proceedings. Besides the above, there are no rules on the provision of information to witnesses. Children cannot exercise the rights referred to under the general rules in their own right, since they lack full legal capacity to act – their legal representatives exercise the children’s rights on their behalf. </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subject of proceedings</w:t>
      </w:r>
    </w:p>
    <w:p w:rsidR="00F60A1E" w:rsidRPr="00F60A1E" w:rsidRDefault="00F60A1E" w:rsidP="00F60A1E">
      <w:pPr>
        <w:widowControl w:val="0"/>
        <w:spacing w:before="0" w:after="0" w:line="240" w:lineRule="auto"/>
        <w:ind w:left="851"/>
        <w:jc w:val="both"/>
        <w:rPr>
          <w:bCs/>
          <w:color w:val="FF0000"/>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No rules were identified on child subjects of health care judicial proceedings in Belgium. However, in Belgium, the child will not formally be the party in the proceeding, but rather his/her legal representative acting on behalf of the child will be the party, with the exception of when the child can be a party in his/her own right. In this sense, the child is only a subject of the proceeding carried out by his/her legal representatives. However, for the purpose of this report, the child will be described as a plaintiff or a defendant.</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Exceptionally, the child will be a party to the proceedings – including mental health proceedings before a youth tribunal, although the child’s legal representative must carry out the procedural acts on behalf of the child due to the child’s lack of procedural capacity.</w:t>
      </w:r>
    </w:p>
    <w:p w:rsidR="00F60A1E" w:rsidRPr="00F60A1E" w:rsidRDefault="00F60A1E" w:rsidP="0082630D">
      <w:pPr>
        <w:pStyle w:val="Heading3"/>
      </w:pPr>
      <w:bookmarkStart w:id="110" w:name="_Toc401578568"/>
      <w:bookmarkStart w:id="111" w:name="_Toc404767187"/>
      <w:bookmarkStart w:id="112" w:name="_Toc409792221"/>
      <w:r w:rsidRPr="00F60A1E">
        <w:lastRenderedPageBreak/>
        <w:t>Procedural rules applicable to children involved in placement into care proceedings</w:t>
      </w:r>
      <w:bookmarkEnd w:id="110"/>
      <w:bookmarkEnd w:id="111"/>
      <w:bookmarkEnd w:id="112"/>
      <w:r w:rsidRPr="00F60A1E">
        <w:t xml:space="preserve"> </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plaintiff/defendant</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 xml:space="preserve">As mentioned in </w:t>
      </w:r>
      <w:hyperlink w:anchor="_Overview_of_Member" w:history="1">
        <w:r w:rsidRPr="00F60A1E">
          <w:rPr>
            <w:rFonts w:cs="Arial"/>
            <w:color w:val="0000FF" w:themeColor="hyperlink"/>
            <w:szCs w:val="20"/>
            <w:u w:val="single"/>
          </w:rPr>
          <w:t>Section 1</w:t>
        </w:r>
      </w:hyperlink>
      <w:r w:rsidRPr="00F60A1E">
        <w:rPr>
          <w:rFonts w:cs="Arial"/>
          <w:szCs w:val="20"/>
        </w:rPr>
        <w:t xml:space="preserve">, measures for the protection of the child, including placement, are either voluntary, i.e. under the supervision of the youth care services, or non-voluntary. Non-voluntary measures require the intervention of the youth tribunal which will apply the </w:t>
      </w:r>
      <w:hyperlink r:id="rId94" w:history="1">
        <w:r w:rsidRPr="00F60A1E">
          <w:rPr>
            <w:rFonts w:cs="Arial"/>
            <w:color w:val="0000FF" w:themeColor="hyperlink"/>
            <w:szCs w:val="20"/>
            <w:u w:val="single"/>
          </w:rPr>
          <w:t>Youth Protection Act</w:t>
        </w:r>
      </w:hyperlink>
      <w:r w:rsidRPr="00F60A1E">
        <w:rPr>
          <w:rFonts w:cs="Arial"/>
          <w:szCs w:val="20"/>
        </w:rPr>
        <w:t xml:space="preserve"> and the </w:t>
      </w:r>
      <w:hyperlink r:id="rId95" w:history="1">
        <w:r w:rsidRPr="00F60A1E">
          <w:rPr>
            <w:rFonts w:cs="Arial"/>
            <w:color w:val="0000FF" w:themeColor="hyperlink"/>
            <w:szCs w:val="20"/>
            <w:u w:val="single"/>
          </w:rPr>
          <w:t>Judicial Code</w:t>
        </w:r>
      </w:hyperlink>
      <w:r w:rsidRPr="00F60A1E">
        <w:rPr>
          <w:rFonts w:cs="Arial"/>
          <w:szCs w:val="20"/>
        </w:rPr>
        <w:t>. Hence, the proceedings are civil judicial proceedings. The youth care services are organised at the community level. Therefore, community legislation applies to the way youth care services deal with children including the provision of information.</w:t>
      </w:r>
    </w:p>
    <w:p w:rsidR="00F60A1E" w:rsidRPr="00F60A1E" w:rsidRDefault="00227001" w:rsidP="00227001">
      <w:pPr>
        <w:pStyle w:val="Heading3NoNumb"/>
        <w:ind w:left="851"/>
      </w:pPr>
      <w:bookmarkStart w:id="113" w:name="_Toc409792222"/>
      <w:r>
        <w:t>Youth care service</w:t>
      </w:r>
      <w:bookmarkEnd w:id="113"/>
      <w:r>
        <w:t xml:space="preserve"> </w:t>
      </w:r>
    </w:p>
    <w:p w:rsidR="00F60A1E" w:rsidRPr="00F60A1E" w:rsidRDefault="00F60A1E" w:rsidP="00F60A1E">
      <w:pPr>
        <w:widowControl w:val="0"/>
        <w:spacing w:before="0" w:after="0" w:line="240" w:lineRule="auto"/>
        <w:ind w:left="851"/>
        <w:jc w:val="both"/>
        <w:rPr>
          <w:bCs/>
          <w:szCs w:val="20"/>
        </w:rPr>
      </w:pPr>
      <w:r w:rsidRPr="00F60A1E">
        <w:rPr>
          <w:bCs/>
          <w:szCs w:val="20"/>
        </w:rPr>
        <w:t>In the Flemish community, the child has the right to clear and understandable information on youth assistance services and all matters relating thereto. Communication with the child should be in a language adapted to his/her age and maturity</w:t>
      </w:r>
      <w:r w:rsidRPr="00F60A1E">
        <w:rPr>
          <w:bCs/>
          <w:szCs w:val="20"/>
          <w:vertAlign w:val="superscript"/>
        </w:rPr>
        <w:footnoteReference w:id="176"/>
      </w:r>
      <w:r w:rsidRPr="00F60A1E">
        <w:rPr>
          <w:bCs/>
          <w:szCs w:val="20"/>
        </w:rPr>
        <w:t>. The</w:t>
      </w:r>
      <w:r w:rsidRPr="00F60A1E">
        <w:rPr>
          <w:szCs w:val="20"/>
        </w:rPr>
        <w:t xml:space="preserve"> child has the right to consent or refuse youth assistance provided he/she is capable of a reasonable assessment of his/her best interests – a child of 12 years or more is assumed to be capable</w:t>
      </w:r>
      <w:r w:rsidRPr="00F60A1E">
        <w:rPr>
          <w:szCs w:val="20"/>
          <w:vertAlign w:val="superscript"/>
        </w:rPr>
        <w:footnoteReference w:id="177"/>
      </w:r>
      <w:r w:rsidRPr="00F60A1E">
        <w:rPr>
          <w:szCs w:val="20"/>
        </w:rPr>
        <w:t>. If the child refuses youth assistance, the youth assistance service may decide to inform the youth tribunal Crown Prosecutor Office. The Crown Prosecutor may refer the child’s situation before a youth tribunal if no voluntary youth assistance was possible or, if a judicial measure, as a matter of urgency</w:t>
      </w:r>
      <w:r w:rsidRPr="00F60A1E">
        <w:rPr>
          <w:szCs w:val="20"/>
          <w:vertAlign w:val="superscript"/>
        </w:rPr>
        <w:footnoteReference w:id="178"/>
      </w:r>
      <w:r w:rsidRPr="00F60A1E">
        <w:rPr>
          <w:szCs w:val="20"/>
        </w:rPr>
        <w:t>.</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In the French community, the youth care service must inform the child about his/her rights within the youth protection system and the right to appeal to the youth tribunal regarding any issues resulting with the implementation of a youth assistance measure</w:t>
      </w:r>
      <w:r w:rsidRPr="00F60A1E">
        <w:rPr>
          <w:bCs/>
          <w:szCs w:val="20"/>
          <w:vertAlign w:val="superscript"/>
        </w:rPr>
        <w:footnoteReference w:id="179"/>
      </w:r>
      <w:r w:rsidRPr="00F60A1E">
        <w:rPr>
          <w:bCs/>
          <w:szCs w:val="20"/>
        </w:rPr>
        <w:t xml:space="preserve">. Those rights include the rights set in the </w:t>
      </w:r>
      <w:hyperlink r:id="rId96" w:history="1">
        <w:r w:rsidRPr="00F60A1E">
          <w:rPr>
            <w:bCs/>
            <w:color w:val="0000FF" w:themeColor="hyperlink"/>
            <w:szCs w:val="20"/>
            <w:u w:val="single"/>
          </w:rPr>
          <w:t>Constitution</w:t>
        </w:r>
      </w:hyperlink>
      <w:r w:rsidRPr="00F60A1E">
        <w:rPr>
          <w:bCs/>
          <w:szCs w:val="20"/>
        </w:rPr>
        <w:t xml:space="preserve"> and the </w:t>
      </w:r>
      <w:hyperlink r:id="rId97" w:history="1">
        <w:r w:rsidRPr="00F60A1E">
          <w:rPr>
            <w:bCs/>
            <w:color w:val="0000FF" w:themeColor="hyperlink"/>
            <w:szCs w:val="20"/>
            <w:u w:val="single"/>
          </w:rPr>
          <w:t>CRC</w:t>
        </w:r>
      </w:hyperlink>
      <w:r w:rsidRPr="00F60A1E">
        <w:rPr>
          <w:bCs/>
          <w:szCs w:val="20"/>
        </w:rPr>
        <w:t>. When the child is placed, the child receives a document including information on his/her rights, his/her right to judicial protection, and information on how to communicate with his/her legal counsel</w:t>
      </w:r>
      <w:r w:rsidRPr="00F60A1E">
        <w:rPr>
          <w:bCs/>
          <w:szCs w:val="20"/>
          <w:vertAlign w:val="superscript"/>
        </w:rPr>
        <w:footnoteReference w:id="180"/>
      </w:r>
      <w:r w:rsidRPr="00F60A1E">
        <w:rPr>
          <w:bCs/>
          <w:szCs w:val="20"/>
        </w:rPr>
        <w:t xml:space="preserve">. </w:t>
      </w:r>
      <w:r w:rsidRPr="00F60A1E">
        <w:rPr>
          <w:szCs w:val="20"/>
        </w:rPr>
        <w:t xml:space="preserve">As mentioned in </w:t>
      </w:r>
      <w:hyperlink w:anchor="_The_child_as" w:history="1">
        <w:r w:rsidRPr="00F60A1E">
          <w:rPr>
            <w:color w:val="0000FF" w:themeColor="hyperlink"/>
            <w:szCs w:val="20"/>
            <w:u w:val="single"/>
          </w:rPr>
          <w:t>Section 2.1</w:t>
        </w:r>
      </w:hyperlink>
      <w:r w:rsidRPr="00F60A1E">
        <w:rPr>
          <w:szCs w:val="20"/>
        </w:rPr>
        <w:t>, in the French community, a child of at least 14 years of age must provide his/her written consent to youth welfare assistance</w:t>
      </w:r>
      <w:r w:rsidRPr="00F60A1E">
        <w:rPr>
          <w:szCs w:val="20"/>
          <w:vertAlign w:val="superscript"/>
        </w:rPr>
        <w:footnoteReference w:id="181"/>
      </w:r>
      <w:r w:rsidRPr="00F60A1E">
        <w:rPr>
          <w:szCs w:val="20"/>
        </w:rPr>
        <w:t>. In case no voluntary measure is possible, i.e. the legal representative, the child, or the youth care service refuses youth assistance, the youth tribunal is competent to take measures, including the placement of the child. The Crown Prosecutor may also refer the child’s situation before a youth tribunal</w:t>
      </w:r>
      <w:r w:rsidRPr="00F60A1E">
        <w:rPr>
          <w:szCs w:val="20"/>
          <w:vertAlign w:val="superscript"/>
        </w:rPr>
        <w:footnoteReference w:id="182"/>
      </w:r>
      <w:r w:rsidRPr="00F60A1E">
        <w:rPr>
          <w:szCs w:val="20"/>
        </w:rPr>
        <w:t>.</w:t>
      </w:r>
    </w:p>
    <w:p w:rsidR="00F60A1E" w:rsidRPr="00F60A1E" w:rsidRDefault="00227001" w:rsidP="00227001">
      <w:pPr>
        <w:pStyle w:val="Heading3NoNumb"/>
        <w:ind w:left="851"/>
      </w:pPr>
      <w:bookmarkStart w:id="114" w:name="_Toc409792223"/>
      <w:r>
        <w:t>Youth tribunals</w:t>
      </w:r>
      <w:bookmarkEnd w:id="114"/>
    </w:p>
    <w:p w:rsidR="00F60A1E" w:rsidRPr="00F60A1E" w:rsidRDefault="00F60A1E" w:rsidP="00F60A1E">
      <w:pPr>
        <w:widowControl w:val="0"/>
        <w:spacing w:before="0" w:after="0" w:line="240" w:lineRule="auto"/>
        <w:ind w:left="851"/>
        <w:jc w:val="both"/>
        <w:rPr>
          <w:bCs/>
          <w:szCs w:val="20"/>
        </w:rPr>
      </w:pPr>
      <w:r w:rsidRPr="00F60A1E">
        <w:rPr>
          <w:bCs/>
          <w:szCs w:val="20"/>
        </w:rPr>
        <w:t>Youth tribunals are solely competent to decide on non-voluntary placement of children into care. The general rules on access to information on judicial proceedings and the provision of information apply in judicial proceedings regarding placement into care proceedings. The civil procedural rules apply to the youth tribunal proceedings.  See above under ‘health care proceedings’.</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In addition, each child involved in proceedings before the youth tribunals has the right to be informed of the content of his/her rights</w:t>
      </w:r>
      <w:r w:rsidRPr="00F60A1E">
        <w:rPr>
          <w:bCs/>
          <w:szCs w:val="20"/>
          <w:vertAlign w:val="superscript"/>
        </w:rPr>
        <w:footnoteReference w:id="183"/>
      </w:r>
      <w:r w:rsidRPr="00F60A1E">
        <w:rPr>
          <w:bCs/>
          <w:szCs w:val="20"/>
        </w:rPr>
        <w:t xml:space="preserve">. </w:t>
      </w:r>
      <w:r w:rsidRPr="00F60A1E">
        <w:rPr>
          <w:bCs/>
          <w:szCs w:val="20"/>
          <w:lang w:val="en"/>
        </w:rPr>
        <w:t>The social service for judicial youth assistance</w:t>
      </w:r>
      <w:r w:rsidRPr="00F60A1E">
        <w:rPr>
          <w:bCs/>
          <w:szCs w:val="20"/>
          <w:vertAlign w:val="superscript"/>
          <w:lang w:val="en"/>
        </w:rPr>
        <w:footnoteReference w:id="184"/>
      </w:r>
      <w:r w:rsidRPr="00F60A1E">
        <w:rPr>
          <w:bCs/>
          <w:szCs w:val="20"/>
          <w:lang w:val="en"/>
        </w:rPr>
        <w:t xml:space="preserve"> can inform children of their rights. </w:t>
      </w:r>
      <w:r w:rsidRPr="00F60A1E">
        <w:rPr>
          <w:bCs/>
          <w:szCs w:val="20"/>
        </w:rPr>
        <w:t xml:space="preserve">However, no legal requirement has been identified to ensure that children effectively receive information on their rights in a child-friendly manner. </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 xml:space="preserve">It is required that a copy of any decision taken by the youth tribunal in first instance or appeal </w:t>
      </w:r>
      <w:r w:rsidRPr="00F60A1E">
        <w:rPr>
          <w:bCs/>
          <w:szCs w:val="20"/>
        </w:rPr>
        <w:lastRenderedPageBreak/>
        <w:t>will be provided to the child’s legal counsel on the day when the decision was taken</w:t>
      </w:r>
      <w:r w:rsidRPr="00F60A1E">
        <w:rPr>
          <w:bCs/>
          <w:szCs w:val="20"/>
          <w:vertAlign w:val="superscript"/>
        </w:rPr>
        <w:footnoteReference w:id="185"/>
      </w:r>
      <w:r w:rsidRPr="00F60A1E">
        <w:rPr>
          <w:bCs/>
          <w:szCs w:val="20"/>
        </w:rPr>
        <w:t>.</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witness</w:t>
      </w:r>
    </w:p>
    <w:p w:rsidR="00F60A1E" w:rsidRPr="00F60A1E" w:rsidRDefault="00F60A1E" w:rsidP="00F60A1E">
      <w:pPr>
        <w:widowControl w:val="0"/>
        <w:spacing w:before="0" w:after="0" w:line="240" w:lineRule="auto"/>
        <w:ind w:left="851"/>
        <w:jc w:val="both"/>
        <w:rPr>
          <w:bCs/>
          <w:color w:val="FF0000"/>
          <w:szCs w:val="20"/>
        </w:rPr>
      </w:pPr>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The same general rules described above apply to child witnesses in health care proceedings.</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subject of proceedings</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No rules were identified on child subjects of placement into care judicial proceedings. A child in such proceedings will be plaintiff or defendant. The child is a party to proceedings before the youth tribunals, although the child’s legal representative must carry out the procedural acts on behalf of the child due to the child’s lack of procedural capacity.</w:t>
      </w:r>
    </w:p>
    <w:p w:rsidR="00F60A1E" w:rsidRPr="00F60A1E" w:rsidRDefault="00F60A1E" w:rsidP="00F60A1E">
      <w:pPr>
        <w:keepNext/>
        <w:keepLines/>
        <w:numPr>
          <w:ilvl w:val="2"/>
          <w:numId w:val="20"/>
        </w:numPr>
        <w:spacing w:before="200"/>
        <w:outlineLvl w:val="2"/>
        <w:rPr>
          <w:rFonts w:ascii="Calibri" w:eastAsiaTheme="majorEastAsia" w:hAnsi="Calibri" w:cstheme="majorBidi"/>
          <w:b/>
          <w:bCs/>
          <w:color w:val="0067AC"/>
          <w:sz w:val="22"/>
          <w:szCs w:val="22"/>
        </w:rPr>
      </w:pPr>
      <w:bookmarkStart w:id="115" w:name="_Toc401578569"/>
      <w:bookmarkStart w:id="116" w:name="_Toc404767188"/>
      <w:r w:rsidRPr="0082630D">
        <w:rPr>
          <w:rFonts w:ascii="Calibri" w:eastAsiaTheme="majorEastAsia" w:hAnsi="Calibri" w:cstheme="majorBidi"/>
          <w:b/>
          <w:bCs/>
          <w:color w:val="0067AC"/>
          <w:sz w:val="22"/>
        </w:rPr>
        <w:t>Procedural rules applicable to children involved in administrative sanctions proceedings</w:t>
      </w:r>
      <w:bookmarkEnd w:id="115"/>
      <w:r w:rsidRPr="00F60A1E">
        <w:rPr>
          <w:rFonts w:ascii="Calibri" w:eastAsiaTheme="majorEastAsia" w:hAnsi="Calibri" w:cstheme="majorBidi"/>
          <w:b/>
          <w:bCs/>
          <w:color w:val="0067AC"/>
          <w:sz w:val="22"/>
          <w:szCs w:val="22"/>
        </w:rPr>
        <w:t xml:space="preserve"> </w:t>
      </w:r>
      <w:r w:rsidRPr="00F60A1E">
        <w:rPr>
          <w:rFonts w:ascii="Calibri" w:eastAsiaTheme="majorEastAsia" w:hAnsi="Calibri" w:cstheme="majorBidi"/>
          <w:b/>
          <w:bCs/>
          <w:color w:val="0067AC"/>
          <w:sz w:val="22"/>
          <w:szCs w:val="22"/>
        </w:rPr>
        <w:br/>
      </w:r>
      <w:r w:rsidRPr="00F60A1E">
        <w:rPr>
          <w:rFonts w:eastAsia="Calibri" w:cstheme="majorBidi"/>
          <w:b/>
          <w:bCs/>
          <w:szCs w:val="20"/>
          <w:lang w:eastAsia="x-none"/>
        </w:rPr>
        <w:br/>
      </w:r>
      <w:r w:rsidRPr="00F60A1E">
        <w:rPr>
          <w:rFonts w:ascii="Calibri" w:eastAsiaTheme="majorEastAsia" w:hAnsi="Calibri" w:cstheme="majorBidi"/>
          <w:b/>
          <w:bCs/>
          <w:color w:val="0067AC"/>
          <w:sz w:val="22"/>
        </w:rPr>
        <w:t>Child as a plaintiff/defendant</w:t>
      </w:r>
      <w:bookmarkEnd w:id="116"/>
    </w:p>
    <w:p w:rsidR="00F60A1E" w:rsidRPr="00F60A1E" w:rsidRDefault="00F60A1E" w:rsidP="00F60A1E">
      <w:pPr>
        <w:widowControl w:val="0"/>
        <w:spacing w:before="0" w:after="0" w:line="240" w:lineRule="auto"/>
        <w:ind w:left="851"/>
        <w:jc w:val="both"/>
        <w:rPr>
          <w:szCs w:val="20"/>
        </w:rPr>
      </w:pPr>
      <w:r w:rsidRPr="00F60A1E">
        <w:rPr>
          <w:szCs w:val="20"/>
        </w:rPr>
        <w:t xml:space="preserve">As explained in </w:t>
      </w:r>
      <w:hyperlink w:anchor="_Overview_of_Member" w:history="1">
        <w:r w:rsidRPr="00F60A1E">
          <w:rPr>
            <w:color w:val="0000FF" w:themeColor="hyperlink"/>
            <w:szCs w:val="20"/>
            <w:u w:val="single"/>
          </w:rPr>
          <w:t>Section 1</w:t>
        </w:r>
      </w:hyperlink>
      <w:r w:rsidRPr="00F60A1E">
        <w:rPr>
          <w:szCs w:val="20"/>
        </w:rPr>
        <w:t>, administrative authorities can impose administrative sanctions on children for certain traffic offences and socially harmful behaviours by various administrative authorities. When municipalities adopt regulations including administrative sanctions against socially harmful behaviour, those municipalities must inform all children and children’s legal representatives living in the municipality</w:t>
      </w:r>
      <w:r w:rsidRPr="00F60A1E">
        <w:rPr>
          <w:szCs w:val="20"/>
          <w:vertAlign w:val="superscript"/>
        </w:rPr>
        <w:footnoteReference w:id="186"/>
      </w:r>
      <w:r w:rsidRPr="00F60A1E">
        <w:rPr>
          <w:szCs w:val="20"/>
        </w:rPr>
        <w:t>.</w:t>
      </w:r>
    </w:p>
    <w:p w:rsidR="00F60A1E" w:rsidRPr="00F60A1E" w:rsidRDefault="00F60A1E" w:rsidP="00F60A1E">
      <w:pPr>
        <w:widowControl w:val="0"/>
        <w:spacing w:before="0" w:after="0" w:line="240" w:lineRule="auto"/>
        <w:ind w:left="851"/>
        <w:jc w:val="both"/>
        <w:rPr>
          <w:szCs w:val="20"/>
        </w:rPr>
      </w:pPr>
    </w:p>
    <w:p w:rsidR="00F60A1E" w:rsidRPr="00F60A1E" w:rsidRDefault="00F60A1E" w:rsidP="00F60A1E">
      <w:pPr>
        <w:widowControl w:val="0"/>
        <w:spacing w:before="0" w:after="0" w:line="240" w:lineRule="auto"/>
        <w:ind w:left="851"/>
        <w:jc w:val="both"/>
        <w:rPr>
          <w:rFonts w:eastAsia="Times New Roman"/>
          <w:bCs/>
          <w:szCs w:val="20"/>
        </w:rPr>
      </w:pPr>
      <w:r w:rsidRPr="00F60A1E">
        <w:rPr>
          <w:rFonts w:eastAsia="Times New Roman"/>
          <w:bCs/>
          <w:szCs w:val="20"/>
        </w:rPr>
        <w:t xml:space="preserve">The child, via his/her legal representative, may appeal </w:t>
      </w:r>
      <w:r w:rsidRPr="00F60A1E">
        <w:rPr>
          <w:szCs w:val="20"/>
        </w:rPr>
        <w:t xml:space="preserve">the administrative sanction </w:t>
      </w:r>
      <w:r w:rsidRPr="00F60A1E">
        <w:rPr>
          <w:rFonts w:eastAsia="Times New Roman"/>
          <w:bCs/>
          <w:szCs w:val="20"/>
        </w:rPr>
        <w:t xml:space="preserve">decision to youth tribunal </w:t>
      </w:r>
      <w:r w:rsidRPr="00F60A1E">
        <w:rPr>
          <w:szCs w:val="20"/>
        </w:rPr>
        <w:t xml:space="preserve">applying the </w:t>
      </w:r>
      <w:hyperlink r:id="rId98" w:history="1">
        <w:r w:rsidRPr="00F60A1E">
          <w:rPr>
            <w:rFonts w:cs="Arial"/>
            <w:color w:val="0000FF" w:themeColor="hyperlink"/>
            <w:szCs w:val="20"/>
            <w:u w:val="single"/>
          </w:rPr>
          <w:t>Youth Protection Act</w:t>
        </w:r>
      </w:hyperlink>
      <w:r w:rsidRPr="00F60A1E">
        <w:rPr>
          <w:szCs w:val="20"/>
        </w:rPr>
        <w:t xml:space="preserve"> and </w:t>
      </w:r>
      <w:hyperlink r:id="rId99" w:history="1">
        <w:r w:rsidRPr="00F60A1E">
          <w:rPr>
            <w:rFonts w:cs="Arial"/>
            <w:color w:val="0000FF" w:themeColor="hyperlink"/>
            <w:szCs w:val="20"/>
            <w:u w:val="single"/>
          </w:rPr>
          <w:t>Judicial Code</w:t>
        </w:r>
      </w:hyperlink>
      <w:r w:rsidRPr="00F60A1E">
        <w:rPr>
          <w:szCs w:val="20"/>
        </w:rPr>
        <w:t xml:space="preserve"> (i.e. civil judicial procedural rules)</w:t>
      </w:r>
      <w:r w:rsidRPr="00F60A1E">
        <w:rPr>
          <w:rFonts w:eastAsia="Times New Roman"/>
          <w:bCs/>
          <w:szCs w:val="20"/>
          <w:vertAlign w:val="superscript"/>
        </w:rPr>
        <w:footnoteReference w:id="187"/>
      </w:r>
      <w:r w:rsidRPr="00F60A1E">
        <w:rPr>
          <w:rFonts w:eastAsia="Times New Roman"/>
          <w:bCs/>
          <w:szCs w:val="20"/>
        </w:rPr>
        <w:t>. No legal requirement has been identified on the provision of information to the child on the right to appeal against the administrative sanction decision.</w:t>
      </w:r>
    </w:p>
    <w:p w:rsidR="00F60A1E" w:rsidRPr="00F60A1E" w:rsidRDefault="00F60A1E" w:rsidP="00F60A1E">
      <w:pPr>
        <w:widowControl w:val="0"/>
        <w:spacing w:before="0" w:after="0" w:line="240" w:lineRule="auto"/>
        <w:ind w:left="851"/>
        <w:jc w:val="both"/>
        <w:rPr>
          <w:rFonts w:eastAsia="Times New Roman"/>
          <w:bCs/>
          <w:szCs w:val="20"/>
        </w:rPr>
      </w:pPr>
    </w:p>
    <w:p w:rsidR="00F60A1E" w:rsidRPr="00F60A1E" w:rsidRDefault="00F60A1E" w:rsidP="00F60A1E">
      <w:pPr>
        <w:widowControl w:val="0"/>
        <w:spacing w:before="0" w:after="0" w:line="240" w:lineRule="auto"/>
        <w:ind w:left="851"/>
        <w:jc w:val="both"/>
        <w:rPr>
          <w:bCs/>
          <w:szCs w:val="20"/>
        </w:rPr>
      </w:pPr>
      <w:r w:rsidRPr="00F60A1E">
        <w:rPr>
          <w:rFonts w:eastAsia="Times New Roman"/>
          <w:bCs/>
          <w:szCs w:val="20"/>
        </w:rPr>
        <w:t>T</w:t>
      </w:r>
      <w:r w:rsidRPr="00F60A1E">
        <w:rPr>
          <w:bCs/>
          <w:szCs w:val="20"/>
        </w:rPr>
        <w:t>he general rules on access to information on judicial proceedings and the provision of information apply in judicial proceedings regarding administrative sanctions proceedings. Civil procedural rules apply to the proceedings of the youth tribunals. See above under ‘health care proceedings’.</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In addition, each child involved in a proceeding before a youth tribunal has the right to be informed of his/her rights</w:t>
      </w:r>
      <w:r w:rsidRPr="00F60A1E">
        <w:rPr>
          <w:bCs/>
          <w:szCs w:val="20"/>
          <w:vertAlign w:val="superscript"/>
        </w:rPr>
        <w:footnoteReference w:id="188"/>
      </w:r>
      <w:r w:rsidRPr="00F60A1E">
        <w:rPr>
          <w:bCs/>
          <w:szCs w:val="20"/>
        </w:rPr>
        <w:t>. However, no legal requirement has been identified to ensure that children effectively receive information on their rights in a child-friendly manner.</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A copy of any decision taken by the youth tribunal in first instance or appeal is required to be provided to the child’s legal counsel on the day that the decision was taken</w:t>
      </w:r>
      <w:r w:rsidRPr="00F60A1E">
        <w:rPr>
          <w:bCs/>
          <w:szCs w:val="20"/>
          <w:vertAlign w:val="superscript"/>
        </w:rPr>
        <w:footnoteReference w:id="189"/>
      </w:r>
      <w:r w:rsidRPr="00F60A1E">
        <w:rPr>
          <w:bCs/>
          <w:szCs w:val="20"/>
        </w:rPr>
        <w:t>.</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witness</w:t>
      </w:r>
    </w:p>
    <w:p w:rsidR="00F60A1E" w:rsidRPr="00F60A1E" w:rsidRDefault="00F60A1E" w:rsidP="00F60A1E">
      <w:pPr>
        <w:widowControl w:val="0"/>
        <w:spacing w:before="0" w:after="0" w:line="240" w:lineRule="auto"/>
        <w:ind w:left="851"/>
        <w:jc w:val="both"/>
        <w:rPr>
          <w:bCs/>
          <w:color w:val="FF0000"/>
          <w:szCs w:val="20"/>
        </w:rPr>
      </w:pPr>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The same general rules described above apply to child witnesses in administrative sanctions proceedings.</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subject of proceedings</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No rules were identified on child subjects of administrative sanction judicial proceedings. A child in such proceedings will be a plaintiff or a defendant. The child is a party to proceedings before a youth tribunal, although the child’s legal representative must carry out the procedural acts on behalf of the child due to the child’s lack of procedural capacity.</w:t>
      </w:r>
    </w:p>
    <w:p w:rsidR="00F60A1E" w:rsidRPr="00F60A1E" w:rsidRDefault="00F60A1E" w:rsidP="0082630D">
      <w:pPr>
        <w:pStyle w:val="Heading2"/>
      </w:pPr>
      <w:bookmarkStart w:id="117" w:name="_Toc371624428"/>
      <w:bookmarkStart w:id="118" w:name="_Toc401070020"/>
      <w:bookmarkStart w:id="119" w:name="_Toc401219666"/>
      <w:bookmarkStart w:id="120" w:name="_Toc401221494"/>
      <w:bookmarkStart w:id="121" w:name="_Toc401221571"/>
      <w:bookmarkStart w:id="122" w:name="_Toc401232325"/>
      <w:bookmarkStart w:id="123" w:name="_Toc404767189"/>
      <w:bookmarkStart w:id="124" w:name="_Toc338234112"/>
      <w:bookmarkStart w:id="125" w:name="_Toc409792224"/>
      <w:r w:rsidRPr="00F60A1E">
        <w:lastRenderedPageBreak/>
        <w:t>Protection of the child’s private and family life</w:t>
      </w:r>
      <w:bookmarkEnd w:id="117"/>
      <w:bookmarkEnd w:id="118"/>
      <w:bookmarkEnd w:id="119"/>
      <w:bookmarkEnd w:id="120"/>
      <w:bookmarkEnd w:id="121"/>
      <w:bookmarkEnd w:id="122"/>
      <w:bookmarkEnd w:id="123"/>
      <w:bookmarkEnd w:id="125"/>
      <w:r w:rsidRPr="00F60A1E">
        <w:t xml:space="preserve"> </w:t>
      </w:r>
      <w:bookmarkEnd w:id="124"/>
    </w:p>
    <w:p w:rsidR="00F60A1E" w:rsidRPr="00F60A1E" w:rsidRDefault="00F60A1E" w:rsidP="0082630D">
      <w:pPr>
        <w:pStyle w:val="Heading3"/>
      </w:pPr>
      <w:bookmarkStart w:id="126" w:name="_Toc401578571"/>
      <w:bookmarkStart w:id="127" w:name="_Toc404767190"/>
      <w:bookmarkStart w:id="128" w:name="_Toc409792225"/>
      <w:r w:rsidRPr="00F60A1E">
        <w:t>General procedural rules applicable to children involved in administrative judicial proceedings including proceedings reviewing administrative authorities’ decisions in the sectors of asylum, migration and education</w:t>
      </w:r>
      <w:bookmarkEnd w:id="126"/>
      <w:bookmarkEnd w:id="127"/>
      <w:bookmarkEnd w:id="128"/>
    </w:p>
    <w:p w:rsidR="00F60A1E" w:rsidRPr="00F60A1E" w:rsidRDefault="00F60A1E" w:rsidP="00F60A1E">
      <w:pPr>
        <w:widowControl w:val="0"/>
        <w:spacing w:before="0" w:after="0" w:line="240" w:lineRule="auto"/>
        <w:ind w:left="851"/>
        <w:jc w:val="both"/>
        <w:rPr>
          <w:rFonts w:cs="Arial"/>
          <w:szCs w:val="20"/>
        </w:rPr>
      </w:pPr>
      <w:r w:rsidRPr="00F60A1E">
        <w:rPr>
          <w:rFonts w:cs="Arial"/>
          <w:bCs/>
          <w:szCs w:val="20"/>
        </w:rPr>
        <w:t>The general rules described below apply to administrative judicial proceedings in the sectors listed above. However, certain specific rules exist in several sectors which are described below in a separate subheading.</w:t>
      </w:r>
      <w:r w:rsidRPr="00F60A1E">
        <w:rPr>
          <w:rFonts w:cs="Arial"/>
          <w:szCs w:val="20"/>
        </w:rPr>
        <w:t xml:space="preserve"> Civil procedural rules apply to healthcare proceedings, proceedings concerning children involved in administrative sanctions and proceedings concerning placement into care (including children below the MACR who committed offences, see </w:t>
      </w:r>
      <w:hyperlink w:anchor="_Overview_of_Member_2" w:history="1">
        <w:r w:rsidRPr="00F60A1E">
          <w:rPr>
            <w:rFonts w:cs="Arial"/>
            <w:color w:val="0000FF" w:themeColor="hyperlink"/>
            <w:szCs w:val="20"/>
            <w:u w:val="single"/>
          </w:rPr>
          <w:t>Section 1</w:t>
        </w:r>
      </w:hyperlink>
      <w:r w:rsidRPr="00F60A1E">
        <w:rPr>
          <w:rFonts w:cs="Arial"/>
          <w:szCs w:val="20"/>
        </w:rPr>
        <w:t>).</w:t>
      </w:r>
      <w:r w:rsidRPr="00F60A1E">
        <w:rPr>
          <w:bCs/>
          <w:szCs w:val="20"/>
          <w:lang w:val="en-US"/>
        </w:rPr>
        <w:t xml:space="preserve"> </w:t>
      </w:r>
    </w:p>
    <w:p w:rsidR="00F60A1E" w:rsidRPr="00F60A1E" w:rsidRDefault="00F60A1E" w:rsidP="00F60A1E">
      <w:pPr>
        <w:widowControl w:val="0"/>
        <w:spacing w:before="0" w:after="0" w:line="240" w:lineRule="auto"/>
        <w:ind w:left="851"/>
        <w:jc w:val="both"/>
      </w:pPr>
    </w:p>
    <w:p w:rsidR="00F60A1E" w:rsidRPr="00F60A1E" w:rsidRDefault="00F60A1E" w:rsidP="00F60A1E">
      <w:pPr>
        <w:widowControl w:val="0"/>
        <w:spacing w:before="0" w:after="0" w:line="240" w:lineRule="auto"/>
        <w:ind w:left="851"/>
        <w:jc w:val="both"/>
      </w:pPr>
      <w:r w:rsidRPr="00F60A1E">
        <w:t xml:space="preserve">There are no specific legal rules on children, children’s privacy, and personal data in administrative judicial proceedings. Hence, the general rules of proceedings before the Council of State and the </w:t>
      </w:r>
      <w:hyperlink r:id="rId100" w:history="1">
        <w:r w:rsidRPr="00F60A1E">
          <w:rPr>
            <w:rFonts w:cs="Arial"/>
            <w:color w:val="0000FF" w:themeColor="hyperlink"/>
            <w:u w:val="single"/>
          </w:rPr>
          <w:t>Judicial Code</w:t>
        </w:r>
      </w:hyperlink>
      <w:r w:rsidRPr="00F60A1E">
        <w:t xml:space="preserve"> apply.</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plaintiff/defendant</w:t>
      </w:r>
    </w:p>
    <w:p w:rsidR="00F60A1E" w:rsidRPr="00F60A1E" w:rsidRDefault="00F60A1E" w:rsidP="00227001">
      <w:pPr>
        <w:pStyle w:val="Heading3NoNumb"/>
        <w:ind w:firstLine="851"/>
      </w:pPr>
      <w:bookmarkStart w:id="129" w:name="_Toc409792226"/>
      <w:r w:rsidRPr="00F60A1E">
        <w:t>Protection of the personal data and privacy of children</w:t>
      </w:r>
      <w:bookmarkEnd w:id="129"/>
    </w:p>
    <w:p w:rsidR="00F60A1E" w:rsidRPr="00F60A1E" w:rsidRDefault="00F60A1E" w:rsidP="00F60A1E">
      <w:pPr>
        <w:widowControl w:val="0"/>
        <w:spacing w:before="0" w:after="0" w:line="240" w:lineRule="auto"/>
        <w:ind w:left="851"/>
        <w:jc w:val="both"/>
        <w:rPr>
          <w:bCs/>
        </w:rPr>
      </w:pPr>
      <w:r w:rsidRPr="00F60A1E">
        <w:t xml:space="preserve">As explained in </w:t>
      </w:r>
      <w:r w:rsidRPr="00F60A1E">
        <w:rPr>
          <w:bCs/>
        </w:rPr>
        <w:t>the Study to collect data on children’s involvement in civil judicial proceedings</w:t>
      </w:r>
      <w:r w:rsidRPr="00F60A1E">
        <w:t>, n</w:t>
      </w:r>
      <w:r w:rsidRPr="00F60A1E">
        <w:rPr>
          <w:bCs/>
        </w:rPr>
        <w:t xml:space="preserve">o specific rules on the protection of personal data and privacy of children were identified; hence the general rules, i.e. rules applicable to adults, apply. The </w:t>
      </w:r>
      <w:hyperlink r:id="rId101" w:history="1">
        <w:r w:rsidRPr="00F60A1E">
          <w:rPr>
            <w:rFonts w:cs="Arial"/>
            <w:bCs/>
            <w:color w:val="0000FF" w:themeColor="hyperlink"/>
            <w:u w:val="single"/>
          </w:rPr>
          <w:t>Constitution</w:t>
        </w:r>
      </w:hyperlink>
      <w:r w:rsidRPr="00F60A1E">
        <w:rPr>
          <w:bCs/>
        </w:rPr>
        <w:t xml:space="preserve"> guarantees the right to private and family life</w:t>
      </w:r>
      <w:r w:rsidRPr="00F60A1E">
        <w:rPr>
          <w:bCs/>
          <w:vertAlign w:val="superscript"/>
        </w:rPr>
        <w:footnoteReference w:id="190"/>
      </w:r>
      <w:r w:rsidRPr="00F60A1E">
        <w:rPr>
          <w:bCs/>
        </w:rPr>
        <w:t xml:space="preserve">. In addition, Article 8 of the </w:t>
      </w:r>
      <w:hyperlink r:id="rId102" w:history="1">
        <w:r w:rsidRPr="00F60A1E">
          <w:rPr>
            <w:rFonts w:cs="Arial"/>
            <w:bCs/>
            <w:color w:val="0000FF" w:themeColor="hyperlink"/>
            <w:u w:val="single"/>
          </w:rPr>
          <w:t>ECHR</w:t>
        </w:r>
      </w:hyperlink>
      <w:r w:rsidRPr="00F60A1E">
        <w:rPr>
          <w:bCs/>
        </w:rPr>
        <w:t xml:space="preserve"> and Article 16 of the </w:t>
      </w:r>
      <w:hyperlink r:id="rId103" w:history="1">
        <w:r w:rsidRPr="00F60A1E">
          <w:rPr>
            <w:rFonts w:cs="Arial"/>
            <w:bCs/>
            <w:color w:val="0000FF" w:themeColor="hyperlink"/>
            <w:u w:val="single"/>
          </w:rPr>
          <w:t>CRC</w:t>
        </w:r>
      </w:hyperlink>
      <w:r w:rsidRPr="00F60A1E">
        <w:rPr>
          <w:bCs/>
        </w:rPr>
        <w:t xml:space="preserve"> apply in Belgium. As a general rule, the right to private life must be guaranteed whilst processing personal data</w:t>
      </w:r>
      <w:r w:rsidRPr="00F60A1E">
        <w:rPr>
          <w:bCs/>
          <w:vertAlign w:val="superscript"/>
        </w:rPr>
        <w:footnoteReference w:id="191"/>
      </w:r>
      <w:r w:rsidRPr="00F60A1E">
        <w:rPr>
          <w:bCs/>
        </w:rPr>
        <w:t xml:space="preserve">. </w:t>
      </w:r>
    </w:p>
    <w:p w:rsidR="00F60A1E" w:rsidRPr="00F60A1E" w:rsidRDefault="00F60A1E" w:rsidP="00F60A1E">
      <w:pPr>
        <w:widowControl w:val="0"/>
        <w:spacing w:before="0" w:after="0" w:line="240" w:lineRule="auto"/>
        <w:ind w:left="851"/>
        <w:jc w:val="both"/>
        <w:rPr>
          <w:bCs/>
        </w:rPr>
      </w:pPr>
    </w:p>
    <w:p w:rsidR="00F60A1E" w:rsidRPr="00F60A1E" w:rsidRDefault="00F60A1E" w:rsidP="00F60A1E">
      <w:pPr>
        <w:widowControl w:val="0"/>
        <w:spacing w:before="0" w:after="0" w:line="240" w:lineRule="auto"/>
        <w:ind w:left="851"/>
        <w:jc w:val="both"/>
        <w:rPr>
          <w:bCs/>
        </w:rPr>
      </w:pPr>
      <w:r w:rsidRPr="00F60A1E">
        <w:rPr>
          <w:bCs/>
        </w:rPr>
        <w:t>The violation of this right can be punished by a fine, publication of the judgement, seizure of the material containing the personal data, or by requesting the deletion of his/her personal data from the material containing it</w:t>
      </w:r>
      <w:r w:rsidRPr="00F60A1E">
        <w:rPr>
          <w:bCs/>
          <w:vertAlign w:val="superscript"/>
        </w:rPr>
        <w:footnoteReference w:id="192"/>
      </w:r>
      <w:r w:rsidRPr="00F60A1E">
        <w:rPr>
          <w:bCs/>
        </w:rPr>
        <w:t xml:space="preserve">. A person whose rights have been breached can file a claim for the compensation of his/her damages. A person who suffers from the violation of his/her right to privacy and protection of personal data can also file a complaint before the </w:t>
      </w:r>
      <w:hyperlink r:id="rId104" w:history="1">
        <w:r w:rsidRPr="00F60A1E">
          <w:rPr>
            <w:rFonts w:cs="Arial"/>
            <w:bCs/>
            <w:color w:val="0000FF" w:themeColor="hyperlink"/>
            <w:u w:val="single"/>
          </w:rPr>
          <w:t>Commission for the Protection of Privacy</w:t>
        </w:r>
      </w:hyperlink>
      <w:r w:rsidRPr="00F60A1E">
        <w:rPr>
          <w:bCs/>
        </w:rPr>
        <w:t>.</w:t>
      </w:r>
    </w:p>
    <w:p w:rsidR="00F60A1E" w:rsidRPr="00F60A1E" w:rsidRDefault="00F60A1E" w:rsidP="00F60A1E">
      <w:pPr>
        <w:widowControl w:val="0"/>
        <w:spacing w:before="0" w:after="0" w:line="240" w:lineRule="auto"/>
        <w:ind w:left="851"/>
        <w:jc w:val="both"/>
        <w:rPr>
          <w:bCs/>
        </w:rPr>
      </w:pPr>
    </w:p>
    <w:p w:rsidR="00F60A1E" w:rsidRPr="00F60A1E" w:rsidRDefault="00F60A1E" w:rsidP="00F60A1E">
      <w:pPr>
        <w:widowControl w:val="0"/>
        <w:spacing w:before="0" w:after="0" w:line="240" w:lineRule="auto"/>
        <w:ind w:left="851"/>
        <w:jc w:val="both"/>
        <w:rPr>
          <w:bCs/>
        </w:rPr>
      </w:pPr>
      <w:r w:rsidRPr="00F60A1E">
        <w:rPr>
          <w:bCs/>
        </w:rPr>
        <w:t xml:space="preserve">As a result of the lack of procedural capacity to act, the child’s legal representative is responsible to act in the defence of the child’s protection of personal data and privacy. </w:t>
      </w:r>
    </w:p>
    <w:p w:rsidR="00F60A1E" w:rsidRPr="00F60A1E" w:rsidRDefault="00F60A1E" w:rsidP="00227001">
      <w:pPr>
        <w:pStyle w:val="Heading3NoNumb"/>
        <w:ind w:firstLine="851"/>
      </w:pPr>
      <w:bookmarkStart w:id="130" w:name="_Toc409792227"/>
      <w:r w:rsidRPr="00F60A1E">
        <w:t>Protection of personal data in judicial proceedin</w:t>
      </w:r>
      <w:r w:rsidR="00227001">
        <w:t>gs</w:t>
      </w:r>
      <w:bookmarkEnd w:id="130"/>
    </w:p>
    <w:p w:rsidR="00F60A1E" w:rsidRPr="00F60A1E" w:rsidRDefault="00F60A1E" w:rsidP="00F60A1E">
      <w:pPr>
        <w:widowControl w:val="0"/>
        <w:spacing w:before="0" w:after="0" w:line="240" w:lineRule="auto"/>
        <w:ind w:left="851"/>
        <w:jc w:val="both"/>
        <w:rPr>
          <w:bCs/>
        </w:rPr>
      </w:pPr>
      <w:r w:rsidRPr="00F60A1E">
        <w:rPr>
          <w:bCs/>
        </w:rPr>
        <w:t>The right to privacy and the protection of personal data also apply to judicial proceedings. However, the courts benefit from an exemption to this right in accordance with which they can access and use personal data when it is necessary for carrying out their work. Similarly, legal counsels can also access and use, process and handle personal data when necessary for the defence of their clients. Parties to the proceedings may also access and process personal data during judicial proceedings – to the extent required by the proceedings. Persons benefiting from the above referred exemptions are under the obligation of professional secrecy</w:t>
      </w:r>
      <w:r w:rsidRPr="00F60A1E">
        <w:rPr>
          <w:bCs/>
          <w:vertAlign w:val="superscript"/>
        </w:rPr>
        <w:footnoteReference w:id="193"/>
      </w:r>
      <w:r w:rsidRPr="00F60A1E">
        <w:rPr>
          <w:bCs/>
        </w:rPr>
        <w:t>.</w:t>
      </w:r>
    </w:p>
    <w:p w:rsidR="00F60A1E" w:rsidRPr="00F60A1E" w:rsidRDefault="00F60A1E" w:rsidP="00F60A1E">
      <w:pPr>
        <w:widowControl w:val="0"/>
        <w:spacing w:before="0" w:after="0" w:line="240" w:lineRule="auto"/>
        <w:ind w:left="851"/>
        <w:jc w:val="both"/>
        <w:rPr>
          <w:bCs/>
        </w:rPr>
      </w:pPr>
    </w:p>
    <w:p w:rsidR="00F60A1E" w:rsidRPr="00F60A1E" w:rsidRDefault="00F60A1E" w:rsidP="00F60A1E">
      <w:pPr>
        <w:widowControl w:val="0"/>
        <w:spacing w:before="0" w:after="0" w:line="240" w:lineRule="auto"/>
        <w:ind w:left="851"/>
        <w:jc w:val="both"/>
        <w:rPr>
          <w:bCs/>
        </w:rPr>
      </w:pPr>
      <w:r w:rsidRPr="00F60A1E">
        <w:rPr>
          <w:bCs/>
        </w:rPr>
        <w:t xml:space="preserve">For each case registered before a court, a file is established. The file contains all the original documents linked to the proceedings, such as the original claims, the notifications, the file of the procedure before the administrative authority, experts’ reports, and other justifying documents. The parties to the proceedings can add documents to the file. The parties and </w:t>
      </w:r>
      <w:r w:rsidRPr="00F60A1E">
        <w:rPr>
          <w:bCs/>
        </w:rPr>
        <w:lastRenderedPageBreak/>
        <w:t>their legal counsels have the right to access and consult the file at the clerk’s office</w:t>
      </w:r>
      <w:r w:rsidRPr="00F60A1E">
        <w:rPr>
          <w:bCs/>
          <w:vertAlign w:val="superscript"/>
        </w:rPr>
        <w:footnoteReference w:id="194"/>
      </w:r>
      <w:r w:rsidRPr="00F60A1E">
        <w:rPr>
          <w:bCs/>
        </w:rPr>
        <w:t>. In proceedings involving children, the children’s legal representatives and legal counsels will have access to the files. A judge, representatives of the clerk’s office and judicial authorities can also access the file.</w:t>
      </w:r>
    </w:p>
    <w:p w:rsidR="00F60A1E" w:rsidRPr="00F60A1E" w:rsidRDefault="00F60A1E" w:rsidP="00F60A1E">
      <w:pPr>
        <w:widowControl w:val="0"/>
        <w:spacing w:before="0" w:after="0" w:line="240" w:lineRule="auto"/>
        <w:jc w:val="both"/>
        <w:rPr>
          <w:bCs/>
        </w:rPr>
      </w:pPr>
    </w:p>
    <w:p w:rsidR="00F60A1E" w:rsidRPr="00F60A1E" w:rsidRDefault="00F60A1E" w:rsidP="00F60A1E">
      <w:pPr>
        <w:widowControl w:val="0"/>
        <w:spacing w:before="0" w:after="0" w:line="240" w:lineRule="auto"/>
        <w:ind w:left="851"/>
        <w:jc w:val="both"/>
        <w:rPr>
          <w:bCs/>
        </w:rPr>
      </w:pPr>
      <w:r w:rsidRPr="00F60A1E">
        <w:rPr>
          <w:bCs/>
        </w:rPr>
        <w:t>Parties may request that certain documents remain confidential from other parties, provided that it is justified and notified to the clerk’s office. Such documents cannot be mentioned, involved or included in any procedural act, unless the request for confidentiality has been refused</w:t>
      </w:r>
      <w:r w:rsidRPr="00F60A1E">
        <w:rPr>
          <w:bCs/>
          <w:vertAlign w:val="superscript"/>
        </w:rPr>
        <w:footnoteReference w:id="195"/>
      </w:r>
      <w:r w:rsidRPr="00F60A1E">
        <w:rPr>
          <w:bCs/>
        </w:rPr>
        <w:t>. The judge does not have discretionary power to disclose confidential documents.</w:t>
      </w:r>
    </w:p>
    <w:p w:rsidR="00F60A1E" w:rsidRPr="00F60A1E" w:rsidRDefault="00F60A1E" w:rsidP="00F60A1E">
      <w:pPr>
        <w:widowControl w:val="0"/>
        <w:spacing w:before="0" w:after="0" w:line="240" w:lineRule="auto"/>
        <w:ind w:left="851"/>
        <w:jc w:val="both"/>
        <w:rPr>
          <w:bCs/>
        </w:rPr>
      </w:pPr>
    </w:p>
    <w:p w:rsidR="00F60A1E" w:rsidRPr="00F60A1E" w:rsidRDefault="00F60A1E" w:rsidP="00F60A1E">
      <w:pPr>
        <w:widowControl w:val="0"/>
        <w:spacing w:before="0" w:after="0" w:line="240" w:lineRule="auto"/>
        <w:ind w:left="851"/>
        <w:jc w:val="both"/>
        <w:rPr>
          <w:bCs/>
        </w:rPr>
      </w:pPr>
      <w:r w:rsidRPr="00F60A1E">
        <w:rPr>
          <w:bCs/>
        </w:rPr>
        <w:t>As an exception, while the official written report of the interview of the child will be included in the file, the report will not be accessible by the parties to the proceedings</w:t>
      </w:r>
      <w:r w:rsidRPr="00F60A1E">
        <w:rPr>
          <w:bCs/>
          <w:vertAlign w:val="superscript"/>
        </w:rPr>
        <w:footnoteReference w:id="196"/>
      </w:r>
      <w:r w:rsidRPr="00F60A1E">
        <w:rPr>
          <w:bCs/>
        </w:rPr>
        <w:t xml:space="preserve">. As a result, the official report will not be accessible by the child’s legal representative representing the child party in the proceedings. </w:t>
      </w:r>
    </w:p>
    <w:p w:rsidR="00F60A1E" w:rsidRPr="00F60A1E" w:rsidRDefault="00F60A1E" w:rsidP="00F60A1E">
      <w:pPr>
        <w:widowControl w:val="0"/>
        <w:spacing w:before="0" w:after="0" w:line="240" w:lineRule="auto"/>
        <w:ind w:left="851"/>
        <w:jc w:val="both"/>
        <w:rPr>
          <w:bCs/>
          <w:highlight w:val="yellow"/>
        </w:rPr>
      </w:pPr>
    </w:p>
    <w:p w:rsidR="00F60A1E" w:rsidRPr="00F60A1E" w:rsidRDefault="00F60A1E" w:rsidP="00F60A1E">
      <w:pPr>
        <w:widowControl w:val="0"/>
        <w:spacing w:before="0" w:after="0" w:line="240" w:lineRule="auto"/>
        <w:ind w:left="851"/>
        <w:jc w:val="both"/>
        <w:rPr>
          <w:bCs/>
        </w:rPr>
      </w:pPr>
      <w:r w:rsidRPr="00F60A1E">
        <w:rPr>
          <w:bCs/>
        </w:rPr>
        <w:t xml:space="preserve">It is important to repeat that, except in the cases mentioned in </w:t>
      </w:r>
      <w:hyperlink w:anchor="_The_child_as" w:history="1">
        <w:r w:rsidRPr="00F60A1E">
          <w:rPr>
            <w:rFonts w:cs="Arial"/>
            <w:bCs/>
            <w:color w:val="0000FF" w:themeColor="hyperlink"/>
            <w:u w:val="single"/>
          </w:rPr>
          <w:t>Section 2.1</w:t>
        </w:r>
      </w:hyperlink>
      <w:r w:rsidRPr="00F60A1E">
        <w:rPr>
          <w:bCs/>
        </w:rPr>
        <w:t>, as a result of the child’s lack of procedural capacity to act formally, the child will not be a party to the proceedings, but rather, the child’s legal representative will act on his/her behalf.</w:t>
      </w:r>
    </w:p>
    <w:p w:rsidR="00F60A1E" w:rsidRPr="00227001" w:rsidRDefault="00F60A1E" w:rsidP="00227001">
      <w:pPr>
        <w:pStyle w:val="Heading3NoNumb"/>
        <w:ind w:firstLine="851"/>
      </w:pPr>
      <w:bookmarkStart w:id="131" w:name="_Toc409792228"/>
      <w:r w:rsidRPr="00F60A1E">
        <w:t>Protection of privacy in judicial proceedings</w:t>
      </w:r>
      <w:bookmarkEnd w:id="131"/>
    </w:p>
    <w:p w:rsidR="00F60A1E" w:rsidRPr="00F60A1E" w:rsidRDefault="00F60A1E" w:rsidP="00F60A1E">
      <w:pPr>
        <w:widowControl w:val="0"/>
        <w:spacing w:before="0" w:after="0" w:line="240" w:lineRule="auto"/>
        <w:ind w:left="851"/>
        <w:jc w:val="both"/>
      </w:pPr>
      <w:r w:rsidRPr="00F60A1E">
        <w:t>As a constitutional principle, hearings before the courts, including the Council of State, are open to the public. However, as an exception, a judge may decide to meet in a closed hearing on the basis that a public hearing would go against the public order or morals</w:t>
      </w:r>
      <w:r w:rsidRPr="00F60A1E">
        <w:rPr>
          <w:vertAlign w:val="superscript"/>
        </w:rPr>
        <w:footnoteReference w:id="197"/>
      </w:r>
      <w:r w:rsidRPr="00F60A1E">
        <w:t>. If no parties have requested to be heard, the hearing before the Council of State will be closed to the public.</w:t>
      </w:r>
    </w:p>
    <w:p w:rsidR="00F60A1E" w:rsidRPr="00F60A1E" w:rsidRDefault="00F60A1E" w:rsidP="00F60A1E">
      <w:pPr>
        <w:widowControl w:val="0"/>
        <w:spacing w:before="0" w:after="0" w:line="240" w:lineRule="auto"/>
        <w:ind w:left="851"/>
        <w:jc w:val="both"/>
      </w:pPr>
    </w:p>
    <w:p w:rsidR="00F60A1E" w:rsidRPr="00F60A1E" w:rsidRDefault="00F60A1E" w:rsidP="00F60A1E">
      <w:pPr>
        <w:widowControl w:val="0"/>
        <w:spacing w:before="0" w:after="0" w:line="240" w:lineRule="auto"/>
        <w:ind w:left="851"/>
        <w:jc w:val="both"/>
        <w:rPr>
          <w:bCs/>
        </w:rPr>
      </w:pPr>
      <w:r w:rsidRPr="00F60A1E">
        <w:rPr>
          <w:bCs/>
        </w:rPr>
        <w:t xml:space="preserve">In addition, the Council may, at the request of either party or </w:t>
      </w:r>
      <w:r w:rsidRPr="00F60A1E">
        <w:rPr>
          <w:bCs/>
          <w:i/>
        </w:rPr>
        <w:t>ex officio</w:t>
      </w:r>
      <w:r w:rsidRPr="00F60A1E">
        <w:rPr>
          <w:bCs/>
        </w:rPr>
        <w:t>, order the case to be heard in a closed session in the interests of morality or public order, or where other legitimate interests require it, or to ensure the confidentiality of information</w:t>
      </w:r>
      <w:r w:rsidRPr="00F60A1E">
        <w:rPr>
          <w:bCs/>
          <w:vertAlign w:val="superscript"/>
        </w:rPr>
        <w:footnoteReference w:id="198"/>
      </w:r>
      <w:r w:rsidRPr="00F60A1E">
        <w:rPr>
          <w:bCs/>
        </w:rPr>
        <w:t>. Considering the child’s lack of capacity to act, it is his/her legal representative who files the request.</w:t>
      </w:r>
    </w:p>
    <w:p w:rsidR="00F60A1E" w:rsidRPr="00F60A1E" w:rsidRDefault="00F60A1E" w:rsidP="00F60A1E">
      <w:pPr>
        <w:widowControl w:val="0"/>
        <w:spacing w:before="0" w:after="0" w:line="240" w:lineRule="auto"/>
        <w:ind w:left="851"/>
        <w:jc w:val="both"/>
      </w:pPr>
    </w:p>
    <w:p w:rsidR="00F60A1E" w:rsidRPr="00F60A1E" w:rsidRDefault="00F60A1E" w:rsidP="00F60A1E">
      <w:pPr>
        <w:widowControl w:val="0"/>
        <w:spacing w:before="0" w:after="0" w:line="240" w:lineRule="auto"/>
        <w:ind w:left="851"/>
        <w:jc w:val="both"/>
      </w:pPr>
      <w:r w:rsidRPr="00F60A1E">
        <w:t>All the Council of State’s decisions are pronounced in public hearings and published</w:t>
      </w:r>
      <w:r w:rsidRPr="00F60A1E">
        <w:rPr>
          <w:vertAlign w:val="superscript"/>
        </w:rPr>
        <w:footnoteReference w:id="199"/>
      </w:r>
      <w:r w:rsidRPr="00F60A1E">
        <w:t>.</w:t>
      </w:r>
    </w:p>
    <w:p w:rsidR="00F60A1E" w:rsidRPr="00227001" w:rsidRDefault="00F60A1E" w:rsidP="00227001">
      <w:pPr>
        <w:pStyle w:val="Heading3NoNumb"/>
        <w:ind w:firstLine="851"/>
      </w:pPr>
      <w:bookmarkStart w:id="132" w:name="_Toc409792229"/>
      <w:r w:rsidRPr="00F60A1E">
        <w:t>Confidentiality rules applicable to professionals involved in judicial proceedings</w:t>
      </w:r>
      <w:bookmarkEnd w:id="132"/>
    </w:p>
    <w:p w:rsidR="00F60A1E" w:rsidRPr="00F60A1E" w:rsidRDefault="00F60A1E" w:rsidP="00F60A1E">
      <w:pPr>
        <w:widowControl w:val="0"/>
        <w:spacing w:before="0" w:after="0" w:line="240" w:lineRule="auto"/>
        <w:ind w:left="851"/>
        <w:jc w:val="both"/>
      </w:pPr>
      <w:r w:rsidRPr="00F60A1E">
        <w:t xml:space="preserve">As explained in </w:t>
      </w:r>
      <w:r w:rsidRPr="00F60A1E">
        <w:rPr>
          <w:bCs/>
        </w:rPr>
        <w:t>the Study to collect data on children’s involvement in civil judicial proceedings</w:t>
      </w:r>
      <w:r w:rsidRPr="00F60A1E">
        <w:t>, magistrates</w:t>
      </w:r>
      <w:r w:rsidRPr="00F60A1E">
        <w:rPr>
          <w:vertAlign w:val="superscript"/>
        </w:rPr>
        <w:footnoteReference w:id="200"/>
      </w:r>
      <w:r w:rsidRPr="00F60A1E">
        <w:t>, legal counsels</w:t>
      </w:r>
      <w:r w:rsidRPr="00F60A1E">
        <w:rPr>
          <w:vertAlign w:val="superscript"/>
        </w:rPr>
        <w:footnoteReference w:id="201"/>
      </w:r>
      <w:r w:rsidRPr="00F60A1E">
        <w:t xml:space="preserve">, and judicial clerks, are under the obligation of professional secrecy. </w:t>
      </w:r>
    </w:p>
    <w:p w:rsidR="00F60A1E" w:rsidRPr="00F60A1E" w:rsidRDefault="00F60A1E" w:rsidP="00F60A1E">
      <w:pPr>
        <w:widowControl w:val="0"/>
        <w:spacing w:before="0" w:after="0" w:line="240" w:lineRule="auto"/>
        <w:ind w:left="851"/>
        <w:jc w:val="both"/>
      </w:pPr>
    </w:p>
    <w:p w:rsidR="00F60A1E" w:rsidRPr="00F60A1E" w:rsidRDefault="00F60A1E" w:rsidP="00F60A1E">
      <w:pPr>
        <w:widowControl w:val="0"/>
        <w:spacing w:before="0" w:after="0" w:line="240" w:lineRule="auto"/>
        <w:ind w:left="851"/>
        <w:jc w:val="both"/>
      </w:pPr>
      <w:r w:rsidRPr="00F60A1E">
        <w:t>The obligation of professional secrecy</w:t>
      </w:r>
      <w:r w:rsidRPr="00F60A1E" w:rsidDel="00783C16">
        <w:t xml:space="preserve"> </w:t>
      </w:r>
      <w:r w:rsidRPr="00F60A1E">
        <w:t xml:space="preserve">does not apply to testimonies in judicial proceedings or to proceedings before a Parliamentary Commission. The </w:t>
      </w:r>
      <w:hyperlink r:id="rId105" w:history="1">
        <w:r w:rsidRPr="00F60A1E">
          <w:rPr>
            <w:rFonts w:cs="Arial"/>
            <w:color w:val="0000FF" w:themeColor="hyperlink"/>
            <w:u w:val="single"/>
          </w:rPr>
          <w:t>Criminal Code</w:t>
        </w:r>
      </w:hyperlink>
      <w:r w:rsidRPr="00F60A1E">
        <w:t xml:space="preserve"> sanctions the violation of professional secrecy with imprisonment of eight days to six months and a fine from EUR 100 to EUR 500. </w:t>
      </w:r>
    </w:p>
    <w:p w:rsidR="00F60A1E" w:rsidRPr="00F60A1E" w:rsidRDefault="00F60A1E" w:rsidP="00F60A1E">
      <w:pPr>
        <w:widowControl w:val="0"/>
        <w:spacing w:before="0" w:after="0" w:line="240" w:lineRule="auto"/>
        <w:ind w:left="851"/>
        <w:jc w:val="both"/>
      </w:pPr>
    </w:p>
    <w:p w:rsidR="00F60A1E" w:rsidRPr="00F60A1E" w:rsidRDefault="00F60A1E" w:rsidP="00F60A1E">
      <w:pPr>
        <w:widowControl w:val="0"/>
        <w:spacing w:before="0" w:after="0" w:line="240" w:lineRule="auto"/>
        <w:ind w:left="851"/>
        <w:jc w:val="both"/>
      </w:pPr>
      <w:r w:rsidRPr="00F60A1E">
        <w:t xml:space="preserve">As an exception, any holder of the obligation of professional secrecy having knowledge of a serious offence against a child or a vulnerable person – due to his/her age, pregnancy or physical or intellectual disability, can inform the Crown Prosecutor when there is a serious and imminent threat to the physical or mental integrity of the child, or when there is a serious </w:t>
      </w:r>
      <w:r w:rsidRPr="00F60A1E">
        <w:lastRenderedPageBreak/>
        <w:t>danger that the child may become a victim of an offence</w:t>
      </w:r>
      <w:r w:rsidRPr="00F60A1E">
        <w:rPr>
          <w:vertAlign w:val="superscript"/>
        </w:rPr>
        <w:footnoteReference w:id="202"/>
      </w:r>
      <w:r w:rsidRPr="00F60A1E">
        <w:t xml:space="preserve">. </w:t>
      </w:r>
    </w:p>
    <w:p w:rsidR="00F60A1E" w:rsidRPr="00227001" w:rsidRDefault="00F60A1E" w:rsidP="00227001">
      <w:pPr>
        <w:pStyle w:val="Heading3NoNumb"/>
        <w:ind w:firstLine="851"/>
      </w:pPr>
      <w:bookmarkStart w:id="133" w:name="_Toc409792230"/>
      <w:r w:rsidRPr="00F60A1E">
        <w:t>Protection of privacy by the media</w:t>
      </w:r>
      <w:bookmarkEnd w:id="133"/>
    </w:p>
    <w:p w:rsidR="00F60A1E" w:rsidRPr="00F60A1E" w:rsidRDefault="00F60A1E" w:rsidP="00F60A1E">
      <w:pPr>
        <w:widowControl w:val="0"/>
        <w:spacing w:before="0" w:after="0" w:line="240" w:lineRule="auto"/>
        <w:ind w:left="851"/>
        <w:jc w:val="both"/>
      </w:pPr>
      <w:r w:rsidRPr="00F60A1E">
        <w:t xml:space="preserve">As explained in </w:t>
      </w:r>
      <w:r w:rsidRPr="00F60A1E">
        <w:rPr>
          <w:bCs/>
        </w:rPr>
        <w:t>the Study to collect data on children’s involvement in criminal judicial proceedings</w:t>
      </w:r>
      <w:r w:rsidRPr="00F60A1E">
        <w:t>, as an established practice, the media cannot record or film any hearing or take pictures during the hearing. The ethical code of journalists in Belgium requires journalists to respect the private lives of children. An appeal against a publication can be submitted to the Council of Deontology (</w:t>
      </w:r>
      <w:hyperlink r:id="rId106" w:history="1">
        <w:r w:rsidRPr="00F60A1E">
          <w:rPr>
            <w:rFonts w:cs="Arial"/>
            <w:i/>
            <w:color w:val="0000FF" w:themeColor="hyperlink"/>
            <w:u w:val="single"/>
          </w:rPr>
          <w:t>Raad voor de journalistiek</w:t>
        </w:r>
      </w:hyperlink>
      <w:r w:rsidRPr="00F60A1E">
        <w:rPr>
          <w:i/>
        </w:rPr>
        <w:t xml:space="preserve"> </w:t>
      </w:r>
      <w:r w:rsidRPr="00F60A1E">
        <w:t xml:space="preserve">and </w:t>
      </w:r>
      <w:hyperlink r:id="rId107" w:history="1">
        <w:r w:rsidRPr="00F60A1E">
          <w:rPr>
            <w:rFonts w:cs="Arial"/>
            <w:i/>
            <w:color w:val="0000FF" w:themeColor="hyperlink"/>
            <w:u w:val="single"/>
          </w:rPr>
          <w:t>Conseil de Déontologie journalistique</w:t>
        </w:r>
      </w:hyperlink>
      <w:r w:rsidRPr="00F60A1E">
        <w:t>), which is an independent self-regulatory authority.</w:t>
      </w:r>
    </w:p>
    <w:p w:rsidR="00F60A1E" w:rsidRPr="00F60A1E" w:rsidRDefault="00F60A1E" w:rsidP="00F60A1E">
      <w:pPr>
        <w:widowControl w:val="0"/>
        <w:spacing w:before="0" w:after="0" w:line="240" w:lineRule="auto"/>
        <w:ind w:left="851"/>
        <w:jc w:val="both"/>
      </w:pPr>
    </w:p>
    <w:p w:rsidR="00F60A1E" w:rsidRPr="00F60A1E" w:rsidRDefault="00F60A1E" w:rsidP="00F60A1E">
      <w:pPr>
        <w:widowControl w:val="0"/>
        <w:spacing w:before="0" w:after="0" w:line="240" w:lineRule="auto"/>
        <w:ind w:left="851"/>
        <w:jc w:val="both"/>
      </w:pPr>
      <w:r w:rsidRPr="00F60A1E">
        <w:t>Children have a right to the protection of their image. No one can use their image without their legal representative’s consent and their consent if the child has the capacity of discernment</w:t>
      </w:r>
      <w:r w:rsidRPr="00F60A1E">
        <w:rPr>
          <w:vertAlign w:val="superscript"/>
        </w:rPr>
        <w:footnoteReference w:id="203"/>
      </w:r>
      <w:r w:rsidRPr="00F60A1E">
        <w:t>.</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witness</w:t>
      </w:r>
    </w:p>
    <w:p w:rsidR="00F60A1E" w:rsidRPr="00F60A1E" w:rsidRDefault="00F60A1E" w:rsidP="00F60A1E">
      <w:pPr>
        <w:widowControl w:val="0"/>
        <w:spacing w:before="0" w:after="0" w:line="240" w:lineRule="auto"/>
        <w:ind w:left="2291"/>
        <w:jc w:val="both"/>
        <w:rPr>
          <w:bCs/>
          <w:szCs w:val="20"/>
        </w:rPr>
      </w:pPr>
    </w:p>
    <w:p w:rsidR="00F60A1E" w:rsidRPr="00F60A1E" w:rsidRDefault="00F60A1E" w:rsidP="00F60A1E">
      <w:pPr>
        <w:widowControl w:val="0"/>
        <w:spacing w:before="0" w:after="0" w:line="240" w:lineRule="auto"/>
        <w:ind w:left="851"/>
        <w:jc w:val="both"/>
        <w:rPr>
          <w:bCs/>
        </w:rPr>
      </w:pPr>
      <w:r w:rsidRPr="00F60A1E">
        <w:rPr>
          <w:bCs/>
        </w:rPr>
        <w:t xml:space="preserve">The same rules apply to witnesses as to plaintiffs and defendants except for those linked to the status of parties to the proceedings, e.g. child witnesses do not have the right to access case files, to request that a court meets </w:t>
      </w:r>
      <w:r w:rsidRPr="00F60A1E">
        <w:rPr>
          <w:bCs/>
          <w:i/>
        </w:rPr>
        <w:t>in camera</w:t>
      </w:r>
      <w:r w:rsidRPr="00F60A1E">
        <w:rPr>
          <w:bCs/>
        </w:rPr>
        <w:t xml:space="preserve"> or to access and process personal data to the extent required by the proceedings.</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subject of proceedings</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 xml:space="preserve">As mentioned in </w:t>
      </w:r>
      <w:hyperlink w:anchor="_The_child_as" w:history="1">
        <w:r w:rsidRPr="00F60A1E">
          <w:rPr>
            <w:bCs/>
            <w:color w:val="0000FF" w:themeColor="hyperlink"/>
            <w:szCs w:val="20"/>
            <w:u w:val="single"/>
          </w:rPr>
          <w:t>Section 2.1</w:t>
        </w:r>
      </w:hyperlink>
      <w:r w:rsidRPr="00F60A1E">
        <w:rPr>
          <w:bCs/>
          <w:szCs w:val="20"/>
        </w:rPr>
        <w:t xml:space="preserve">, no rules were identified on child subjects of administrative judicial proceedings in Belgium. A child affected by the proceedings may, through his/her legal representative, request to intervene in the proceedings. </w:t>
      </w:r>
    </w:p>
    <w:p w:rsidR="00F60A1E" w:rsidRPr="00F60A1E" w:rsidRDefault="00F60A1E" w:rsidP="0082630D">
      <w:pPr>
        <w:pStyle w:val="Heading3"/>
      </w:pPr>
      <w:bookmarkStart w:id="134" w:name="_Toc401578572"/>
      <w:bookmarkStart w:id="135" w:name="_Toc404767191"/>
      <w:bookmarkStart w:id="136" w:name="_Toc409792231"/>
      <w:r w:rsidRPr="00F60A1E">
        <w:t>Procedural rules applicable to children involved in placement into care and administrative sanctions proceedings</w:t>
      </w:r>
      <w:bookmarkEnd w:id="134"/>
      <w:bookmarkEnd w:id="135"/>
      <w:bookmarkEnd w:id="136"/>
      <w:r w:rsidRPr="00F60A1E">
        <w:t xml:space="preserve"> </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plaintiff/defendant</w:t>
      </w:r>
    </w:p>
    <w:p w:rsidR="00F60A1E" w:rsidRPr="00F60A1E" w:rsidRDefault="00F60A1E" w:rsidP="00F60A1E">
      <w:pPr>
        <w:widowControl w:val="0"/>
        <w:spacing w:before="0" w:after="0" w:line="240" w:lineRule="auto"/>
        <w:ind w:left="2291"/>
        <w:jc w:val="both"/>
        <w:rPr>
          <w:bCs/>
          <w:szCs w:val="20"/>
        </w:rPr>
      </w:pPr>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 xml:space="preserve">As mentioned in </w:t>
      </w:r>
      <w:hyperlink w:anchor="_Overview_of_Member" w:history="1">
        <w:r w:rsidRPr="00F60A1E">
          <w:rPr>
            <w:rFonts w:cs="Arial"/>
            <w:color w:val="0000FF" w:themeColor="hyperlink"/>
            <w:szCs w:val="20"/>
            <w:u w:val="single"/>
          </w:rPr>
          <w:t>Section 1</w:t>
        </w:r>
      </w:hyperlink>
      <w:r w:rsidRPr="00F60A1E">
        <w:rPr>
          <w:rFonts w:cs="Arial"/>
          <w:szCs w:val="20"/>
        </w:rPr>
        <w:t xml:space="preserve">, measures for the protection of the child, including placement into care, are either voluntary, i.e. under the supervision of the youth care services, or non-voluntary. Non-voluntary measures require the intervention of the youth tribunal, which will apply the </w:t>
      </w:r>
      <w:hyperlink r:id="rId108" w:history="1">
        <w:r w:rsidRPr="00F60A1E">
          <w:rPr>
            <w:rFonts w:cs="Arial"/>
            <w:color w:val="0000FF" w:themeColor="hyperlink"/>
            <w:szCs w:val="20"/>
            <w:u w:val="single"/>
          </w:rPr>
          <w:t>Youth Protection Act</w:t>
        </w:r>
      </w:hyperlink>
      <w:r w:rsidRPr="00F60A1E">
        <w:rPr>
          <w:rFonts w:cs="Arial"/>
          <w:szCs w:val="20"/>
        </w:rPr>
        <w:t xml:space="preserve"> and the </w:t>
      </w:r>
      <w:hyperlink r:id="rId109" w:history="1">
        <w:r w:rsidRPr="00F60A1E">
          <w:rPr>
            <w:rFonts w:cs="Arial"/>
            <w:color w:val="0000FF" w:themeColor="hyperlink"/>
            <w:szCs w:val="20"/>
            <w:u w:val="single"/>
          </w:rPr>
          <w:t>Judicial Code</w:t>
        </w:r>
      </w:hyperlink>
      <w:r w:rsidRPr="00F60A1E">
        <w:rPr>
          <w:rFonts w:cs="Arial"/>
          <w:szCs w:val="20"/>
        </w:rPr>
        <w:t xml:space="preserve">, i.e. civil procedural rules. </w:t>
      </w:r>
    </w:p>
    <w:p w:rsidR="00F60A1E" w:rsidRPr="00F60A1E" w:rsidRDefault="00F60A1E" w:rsidP="00F60A1E">
      <w:pPr>
        <w:widowControl w:val="0"/>
        <w:spacing w:before="0" w:after="0" w:line="240" w:lineRule="auto"/>
        <w:ind w:left="851"/>
        <w:jc w:val="both"/>
        <w:rPr>
          <w:rFonts w:cs="Arial"/>
          <w:szCs w:val="20"/>
        </w:rPr>
      </w:pPr>
    </w:p>
    <w:p w:rsidR="00F60A1E" w:rsidRPr="00F60A1E" w:rsidRDefault="00F60A1E" w:rsidP="00F60A1E">
      <w:pPr>
        <w:widowControl w:val="0"/>
        <w:spacing w:before="0" w:after="0" w:line="240" w:lineRule="auto"/>
        <w:ind w:left="851"/>
        <w:jc w:val="both"/>
        <w:rPr>
          <w:szCs w:val="20"/>
        </w:rPr>
      </w:pPr>
      <w:r w:rsidRPr="00F60A1E">
        <w:rPr>
          <w:szCs w:val="20"/>
        </w:rPr>
        <w:t xml:space="preserve">Regarding administrative sanction proceedings, as explained in </w:t>
      </w:r>
      <w:hyperlink w:anchor="_Overview_of_Member" w:history="1">
        <w:r w:rsidRPr="00F60A1E">
          <w:rPr>
            <w:color w:val="0000FF" w:themeColor="hyperlink"/>
            <w:szCs w:val="20"/>
            <w:u w:val="single"/>
          </w:rPr>
          <w:t>Section 1</w:t>
        </w:r>
      </w:hyperlink>
      <w:r w:rsidRPr="00F60A1E">
        <w:rPr>
          <w:szCs w:val="20"/>
        </w:rPr>
        <w:t>, administrative authorities’ decisions imposing administrative sanctions on children can be appealed before the youth tribunals.</w:t>
      </w:r>
    </w:p>
    <w:p w:rsidR="00F60A1E" w:rsidRPr="00227001" w:rsidRDefault="00F60A1E" w:rsidP="00227001">
      <w:pPr>
        <w:pStyle w:val="Heading3NoNumb"/>
        <w:ind w:firstLine="851"/>
      </w:pPr>
      <w:bookmarkStart w:id="137" w:name="_Toc409792232"/>
      <w:r w:rsidRPr="00F60A1E">
        <w:t>Protection of the child’s personal data and privacy</w:t>
      </w:r>
      <w:bookmarkEnd w:id="137"/>
    </w:p>
    <w:p w:rsidR="00F60A1E" w:rsidRPr="00F60A1E" w:rsidRDefault="00F60A1E" w:rsidP="00F60A1E">
      <w:pPr>
        <w:widowControl w:val="0"/>
        <w:spacing w:before="0" w:after="0" w:line="240" w:lineRule="auto"/>
        <w:ind w:left="851"/>
        <w:jc w:val="both"/>
        <w:rPr>
          <w:rFonts w:eastAsia="Times New Roman"/>
          <w:bCs/>
        </w:rPr>
      </w:pPr>
      <w:r w:rsidRPr="00F60A1E">
        <w:t>The same general rules described above apply to the protection of children’s personal data and privacy in judicial proceedings before the youth tribunals. In civil proceedings, including those before the youth tribunals, a</w:t>
      </w:r>
      <w:r w:rsidRPr="00F60A1E">
        <w:rPr>
          <w:rFonts w:eastAsia="Times New Roman"/>
          <w:bCs/>
        </w:rPr>
        <w:t>ny party to the proceedings can request a certified copy of the documents contained in the file</w:t>
      </w:r>
      <w:r w:rsidRPr="00F60A1E">
        <w:rPr>
          <w:rFonts w:eastAsia="Times New Roman"/>
          <w:bCs/>
          <w:vertAlign w:val="superscript"/>
        </w:rPr>
        <w:footnoteReference w:id="204"/>
      </w:r>
      <w:r w:rsidRPr="00F60A1E">
        <w:rPr>
          <w:rFonts w:eastAsia="Times New Roman"/>
          <w:bCs/>
        </w:rPr>
        <w:t>.</w:t>
      </w:r>
    </w:p>
    <w:p w:rsidR="00F60A1E" w:rsidRPr="00F60A1E" w:rsidRDefault="00F60A1E" w:rsidP="00F60A1E">
      <w:pPr>
        <w:widowControl w:val="0"/>
        <w:spacing w:before="0" w:after="0" w:line="240" w:lineRule="auto"/>
        <w:ind w:left="851"/>
        <w:jc w:val="both"/>
        <w:rPr>
          <w:rFonts w:eastAsia="Times New Roman"/>
          <w:bCs/>
        </w:rPr>
      </w:pPr>
    </w:p>
    <w:p w:rsidR="00F60A1E" w:rsidRPr="00F60A1E" w:rsidRDefault="00F60A1E" w:rsidP="00F60A1E">
      <w:pPr>
        <w:widowControl w:val="0"/>
        <w:spacing w:before="0" w:after="0" w:line="240" w:lineRule="auto"/>
        <w:ind w:left="851"/>
        <w:jc w:val="both"/>
      </w:pPr>
      <w:r w:rsidRPr="00F60A1E">
        <w:rPr>
          <w:rFonts w:eastAsia="Times New Roman"/>
          <w:bCs/>
        </w:rPr>
        <w:t>In addition, the court may decide to hear the case in a closed session for all or part of the proceedings. This can be done at the request of either party in the interests of morality or public order, or where the interests of the child or the protection of privacy so requires, or to the extent that is deemed necessary by the court, where publicity would affect the interests of the administration of justice</w:t>
      </w:r>
      <w:r w:rsidRPr="00F60A1E">
        <w:rPr>
          <w:rFonts w:eastAsia="Times New Roman"/>
          <w:bCs/>
          <w:vertAlign w:val="superscript"/>
        </w:rPr>
        <w:footnoteReference w:id="205"/>
      </w:r>
      <w:r w:rsidRPr="00F60A1E">
        <w:rPr>
          <w:rFonts w:eastAsia="Times New Roman"/>
          <w:bCs/>
        </w:rPr>
        <w:t>.</w:t>
      </w:r>
    </w:p>
    <w:p w:rsidR="00F60A1E" w:rsidRPr="00F60A1E" w:rsidRDefault="00F60A1E" w:rsidP="00F60A1E">
      <w:pPr>
        <w:widowControl w:val="0"/>
        <w:spacing w:before="0" w:after="0" w:line="240" w:lineRule="auto"/>
        <w:ind w:left="851"/>
        <w:jc w:val="both"/>
      </w:pPr>
    </w:p>
    <w:p w:rsidR="00F60A1E" w:rsidRPr="00F60A1E" w:rsidRDefault="00F60A1E" w:rsidP="00F60A1E">
      <w:pPr>
        <w:widowControl w:val="0"/>
        <w:spacing w:before="0" w:after="0" w:line="240" w:lineRule="auto"/>
        <w:ind w:left="851"/>
        <w:jc w:val="both"/>
        <w:rPr>
          <w:bCs/>
          <w:szCs w:val="20"/>
        </w:rPr>
      </w:pPr>
      <w:r w:rsidRPr="00F60A1E">
        <w:rPr>
          <w:bCs/>
          <w:szCs w:val="20"/>
        </w:rPr>
        <w:t xml:space="preserve">The </w:t>
      </w:r>
      <w:hyperlink r:id="rId110" w:history="1">
        <w:r w:rsidRPr="00F60A1E">
          <w:rPr>
            <w:bCs/>
            <w:color w:val="0000FF" w:themeColor="hyperlink"/>
            <w:szCs w:val="20"/>
            <w:u w:val="single"/>
          </w:rPr>
          <w:t>Youth Protection Act</w:t>
        </w:r>
      </w:hyperlink>
      <w:r w:rsidRPr="00F60A1E">
        <w:rPr>
          <w:bCs/>
          <w:szCs w:val="20"/>
        </w:rPr>
        <w:t xml:space="preserve"> specifies that any person who, under any title or capacity, applies </w:t>
      </w:r>
      <w:r w:rsidRPr="00F60A1E">
        <w:rPr>
          <w:bCs/>
          <w:szCs w:val="20"/>
        </w:rPr>
        <w:lastRenderedPageBreak/>
        <w:t>the Act is under the obligation of professional secrecy</w:t>
      </w:r>
      <w:r w:rsidRPr="00F60A1E">
        <w:rPr>
          <w:bCs/>
          <w:szCs w:val="20"/>
          <w:vertAlign w:val="superscript"/>
        </w:rPr>
        <w:footnoteReference w:id="206"/>
      </w:r>
      <w:r w:rsidRPr="00F60A1E">
        <w:rPr>
          <w:bCs/>
          <w:szCs w:val="20"/>
        </w:rPr>
        <w:t>. The aim of this requirement is to ensure that intervening professionals protect the private and family lives of the children and their families.</w:t>
      </w:r>
    </w:p>
    <w:p w:rsidR="00F60A1E" w:rsidRPr="00F60A1E" w:rsidRDefault="00F60A1E" w:rsidP="00227001">
      <w:pPr>
        <w:pStyle w:val="Heading3NoNumb"/>
        <w:ind w:left="851"/>
      </w:pPr>
      <w:bookmarkStart w:id="138" w:name="_Toc409792233"/>
      <w:r w:rsidRPr="00F60A1E">
        <w:t>Protection of privacy by the media</w:t>
      </w:r>
      <w:bookmarkEnd w:id="138"/>
    </w:p>
    <w:p w:rsidR="00F60A1E" w:rsidRPr="00F60A1E" w:rsidRDefault="00F60A1E" w:rsidP="00F60A1E">
      <w:pPr>
        <w:widowControl w:val="0"/>
        <w:spacing w:before="0" w:after="0" w:line="240" w:lineRule="auto"/>
        <w:ind w:left="851"/>
        <w:jc w:val="both"/>
      </w:pPr>
      <w:r w:rsidRPr="00F60A1E">
        <w:t xml:space="preserve">The same general rules described above apply to the protection of children’s privacy by the media in proceedings before the youth tribunals. In addition, as explained in </w:t>
      </w:r>
      <w:r w:rsidRPr="00F60A1E">
        <w:rPr>
          <w:bCs/>
        </w:rPr>
        <w:t>the Study to collect data on children’s involvement in criminal judicial proceedings</w:t>
      </w:r>
      <w:r w:rsidRPr="00F60A1E">
        <w:t xml:space="preserve">, the </w:t>
      </w:r>
      <w:hyperlink r:id="rId111" w:history="1">
        <w:r w:rsidRPr="00F60A1E">
          <w:rPr>
            <w:rFonts w:cs="Arial"/>
            <w:color w:val="0000FF" w:themeColor="hyperlink"/>
            <w:u w:val="single"/>
          </w:rPr>
          <w:t>Criminal Code</w:t>
        </w:r>
      </w:hyperlink>
      <w:r w:rsidRPr="00F60A1E">
        <w:t xml:space="preserve"> explicitly prohibits publication or dissemination by the media, or any other way, of discussions relating to proceedings before the youth tribunals and their courts of appeal. Only the judgement is announced in a public hearing</w:t>
      </w:r>
      <w:r w:rsidRPr="00F60A1E">
        <w:rPr>
          <w:vertAlign w:val="superscript"/>
        </w:rPr>
        <w:footnoteReference w:id="207"/>
      </w:r>
      <w:r w:rsidRPr="00F60A1E">
        <w:t xml:space="preserve">. </w:t>
      </w:r>
    </w:p>
    <w:p w:rsidR="00F60A1E" w:rsidRPr="00F60A1E" w:rsidRDefault="00F60A1E" w:rsidP="00227001">
      <w:pPr>
        <w:pStyle w:val="Heading3NoNumb"/>
        <w:ind w:left="851"/>
      </w:pPr>
      <w:bookmarkStart w:id="139" w:name="_Toc409792234"/>
      <w:r w:rsidRPr="00F60A1E">
        <w:t xml:space="preserve">Avoiding adverse effects on </w:t>
      </w:r>
      <w:r w:rsidR="00227001">
        <w:t>the child and avoiding conflict</w:t>
      </w:r>
      <w:bookmarkEnd w:id="139"/>
    </w:p>
    <w:p w:rsidR="00F60A1E" w:rsidRPr="00F60A1E" w:rsidRDefault="00F60A1E" w:rsidP="00F60A1E">
      <w:pPr>
        <w:spacing w:before="0" w:after="0" w:line="240" w:lineRule="auto"/>
        <w:ind w:left="851"/>
        <w:jc w:val="both"/>
        <w:rPr>
          <w:bCs/>
        </w:rPr>
      </w:pPr>
      <w:r w:rsidRPr="00F60A1E">
        <w:t xml:space="preserve">In case of a conflict of interests between the child and the parents, a guardian </w:t>
      </w:r>
      <w:r w:rsidRPr="00F60A1E">
        <w:rPr>
          <w:i/>
        </w:rPr>
        <w:t>ad litem</w:t>
      </w:r>
      <w:r w:rsidRPr="00F60A1E">
        <w:t xml:space="preserve"> can be appointed by a c</w:t>
      </w:r>
      <w:r w:rsidRPr="00F60A1E">
        <w:rPr>
          <w:bCs/>
        </w:rPr>
        <w:t xml:space="preserve">ivil magistrate court upon request of any interested party, or </w:t>
      </w:r>
      <w:r w:rsidRPr="00F60A1E">
        <w:rPr>
          <w:bCs/>
          <w:i/>
        </w:rPr>
        <w:t>ex officio</w:t>
      </w:r>
      <w:r w:rsidRPr="00F60A1E">
        <w:rPr>
          <w:bCs/>
          <w:i/>
          <w:vertAlign w:val="superscript"/>
        </w:rPr>
        <w:footnoteReference w:id="208"/>
      </w:r>
      <w:r w:rsidRPr="00F60A1E">
        <w:rPr>
          <w:bCs/>
        </w:rPr>
        <w:t xml:space="preserve">. The child does not have the procedural capacity to act and therefore cannot petition a court in his/her own right. Some courts have recognised the ability of the child him/herself to petition for the appointment of a guardian </w:t>
      </w:r>
      <w:r w:rsidRPr="00F60A1E">
        <w:rPr>
          <w:bCs/>
          <w:i/>
        </w:rPr>
        <w:t>ad litem</w:t>
      </w:r>
      <w:r w:rsidRPr="00F60A1E">
        <w:rPr>
          <w:bCs/>
        </w:rPr>
        <w:t xml:space="preserve"> in emergency cases and for conservatory measures</w:t>
      </w:r>
      <w:r w:rsidRPr="00F60A1E">
        <w:rPr>
          <w:bCs/>
          <w:vertAlign w:val="superscript"/>
        </w:rPr>
        <w:footnoteReference w:id="209"/>
      </w:r>
      <w:r w:rsidRPr="00F60A1E">
        <w:rPr>
          <w:bCs/>
        </w:rPr>
        <w:t>. The child may nevertheless contact the Crown Prosecutor’s Office, which then may initiate the proceedings.</w:t>
      </w:r>
    </w:p>
    <w:p w:rsidR="00F60A1E" w:rsidRPr="00F60A1E" w:rsidRDefault="00F60A1E" w:rsidP="00F60A1E">
      <w:pPr>
        <w:widowControl w:val="0"/>
        <w:spacing w:before="0" w:after="0" w:line="240" w:lineRule="auto"/>
        <w:ind w:left="851"/>
        <w:jc w:val="both"/>
      </w:pPr>
    </w:p>
    <w:p w:rsidR="00F60A1E" w:rsidRPr="00F60A1E" w:rsidRDefault="00F60A1E" w:rsidP="00F60A1E">
      <w:pPr>
        <w:widowControl w:val="0"/>
        <w:spacing w:before="0" w:after="0" w:line="240" w:lineRule="auto"/>
        <w:ind w:left="851"/>
        <w:jc w:val="both"/>
      </w:pPr>
      <w:r w:rsidRPr="00F60A1E">
        <w:rPr>
          <w:bCs/>
        </w:rPr>
        <w:t xml:space="preserve">Other safeguards to avoid conflict between the child and his/her family in judicial proceedings include the requirement that a </w:t>
      </w:r>
      <w:r w:rsidRPr="00F60A1E">
        <w:t>child cannot be heard regarding issues where his/her parents have conflicting interests. The goal is to avoid placing a child into a situation where he/she has to testify against one of his/her parents</w:t>
      </w:r>
      <w:r w:rsidRPr="00F60A1E">
        <w:rPr>
          <w:vertAlign w:val="superscript"/>
        </w:rPr>
        <w:footnoteReference w:id="210"/>
      </w:r>
      <w:r w:rsidRPr="00F60A1E">
        <w:t>. In addition, a judge will also take into consideration the concrete circumstances of the case and their impact on the child</w:t>
      </w:r>
      <w:r w:rsidRPr="00F60A1E">
        <w:rPr>
          <w:vertAlign w:val="superscript"/>
        </w:rPr>
        <w:footnoteReference w:id="211"/>
      </w:r>
      <w:r w:rsidRPr="00F60A1E">
        <w:t xml:space="preserve">. </w:t>
      </w:r>
    </w:p>
    <w:p w:rsidR="00F60A1E" w:rsidRPr="00F60A1E" w:rsidRDefault="00F60A1E" w:rsidP="00F60A1E">
      <w:pPr>
        <w:widowControl w:val="0"/>
        <w:spacing w:before="0" w:after="0" w:line="240" w:lineRule="auto"/>
        <w:ind w:left="851"/>
        <w:jc w:val="both"/>
      </w:pPr>
    </w:p>
    <w:p w:rsidR="00F60A1E" w:rsidRPr="00F60A1E" w:rsidRDefault="00F60A1E" w:rsidP="00F60A1E">
      <w:pPr>
        <w:widowControl w:val="0"/>
        <w:spacing w:before="0" w:after="0" w:line="240" w:lineRule="auto"/>
        <w:ind w:left="851"/>
        <w:jc w:val="both"/>
      </w:pPr>
      <w:r w:rsidRPr="00F60A1E">
        <w:t>No other measure has been identified to avoid any risk of adverse consequences</w:t>
      </w:r>
      <w:r w:rsidRPr="00F60A1E">
        <w:rPr>
          <w:vertAlign w:val="superscript"/>
        </w:rPr>
        <w:footnoteReference w:id="212"/>
      </w:r>
      <w:r w:rsidRPr="00F60A1E">
        <w:t xml:space="preserve">. In terms of guidance, the </w:t>
      </w:r>
      <w:hyperlink r:id="rId112" w:history="1">
        <w:r w:rsidRPr="00F60A1E">
          <w:rPr>
            <w:rFonts w:cs="Arial"/>
            <w:color w:val="0000FF" w:themeColor="hyperlink"/>
            <w:u w:val="single"/>
          </w:rPr>
          <w:t>Council of Europe Guidelines on Child-Friendly Justice</w:t>
        </w:r>
      </w:hyperlink>
      <w:r w:rsidRPr="00F60A1E">
        <w:t xml:space="preserve"> should guide the authorities to ensure that support measures are in place to avoid the adverse consequences of judicial proceedings on family relations. </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 xml:space="preserve">Child as a witness </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The general rules described above on child witnesses apply to child witnesses in placement into care proceedings.</w:t>
      </w:r>
    </w:p>
    <w:p w:rsidR="00F60A1E" w:rsidRPr="00F60A1E" w:rsidRDefault="00F60A1E" w:rsidP="0082630D">
      <w:pPr>
        <w:pStyle w:val="Heading3"/>
      </w:pPr>
      <w:bookmarkStart w:id="140" w:name="_Toc401578573"/>
      <w:bookmarkStart w:id="141" w:name="_Toc404767192"/>
      <w:bookmarkStart w:id="142" w:name="_Toc409792235"/>
      <w:r w:rsidRPr="00F60A1E">
        <w:t>Procedural rules applicable to children involved in health care proceedings</w:t>
      </w:r>
      <w:bookmarkEnd w:id="140"/>
      <w:bookmarkEnd w:id="141"/>
      <w:bookmarkEnd w:id="142"/>
      <w:r w:rsidRPr="00F60A1E">
        <w:t xml:space="preserve"> </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plaintiff/defendant/subject of proceedings</w:t>
      </w:r>
    </w:p>
    <w:p w:rsidR="00F60A1E" w:rsidRPr="00F60A1E" w:rsidRDefault="00F60A1E" w:rsidP="00F60A1E">
      <w:pPr>
        <w:widowControl w:val="0"/>
        <w:spacing w:before="0" w:after="0" w:line="240" w:lineRule="auto"/>
        <w:ind w:left="2291"/>
        <w:jc w:val="both"/>
        <w:rPr>
          <w:bCs/>
          <w:szCs w:val="20"/>
        </w:rPr>
      </w:pPr>
    </w:p>
    <w:p w:rsidR="00F60A1E" w:rsidRPr="00F60A1E" w:rsidRDefault="00F60A1E" w:rsidP="00F60A1E">
      <w:pPr>
        <w:widowControl w:val="0"/>
        <w:spacing w:before="0" w:after="0" w:line="240" w:lineRule="auto"/>
        <w:ind w:left="851"/>
        <w:jc w:val="both"/>
      </w:pPr>
      <w:r w:rsidRPr="00F60A1E">
        <w:t xml:space="preserve">As explained in </w:t>
      </w:r>
      <w:hyperlink w:anchor="_Overview_of_Member" w:history="1">
        <w:r w:rsidRPr="00F60A1E">
          <w:rPr>
            <w:rFonts w:cs="Arial"/>
            <w:color w:val="0000FF" w:themeColor="hyperlink"/>
            <w:u w:val="single"/>
          </w:rPr>
          <w:t>Section 1</w:t>
        </w:r>
      </w:hyperlink>
      <w:r w:rsidRPr="00F60A1E">
        <w:t>, to appeal against medical treatment decisions, the child can turn to the courts in civil judicial proceedings if no mediation agreement could be reached.</w:t>
      </w:r>
    </w:p>
    <w:p w:rsidR="00F60A1E" w:rsidRPr="00227001" w:rsidRDefault="00F60A1E" w:rsidP="00227001">
      <w:pPr>
        <w:pStyle w:val="Heading3NoNumb"/>
        <w:ind w:firstLine="851"/>
      </w:pPr>
      <w:bookmarkStart w:id="143" w:name="_Toc409792236"/>
      <w:r w:rsidRPr="00F60A1E">
        <w:t>Protection of the child’s personal data and privacy</w:t>
      </w:r>
      <w:bookmarkEnd w:id="143"/>
    </w:p>
    <w:p w:rsidR="00F60A1E" w:rsidRPr="00F60A1E" w:rsidRDefault="00F60A1E" w:rsidP="00F60A1E">
      <w:pPr>
        <w:widowControl w:val="0"/>
        <w:spacing w:before="0" w:after="0" w:line="240" w:lineRule="auto"/>
        <w:ind w:left="851"/>
        <w:jc w:val="both"/>
        <w:rPr>
          <w:rFonts w:eastAsia="Times New Roman"/>
          <w:bCs/>
        </w:rPr>
      </w:pPr>
      <w:r w:rsidRPr="00F60A1E">
        <w:t>The same general rules described above apply to the protection of children’s personal data and privacy in judicial proceedings before the youth tribunals. In civil proceedings, including those before the youth tribunals, a</w:t>
      </w:r>
      <w:r w:rsidRPr="00F60A1E">
        <w:rPr>
          <w:rFonts w:eastAsia="Times New Roman"/>
          <w:bCs/>
        </w:rPr>
        <w:t>ny party to the proceedings can request a certified copy of the documents contained in the file</w:t>
      </w:r>
      <w:r w:rsidRPr="00F60A1E">
        <w:rPr>
          <w:rFonts w:eastAsia="Times New Roman"/>
          <w:bCs/>
          <w:vertAlign w:val="superscript"/>
        </w:rPr>
        <w:footnoteReference w:id="213"/>
      </w:r>
      <w:r w:rsidRPr="00F60A1E">
        <w:rPr>
          <w:rFonts w:eastAsia="Times New Roman"/>
          <w:bCs/>
        </w:rPr>
        <w:t>.</w:t>
      </w:r>
    </w:p>
    <w:p w:rsidR="00F60A1E" w:rsidRPr="00F60A1E" w:rsidRDefault="00F60A1E" w:rsidP="00F60A1E">
      <w:pPr>
        <w:widowControl w:val="0"/>
        <w:spacing w:before="0" w:after="0" w:line="240" w:lineRule="auto"/>
        <w:jc w:val="both"/>
        <w:rPr>
          <w:rFonts w:eastAsia="Times New Roman"/>
          <w:bCs/>
        </w:rPr>
      </w:pPr>
    </w:p>
    <w:p w:rsidR="00F60A1E" w:rsidRPr="00F60A1E" w:rsidRDefault="00F60A1E" w:rsidP="00F60A1E">
      <w:pPr>
        <w:widowControl w:val="0"/>
        <w:spacing w:before="0" w:after="0" w:line="240" w:lineRule="auto"/>
        <w:ind w:left="851"/>
        <w:jc w:val="both"/>
      </w:pPr>
      <w:r w:rsidRPr="00F60A1E">
        <w:rPr>
          <w:rFonts w:eastAsia="Times New Roman"/>
          <w:bCs/>
        </w:rPr>
        <w:t>In addition, the court may decide to hear the case in a closed session for all or part of the proceedings. This can be done at the request of either party in the interests of morality or public order, where the interests of the child or the protection of privacy so requires, or to the extent that is deemed necessary by the court, where publicity would affect the interests of the administration of justice</w:t>
      </w:r>
      <w:r w:rsidRPr="00F60A1E">
        <w:rPr>
          <w:rFonts w:eastAsia="Times New Roman"/>
          <w:bCs/>
          <w:vertAlign w:val="superscript"/>
        </w:rPr>
        <w:footnoteReference w:id="214"/>
      </w:r>
      <w:r w:rsidRPr="00F60A1E">
        <w:rPr>
          <w:rFonts w:eastAsia="Times New Roman"/>
          <w:bCs/>
        </w:rPr>
        <w:t>.</w:t>
      </w:r>
    </w:p>
    <w:p w:rsidR="00F60A1E" w:rsidRPr="00F60A1E" w:rsidRDefault="00F60A1E" w:rsidP="00F60A1E">
      <w:pPr>
        <w:widowControl w:val="0"/>
        <w:spacing w:before="0" w:after="0" w:line="240" w:lineRule="auto"/>
        <w:ind w:left="851"/>
        <w:jc w:val="both"/>
        <w:rPr>
          <w:b/>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A child patient has the right, either directly or with the help of a professional health care practitioner, to access his/her personal data which is related to his/her health</w:t>
      </w:r>
      <w:r w:rsidRPr="00F60A1E">
        <w:rPr>
          <w:bCs/>
          <w:szCs w:val="20"/>
          <w:vertAlign w:val="superscript"/>
        </w:rPr>
        <w:footnoteReference w:id="215"/>
      </w:r>
      <w:r w:rsidRPr="00F60A1E">
        <w:rPr>
          <w:bCs/>
          <w:szCs w:val="20"/>
        </w:rPr>
        <w:t>.</w:t>
      </w:r>
    </w:p>
    <w:p w:rsidR="00F60A1E" w:rsidRPr="00F60A1E" w:rsidRDefault="00F60A1E" w:rsidP="00227001">
      <w:pPr>
        <w:pStyle w:val="Heading3NoNumb"/>
        <w:ind w:left="851"/>
      </w:pPr>
      <w:bookmarkStart w:id="144" w:name="_Toc409792237"/>
      <w:r w:rsidRPr="00F60A1E">
        <w:t>Mental health</w:t>
      </w:r>
      <w:bookmarkEnd w:id="144"/>
      <w:r w:rsidR="00227001">
        <w:t xml:space="preserve"> </w:t>
      </w:r>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 xml:space="preserve">As explained in </w:t>
      </w:r>
      <w:hyperlink w:anchor="_Overview_of_Member" w:history="1">
        <w:r w:rsidRPr="00F60A1E">
          <w:rPr>
            <w:rFonts w:cs="Arial"/>
            <w:color w:val="0000FF" w:themeColor="hyperlink"/>
            <w:szCs w:val="20"/>
            <w:u w:val="single"/>
          </w:rPr>
          <w:t>Section 1</w:t>
        </w:r>
      </w:hyperlink>
      <w:r w:rsidRPr="00F60A1E">
        <w:rPr>
          <w:rFonts w:cs="Arial"/>
          <w:szCs w:val="20"/>
        </w:rPr>
        <w:t>, the youth tribunals are competent to take decisions on children with mental health care needs</w:t>
      </w:r>
      <w:r w:rsidRPr="00F60A1E">
        <w:rPr>
          <w:szCs w:val="20"/>
          <w:vertAlign w:val="superscript"/>
        </w:rPr>
        <w:footnoteReference w:id="216"/>
      </w:r>
      <w:r w:rsidRPr="00F60A1E">
        <w:rPr>
          <w:rFonts w:cs="Arial"/>
          <w:szCs w:val="20"/>
        </w:rPr>
        <w:t xml:space="preserve">. The youth tribunal applies civil judicial procedural rules, the </w:t>
      </w:r>
      <w:hyperlink r:id="rId113" w:history="1">
        <w:r w:rsidRPr="00F60A1E">
          <w:rPr>
            <w:rFonts w:cs="Arial"/>
            <w:color w:val="0000FF" w:themeColor="hyperlink"/>
            <w:szCs w:val="20"/>
            <w:u w:val="single"/>
          </w:rPr>
          <w:t>Youth Protection Act</w:t>
        </w:r>
      </w:hyperlink>
      <w:r w:rsidRPr="00F60A1E">
        <w:rPr>
          <w:rFonts w:cs="Arial"/>
          <w:szCs w:val="20"/>
        </w:rPr>
        <w:t xml:space="preserve">, and the </w:t>
      </w:r>
      <w:hyperlink r:id="rId114" w:history="1">
        <w:r w:rsidRPr="00F60A1E">
          <w:rPr>
            <w:rFonts w:cs="Arial"/>
            <w:color w:val="0000FF" w:themeColor="hyperlink"/>
            <w:szCs w:val="20"/>
            <w:u w:val="single"/>
          </w:rPr>
          <w:t>Act on the protection of mentally ill persons</w:t>
        </w:r>
      </w:hyperlink>
      <w:r w:rsidRPr="00F60A1E">
        <w:rPr>
          <w:rFonts w:cs="Arial"/>
          <w:szCs w:val="20"/>
        </w:rPr>
        <w:t xml:space="preserve">. </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 xml:space="preserve">The same rules on protection of the child’s privacy and data in the sector of ‘placement into care’ apply to mental health proceedings. </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witness</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The general rules described above on child witnesses apply to child witnesses in placement into care proceedings.</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subject of proceedings</w:t>
      </w:r>
    </w:p>
    <w:p w:rsidR="00F60A1E" w:rsidRPr="00F60A1E" w:rsidRDefault="00F60A1E" w:rsidP="00F60A1E">
      <w:pPr>
        <w:widowControl w:val="0"/>
        <w:spacing w:before="0" w:after="0" w:line="240" w:lineRule="auto"/>
        <w:ind w:left="851"/>
        <w:jc w:val="both"/>
        <w:rPr>
          <w:bCs/>
          <w:color w:val="FF0000"/>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No rules were identified on child subjects of health care judicial proceedings in Belgium. As an exception, the child will be a party to mental health proceedings before a youth tribunal, although the child’s legal representative must carry out the procedural acts on behalf of the child due to the child’s lack of procedural capacity.</w:t>
      </w:r>
    </w:p>
    <w:p w:rsidR="00F60A1E" w:rsidRPr="00F60A1E" w:rsidRDefault="00F60A1E" w:rsidP="0082630D">
      <w:pPr>
        <w:pStyle w:val="Heading2"/>
      </w:pPr>
      <w:bookmarkStart w:id="145" w:name="_Toc346714785"/>
      <w:bookmarkStart w:id="146" w:name="_Toc346714786"/>
      <w:bookmarkStart w:id="147" w:name="_Toc346714787"/>
      <w:bookmarkStart w:id="148" w:name="_Toc338234113"/>
      <w:bookmarkStart w:id="149" w:name="_Toc371624429"/>
      <w:bookmarkStart w:id="150" w:name="_Toc401070021"/>
      <w:bookmarkStart w:id="151" w:name="_Toc401219672"/>
      <w:bookmarkStart w:id="152" w:name="_Toc401221500"/>
      <w:bookmarkStart w:id="153" w:name="_Toc401221577"/>
      <w:bookmarkStart w:id="154" w:name="_Toc401232331"/>
      <w:bookmarkStart w:id="155" w:name="_Toc404767193"/>
      <w:bookmarkStart w:id="156" w:name="_Toc409792238"/>
      <w:bookmarkEnd w:id="145"/>
      <w:bookmarkEnd w:id="146"/>
      <w:bookmarkEnd w:id="147"/>
      <w:r w:rsidRPr="00F60A1E">
        <w:t>Protection from harm during proceedings and interviews and ensuring a child friendly process</w:t>
      </w:r>
      <w:bookmarkEnd w:id="148"/>
      <w:bookmarkEnd w:id="149"/>
      <w:bookmarkEnd w:id="150"/>
      <w:bookmarkEnd w:id="151"/>
      <w:bookmarkEnd w:id="152"/>
      <w:bookmarkEnd w:id="153"/>
      <w:bookmarkEnd w:id="154"/>
      <w:bookmarkEnd w:id="155"/>
      <w:bookmarkEnd w:id="156"/>
      <w:r w:rsidRPr="00F60A1E">
        <w:t xml:space="preserve"> </w:t>
      </w:r>
    </w:p>
    <w:p w:rsidR="00F60A1E" w:rsidRPr="00F60A1E" w:rsidRDefault="00F60A1E" w:rsidP="0082630D">
      <w:pPr>
        <w:pStyle w:val="Heading3"/>
      </w:pPr>
      <w:bookmarkStart w:id="157" w:name="_Toc401578575"/>
      <w:bookmarkStart w:id="158" w:name="_Toc404767194"/>
      <w:bookmarkStart w:id="159" w:name="_Toc409792239"/>
      <w:r w:rsidRPr="00F60A1E">
        <w:t>General procedural rules applicable to children involved in administrative judicial proceedings including proceedings reviewing administrative authorities’ decisions in the sectors of asylum, migration and education</w:t>
      </w:r>
      <w:bookmarkEnd w:id="157"/>
      <w:bookmarkEnd w:id="158"/>
      <w:bookmarkEnd w:id="159"/>
    </w:p>
    <w:p w:rsidR="00F60A1E" w:rsidRPr="00F60A1E" w:rsidRDefault="00F60A1E" w:rsidP="00F60A1E">
      <w:pPr>
        <w:widowControl w:val="0"/>
        <w:spacing w:before="0" w:after="0" w:line="240" w:lineRule="auto"/>
        <w:ind w:left="851"/>
        <w:jc w:val="both"/>
        <w:rPr>
          <w:rFonts w:cs="Arial"/>
          <w:szCs w:val="20"/>
        </w:rPr>
      </w:pPr>
      <w:r w:rsidRPr="00F60A1E">
        <w:rPr>
          <w:rFonts w:cs="Arial"/>
          <w:bCs/>
          <w:szCs w:val="20"/>
        </w:rPr>
        <w:t>The general rules described below apply to administrative judicial proceedings in the sectors listed above. However, certain specific rules exist in several sectors which are described below in a separate subheading.</w:t>
      </w:r>
      <w:r w:rsidRPr="00F60A1E">
        <w:rPr>
          <w:rFonts w:cs="Arial"/>
          <w:szCs w:val="20"/>
        </w:rPr>
        <w:t xml:space="preserve"> Civil procedural rules apply to healthcare proceedings, proceedings concerning children involved in administrative sanctions and proceedings concerning placement into care (including children below the MACR who have committed offences, see </w:t>
      </w:r>
      <w:hyperlink w:anchor="_Overview_of_Member_2" w:history="1">
        <w:r w:rsidRPr="00F60A1E">
          <w:rPr>
            <w:rFonts w:cs="Arial"/>
            <w:color w:val="0000FF" w:themeColor="hyperlink"/>
            <w:szCs w:val="20"/>
            <w:u w:val="single"/>
          </w:rPr>
          <w:t>Section 1</w:t>
        </w:r>
      </w:hyperlink>
      <w:r w:rsidRPr="00F60A1E">
        <w:rPr>
          <w:rFonts w:cs="Arial"/>
          <w:szCs w:val="20"/>
        </w:rPr>
        <w:t>).</w:t>
      </w:r>
      <w:r w:rsidRPr="00F60A1E">
        <w:rPr>
          <w:bCs/>
          <w:szCs w:val="20"/>
          <w:lang w:val="en-US"/>
        </w:rPr>
        <w:t xml:space="preserve"> </w:t>
      </w:r>
    </w:p>
    <w:p w:rsidR="00F60A1E" w:rsidRPr="00F60A1E" w:rsidRDefault="00F60A1E" w:rsidP="00F60A1E">
      <w:pPr>
        <w:widowControl w:val="0"/>
        <w:spacing w:before="0" w:after="0" w:line="240" w:lineRule="auto"/>
        <w:ind w:left="851"/>
        <w:jc w:val="both"/>
      </w:pPr>
    </w:p>
    <w:p w:rsidR="00F60A1E" w:rsidRPr="00F60A1E" w:rsidRDefault="00F60A1E" w:rsidP="00F60A1E">
      <w:pPr>
        <w:widowControl w:val="0"/>
        <w:spacing w:before="0" w:after="0" w:line="240" w:lineRule="auto"/>
        <w:ind w:left="851"/>
        <w:jc w:val="both"/>
      </w:pPr>
      <w:r w:rsidRPr="00F60A1E">
        <w:t xml:space="preserve">There are no specific legal rules on children, children’s protection from harm, and ensuring a child-friendly process in administrative judicial proceedings. Hence, the general rules of proceedings before the Council of State and the </w:t>
      </w:r>
      <w:hyperlink r:id="rId115" w:history="1">
        <w:r w:rsidRPr="00F60A1E">
          <w:rPr>
            <w:rFonts w:cs="Arial"/>
            <w:color w:val="0000FF" w:themeColor="hyperlink"/>
            <w:u w:val="single"/>
          </w:rPr>
          <w:t>Judicial Code</w:t>
        </w:r>
      </w:hyperlink>
      <w:r w:rsidRPr="00F60A1E">
        <w:t xml:space="preserve"> apply.</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plaintiff/defendant</w:t>
      </w:r>
    </w:p>
    <w:p w:rsidR="00F60A1E" w:rsidRPr="00227001" w:rsidRDefault="00F60A1E" w:rsidP="00227001">
      <w:pPr>
        <w:pStyle w:val="Heading3NoNumb"/>
        <w:ind w:left="851"/>
      </w:pPr>
      <w:bookmarkStart w:id="160" w:name="_Toc409792240"/>
      <w:r w:rsidRPr="00F60A1E">
        <w:t>Avoiding undue delays and provisional or preliminary decisions</w:t>
      </w:r>
      <w:bookmarkEnd w:id="160"/>
    </w:p>
    <w:p w:rsidR="00F60A1E" w:rsidRPr="00F60A1E" w:rsidRDefault="00F60A1E" w:rsidP="00F60A1E">
      <w:pPr>
        <w:widowControl w:val="0"/>
        <w:spacing w:before="0" w:after="0" w:line="240" w:lineRule="auto"/>
        <w:ind w:left="851"/>
        <w:jc w:val="both"/>
      </w:pPr>
      <w:r w:rsidRPr="00F60A1E">
        <w:t xml:space="preserve">As explained in </w:t>
      </w:r>
      <w:r w:rsidRPr="00F60A1E">
        <w:rPr>
          <w:bCs/>
        </w:rPr>
        <w:t>the Study to collect data on children’s involvement in civil judicial proceedings</w:t>
      </w:r>
      <w:r w:rsidRPr="00F60A1E">
        <w:t xml:space="preserve">, in accordance with Article 6 ECHR, the duration of the proceedings must not exceed a reasonable time. The law does not provide an indication as to what constitutes a reasonable </w:t>
      </w:r>
      <w:r w:rsidRPr="00F60A1E">
        <w:lastRenderedPageBreak/>
        <w:t>time, and thus the application of this principle depends on the discretion of the judge who needs to take into consideration the circumstances and complexity of the case</w:t>
      </w:r>
      <w:r w:rsidRPr="00F60A1E">
        <w:rPr>
          <w:vertAlign w:val="superscript"/>
        </w:rPr>
        <w:footnoteReference w:id="217"/>
      </w:r>
      <w:r w:rsidRPr="00F60A1E">
        <w:t>. If no definitive decision has been taken within a reasonable time in a judicial proceeding, the State may be held liable for any damages caused. The parties can claim for compensation without the need to prove a wrongful act or negligence on the part of the State</w:t>
      </w:r>
      <w:r w:rsidRPr="00F60A1E">
        <w:rPr>
          <w:vertAlign w:val="superscript"/>
        </w:rPr>
        <w:footnoteReference w:id="218"/>
      </w:r>
      <w:r w:rsidRPr="00F60A1E">
        <w:t xml:space="preserve">. As children lack procedural capacity to act, their legal representatives can file such claims on their behalf. </w:t>
      </w:r>
    </w:p>
    <w:p w:rsidR="00F60A1E" w:rsidRPr="00F60A1E" w:rsidRDefault="00F60A1E" w:rsidP="00F60A1E">
      <w:pPr>
        <w:widowControl w:val="0"/>
        <w:spacing w:before="0" w:after="0" w:line="240" w:lineRule="auto"/>
        <w:ind w:left="851"/>
        <w:jc w:val="both"/>
      </w:pPr>
    </w:p>
    <w:p w:rsidR="00F60A1E" w:rsidRPr="00F60A1E" w:rsidRDefault="00F60A1E" w:rsidP="00F60A1E">
      <w:pPr>
        <w:widowControl w:val="0"/>
        <w:spacing w:before="0" w:after="0" w:line="240" w:lineRule="auto"/>
        <w:ind w:left="851"/>
        <w:jc w:val="both"/>
      </w:pPr>
      <w:r w:rsidRPr="00F60A1E">
        <w:t>No other safeguards have been identified that require proceedings to take place without undue delay when children are involved in administrative judicial proceedings. Preliminary and provisional decisions may be sought in various cases, especially in cases of urgency.</w:t>
      </w:r>
    </w:p>
    <w:p w:rsidR="00F60A1E" w:rsidRPr="00F60A1E" w:rsidRDefault="00F60A1E" w:rsidP="00F60A1E">
      <w:pPr>
        <w:widowControl w:val="0"/>
        <w:spacing w:before="0" w:after="0" w:line="240" w:lineRule="auto"/>
        <w:ind w:left="851"/>
        <w:jc w:val="both"/>
      </w:pPr>
    </w:p>
    <w:p w:rsidR="00F60A1E" w:rsidRPr="00F60A1E" w:rsidRDefault="00F60A1E" w:rsidP="00F60A1E">
      <w:pPr>
        <w:widowControl w:val="0"/>
        <w:spacing w:before="0" w:after="0" w:line="240" w:lineRule="auto"/>
        <w:ind w:left="851"/>
        <w:jc w:val="both"/>
      </w:pPr>
      <w:r w:rsidRPr="00F60A1E">
        <w:t>The Council of State can order interim measures under certain conditions. To do so, a party must bring a suspension action, i.e. an action to suspend the decision of the administrative authority, at the same time as bringing an annulment action before the Council of State. Then, the Council of State may order the interim measures necessary to safeguard the interests of a party. The Council of State can decide urgently – within three days, and without hearing the parties</w:t>
      </w:r>
      <w:r w:rsidRPr="00F60A1E">
        <w:rPr>
          <w:vertAlign w:val="superscript"/>
        </w:rPr>
        <w:footnoteReference w:id="219"/>
      </w:r>
      <w:r w:rsidRPr="00F60A1E">
        <w:t>.</w:t>
      </w:r>
    </w:p>
    <w:p w:rsidR="00F60A1E" w:rsidRPr="00F60A1E" w:rsidRDefault="00F60A1E" w:rsidP="00F60A1E">
      <w:pPr>
        <w:widowControl w:val="0"/>
        <w:spacing w:before="0" w:after="0" w:line="240" w:lineRule="auto"/>
        <w:ind w:left="851"/>
        <w:jc w:val="both"/>
      </w:pPr>
    </w:p>
    <w:p w:rsidR="00F60A1E" w:rsidRPr="00F60A1E" w:rsidRDefault="00F60A1E" w:rsidP="00F60A1E">
      <w:pPr>
        <w:widowControl w:val="0"/>
        <w:spacing w:before="0" w:after="0" w:line="240" w:lineRule="auto"/>
        <w:ind w:left="851"/>
        <w:jc w:val="both"/>
      </w:pPr>
      <w:r w:rsidRPr="00F60A1E">
        <w:t>The President of the Tribunal of First Instance can adopt urgent interim measures in any matters,</w:t>
      </w:r>
      <w:r w:rsidRPr="00F60A1E" w:rsidDel="0018316F">
        <w:t xml:space="preserve"> </w:t>
      </w:r>
      <w:r w:rsidRPr="00F60A1E">
        <w:t>via preliminary proceedings (</w:t>
      </w:r>
      <w:r w:rsidRPr="00F60A1E">
        <w:rPr>
          <w:i/>
        </w:rPr>
        <w:t>référé – kortgeding</w:t>
      </w:r>
      <w:r w:rsidRPr="00F60A1E">
        <w:t>)</w:t>
      </w:r>
      <w:r w:rsidRPr="00F60A1E">
        <w:rPr>
          <w:vertAlign w:val="superscript"/>
        </w:rPr>
        <w:footnoteReference w:id="220"/>
      </w:r>
      <w:r w:rsidRPr="00F60A1E">
        <w:t xml:space="preserve">. The First Instance Tribunal is competent to decide in urgency – even for matters related to the administrative judicial proceedings if it relates to subjective rights – see </w:t>
      </w:r>
      <w:hyperlink w:anchor="_Overview_of_Member" w:history="1">
        <w:r w:rsidRPr="00F60A1E">
          <w:rPr>
            <w:rFonts w:cs="Arial"/>
            <w:color w:val="0000FF" w:themeColor="hyperlink"/>
            <w:u w:val="single"/>
          </w:rPr>
          <w:t>Section 1</w:t>
        </w:r>
      </w:hyperlink>
      <w:r w:rsidRPr="00F60A1E">
        <w:t>, or if an action for annulment has been initiated before the Council of State and the suspension action is no longer possible</w:t>
      </w:r>
      <w:r w:rsidRPr="00F60A1E">
        <w:rPr>
          <w:vertAlign w:val="superscript"/>
        </w:rPr>
        <w:footnoteReference w:id="221"/>
      </w:r>
      <w:r w:rsidRPr="00F60A1E">
        <w:t>. Another condition for such a proceeding is the urgency of the case. The case is deemed to be urgent when there is risk of severe prejudice or serious inconveniences and thus, an immediate decision is desirable</w:t>
      </w:r>
      <w:r w:rsidRPr="00F60A1E">
        <w:rPr>
          <w:vertAlign w:val="superscript"/>
        </w:rPr>
        <w:footnoteReference w:id="222"/>
      </w:r>
      <w:r w:rsidRPr="00F60A1E">
        <w:t>. The measures adopted are temporary and cannot prejudice a final court’s decision.</w:t>
      </w:r>
    </w:p>
    <w:p w:rsidR="00F60A1E" w:rsidRPr="00F60A1E" w:rsidRDefault="00F60A1E" w:rsidP="00F60A1E">
      <w:pPr>
        <w:widowControl w:val="0"/>
        <w:spacing w:before="0" w:after="0" w:line="240" w:lineRule="auto"/>
        <w:ind w:left="851"/>
        <w:jc w:val="both"/>
      </w:pPr>
    </w:p>
    <w:p w:rsidR="00F60A1E" w:rsidRPr="00F60A1E" w:rsidRDefault="00F60A1E" w:rsidP="00F60A1E">
      <w:pPr>
        <w:widowControl w:val="0"/>
        <w:spacing w:before="0" w:after="0" w:line="240" w:lineRule="auto"/>
        <w:ind w:left="851"/>
        <w:jc w:val="both"/>
      </w:pPr>
      <w:r w:rsidRPr="00F60A1E">
        <w:t>No mechanism has been identified to monitor the implementation of the urgency principle in respect of proceedings involving children.</w:t>
      </w:r>
    </w:p>
    <w:p w:rsidR="00F60A1E" w:rsidRPr="00F60A1E" w:rsidRDefault="00F60A1E" w:rsidP="00F60A1E">
      <w:pPr>
        <w:widowControl w:val="0"/>
        <w:spacing w:before="0" w:after="0" w:line="240" w:lineRule="auto"/>
        <w:ind w:left="851"/>
        <w:jc w:val="both"/>
      </w:pPr>
    </w:p>
    <w:p w:rsidR="00F60A1E" w:rsidRPr="00F60A1E" w:rsidRDefault="00F60A1E" w:rsidP="00F60A1E">
      <w:pPr>
        <w:widowControl w:val="0"/>
        <w:spacing w:before="0" w:after="0" w:line="240" w:lineRule="auto"/>
        <w:ind w:left="851"/>
        <w:jc w:val="both"/>
      </w:pPr>
      <w:r w:rsidRPr="00F60A1E">
        <w:t xml:space="preserve">The proceedings to request suspension of an administrative authority’s decision and interim measures can be initiated by the child’s legal representative, or by the child in his/her own right in the cases mentioned in </w:t>
      </w:r>
      <w:hyperlink w:anchor="_The_child_as" w:history="1">
        <w:r w:rsidRPr="00F60A1E">
          <w:rPr>
            <w:rFonts w:cs="Arial"/>
            <w:color w:val="0000FF" w:themeColor="hyperlink"/>
            <w:u w:val="single"/>
          </w:rPr>
          <w:t>Section 2.1</w:t>
        </w:r>
      </w:hyperlink>
      <w:r w:rsidRPr="00F60A1E">
        <w:t>.</w:t>
      </w:r>
    </w:p>
    <w:p w:rsidR="00F60A1E" w:rsidRPr="00F60A1E" w:rsidRDefault="00227001" w:rsidP="00227001">
      <w:pPr>
        <w:pStyle w:val="Heading3NoNumb"/>
        <w:ind w:left="851"/>
      </w:pPr>
      <w:bookmarkStart w:id="161" w:name="_Toc409792241"/>
      <w:r>
        <w:t>Child-friendly environment</w:t>
      </w:r>
      <w:bookmarkEnd w:id="161"/>
    </w:p>
    <w:p w:rsidR="00F60A1E" w:rsidRPr="00F60A1E" w:rsidRDefault="00F60A1E" w:rsidP="00F60A1E">
      <w:pPr>
        <w:widowControl w:val="0"/>
        <w:spacing w:before="0" w:after="0" w:line="240" w:lineRule="auto"/>
        <w:ind w:left="851"/>
        <w:jc w:val="both"/>
        <w:rPr>
          <w:bCs/>
        </w:rPr>
      </w:pPr>
      <w:r w:rsidRPr="00F60A1E">
        <w:t>When interviewed, the child should be heard in a place that is deemed appropriate by the judge</w:t>
      </w:r>
      <w:r w:rsidRPr="00F60A1E">
        <w:rPr>
          <w:bCs/>
          <w:vertAlign w:val="superscript"/>
        </w:rPr>
        <w:footnoteReference w:id="223"/>
      </w:r>
      <w:r w:rsidRPr="00F60A1E">
        <w:rPr>
          <w:bCs/>
        </w:rPr>
        <w:t>. However, the law does not define what is considered as an appropriate place. It is not a legal requirement for the courts, including the Council of State, to have child-friendly rooms available or to ensure a child-friendly environment when children are involved in administrative judicial proceedings</w:t>
      </w:r>
      <w:r w:rsidRPr="00F60A1E">
        <w:rPr>
          <w:bCs/>
          <w:vertAlign w:val="superscript"/>
        </w:rPr>
        <w:footnoteReference w:id="224"/>
      </w:r>
      <w:r w:rsidRPr="00F60A1E">
        <w:rPr>
          <w:bCs/>
        </w:rPr>
        <w:t xml:space="preserve">. </w:t>
      </w:r>
    </w:p>
    <w:p w:rsidR="00F60A1E" w:rsidRPr="00F60A1E" w:rsidRDefault="00F60A1E" w:rsidP="00F60A1E">
      <w:pPr>
        <w:widowControl w:val="0"/>
        <w:spacing w:before="0" w:after="0" w:line="240" w:lineRule="auto"/>
        <w:ind w:left="851"/>
        <w:jc w:val="both"/>
        <w:rPr>
          <w:bCs/>
        </w:rPr>
      </w:pPr>
    </w:p>
    <w:p w:rsidR="00F60A1E" w:rsidRPr="00F60A1E" w:rsidRDefault="00F60A1E" w:rsidP="00F60A1E">
      <w:pPr>
        <w:widowControl w:val="0"/>
        <w:spacing w:before="0" w:after="0" w:line="240" w:lineRule="auto"/>
        <w:ind w:left="851"/>
        <w:jc w:val="both"/>
        <w:rPr>
          <w:bCs/>
        </w:rPr>
      </w:pPr>
      <w:r w:rsidRPr="00F60A1E">
        <w:rPr>
          <w:bCs/>
        </w:rPr>
        <w:t xml:space="preserve">As mentioned in </w:t>
      </w:r>
      <w:hyperlink w:anchor="_2.2_Provision_of" w:history="1">
        <w:r w:rsidRPr="00F60A1E">
          <w:rPr>
            <w:rFonts w:cs="Arial"/>
            <w:bCs/>
            <w:color w:val="0000FF" w:themeColor="hyperlink"/>
            <w:u w:val="single"/>
          </w:rPr>
          <w:t>Section 2.2</w:t>
        </w:r>
      </w:hyperlink>
      <w:r w:rsidRPr="00F60A1E">
        <w:rPr>
          <w:bCs/>
        </w:rPr>
        <w:t xml:space="preserve">, judicial assistants and the social services can support children and their families during the proceedings. There is no minimum age at which the child can receive the support of a judicial assistant and the social services – including the youth care services. No specific legal requirements are in place to provide support to children in highly conflictual proceedings. In cases of conflict of interests between the parents and the child, a </w:t>
      </w:r>
      <w:r w:rsidRPr="00F60A1E">
        <w:rPr>
          <w:bCs/>
        </w:rPr>
        <w:lastRenderedPageBreak/>
        <w:t xml:space="preserve">guardian </w:t>
      </w:r>
      <w:r w:rsidRPr="00F60A1E">
        <w:rPr>
          <w:bCs/>
          <w:i/>
        </w:rPr>
        <w:t>ad litem</w:t>
      </w:r>
      <w:r w:rsidRPr="00F60A1E">
        <w:rPr>
          <w:bCs/>
        </w:rPr>
        <w:t xml:space="preserve"> may be appointed by the civil magistrate upon request of any interested party</w:t>
      </w:r>
      <w:r w:rsidRPr="00F60A1E">
        <w:rPr>
          <w:bCs/>
          <w:i/>
        </w:rPr>
        <w:t xml:space="preserve">, </w:t>
      </w:r>
      <w:r w:rsidRPr="00F60A1E">
        <w:rPr>
          <w:bCs/>
        </w:rPr>
        <w:t xml:space="preserve">as mentioned in </w:t>
      </w:r>
      <w:hyperlink w:anchor="_2.3_Protection_of" w:history="1">
        <w:r w:rsidRPr="00F60A1E">
          <w:rPr>
            <w:rFonts w:cs="Arial"/>
            <w:bCs/>
            <w:color w:val="0000FF" w:themeColor="hyperlink"/>
            <w:u w:val="single"/>
          </w:rPr>
          <w:t>Section 2.3</w:t>
        </w:r>
      </w:hyperlink>
      <w:r w:rsidRPr="00F60A1E">
        <w:rPr>
          <w:bCs/>
          <w:vertAlign w:val="superscript"/>
        </w:rPr>
        <w:footnoteReference w:id="225"/>
      </w:r>
      <w:r w:rsidRPr="00F60A1E">
        <w:rPr>
          <w:bCs/>
        </w:rPr>
        <w:t xml:space="preserve">. </w:t>
      </w:r>
    </w:p>
    <w:p w:rsidR="00F60A1E" w:rsidRPr="00F60A1E" w:rsidRDefault="00F60A1E" w:rsidP="00227001">
      <w:pPr>
        <w:pStyle w:val="Heading3NoNumb"/>
        <w:ind w:left="851"/>
      </w:pPr>
      <w:bookmarkStart w:id="162" w:name="_Toc409792242"/>
      <w:r w:rsidRPr="00F60A1E">
        <w:t>Protecting a child from harm and assisting the child</w:t>
      </w:r>
      <w:bookmarkEnd w:id="162"/>
    </w:p>
    <w:p w:rsidR="00F60A1E" w:rsidRPr="00F60A1E" w:rsidRDefault="00F60A1E" w:rsidP="00F60A1E">
      <w:pPr>
        <w:widowControl w:val="0"/>
        <w:spacing w:before="0" w:after="0" w:line="240" w:lineRule="auto"/>
        <w:ind w:left="851"/>
        <w:jc w:val="both"/>
        <w:rPr>
          <w:bCs/>
          <w:szCs w:val="20"/>
        </w:rPr>
      </w:pPr>
      <w:r w:rsidRPr="00F60A1E">
        <w:rPr>
          <w:bCs/>
          <w:szCs w:val="20"/>
        </w:rPr>
        <w:t xml:space="preserve">As a result of his/her lack of procedural capacity to act, the child must be represented by his/her legal representative during the proceedings before the Council of State – except in the case mentioned in </w:t>
      </w:r>
      <w:hyperlink w:anchor="_The_child_as" w:history="1">
        <w:r w:rsidRPr="00F60A1E">
          <w:rPr>
            <w:bCs/>
            <w:color w:val="0000FF" w:themeColor="hyperlink"/>
            <w:szCs w:val="20"/>
            <w:u w:val="single"/>
          </w:rPr>
          <w:t>Section 2.1</w:t>
        </w:r>
      </w:hyperlink>
      <w:r w:rsidRPr="00F60A1E">
        <w:rPr>
          <w:bCs/>
          <w:szCs w:val="20"/>
        </w:rPr>
        <w:t>. Parties to administrative judicial proceedings before the Council of State may be represented by legal counsels</w:t>
      </w:r>
      <w:r w:rsidRPr="00F60A1E">
        <w:rPr>
          <w:bCs/>
          <w:szCs w:val="20"/>
          <w:vertAlign w:val="superscript"/>
        </w:rPr>
        <w:footnoteReference w:id="226"/>
      </w:r>
      <w:r w:rsidRPr="00F60A1E">
        <w:rPr>
          <w:bCs/>
          <w:szCs w:val="20"/>
        </w:rPr>
        <w:t>. For some procedures such as actions in cassation, the assistance of legal counsels is mandatory</w:t>
      </w:r>
      <w:r w:rsidRPr="00F60A1E">
        <w:rPr>
          <w:bCs/>
          <w:szCs w:val="20"/>
          <w:vertAlign w:val="superscript"/>
        </w:rPr>
        <w:footnoteReference w:id="227"/>
      </w:r>
      <w:r w:rsidRPr="00F60A1E">
        <w:rPr>
          <w:bCs/>
          <w:szCs w:val="20"/>
        </w:rPr>
        <w:t>. Due to the complexity of the procedure, parties are usually represented by a legal counsel</w:t>
      </w:r>
      <w:r w:rsidRPr="00F60A1E">
        <w:rPr>
          <w:bCs/>
          <w:szCs w:val="20"/>
          <w:vertAlign w:val="superscript"/>
        </w:rPr>
        <w:footnoteReference w:id="228"/>
      </w:r>
      <w:r w:rsidRPr="00F60A1E">
        <w:rPr>
          <w:bCs/>
          <w:szCs w:val="20"/>
        </w:rPr>
        <w:t xml:space="preserve">. </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 xml:space="preserve">No specific rules exist regarding the hearing of a child before the Council of State. Hence, the general rules of the </w:t>
      </w:r>
      <w:hyperlink r:id="rId116" w:history="1">
        <w:r w:rsidRPr="00F60A1E">
          <w:rPr>
            <w:bCs/>
            <w:color w:val="0000FF" w:themeColor="hyperlink"/>
            <w:szCs w:val="20"/>
            <w:u w:val="single"/>
          </w:rPr>
          <w:t>Judicial Code</w:t>
        </w:r>
      </w:hyperlink>
      <w:r w:rsidRPr="00F60A1E">
        <w:rPr>
          <w:bCs/>
          <w:szCs w:val="20"/>
        </w:rPr>
        <w:t xml:space="preserve"> apply. As mentioned in the Study to collect data on children’s involvement in civil judicial proceedings, the child will be heard alone unless a judge decides that it is in the best interests of the child to be assisted. A judge can decide that the interview should be carried out by someone who he/she appoints. As a result, a judge can assign the task of interviewing the child to a psychologist, social worker, doctor or even a Police officer</w:t>
      </w:r>
      <w:r w:rsidRPr="00F60A1E">
        <w:rPr>
          <w:bCs/>
          <w:szCs w:val="20"/>
          <w:vertAlign w:val="superscript"/>
        </w:rPr>
        <w:footnoteReference w:id="229"/>
      </w:r>
      <w:r w:rsidRPr="00F60A1E">
        <w:rPr>
          <w:bCs/>
          <w:szCs w:val="20"/>
        </w:rPr>
        <w:t>. Since the child is heard alone by a judge, the legal counsel or legal representative cannot assist him/her unless the judge decides that it is in the child’s best interests that the legal counsel or legal representative assists him/her during the interview. Any person interviewed, including a child, can request to be heard in another language and benefit from the assistance of an interpreter</w:t>
      </w:r>
      <w:r w:rsidRPr="00F60A1E">
        <w:rPr>
          <w:bCs/>
          <w:szCs w:val="20"/>
          <w:vertAlign w:val="superscript"/>
        </w:rPr>
        <w:footnoteReference w:id="230"/>
      </w:r>
      <w:r w:rsidRPr="00F60A1E">
        <w:rPr>
          <w:bCs/>
          <w:szCs w:val="20"/>
        </w:rPr>
        <w:t>.</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The proceedings before the Council of State are mostly written, and with one or more hearings over the course of the proceedings. By the time of the hearing, most of the arguments have usually been exchanged in a written procedure</w:t>
      </w:r>
      <w:r w:rsidRPr="00F60A1E">
        <w:rPr>
          <w:bCs/>
          <w:szCs w:val="20"/>
          <w:vertAlign w:val="superscript"/>
        </w:rPr>
        <w:footnoteReference w:id="231"/>
      </w:r>
      <w:r w:rsidRPr="00F60A1E">
        <w:rPr>
          <w:bCs/>
          <w:szCs w:val="20"/>
        </w:rPr>
        <w:t>. It is possible that the case is handled exclusively through the written procedure. In this case, the parties must submit a declaration that they do not wish the case to be heard in a hearing and that it will be handled in a written procedure. The Council may nevertheless requests oral explanations on certain points of the case</w:t>
      </w:r>
      <w:r w:rsidRPr="00F60A1E">
        <w:rPr>
          <w:bCs/>
          <w:szCs w:val="20"/>
          <w:vertAlign w:val="superscript"/>
        </w:rPr>
        <w:footnoteReference w:id="232"/>
      </w:r>
      <w:r w:rsidRPr="00F60A1E">
        <w:rPr>
          <w:bCs/>
          <w:szCs w:val="20"/>
        </w:rPr>
        <w:t>.</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There is no specific legal or policy requirement with respect to highly conflictual proceedings in administrative judicial proceedings.</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spacing w:before="0" w:after="0" w:line="240" w:lineRule="auto"/>
        <w:ind w:left="851"/>
        <w:jc w:val="both"/>
        <w:rPr>
          <w:bCs/>
          <w:szCs w:val="20"/>
        </w:rPr>
      </w:pPr>
      <w:r w:rsidRPr="00F60A1E">
        <w:rPr>
          <w:bCs/>
          <w:szCs w:val="20"/>
        </w:rPr>
        <w:t xml:space="preserve">There is no specific legal or policy requirement to assist the child in communications during the proceedings. The </w:t>
      </w:r>
      <w:hyperlink r:id="rId117" w:history="1">
        <w:r w:rsidRPr="00F60A1E">
          <w:rPr>
            <w:bCs/>
            <w:color w:val="0000FF" w:themeColor="hyperlink"/>
            <w:szCs w:val="20"/>
            <w:u w:val="single"/>
          </w:rPr>
          <w:t>Constitution</w:t>
        </w:r>
      </w:hyperlink>
      <w:r w:rsidRPr="00F60A1E">
        <w:rPr>
          <w:bCs/>
          <w:szCs w:val="20"/>
        </w:rPr>
        <w:t xml:space="preserve"> requires that the opinion of the child must be taken into account considering his/her age and discernment. There is no other legal provision requiring to take into account the child’s age and maturity, any communication difficulties the child may have, and to ensure that the child understands the administrative judicial proceedings</w:t>
      </w:r>
      <w:r w:rsidRPr="00F60A1E">
        <w:rPr>
          <w:bCs/>
          <w:szCs w:val="20"/>
          <w:vertAlign w:val="superscript"/>
        </w:rPr>
        <w:footnoteReference w:id="233"/>
      </w:r>
      <w:r w:rsidRPr="00F60A1E">
        <w:rPr>
          <w:bCs/>
          <w:szCs w:val="20"/>
        </w:rPr>
        <w:t xml:space="preserve">. </w:t>
      </w:r>
    </w:p>
    <w:p w:rsidR="00F60A1E" w:rsidRPr="00F60A1E" w:rsidRDefault="00F60A1E" w:rsidP="00F60A1E">
      <w:pPr>
        <w:spacing w:before="0" w:after="0" w:line="240" w:lineRule="auto"/>
        <w:ind w:left="851"/>
        <w:jc w:val="both"/>
        <w:rPr>
          <w:bCs/>
          <w:szCs w:val="20"/>
        </w:rPr>
      </w:pPr>
    </w:p>
    <w:p w:rsidR="00F60A1E" w:rsidRPr="00F60A1E" w:rsidRDefault="00F60A1E" w:rsidP="00F60A1E">
      <w:pPr>
        <w:spacing w:before="0" w:after="0" w:line="240" w:lineRule="auto"/>
        <w:ind w:left="851"/>
        <w:jc w:val="both"/>
        <w:rPr>
          <w:bCs/>
          <w:szCs w:val="20"/>
        </w:rPr>
      </w:pPr>
      <w:r w:rsidRPr="00F60A1E">
        <w:rPr>
          <w:bCs/>
          <w:szCs w:val="20"/>
        </w:rPr>
        <w:t>No legal requirement has been identified to protect children during administrative judicial proceedings from images or information that can be harmful to their welfare.</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 xml:space="preserve">There is no statutory or policy provision to avoid the need for the child’s presence in the proceedings. As mentioned above, the proceedings before the Council of State are mostly written procedures. Hence, the child will not be requested to be heard multiple times. As </w:t>
      </w:r>
      <w:r w:rsidRPr="00F60A1E">
        <w:rPr>
          <w:bCs/>
          <w:szCs w:val="20"/>
        </w:rPr>
        <w:lastRenderedPageBreak/>
        <w:t>explained in the Study to collect data on children’s involvement in civil judicial proceedings, there are no measures in place allowing the use of audio-video recording of the child’s interview in judicial proceedings, other than for the hearing of a child victim in a criminal proceeding</w:t>
      </w:r>
      <w:r w:rsidRPr="00F60A1E">
        <w:rPr>
          <w:bCs/>
          <w:szCs w:val="20"/>
          <w:vertAlign w:val="superscript"/>
        </w:rPr>
        <w:footnoteReference w:id="234"/>
      </w:r>
      <w:r w:rsidRPr="00F60A1E">
        <w:rPr>
          <w:bCs/>
          <w:szCs w:val="20"/>
        </w:rPr>
        <w:t>. The objective of the interview is to take the child’s opinion into account as opposed to using the interview as formal evidence. As a result, the reason for the absence of audio-video recording measures is to ensure that what the child says in the interview will not be used against him/her</w:t>
      </w:r>
      <w:r w:rsidRPr="00F60A1E">
        <w:rPr>
          <w:bCs/>
          <w:szCs w:val="20"/>
          <w:vertAlign w:val="superscript"/>
        </w:rPr>
        <w:footnoteReference w:id="235"/>
      </w:r>
      <w:r w:rsidRPr="00F60A1E">
        <w:rPr>
          <w:bCs/>
          <w:szCs w:val="20"/>
        </w:rPr>
        <w:t>.</w:t>
      </w:r>
    </w:p>
    <w:p w:rsidR="00F60A1E" w:rsidRPr="00F60A1E" w:rsidRDefault="00F60A1E" w:rsidP="00F60A1E">
      <w:pPr>
        <w:widowControl w:val="0"/>
        <w:spacing w:before="0" w:after="0" w:line="240" w:lineRule="auto"/>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 xml:space="preserve">While the </w:t>
      </w:r>
      <w:hyperlink r:id="rId118" w:history="1">
        <w:r w:rsidRPr="00F60A1E">
          <w:rPr>
            <w:bCs/>
            <w:color w:val="0000FF" w:themeColor="hyperlink"/>
            <w:szCs w:val="20"/>
            <w:u w:val="single"/>
          </w:rPr>
          <w:t>Constitution</w:t>
        </w:r>
      </w:hyperlink>
      <w:r w:rsidRPr="00F60A1E">
        <w:rPr>
          <w:bCs/>
          <w:szCs w:val="20"/>
        </w:rPr>
        <w:t xml:space="preserve"> provides the child with the right to express his/her opinion in any matter that concerns him/her, it does not require the judge to systematically hear a child. Hence, the judge has discretionary power to decide whether or not the child should testify. In addition, when the judges decide to hear the child, the child has the right to refuse to be heard</w:t>
      </w:r>
      <w:r w:rsidRPr="00F60A1E">
        <w:rPr>
          <w:bCs/>
          <w:szCs w:val="20"/>
          <w:vertAlign w:val="superscript"/>
        </w:rPr>
        <w:footnoteReference w:id="236"/>
      </w:r>
      <w:r w:rsidRPr="00F60A1E">
        <w:rPr>
          <w:bCs/>
          <w:szCs w:val="20"/>
        </w:rPr>
        <w:t>.</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spacing w:before="0" w:after="0" w:line="240" w:lineRule="auto"/>
        <w:ind w:left="851"/>
        <w:jc w:val="both"/>
        <w:rPr>
          <w:bCs/>
          <w:szCs w:val="20"/>
        </w:rPr>
      </w:pPr>
      <w:r w:rsidRPr="00F60A1E">
        <w:rPr>
          <w:bCs/>
          <w:szCs w:val="20"/>
        </w:rPr>
        <w:t xml:space="preserve">No specific rules exist regarding the admissibility of the hearing of a child as evidence before the Council of State. Hence, the general rules of the </w:t>
      </w:r>
      <w:hyperlink r:id="rId119" w:history="1">
        <w:r w:rsidRPr="00F60A1E">
          <w:rPr>
            <w:bCs/>
            <w:color w:val="0000FF" w:themeColor="hyperlink"/>
            <w:szCs w:val="20"/>
            <w:u w:val="single"/>
          </w:rPr>
          <w:t>Judicial Code</w:t>
        </w:r>
      </w:hyperlink>
      <w:r w:rsidRPr="00F60A1E">
        <w:rPr>
          <w:bCs/>
          <w:szCs w:val="20"/>
        </w:rPr>
        <w:t xml:space="preserve"> apply. As mentioned in the Study to collect data on children’s involvement in civil judicial proceedings, a child under the age of 15 years cannot be heard under oath. The child’s declaration is then only collected as information and will not be used as formal evidence – rather as information to put other evidence into context</w:t>
      </w:r>
      <w:r w:rsidRPr="00F60A1E">
        <w:rPr>
          <w:bCs/>
          <w:szCs w:val="20"/>
          <w:vertAlign w:val="superscript"/>
        </w:rPr>
        <w:footnoteReference w:id="237"/>
      </w:r>
      <w:r w:rsidRPr="00F60A1E">
        <w:rPr>
          <w:bCs/>
          <w:szCs w:val="20"/>
        </w:rPr>
        <w:t>. The report of the child’s interview is attached to the case file. However, parties to the proceedings cannot access reports containing the interviews of children. In accordance with the adversarial principle</w:t>
      </w:r>
      <w:r w:rsidRPr="00F60A1E">
        <w:rPr>
          <w:bCs/>
          <w:szCs w:val="20"/>
          <w:vertAlign w:val="superscript"/>
        </w:rPr>
        <w:footnoteReference w:id="238"/>
      </w:r>
      <w:r w:rsidRPr="00F60A1E">
        <w:rPr>
          <w:bCs/>
          <w:szCs w:val="20"/>
        </w:rPr>
        <w:t>, a judge cannot base his/her decision on the child’s interview, since the parties to the proceedings do not have access to the interview’s report</w:t>
      </w:r>
      <w:r w:rsidRPr="00F60A1E">
        <w:rPr>
          <w:bCs/>
          <w:szCs w:val="20"/>
          <w:vertAlign w:val="superscript"/>
        </w:rPr>
        <w:footnoteReference w:id="239"/>
      </w:r>
      <w:r w:rsidRPr="00F60A1E">
        <w:rPr>
          <w:bCs/>
          <w:szCs w:val="20"/>
        </w:rPr>
        <w:t xml:space="preserve">. </w:t>
      </w:r>
    </w:p>
    <w:p w:rsidR="00F60A1E" w:rsidRPr="00F60A1E" w:rsidRDefault="00F60A1E" w:rsidP="00F60A1E">
      <w:pPr>
        <w:spacing w:before="0" w:after="0" w:line="240" w:lineRule="auto"/>
        <w:ind w:left="851"/>
        <w:jc w:val="both"/>
        <w:rPr>
          <w:bCs/>
          <w:szCs w:val="20"/>
        </w:rPr>
      </w:pPr>
    </w:p>
    <w:p w:rsidR="00F60A1E" w:rsidRPr="00F60A1E" w:rsidRDefault="00F60A1E" w:rsidP="00F60A1E">
      <w:pPr>
        <w:spacing w:before="0" w:after="0" w:line="240" w:lineRule="auto"/>
        <w:ind w:left="851"/>
        <w:jc w:val="both"/>
        <w:rPr>
          <w:bCs/>
          <w:szCs w:val="20"/>
        </w:rPr>
      </w:pPr>
      <w:r w:rsidRPr="00F60A1E">
        <w:rPr>
          <w:bCs/>
          <w:szCs w:val="20"/>
        </w:rPr>
        <w:t>The legislation requires reasonable accommodation for children with disabilities, e.g. sign language interpretation</w:t>
      </w:r>
      <w:r w:rsidRPr="00F60A1E">
        <w:rPr>
          <w:bCs/>
          <w:szCs w:val="20"/>
          <w:vertAlign w:val="superscript"/>
        </w:rPr>
        <w:footnoteReference w:id="240"/>
      </w:r>
      <w:r w:rsidRPr="00F60A1E">
        <w:rPr>
          <w:bCs/>
          <w:szCs w:val="20"/>
        </w:rPr>
        <w:t xml:space="preserve">. No specific legal provision has been identified on implementing measures to ensure the consideration of the child’s special needs, age and maturity whilst gathering information and evidence. The judge has the discretionary power to take measures to accommodate the child’s special needs, age and maturity. </w:t>
      </w:r>
    </w:p>
    <w:p w:rsidR="00F60A1E" w:rsidRPr="00F60A1E" w:rsidRDefault="00F60A1E" w:rsidP="00F60A1E">
      <w:pPr>
        <w:spacing w:before="0" w:after="0" w:line="240" w:lineRule="auto"/>
        <w:ind w:left="851"/>
        <w:jc w:val="both"/>
        <w:rPr>
          <w:bCs/>
          <w:szCs w:val="20"/>
        </w:rPr>
      </w:pPr>
    </w:p>
    <w:p w:rsidR="00F60A1E" w:rsidRPr="00F60A1E" w:rsidRDefault="00F60A1E" w:rsidP="00F60A1E">
      <w:pPr>
        <w:spacing w:before="0" w:after="0" w:line="240" w:lineRule="auto"/>
        <w:ind w:left="851"/>
        <w:jc w:val="both"/>
        <w:rPr>
          <w:bCs/>
          <w:szCs w:val="20"/>
        </w:rPr>
      </w:pPr>
      <w:r w:rsidRPr="00F60A1E">
        <w:rPr>
          <w:bCs/>
          <w:szCs w:val="20"/>
        </w:rPr>
        <w:t xml:space="preserve">No legislation or policy has been identified to ensure that interviews, court sessions and other actions during administrative judicial proceedings are adapted to the child’s pace and attention span and any communication difficulties. No guidance has been identified aside from the </w:t>
      </w:r>
      <w:hyperlink r:id="rId120" w:history="1">
        <w:r w:rsidRPr="00F60A1E">
          <w:rPr>
            <w:bCs/>
            <w:color w:val="0000FF" w:themeColor="hyperlink"/>
            <w:szCs w:val="20"/>
            <w:u w:val="single"/>
          </w:rPr>
          <w:t>Council of Europe Child-Friendly Justice Guidelines</w:t>
        </w:r>
      </w:hyperlink>
      <w:r w:rsidRPr="00F60A1E">
        <w:rPr>
          <w:bCs/>
          <w:szCs w:val="20"/>
        </w:rPr>
        <w:t xml:space="preserve"> which has been identified for judicial authorities to ensure child-friendly protocols.</w:t>
      </w:r>
    </w:p>
    <w:p w:rsidR="00F60A1E" w:rsidRPr="00F60A1E" w:rsidRDefault="00F60A1E" w:rsidP="00F60A1E">
      <w:pPr>
        <w:spacing w:before="0" w:after="0" w:line="240" w:lineRule="auto"/>
        <w:ind w:left="851"/>
        <w:jc w:val="both"/>
        <w:rPr>
          <w:bCs/>
          <w:szCs w:val="20"/>
        </w:rPr>
      </w:pPr>
    </w:p>
    <w:p w:rsidR="00F60A1E" w:rsidRPr="00F60A1E" w:rsidRDefault="00F60A1E" w:rsidP="00F60A1E">
      <w:pPr>
        <w:spacing w:before="0" w:after="0" w:line="240" w:lineRule="auto"/>
        <w:ind w:left="851"/>
        <w:jc w:val="both"/>
        <w:rPr>
          <w:bCs/>
          <w:szCs w:val="20"/>
        </w:rPr>
      </w:pPr>
      <w:r w:rsidRPr="00F60A1E">
        <w:rPr>
          <w:bCs/>
          <w:szCs w:val="20"/>
        </w:rPr>
        <w:t>Specialised services and organisations</w:t>
      </w:r>
      <w:r w:rsidRPr="00F60A1E">
        <w:rPr>
          <w:bCs/>
          <w:szCs w:val="20"/>
          <w:vertAlign w:val="superscript"/>
        </w:rPr>
        <w:footnoteReference w:id="241"/>
      </w:r>
      <w:r w:rsidRPr="00F60A1E">
        <w:rPr>
          <w:bCs/>
          <w:szCs w:val="20"/>
        </w:rPr>
        <w:t xml:space="preserve"> make available child-friendly information on their websites, or use child-friendly leaflets when in contact with children. However, there is no generalised practice or requirement in place obliging judicial authorities to make material available to support/guide children involved in judicial proceedings</w:t>
      </w:r>
      <w:r w:rsidRPr="00F60A1E">
        <w:rPr>
          <w:bCs/>
          <w:szCs w:val="20"/>
          <w:vertAlign w:val="superscript"/>
        </w:rPr>
        <w:footnoteReference w:id="242"/>
      </w:r>
      <w:r w:rsidRPr="00F60A1E">
        <w:rPr>
          <w:bCs/>
          <w:szCs w:val="20"/>
        </w:rPr>
        <w:t xml:space="preserve">. </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witness</w:t>
      </w:r>
    </w:p>
    <w:p w:rsidR="00F60A1E" w:rsidRPr="00F60A1E" w:rsidRDefault="00F60A1E" w:rsidP="00F60A1E">
      <w:pPr>
        <w:widowControl w:val="0"/>
        <w:spacing w:before="0" w:after="0" w:line="240" w:lineRule="auto"/>
        <w:ind w:left="229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lastRenderedPageBreak/>
        <w:t xml:space="preserve">The same rules apply to witnesses as to plaintiffs and defendants except for the rules, rights and obligations linked to the status of parties to proceedings, e.g. the right to request that the hearings are held </w:t>
      </w:r>
      <w:r w:rsidRPr="00F60A1E">
        <w:rPr>
          <w:bCs/>
          <w:i/>
          <w:szCs w:val="20"/>
        </w:rPr>
        <w:t>in camera</w:t>
      </w:r>
      <w:r w:rsidRPr="00F60A1E">
        <w:rPr>
          <w:bCs/>
          <w:szCs w:val="20"/>
        </w:rPr>
        <w:t>, since witnesses are not considered as parties to proceedings.</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subject of proceedings</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 xml:space="preserve">As mentioned in </w:t>
      </w:r>
      <w:hyperlink w:anchor="_The_child_as" w:history="1">
        <w:r w:rsidRPr="00F60A1E">
          <w:rPr>
            <w:bCs/>
            <w:color w:val="0000FF" w:themeColor="hyperlink"/>
            <w:szCs w:val="20"/>
            <w:u w:val="single"/>
          </w:rPr>
          <w:t>Section 2.1</w:t>
        </w:r>
      </w:hyperlink>
      <w:r w:rsidRPr="00F60A1E">
        <w:rPr>
          <w:bCs/>
          <w:szCs w:val="20"/>
        </w:rPr>
        <w:t xml:space="preserve">, no rules were identified on child subjects of administrative judicial proceedings in Belgium. A child affected by the proceedings may, through his/her legal representative, request to intervene in the proceedings. </w:t>
      </w:r>
    </w:p>
    <w:p w:rsidR="00F60A1E" w:rsidRPr="00F60A1E" w:rsidRDefault="00F60A1E" w:rsidP="0082630D">
      <w:pPr>
        <w:pStyle w:val="Heading3"/>
      </w:pPr>
      <w:bookmarkStart w:id="163" w:name="_Toc401578576"/>
      <w:bookmarkStart w:id="164" w:name="_Toc404767195"/>
      <w:bookmarkStart w:id="165" w:name="_Toc409792243"/>
      <w:r w:rsidRPr="00F60A1E">
        <w:t>Procedural rules applicable to children involved in asylum and migration proceedings</w:t>
      </w:r>
      <w:bookmarkEnd w:id="163"/>
      <w:bookmarkEnd w:id="164"/>
      <w:bookmarkEnd w:id="165"/>
      <w:r w:rsidRPr="00F60A1E">
        <w:t xml:space="preserve"> </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plaintiff/defendant/witness/subject of proceedings</w:t>
      </w:r>
    </w:p>
    <w:p w:rsidR="00F60A1E" w:rsidRPr="00F60A1E" w:rsidRDefault="00F60A1E" w:rsidP="00F60A1E">
      <w:pPr>
        <w:keepNext/>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The general rules described above apply to asylum and migration proceedings.</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Fast-track proceedings and extreme urgency proceedings exist at the level of the Council for Foreigners Litigation, e.g. in expulsion cases of children</w:t>
      </w:r>
      <w:r w:rsidRPr="00F60A1E">
        <w:rPr>
          <w:bCs/>
          <w:szCs w:val="20"/>
          <w:vertAlign w:val="superscript"/>
        </w:rPr>
        <w:footnoteReference w:id="243"/>
      </w:r>
      <w:r w:rsidRPr="00F60A1E">
        <w:rPr>
          <w:bCs/>
          <w:szCs w:val="20"/>
        </w:rPr>
        <w:t>. Those fast-track and extreme urgency proceedings are not specific to children, but apply to children and adults.</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 xml:space="preserve">In addition, in the situation of an accompanied non-EEA child, as explained in </w:t>
      </w:r>
      <w:hyperlink w:anchor="_The_child_as" w:history="1">
        <w:r w:rsidRPr="00F60A1E">
          <w:rPr>
            <w:bCs/>
            <w:color w:val="0000FF" w:themeColor="hyperlink"/>
            <w:szCs w:val="20"/>
            <w:u w:val="single"/>
          </w:rPr>
          <w:t>Section 2.1</w:t>
        </w:r>
      </w:hyperlink>
      <w:r w:rsidRPr="00F60A1E">
        <w:rPr>
          <w:bCs/>
          <w:szCs w:val="20"/>
        </w:rPr>
        <w:t>, a guardian is appointed to assist the child throughout the proceedings before an administrative authority and the Council of State, in addition to the assistance of a legal counsel. The guardian’s role is to provide support to the child and to find a sustainable solution to the child’s situation in his/her best interests within the best timeframe possible. The guardian must be present during the hearing of the child. The guardian must also ensure that the child receives the appropriate psychologist support, in addition to health care, education and accommodation</w:t>
      </w:r>
      <w:r w:rsidRPr="00F60A1E">
        <w:rPr>
          <w:bCs/>
          <w:szCs w:val="20"/>
          <w:vertAlign w:val="superscript"/>
        </w:rPr>
        <w:footnoteReference w:id="244"/>
      </w:r>
      <w:r w:rsidRPr="00F60A1E">
        <w:rPr>
          <w:bCs/>
          <w:szCs w:val="20"/>
        </w:rPr>
        <w:t>.</w:t>
      </w:r>
    </w:p>
    <w:p w:rsidR="00F60A1E" w:rsidRPr="00F60A1E" w:rsidRDefault="00F60A1E" w:rsidP="0082630D">
      <w:pPr>
        <w:pStyle w:val="Heading3"/>
      </w:pPr>
      <w:bookmarkStart w:id="166" w:name="_Toc401578577"/>
      <w:bookmarkStart w:id="167" w:name="_Toc404767196"/>
      <w:bookmarkStart w:id="168" w:name="_Toc409792244"/>
      <w:r w:rsidRPr="00F60A1E">
        <w:t>Procedural rules applicable to children involved in placement into care proceedings</w:t>
      </w:r>
      <w:bookmarkEnd w:id="166"/>
      <w:bookmarkEnd w:id="167"/>
      <w:bookmarkEnd w:id="168"/>
      <w:r w:rsidRPr="00F60A1E">
        <w:t xml:space="preserve"> </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plaintiff/defendant/witness</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 xml:space="preserve">As mentioned in </w:t>
      </w:r>
      <w:hyperlink w:anchor="_Overview_of_Member" w:history="1">
        <w:r w:rsidRPr="00F60A1E">
          <w:rPr>
            <w:rFonts w:cs="Arial"/>
            <w:color w:val="0000FF" w:themeColor="hyperlink"/>
            <w:szCs w:val="20"/>
            <w:u w:val="single"/>
          </w:rPr>
          <w:t>Section 1</w:t>
        </w:r>
      </w:hyperlink>
      <w:r w:rsidRPr="00F60A1E">
        <w:rPr>
          <w:rFonts w:cs="Arial"/>
          <w:szCs w:val="20"/>
        </w:rPr>
        <w:t xml:space="preserve">, measures for the protection of the child, including placement into care, are either voluntary – under the supervision of the youth care services, or non-voluntary. Non-voluntary measures require the intervention of the youth tribunal, which will apply the </w:t>
      </w:r>
      <w:hyperlink r:id="rId121" w:history="1">
        <w:r w:rsidRPr="00F60A1E">
          <w:rPr>
            <w:rFonts w:cs="Arial"/>
            <w:color w:val="0000FF" w:themeColor="hyperlink"/>
            <w:szCs w:val="20"/>
            <w:u w:val="single"/>
          </w:rPr>
          <w:t>Youth Protection Act</w:t>
        </w:r>
      </w:hyperlink>
      <w:r w:rsidRPr="00F60A1E">
        <w:rPr>
          <w:rFonts w:cs="Arial"/>
          <w:szCs w:val="20"/>
        </w:rPr>
        <w:t xml:space="preserve"> and the </w:t>
      </w:r>
      <w:hyperlink r:id="rId122" w:history="1">
        <w:r w:rsidRPr="00F60A1E">
          <w:rPr>
            <w:rFonts w:cs="Arial"/>
            <w:color w:val="0000FF" w:themeColor="hyperlink"/>
            <w:szCs w:val="20"/>
            <w:u w:val="single"/>
          </w:rPr>
          <w:t>Judicial Code</w:t>
        </w:r>
      </w:hyperlink>
      <w:r w:rsidRPr="00F60A1E">
        <w:rPr>
          <w:rFonts w:cs="Arial"/>
          <w:szCs w:val="20"/>
        </w:rPr>
        <w:t xml:space="preserve">, i.e. civil procedural rules. </w:t>
      </w:r>
    </w:p>
    <w:p w:rsidR="00F60A1E" w:rsidRPr="00F60A1E" w:rsidRDefault="00F60A1E" w:rsidP="00F60A1E">
      <w:pPr>
        <w:widowControl w:val="0"/>
        <w:spacing w:before="0" w:after="0" w:line="240" w:lineRule="auto"/>
        <w:ind w:left="851"/>
        <w:jc w:val="both"/>
        <w:rPr>
          <w:rFonts w:cs="Arial"/>
          <w:szCs w:val="20"/>
        </w:rPr>
      </w:pPr>
    </w:p>
    <w:p w:rsidR="00F60A1E" w:rsidRPr="00F60A1E" w:rsidRDefault="00F60A1E" w:rsidP="00F60A1E">
      <w:pPr>
        <w:widowControl w:val="0"/>
        <w:spacing w:before="0" w:after="0" w:line="240" w:lineRule="auto"/>
        <w:ind w:left="851"/>
        <w:jc w:val="both"/>
        <w:rPr>
          <w:bCs/>
        </w:rPr>
      </w:pPr>
      <w:r w:rsidRPr="00F60A1E">
        <w:rPr>
          <w:rFonts w:cs="Arial"/>
          <w:szCs w:val="20"/>
        </w:rPr>
        <w:t xml:space="preserve">The general rules described above apply, except for those rules specific to the Council of State proceedings, i.e. the fact that the Council of State proceedings are mostly written procedures and regarding rules on interim measures procedure before the Council of State). </w:t>
      </w:r>
      <w:r w:rsidRPr="00F60A1E">
        <w:rPr>
          <w:szCs w:val="20"/>
        </w:rPr>
        <w:t>In addition, r</w:t>
      </w:r>
      <w:r w:rsidRPr="00F60A1E">
        <w:rPr>
          <w:bCs/>
          <w:szCs w:val="20"/>
        </w:rPr>
        <w:t>egarding child-friendly premises, despite the lack of explicit legal requirement, some courts do have child-friendly rooms</w:t>
      </w:r>
      <w:r w:rsidRPr="00F60A1E">
        <w:rPr>
          <w:bCs/>
          <w:szCs w:val="20"/>
          <w:vertAlign w:val="superscript"/>
        </w:rPr>
        <w:footnoteReference w:id="245"/>
      </w:r>
      <w:r w:rsidRPr="00F60A1E">
        <w:rPr>
          <w:bCs/>
          <w:szCs w:val="20"/>
        </w:rPr>
        <w:t>. Since there are no legal requirements in place, child-friendly rooms are arranged in a manner that the judicial authorities find appropriate.</w:t>
      </w:r>
    </w:p>
    <w:p w:rsidR="00F60A1E" w:rsidRPr="00F60A1E" w:rsidRDefault="00F60A1E" w:rsidP="00F60A1E">
      <w:pPr>
        <w:widowControl w:val="0"/>
        <w:spacing w:before="0" w:after="0" w:line="240" w:lineRule="auto"/>
        <w:ind w:left="851"/>
        <w:jc w:val="both"/>
        <w:rPr>
          <w:highlight w:val="yellow"/>
        </w:rPr>
      </w:pPr>
    </w:p>
    <w:p w:rsidR="00F60A1E" w:rsidRPr="00F60A1E" w:rsidRDefault="00F60A1E" w:rsidP="00F60A1E">
      <w:pPr>
        <w:widowControl w:val="0"/>
        <w:spacing w:before="0" w:after="0" w:line="240" w:lineRule="auto"/>
        <w:ind w:left="851"/>
        <w:jc w:val="both"/>
        <w:rPr>
          <w:bCs/>
        </w:rPr>
      </w:pPr>
      <w:r w:rsidRPr="00F60A1E">
        <w:t>The requirement for judges to hear children alone does not apply to the youth tribunals. As a result, a child may be assisted during his/her interview</w:t>
      </w:r>
      <w:r w:rsidRPr="00F60A1E">
        <w:rPr>
          <w:vertAlign w:val="superscript"/>
        </w:rPr>
        <w:footnoteReference w:id="246"/>
      </w:r>
      <w:r w:rsidRPr="00F60A1E">
        <w:t>. In this case, the child’s legal counsel, a legal representative, a psychologist, or social worker, could assist the child during his/her interview.</w:t>
      </w:r>
      <w:r w:rsidRPr="00F60A1E">
        <w:rPr>
          <w:bCs/>
        </w:rPr>
        <w:t xml:space="preserve"> </w:t>
      </w:r>
      <w:r w:rsidRPr="00F60A1E">
        <w:t xml:space="preserve">There is no possibility for a youth judge to appoint someone else to carry out such an interview. However, </w:t>
      </w:r>
      <w:r w:rsidRPr="00F60A1E">
        <w:rPr>
          <w:bCs/>
        </w:rPr>
        <w:t xml:space="preserve">the </w:t>
      </w:r>
      <w:hyperlink r:id="rId123" w:history="1">
        <w:r w:rsidRPr="00F60A1E">
          <w:rPr>
            <w:rFonts w:cs="Arial"/>
            <w:bCs/>
            <w:color w:val="0000FF" w:themeColor="hyperlink"/>
            <w:u w:val="single"/>
          </w:rPr>
          <w:t>new Act for the creation of the Family and Youth Tribunal</w:t>
        </w:r>
      </w:hyperlink>
      <w:r w:rsidRPr="00F60A1E">
        <w:rPr>
          <w:bCs/>
        </w:rPr>
        <w:t xml:space="preserve"> repeals the related legal provisions. As a result, the requirement of the judge to hear the child alone – </w:t>
      </w:r>
      <w:r w:rsidRPr="00F60A1E">
        <w:rPr>
          <w:bCs/>
        </w:rPr>
        <w:lastRenderedPageBreak/>
        <w:t>unless decided otherwise by reasoned decision, will also apply to a youth tribunal</w:t>
      </w:r>
      <w:r w:rsidRPr="00F60A1E">
        <w:rPr>
          <w:bCs/>
          <w:vertAlign w:val="superscript"/>
        </w:rPr>
        <w:footnoteReference w:id="247"/>
      </w:r>
      <w:r w:rsidRPr="00F60A1E">
        <w:rPr>
          <w:bCs/>
        </w:rPr>
        <w:t>. The new Act, which is not yet in force, foresees that if the child has already been heard during the proceedings, then the child can only be heard again if new elements justify it. The new Act also requires the opinion of the child to be considered, taking into account his/her age and maturity</w:t>
      </w:r>
      <w:r w:rsidRPr="00F60A1E">
        <w:rPr>
          <w:bCs/>
          <w:vertAlign w:val="superscript"/>
        </w:rPr>
        <w:footnoteReference w:id="248"/>
      </w:r>
      <w:r w:rsidRPr="00F60A1E">
        <w:rPr>
          <w:bCs/>
        </w:rPr>
        <w:t>. Moreover, the new Act lays down more safeguards for a child, including that the written record of the child’s interview must be read to the child and included in the case file</w:t>
      </w:r>
      <w:r w:rsidRPr="00F60A1E">
        <w:rPr>
          <w:bCs/>
          <w:vertAlign w:val="superscript"/>
        </w:rPr>
        <w:footnoteReference w:id="249"/>
      </w:r>
      <w:r w:rsidRPr="00F60A1E">
        <w:rPr>
          <w:bCs/>
        </w:rPr>
        <w:t xml:space="preserve">. </w:t>
      </w:r>
    </w:p>
    <w:p w:rsidR="00F60A1E" w:rsidRPr="00F60A1E" w:rsidRDefault="00F60A1E" w:rsidP="00F60A1E">
      <w:pPr>
        <w:widowControl w:val="0"/>
        <w:spacing w:before="0" w:after="0" w:line="240" w:lineRule="auto"/>
        <w:jc w:val="both"/>
        <w:rPr>
          <w:bCs/>
          <w:lang w:eastAsia="x-none"/>
        </w:rPr>
      </w:pPr>
    </w:p>
    <w:p w:rsidR="00F60A1E" w:rsidRPr="00F60A1E" w:rsidRDefault="00F60A1E" w:rsidP="00F60A1E">
      <w:pPr>
        <w:widowControl w:val="0"/>
        <w:spacing w:before="0" w:after="0" w:line="240" w:lineRule="auto"/>
        <w:ind w:left="851"/>
        <w:jc w:val="both"/>
      </w:pPr>
      <w:r w:rsidRPr="00F60A1E">
        <w:t xml:space="preserve">As mentioned in the </w:t>
      </w:r>
      <w:r w:rsidRPr="00F60A1E">
        <w:rPr>
          <w:bCs/>
        </w:rPr>
        <w:t>Study to collect data on children’s involvement in civil judicial proceedings</w:t>
      </w:r>
      <w:r w:rsidRPr="00F60A1E">
        <w:t>, the youth tribunal is competent to receive the Crown Prosecutor’s submissions relating to children whose health, safety or morals are endangered, either because of the environment in which they are being raised, or the activities they engage in, or whose education is compromised by the behaviour of their guardians</w:t>
      </w:r>
      <w:r w:rsidRPr="00F60A1E">
        <w:rPr>
          <w:vertAlign w:val="superscript"/>
        </w:rPr>
        <w:footnoteReference w:id="250"/>
      </w:r>
      <w:r w:rsidRPr="00F60A1E">
        <w:t>. Youth tribunals can order measures relating to custody, protection, education, or placement of the child into a host family, or in the care of a specialised centre, and measures can include those against the parents. Where the presence of an adult person poses a serious and immediate risk to the safety of one or more persons living in the same residence, the Crown Prosecutor may issue a restraining order. The restraining order includes both the duty to leave the house and to refrain from contact with the person at serious and immediate risk</w:t>
      </w:r>
      <w:r w:rsidRPr="00F60A1E">
        <w:rPr>
          <w:vertAlign w:val="superscript"/>
        </w:rPr>
        <w:footnoteReference w:id="251"/>
      </w:r>
      <w:r w:rsidRPr="00F60A1E">
        <w:t>.</w:t>
      </w:r>
    </w:p>
    <w:p w:rsidR="00F60A1E" w:rsidRPr="00F60A1E" w:rsidRDefault="00F60A1E" w:rsidP="00F60A1E">
      <w:pPr>
        <w:widowControl w:val="0"/>
        <w:spacing w:before="0" w:after="0" w:line="240" w:lineRule="auto"/>
        <w:ind w:left="851"/>
        <w:jc w:val="both"/>
      </w:pPr>
    </w:p>
    <w:p w:rsidR="00F60A1E" w:rsidRPr="00F60A1E" w:rsidRDefault="00F60A1E" w:rsidP="00F60A1E">
      <w:pPr>
        <w:widowControl w:val="0"/>
        <w:spacing w:before="0" w:after="0" w:line="240" w:lineRule="auto"/>
        <w:ind w:left="851"/>
        <w:jc w:val="both"/>
        <w:rPr>
          <w:bCs/>
        </w:rPr>
      </w:pPr>
      <w:r w:rsidRPr="00F60A1E">
        <w:rPr>
          <w:bCs/>
        </w:rPr>
        <w:t>In situations where the child is at risk of danger or would need to be placed into care, any interested person – such as a grandparent or an aunt, may request the youth tribunal to put the child temporarily under their care. The person who temporarily takes care of the child would not, however, have parental authority over the child</w:t>
      </w:r>
      <w:r w:rsidRPr="00F60A1E">
        <w:rPr>
          <w:bCs/>
          <w:vertAlign w:val="superscript"/>
        </w:rPr>
        <w:footnoteReference w:id="252"/>
      </w:r>
      <w:r w:rsidRPr="00F60A1E">
        <w:rPr>
          <w:bCs/>
        </w:rPr>
        <w:t>.</w:t>
      </w:r>
    </w:p>
    <w:p w:rsidR="00F60A1E" w:rsidRPr="00F60A1E" w:rsidRDefault="00F60A1E" w:rsidP="00F60A1E">
      <w:pPr>
        <w:widowControl w:val="0"/>
        <w:spacing w:before="0" w:after="0" w:line="240" w:lineRule="auto"/>
        <w:ind w:left="851"/>
        <w:jc w:val="both"/>
      </w:pPr>
    </w:p>
    <w:p w:rsidR="00F60A1E" w:rsidRPr="00F60A1E" w:rsidRDefault="00F60A1E" w:rsidP="00F60A1E">
      <w:pPr>
        <w:widowControl w:val="0"/>
        <w:spacing w:before="0" w:after="0" w:line="240" w:lineRule="auto"/>
        <w:ind w:left="851"/>
        <w:jc w:val="both"/>
      </w:pPr>
      <w:r w:rsidRPr="00F60A1E">
        <w:rPr>
          <w:bCs/>
        </w:rPr>
        <w:t>It is a requirement for a judge – with the exception of a civil magistrate judge, to inform the Crown Prosecutor’s Office when a child is involved in a proceeding</w:t>
      </w:r>
      <w:r w:rsidRPr="00F60A1E">
        <w:rPr>
          <w:bCs/>
          <w:vertAlign w:val="superscript"/>
        </w:rPr>
        <w:footnoteReference w:id="253"/>
      </w:r>
      <w:r w:rsidRPr="00F60A1E">
        <w:rPr>
          <w:bCs/>
        </w:rPr>
        <w:t>. The Crown Prosecutor is then invited to submit his/her opinion to the court on the case and to defend the child’s interests. In addition, the Crown Prosecutor, having the knowledge of the need of the child for protection, may request the youth tribunal to take the measures mentioned above. The social services and the Crown Prosecutor’s Office may also bring the case to the attention of the youth tribunal and initiate proceedings in the case of the Crown Prosecutor’s Office</w:t>
      </w:r>
      <w:r w:rsidRPr="00F60A1E">
        <w:rPr>
          <w:bCs/>
          <w:vertAlign w:val="superscript"/>
        </w:rPr>
        <w:footnoteReference w:id="254"/>
      </w:r>
      <w:r w:rsidRPr="00F60A1E">
        <w:rPr>
          <w:bCs/>
        </w:rPr>
        <w:t xml:space="preserve">. </w:t>
      </w:r>
    </w:p>
    <w:p w:rsidR="00F60A1E" w:rsidRPr="00F60A1E" w:rsidRDefault="00F60A1E" w:rsidP="00F60A1E">
      <w:pPr>
        <w:widowControl w:val="0"/>
        <w:spacing w:before="0" w:after="0" w:line="240" w:lineRule="auto"/>
        <w:ind w:left="851"/>
        <w:jc w:val="both"/>
      </w:pPr>
    </w:p>
    <w:p w:rsidR="00F60A1E" w:rsidRPr="00F60A1E" w:rsidRDefault="00F60A1E" w:rsidP="00F60A1E">
      <w:pPr>
        <w:widowControl w:val="0"/>
        <w:spacing w:before="0" w:after="0" w:line="240" w:lineRule="auto"/>
        <w:ind w:left="851"/>
        <w:jc w:val="both"/>
      </w:pPr>
      <w:r w:rsidRPr="00F60A1E">
        <w:t>There is no minimum age for the youth tribunals to intervene for the protection of children in need of care and protection.</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subject of proceedings</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No rules were identified on child subjects of administrative sanction judicial proceedings. A child in such proceedings will be a plaintiff or a defendant. The child is a party to proceedings before a youth tribunal, although the child’s legal representative must carry out the procedural acts on behalf of the child due to the child’s lack of procedural capacity.</w:t>
      </w:r>
    </w:p>
    <w:p w:rsidR="00F60A1E" w:rsidRPr="00F60A1E" w:rsidRDefault="00F60A1E" w:rsidP="0082630D">
      <w:pPr>
        <w:pStyle w:val="Heading3"/>
      </w:pPr>
      <w:bookmarkStart w:id="169" w:name="_Toc401578578"/>
      <w:bookmarkStart w:id="170" w:name="_Toc404767197"/>
      <w:bookmarkStart w:id="171" w:name="_Toc409792245"/>
      <w:r w:rsidRPr="00F60A1E">
        <w:lastRenderedPageBreak/>
        <w:t>Procedural rules applicable to children involved in administrative sanctions proceedings</w:t>
      </w:r>
      <w:bookmarkEnd w:id="169"/>
      <w:bookmarkEnd w:id="170"/>
      <w:bookmarkEnd w:id="171"/>
      <w:r w:rsidRPr="00F60A1E">
        <w:t xml:space="preserve"> </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plaintiff/defendant/witness</w:t>
      </w:r>
    </w:p>
    <w:p w:rsidR="00F60A1E" w:rsidRPr="00F60A1E" w:rsidRDefault="00F60A1E" w:rsidP="00F60A1E">
      <w:pPr>
        <w:widowControl w:val="0"/>
        <w:spacing w:before="0" w:after="0" w:line="240" w:lineRule="auto"/>
        <w:ind w:left="2291"/>
        <w:jc w:val="both"/>
        <w:rPr>
          <w:bCs/>
          <w:szCs w:val="20"/>
        </w:rPr>
      </w:pPr>
    </w:p>
    <w:p w:rsidR="00F60A1E" w:rsidRPr="00F60A1E" w:rsidRDefault="00F60A1E" w:rsidP="00F60A1E">
      <w:pPr>
        <w:widowControl w:val="0"/>
        <w:spacing w:before="0" w:after="0" w:line="240" w:lineRule="auto"/>
        <w:ind w:left="851"/>
        <w:jc w:val="both"/>
        <w:rPr>
          <w:szCs w:val="20"/>
        </w:rPr>
      </w:pPr>
      <w:r w:rsidRPr="00F60A1E">
        <w:rPr>
          <w:szCs w:val="20"/>
        </w:rPr>
        <w:t xml:space="preserve">Regarding administrative sanctions proceedings, as explained in </w:t>
      </w:r>
      <w:hyperlink w:anchor="_Overview_of_Member" w:history="1">
        <w:r w:rsidRPr="00F60A1E">
          <w:rPr>
            <w:color w:val="0000FF" w:themeColor="hyperlink"/>
            <w:szCs w:val="20"/>
            <w:u w:val="single"/>
          </w:rPr>
          <w:t>Section 1</w:t>
        </w:r>
      </w:hyperlink>
      <w:r w:rsidRPr="00F60A1E">
        <w:rPr>
          <w:szCs w:val="20"/>
        </w:rPr>
        <w:t>, administrative authorities’ decisions imposing administrative sanctions on children can be appealed before the youth tribunals.</w:t>
      </w:r>
    </w:p>
    <w:p w:rsidR="00F60A1E" w:rsidRPr="00F60A1E" w:rsidRDefault="00F60A1E" w:rsidP="00F60A1E">
      <w:pPr>
        <w:widowControl w:val="0"/>
        <w:spacing w:before="0" w:after="0" w:line="240" w:lineRule="auto"/>
        <w:jc w:val="both"/>
      </w:pPr>
    </w:p>
    <w:p w:rsidR="00F60A1E" w:rsidRPr="00F60A1E" w:rsidRDefault="00F60A1E" w:rsidP="00F60A1E">
      <w:pPr>
        <w:widowControl w:val="0"/>
        <w:spacing w:before="0" w:after="0" w:line="240" w:lineRule="auto"/>
        <w:ind w:left="851"/>
        <w:jc w:val="both"/>
        <w:rPr>
          <w:bCs/>
        </w:rPr>
      </w:pPr>
      <w:r w:rsidRPr="00F60A1E">
        <w:rPr>
          <w:rFonts w:cs="Arial"/>
          <w:szCs w:val="20"/>
        </w:rPr>
        <w:t xml:space="preserve">The general rules, regardless of the sector described above, apply – except for the rules specific to the Council of State proceedings, i.e. the fact that the Council of State proceedings are mostly written procedures and regarding rules on interim measures procedure before the Council of State. </w:t>
      </w:r>
      <w:r w:rsidRPr="00F60A1E">
        <w:rPr>
          <w:szCs w:val="20"/>
        </w:rPr>
        <w:t xml:space="preserve">In addition, </w:t>
      </w:r>
      <w:r w:rsidRPr="00F60A1E">
        <w:rPr>
          <w:bCs/>
          <w:szCs w:val="20"/>
        </w:rPr>
        <w:t>despite the lack of explicit legal requirement, some courts do have child-friendly rooms</w:t>
      </w:r>
      <w:r w:rsidRPr="00F60A1E">
        <w:rPr>
          <w:bCs/>
          <w:szCs w:val="20"/>
          <w:vertAlign w:val="superscript"/>
        </w:rPr>
        <w:footnoteReference w:id="255"/>
      </w:r>
      <w:r w:rsidRPr="00F60A1E">
        <w:rPr>
          <w:bCs/>
          <w:szCs w:val="20"/>
        </w:rPr>
        <w:t>. Since there are no legal requirements in place, child-friendly rooms are arranged in a manner that the judicial authorities find appropriate.</w:t>
      </w:r>
    </w:p>
    <w:p w:rsidR="00F60A1E" w:rsidRPr="00F60A1E" w:rsidRDefault="00F60A1E" w:rsidP="00F60A1E">
      <w:pPr>
        <w:widowControl w:val="0"/>
        <w:spacing w:before="0" w:after="0" w:line="240" w:lineRule="auto"/>
        <w:ind w:left="851"/>
        <w:jc w:val="both"/>
      </w:pPr>
    </w:p>
    <w:p w:rsidR="00F60A1E" w:rsidRPr="00F60A1E" w:rsidRDefault="00F60A1E" w:rsidP="00F60A1E">
      <w:pPr>
        <w:widowControl w:val="0"/>
        <w:spacing w:before="0" w:after="0" w:line="240" w:lineRule="auto"/>
        <w:ind w:left="851"/>
        <w:jc w:val="both"/>
        <w:rPr>
          <w:bCs/>
        </w:rPr>
      </w:pPr>
      <w:r w:rsidRPr="00F60A1E">
        <w:t>The requirement for a judge to hear a child alone, does not apply to a youth tribunal. As a result, a child may be assisted during his/her interview by his/her legal counsel, legal representative, psychologist or social worker</w:t>
      </w:r>
      <w:r w:rsidRPr="00F60A1E">
        <w:rPr>
          <w:vertAlign w:val="superscript"/>
        </w:rPr>
        <w:footnoteReference w:id="256"/>
      </w:r>
      <w:r w:rsidRPr="00F60A1E">
        <w:t>.</w:t>
      </w:r>
      <w:r w:rsidRPr="00F60A1E">
        <w:rPr>
          <w:bCs/>
        </w:rPr>
        <w:t xml:space="preserve"> </w:t>
      </w:r>
      <w:r w:rsidRPr="00F60A1E">
        <w:t xml:space="preserve">However, there is no possibility for a youth judge to appoint someone else to carry out such an interview. </w:t>
      </w:r>
      <w:r w:rsidRPr="00F60A1E">
        <w:rPr>
          <w:bCs/>
        </w:rPr>
        <w:t xml:space="preserve">The </w:t>
      </w:r>
      <w:hyperlink r:id="rId124" w:history="1">
        <w:r w:rsidRPr="00F60A1E">
          <w:rPr>
            <w:rFonts w:cs="Arial"/>
            <w:bCs/>
            <w:color w:val="0000FF" w:themeColor="hyperlink"/>
            <w:u w:val="single"/>
          </w:rPr>
          <w:t>new Act for the creation of the Family and Youth Tribunal</w:t>
        </w:r>
      </w:hyperlink>
      <w:r w:rsidRPr="00F60A1E">
        <w:rPr>
          <w:bCs/>
        </w:rPr>
        <w:t xml:space="preserve"> repeals the related legal provision. As a result, the requirement of the judge to hear the child alone – unless decided otherwise by reasoned decision, will also apply to the youth tribunal</w:t>
      </w:r>
      <w:r w:rsidRPr="00F60A1E">
        <w:rPr>
          <w:bCs/>
          <w:vertAlign w:val="superscript"/>
        </w:rPr>
        <w:footnoteReference w:id="257"/>
      </w:r>
      <w:r w:rsidRPr="00F60A1E">
        <w:rPr>
          <w:bCs/>
        </w:rPr>
        <w:t>. The new Act foresees that if the child has already been heard during the proceedings, then the child can only be heard again if new elements justify it</w:t>
      </w:r>
      <w:r w:rsidRPr="00F60A1E">
        <w:rPr>
          <w:bCs/>
          <w:vertAlign w:val="superscript"/>
        </w:rPr>
        <w:footnoteReference w:id="258"/>
      </w:r>
      <w:r w:rsidRPr="00F60A1E">
        <w:rPr>
          <w:bCs/>
        </w:rPr>
        <w:t>. Moreover, the new Act lays down more safeguards for a child, including that the written record of the child’s interview must be read to the child and included in the case file</w:t>
      </w:r>
      <w:r w:rsidRPr="00F60A1E">
        <w:rPr>
          <w:bCs/>
          <w:vertAlign w:val="superscript"/>
        </w:rPr>
        <w:footnoteReference w:id="259"/>
      </w:r>
      <w:r w:rsidRPr="00F60A1E">
        <w:rPr>
          <w:bCs/>
        </w:rPr>
        <w:t>.</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subject of proceedings</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No rules were identified on child subjects of administrative sanction judicial proceedings. A child in such proceedings will be a plaintiff or a defendant. The child is a party to proceedings before a youth tribunal, although the child’s legal representative must carry out the procedural acts on behalf of the child due to the child’s lack of procedural capacity.</w:t>
      </w:r>
    </w:p>
    <w:p w:rsidR="00F60A1E" w:rsidRPr="00F60A1E" w:rsidRDefault="00F60A1E" w:rsidP="0082630D">
      <w:pPr>
        <w:pStyle w:val="Heading3"/>
      </w:pPr>
      <w:bookmarkStart w:id="172" w:name="_Toc401578579"/>
      <w:bookmarkStart w:id="173" w:name="_Toc404767198"/>
      <w:bookmarkStart w:id="174" w:name="_Toc409792246"/>
      <w:r w:rsidRPr="00F60A1E">
        <w:t>Procedural rules applicable to children involved in health care proceedings</w:t>
      </w:r>
      <w:bookmarkEnd w:id="172"/>
      <w:bookmarkEnd w:id="173"/>
      <w:bookmarkEnd w:id="174"/>
      <w:r w:rsidRPr="00F60A1E">
        <w:t xml:space="preserve"> </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plaintiff/defendant/witness/subject of proceedings</w:t>
      </w:r>
    </w:p>
    <w:p w:rsidR="00F60A1E" w:rsidRPr="00F60A1E" w:rsidRDefault="00F60A1E" w:rsidP="00F60A1E">
      <w:pPr>
        <w:widowControl w:val="0"/>
        <w:spacing w:before="0" w:after="0" w:line="240" w:lineRule="auto"/>
        <w:ind w:left="2291"/>
        <w:jc w:val="both"/>
        <w:rPr>
          <w:bCs/>
          <w:szCs w:val="20"/>
        </w:rPr>
      </w:pPr>
    </w:p>
    <w:p w:rsidR="00F60A1E" w:rsidRPr="00F60A1E" w:rsidRDefault="00F60A1E" w:rsidP="00F60A1E">
      <w:pPr>
        <w:widowControl w:val="0"/>
        <w:spacing w:before="0" w:after="0" w:line="240" w:lineRule="auto"/>
        <w:ind w:left="851"/>
        <w:jc w:val="both"/>
      </w:pPr>
      <w:r w:rsidRPr="00F60A1E">
        <w:t xml:space="preserve">As explained in </w:t>
      </w:r>
      <w:hyperlink w:anchor="_Overview_of_Member" w:history="1">
        <w:r w:rsidRPr="00F60A1E">
          <w:rPr>
            <w:rFonts w:cs="Arial"/>
            <w:color w:val="0000FF" w:themeColor="hyperlink"/>
            <w:u w:val="single"/>
          </w:rPr>
          <w:t>Section 1</w:t>
        </w:r>
      </w:hyperlink>
      <w:r w:rsidRPr="00F60A1E">
        <w:t>, to appeal against medical treatment decisions, the child can turn to the court in a civil judicial proceeding if no mediation agreement could be reached.</w:t>
      </w:r>
    </w:p>
    <w:p w:rsidR="00F60A1E" w:rsidRPr="00F60A1E" w:rsidRDefault="00F60A1E" w:rsidP="00F60A1E">
      <w:pPr>
        <w:widowControl w:val="0"/>
        <w:spacing w:before="0" w:after="0" w:line="240" w:lineRule="auto"/>
        <w:ind w:left="851"/>
        <w:jc w:val="both"/>
      </w:pPr>
    </w:p>
    <w:p w:rsidR="00F60A1E" w:rsidRPr="00F60A1E" w:rsidRDefault="00F60A1E" w:rsidP="00F60A1E">
      <w:pPr>
        <w:widowControl w:val="0"/>
        <w:spacing w:before="0" w:after="0" w:line="240" w:lineRule="auto"/>
        <w:ind w:left="851"/>
        <w:jc w:val="both"/>
        <w:rPr>
          <w:bCs/>
        </w:rPr>
      </w:pPr>
      <w:r w:rsidRPr="00F60A1E">
        <w:rPr>
          <w:rFonts w:cs="Arial"/>
          <w:szCs w:val="20"/>
        </w:rPr>
        <w:t xml:space="preserve">The general rules, regardless of the sector described above, apply – except for the rules specific to the Council of State proceedings, i.e. the fact that the Council of State proceedings are mostly written procedures and regarding rules on interim measures procedure before the Council of State. </w:t>
      </w:r>
      <w:r w:rsidRPr="00F60A1E">
        <w:rPr>
          <w:szCs w:val="20"/>
        </w:rPr>
        <w:t xml:space="preserve">In addition, </w:t>
      </w:r>
      <w:r w:rsidRPr="00F60A1E">
        <w:rPr>
          <w:bCs/>
          <w:szCs w:val="20"/>
        </w:rPr>
        <w:t>despite the lack of explicit legal requirement, some courts do have child-friendly rooms</w:t>
      </w:r>
      <w:r w:rsidRPr="00F60A1E">
        <w:rPr>
          <w:bCs/>
          <w:szCs w:val="20"/>
          <w:vertAlign w:val="superscript"/>
        </w:rPr>
        <w:footnoteReference w:id="260"/>
      </w:r>
      <w:r w:rsidRPr="00F60A1E">
        <w:rPr>
          <w:bCs/>
          <w:szCs w:val="20"/>
        </w:rPr>
        <w:t>. Since there are no legal requirements in place, child-friendly rooms are arranged in a manner that the judicial authorities find appropriate.</w:t>
      </w:r>
    </w:p>
    <w:p w:rsidR="00F60A1E" w:rsidRPr="00F60A1E" w:rsidRDefault="00F60A1E" w:rsidP="00227001">
      <w:pPr>
        <w:pStyle w:val="Heading3NoNumb"/>
        <w:ind w:left="851"/>
      </w:pPr>
      <w:bookmarkStart w:id="175" w:name="_Toc409792247"/>
      <w:r>
        <w:t>Mental health</w:t>
      </w:r>
      <w:bookmarkEnd w:id="175"/>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 xml:space="preserve">As explained in </w:t>
      </w:r>
      <w:hyperlink w:anchor="_Overview_of_Member" w:history="1">
        <w:r w:rsidRPr="00F60A1E">
          <w:rPr>
            <w:rFonts w:cs="Arial"/>
            <w:color w:val="0000FF" w:themeColor="hyperlink"/>
            <w:szCs w:val="20"/>
            <w:u w:val="single"/>
          </w:rPr>
          <w:t>Section 1</w:t>
        </w:r>
      </w:hyperlink>
      <w:r w:rsidRPr="00F60A1E">
        <w:rPr>
          <w:rFonts w:cs="Arial"/>
          <w:szCs w:val="20"/>
        </w:rPr>
        <w:t xml:space="preserve">, the youth tribunal is competent to take decisions on children with </w:t>
      </w:r>
      <w:r w:rsidRPr="00F60A1E">
        <w:rPr>
          <w:rFonts w:cs="Arial"/>
          <w:szCs w:val="20"/>
        </w:rPr>
        <w:lastRenderedPageBreak/>
        <w:t>mental health care needs</w:t>
      </w:r>
      <w:r w:rsidRPr="00F60A1E">
        <w:rPr>
          <w:szCs w:val="20"/>
          <w:vertAlign w:val="superscript"/>
        </w:rPr>
        <w:footnoteReference w:id="261"/>
      </w:r>
      <w:r w:rsidRPr="00F60A1E">
        <w:rPr>
          <w:rFonts w:cs="Arial"/>
          <w:szCs w:val="20"/>
        </w:rPr>
        <w:t xml:space="preserve">. The youth tribunal applies civil judicial procedural rules, the </w:t>
      </w:r>
      <w:hyperlink r:id="rId125" w:history="1">
        <w:r w:rsidRPr="00F60A1E">
          <w:rPr>
            <w:rFonts w:cs="Arial"/>
            <w:color w:val="0000FF" w:themeColor="hyperlink"/>
            <w:szCs w:val="20"/>
            <w:u w:val="single"/>
          </w:rPr>
          <w:t>Youth Protection Act</w:t>
        </w:r>
      </w:hyperlink>
      <w:r w:rsidRPr="00F60A1E">
        <w:rPr>
          <w:rFonts w:cs="Arial"/>
          <w:szCs w:val="20"/>
        </w:rPr>
        <w:t xml:space="preserve"> and </w:t>
      </w:r>
      <w:hyperlink r:id="rId126" w:history="1">
        <w:r w:rsidRPr="00F60A1E">
          <w:rPr>
            <w:rFonts w:cs="Arial"/>
            <w:color w:val="0000FF" w:themeColor="hyperlink"/>
            <w:szCs w:val="20"/>
            <w:u w:val="single"/>
          </w:rPr>
          <w:t>Act on the protection of mentally ill persons</w:t>
        </w:r>
      </w:hyperlink>
      <w:r w:rsidRPr="00F60A1E">
        <w:rPr>
          <w:rFonts w:cs="Arial"/>
          <w:szCs w:val="20"/>
        </w:rPr>
        <w:t xml:space="preserve">. </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pPr>
      <w:r w:rsidRPr="00F60A1E">
        <w:rPr>
          <w:bCs/>
        </w:rPr>
        <w:t>The same rules on protection of the child from harm in the sector of “placement into care” apply to mental health proceedings. In addition, the youth tribunal, having received a request for placement into psychiatric services, will schedule a visit to the child where the child is accommodated, within 24 hours, and the hearing of the case. The youth tribunal may, if necessary, decide to hear the child patient. The legal counsel must be present at the hearing of the child patient. The child patient has the right to choose a person of trust to assist him/her during the proceedings</w:t>
      </w:r>
      <w:r w:rsidRPr="00F60A1E">
        <w:rPr>
          <w:bCs/>
          <w:vertAlign w:val="superscript"/>
        </w:rPr>
        <w:footnoteReference w:id="262"/>
      </w:r>
      <w:r w:rsidRPr="00F60A1E">
        <w:rPr>
          <w:bCs/>
        </w:rPr>
        <w:t xml:space="preserve">. </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subject of proceedings</w:t>
      </w:r>
    </w:p>
    <w:p w:rsidR="00F60A1E" w:rsidRPr="00F60A1E" w:rsidRDefault="00F60A1E" w:rsidP="00F60A1E">
      <w:pPr>
        <w:widowControl w:val="0"/>
        <w:spacing w:before="0" w:after="0" w:line="240" w:lineRule="auto"/>
        <w:ind w:left="851"/>
        <w:jc w:val="both"/>
        <w:rPr>
          <w:bCs/>
          <w:color w:val="FF0000"/>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No rules were identified on child subjects of health care judicial proceedings. As an exception, the child will be a party to mental health proceedings before a youth tribunal, although the child’s legal representative must carry out the procedural acts on behalf of the child due to the child’s lack of procedural capacity.</w:t>
      </w:r>
    </w:p>
    <w:p w:rsidR="00F60A1E" w:rsidRPr="00F60A1E" w:rsidRDefault="00F60A1E" w:rsidP="0082630D">
      <w:pPr>
        <w:pStyle w:val="Heading2"/>
      </w:pPr>
      <w:bookmarkStart w:id="176" w:name="_Toc338234115"/>
      <w:bookmarkStart w:id="177" w:name="_Toc371624430"/>
      <w:bookmarkStart w:id="178" w:name="_Toc401070022"/>
      <w:bookmarkStart w:id="179" w:name="_Toc401219680"/>
      <w:bookmarkStart w:id="180" w:name="_Toc401221508"/>
      <w:bookmarkStart w:id="181" w:name="_Toc401221585"/>
      <w:bookmarkStart w:id="182" w:name="_Toc401232340"/>
      <w:bookmarkStart w:id="183" w:name="_Toc404767199"/>
      <w:bookmarkStart w:id="184" w:name="_Toc338234116"/>
      <w:bookmarkStart w:id="185" w:name="_Toc409792248"/>
      <w:bookmarkEnd w:id="176"/>
      <w:r w:rsidRPr="00F60A1E">
        <w:t>Right to be heard and to participate in administrative judicial proceedings</w:t>
      </w:r>
      <w:bookmarkEnd w:id="177"/>
      <w:bookmarkEnd w:id="178"/>
      <w:bookmarkEnd w:id="179"/>
      <w:bookmarkEnd w:id="180"/>
      <w:bookmarkEnd w:id="181"/>
      <w:bookmarkEnd w:id="182"/>
      <w:bookmarkEnd w:id="183"/>
      <w:bookmarkEnd w:id="185"/>
      <w:r w:rsidRPr="00F60A1E">
        <w:t xml:space="preserve"> </w:t>
      </w:r>
      <w:bookmarkEnd w:id="184"/>
    </w:p>
    <w:p w:rsidR="00F60A1E" w:rsidRPr="00F60A1E" w:rsidRDefault="00F60A1E" w:rsidP="0082630D">
      <w:pPr>
        <w:pStyle w:val="Heading3"/>
      </w:pPr>
      <w:bookmarkStart w:id="186" w:name="_Toc401578581"/>
      <w:bookmarkStart w:id="187" w:name="_Toc404767200"/>
      <w:bookmarkStart w:id="188" w:name="_Toc409792249"/>
      <w:r w:rsidRPr="00F60A1E">
        <w:t>General procedural rules applicable to children involved in administrative judicial proceedings including proceedings reviewing administrative authorities’ decisions in the sectors of asylum, migration and education</w:t>
      </w:r>
      <w:bookmarkEnd w:id="186"/>
      <w:bookmarkEnd w:id="187"/>
      <w:bookmarkEnd w:id="188"/>
    </w:p>
    <w:p w:rsidR="00F60A1E" w:rsidRPr="00F60A1E" w:rsidRDefault="00F60A1E" w:rsidP="00F60A1E">
      <w:pPr>
        <w:widowControl w:val="0"/>
        <w:spacing w:before="0" w:after="0" w:line="240" w:lineRule="auto"/>
        <w:ind w:left="851"/>
        <w:jc w:val="both"/>
        <w:rPr>
          <w:bCs/>
          <w:lang w:val="en-US"/>
        </w:rPr>
      </w:pPr>
      <w:r w:rsidRPr="00F60A1E">
        <w:rPr>
          <w:bCs/>
        </w:rPr>
        <w:t>The general rules described below apply to administrative judicial proceedings in the sectors listed above. However, certain specific rules exist in several sectors which are described below in a separate subheading.</w:t>
      </w:r>
      <w:r w:rsidRPr="00F60A1E">
        <w:t xml:space="preserve"> Civil procedural rules apply to healthcare proceedings, proceedings concerning children involved in administrative sanctions and proceedings concerning placement into care (including children below the MACR who have committed offences, see </w:t>
      </w:r>
      <w:hyperlink w:anchor="_Overview_of_Member_2" w:history="1">
        <w:r w:rsidRPr="00F60A1E">
          <w:rPr>
            <w:rFonts w:cs="Arial"/>
            <w:color w:val="0000FF" w:themeColor="hyperlink"/>
            <w:u w:val="single"/>
          </w:rPr>
          <w:t>Section 1</w:t>
        </w:r>
      </w:hyperlink>
      <w:r w:rsidRPr="00F60A1E">
        <w:t>).</w:t>
      </w:r>
      <w:r w:rsidRPr="00F60A1E">
        <w:rPr>
          <w:bCs/>
          <w:lang w:val="en-US"/>
        </w:rPr>
        <w:t xml:space="preserve"> </w:t>
      </w:r>
    </w:p>
    <w:p w:rsidR="00F60A1E" w:rsidRPr="00F60A1E" w:rsidRDefault="00F60A1E" w:rsidP="00F60A1E">
      <w:pPr>
        <w:widowControl w:val="0"/>
        <w:spacing w:before="0" w:after="0" w:line="240" w:lineRule="auto"/>
        <w:ind w:left="851"/>
        <w:jc w:val="both"/>
        <w:rPr>
          <w:bCs/>
          <w:lang w:val="en-US"/>
        </w:rPr>
      </w:pPr>
    </w:p>
    <w:p w:rsidR="00F60A1E" w:rsidRPr="00F60A1E" w:rsidRDefault="00F60A1E" w:rsidP="00F60A1E">
      <w:pPr>
        <w:widowControl w:val="0"/>
        <w:spacing w:before="0" w:after="0" w:line="240" w:lineRule="auto"/>
        <w:ind w:left="851"/>
        <w:jc w:val="both"/>
      </w:pPr>
      <w:r w:rsidRPr="00F60A1E">
        <w:t xml:space="preserve">There are no specific legal rules on children, and children’s rights to be heard in administrative judicial proceedings. Hence, the general rules of proceedings before the Council of State and the </w:t>
      </w:r>
      <w:hyperlink r:id="rId127" w:history="1">
        <w:r w:rsidRPr="00F60A1E">
          <w:rPr>
            <w:rFonts w:cs="Arial"/>
            <w:color w:val="0000FF" w:themeColor="hyperlink"/>
            <w:u w:val="single"/>
          </w:rPr>
          <w:t>Judicial Code</w:t>
        </w:r>
      </w:hyperlink>
      <w:r w:rsidRPr="00F60A1E">
        <w:t xml:space="preserve"> apply.</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plaintiff/defendant/witness</w:t>
      </w:r>
    </w:p>
    <w:p w:rsidR="00F60A1E" w:rsidRPr="00F60A1E" w:rsidRDefault="00F60A1E" w:rsidP="00F60A1E">
      <w:pPr>
        <w:keepNext/>
        <w:spacing w:before="0" w:after="0" w:line="240" w:lineRule="auto"/>
        <w:ind w:left="2291"/>
        <w:jc w:val="both"/>
        <w:rPr>
          <w:bCs/>
          <w:szCs w:val="20"/>
        </w:rPr>
      </w:pPr>
    </w:p>
    <w:p w:rsidR="00F60A1E" w:rsidRPr="00F60A1E" w:rsidRDefault="00F60A1E" w:rsidP="00F60A1E">
      <w:pPr>
        <w:spacing w:before="0" w:after="0" w:line="240" w:lineRule="auto"/>
        <w:ind w:left="851"/>
        <w:jc w:val="both"/>
        <w:rPr>
          <w:bCs/>
        </w:rPr>
      </w:pPr>
      <w:r w:rsidRPr="00F60A1E">
        <w:rPr>
          <w:bCs/>
        </w:rPr>
        <w:t xml:space="preserve">The right of a child to be heard in all matters affecting him/her is guaranteed by the </w:t>
      </w:r>
      <w:hyperlink r:id="rId128" w:history="1">
        <w:r w:rsidRPr="00F60A1E">
          <w:rPr>
            <w:rFonts w:cs="Arial"/>
            <w:bCs/>
            <w:color w:val="0000FF" w:themeColor="hyperlink"/>
            <w:u w:val="single"/>
          </w:rPr>
          <w:t>Constitution</w:t>
        </w:r>
      </w:hyperlink>
      <w:r w:rsidRPr="00F60A1E">
        <w:rPr>
          <w:bCs/>
          <w:vertAlign w:val="superscript"/>
        </w:rPr>
        <w:footnoteReference w:id="263"/>
      </w:r>
      <w:r w:rsidRPr="00F60A1E">
        <w:rPr>
          <w:bCs/>
        </w:rPr>
        <w:t>. The child’s opinion must be taken into consideration – taking into account his/her age and discernment. Whilst the child has the right to be heard, there is no requirement for the Council of State to hear the child. The legislation requires the Council of State to hear parties to the proceedings. However, in most cases, the children will be represented by their legal representatives who are party to the proceedings. As a result, the child may not be heard.</w:t>
      </w:r>
    </w:p>
    <w:p w:rsidR="00F60A1E" w:rsidRPr="00F60A1E" w:rsidRDefault="00F60A1E" w:rsidP="00F60A1E">
      <w:pPr>
        <w:spacing w:before="0" w:after="0" w:line="240" w:lineRule="auto"/>
        <w:ind w:left="851"/>
        <w:jc w:val="both"/>
        <w:rPr>
          <w:bCs/>
        </w:rPr>
      </w:pPr>
    </w:p>
    <w:p w:rsidR="00F60A1E" w:rsidRPr="00F60A1E" w:rsidRDefault="00F60A1E" w:rsidP="00F60A1E">
      <w:pPr>
        <w:spacing w:before="0" w:after="0" w:line="240" w:lineRule="auto"/>
        <w:ind w:left="851"/>
        <w:jc w:val="both"/>
        <w:rPr>
          <w:bCs/>
        </w:rPr>
      </w:pPr>
      <w:r w:rsidRPr="00F60A1E">
        <w:rPr>
          <w:bCs/>
        </w:rPr>
        <w:t>Nevertheless, as mentioned in the Study to collect data on children’s involvement in civil judicial proceedings, in any proceedings related to the child, the child with sufficient discernment may be heard upon his/her request, or the decision of a judge. If the child requests to be heard, such a request must be accepted, unless the judge, in the form of a reasoned decision, concludes that the child does not have the necessary maturity. Whilst no formality is attached to the request to be heard, the child can typically do so him/herself by writing a letter to the judge. This way, the child will demonstrate that he/she has the sufficient discernment to be heard</w:t>
      </w:r>
      <w:r w:rsidRPr="00F60A1E">
        <w:rPr>
          <w:bCs/>
          <w:vertAlign w:val="superscript"/>
        </w:rPr>
        <w:footnoteReference w:id="264"/>
      </w:r>
      <w:r w:rsidRPr="00F60A1E">
        <w:rPr>
          <w:bCs/>
        </w:rPr>
        <w:t xml:space="preserve">. </w:t>
      </w:r>
    </w:p>
    <w:p w:rsidR="00F60A1E" w:rsidRPr="00F60A1E" w:rsidRDefault="00F60A1E" w:rsidP="00F60A1E">
      <w:pPr>
        <w:spacing w:before="0" w:after="0" w:line="240" w:lineRule="auto"/>
        <w:ind w:left="851"/>
        <w:jc w:val="both"/>
        <w:rPr>
          <w:bCs/>
        </w:rPr>
      </w:pPr>
    </w:p>
    <w:p w:rsidR="00F60A1E" w:rsidRPr="00F60A1E" w:rsidRDefault="00F60A1E" w:rsidP="00F60A1E">
      <w:pPr>
        <w:widowControl w:val="0"/>
        <w:spacing w:before="0" w:after="0" w:line="240" w:lineRule="auto"/>
        <w:ind w:left="851"/>
        <w:jc w:val="both"/>
        <w:rPr>
          <w:bCs/>
        </w:rPr>
      </w:pPr>
      <w:r w:rsidRPr="00F60A1E">
        <w:rPr>
          <w:bCs/>
        </w:rPr>
        <w:t xml:space="preserve">In accordance with the </w:t>
      </w:r>
      <w:hyperlink r:id="rId129" w:history="1">
        <w:r w:rsidRPr="00F60A1E">
          <w:rPr>
            <w:rFonts w:cs="Arial"/>
            <w:bCs/>
            <w:color w:val="0000FF" w:themeColor="hyperlink"/>
            <w:u w:val="single"/>
          </w:rPr>
          <w:t>Constitution</w:t>
        </w:r>
      </w:hyperlink>
      <w:r w:rsidRPr="00F60A1E">
        <w:rPr>
          <w:bCs/>
        </w:rPr>
        <w:t>, the child should be consulted on the manner in which he/she wishes to be heard and the child’s views must be given due weight in accordance with his/her age and maturity</w:t>
      </w:r>
      <w:r w:rsidRPr="00F60A1E">
        <w:rPr>
          <w:bCs/>
          <w:vertAlign w:val="superscript"/>
        </w:rPr>
        <w:footnoteReference w:id="265"/>
      </w:r>
      <w:r w:rsidRPr="00F60A1E">
        <w:rPr>
          <w:bCs/>
        </w:rPr>
        <w:t xml:space="preserve">. However, there are no specific legal requirements in this respect and, in practice, the judge has discretion on the manner of the child’s hearing and whether or not to consult the child on the manner. Lastly, as mentioned in </w:t>
      </w:r>
      <w:hyperlink w:anchor="_2.4_Protection_from_1" w:history="1">
        <w:r w:rsidRPr="00F60A1E">
          <w:rPr>
            <w:rFonts w:cs="Arial"/>
            <w:bCs/>
            <w:color w:val="0000FF" w:themeColor="hyperlink"/>
            <w:u w:val="single"/>
          </w:rPr>
          <w:t>Section 2.4</w:t>
        </w:r>
      </w:hyperlink>
      <w:r w:rsidRPr="00F60A1E">
        <w:rPr>
          <w:bCs/>
        </w:rPr>
        <w:t xml:space="preserve">, when a judge decides to hear a child, the child may refuse to be heard. </w:t>
      </w:r>
    </w:p>
    <w:p w:rsidR="00F60A1E" w:rsidRPr="00F60A1E" w:rsidRDefault="00F60A1E" w:rsidP="00F60A1E">
      <w:pPr>
        <w:widowControl w:val="0"/>
        <w:spacing w:before="0" w:after="0" w:line="240" w:lineRule="auto"/>
        <w:jc w:val="both"/>
        <w:rPr>
          <w:bCs/>
        </w:rPr>
      </w:pPr>
    </w:p>
    <w:p w:rsidR="00F60A1E" w:rsidRPr="00F60A1E" w:rsidRDefault="00F60A1E" w:rsidP="00F60A1E">
      <w:pPr>
        <w:widowControl w:val="0"/>
        <w:spacing w:before="0" w:after="0" w:line="240" w:lineRule="auto"/>
        <w:ind w:left="851"/>
        <w:jc w:val="both"/>
        <w:rPr>
          <w:bCs/>
        </w:rPr>
      </w:pPr>
      <w:r w:rsidRPr="00F60A1E">
        <w:rPr>
          <w:bCs/>
        </w:rPr>
        <w:t xml:space="preserve">As mentioned above, as a result of lack of legal capacity to act, the child relies on his/her legal representative’s action to enforce his/her legal rights – with the exception of the cases mentioned in </w:t>
      </w:r>
      <w:hyperlink w:anchor="_The_child_as_2" w:history="1">
        <w:r w:rsidRPr="00F60A1E">
          <w:rPr>
            <w:rFonts w:cs="Arial"/>
            <w:bCs/>
            <w:color w:val="0000FF" w:themeColor="hyperlink"/>
            <w:u w:val="single"/>
          </w:rPr>
          <w:t>Section 2.1</w:t>
        </w:r>
      </w:hyperlink>
      <w:r w:rsidRPr="00F60A1E">
        <w:rPr>
          <w:bCs/>
        </w:rPr>
        <w:t>.</w:t>
      </w:r>
    </w:p>
    <w:p w:rsidR="00F60A1E" w:rsidRPr="00F60A1E" w:rsidRDefault="00F60A1E" w:rsidP="00F60A1E">
      <w:pPr>
        <w:widowControl w:val="0"/>
        <w:spacing w:before="0" w:after="0" w:line="240" w:lineRule="auto"/>
        <w:ind w:left="851"/>
        <w:jc w:val="both"/>
        <w:rPr>
          <w:bCs/>
          <w:highlight w:val="yellow"/>
        </w:rPr>
      </w:pPr>
    </w:p>
    <w:p w:rsidR="00F60A1E" w:rsidRPr="00F60A1E" w:rsidRDefault="00F60A1E" w:rsidP="00F60A1E">
      <w:pPr>
        <w:spacing w:before="0" w:after="0" w:line="240" w:lineRule="auto"/>
        <w:ind w:left="851"/>
        <w:jc w:val="both"/>
        <w:rPr>
          <w:bCs/>
        </w:rPr>
      </w:pPr>
      <w:r w:rsidRPr="00F60A1E">
        <w:rPr>
          <w:bCs/>
        </w:rPr>
        <w:t>Parties to administrative judicial proceedings before the Council of State may be represented by legal counsels</w:t>
      </w:r>
      <w:r w:rsidRPr="00F60A1E">
        <w:rPr>
          <w:bCs/>
          <w:vertAlign w:val="superscript"/>
        </w:rPr>
        <w:footnoteReference w:id="266"/>
      </w:r>
      <w:r w:rsidRPr="00F60A1E">
        <w:rPr>
          <w:bCs/>
        </w:rPr>
        <w:t>. Due to the complexity of the procedure, parties are usually represented by legal counsels</w:t>
      </w:r>
      <w:r w:rsidRPr="00F60A1E">
        <w:rPr>
          <w:bCs/>
          <w:vertAlign w:val="superscript"/>
        </w:rPr>
        <w:footnoteReference w:id="267"/>
      </w:r>
      <w:r w:rsidRPr="00F60A1E">
        <w:rPr>
          <w:bCs/>
        </w:rPr>
        <w:t>. For some procedures, such as actions in cassation which are mainly used in asylum and migration cases, the assistance of a legal counsel is mandatory</w:t>
      </w:r>
      <w:r w:rsidRPr="00F60A1E">
        <w:rPr>
          <w:bCs/>
          <w:vertAlign w:val="superscript"/>
        </w:rPr>
        <w:footnoteReference w:id="268"/>
      </w:r>
      <w:r w:rsidRPr="00F60A1E">
        <w:rPr>
          <w:bCs/>
        </w:rPr>
        <w:t xml:space="preserve">. As explained under </w:t>
      </w:r>
      <w:hyperlink w:anchor="_2.6_Right_to" w:history="1">
        <w:r w:rsidRPr="00F60A1E">
          <w:rPr>
            <w:rFonts w:cs="Arial"/>
            <w:bCs/>
            <w:color w:val="0000FF" w:themeColor="hyperlink"/>
            <w:u w:val="single"/>
          </w:rPr>
          <w:t>Section 2.6</w:t>
        </w:r>
      </w:hyperlink>
      <w:r w:rsidRPr="00F60A1E">
        <w:rPr>
          <w:bCs/>
        </w:rPr>
        <w:t>, a legal counsel is not automatically assigned to a child in administrative judicial proceedings.</w:t>
      </w:r>
    </w:p>
    <w:p w:rsidR="00F60A1E" w:rsidRPr="00F60A1E" w:rsidRDefault="00F60A1E" w:rsidP="00F60A1E">
      <w:pPr>
        <w:widowControl w:val="0"/>
        <w:spacing w:before="0" w:after="0" w:line="240" w:lineRule="auto"/>
        <w:ind w:left="851"/>
        <w:jc w:val="both"/>
        <w:rPr>
          <w:bCs/>
        </w:rPr>
      </w:pPr>
    </w:p>
    <w:p w:rsidR="00F60A1E" w:rsidRPr="00F60A1E" w:rsidRDefault="00F60A1E" w:rsidP="00F60A1E">
      <w:pPr>
        <w:widowControl w:val="0"/>
        <w:spacing w:before="0" w:after="0" w:line="240" w:lineRule="auto"/>
        <w:ind w:left="851"/>
        <w:jc w:val="both"/>
        <w:rPr>
          <w:bCs/>
        </w:rPr>
      </w:pPr>
      <w:r w:rsidRPr="00F60A1E">
        <w:rPr>
          <w:bCs/>
        </w:rPr>
        <w:t>In most cases, the child’s legal representative or, in exceptional cases, the child him/herself – if he/she is emancipated, will need to request the assistance of a legal counsel. As an exception, in case of an emergency, the child or the judge can contact/appoint a legal counsel</w:t>
      </w:r>
      <w:r w:rsidRPr="00F60A1E">
        <w:rPr>
          <w:bCs/>
          <w:vertAlign w:val="superscript"/>
        </w:rPr>
        <w:footnoteReference w:id="269"/>
      </w:r>
      <w:r w:rsidRPr="00F60A1E">
        <w:rPr>
          <w:bCs/>
        </w:rPr>
        <w:t xml:space="preserve">. The legal counsel can assist the child during his/her hearing before the Council of State and explain to the child his/her rights. The child who is provided with a legal counsel by the court, or who obtains secondary legal aid, can be assisted by a legal counsel free-of-charge. Free legal advice is available to everyone, both adults and children, via primary legal aid – see </w:t>
      </w:r>
      <w:hyperlink w:anchor="_2.6_Right_to" w:history="1">
        <w:r w:rsidRPr="00F60A1E">
          <w:rPr>
            <w:rFonts w:cs="Arial"/>
            <w:bCs/>
            <w:color w:val="0000FF" w:themeColor="hyperlink"/>
            <w:u w:val="single"/>
          </w:rPr>
          <w:t>Section 2.6</w:t>
        </w:r>
      </w:hyperlink>
      <w:r w:rsidRPr="00F60A1E">
        <w:rPr>
          <w:bCs/>
        </w:rPr>
        <w:t>. As mentioned previously, a child can request to be heard in another language and benefit from the assistance of an interpreter</w:t>
      </w:r>
      <w:r w:rsidRPr="00F60A1E">
        <w:rPr>
          <w:bCs/>
          <w:vertAlign w:val="superscript"/>
        </w:rPr>
        <w:footnoteReference w:id="270"/>
      </w:r>
      <w:r w:rsidRPr="00F60A1E">
        <w:rPr>
          <w:bCs/>
        </w:rPr>
        <w:t>.</w:t>
      </w:r>
    </w:p>
    <w:p w:rsidR="00F60A1E" w:rsidRPr="00F60A1E" w:rsidRDefault="00F60A1E" w:rsidP="00F60A1E">
      <w:pPr>
        <w:keepNext/>
        <w:keepLines/>
        <w:spacing w:after="0"/>
        <w:ind w:left="851"/>
        <w:outlineLvl w:val="4"/>
        <w:rPr>
          <w:rFonts w:ascii="Calibri" w:eastAsiaTheme="majorEastAsia" w:hAnsi="Calibri" w:cstheme="majorBidi"/>
          <w:i/>
          <w:color w:val="0067AC"/>
          <w:sz w:val="22"/>
        </w:rPr>
      </w:pPr>
      <w:r w:rsidRPr="00F60A1E">
        <w:rPr>
          <w:rFonts w:ascii="Calibri" w:eastAsiaTheme="majorEastAsia" w:hAnsi="Calibri" w:cstheme="majorBidi"/>
          <w:i/>
          <w:color w:val="0067AC"/>
          <w:sz w:val="22"/>
        </w:rPr>
        <w:t>Intervener</w:t>
      </w:r>
      <w:r w:rsidRPr="00F60A1E">
        <w:rPr>
          <w:rFonts w:ascii="Calibri" w:eastAsiaTheme="majorEastAsia" w:hAnsi="Calibri" w:cstheme="majorBidi"/>
          <w:i/>
          <w:color w:val="0067AC"/>
          <w:sz w:val="22"/>
        </w:rPr>
        <w:br/>
      </w:r>
    </w:p>
    <w:p w:rsidR="00F60A1E" w:rsidRPr="00F60A1E" w:rsidRDefault="00F60A1E" w:rsidP="00F60A1E">
      <w:pPr>
        <w:widowControl w:val="0"/>
        <w:spacing w:before="0" w:after="0" w:line="240" w:lineRule="auto"/>
        <w:ind w:left="851"/>
        <w:jc w:val="both"/>
        <w:rPr>
          <w:bCs/>
          <w:szCs w:val="20"/>
        </w:rPr>
      </w:pPr>
      <w:r w:rsidRPr="00F60A1E">
        <w:rPr>
          <w:bCs/>
          <w:szCs w:val="20"/>
        </w:rPr>
        <w:t xml:space="preserve">As explained in </w:t>
      </w:r>
      <w:hyperlink w:anchor="_The_child_as" w:history="1">
        <w:r w:rsidRPr="00F60A1E">
          <w:rPr>
            <w:bCs/>
            <w:color w:val="0000FF" w:themeColor="hyperlink"/>
            <w:szCs w:val="20"/>
            <w:u w:val="single"/>
          </w:rPr>
          <w:t>Section 2.1</w:t>
        </w:r>
      </w:hyperlink>
      <w:r w:rsidRPr="00F60A1E">
        <w:rPr>
          <w:bCs/>
          <w:szCs w:val="20"/>
        </w:rPr>
        <w:t>, any person with an interest in the proceedings before the Council of State may request to intervene in the proceedings. The interveners are heard during the hearing, along with the parties. They can be heard either in person or through their legal counsels. The rules described above apply to the hearing of a child intervener.</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subject of proceedings</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 xml:space="preserve">As mentioned in </w:t>
      </w:r>
      <w:hyperlink w:anchor="_The_child_as" w:history="1">
        <w:r w:rsidRPr="00F60A1E">
          <w:rPr>
            <w:bCs/>
            <w:color w:val="0000FF" w:themeColor="hyperlink"/>
            <w:szCs w:val="20"/>
            <w:u w:val="single"/>
          </w:rPr>
          <w:t>Section 2.1</w:t>
        </w:r>
      </w:hyperlink>
      <w:r w:rsidRPr="00F60A1E">
        <w:rPr>
          <w:bCs/>
          <w:szCs w:val="20"/>
        </w:rPr>
        <w:t xml:space="preserve">, no rules were identified on child subjects of administrative judicial proceedings in Belgium. A child affected by the proceedings may, through his/her legal representative, request to intervene in the proceedings. </w:t>
      </w:r>
    </w:p>
    <w:p w:rsidR="00F60A1E" w:rsidRPr="00F60A1E" w:rsidRDefault="00F60A1E" w:rsidP="0082630D">
      <w:pPr>
        <w:pStyle w:val="Heading3"/>
      </w:pPr>
      <w:bookmarkStart w:id="189" w:name="_Toc401578582"/>
      <w:bookmarkStart w:id="190" w:name="_Toc404767201"/>
      <w:bookmarkStart w:id="191" w:name="_Toc409792250"/>
      <w:r w:rsidRPr="00F60A1E">
        <w:t>Procedural rules applicable to children involved in asylum and migration proceedings</w:t>
      </w:r>
      <w:bookmarkEnd w:id="189"/>
      <w:bookmarkEnd w:id="190"/>
      <w:bookmarkEnd w:id="191"/>
      <w:r w:rsidRPr="00F60A1E">
        <w:t xml:space="preserve"> </w:t>
      </w:r>
    </w:p>
    <w:p w:rsidR="00F60A1E" w:rsidRPr="00F60A1E" w:rsidRDefault="00F60A1E" w:rsidP="00F60A1E">
      <w:pPr>
        <w:keepNext/>
        <w:keepLines/>
        <w:spacing w:after="0"/>
        <w:ind w:left="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plaintiff/defendant/subject of proceedings</w:t>
      </w:r>
    </w:p>
    <w:p w:rsidR="00F60A1E" w:rsidRPr="00F60A1E" w:rsidRDefault="00F60A1E" w:rsidP="00F60A1E">
      <w:pPr>
        <w:widowControl w:val="0"/>
        <w:spacing w:before="0" w:after="0" w:line="240" w:lineRule="auto"/>
        <w:ind w:left="229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 xml:space="preserve">As explained in </w:t>
      </w:r>
      <w:hyperlink w:anchor="_Overview_of_Member_1" w:history="1">
        <w:r w:rsidRPr="00F60A1E">
          <w:rPr>
            <w:bCs/>
            <w:color w:val="0000FF" w:themeColor="hyperlink"/>
            <w:szCs w:val="20"/>
            <w:u w:val="single"/>
          </w:rPr>
          <w:t>Section 1</w:t>
        </w:r>
      </w:hyperlink>
      <w:r w:rsidRPr="00F60A1E">
        <w:rPr>
          <w:bCs/>
          <w:szCs w:val="20"/>
        </w:rPr>
        <w:t xml:space="preserve">, decisions on asylum can be appealed before the Council of State in administrative judicial proceedings. The general rules described above apply. Hence, the child must be represented by his/her legal representative in the proceedings. However, the case-law of the Council of State has recognised the capacity of children to appeal to the Council of State in his/her own right if the child is able to act by him/herself. In particular, if the child has introduced his/her asylum application by him/herself, the child must be allowed to </w:t>
      </w:r>
      <w:r w:rsidRPr="00F60A1E">
        <w:rPr>
          <w:bCs/>
          <w:szCs w:val="20"/>
        </w:rPr>
        <w:lastRenderedPageBreak/>
        <w:t>act in the whole proceedings, including in appeal before the Council of State</w:t>
      </w:r>
      <w:r w:rsidRPr="00F60A1E">
        <w:rPr>
          <w:bCs/>
          <w:szCs w:val="20"/>
          <w:vertAlign w:val="superscript"/>
        </w:rPr>
        <w:footnoteReference w:id="271"/>
      </w:r>
      <w:r w:rsidRPr="00F60A1E">
        <w:rPr>
          <w:bCs/>
          <w:szCs w:val="20"/>
        </w:rPr>
        <w:t>. As a result, the child is able to enforce his/her rights without legal representation. It is not clear whether or not the case-law could apply to migration proceedings.</w:t>
      </w:r>
      <w:r w:rsidRPr="00F60A1E">
        <w:rPr>
          <w:bCs/>
          <w:szCs w:val="20"/>
        </w:rPr>
        <w:cr/>
      </w:r>
    </w:p>
    <w:p w:rsidR="00F60A1E" w:rsidRPr="00F60A1E" w:rsidRDefault="00F60A1E" w:rsidP="00F60A1E">
      <w:pPr>
        <w:widowControl w:val="0"/>
        <w:spacing w:before="0" w:after="0" w:line="240" w:lineRule="auto"/>
        <w:ind w:left="851"/>
        <w:jc w:val="both"/>
        <w:rPr>
          <w:bCs/>
          <w:szCs w:val="20"/>
        </w:rPr>
      </w:pPr>
      <w:r w:rsidRPr="00F60A1E">
        <w:rPr>
          <w:bCs/>
          <w:szCs w:val="20"/>
        </w:rPr>
        <w:t xml:space="preserve">Regarding unaccompanied children, as explained in </w:t>
      </w:r>
      <w:hyperlink w:anchor="_The_child_as_3" w:history="1">
        <w:r w:rsidRPr="00F60A1E">
          <w:rPr>
            <w:bCs/>
            <w:color w:val="0000FF" w:themeColor="hyperlink"/>
            <w:szCs w:val="20"/>
            <w:u w:val="single"/>
          </w:rPr>
          <w:t>Section 2.1</w:t>
        </w:r>
      </w:hyperlink>
      <w:r w:rsidRPr="00F60A1E">
        <w:rPr>
          <w:bCs/>
          <w:szCs w:val="20"/>
        </w:rPr>
        <w:t>, the Belgian legislation makes a difference between EEA and non-EEA nationals.</w:t>
      </w:r>
    </w:p>
    <w:p w:rsidR="00F60A1E" w:rsidRPr="00227001" w:rsidRDefault="00F60A1E" w:rsidP="00227001">
      <w:pPr>
        <w:pStyle w:val="Heading3NoNumb"/>
        <w:ind w:left="851"/>
      </w:pPr>
      <w:bookmarkStart w:id="192" w:name="_Toc409792251"/>
      <w:r w:rsidRPr="00F60A1E">
        <w:t>The unaccompanied child national of a country outside the European Economic Area (EEA)</w:t>
      </w:r>
      <w:bookmarkEnd w:id="192"/>
    </w:p>
    <w:p w:rsidR="00F60A1E" w:rsidRPr="00F60A1E" w:rsidRDefault="00F60A1E" w:rsidP="00F60A1E">
      <w:pPr>
        <w:widowControl w:val="0"/>
        <w:spacing w:before="0" w:after="0" w:line="240" w:lineRule="auto"/>
        <w:ind w:left="851"/>
        <w:jc w:val="both"/>
        <w:rPr>
          <w:rFonts w:eastAsia="Times New Roman" w:cs="Arial"/>
          <w:szCs w:val="20"/>
        </w:rPr>
      </w:pPr>
      <w:r w:rsidRPr="00F60A1E">
        <w:rPr>
          <w:rFonts w:eastAsia="Times New Roman" w:cs="Arial"/>
          <w:szCs w:val="20"/>
        </w:rPr>
        <w:t xml:space="preserve">Any authority who has knowledge of the presence of an unaccompanied non-EEA national child at the border, or on the territory, must inform the Guardianship Service, the Immigration Office for immigrant children, and the </w:t>
      </w:r>
      <w:r w:rsidRPr="00F60A1E">
        <w:rPr>
          <w:rFonts w:eastAsia="Times New Roman" w:cs="Arial"/>
          <w:szCs w:val="20"/>
          <w:shd w:val="clear" w:color="auto" w:fill="FFFFFF"/>
        </w:rPr>
        <w:t>Commissioner General for Refugees and Stateless Persons</w:t>
      </w:r>
      <w:r w:rsidRPr="00F60A1E">
        <w:rPr>
          <w:rFonts w:eastAsia="Times New Roman" w:cs="Arial"/>
          <w:szCs w:val="20"/>
        </w:rPr>
        <w:t xml:space="preserve"> in the case of an asylum seeker</w:t>
      </w:r>
      <w:r w:rsidRPr="00F60A1E">
        <w:rPr>
          <w:rFonts w:eastAsia="Times New Roman" w:cs="Calibri"/>
          <w:szCs w:val="20"/>
          <w:vertAlign w:val="superscript"/>
        </w:rPr>
        <w:footnoteReference w:id="272"/>
      </w:r>
      <w:r w:rsidRPr="00F60A1E">
        <w:rPr>
          <w:rFonts w:eastAsia="Times New Roman" w:cs="Arial"/>
          <w:szCs w:val="20"/>
        </w:rPr>
        <w:t>. Any individual or organisation may also report an unaccompanied non-national child. The Guardianship Service organises the emergency housing, immediately appoints a guardian and then proceeds to the child’s identification. The Service checks out whether or not the child is under 18 years old and is indeed unaccompanied</w:t>
      </w:r>
      <w:r w:rsidRPr="00F60A1E">
        <w:rPr>
          <w:rFonts w:eastAsia="Times New Roman" w:cs="Calibri"/>
          <w:szCs w:val="20"/>
          <w:vertAlign w:val="superscript"/>
        </w:rPr>
        <w:footnoteReference w:id="273"/>
      </w:r>
      <w:r w:rsidRPr="00F60A1E">
        <w:rPr>
          <w:rFonts w:eastAsia="Times New Roman" w:cs="Arial"/>
          <w:szCs w:val="20"/>
        </w:rPr>
        <w:t xml:space="preserve">. </w:t>
      </w:r>
    </w:p>
    <w:p w:rsidR="00F60A1E" w:rsidRPr="00F60A1E" w:rsidRDefault="00F60A1E" w:rsidP="00F60A1E">
      <w:pPr>
        <w:widowControl w:val="0"/>
        <w:spacing w:before="0" w:after="0" w:line="240" w:lineRule="auto"/>
        <w:ind w:left="851"/>
        <w:jc w:val="both"/>
        <w:rPr>
          <w:rFonts w:eastAsia="Times New Roman" w:cs="Arial"/>
          <w:szCs w:val="20"/>
        </w:rPr>
      </w:pPr>
    </w:p>
    <w:p w:rsidR="00F60A1E" w:rsidRPr="00F60A1E" w:rsidRDefault="00F60A1E" w:rsidP="00F60A1E">
      <w:pPr>
        <w:widowControl w:val="0"/>
        <w:spacing w:before="0" w:after="0" w:line="240" w:lineRule="auto"/>
        <w:ind w:left="851"/>
        <w:jc w:val="both"/>
        <w:rPr>
          <w:rFonts w:eastAsia="Times New Roman" w:cs="Arial"/>
          <w:szCs w:val="20"/>
        </w:rPr>
      </w:pPr>
      <w:r w:rsidRPr="00F60A1E">
        <w:rPr>
          <w:rFonts w:eastAsia="Times New Roman" w:cs="Arial"/>
          <w:szCs w:val="20"/>
        </w:rPr>
        <w:t>The guardian of an unaccompanied child is responsible for representing and assisting the child in asylum and migration administrative and judicial procedures. The guardian must also ensure that the child receives the assistance of a legal counsel, legal aid, and has access to education, accommodation, medical and other care</w:t>
      </w:r>
      <w:r w:rsidRPr="00F60A1E">
        <w:rPr>
          <w:rFonts w:eastAsia="Times New Roman" w:cs="Calibri"/>
          <w:szCs w:val="20"/>
          <w:vertAlign w:val="superscript"/>
        </w:rPr>
        <w:footnoteReference w:id="274"/>
      </w:r>
      <w:r w:rsidRPr="00F60A1E">
        <w:rPr>
          <w:rFonts w:eastAsia="Times New Roman" w:cs="Arial"/>
          <w:szCs w:val="20"/>
        </w:rPr>
        <w:t>. If the child disagrees with his/her guardian’s decisions and actions, the child may ask the assistance of the Guardianship Service or appeal to a civil magistrate’s court to solve any conflict of interests between the child and his/her guardian. The civil magistrate’s court and the Guardianship Service are competent to monitor the activities of the guardian</w:t>
      </w:r>
      <w:r w:rsidRPr="00F60A1E">
        <w:rPr>
          <w:rFonts w:eastAsia="Times New Roman" w:cs="Calibri"/>
          <w:szCs w:val="20"/>
          <w:vertAlign w:val="superscript"/>
        </w:rPr>
        <w:footnoteReference w:id="275"/>
      </w:r>
      <w:r w:rsidRPr="00F60A1E">
        <w:rPr>
          <w:rFonts w:eastAsia="Times New Roman" w:cs="Arial"/>
          <w:szCs w:val="20"/>
        </w:rPr>
        <w:t>. The guardian is remunerated by the State and the child benefits from his/her assistance free-of-charge.</w:t>
      </w:r>
    </w:p>
    <w:p w:rsidR="00F60A1E" w:rsidRPr="00227001" w:rsidRDefault="00F60A1E" w:rsidP="00227001">
      <w:pPr>
        <w:pStyle w:val="Heading3NoNumb"/>
        <w:ind w:left="851"/>
      </w:pPr>
      <w:bookmarkStart w:id="193" w:name="_Toc409792252"/>
      <w:r w:rsidRPr="00F60A1E">
        <w:t>The unaccompanied EEA child</w:t>
      </w:r>
      <w:r w:rsidRPr="00F60A1E">
        <w:rPr>
          <w:szCs w:val="20"/>
          <w:vertAlign w:val="superscript"/>
        </w:rPr>
        <w:footnoteReference w:id="276"/>
      </w:r>
      <w:bookmarkEnd w:id="193"/>
    </w:p>
    <w:p w:rsidR="00F60A1E" w:rsidRPr="00F60A1E" w:rsidRDefault="00F60A1E" w:rsidP="00F60A1E">
      <w:pPr>
        <w:widowControl w:val="0"/>
        <w:spacing w:before="0" w:after="0" w:line="240" w:lineRule="auto"/>
        <w:ind w:left="851"/>
        <w:jc w:val="both"/>
        <w:rPr>
          <w:rFonts w:eastAsia="Times New Roman" w:cs="Arial"/>
          <w:szCs w:val="20"/>
        </w:rPr>
      </w:pPr>
      <w:r w:rsidRPr="00F60A1E">
        <w:rPr>
          <w:rFonts w:eastAsia="Times New Roman" w:cs="Arial"/>
          <w:szCs w:val="20"/>
        </w:rPr>
        <w:t>A Police officer who has knowledge of the presence of an unaccompanied EEA child must inform the Service of Unaccompanied European children in Vulnerable Situations (SMEV) and the Immigration Office. The SMEV will support the child and take appropriate urgent measures to organise a social follow-up adapted to the child's situation</w:t>
      </w:r>
      <w:r w:rsidRPr="00F60A1E">
        <w:rPr>
          <w:rFonts w:eastAsia="Times New Roman" w:cs="Calibri"/>
          <w:szCs w:val="20"/>
          <w:vertAlign w:val="superscript"/>
        </w:rPr>
        <w:footnoteReference w:id="277"/>
      </w:r>
      <w:r w:rsidRPr="00F60A1E">
        <w:rPr>
          <w:rFonts w:eastAsia="Times New Roman" w:cs="Arial"/>
          <w:szCs w:val="20"/>
        </w:rPr>
        <w:t>. No specialised guardianship service exists for this category of children. The general rules on the representation of children will apply. Hence, the civil magistrate’s court may appoint a guardian upon the request of any interested person. In a judicial proceeding, an unaccompanied EEA national child will be assisted by a legal counsel.</w:t>
      </w:r>
    </w:p>
    <w:p w:rsidR="00F60A1E" w:rsidRPr="00F60A1E" w:rsidRDefault="00F60A1E" w:rsidP="0082630D">
      <w:pPr>
        <w:pStyle w:val="Heading3"/>
      </w:pPr>
      <w:bookmarkStart w:id="194" w:name="_Toc401578583"/>
      <w:bookmarkStart w:id="195" w:name="_Toc404767202"/>
      <w:bookmarkStart w:id="196" w:name="_Toc409792253"/>
      <w:r w:rsidRPr="00F60A1E">
        <w:t>Procedural rules applicable to children involved in placement into care and administrative sanctions proceedings</w:t>
      </w:r>
      <w:bookmarkEnd w:id="194"/>
      <w:bookmarkEnd w:id="195"/>
      <w:bookmarkEnd w:id="196"/>
      <w:r w:rsidRPr="00F60A1E">
        <w:t xml:space="preserve"> </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plaintiff/defendant/witness</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 xml:space="preserve">As mentioned in </w:t>
      </w:r>
      <w:hyperlink w:anchor="_Overview_of_Member" w:history="1">
        <w:r w:rsidRPr="00F60A1E">
          <w:rPr>
            <w:rFonts w:cs="Arial"/>
            <w:color w:val="0000FF" w:themeColor="hyperlink"/>
            <w:szCs w:val="20"/>
            <w:u w:val="single"/>
          </w:rPr>
          <w:t>Section 1</w:t>
        </w:r>
      </w:hyperlink>
      <w:r w:rsidRPr="00F60A1E">
        <w:rPr>
          <w:rFonts w:cs="Arial"/>
          <w:szCs w:val="20"/>
        </w:rPr>
        <w:t xml:space="preserve">, measures for the protection of the child, including placement into care, are either voluntary – under the supervision of the youth care service, or non-voluntary. Non-voluntary measures require the intervention of the youth tribunal which will apply the </w:t>
      </w:r>
      <w:hyperlink r:id="rId130" w:history="1">
        <w:r w:rsidRPr="00F60A1E">
          <w:rPr>
            <w:rFonts w:cs="Arial"/>
            <w:color w:val="0000FF" w:themeColor="hyperlink"/>
            <w:szCs w:val="20"/>
            <w:u w:val="single"/>
          </w:rPr>
          <w:t>Youth Protection Act</w:t>
        </w:r>
      </w:hyperlink>
      <w:r w:rsidRPr="00F60A1E">
        <w:rPr>
          <w:rFonts w:cs="Arial"/>
          <w:szCs w:val="20"/>
        </w:rPr>
        <w:t xml:space="preserve"> and the </w:t>
      </w:r>
      <w:hyperlink r:id="rId131" w:history="1">
        <w:r w:rsidRPr="00F60A1E">
          <w:rPr>
            <w:rFonts w:cs="Arial"/>
            <w:color w:val="0000FF" w:themeColor="hyperlink"/>
            <w:szCs w:val="20"/>
            <w:u w:val="single"/>
          </w:rPr>
          <w:t>Judicial Code</w:t>
        </w:r>
      </w:hyperlink>
      <w:r w:rsidRPr="00F60A1E">
        <w:rPr>
          <w:rFonts w:cs="Arial"/>
          <w:szCs w:val="20"/>
        </w:rPr>
        <w:t xml:space="preserve">, i.e. civil procedural rules. </w:t>
      </w:r>
    </w:p>
    <w:p w:rsidR="00F60A1E" w:rsidRPr="00F60A1E" w:rsidRDefault="00F60A1E" w:rsidP="00F60A1E">
      <w:pPr>
        <w:widowControl w:val="0"/>
        <w:spacing w:before="0" w:after="0" w:line="240" w:lineRule="auto"/>
        <w:ind w:left="851"/>
        <w:jc w:val="both"/>
        <w:rPr>
          <w:rFonts w:cs="Arial"/>
          <w:szCs w:val="20"/>
        </w:rPr>
      </w:pPr>
    </w:p>
    <w:p w:rsidR="00F60A1E" w:rsidRPr="00F60A1E" w:rsidRDefault="00F60A1E" w:rsidP="00F60A1E">
      <w:pPr>
        <w:widowControl w:val="0"/>
        <w:spacing w:before="0" w:after="0" w:line="240" w:lineRule="auto"/>
        <w:ind w:left="851"/>
        <w:jc w:val="both"/>
        <w:rPr>
          <w:szCs w:val="20"/>
        </w:rPr>
      </w:pPr>
      <w:r w:rsidRPr="00F60A1E">
        <w:rPr>
          <w:szCs w:val="20"/>
        </w:rPr>
        <w:t xml:space="preserve">Regarding administrative sanctions proceedings, as explained in </w:t>
      </w:r>
      <w:hyperlink w:anchor="_Overview_of_Member" w:history="1">
        <w:r w:rsidRPr="00F60A1E">
          <w:rPr>
            <w:color w:val="0000FF" w:themeColor="hyperlink"/>
            <w:szCs w:val="20"/>
            <w:u w:val="single"/>
          </w:rPr>
          <w:t>Section 1</w:t>
        </w:r>
      </w:hyperlink>
      <w:r w:rsidRPr="00F60A1E">
        <w:rPr>
          <w:szCs w:val="20"/>
        </w:rPr>
        <w:t>, administrative authorities’ decisions imposing administrative sanctions on children can be appealed before the youth tribunals.</w:t>
      </w:r>
    </w:p>
    <w:p w:rsidR="00F60A1E" w:rsidRPr="00F60A1E" w:rsidRDefault="00F60A1E" w:rsidP="00F60A1E">
      <w:pPr>
        <w:widowControl w:val="0"/>
        <w:spacing w:before="0" w:after="0" w:line="240" w:lineRule="auto"/>
        <w:ind w:left="851"/>
        <w:jc w:val="both"/>
        <w:rPr>
          <w:rFonts w:cs="Arial"/>
          <w:szCs w:val="20"/>
        </w:rPr>
      </w:pPr>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As for administrative judicial proceedings, the child has the right to be heard in any matter concerning his/her placement into care, and administrative sanctions proceedings. In fact, in proceedings before a youth tribunal, hearing a child of at least 12 years of age is a legal requirement</w:t>
      </w:r>
      <w:r w:rsidRPr="00F60A1E">
        <w:rPr>
          <w:szCs w:val="20"/>
          <w:vertAlign w:val="superscript"/>
        </w:rPr>
        <w:footnoteReference w:id="278"/>
      </w:r>
      <w:r w:rsidRPr="00F60A1E">
        <w:rPr>
          <w:rFonts w:cs="Arial"/>
          <w:szCs w:val="20"/>
        </w:rPr>
        <w:t>, as opposed to other administrative judicial proceedings where it is optional. The youth tribunal will, however, not hear a child if the health of the child prohibits it, or if the child refuses. The youth judge will personally hear the child. The child may be assisted during the hearing by a legal counsel, a legal representative, a psychologist or a social worker. However, it is possible that the youth judge decides to hear the child alone</w:t>
      </w:r>
      <w:r w:rsidRPr="00F60A1E">
        <w:rPr>
          <w:szCs w:val="20"/>
          <w:vertAlign w:val="superscript"/>
        </w:rPr>
        <w:footnoteReference w:id="279"/>
      </w:r>
      <w:r w:rsidRPr="00F60A1E">
        <w:rPr>
          <w:rFonts w:cs="Arial"/>
          <w:szCs w:val="20"/>
        </w:rPr>
        <w:t>.</w:t>
      </w:r>
    </w:p>
    <w:p w:rsidR="00F60A1E" w:rsidRPr="00F60A1E" w:rsidRDefault="00F60A1E" w:rsidP="00F60A1E">
      <w:pPr>
        <w:widowControl w:val="0"/>
        <w:spacing w:before="0" w:after="0" w:line="240" w:lineRule="auto"/>
        <w:jc w:val="both"/>
        <w:rPr>
          <w:bCs/>
        </w:rPr>
      </w:pPr>
    </w:p>
    <w:p w:rsidR="00F60A1E" w:rsidRPr="00F60A1E" w:rsidRDefault="00F60A1E" w:rsidP="00F60A1E">
      <w:pPr>
        <w:widowControl w:val="0"/>
        <w:spacing w:before="0" w:after="0" w:line="240" w:lineRule="auto"/>
        <w:ind w:left="851"/>
        <w:jc w:val="both"/>
      </w:pPr>
      <w:r w:rsidRPr="00F60A1E">
        <w:rPr>
          <w:bCs/>
        </w:rPr>
        <w:t xml:space="preserve">Any party to the proceedings before the youth tribunal under 18 years of age, who does not have a lawyer, receives the assistance of a legal counsel, appointed </w:t>
      </w:r>
      <w:r w:rsidRPr="00F60A1E">
        <w:rPr>
          <w:bCs/>
          <w:i/>
        </w:rPr>
        <w:t>ex officio</w:t>
      </w:r>
      <w:r w:rsidRPr="00F60A1E">
        <w:rPr>
          <w:bCs/>
          <w:vertAlign w:val="superscript"/>
        </w:rPr>
        <w:footnoteReference w:id="280"/>
      </w:r>
      <w:r w:rsidRPr="00F60A1E">
        <w:rPr>
          <w:bCs/>
        </w:rPr>
        <w:t>.</w:t>
      </w:r>
    </w:p>
    <w:p w:rsidR="00F60A1E" w:rsidRPr="00F60A1E" w:rsidRDefault="00F60A1E" w:rsidP="0082630D">
      <w:pPr>
        <w:pStyle w:val="Heading3"/>
      </w:pPr>
      <w:bookmarkStart w:id="197" w:name="_Toc401578584"/>
      <w:bookmarkStart w:id="198" w:name="_Toc404767203"/>
      <w:bookmarkStart w:id="199" w:name="_Toc409792254"/>
      <w:r w:rsidRPr="00F60A1E">
        <w:t>Procedural rules applicable to children involved in health care proceedings</w:t>
      </w:r>
      <w:bookmarkEnd w:id="197"/>
      <w:bookmarkEnd w:id="198"/>
      <w:bookmarkEnd w:id="199"/>
      <w:r w:rsidRPr="00F60A1E">
        <w:t xml:space="preserve"> </w:t>
      </w:r>
    </w:p>
    <w:p w:rsidR="00F60A1E" w:rsidRPr="00F60A1E" w:rsidRDefault="00F60A1E" w:rsidP="00F60A1E">
      <w:pPr>
        <w:keepNext/>
        <w:keepLines/>
        <w:spacing w:after="0"/>
        <w:ind w:left="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plaintiff/defendant/witness</w:t>
      </w:r>
    </w:p>
    <w:p w:rsidR="00F60A1E" w:rsidRPr="00F60A1E" w:rsidRDefault="00F60A1E" w:rsidP="00F60A1E">
      <w:pPr>
        <w:widowControl w:val="0"/>
        <w:spacing w:before="0" w:after="0" w:line="240" w:lineRule="auto"/>
        <w:ind w:left="2291"/>
        <w:jc w:val="both"/>
        <w:rPr>
          <w:bCs/>
          <w:szCs w:val="20"/>
        </w:rPr>
      </w:pPr>
    </w:p>
    <w:p w:rsidR="00F60A1E" w:rsidRPr="00F60A1E" w:rsidRDefault="00F60A1E" w:rsidP="00F60A1E">
      <w:pPr>
        <w:widowControl w:val="0"/>
        <w:spacing w:before="0" w:after="0" w:line="240" w:lineRule="auto"/>
        <w:ind w:left="851"/>
        <w:jc w:val="both"/>
      </w:pPr>
      <w:r w:rsidRPr="00F60A1E">
        <w:t xml:space="preserve">As explained in </w:t>
      </w:r>
      <w:hyperlink w:anchor="_Overview_of_Member" w:history="1">
        <w:r w:rsidRPr="00F60A1E">
          <w:rPr>
            <w:rFonts w:cs="Arial"/>
            <w:color w:val="0000FF" w:themeColor="hyperlink"/>
            <w:u w:val="single"/>
          </w:rPr>
          <w:t>Section 1</w:t>
        </w:r>
      </w:hyperlink>
      <w:r w:rsidRPr="00F60A1E">
        <w:t>, to appeal against medical treatment decisions, the child can turn to the court in a civil judicial proceeding if no mediation agreement could be reached.</w:t>
      </w:r>
    </w:p>
    <w:p w:rsidR="00F60A1E" w:rsidRPr="00F60A1E" w:rsidRDefault="00F60A1E" w:rsidP="00F60A1E">
      <w:pPr>
        <w:widowControl w:val="0"/>
        <w:spacing w:before="0" w:after="0" w:line="240" w:lineRule="auto"/>
        <w:ind w:left="851"/>
        <w:jc w:val="both"/>
      </w:pPr>
    </w:p>
    <w:p w:rsidR="00F60A1E" w:rsidRPr="00F60A1E" w:rsidRDefault="00F60A1E" w:rsidP="00F60A1E">
      <w:pPr>
        <w:widowControl w:val="0"/>
        <w:spacing w:before="0" w:after="0" w:line="240" w:lineRule="auto"/>
        <w:ind w:left="851"/>
        <w:jc w:val="both"/>
        <w:rPr>
          <w:b/>
          <w:bCs/>
          <w:lang w:eastAsia="x-none"/>
        </w:rPr>
      </w:pPr>
      <w:r w:rsidRPr="00F60A1E">
        <w:t>The general rules, regardless of the sector described above, apply – except for the rules specific to the Council of State proceedings, i.e. rules regarding interveners are not relevant in health care proceedings.</w:t>
      </w:r>
    </w:p>
    <w:p w:rsidR="00F60A1E" w:rsidRPr="00F60A1E" w:rsidRDefault="00227001" w:rsidP="00227001">
      <w:pPr>
        <w:pStyle w:val="Heading3NoNumb"/>
        <w:ind w:left="851"/>
      </w:pPr>
      <w:bookmarkStart w:id="200" w:name="_Toc409792255"/>
      <w:r>
        <w:t>Mental health</w:t>
      </w:r>
      <w:bookmarkEnd w:id="200"/>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 xml:space="preserve">As explained in </w:t>
      </w:r>
      <w:hyperlink w:anchor="_Overview_of_Member" w:history="1">
        <w:r w:rsidRPr="00F60A1E">
          <w:rPr>
            <w:rFonts w:cs="Arial"/>
            <w:color w:val="0000FF" w:themeColor="hyperlink"/>
            <w:szCs w:val="20"/>
            <w:u w:val="single"/>
          </w:rPr>
          <w:t>Section 1</w:t>
        </w:r>
      </w:hyperlink>
      <w:r w:rsidRPr="00F60A1E">
        <w:rPr>
          <w:rFonts w:cs="Arial"/>
          <w:szCs w:val="20"/>
        </w:rPr>
        <w:t>, the youth tribunals are competent to take decisions on children with mental health care needs</w:t>
      </w:r>
      <w:r w:rsidRPr="00F60A1E">
        <w:rPr>
          <w:szCs w:val="20"/>
          <w:vertAlign w:val="superscript"/>
        </w:rPr>
        <w:footnoteReference w:id="281"/>
      </w:r>
      <w:r w:rsidRPr="00F60A1E">
        <w:rPr>
          <w:rFonts w:cs="Arial"/>
          <w:szCs w:val="20"/>
        </w:rPr>
        <w:t xml:space="preserve">. The youth tribunal applies civil judicial procedural rules, the </w:t>
      </w:r>
      <w:hyperlink r:id="rId132" w:history="1">
        <w:r w:rsidRPr="00F60A1E">
          <w:rPr>
            <w:rFonts w:cs="Arial"/>
            <w:color w:val="0000FF" w:themeColor="hyperlink"/>
            <w:szCs w:val="20"/>
            <w:u w:val="single"/>
          </w:rPr>
          <w:t>Youth Protection Act</w:t>
        </w:r>
      </w:hyperlink>
      <w:r w:rsidRPr="00F60A1E">
        <w:rPr>
          <w:rFonts w:cs="Arial"/>
          <w:szCs w:val="20"/>
        </w:rPr>
        <w:t xml:space="preserve"> and the </w:t>
      </w:r>
      <w:hyperlink r:id="rId133" w:history="1">
        <w:r w:rsidRPr="00F60A1E">
          <w:rPr>
            <w:rFonts w:cs="Arial"/>
            <w:color w:val="0000FF" w:themeColor="hyperlink"/>
            <w:szCs w:val="20"/>
            <w:u w:val="single"/>
          </w:rPr>
          <w:t>Act on the protection of mentally ill persons</w:t>
        </w:r>
      </w:hyperlink>
      <w:r w:rsidRPr="00F60A1E">
        <w:rPr>
          <w:rFonts w:cs="Arial"/>
          <w:szCs w:val="20"/>
        </w:rPr>
        <w:t xml:space="preserve">. </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The same rules on the child’s right to be heard in the sector of “placement into care” apply to mental health proceedings. In addition, once a request for placement into a psychiatric service has been made, the youth judge will visit the child patient. The child patient will also be heard at the case hearing</w:t>
      </w:r>
      <w:r w:rsidRPr="00F60A1E">
        <w:rPr>
          <w:bCs/>
          <w:szCs w:val="20"/>
          <w:vertAlign w:val="superscript"/>
        </w:rPr>
        <w:footnoteReference w:id="282"/>
      </w:r>
      <w:r w:rsidRPr="00F60A1E">
        <w:rPr>
          <w:bCs/>
          <w:szCs w:val="20"/>
        </w:rPr>
        <w:t>.</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subject of proceedings</w:t>
      </w:r>
      <w:r w:rsidRPr="00F60A1E">
        <w:rPr>
          <w:rFonts w:ascii="Calibri" w:eastAsiaTheme="majorEastAsia" w:hAnsi="Calibri" w:cstheme="majorBidi"/>
          <w:b/>
          <w:bCs/>
          <w:i/>
          <w:iCs/>
          <w:color w:val="0067AC"/>
          <w:sz w:val="22"/>
        </w:rPr>
        <w:br/>
      </w:r>
    </w:p>
    <w:p w:rsidR="00F60A1E" w:rsidRPr="00F60A1E" w:rsidRDefault="00F60A1E" w:rsidP="00F60A1E">
      <w:pPr>
        <w:widowControl w:val="0"/>
        <w:spacing w:before="0" w:after="0" w:line="240" w:lineRule="auto"/>
        <w:ind w:left="851"/>
        <w:jc w:val="both"/>
        <w:rPr>
          <w:bCs/>
          <w:szCs w:val="20"/>
        </w:rPr>
      </w:pPr>
      <w:r w:rsidRPr="00F60A1E">
        <w:rPr>
          <w:bCs/>
          <w:szCs w:val="20"/>
        </w:rPr>
        <w:t>No rules were identified on child subjects of health care judicial proceedings in Belgium. As an exception, the child will be a party to mental health proceedings before a youth tribunal, although the child’s legal representative must carry out the procedural acts on behalf of the child due to the child’s lack of procedural capacity.</w:t>
      </w:r>
    </w:p>
    <w:p w:rsidR="00F60A1E" w:rsidRPr="00F60A1E" w:rsidRDefault="00F60A1E" w:rsidP="0082630D">
      <w:pPr>
        <w:pStyle w:val="Heading2"/>
      </w:pPr>
      <w:bookmarkStart w:id="201" w:name="_Toc346714791"/>
      <w:bookmarkStart w:id="202" w:name="_Toc346714792"/>
      <w:bookmarkStart w:id="203" w:name="_Toc346714946"/>
      <w:bookmarkStart w:id="204" w:name="_Toc338234117"/>
      <w:bookmarkStart w:id="205" w:name="_Right_to_legal"/>
      <w:bookmarkStart w:id="206" w:name="_Toc371624431"/>
      <w:bookmarkStart w:id="207" w:name="_Toc401070023"/>
      <w:bookmarkStart w:id="208" w:name="_Toc401219688"/>
      <w:bookmarkStart w:id="209" w:name="_Toc401221516"/>
      <w:bookmarkStart w:id="210" w:name="_Toc401221593"/>
      <w:bookmarkStart w:id="211" w:name="_Toc401232348"/>
      <w:bookmarkStart w:id="212" w:name="_Toc404767204"/>
      <w:bookmarkStart w:id="213" w:name="_Toc338234118"/>
      <w:bookmarkStart w:id="214" w:name="_Ref237682190"/>
      <w:bookmarkStart w:id="215" w:name="_Toc409792256"/>
      <w:bookmarkEnd w:id="201"/>
      <w:bookmarkEnd w:id="202"/>
      <w:bookmarkEnd w:id="203"/>
      <w:bookmarkEnd w:id="204"/>
      <w:bookmarkEnd w:id="205"/>
      <w:r w:rsidRPr="00F60A1E">
        <w:t>Right to legal counsel, legal assistance and representation</w:t>
      </w:r>
      <w:bookmarkEnd w:id="206"/>
      <w:bookmarkEnd w:id="207"/>
      <w:bookmarkEnd w:id="208"/>
      <w:bookmarkEnd w:id="209"/>
      <w:bookmarkEnd w:id="210"/>
      <w:bookmarkEnd w:id="211"/>
      <w:bookmarkEnd w:id="212"/>
      <w:bookmarkEnd w:id="215"/>
      <w:r w:rsidRPr="00F60A1E">
        <w:t xml:space="preserve"> </w:t>
      </w:r>
      <w:bookmarkEnd w:id="213"/>
      <w:bookmarkEnd w:id="214"/>
    </w:p>
    <w:p w:rsidR="00F60A1E" w:rsidRPr="0082630D" w:rsidRDefault="00F60A1E" w:rsidP="0082630D">
      <w:pPr>
        <w:pStyle w:val="Heading3"/>
      </w:pPr>
      <w:bookmarkStart w:id="216" w:name="_Toc401578586"/>
      <w:bookmarkStart w:id="217" w:name="_Toc404767205"/>
      <w:bookmarkStart w:id="218" w:name="_Toc409792257"/>
      <w:r w:rsidRPr="00F60A1E">
        <w:t>General procedural rules applicable to children involved in administrative judicial proceedings including proceedings reviewing administrative authorities’ decisions in the sectors of asylum, migration and education</w:t>
      </w:r>
      <w:bookmarkEnd w:id="216"/>
      <w:bookmarkEnd w:id="217"/>
      <w:bookmarkEnd w:id="218"/>
    </w:p>
    <w:p w:rsidR="00F60A1E" w:rsidRPr="00F60A1E" w:rsidRDefault="00F60A1E" w:rsidP="00F60A1E">
      <w:pPr>
        <w:widowControl w:val="0"/>
        <w:spacing w:before="0" w:after="0" w:line="240" w:lineRule="auto"/>
        <w:ind w:left="851"/>
        <w:jc w:val="both"/>
        <w:rPr>
          <w:bCs/>
          <w:szCs w:val="20"/>
          <w:lang w:val="en-US"/>
        </w:rPr>
      </w:pPr>
      <w:r w:rsidRPr="00F60A1E">
        <w:rPr>
          <w:rFonts w:cs="Arial"/>
          <w:bCs/>
          <w:szCs w:val="20"/>
        </w:rPr>
        <w:t xml:space="preserve">The general rules described below apply to administrative judicial proceedings in the sectors </w:t>
      </w:r>
      <w:r w:rsidRPr="00F60A1E">
        <w:rPr>
          <w:rFonts w:cs="Arial"/>
          <w:bCs/>
          <w:szCs w:val="20"/>
        </w:rPr>
        <w:lastRenderedPageBreak/>
        <w:t>listed above. However, certain specific rules exist in several sectors which are described below in a separate subheading.</w:t>
      </w:r>
      <w:r w:rsidRPr="00F60A1E">
        <w:rPr>
          <w:rFonts w:cs="Arial"/>
          <w:szCs w:val="20"/>
        </w:rPr>
        <w:t xml:space="preserve"> Civil procedural rules apply to healthcare proceedings, proceedings concerning children involved in administrative sanctions and proceedings concerning placement into care (including children below the MACR who have committed offences, see </w:t>
      </w:r>
      <w:hyperlink w:anchor="_Overview_of_Member_2" w:history="1">
        <w:r w:rsidRPr="00F60A1E">
          <w:rPr>
            <w:rFonts w:cs="Arial"/>
            <w:color w:val="0000FF" w:themeColor="hyperlink"/>
            <w:szCs w:val="20"/>
            <w:u w:val="single"/>
          </w:rPr>
          <w:t>Section 1</w:t>
        </w:r>
      </w:hyperlink>
      <w:r w:rsidRPr="00F60A1E">
        <w:rPr>
          <w:rFonts w:cs="Arial"/>
          <w:szCs w:val="20"/>
        </w:rPr>
        <w:t>).</w:t>
      </w:r>
      <w:r w:rsidRPr="00F60A1E">
        <w:rPr>
          <w:bCs/>
          <w:szCs w:val="20"/>
          <w:lang w:val="en-US"/>
        </w:rPr>
        <w:t xml:space="preserve"> </w:t>
      </w:r>
    </w:p>
    <w:p w:rsidR="00F60A1E" w:rsidRPr="00F60A1E" w:rsidRDefault="00F60A1E" w:rsidP="00F60A1E">
      <w:pPr>
        <w:widowControl w:val="0"/>
        <w:spacing w:before="0" w:after="0" w:line="240" w:lineRule="auto"/>
        <w:ind w:left="851"/>
        <w:jc w:val="both"/>
        <w:rPr>
          <w:b/>
          <w:bCs/>
          <w:szCs w:val="20"/>
        </w:rPr>
      </w:pPr>
    </w:p>
    <w:p w:rsidR="00F60A1E" w:rsidRPr="00F60A1E" w:rsidRDefault="00F60A1E" w:rsidP="00F60A1E">
      <w:pPr>
        <w:widowControl w:val="0"/>
        <w:spacing w:before="0" w:after="0" w:line="240" w:lineRule="auto"/>
        <w:ind w:left="851"/>
        <w:jc w:val="both"/>
      </w:pPr>
      <w:r w:rsidRPr="00F60A1E">
        <w:t xml:space="preserve">There are no specific legal rules on children, and children’s rights to legal counsel, assistance and representation in administrative judicial proceedings. Hence, the general rules of proceedings before the Council of State and the </w:t>
      </w:r>
      <w:hyperlink r:id="rId134" w:history="1">
        <w:r w:rsidRPr="00F60A1E">
          <w:rPr>
            <w:rFonts w:cs="Arial"/>
            <w:color w:val="0000FF" w:themeColor="hyperlink"/>
            <w:u w:val="single"/>
          </w:rPr>
          <w:t>Judicial Code</w:t>
        </w:r>
      </w:hyperlink>
      <w:r w:rsidRPr="00F60A1E">
        <w:t xml:space="preserve"> apply.</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plaintiff/defendant</w:t>
      </w:r>
    </w:p>
    <w:p w:rsidR="00F60A1E" w:rsidRPr="00F60A1E" w:rsidRDefault="00F60A1E" w:rsidP="00F60A1E">
      <w:pPr>
        <w:widowControl w:val="0"/>
        <w:spacing w:before="0" w:after="0" w:line="240" w:lineRule="auto"/>
        <w:ind w:left="2291"/>
        <w:jc w:val="both"/>
        <w:rPr>
          <w:bCs/>
          <w:szCs w:val="20"/>
        </w:rPr>
      </w:pPr>
    </w:p>
    <w:p w:rsidR="00F60A1E" w:rsidRPr="00F60A1E" w:rsidRDefault="00F60A1E" w:rsidP="00F60A1E">
      <w:pPr>
        <w:spacing w:before="0" w:after="0" w:line="240" w:lineRule="auto"/>
        <w:ind w:left="851"/>
        <w:jc w:val="both"/>
      </w:pPr>
      <w:r w:rsidRPr="00F60A1E">
        <w:t>The right to legal protection is a constitutional right</w:t>
      </w:r>
      <w:r w:rsidRPr="00F60A1E">
        <w:rPr>
          <w:vertAlign w:val="superscript"/>
        </w:rPr>
        <w:footnoteReference w:id="283"/>
      </w:r>
      <w:r w:rsidRPr="00F60A1E">
        <w:t xml:space="preserve">. Children have the right to legal counsel, assistance and representation. </w:t>
      </w:r>
    </w:p>
    <w:p w:rsidR="00F60A1E" w:rsidRPr="00227001" w:rsidRDefault="00F60A1E" w:rsidP="00227001">
      <w:pPr>
        <w:pStyle w:val="Heading3NoNumb"/>
        <w:ind w:left="851"/>
      </w:pPr>
      <w:bookmarkStart w:id="219" w:name="_Toc409792258"/>
      <w:r w:rsidRPr="00F60A1E">
        <w:t>Legal representation</w:t>
      </w:r>
      <w:bookmarkEnd w:id="219"/>
    </w:p>
    <w:p w:rsidR="00F60A1E" w:rsidRPr="00F60A1E" w:rsidRDefault="00F60A1E" w:rsidP="00F60A1E">
      <w:pPr>
        <w:spacing w:before="0" w:after="0" w:line="240" w:lineRule="auto"/>
        <w:ind w:left="851"/>
        <w:jc w:val="both"/>
        <w:rPr>
          <w:bCs/>
        </w:rPr>
      </w:pPr>
      <w:r w:rsidRPr="00F60A1E">
        <w:t xml:space="preserve">Rules applicable to the representation of children in administrative judicial proceedings are provided under </w:t>
      </w:r>
      <w:hyperlink w:anchor="_The_child_as" w:history="1">
        <w:r w:rsidRPr="00F60A1E">
          <w:rPr>
            <w:color w:val="0000FF"/>
            <w:u w:val="single"/>
          </w:rPr>
          <w:t>Section 2.1</w:t>
        </w:r>
      </w:hyperlink>
      <w:r w:rsidRPr="00F60A1E">
        <w:t xml:space="preserve">. </w:t>
      </w:r>
      <w:r w:rsidRPr="00F60A1E">
        <w:rPr>
          <w:rFonts w:eastAsia="Times New Roman"/>
          <w:bCs/>
        </w:rPr>
        <w:t>As mentioned above,</w:t>
      </w:r>
      <w:r w:rsidRPr="00F60A1E">
        <w:rPr>
          <w:bCs/>
        </w:rPr>
        <w:t xml:space="preserve"> as a result of the child’s lack of legal capacity to act, the child will not be a party to the proceedings in his/her own right, but the child’s legal representative will represent him/her.</w:t>
      </w:r>
    </w:p>
    <w:p w:rsidR="00F60A1E" w:rsidRPr="00227001" w:rsidRDefault="00F60A1E" w:rsidP="00227001">
      <w:pPr>
        <w:pStyle w:val="Heading3NoNumb"/>
        <w:ind w:left="851"/>
      </w:pPr>
      <w:bookmarkStart w:id="220" w:name="_Toc409792259"/>
      <w:r w:rsidRPr="00F60A1E">
        <w:t>Legal counsel</w:t>
      </w:r>
      <w:bookmarkEnd w:id="220"/>
    </w:p>
    <w:p w:rsidR="00F60A1E" w:rsidRPr="00F60A1E" w:rsidRDefault="00F60A1E" w:rsidP="00F60A1E">
      <w:pPr>
        <w:spacing w:before="0" w:after="0" w:line="240" w:lineRule="auto"/>
        <w:ind w:left="851"/>
        <w:jc w:val="both"/>
      </w:pPr>
      <w:r w:rsidRPr="00F60A1E">
        <w:t xml:space="preserve">A child has a right to being assisted by a legal counsel, to receive legal aid, and make use of all the rights associated with the client-legal counsel relationship within the limit of the child’s lack of procedural capacity to act – see </w:t>
      </w:r>
      <w:hyperlink w:anchor="_The_child_as" w:history="1">
        <w:r w:rsidRPr="00F60A1E">
          <w:rPr>
            <w:rFonts w:cs="Arial"/>
            <w:color w:val="0000FF" w:themeColor="hyperlink"/>
            <w:u w:val="single"/>
          </w:rPr>
          <w:t>Section 2.1</w:t>
        </w:r>
      </w:hyperlink>
      <w:r w:rsidRPr="00F60A1E">
        <w:t>.</w:t>
      </w:r>
    </w:p>
    <w:p w:rsidR="00F60A1E" w:rsidRPr="00F60A1E" w:rsidRDefault="00F60A1E" w:rsidP="00F60A1E">
      <w:pPr>
        <w:spacing w:before="0" w:after="0" w:line="240" w:lineRule="auto"/>
        <w:ind w:left="851"/>
        <w:jc w:val="both"/>
      </w:pPr>
    </w:p>
    <w:p w:rsidR="00F60A1E" w:rsidRPr="00F60A1E" w:rsidRDefault="00F60A1E" w:rsidP="00F60A1E">
      <w:pPr>
        <w:spacing w:before="0" w:after="0" w:line="240" w:lineRule="auto"/>
        <w:ind w:left="851"/>
        <w:jc w:val="both"/>
        <w:rPr>
          <w:bCs/>
        </w:rPr>
      </w:pPr>
      <w:r w:rsidRPr="00F60A1E">
        <w:rPr>
          <w:bCs/>
        </w:rPr>
        <w:t>Parties to administrative judicial proceedings before the Council of State may be represented by a legal counsel</w:t>
      </w:r>
      <w:r w:rsidRPr="00F60A1E">
        <w:rPr>
          <w:bCs/>
          <w:vertAlign w:val="superscript"/>
        </w:rPr>
        <w:footnoteReference w:id="284"/>
      </w:r>
      <w:r w:rsidRPr="00F60A1E">
        <w:rPr>
          <w:bCs/>
        </w:rPr>
        <w:t>. Due to the complexity of the procedure, parties are usually represented by legal counsels</w:t>
      </w:r>
      <w:r w:rsidRPr="00F60A1E">
        <w:rPr>
          <w:bCs/>
          <w:vertAlign w:val="superscript"/>
        </w:rPr>
        <w:footnoteReference w:id="285"/>
      </w:r>
      <w:r w:rsidRPr="00F60A1E">
        <w:rPr>
          <w:bCs/>
        </w:rPr>
        <w:t>. For some procedures, such as actions in cassation, which are mainly used in asylum and migration, the assistance of a legal counsel is mandatory</w:t>
      </w:r>
      <w:r w:rsidRPr="00F60A1E">
        <w:rPr>
          <w:bCs/>
          <w:vertAlign w:val="superscript"/>
        </w:rPr>
        <w:footnoteReference w:id="286"/>
      </w:r>
      <w:r w:rsidRPr="00F60A1E">
        <w:rPr>
          <w:bCs/>
        </w:rPr>
        <w:t>. A legal counsel is not automatically assigned for a child in administrative judicial proceedings.</w:t>
      </w:r>
    </w:p>
    <w:p w:rsidR="00F60A1E" w:rsidRPr="00F60A1E" w:rsidRDefault="00F60A1E" w:rsidP="00F60A1E">
      <w:pPr>
        <w:spacing w:before="0" w:after="0" w:line="240" w:lineRule="auto"/>
        <w:ind w:left="851"/>
        <w:jc w:val="both"/>
      </w:pPr>
    </w:p>
    <w:p w:rsidR="00F60A1E" w:rsidRPr="00F60A1E" w:rsidRDefault="00F60A1E" w:rsidP="00F60A1E">
      <w:pPr>
        <w:spacing w:before="0" w:after="0" w:line="240" w:lineRule="auto"/>
        <w:ind w:left="851"/>
        <w:jc w:val="both"/>
        <w:rPr>
          <w:highlight w:val="yellow"/>
        </w:rPr>
      </w:pPr>
      <w:r w:rsidRPr="00F60A1E">
        <w:t>The child’s legal representative or, in exceptional cases, the child, e.g. when the child is emancipated, will need to request his/her assistance. As an exception, in a case of emergency, the child or a judge can contact/appoint a legal counsel</w:t>
      </w:r>
      <w:r w:rsidRPr="00F60A1E">
        <w:rPr>
          <w:vertAlign w:val="superscript"/>
        </w:rPr>
        <w:footnoteReference w:id="287"/>
      </w:r>
      <w:r w:rsidRPr="00F60A1E">
        <w:t>. The child has the right to choose his/her own legal counsel if this decision is not subject to his/her legal representative’s authorisation – depending on procedural capacity</w:t>
      </w:r>
      <w:r w:rsidRPr="00F60A1E">
        <w:rPr>
          <w:vertAlign w:val="superscript"/>
        </w:rPr>
        <w:footnoteReference w:id="288"/>
      </w:r>
      <w:r w:rsidRPr="00F60A1E">
        <w:t>. The child also has the right to change his/her legal counsel upon request, which needs to be justified</w:t>
      </w:r>
      <w:r w:rsidRPr="00F60A1E">
        <w:rPr>
          <w:vertAlign w:val="superscript"/>
        </w:rPr>
        <w:footnoteReference w:id="289"/>
      </w:r>
      <w:r w:rsidRPr="00F60A1E">
        <w:t xml:space="preserve">. This request is typically filed by the child’s legal representative. Exceptionally, when the child can act in the proceedings in his/her own right, e.g. within the exceptional cases mentioned in </w:t>
      </w:r>
      <w:hyperlink w:anchor="_The_child_as" w:history="1">
        <w:r w:rsidRPr="00F60A1E">
          <w:rPr>
            <w:rFonts w:cs="Arial"/>
            <w:color w:val="0000FF" w:themeColor="hyperlink"/>
            <w:u w:val="single"/>
          </w:rPr>
          <w:t>Section 2.1</w:t>
        </w:r>
      </w:hyperlink>
      <w:r w:rsidRPr="00F60A1E">
        <w:t>, the request can be filed by the child him/herself.</w:t>
      </w:r>
    </w:p>
    <w:p w:rsidR="00F60A1E" w:rsidRPr="00F60A1E" w:rsidRDefault="00F60A1E" w:rsidP="00F60A1E">
      <w:pPr>
        <w:spacing w:before="0" w:after="0" w:line="240" w:lineRule="auto"/>
        <w:ind w:left="851"/>
        <w:jc w:val="both"/>
        <w:rPr>
          <w:highlight w:val="yellow"/>
        </w:rPr>
      </w:pPr>
    </w:p>
    <w:p w:rsidR="00F60A1E" w:rsidRPr="00F60A1E" w:rsidRDefault="00F60A1E" w:rsidP="00F60A1E">
      <w:pPr>
        <w:spacing w:before="0" w:after="0" w:line="240" w:lineRule="auto"/>
        <w:ind w:left="851"/>
        <w:jc w:val="both"/>
      </w:pPr>
      <w:r w:rsidRPr="00F60A1E">
        <w:t xml:space="preserve">If the parents of the child decide that the assistance of a legal counsel is necessary for the defence of the child’s interests, the parents will bear the costs of the legal representation and assistance. </w:t>
      </w:r>
    </w:p>
    <w:p w:rsidR="00F60A1E" w:rsidRPr="00F60A1E" w:rsidRDefault="00F60A1E" w:rsidP="00F60A1E">
      <w:pPr>
        <w:spacing w:before="0" w:after="0" w:line="240" w:lineRule="auto"/>
        <w:ind w:left="851"/>
        <w:jc w:val="both"/>
      </w:pPr>
    </w:p>
    <w:p w:rsidR="00F60A1E" w:rsidRPr="00F60A1E" w:rsidRDefault="00F60A1E" w:rsidP="00F60A1E">
      <w:pPr>
        <w:spacing w:before="0" w:after="0" w:line="240" w:lineRule="auto"/>
        <w:ind w:left="851"/>
        <w:jc w:val="both"/>
      </w:pPr>
      <w:r w:rsidRPr="00F60A1E">
        <w:t xml:space="preserve">The </w:t>
      </w:r>
      <w:hyperlink r:id="rId135" w:history="1">
        <w:r w:rsidRPr="00F60A1E">
          <w:rPr>
            <w:rFonts w:cs="Arial"/>
            <w:color w:val="0000FF" w:themeColor="hyperlink"/>
            <w:u w:val="single"/>
          </w:rPr>
          <w:t>Council of Europe Guidelines on Child-Friendly Justice</w:t>
        </w:r>
      </w:hyperlink>
      <w:r w:rsidRPr="00F60A1E">
        <w:t xml:space="preserve"> apply to legal counsels representing children. In addition, </w:t>
      </w:r>
      <w:hyperlink r:id="rId136" w:history="1">
        <w:r w:rsidRPr="00F60A1E">
          <w:rPr>
            <w:rFonts w:cs="Arial"/>
            <w:color w:val="0000FF" w:themeColor="hyperlink"/>
            <w:u w:val="single"/>
          </w:rPr>
          <w:t>Deontology Code of Legal Counsel of the French and German Speaking Bars of Belgium</w:t>
        </w:r>
      </w:hyperlink>
      <w:r w:rsidRPr="00F60A1E">
        <w:t xml:space="preserve"> provides that a child should be assisted, advised, represented and defended in a similar manner as an adult client, taking in to account the child’s age, maturity and capacity. The legal counsel should respect the rights of the child and the </w:t>
      </w:r>
      <w:r w:rsidRPr="00F60A1E">
        <w:lastRenderedPageBreak/>
        <w:t>procedural rules. The legal counsel should facilitate the understanding of the child of the proceedings and the child’s participation</w:t>
      </w:r>
      <w:r w:rsidRPr="00F60A1E">
        <w:rPr>
          <w:vertAlign w:val="superscript"/>
        </w:rPr>
        <w:footnoteReference w:id="290"/>
      </w:r>
      <w:r w:rsidRPr="00F60A1E">
        <w:t>. No similar provision has been identified for the Flemish Bar</w:t>
      </w:r>
      <w:r w:rsidRPr="00F60A1E">
        <w:rPr>
          <w:vertAlign w:val="superscript"/>
        </w:rPr>
        <w:footnoteReference w:id="291"/>
      </w:r>
      <w:r w:rsidRPr="00F60A1E">
        <w:t>.</w:t>
      </w:r>
    </w:p>
    <w:p w:rsidR="00F60A1E" w:rsidRPr="00F60A1E" w:rsidRDefault="00F60A1E" w:rsidP="00F60A1E">
      <w:pPr>
        <w:spacing w:before="0" w:after="0" w:line="240" w:lineRule="auto"/>
        <w:ind w:left="851"/>
        <w:jc w:val="both"/>
      </w:pPr>
    </w:p>
    <w:p w:rsidR="00F60A1E" w:rsidRPr="00F60A1E" w:rsidRDefault="00F60A1E" w:rsidP="00F60A1E">
      <w:pPr>
        <w:spacing w:before="0" w:after="0" w:line="240" w:lineRule="auto"/>
        <w:ind w:left="851"/>
        <w:jc w:val="both"/>
      </w:pPr>
      <w:r w:rsidRPr="00F60A1E">
        <w:t xml:space="preserve">No legal provisions have been identified on the right of the child to waive his/her right to legal assistance in administrative judicial proceedings. </w:t>
      </w:r>
    </w:p>
    <w:p w:rsidR="00F60A1E" w:rsidRPr="00227001" w:rsidRDefault="00F60A1E" w:rsidP="00227001">
      <w:pPr>
        <w:pStyle w:val="Heading3NoNumb"/>
        <w:ind w:left="851"/>
      </w:pPr>
      <w:bookmarkStart w:id="221" w:name="_Toc409792260"/>
      <w:r w:rsidRPr="00F60A1E">
        <w:t>Legal aid</w:t>
      </w:r>
      <w:bookmarkEnd w:id="221"/>
    </w:p>
    <w:p w:rsidR="00F60A1E" w:rsidRPr="00F60A1E" w:rsidRDefault="00F60A1E" w:rsidP="00F60A1E">
      <w:pPr>
        <w:spacing w:before="0" w:after="0" w:line="240" w:lineRule="auto"/>
        <w:ind w:left="851"/>
        <w:jc w:val="both"/>
      </w:pPr>
      <w:r w:rsidRPr="00F60A1E">
        <w:t xml:space="preserve">As mentioned in the </w:t>
      </w:r>
      <w:r w:rsidRPr="00F60A1E">
        <w:rPr>
          <w:bCs/>
        </w:rPr>
        <w:t>Study to collect data on children’s involvement in civil judicial proceedings</w:t>
      </w:r>
      <w:r w:rsidRPr="00F60A1E">
        <w:t xml:space="preserve">, there are two forms of legal aid: primary and secondary legal aid. Primary legal aid consists of free-of-charge initial legal advice, or referral to a specialised organisation, available without conditions to everyone. It is offered by the Houses of Justice in each judicial district, by victim support organisations and the Commission of Legal Aid where the lawyers hold weekly legal aid hours. </w:t>
      </w:r>
    </w:p>
    <w:p w:rsidR="00F60A1E" w:rsidRPr="00F60A1E" w:rsidRDefault="00F60A1E" w:rsidP="00F60A1E">
      <w:pPr>
        <w:spacing w:before="0" w:after="0" w:line="240" w:lineRule="auto"/>
        <w:ind w:left="851"/>
        <w:jc w:val="both"/>
      </w:pPr>
    </w:p>
    <w:p w:rsidR="00F60A1E" w:rsidRPr="00F60A1E" w:rsidRDefault="00F60A1E" w:rsidP="00F60A1E">
      <w:pPr>
        <w:spacing w:before="0" w:after="0" w:line="240" w:lineRule="auto"/>
        <w:ind w:left="851"/>
        <w:jc w:val="both"/>
      </w:pPr>
      <w:r w:rsidRPr="00F60A1E">
        <w:t>Secondary legal aid consists of the legal assistance of a legal counsel, partly, or fully free-of-charge, and assistance to cover the costs of the proceedings, e.g. judicial fees</w:t>
      </w:r>
      <w:r w:rsidRPr="00F60A1E">
        <w:rPr>
          <w:vertAlign w:val="superscript"/>
        </w:rPr>
        <w:footnoteReference w:id="292"/>
      </w:r>
      <w:r w:rsidRPr="00F60A1E">
        <w:t>. Children have access to free secondary legal aid in their own right without the necessity of proving any other conditions such as low income</w:t>
      </w:r>
      <w:r w:rsidRPr="00F60A1E">
        <w:rPr>
          <w:vertAlign w:val="superscript"/>
        </w:rPr>
        <w:footnoteReference w:id="293"/>
      </w:r>
      <w:r w:rsidRPr="00F60A1E">
        <w:t xml:space="preserve">. </w:t>
      </w:r>
    </w:p>
    <w:p w:rsidR="00F60A1E" w:rsidRPr="00227001" w:rsidRDefault="00F60A1E" w:rsidP="00227001">
      <w:pPr>
        <w:pStyle w:val="Heading3NoNumb"/>
        <w:ind w:left="851"/>
      </w:pPr>
      <w:bookmarkStart w:id="222" w:name="_Toc409792261"/>
      <w:r w:rsidRPr="00F60A1E">
        <w:t>Conflict of interests</w:t>
      </w:r>
      <w:bookmarkEnd w:id="222"/>
    </w:p>
    <w:p w:rsidR="00F60A1E" w:rsidRPr="00F60A1E" w:rsidRDefault="00F60A1E" w:rsidP="00F60A1E">
      <w:pPr>
        <w:widowControl w:val="0"/>
        <w:spacing w:before="0" w:after="0" w:line="240" w:lineRule="auto"/>
        <w:ind w:left="851"/>
        <w:jc w:val="both"/>
        <w:rPr>
          <w:bCs/>
        </w:rPr>
      </w:pPr>
      <w:r w:rsidRPr="00F60A1E">
        <w:t xml:space="preserve">As mentioned under </w:t>
      </w:r>
      <w:hyperlink w:anchor="_The_child_as" w:history="1">
        <w:r w:rsidRPr="00F60A1E">
          <w:rPr>
            <w:rFonts w:cs="Arial"/>
            <w:color w:val="0000FF" w:themeColor="hyperlink"/>
            <w:u w:val="single"/>
          </w:rPr>
          <w:t>Section 2.1</w:t>
        </w:r>
      </w:hyperlink>
      <w:r w:rsidRPr="00F60A1E">
        <w:t xml:space="preserve">, </w:t>
      </w:r>
      <w:r w:rsidRPr="00F60A1E">
        <w:rPr>
          <w:bCs/>
        </w:rPr>
        <w:t xml:space="preserve">in the event of conflict of interests between a child and his/her parents, the civil magistrate court may appoint a guardian </w:t>
      </w:r>
      <w:r w:rsidRPr="00F60A1E">
        <w:rPr>
          <w:bCs/>
          <w:i/>
        </w:rPr>
        <w:t>ad litem</w:t>
      </w:r>
      <w:r w:rsidRPr="00F60A1E">
        <w:rPr>
          <w:bCs/>
        </w:rPr>
        <w:t xml:space="preserve"> for the representation of the child upon the request of any interested party, or </w:t>
      </w:r>
      <w:r w:rsidRPr="00F60A1E">
        <w:rPr>
          <w:bCs/>
          <w:i/>
        </w:rPr>
        <w:t>ex officio</w:t>
      </w:r>
      <w:r w:rsidRPr="00F60A1E">
        <w:rPr>
          <w:bCs/>
          <w:i/>
          <w:vertAlign w:val="superscript"/>
        </w:rPr>
        <w:footnoteReference w:id="294"/>
      </w:r>
      <w:r w:rsidRPr="00F60A1E">
        <w:rPr>
          <w:bCs/>
        </w:rPr>
        <w:t>. The child does not have the procedural capacity to act and petition a court in his/her own right. Some courts have, however, recognised the ability of the child to petition for the appointment of a guardian</w:t>
      </w:r>
      <w:r w:rsidRPr="00F60A1E">
        <w:rPr>
          <w:bCs/>
          <w:i/>
        </w:rPr>
        <w:t xml:space="preserve"> ad litem</w:t>
      </w:r>
      <w:r w:rsidRPr="00F60A1E">
        <w:rPr>
          <w:bCs/>
        </w:rPr>
        <w:t xml:space="preserve"> in a case of emergency and for conservatory measures</w:t>
      </w:r>
      <w:r w:rsidRPr="00F60A1E">
        <w:rPr>
          <w:bCs/>
          <w:vertAlign w:val="superscript"/>
        </w:rPr>
        <w:footnoteReference w:id="295"/>
      </w:r>
      <w:r w:rsidRPr="00F60A1E">
        <w:rPr>
          <w:bCs/>
        </w:rPr>
        <w:t>. The legal counsel cannot intervene in proceedings for both the child and his/her legal representative if there is a risk of conflict between the child and his/her legal representative</w:t>
      </w:r>
      <w:r w:rsidRPr="00F60A1E">
        <w:rPr>
          <w:bCs/>
          <w:vertAlign w:val="superscript"/>
        </w:rPr>
        <w:footnoteReference w:id="296"/>
      </w:r>
      <w:r w:rsidRPr="00F60A1E">
        <w:rPr>
          <w:bCs/>
        </w:rPr>
        <w:t>.</w:t>
      </w:r>
    </w:p>
    <w:p w:rsidR="00F60A1E" w:rsidRPr="00F60A1E" w:rsidRDefault="00F60A1E" w:rsidP="00F60A1E">
      <w:pPr>
        <w:widowControl w:val="0"/>
        <w:spacing w:before="0" w:after="0" w:line="240" w:lineRule="auto"/>
        <w:ind w:left="851"/>
        <w:jc w:val="both"/>
        <w:rPr>
          <w:bCs/>
        </w:rPr>
      </w:pPr>
    </w:p>
    <w:p w:rsidR="00F60A1E" w:rsidRPr="00F60A1E" w:rsidRDefault="00F60A1E" w:rsidP="00F60A1E">
      <w:pPr>
        <w:widowControl w:val="0"/>
        <w:spacing w:before="0" w:after="0" w:line="240" w:lineRule="auto"/>
        <w:ind w:left="851"/>
        <w:jc w:val="both"/>
        <w:rPr>
          <w:bCs/>
        </w:rPr>
      </w:pPr>
      <w:r w:rsidRPr="00F60A1E">
        <w:rPr>
          <w:bCs/>
        </w:rPr>
        <w:t xml:space="preserve">The civil magistrate’s court is responsible for monitoring the guardian </w:t>
      </w:r>
      <w:r w:rsidRPr="00F60A1E">
        <w:rPr>
          <w:bCs/>
          <w:i/>
        </w:rPr>
        <w:t>ad litem</w:t>
      </w:r>
      <w:r w:rsidRPr="00F60A1E">
        <w:rPr>
          <w:bCs/>
        </w:rPr>
        <w:t>’s activities. The court can review the guardian’s decisions and modify them, or replace the guardian in case of conflict. Some of the guardian’s actions are subject to authorisation by the civil magistrate, i.e. to represent the child in a judicial proceeding</w:t>
      </w:r>
      <w:r w:rsidRPr="00F60A1E">
        <w:rPr>
          <w:bCs/>
          <w:vertAlign w:val="superscript"/>
        </w:rPr>
        <w:footnoteReference w:id="297"/>
      </w:r>
      <w:r w:rsidRPr="00F60A1E">
        <w:rPr>
          <w:bCs/>
        </w:rPr>
        <w:t>.</w:t>
      </w:r>
    </w:p>
    <w:p w:rsidR="00F60A1E" w:rsidRPr="00F60A1E" w:rsidRDefault="00F60A1E" w:rsidP="00F60A1E">
      <w:pPr>
        <w:keepNext/>
        <w:keepLines/>
        <w:spacing w:after="0"/>
        <w:ind w:left="1702" w:hanging="851"/>
        <w:outlineLvl w:val="4"/>
        <w:rPr>
          <w:rFonts w:ascii="Calibri" w:eastAsiaTheme="majorEastAsia" w:hAnsi="Calibri" w:cstheme="majorBidi"/>
          <w:i/>
          <w:color w:val="0067AC"/>
          <w:sz w:val="22"/>
        </w:rPr>
      </w:pPr>
      <w:r w:rsidRPr="00F60A1E">
        <w:rPr>
          <w:rFonts w:ascii="Calibri" w:eastAsiaTheme="majorEastAsia" w:hAnsi="Calibri" w:cstheme="majorBidi"/>
          <w:i/>
          <w:color w:val="0067AC"/>
          <w:sz w:val="22"/>
        </w:rPr>
        <w:t>Intervener</w:t>
      </w:r>
      <w:r w:rsidRPr="00F60A1E">
        <w:rPr>
          <w:rFonts w:ascii="Calibri" w:eastAsiaTheme="majorEastAsia" w:hAnsi="Calibri" w:cstheme="majorBidi"/>
          <w:i/>
          <w:color w:val="0067AC"/>
          <w:sz w:val="22"/>
        </w:rPr>
        <w:br/>
      </w:r>
    </w:p>
    <w:p w:rsidR="00F60A1E" w:rsidRPr="00F60A1E" w:rsidRDefault="00F60A1E" w:rsidP="00F60A1E">
      <w:pPr>
        <w:widowControl w:val="0"/>
        <w:spacing w:before="0" w:after="0" w:line="240" w:lineRule="auto"/>
        <w:ind w:left="851"/>
        <w:jc w:val="both"/>
        <w:rPr>
          <w:b/>
          <w:bCs/>
          <w:szCs w:val="20"/>
        </w:rPr>
      </w:pPr>
      <w:r w:rsidRPr="00F60A1E">
        <w:rPr>
          <w:bCs/>
          <w:szCs w:val="20"/>
        </w:rPr>
        <w:t xml:space="preserve">As explained in </w:t>
      </w:r>
      <w:hyperlink w:anchor="_The_child_as" w:history="1">
        <w:r w:rsidRPr="00F60A1E">
          <w:rPr>
            <w:bCs/>
            <w:color w:val="0000FF" w:themeColor="hyperlink"/>
            <w:szCs w:val="20"/>
            <w:u w:val="single"/>
          </w:rPr>
          <w:t>Section 2.1</w:t>
        </w:r>
      </w:hyperlink>
      <w:r w:rsidRPr="00F60A1E">
        <w:rPr>
          <w:bCs/>
          <w:szCs w:val="20"/>
        </w:rPr>
        <w:t xml:space="preserve">, any person with an interest in the proceedings before the Council of State may request to intervene in the proceedings. The same rules apply to child interveners as to child plaintiffs and defendants regarding their legal representation and assistance. </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witness</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spacing w:before="0" w:after="0" w:line="240" w:lineRule="auto"/>
        <w:ind w:left="851"/>
        <w:jc w:val="both"/>
        <w:rPr>
          <w:rFonts w:eastAsia="Times New Roman"/>
          <w:bCs/>
          <w:szCs w:val="20"/>
        </w:rPr>
      </w:pPr>
      <w:r w:rsidRPr="00F60A1E">
        <w:rPr>
          <w:rFonts w:eastAsia="Times New Roman"/>
          <w:bCs/>
          <w:szCs w:val="20"/>
        </w:rPr>
        <w:t xml:space="preserve">A child witness has the right to legal representation and legal aid. However, it is not mandatory to be represented by legal counsels. The child, via his/her legal representative, will need to request such assistance. As with child plaintiffs/defendants, child witnesses, as a general rule, lack legal capacity to act and thus, they cannot mandate legal counsels in their own right. This implies that the child’s legal representative would mandate a legal counsel on behalf of the </w:t>
      </w:r>
      <w:r w:rsidRPr="00F60A1E">
        <w:rPr>
          <w:rFonts w:eastAsia="Times New Roman"/>
          <w:bCs/>
          <w:szCs w:val="20"/>
        </w:rPr>
        <w:lastRenderedPageBreak/>
        <w:t xml:space="preserve">child. In exceptional cases, e.g. in a case of emergency, the child would be able to mandate the legal counsel him/herself. </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subject of proceedings</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 xml:space="preserve">As mentioned in </w:t>
      </w:r>
      <w:hyperlink w:anchor="_The_child_as" w:history="1">
        <w:r w:rsidRPr="00F60A1E">
          <w:rPr>
            <w:bCs/>
            <w:color w:val="0000FF" w:themeColor="hyperlink"/>
            <w:szCs w:val="20"/>
            <w:u w:val="single"/>
          </w:rPr>
          <w:t>Section 2.1</w:t>
        </w:r>
      </w:hyperlink>
      <w:r w:rsidRPr="00F60A1E">
        <w:rPr>
          <w:bCs/>
          <w:szCs w:val="20"/>
        </w:rPr>
        <w:t xml:space="preserve">, no rules were identified on child subjects of administrative judicial proceedings in Belgium. A child affected by the proceedings may, through his/her legal representative, request to intervene in the proceedings. </w:t>
      </w:r>
    </w:p>
    <w:p w:rsidR="00F60A1E" w:rsidRPr="00F60A1E" w:rsidRDefault="00F60A1E" w:rsidP="0082630D">
      <w:pPr>
        <w:pStyle w:val="Heading3"/>
      </w:pPr>
      <w:bookmarkStart w:id="223" w:name="_Toc401578587"/>
      <w:bookmarkStart w:id="224" w:name="_Toc404767206"/>
      <w:bookmarkStart w:id="225" w:name="_Toc409792262"/>
      <w:r w:rsidRPr="00F60A1E">
        <w:t>Procedural rules applicable to children involved in asylum and migration proceedings</w:t>
      </w:r>
      <w:bookmarkEnd w:id="223"/>
      <w:bookmarkEnd w:id="224"/>
      <w:bookmarkEnd w:id="225"/>
      <w:r w:rsidRPr="00F60A1E">
        <w:t xml:space="preserve"> </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plaintiff/defendant/subject of proceedings</w:t>
      </w:r>
    </w:p>
    <w:p w:rsidR="00F60A1E" w:rsidRPr="00F60A1E" w:rsidRDefault="00F60A1E" w:rsidP="00F60A1E">
      <w:pPr>
        <w:widowControl w:val="0"/>
        <w:spacing w:before="0" w:after="0" w:line="240" w:lineRule="auto"/>
        <w:ind w:left="2291"/>
        <w:jc w:val="both"/>
        <w:rPr>
          <w:bCs/>
          <w:szCs w:val="20"/>
        </w:rPr>
      </w:pPr>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 xml:space="preserve">As explained in </w:t>
      </w:r>
      <w:hyperlink w:anchor="_Overview_of_Member" w:history="1">
        <w:r w:rsidRPr="00F60A1E">
          <w:rPr>
            <w:rFonts w:cs="Arial"/>
            <w:color w:val="0000FF" w:themeColor="hyperlink"/>
            <w:szCs w:val="20"/>
            <w:u w:val="single"/>
          </w:rPr>
          <w:t>Section 1</w:t>
        </w:r>
      </w:hyperlink>
      <w:r w:rsidRPr="00F60A1E">
        <w:rPr>
          <w:rFonts w:cs="Arial"/>
          <w:szCs w:val="20"/>
        </w:rPr>
        <w:t>, decisions in the field of asylum and migration are first reviewed by a quasi-judicial administrative authority – the Council for Foreigners Litigation</w:t>
      </w:r>
      <w:r w:rsidRPr="00F60A1E">
        <w:rPr>
          <w:szCs w:val="20"/>
          <w:vertAlign w:val="superscript"/>
        </w:rPr>
        <w:footnoteReference w:id="298"/>
      </w:r>
      <w:r w:rsidRPr="00F60A1E">
        <w:rPr>
          <w:rFonts w:cs="Arial"/>
          <w:szCs w:val="20"/>
        </w:rPr>
        <w:t>. The decisions of the Council for Foreigners Litigation are reviewed in administrative judicial proceedings by the Council of State through cassation procedures. In a cassation procedure before the Council of State, the assistance of a legal counsel is mandatory. No cassation procedure application is valid without the signature of a legal counsel</w:t>
      </w:r>
      <w:r w:rsidRPr="00F60A1E">
        <w:rPr>
          <w:szCs w:val="20"/>
          <w:vertAlign w:val="superscript"/>
        </w:rPr>
        <w:footnoteReference w:id="299"/>
      </w:r>
      <w:r w:rsidRPr="00F60A1E">
        <w:rPr>
          <w:rFonts w:cs="Arial"/>
          <w:szCs w:val="20"/>
        </w:rPr>
        <w:t>. A non-national child has the right to free secondary legal aid for asylum and migration proceedings, including those proceedings before the Council of State</w:t>
      </w:r>
      <w:r w:rsidRPr="00F60A1E">
        <w:rPr>
          <w:szCs w:val="20"/>
          <w:vertAlign w:val="superscript"/>
        </w:rPr>
        <w:footnoteReference w:id="300"/>
      </w:r>
      <w:r w:rsidRPr="00F60A1E">
        <w:rPr>
          <w:rFonts w:cs="Arial"/>
          <w:szCs w:val="20"/>
        </w:rPr>
        <w:t>.</w:t>
      </w:r>
    </w:p>
    <w:p w:rsidR="00F60A1E" w:rsidRPr="00F60A1E" w:rsidRDefault="00227001" w:rsidP="00227001">
      <w:pPr>
        <w:pStyle w:val="Heading3NoNumb"/>
        <w:ind w:left="851"/>
      </w:pPr>
      <w:bookmarkStart w:id="226" w:name="_Toc409792263"/>
      <w:r>
        <w:t>Unaccompanied children</w:t>
      </w:r>
      <w:bookmarkEnd w:id="226"/>
    </w:p>
    <w:p w:rsidR="00F60A1E" w:rsidRPr="00F60A1E" w:rsidRDefault="00F60A1E" w:rsidP="00F60A1E">
      <w:pPr>
        <w:widowControl w:val="0"/>
        <w:spacing w:before="0" w:after="0" w:line="240" w:lineRule="auto"/>
        <w:ind w:left="851"/>
        <w:jc w:val="both"/>
        <w:rPr>
          <w:bCs/>
          <w:szCs w:val="20"/>
        </w:rPr>
      </w:pPr>
      <w:r w:rsidRPr="00F60A1E">
        <w:rPr>
          <w:bCs/>
          <w:szCs w:val="20"/>
        </w:rPr>
        <w:t xml:space="preserve">Regarding unaccompanied children, as explained in </w:t>
      </w:r>
      <w:hyperlink w:anchor="_The_child_as_3" w:history="1">
        <w:r w:rsidRPr="00F60A1E">
          <w:rPr>
            <w:bCs/>
            <w:color w:val="0000FF" w:themeColor="hyperlink"/>
            <w:szCs w:val="20"/>
            <w:u w:val="single"/>
          </w:rPr>
          <w:t>Section 2.1</w:t>
        </w:r>
      </w:hyperlink>
      <w:r w:rsidRPr="00F60A1E">
        <w:rPr>
          <w:bCs/>
          <w:szCs w:val="20"/>
        </w:rPr>
        <w:t xml:space="preserve"> and </w:t>
      </w:r>
      <w:hyperlink w:anchor="_Toc338234115" w:history="1">
        <w:r w:rsidRPr="00F60A1E">
          <w:rPr>
            <w:bCs/>
            <w:color w:val="0000FF" w:themeColor="hyperlink"/>
            <w:szCs w:val="20"/>
            <w:u w:val="single"/>
          </w:rPr>
          <w:t>Section 2.5</w:t>
        </w:r>
      </w:hyperlink>
      <w:r w:rsidRPr="00F60A1E">
        <w:rPr>
          <w:bCs/>
          <w:szCs w:val="20"/>
        </w:rPr>
        <w:t xml:space="preserve">, the Guardianship Service appoints </w:t>
      </w:r>
      <w:r w:rsidRPr="00F60A1E">
        <w:rPr>
          <w:bCs/>
          <w:i/>
          <w:szCs w:val="20"/>
        </w:rPr>
        <w:t>ex officio</w:t>
      </w:r>
      <w:r w:rsidRPr="00F60A1E">
        <w:rPr>
          <w:bCs/>
          <w:szCs w:val="20"/>
        </w:rPr>
        <w:t xml:space="preserve"> a guardian to represent a non-EEA national unaccompanied child as soon as it has knowledge of such a child</w:t>
      </w:r>
      <w:r w:rsidRPr="00F60A1E">
        <w:rPr>
          <w:bCs/>
          <w:szCs w:val="20"/>
          <w:vertAlign w:val="superscript"/>
        </w:rPr>
        <w:t xml:space="preserve"> </w:t>
      </w:r>
      <w:r w:rsidRPr="00F60A1E">
        <w:rPr>
          <w:bCs/>
          <w:szCs w:val="20"/>
          <w:vertAlign w:val="superscript"/>
        </w:rPr>
        <w:footnoteReference w:id="301"/>
      </w:r>
      <w:r w:rsidRPr="00F60A1E">
        <w:rPr>
          <w:bCs/>
          <w:szCs w:val="20"/>
        </w:rPr>
        <w:t>.</w:t>
      </w:r>
    </w:p>
    <w:p w:rsidR="00F60A1E" w:rsidRPr="00F60A1E" w:rsidRDefault="00F60A1E" w:rsidP="00F60A1E">
      <w:pPr>
        <w:widowControl w:val="0"/>
        <w:spacing w:before="0" w:after="0" w:line="240" w:lineRule="auto"/>
        <w:ind w:left="851"/>
        <w:jc w:val="both"/>
        <w:rPr>
          <w:rFonts w:eastAsia="Times New Roman" w:cs="Arial"/>
          <w:szCs w:val="20"/>
        </w:rPr>
      </w:pPr>
    </w:p>
    <w:p w:rsidR="00F60A1E" w:rsidRPr="00F60A1E" w:rsidRDefault="00F60A1E" w:rsidP="00F60A1E">
      <w:pPr>
        <w:widowControl w:val="0"/>
        <w:spacing w:before="0" w:after="0" w:line="240" w:lineRule="auto"/>
        <w:ind w:left="851"/>
        <w:jc w:val="both"/>
        <w:rPr>
          <w:rFonts w:eastAsia="Times New Roman" w:cs="Arial"/>
          <w:szCs w:val="20"/>
        </w:rPr>
      </w:pPr>
      <w:r w:rsidRPr="00F60A1E">
        <w:rPr>
          <w:rFonts w:eastAsia="Times New Roman" w:cs="Arial"/>
          <w:szCs w:val="20"/>
        </w:rPr>
        <w:t>The guardian of an unaccompanied child is responsible for representing and assisting the child in asylum and migration administrative and judicial procedures. The guardian must also ensure that the child receives the assistance of a legal counsel and legal aid</w:t>
      </w:r>
      <w:r w:rsidRPr="00F60A1E">
        <w:rPr>
          <w:rFonts w:eastAsia="Times New Roman" w:cs="Calibri"/>
          <w:szCs w:val="20"/>
          <w:vertAlign w:val="superscript"/>
        </w:rPr>
        <w:footnoteReference w:id="302"/>
      </w:r>
      <w:r w:rsidRPr="00F60A1E">
        <w:rPr>
          <w:rFonts w:eastAsia="Times New Roman" w:cs="Arial"/>
          <w:szCs w:val="20"/>
        </w:rPr>
        <w:t>. If the child disagrees with his/her guardian’s decisions and actions, the child may ask the assistance of the Guardianship Service or appeal to a civil magistrate’s court to solve any conflict of interests between the child and his/her guardian. The civil magistrate’s court and the Guardianship Service are competent to monitor the activities of the guardian. The guardian must present reports on the situation of the child to the civil magistrate’s court at least twice a year</w:t>
      </w:r>
      <w:r w:rsidRPr="00F60A1E">
        <w:rPr>
          <w:rFonts w:eastAsia="Times New Roman" w:cs="Calibri"/>
          <w:szCs w:val="20"/>
          <w:vertAlign w:val="superscript"/>
        </w:rPr>
        <w:footnoteReference w:id="303"/>
      </w:r>
      <w:r w:rsidRPr="00F60A1E">
        <w:rPr>
          <w:rFonts w:eastAsia="Times New Roman" w:cs="Arial"/>
          <w:szCs w:val="20"/>
        </w:rPr>
        <w:t>. The guardian is remunerated by the State and the child benefits from his/her assistance free-of-charge</w:t>
      </w:r>
      <w:r w:rsidRPr="00F60A1E">
        <w:rPr>
          <w:rFonts w:eastAsia="Times New Roman" w:cs="Calibri"/>
          <w:szCs w:val="20"/>
          <w:vertAlign w:val="superscript"/>
        </w:rPr>
        <w:footnoteReference w:id="304"/>
      </w:r>
      <w:r w:rsidRPr="00F60A1E">
        <w:rPr>
          <w:rFonts w:eastAsia="Times New Roman" w:cs="Arial"/>
          <w:szCs w:val="20"/>
        </w:rPr>
        <w:t>.</w:t>
      </w:r>
    </w:p>
    <w:p w:rsidR="00F60A1E" w:rsidRPr="00F60A1E" w:rsidRDefault="00F60A1E" w:rsidP="00F60A1E">
      <w:pPr>
        <w:widowControl w:val="0"/>
        <w:spacing w:before="0" w:after="0" w:line="240" w:lineRule="auto"/>
        <w:ind w:left="851"/>
        <w:jc w:val="both"/>
        <w:rPr>
          <w:rFonts w:eastAsia="Times New Roman" w:cs="Arial"/>
          <w:szCs w:val="20"/>
        </w:rPr>
      </w:pPr>
    </w:p>
    <w:p w:rsidR="00F60A1E" w:rsidRPr="00F60A1E" w:rsidRDefault="00F60A1E" w:rsidP="00F60A1E">
      <w:pPr>
        <w:widowControl w:val="0"/>
        <w:spacing w:before="0" w:after="0" w:line="240" w:lineRule="auto"/>
        <w:ind w:left="851"/>
        <w:jc w:val="both"/>
        <w:rPr>
          <w:rFonts w:eastAsia="Times New Roman" w:cs="Arial"/>
          <w:szCs w:val="20"/>
        </w:rPr>
      </w:pPr>
      <w:r w:rsidRPr="00F60A1E">
        <w:rPr>
          <w:rFonts w:eastAsia="Times New Roman" w:cs="Arial"/>
          <w:szCs w:val="20"/>
        </w:rPr>
        <w:t>In the case of an unaccompanied EEA national child, the SMEV will support the child and take appropriate urgent measures to organise a social follow-up adapted to the child's situation</w:t>
      </w:r>
      <w:r w:rsidRPr="00F60A1E">
        <w:rPr>
          <w:rFonts w:eastAsia="Times New Roman" w:cs="Calibri"/>
          <w:szCs w:val="20"/>
          <w:vertAlign w:val="superscript"/>
        </w:rPr>
        <w:footnoteReference w:id="305"/>
      </w:r>
      <w:r w:rsidRPr="00F60A1E">
        <w:rPr>
          <w:rFonts w:eastAsia="Times New Roman" w:cs="Arial"/>
          <w:szCs w:val="20"/>
        </w:rPr>
        <w:t xml:space="preserve">. No specialised guardianship service exists for this category of children. The general rules on the representation of children will apply. Hence, the civil magistrate’s court may appoint a guardian </w:t>
      </w:r>
      <w:r w:rsidRPr="00F60A1E">
        <w:rPr>
          <w:rFonts w:eastAsia="Times New Roman" w:cs="Arial"/>
          <w:i/>
          <w:szCs w:val="20"/>
        </w:rPr>
        <w:t>ad litem</w:t>
      </w:r>
      <w:r w:rsidRPr="00F60A1E">
        <w:rPr>
          <w:rFonts w:eastAsia="Times New Roman" w:cs="Arial"/>
          <w:szCs w:val="20"/>
        </w:rPr>
        <w:t>. In judicial proceedings an unaccompanied EEA national child will be assisted by a legal counsel in accordance with the general rules.</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lastRenderedPageBreak/>
        <w:t>Child as a witness</w:t>
      </w:r>
    </w:p>
    <w:p w:rsidR="00F60A1E" w:rsidRPr="00F60A1E" w:rsidRDefault="00F60A1E" w:rsidP="00F60A1E">
      <w:pPr>
        <w:spacing w:before="0" w:after="0" w:line="240" w:lineRule="auto"/>
        <w:ind w:left="851"/>
        <w:jc w:val="both"/>
        <w:rPr>
          <w:bCs/>
          <w:szCs w:val="20"/>
        </w:rPr>
      </w:pPr>
    </w:p>
    <w:p w:rsidR="00F60A1E" w:rsidRPr="00F60A1E" w:rsidRDefault="00F60A1E" w:rsidP="00F60A1E">
      <w:pPr>
        <w:spacing w:before="0" w:after="0" w:line="240" w:lineRule="auto"/>
        <w:ind w:left="851"/>
        <w:jc w:val="both"/>
        <w:rPr>
          <w:bCs/>
          <w:szCs w:val="20"/>
        </w:rPr>
      </w:pPr>
      <w:r w:rsidRPr="00F60A1E">
        <w:rPr>
          <w:bCs/>
          <w:szCs w:val="20"/>
        </w:rPr>
        <w:t>The general rules described above apply to child witnesses in asylum and migration judicial proceedings.</w:t>
      </w:r>
    </w:p>
    <w:p w:rsidR="00F60A1E" w:rsidRPr="00F60A1E" w:rsidRDefault="00F60A1E" w:rsidP="0082630D">
      <w:pPr>
        <w:pStyle w:val="Heading3"/>
      </w:pPr>
      <w:bookmarkStart w:id="227" w:name="_Toc401578588"/>
      <w:bookmarkStart w:id="228" w:name="_Toc404767207"/>
      <w:bookmarkStart w:id="229" w:name="_Toc409792264"/>
      <w:r w:rsidRPr="00F60A1E">
        <w:t>Procedural rules applicable to children involved in placement into care and administrative sanctions proceedings</w:t>
      </w:r>
      <w:bookmarkEnd w:id="227"/>
      <w:bookmarkEnd w:id="228"/>
      <w:bookmarkEnd w:id="229"/>
      <w:r w:rsidRPr="00F60A1E">
        <w:t xml:space="preserve"> </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plaintiff/defendant</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 xml:space="preserve">As mentioned in </w:t>
      </w:r>
      <w:hyperlink w:anchor="_Overview_of_Member" w:history="1">
        <w:r w:rsidRPr="00F60A1E">
          <w:rPr>
            <w:rFonts w:cs="Arial"/>
            <w:color w:val="0000FF" w:themeColor="hyperlink"/>
            <w:szCs w:val="20"/>
            <w:u w:val="single"/>
          </w:rPr>
          <w:t>Section 1</w:t>
        </w:r>
      </w:hyperlink>
      <w:r w:rsidRPr="00F60A1E">
        <w:rPr>
          <w:rFonts w:cs="Arial"/>
          <w:szCs w:val="20"/>
        </w:rPr>
        <w:t xml:space="preserve">, measures for the protection of the child, including placement into care, are either voluntary – under the supervision of a youth care service, or non-voluntary. Non-voluntary measures require the intervention of the youth tribunal, which will apply the </w:t>
      </w:r>
      <w:hyperlink r:id="rId137" w:history="1">
        <w:r w:rsidRPr="00F60A1E">
          <w:rPr>
            <w:rFonts w:cs="Arial"/>
            <w:color w:val="0000FF" w:themeColor="hyperlink"/>
            <w:szCs w:val="20"/>
            <w:u w:val="single"/>
          </w:rPr>
          <w:t>Youth Protection Act</w:t>
        </w:r>
      </w:hyperlink>
      <w:r w:rsidRPr="00F60A1E">
        <w:rPr>
          <w:rFonts w:cs="Arial"/>
          <w:szCs w:val="20"/>
        </w:rPr>
        <w:t xml:space="preserve"> and the </w:t>
      </w:r>
      <w:hyperlink r:id="rId138" w:history="1">
        <w:r w:rsidRPr="00F60A1E">
          <w:rPr>
            <w:rFonts w:cs="Arial"/>
            <w:color w:val="0000FF" w:themeColor="hyperlink"/>
            <w:szCs w:val="20"/>
            <w:u w:val="single"/>
          </w:rPr>
          <w:t>Judicial Code</w:t>
        </w:r>
      </w:hyperlink>
      <w:r w:rsidRPr="00F60A1E">
        <w:rPr>
          <w:rFonts w:cs="Arial"/>
          <w:szCs w:val="20"/>
        </w:rPr>
        <w:t xml:space="preserve">, i.e. civil procedural rules. </w:t>
      </w:r>
    </w:p>
    <w:p w:rsidR="00F60A1E" w:rsidRPr="00F60A1E" w:rsidRDefault="00F60A1E" w:rsidP="00F60A1E">
      <w:pPr>
        <w:widowControl w:val="0"/>
        <w:spacing w:before="0" w:after="0" w:line="240" w:lineRule="auto"/>
        <w:jc w:val="both"/>
        <w:rPr>
          <w:szCs w:val="20"/>
        </w:rPr>
      </w:pPr>
    </w:p>
    <w:p w:rsidR="00F60A1E" w:rsidRPr="00F60A1E" w:rsidRDefault="00F60A1E" w:rsidP="00F60A1E">
      <w:pPr>
        <w:widowControl w:val="0"/>
        <w:spacing w:before="0" w:after="0" w:line="240" w:lineRule="auto"/>
        <w:ind w:left="851"/>
        <w:jc w:val="both"/>
        <w:rPr>
          <w:szCs w:val="20"/>
        </w:rPr>
      </w:pPr>
      <w:r w:rsidRPr="00F60A1E">
        <w:rPr>
          <w:szCs w:val="20"/>
        </w:rPr>
        <w:t xml:space="preserve">As explained in </w:t>
      </w:r>
      <w:hyperlink w:anchor="_Overview_of_Member" w:history="1">
        <w:r w:rsidRPr="00F60A1E">
          <w:rPr>
            <w:color w:val="0000FF" w:themeColor="hyperlink"/>
            <w:szCs w:val="20"/>
            <w:u w:val="single"/>
          </w:rPr>
          <w:t>Section 1</w:t>
        </w:r>
      </w:hyperlink>
      <w:r w:rsidRPr="00F60A1E">
        <w:rPr>
          <w:szCs w:val="20"/>
        </w:rPr>
        <w:t>, administrative authorities’ decisions imposing administrative sanctions on children can be appealed before the youth tribunals.</w:t>
      </w:r>
    </w:p>
    <w:p w:rsidR="00F60A1E" w:rsidRPr="00F60A1E" w:rsidRDefault="00F60A1E" w:rsidP="00F60A1E">
      <w:pPr>
        <w:widowControl w:val="0"/>
        <w:spacing w:before="0" w:after="0" w:line="240" w:lineRule="auto"/>
        <w:ind w:left="851"/>
        <w:jc w:val="both"/>
        <w:rPr>
          <w:rFonts w:cs="Arial"/>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 xml:space="preserve">In a proceeding before a youth tribunal, the child must be represented by a legal counsel. If the child is not assisted by a legal counsel, the youth tribunal will appoint a legal counsel </w:t>
      </w:r>
      <w:r w:rsidRPr="00F60A1E">
        <w:rPr>
          <w:bCs/>
          <w:i/>
          <w:szCs w:val="20"/>
        </w:rPr>
        <w:t>ex officio</w:t>
      </w:r>
      <w:r w:rsidRPr="00F60A1E">
        <w:rPr>
          <w:bCs/>
          <w:szCs w:val="20"/>
        </w:rPr>
        <w:t xml:space="preserve"> to represent the child</w:t>
      </w:r>
      <w:r w:rsidRPr="00F60A1E">
        <w:rPr>
          <w:bCs/>
          <w:szCs w:val="20"/>
          <w:vertAlign w:val="superscript"/>
        </w:rPr>
        <w:footnoteReference w:id="306"/>
      </w:r>
      <w:r w:rsidRPr="00F60A1E">
        <w:rPr>
          <w:bCs/>
          <w:szCs w:val="20"/>
        </w:rPr>
        <w:t>. The youth tribunal may also decide to appoint another legal counsel if the tribunal considers there is a conflict of interests</w:t>
      </w:r>
      <w:r w:rsidRPr="00F60A1E">
        <w:rPr>
          <w:bCs/>
          <w:szCs w:val="20"/>
          <w:vertAlign w:val="superscript"/>
        </w:rPr>
        <w:footnoteReference w:id="307"/>
      </w:r>
      <w:r w:rsidRPr="00F60A1E">
        <w:rPr>
          <w:bCs/>
          <w:szCs w:val="20"/>
        </w:rPr>
        <w:t>. The general rules described above on legal aid and mandating a legal counsel apply.</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In the administrative sanctions sector, the administrative authority must inform the competent bar association to ensure that the child is assisted by a legal counsel in administrative, mediation and judicial proceedings. The president of the bar association is competent to verify that no conflicts of interest exist, and whether or not a legal counsel other than the one mandated by the child’s legal representative should be appointed to assist the child</w:t>
      </w:r>
      <w:r w:rsidRPr="00F60A1E">
        <w:rPr>
          <w:bCs/>
          <w:szCs w:val="20"/>
          <w:vertAlign w:val="superscript"/>
        </w:rPr>
        <w:footnoteReference w:id="308"/>
      </w:r>
      <w:r w:rsidRPr="00F60A1E">
        <w:rPr>
          <w:bCs/>
          <w:szCs w:val="20"/>
        </w:rPr>
        <w:t>.</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witness</w:t>
      </w:r>
    </w:p>
    <w:p w:rsidR="00F60A1E" w:rsidRPr="00F60A1E" w:rsidRDefault="00F60A1E" w:rsidP="00F60A1E">
      <w:pPr>
        <w:spacing w:before="0" w:after="0" w:line="240" w:lineRule="auto"/>
        <w:jc w:val="both"/>
        <w:rPr>
          <w:bCs/>
          <w:szCs w:val="20"/>
        </w:rPr>
      </w:pPr>
    </w:p>
    <w:p w:rsidR="00F60A1E" w:rsidRPr="00F60A1E" w:rsidRDefault="00F60A1E" w:rsidP="00F60A1E">
      <w:pPr>
        <w:spacing w:before="0" w:after="0" w:line="240" w:lineRule="auto"/>
        <w:ind w:left="851"/>
        <w:jc w:val="both"/>
        <w:rPr>
          <w:bCs/>
          <w:szCs w:val="20"/>
        </w:rPr>
      </w:pPr>
      <w:r w:rsidRPr="00F60A1E">
        <w:rPr>
          <w:bCs/>
          <w:szCs w:val="20"/>
        </w:rPr>
        <w:t>The general rules described above apply to child witnesses in placement into care and administrative sanctions judicial proceedings.</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subject of proceedings</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No rules were identified on child subjects of administrative sanction judicial proceedings. A child in such proceedings will be a plaintiff or a defendant. The child is a party to the proceedings before a youth tribunal, although the child’s legal representative must carry out the procedural acts on behalf of the child due to the child’s lack of procedural capacity.</w:t>
      </w:r>
    </w:p>
    <w:p w:rsidR="00F60A1E" w:rsidRPr="00F60A1E" w:rsidRDefault="00F60A1E" w:rsidP="0082630D">
      <w:pPr>
        <w:pStyle w:val="Heading3"/>
      </w:pPr>
      <w:bookmarkStart w:id="230" w:name="_Toc401578589"/>
      <w:bookmarkStart w:id="231" w:name="_Toc404767208"/>
      <w:bookmarkStart w:id="232" w:name="_Toc409792265"/>
      <w:r w:rsidRPr="00F60A1E">
        <w:t>Procedural rules applicable to children involved in health care proceedings</w:t>
      </w:r>
      <w:bookmarkEnd w:id="230"/>
      <w:bookmarkEnd w:id="231"/>
      <w:bookmarkEnd w:id="232"/>
      <w:r w:rsidRPr="00F60A1E">
        <w:t xml:space="preserve"> </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plaintiff/defendant</w:t>
      </w:r>
    </w:p>
    <w:p w:rsidR="00F60A1E" w:rsidRPr="00F60A1E" w:rsidRDefault="00F60A1E" w:rsidP="00F60A1E">
      <w:pPr>
        <w:widowControl w:val="0"/>
        <w:spacing w:before="0" w:after="0" w:line="240" w:lineRule="auto"/>
        <w:ind w:left="2291"/>
        <w:jc w:val="both"/>
        <w:rPr>
          <w:bCs/>
          <w:szCs w:val="20"/>
        </w:rPr>
      </w:pPr>
    </w:p>
    <w:p w:rsidR="00F60A1E" w:rsidRPr="00F60A1E" w:rsidRDefault="00F60A1E" w:rsidP="00F60A1E">
      <w:pPr>
        <w:widowControl w:val="0"/>
        <w:spacing w:before="0" w:after="0" w:line="240" w:lineRule="auto"/>
        <w:ind w:left="851"/>
        <w:jc w:val="both"/>
      </w:pPr>
      <w:r w:rsidRPr="00F60A1E">
        <w:t xml:space="preserve">As explained in </w:t>
      </w:r>
      <w:hyperlink w:anchor="_Overview_of_Member" w:history="1">
        <w:r w:rsidRPr="00F60A1E">
          <w:rPr>
            <w:rFonts w:cs="Arial"/>
            <w:color w:val="0000FF" w:themeColor="hyperlink"/>
            <w:u w:val="single"/>
          </w:rPr>
          <w:t>Section 1</w:t>
        </w:r>
      </w:hyperlink>
      <w:r w:rsidRPr="00F60A1E">
        <w:t>, to appeal against medical treatment decisions, the child can turn to the court in civil judicial proceedings if no mediation agreement could be reached.</w:t>
      </w:r>
    </w:p>
    <w:p w:rsidR="00F60A1E" w:rsidRPr="00F60A1E" w:rsidRDefault="00F60A1E" w:rsidP="00F60A1E">
      <w:pPr>
        <w:widowControl w:val="0"/>
        <w:spacing w:before="0" w:after="0" w:line="240" w:lineRule="auto"/>
        <w:ind w:left="851"/>
        <w:jc w:val="both"/>
      </w:pPr>
    </w:p>
    <w:p w:rsidR="00F60A1E" w:rsidRPr="00F60A1E" w:rsidRDefault="00F60A1E" w:rsidP="00F60A1E">
      <w:pPr>
        <w:widowControl w:val="0"/>
        <w:spacing w:before="0" w:after="0" w:line="240" w:lineRule="auto"/>
        <w:ind w:left="851"/>
        <w:jc w:val="both"/>
        <w:rPr>
          <w:b/>
          <w:bCs/>
          <w:lang w:eastAsia="x-none"/>
        </w:rPr>
      </w:pPr>
      <w:r w:rsidRPr="00F60A1E">
        <w:t>The general rules, regardless of the sector described above, apply – except for the rules specific to the Council of State proceedings.</w:t>
      </w:r>
    </w:p>
    <w:p w:rsidR="00F60A1E" w:rsidRPr="00F60A1E" w:rsidRDefault="00227001" w:rsidP="00227001">
      <w:pPr>
        <w:pStyle w:val="Heading3NoNumb"/>
        <w:ind w:left="851"/>
      </w:pPr>
      <w:bookmarkStart w:id="233" w:name="_Toc409792266"/>
      <w:r>
        <w:t>Mental health</w:t>
      </w:r>
      <w:bookmarkEnd w:id="233"/>
      <w:r>
        <w:t xml:space="preserve"> </w:t>
      </w:r>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 xml:space="preserve">As explained in </w:t>
      </w:r>
      <w:hyperlink w:anchor="_Overview_of_Member" w:history="1">
        <w:r w:rsidRPr="00F60A1E">
          <w:rPr>
            <w:rFonts w:cs="Arial"/>
            <w:color w:val="0000FF" w:themeColor="hyperlink"/>
            <w:szCs w:val="20"/>
            <w:u w:val="single"/>
          </w:rPr>
          <w:t>Section 1</w:t>
        </w:r>
      </w:hyperlink>
      <w:r w:rsidRPr="00F60A1E">
        <w:rPr>
          <w:rFonts w:cs="Arial"/>
          <w:szCs w:val="20"/>
        </w:rPr>
        <w:t>, the youth tribunal is competent to take decisions on children with mental health care needs</w:t>
      </w:r>
      <w:r w:rsidRPr="00F60A1E">
        <w:rPr>
          <w:szCs w:val="20"/>
          <w:vertAlign w:val="superscript"/>
        </w:rPr>
        <w:footnoteReference w:id="309"/>
      </w:r>
      <w:r w:rsidRPr="00F60A1E">
        <w:rPr>
          <w:rFonts w:cs="Arial"/>
          <w:szCs w:val="20"/>
        </w:rPr>
        <w:t xml:space="preserve">. The youth tribunal applies civil judicial procedural rules, the </w:t>
      </w:r>
      <w:hyperlink r:id="rId139" w:history="1">
        <w:r w:rsidRPr="00F60A1E">
          <w:rPr>
            <w:rFonts w:cs="Arial"/>
            <w:color w:val="0000FF" w:themeColor="hyperlink"/>
            <w:szCs w:val="20"/>
            <w:u w:val="single"/>
          </w:rPr>
          <w:t xml:space="preserve">Youth </w:t>
        </w:r>
        <w:r w:rsidRPr="00F60A1E">
          <w:rPr>
            <w:rFonts w:cs="Arial"/>
            <w:color w:val="0000FF" w:themeColor="hyperlink"/>
            <w:szCs w:val="20"/>
            <w:u w:val="single"/>
          </w:rPr>
          <w:lastRenderedPageBreak/>
          <w:t>Protection Act</w:t>
        </w:r>
      </w:hyperlink>
      <w:r w:rsidRPr="00F60A1E">
        <w:rPr>
          <w:rFonts w:cs="Arial"/>
          <w:szCs w:val="20"/>
        </w:rPr>
        <w:t xml:space="preserve"> and the </w:t>
      </w:r>
      <w:hyperlink r:id="rId140" w:history="1">
        <w:r w:rsidRPr="00F60A1E">
          <w:rPr>
            <w:rFonts w:cs="Arial"/>
            <w:color w:val="0000FF" w:themeColor="hyperlink"/>
            <w:szCs w:val="20"/>
            <w:u w:val="single"/>
          </w:rPr>
          <w:t>Act on the protection of mentally ill persons</w:t>
        </w:r>
      </w:hyperlink>
      <w:r w:rsidRPr="00F60A1E">
        <w:rPr>
          <w:rFonts w:cs="Arial"/>
          <w:szCs w:val="20"/>
        </w:rPr>
        <w:t xml:space="preserve">. </w:t>
      </w:r>
    </w:p>
    <w:p w:rsidR="00F60A1E" w:rsidRPr="00F60A1E" w:rsidRDefault="00F60A1E" w:rsidP="00F60A1E">
      <w:pPr>
        <w:widowControl w:val="0"/>
        <w:spacing w:before="0" w:after="0" w:line="240" w:lineRule="auto"/>
        <w:ind w:left="851"/>
        <w:jc w:val="both"/>
        <w:rPr>
          <w:rFonts w:cs="Arial"/>
          <w:szCs w:val="20"/>
        </w:rPr>
      </w:pPr>
    </w:p>
    <w:p w:rsidR="00F60A1E" w:rsidRPr="00F60A1E" w:rsidRDefault="00F60A1E" w:rsidP="00F60A1E">
      <w:pPr>
        <w:widowControl w:val="0"/>
        <w:spacing w:before="0" w:after="0" w:line="240" w:lineRule="auto"/>
        <w:ind w:left="851"/>
        <w:jc w:val="both"/>
        <w:rPr>
          <w:b/>
          <w:bCs/>
          <w:lang w:eastAsia="x-none"/>
        </w:rPr>
      </w:pPr>
      <w:r w:rsidRPr="00F60A1E">
        <w:t xml:space="preserve">The rules on the right to legal counsel and assistance in the sector of “placement into care”, described above, apply. In addition, the youth tribunal will appoint </w:t>
      </w:r>
      <w:r w:rsidRPr="00F60A1E">
        <w:rPr>
          <w:i/>
        </w:rPr>
        <w:t>ex officio</w:t>
      </w:r>
      <w:r w:rsidRPr="00F60A1E">
        <w:t xml:space="preserve"> a legal counsel to assist the child patient as soon as the tribunal receives the request for placement into a psychiatric service. The child will be informed of his/her right to choose another legal counsel and person of trust. The hearings before the tribunal must take place in the presence of the child patient’s legal counsel</w:t>
      </w:r>
      <w:r w:rsidRPr="00F60A1E">
        <w:rPr>
          <w:vertAlign w:val="superscript"/>
        </w:rPr>
        <w:footnoteReference w:id="310"/>
      </w:r>
      <w:r w:rsidRPr="00F60A1E">
        <w:t>. Hence, the assistance of a legal counsel in those proceedings is mandatory.</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witness</w:t>
      </w:r>
    </w:p>
    <w:p w:rsidR="00F60A1E" w:rsidRPr="00F60A1E" w:rsidRDefault="00F60A1E" w:rsidP="00F60A1E">
      <w:pPr>
        <w:spacing w:before="0" w:after="0" w:line="240" w:lineRule="auto"/>
        <w:ind w:left="851"/>
        <w:jc w:val="both"/>
        <w:rPr>
          <w:bCs/>
          <w:szCs w:val="20"/>
        </w:rPr>
      </w:pPr>
    </w:p>
    <w:p w:rsidR="00F60A1E" w:rsidRPr="00F60A1E" w:rsidRDefault="00F60A1E" w:rsidP="00F60A1E">
      <w:pPr>
        <w:spacing w:before="0" w:after="0" w:line="240" w:lineRule="auto"/>
        <w:ind w:left="851"/>
        <w:jc w:val="both"/>
        <w:rPr>
          <w:bCs/>
          <w:szCs w:val="20"/>
        </w:rPr>
      </w:pPr>
      <w:r w:rsidRPr="00F60A1E">
        <w:rPr>
          <w:bCs/>
          <w:szCs w:val="20"/>
        </w:rPr>
        <w:t>The general rules described above apply to child witnesses in health care judicial proceedings.</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subject of proceedings</w:t>
      </w:r>
    </w:p>
    <w:p w:rsidR="00F60A1E" w:rsidRPr="00F60A1E" w:rsidRDefault="00F60A1E" w:rsidP="00F60A1E">
      <w:pPr>
        <w:widowControl w:val="0"/>
        <w:spacing w:before="0" w:after="0" w:line="240" w:lineRule="auto"/>
        <w:ind w:left="851"/>
        <w:jc w:val="both"/>
        <w:rPr>
          <w:bCs/>
          <w:color w:val="FF0000"/>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No rules were identified on child subjects of health care judicial proceedings in Belgium. As an exception, the child will be a party to mental health proceedings before a youth tribunal, although the child’s legal representative must carry out the procedural acts on behalf of the child due to the child’s lack of procedural capacity.</w:t>
      </w:r>
    </w:p>
    <w:p w:rsidR="00F60A1E" w:rsidRPr="00F60A1E" w:rsidRDefault="00F60A1E" w:rsidP="0082630D">
      <w:pPr>
        <w:pStyle w:val="Heading2"/>
      </w:pPr>
      <w:bookmarkStart w:id="234" w:name="_Restrictions_on_liberty"/>
      <w:bookmarkStart w:id="235" w:name="_Toc371624432"/>
      <w:bookmarkStart w:id="236" w:name="_Toc401070024"/>
      <w:bookmarkStart w:id="237" w:name="_Toc401219695"/>
      <w:bookmarkStart w:id="238" w:name="_Toc401221523"/>
      <w:bookmarkStart w:id="239" w:name="_Toc401221600"/>
      <w:bookmarkStart w:id="240" w:name="_Toc401232355"/>
      <w:bookmarkStart w:id="241" w:name="_Toc404767209"/>
      <w:bookmarkStart w:id="242" w:name="_Toc338234124"/>
      <w:bookmarkStart w:id="243" w:name="_Toc409792267"/>
      <w:bookmarkEnd w:id="234"/>
      <w:r w:rsidRPr="00F60A1E">
        <w:t>Restrictions on liberty</w:t>
      </w:r>
      <w:bookmarkEnd w:id="235"/>
      <w:bookmarkEnd w:id="236"/>
      <w:bookmarkEnd w:id="237"/>
      <w:bookmarkEnd w:id="238"/>
      <w:bookmarkEnd w:id="239"/>
      <w:bookmarkEnd w:id="240"/>
      <w:bookmarkEnd w:id="241"/>
      <w:bookmarkEnd w:id="243"/>
    </w:p>
    <w:p w:rsidR="00F60A1E" w:rsidRPr="00F60A1E" w:rsidRDefault="00F60A1E" w:rsidP="00F60A1E">
      <w:pPr>
        <w:widowControl w:val="0"/>
        <w:spacing w:before="0" w:after="0" w:line="240" w:lineRule="auto"/>
        <w:ind w:left="851"/>
        <w:jc w:val="both"/>
        <w:rPr>
          <w:bCs/>
          <w:szCs w:val="20"/>
        </w:rPr>
      </w:pPr>
      <w:r w:rsidRPr="00F60A1E">
        <w:rPr>
          <w:bCs/>
          <w:szCs w:val="20"/>
        </w:rPr>
        <w:t>Deprivation of liberty may be imposed in the sectors of migration and asylum, placement into care, mental health care and children below MACR who have committed offences. Therefore, only those sectors will be described.</w:t>
      </w:r>
    </w:p>
    <w:p w:rsidR="00F60A1E" w:rsidRPr="00F60A1E" w:rsidRDefault="00F60A1E" w:rsidP="00F60A1E">
      <w:pPr>
        <w:widowControl w:val="0"/>
        <w:spacing w:before="0" w:after="0" w:line="240" w:lineRule="auto"/>
        <w:ind w:left="851"/>
        <w:jc w:val="both"/>
        <w:rPr>
          <w:bCs/>
          <w:szCs w:val="20"/>
          <w:highlight w:val="yellow"/>
        </w:rPr>
      </w:pPr>
    </w:p>
    <w:p w:rsidR="00F60A1E" w:rsidRPr="00F60A1E" w:rsidRDefault="00F60A1E" w:rsidP="00F60A1E">
      <w:pPr>
        <w:widowControl w:val="0"/>
        <w:spacing w:before="0" w:after="0" w:line="240" w:lineRule="auto"/>
        <w:ind w:left="851"/>
        <w:jc w:val="both"/>
        <w:rPr>
          <w:bCs/>
          <w:szCs w:val="20"/>
        </w:rPr>
      </w:pPr>
      <w:r w:rsidRPr="00F60A1E">
        <w:rPr>
          <w:bCs/>
          <w:szCs w:val="20"/>
        </w:rPr>
        <w:t>According to the legislation, authorities may interfere only as little as possible in a person's rights and freedoms. Such interferences should only happen as required for the protection of society, taking into account the needs of the children, their families and the best interests of victims’ rights</w:t>
      </w:r>
      <w:r w:rsidRPr="00F60A1E">
        <w:rPr>
          <w:bCs/>
          <w:szCs w:val="20"/>
          <w:vertAlign w:val="superscript"/>
        </w:rPr>
        <w:footnoteReference w:id="311"/>
      </w:r>
      <w:r w:rsidRPr="00F60A1E">
        <w:rPr>
          <w:bCs/>
          <w:szCs w:val="20"/>
        </w:rPr>
        <w:t>. From this principle, it can be implied that detention should be a measure of last resort and for the shortest possible time.</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In cases of deprivation of liberty, the following principles apply to children:</w:t>
      </w:r>
    </w:p>
    <w:p w:rsidR="00F60A1E" w:rsidRPr="00F60A1E" w:rsidRDefault="00F60A1E" w:rsidP="00F60A1E">
      <w:pPr>
        <w:widowControl w:val="0"/>
        <w:spacing w:before="0" w:after="0" w:line="240" w:lineRule="auto"/>
        <w:jc w:val="both"/>
        <w:rPr>
          <w:bCs/>
          <w:szCs w:val="20"/>
        </w:rPr>
      </w:pPr>
    </w:p>
    <w:p w:rsidR="00F60A1E" w:rsidRPr="00F60A1E" w:rsidRDefault="00F60A1E" w:rsidP="00F60A1E">
      <w:pPr>
        <w:numPr>
          <w:ilvl w:val="0"/>
          <w:numId w:val="22"/>
        </w:numPr>
        <w:spacing w:before="0" w:after="0"/>
      </w:pPr>
      <w:r w:rsidRPr="00F60A1E">
        <w:t>as a minimum, a child must have the same rights as an adult;</w:t>
      </w:r>
    </w:p>
    <w:p w:rsidR="00F60A1E" w:rsidRPr="00F60A1E" w:rsidRDefault="00F60A1E" w:rsidP="00F60A1E">
      <w:pPr>
        <w:numPr>
          <w:ilvl w:val="0"/>
          <w:numId w:val="22"/>
        </w:numPr>
        <w:spacing w:before="0" w:after="0"/>
      </w:pPr>
      <w:r w:rsidRPr="00F60A1E">
        <w:t>given the presumption of vulnerability stemming from the status of being a child, a child cannot validly waive those rights – including the right of assistance by a legal counsel, and the right surrounding the interview of someone deprived of liberty;</w:t>
      </w:r>
    </w:p>
    <w:p w:rsidR="00F60A1E" w:rsidRPr="00F60A1E" w:rsidRDefault="00F60A1E" w:rsidP="00F60A1E">
      <w:pPr>
        <w:numPr>
          <w:ilvl w:val="0"/>
          <w:numId w:val="22"/>
        </w:numPr>
        <w:spacing w:before="0" w:after="0"/>
      </w:pPr>
      <w:r w:rsidRPr="00F60A1E">
        <w:t xml:space="preserve">He/she must receive the additional rights provided for by the </w:t>
      </w:r>
      <w:hyperlink r:id="rId141" w:history="1">
        <w:r w:rsidRPr="00F60A1E">
          <w:rPr>
            <w:bCs/>
            <w:color w:val="0000FF" w:themeColor="hyperlink"/>
            <w:u w:val="single"/>
          </w:rPr>
          <w:t>Youth Protection Act</w:t>
        </w:r>
      </w:hyperlink>
      <w:r w:rsidRPr="00F60A1E">
        <w:t xml:space="preserve"> – including the rights guaranteed in the </w:t>
      </w:r>
      <w:hyperlink r:id="rId142" w:history="1">
        <w:r w:rsidRPr="00F60A1E">
          <w:rPr>
            <w:bCs/>
            <w:color w:val="0000FF" w:themeColor="hyperlink"/>
            <w:u w:val="single"/>
          </w:rPr>
          <w:t>CRC</w:t>
        </w:r>
      </w:hyperlink>
      <w:r w:rsidRPr="00F60A1E">
        <w:rPr>
          <w:vertAlign w:val="superscript"/>
        </w:rPr>
        <w:footnoteReference w:id="312"/>
      </w:r>
      <w:r w:rsidRPr="00F60A1E">
        <w:t>.</w:t>
      </w:r>
    </w:p>
    <w:p w:rsidR="00F60A1E" w:rsidRPr="00F60A1E" w:rsidRDefault="00F60A1E" w:rsidP="00F60A1E">
      <w:pPr>
        <w:widowControl w:val="0"/>
        <w:autoSpaceDE w:val="0"/>
        <w:autoSpaceDN w:val="0"/>
        <w:adjustRightInd w:val="0"/>
        <w:spacing w:before="0" w:after="0" w:line="240" w:lineRule="auto"/>
        <w:jc w:val="both"/>
        <w:rPr>
          <w:lang w:eastAsia="da-DK"/>
        </w:rPr>
      </w:pPr>
    </w:p>
    <w:p w:rsidR="00F60A1E" w:rsidRPr="00F60A1E" w:rsidRDefault="00F60A1E" w:rsidP="00F60A1E">
      <w:pPr>
        <w:widowControl w:val="0"/>
        <w:autoSpaceDE w:val="0"/>
        <w:autoSpaceDN w:val="0"/>
        <w:adjustRightInd w:val="0"/>
        <w:spacing w:before="0" w:after="0" w:line="240" w:lineRule="auto"/>
        <w:ind w:left="851"/>
        <w:jc w:val="both"/>
        <w:rPr>
          <w:lang w:eastAsia="da-DK"/>
        </w:rPr>
      </w:pPr>
      <w:r w:rsidRPr="00F60A1E">
        <w:rPr>
          <w:lang w:eastAsia="da-DK"/>
        </w:rPr>
        <w:t>Deprivation of liberty requires the intervention of the courts, with the exception of the detention of child asylum seekers, or illegal migrants for expulsion, and administrative detention of up to 12 hours maximum – see below. Courts are competent to monitor the appropriate use of administrative detentions.</w:t>
      </w:r>
    </w:p>
    <w:p w:rsidR="00F60A1E" w:rsidRPr="00F60A1E" w:rsidRDefault="00F60A1E" w:rsidP="0082630D">
      <w:pPr>
        <w:pStyle w:val="Heading3"/>
      </w:pPr>
      <w:bookmarkStart w:id="244" w:name="_Toc401578591"/>
      <w:bookmarkStart w:id="245" w:name="_Toc404767210"/>
      <w:bookmarkStart w:id="246" w:name="_Toc409792268"/>
      <w:r w:rsidRPr="00F60A1E">
        <w:t>Procedural rules applicable to children involved in asylum and migration proceedings</w:t>
      </w:r>
      <w:bookmarkEnd w:id="244"/>
      <w:bookmarkEnd w:id="245"/>
      <w:bookmarkEnd w:id="246"/>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plaintiff/defendant/subject of proceedings</w:t>
      </w:r>
    </w:p>
    <w:p w:rsidR="00F60A1E" w:rsidRPr="00F60A1E" w:rsidRDefault="00F60A1E" w:rsidP="00F60A1E">
      <w:pPr>
        <w:widowControl w:val="0"/>
        <w:spacing w:before="0" w:after="0" w:line="240" w:lineRule="auto"/>
        <w:ind w:left="851"/>
        <w:jc w:val="both"/>
        <w:rPr>
          <w:bCs/>
        </w:rPr>
      </w:pPr>
    </w:p>
    <w:p w:rsidR="00F60A1E" w:rsidRPr="00F60A1E" w:rsidRDefault="00F60A1E" w:rsidP="00F60A1E">
      <w:pPr>
        <w:widowControl w:val="0"/>
        <w:spacing w:before="0" w:after="0" w:line="240" w:lineRule="auto"/>
        <w:ind w:left="851"/>
        <w:jc w:val="both"/>
        <w:rPr>
          <w:bCs/>
        </w:rPr>
      </w:pPr>
      <w:r w:rsidRPr="00F60A1E">
        <w:rPr>
          <w:bCs/>
        </w:rPr>
        <w:t>Any decision regarding the child must take as primary consideration the child’s best interests</w:t>
      </w:r>
      <w:r w:rsidRPr="00F60A1E">
        <w:rPr>
          <w:bCs/>
          <w:vertAlign w:val="superscript"/>
        </w:rPr>
        <w:footnoteReference w:id="313"/>
      </w:r>
      <w:r w:rsidRPr="00F60A1E">
        <w:rPr>
          <w:bCs/>
        </w:rPr>
        <w:t xml:space="preserve">. </w:t>
      </w:r>
    </w:p>
    <w:p w:rsidR="00F60A1E" w:rsidRPr="00F60A1E" w:rsidRDefault="00F60A1E" w:rsidP="00227001">
      <w:pPr>
        <w:pStyle w:val="Heading3NoNumb"/>
        <w:ind w:left="851"/>
      </w:pPr>
      <w:bookmarkStart w:id="247" w:name="_Toc409792269"/>
      <w:r w:rsidRPr="00F60A1E">
        <w:lastRenderedPageBreak/>
        <w:t xml:space="preserve">Child asylum seeker or illegal </w:t>
      </w:r>
      <w:r w:rsidR="00227001">
        <w:t>migrant with his/her family</w:t>
      </w:r>
      <w:bookmarkEnd w:id="247"/>
    </w:p>
    <w:p w:rsidR="00F60A1E" w:rsidRPr="00F60A1E" w:rsidRDefault="00F60A1E" w:rsidP="00F60A1E">
      <w:pPr>
        <w:widowControl w:val="0"/>
        <w:spacing w:before="0" w:after="0" w:line="240" w:lineRule="auto"/>
        <w:ind w:left="851"/>
        <w:jc w:val="both"/>
        <w:rPr>
          <w:bCs/>
        </w:rPr>
      </w:pPr>
      <w:r w:rsidRPr="00F60A1E">
        <w:rPr>
          <w:bCs/>
        </w:rPr>
        <w:t>The child asylum seeker or illegal migrant arriving on the Belgian territory with his/her family must be accommodated with his/her parents</w:t>
      </w:r>
      <w:r w:rsidRPr="00F60A1E">
        <w:rPr>
          <w:bCs/>
          <w:vertAlign w:val="superscript"/>
        </w:rPr>
        <w:footnoteReference w:id="314"/>
      </w:r>
      <w:r w:rsidRPr="00F60A1E">
        <w:rPr>
          <w:bCs/>
        </w:rPr>
        <w:t>. According to the legislation, a family with children in an illegal situation should, in principle, not be detained. Families with children are accommodated in individual housings. The families will need to respect certain conditions, e.g. only one of the parents can leave the centre at any given time. If the conditions are not respected, then the family may be detained in a centre adapted to the family needs. In addition, if one of the family members poses a threat to public order or national security, or comprises the country’s international relations, the family should be accommodated in a closed centre adapted to families with children. A family with children can also be maintained for the shortest possible time in a centre adapted to family needs in the view of their expulsion</w:t>
      </w:r>
      <w:r w:rsidRPr="00F60A1E">
        <w:rPr>
          <w:bCs/>
          <w:vertAlign w:val="superscript"/>
        </w:rPr>
        <w:footnoteReference w:id="315"/>
      </w:r>
      <w:r w:rsidRPr="00F60A1E">
        <w:rPr>
          <w:bCs/>
        </w:rPr>
        <w:t xml:space="preserve">. </w:t>
      </w:r>
    </w:p>
    <w:p w:rsidR="00F60A1E" w:rsidRPr="00F60A1E" w:rsidRDefault="00F60A1E" w:rsidP="00F60A1E">
      <w:pPr>
        <w:widowControl w:val="0"/>
        <w:spacing w:before="0" w:after="0" w:line="240" w:lineRule="auto"/>
        <w:jc w:val="both"/>
        <w:rPr>
          <w:bCs/>
        </w:rPr>
      </w:pPr>
    </w:p>
    <w:p w:rsidR="00F60A1E" w:rsidRPr="00F60A1E" w:rsidRDefault="00F60A1E" w:rsidP="00F60A1E">
      <w:pPr>
        <w:widowControl w:val="0"/>
        <w:spacing w:before="0" w:after="0" w:line="240" w:lineRule="auto"/>
        <w:ind w:left="851"/>
        <w:jc w:val="both"/>
        <w:rPr>
          <w:bCs/>
        </w:rPr>
      </w:pPr>
      <w:r w:rsidRPr="00F60A1E">
        <w:rPr>
          <w:bCs/>
        </w:rPr>
        <w:t>Appeals against the detention of asylum seekers and illegal migrants can be made by the children’s legal representatives before the Council Chamber of the Court of First Instance, which is a criminal court specialised in reviewing and monitoring detention conditions</w:t>
      </w:r>
      <w:r w:rsidRPr="00F60A1E">
        <w:rPr>
          <w:bCs/>
          <w:vertAlign w:val="superscript"/>
        </w:rPr>
        <w:footnoteReference w:id="316"/>
      </w:r>
      <w:r w:rsidRPr="00F60A1E">
        <w:rPr>
          <w:bCs/>
        </w:rPr>
        <w:t>.</w:t>
      </w:r>
    </w:p>
    <w:p w:rsidR="00F60A1E" w:rsidRPr="00F60A1E" w:rsidRDefault="00F60A1E" w:rsidP="00227001">
      <w:pPr>
        <w:pStyle w:val="Heading3NoNumb"/>
        <w:ind w:left="851"/>
      </w:pPr>
      <w:bookmarkStart w:id="248" w:name="_Toc409792270"/>
      <w:r w:rsidRPr="00F60A1E">
        <w:t>Unacc</w:t>
      </w:r>
      <w:r w:rsidR="00227001">
        <w:t>ompanied non EEA national child</w:t>
      </w:r>
      <w:bookmarkEnd w:id="248"/>
    </w:p>
    <w:p w:rsidR="00F60A1E" w:rsidRPr="00F60A1E" w:rsidRDefault="00F60A1E" w:rsidP="00F60A1E">
      <w:pPr>
        <w:widowControl w:val="0"/>
        <w:spacing w:before="0" w:after="0" w:line="240" w:lineRule="auto"/>
        <w:ind w:left="851"/>
        <w:jc w:val="both"/>
        <w:rPr>
          <w:i/>
          <w:highlight w:val="yellow"/>
        </w:rPr>
      </w:pPr>
      <w:r w:rsidRPr="00F60A1E">
        <w:rPr>
          <w:bCs/>
        </w:rPr>
        <w:t xml:space="preserve">When an unaccompanied non-national child arrives in Belgium, his/her age must be determined to ensure that the child is indeed less than 18 years old. If there is doubt on the child’s age, the child will be detained in a centre at the border </w:t>
      </w:r>
      <w:r w:rsidRPr="00F60A1E">
        <w:t>whilst the Guardianship Service proceeds to the determination of his/her age, e.g. by medical test. The decision on the determination of the child’s age must be taken within three days. Exceptionally, it can be extended to another three days</w:t>
      </w:r>
      <w:r w:rsidRPr="00F60A1E">
        <w:rPr>
          <w:vertAlign w:val="superscript"/>
        </w:rPr>
        <w:footnoteReference w:id="317"/>
      </w:r>
      <w:r w:rsidRPr="00F60A1E">
        <w:t>. If no decision on the age occurs within this time limit, the child is transferred to an ‘observation and orientation centre’</w:t>
      </w:r>
      <w:r w:rsidRPr="00F60A1E">
        <w:rPr>
          <w:vertAlign w:val="superscript"/>
        </w:rPr>
        <w:footnoteReference w:id="318"/>
      </w:r>
      <w:r w:rsidRPr="00F60A1E">
        <w:t xml:space="preserve">. </w:t>
      </w:r>
    </w:p>
    <w:p w:rsidR="00F60A1E" w:rsidRPr="00F60A1E" w:rsidRDefault="00F60A1E" w:rsidP="00F60A1E">
      <w:pPr>
        <w:widowControl w:val="0"/>
        <w:spacing w:before="0" w:after="0" w:line="240" w:lineRule="auto"/>
        <w:ind w:left="851"/>
        <w:jc w:val="both"/>
        <w:rPr>
          <w:rFonts w:cs="Arial"/>
          <w:szCs w:val="20"/>
          <w:highlight w:val="yellow"/>
        </w:rPr>
      </w:pPr>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Once age is confirmed, the child will be transferred to an ‘observation and orientation centre’, which is an open centre, for a maximum period of 15 days and can be extended by another five days in exceptional circumstances. During this time, the child could be subject to an order to leave the territory. If no expulsion decision is issued within 15 days, the child is considered allowed to enter the territory</w:t>
      </w:r>
      <w:r w:rsidRPr="00F60A1E">
        <w:rPr>
          <w:szCs w:val="20"/>
          <w:vertAlign w:val="superscript"/>
        </w:rPr>
        <w:footnoteReference w:id="319"/>
      </w:r>
      <w:r w:rsidRPr="00F60A1E">
        <w:rPr>
          <w:rFonts w:cs="Arial"/>
          <w:szCs w:val="20"/>
        </w:rPr>
        <w:t xml:space="preserve">. </w:t>
      </w:r>
    </w:p>
    <w:p w:rsidR="00F60A1E" w:rsidRPr="00F60A1E" w:rsidRDefault="00F60A1E" w:rsidP="00F60A1E">
      <w:pPr>
        <w:widowControl w:val="0"/>
        <w:spacing w:before="0" w:after="0" w:line="240" w:lineRule="auto"/>
        <w:ind w:left="851"/>
        <w:jc w:val="both"/>
        <w:rPr>
          <w:rFonts w:eastAsia="Times New Roman" w:cs="Arial"/>
          <w:szCs w:val="20"/>
        </w:rPr>
      </w:pPr>
    </w:p>
    <w:p w:rsidR="00F60A1E" w:rsidRPr="00F60A1E" w:rsidRDefault="00F60A1E" w:rsidP="00F60A1E">
      <w:pPr>
        <w:spacing w:before="0" w:after="0" w:line="240" w:lineRule="auto"/>
        <w:ind w:left="851"/>
        <w:jc w:val="both"/>
      </w:pPr>
      <w:r w:rsidRPr="00F60A1E">
        <w:t>Before taking an expulsion decision, the competent authority, i.e. the Immigration Office or Office of the Commissioner General for Refugees and Stateless Persons, must consider any proposition from the child’s guardian for sustainable solution for the child and must take into account the best interests of the child. The authority must ensure that the child, who is expelled from the territory, will benefit in his/her country of origin or in the country where it is authorised to stay from sufficient support based on the child’s needs, determined by his/her age and degree of autonomy. To this end, the authority must ensure that there is no risk of human trafficking, that the family situation is likely to allow the child to return, and that the child’s return is desirable taking into account the ability of the family to assist, educate and protect the child, that the accommodation is suitable, and it is in the best interests of the child</w:t>
      </w:r>
      <w:r w:rsidRPr="00F60A1E">
        <w:rPr>
          <w:vertAlign w:val="superscript"/>
        </w:rPr>
        <w:footnoteReference w:id="320"/>
      </w:r>
      <w:r w:rsidRPr="00F60A1E">
        <w:t>.</w:t>
      </w:r>
    </w:p>
    <w:p w:rsidR="00F60A1E" w:rsidRPr="00F60A1E" w:rsidRDefault="00F60A1E" w:rsidP="00F60A1E">
      <w:pPr>
        <w:spacing w:before="0" w:after="0" w:line="240" w:lineRule="auto"/>
        <w:ind w:left="851"/>
        <w:jc w:val="both"/>
      </w:pPr>
    </w:p>
    <w:p w:rsidR="00F60A1E" w:rsidRPr="00F60A1E" w:rsidRDefault="00F60A1E" w:rsidP="00F60A1E">
      <w:pPr>
        <w:spacing w:before="0" w:after="0" w:line="240" w:lineRule="auto"/>
        <w:ind w:left="851"/>
        <w:jc w:val="both"/>
      </w:pPr>
      <w:r w:rsidRPr="00F60A1E">
        <w:t>Any appeals against a decision of the Immigration Office, Office of the Commissioner General for Refugees and Stateless Persons, Council of Foreigner Litigation or Guardianship Service can be made by the child or child’s guardian in accordance with the general rules of administrative procedure and administrative judicial proceedings.</w:t>
      </w:r>
    </w:p>
    <w:p w:rsidR="00F60A1E" w:rsidRPr="00F60A1E" w:rsidRDefault="00F60A1E" w:rsidP="00227001">
      <w:pPr>
        <w:pStyle w:val="Heading3NoNumb"/>
        <w:ind w:left="851"/>
      </w:pPr>
      <w:bookmarkStart w:id="249" w:name="_Toc409792271"/>
      <w:r w:rsidRPr="00F60A1E">
        <w:lastRenderedPageBreak/>
        <w:t>U</w:t>
      </w:r>
      <w:r w:rsidR="00227001">
        <w:t>naccompanied EEA national child</w:t>
      </w:r>
      <w:bookmarkEnd w:id="249"/>
    </w:p>
    <w:p w:rsidR="00F60A1E" w:rsidRPr="00F60A1E" w:rsidRDefault="00F60A1E" w:rsidP="00F60A1E">
      <w:pPr>
        <w:spacing w:before="0" w:after="0" w:line="240" w:lineRule="auto"/>
        <w:ind w:left="851"/>
        <w:jc w:val="both"/>
      </w:pPr>
      <w:r w:rsidRPr="00F60A1E">
        <w:t>An unaccompanied EEA national child may only be detained as a result of a measure of placement into care – see the sectors on placement into care, health care and children below MACR.</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witness</w:t>
      </w:r>
    </w:p>
    <w:p w:rsidR="00F60A1E" w:rsidRPr="00F60A1E" w:rsidRDefault="00F60A1E" w:rsidP="00F60A1E">
      <w:pPr>
        <w:spacing w:before="0" w:after="0" w:line="240" w:lineRule="auto"/>
        <w:ind w:left="851"/>
        <w:jc w:val="both"/>
        <w:rPr>
          <w:szCs w:val="20"/>
        </w:rPr>
      </w:pPr>
    </w:p>
    <w:p w:rsidR="00F60A1E" w:rsidRPr="00F60A1E" w:rsidRDefault="00F60A1E" w:rsidP="00F60A1E">
      <w:pPr>
        <w:spacing w:before="0" w:after="0" w:line="240" w:lineRule="auto"/>
        <w:ind w:left="851"/>
        <w:jc w:val="both"/>
        <w:rPr>
          <w:szCs w:val="20"/>
        </w:rPr>
      </w:pPr>
      <w:r w:rsidRPr="00F60A1E">
        <w:rPr>
          <w:szCs w:val="20"/>
        </w:rPr>
        <w:t>A child witness may not be detained.</w:t>
      </w:r>
    </w:p>
    <w:p w:rsidR="00F60A1E" w:rsidRPr="00F60A1E" w:rsidRDefault="00F60A1E" w:rsidP="0082630D">
      <w:pPr>
        <w:pStyle w:val="Heading3"/>
      </w:pPr>
      <w:bookmarkStart w:id="250" w:name="_Toc401578592"/>
      <w:bookmarkStart w:id="251" w:name="_Toc404767211"/>
      <w:bookmarkStart w:id="252" w:name="_Toc409792272"/>
      <w:r w:rsidRPr="00F60A1E">
        <w:t>Procedural rules applicable to children involved in placement into care</w:t>
      </w:r>
      <w:bookmarkEnd w:id="250"/>
      <w:bookmarkEnd w:id="251"/>
      <w:bookmarkEnd w:id="252"/>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plaintiff/defendant</w:t>
      </w:r>
    </w:p>
    <w:p w:rsidR="00F60A1E" w:rsidRPr="00F60A1E" w:rsidRDefault="00F60A1E" w:rsidP="00F60A1E">
      <w:pPr>
        <w:widowControl w:val="0"/>
        <w:spacing w:before="0" w:after="0" w:line="240" w:lineRule="auto"/>
        <w:ind w:left="851"/>
        <w:jc w:val="both"/>
        <w:rPr>
          <w:bCs/>
        </w:rPr>
      </w:pPr>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 xml:space="preserve">As mentioned in </w:t>
      </w:r>
      <w:hyperlink w:anchor="_Overview_of_Member" w:history="1">
        <w:r w:rsidRPr="00F60A1E">
          <w:rPr>
            <w:rFonts w:cs="Arial"/>
            <w:color w:val="0000FF" w:themeColor="hyperlink"/>
            <w:szCs w:val="20"/>
            <w:u w:val="single"/>
          </w:rPr>
          <w:t>Section 1</w:t>
        </w:r>
      </w:hyperlink>
      <w:r w:rsidRPr="00F60A1E">
        <w:rPr>
          <w:rFonts w:cs="Arial"/>
          <w:szCs w:val="20"/>
        </w:rPr>
        <w:t xml:space="preserve">, measures for the protection of the child, including placement into care, are either voluntary (taking under the supervision of youth care services) or non-voluntary. Non-voluntary measures require the intervention of the youth tribunal, which will apply the </w:t>
      </w:r>
      <w:hyperlink r:id="rId143" w:history="1">
        <w:r w:rsidRPr="00F60A1E">
          <w:rPr>
            <w:rFonts w:cs="Arial"/>
            <w:color w:val="0000FF" w:themeColor="hyperlink"/>
            <w:szCs w:val="20"/>
            <w:u w:val="single"/>
          </w:rPr>
          <w:t>Youth Protection Act</w:t>
        </w:r>
      </w:hyperlink>
      <w:r w:rsidRPr="00F60A1E">
        <w:rPr>
          <w:rFonts w:cs="Arial"/>
          <w:szCs w:val="20"/>
        </w:rPr>
        <w:t xml:space="preserve"> and the </w:t>
      </w:r>
      <w:hyperlink r:id="rId144" w:history="1">
        <w:r w:rsidRPr="00F60A1E">
          <w:rPr>
            <w:rFonts w:cs="Arial"/>
            <w:color w:val="0000FF" w:themeColor="hyperlink"/>
            <w:szCs w:val="20"/>
            <w:u w:val="single"/>
          </w:rPr>
          <w:t>Judicial Code</w:t>
        </w:r>
      </w:hyperlink>
      <w:r w:rsidRPr="00F60A1E">
        <w:rPr>
          <w:rFonts w:cs="Arial"/>
          <w:szCs w:val="20"/>
        </w:rPr>
        <w:t xml:space="preserve">, i.e. civil procedural rules. </w:t>
      </w:r>
    </w:p>
    <w:p w:rsidR="00F60A1E" w:rsidRPr="00F60A1E" w:rsidRDefault="00F60A1E" w:rsidP="00F60A1E">
      <w:pPr>
        <w:spacing w:before="0" w:after="0" w:line="240" w:lineRule="auto"/>
        <w:ind w:left="851"/>
        <w:jc w:val="both"/>
      </w:pPr>
    </w:p>
    <w:p w:rsidR="00F60A1E" w:rsidRPr="00F60A1E" w:rsidRDefault="00F60A1E" w:rsidP="00F60A1E">
      <w:pPr>
        <w:spacing w:before="0" w:after="0" w:line="240" w:lineRule="auto"/>
        <w:ind w:left="851"/>
        <w:jc w:val="both"/>
      </w:pPr>
      <w:r w:rsidRPr="00F60A1E">
        <w:t xml:space="preserve">As mentioned in the </w:t>
      </w:r>
      <w:r w:rsidRPr="00F60A1E">
        <w:rPr>
          <w:bCs/>
        </w:rPr>
        <w:t>Study to collect data on children’s involvement in criminal judicial proceedings</w:t>
      </w:r>
      <w:r w:rsidRPr="00F60A1E">
        <w:t>, the youth tribunals may order measures of care and protection for children deferred before the tribunals – including children in need of care or protection and children below MACR who have committed offences.</w:t>
      </w:r>
    </w:p>
    <w:p w:rsidR="00F60A1E" w:rsidRPr="00F60A1E" w:rsidRDefault="00F60A1E" w:rsidP="00F60A1E">
      <w:pPr>
        <w:spacing w:before="0" w:after="0" w:line="240" w:lineRule="auto"/>
        <w:ind w:left="851"/>
        <w:jc w:val="both"/>
      </w:pPr>
    </w:p>
    <w:p w:rsidR="00F60A1E" w:rsidRPr="00F60A1E" w:rsidRDefault="00F60A1E" w:rsidP="00F60A1E">
      <w:pPr>
        <w:spacing w:before="0" w:after="0" w:line="240" w:lineRule="auto"/>
        <w:ind w:left="851"/>
        <w:jc w:val="both"/>
      </w:pPr>
      <w:r w:rsidRPr="00F60A1E">
        <w:t xml:space="preserve">Such measures can consist </w:t>
      </w:r>
      <w:r w:rsidRPr="00F60A1E">
        <w:rPr>
          <w:i/>
        </w:rPr>
        <w:t xml:space="preserve">inter alia </w:t>
      </w:r>
      <w:r w:rsidRPr="00F60A1E">
        <w:t>of one or several of the following</w:t>
      </w:r>
      <w:r w:rsidRPr="00F60A1E">
        <w:rPr>
          <w:vertAlign w:val="superscript"/>
        </w:rPr>
        <w:footnoteReference w:id="321"/>
      </w:r>
      <w:r w:rsidRPr="00F60A1E">
        <w:t>:</w:t>
      </w:r>
    </w:p>
    <w:p w:rsidR="00F60A1E" w:rsidRPr="00F60A1E" w:rsidRDefault="00F60A1E" w:rsidP="00F60A1E">
      <w:pPr>
        <w:spacing w:before="0" w:after="0" w:line="240" w:lineRule="auto"/>
        <w:jc w:val="both"/>
      </w:pPr>
    </w:p>
    <w:p w:rsidR="00F60A1E" w:rsidRPr="00F60A1E" w:rsidRDefault="00F60A1E" w:rsidP="00F60A1E">
      <w:pPr>
        <w:numPr>
          <w:ilvl w:val="0"/>
          <w:numId w:val="22"/>
        </w:numPr>
        <w:spacing w:before="0" w:after="0"/>
      </w:pPr>
      <w:r w:rsidRPr="00F60A1E">
        <w:t>referring the child to the monitoring of the competent social service;</w:t>
      </w:r>
    </w:p>
    <w:p w:rsidR="00F60A1E" w:rsidRPr="00F60A1E" w:rsidRDefault="00F60A1E" w:rsidP="00F60A1E">
      <w:pPr>
        <w:numPr>
          <w:ilvl w:val="0"/>
          <w:numId w:val="22"/>
        </w:numPr>
        <w:spacing w:before="0" w:after="0"/>
      </w:pPr>
      <w:r w:rsidRPr="00F60A1E">
        <w:t>ordering intensive educational support and individualised coaching by an educator depending on the service selected by the community (not yet effective in the Flemish community);</w:t>
      </w:r>
    </w:p>
    <w:p w:rsidR="00F60A1E" w:rsidRPr="00F60A1E" w:rsidRDefault="00F60A1E" w:rsidP="00F60A1E">
      <w:pPr>
        <w:numPr>
          <w:ilvl w:val="0"/>
          <w:numId w:val="22"/>
        </w:numPr>
        <w:spacing w:before="0" w:after="0"/>
      </w:pPr>
      <w:r w:rsidRPr="00F60A1E">
        <w:t>ordering outpatient treatment with a psychological or psychiatric service, sex education or a service competent in the field of alcoholism or drug abuse (not yet effective);</w:t>
      </w:r>
    </w:p>
    <w:p w:rsidR="00F60A1E" w:rsidRPr="00F60A1E" w:rsidRDefault="00F60A1E" w:rsidP="00F60A1E">
      <w:pPr>
        <w:numPr>
          <w:ilvl w:val="0"/>
          <w:numId w:val="22"/>
        </w:numPr>
        <w:spacing w:before="0" w:after="0"/>
      </w:pPr>
      <w:r w:rsidRPr="00F60A1E">
        <w:t>entrusting the child to a trustworthy person in the manner prescribed by the community or place him/her in an appropriate facility in the manner prescribed by the community for his/her housing, treatment, education or training;</w:t>
      </w:r>
    </w:p>
    <w:p w:rsidR="00F60A1E" w:rsidRPr="00F60A1E" w:rsidRDefault="00F60A1E" w:rsidP="00F60A1E">
      <w:pPr>
        <w:numPr>
          <w:ilvl w:val="0"/>
          <w:numId w:val="22"/>
        </w:numPr>
        <w:spacing w:before="0" w:after="0"/>
      </w:pPr>
      <w:r w:rsidRPr="00F60A1E">
        <w:t>ordering placement into a hospital (not yet effective);</w:t>
      </w:r>
    </w:p>
    <w:p w:rsidR="00F60A1E" w:rsidRPr="00F60A1E" w:rsidRDefault="00F60A1E" w:rsidP="00F60A1E">
      <w:pPr>
        <w:numPr>
          <w:ilvl w:val="0"/>
          <w:numId w:val="22"/>
        </w:numPr>
        <w:spacing w:before="0" w:after="0"/>
      </w:pPr>
      <w:r w:rsidRPr="00F60A1E">
        <w:t>entrusting the child to residential placement in an institution specialised in alcoholism, drug addiction or any other addiction, if a medical report less than a month old certifies that the physical or mental status of the person cannot be protected in any other way (not yet effective);</w:t>
      </w:r>
    </w:p>
    <w:p w:rsidR="00F60A1E" w:rsidRPr="00F60A1E" w:rsidRDefault="00F60A1E" w:rsidP="00F60A1E">
      <w:pPr>
        <w:numPr>
          <w:ilvl w:val="0"/>
          <w:numId w:val="22"/>
        </w:numPr>
        <w:spacing w:before="0" w:after="0"/>
      </w:pPr>
      <w:r w:rsidRPr="00F60A1E">
        <w:t>entrusting the child to residential placement in an open or closed section of a child psychiatry service if it is established in an independent child psychiatry report, less than one month old, that he/she suffers from a mental disorder which seriously affects his/her sense of judgement or ability to control his/her actions (not yet effective).</w:t>
      </w:r>
    </w:p>
    <w:p w:rsidR="00F60A1E" w:rsidRPr="00F60A1E" w:rsidRDefault="00F60A1E" w:rsidP="00F60A1E">
      <w:pPr>
        <w:spacing w:before="0" w:after="0" w:line="240" w:lineRule="auto"/>
        <w:jc w:val="both"/>
      </w:pPr>
    </w:p>
    <w:p w:rsidR="00F60A1E" w:rsidRPr="00F60A1E" w:rsidRDefault="00F60A1E" w:rsidP="00227001">
      <w:pPr>
        <w:spacing w:before="0" w:after="0" w:line="240" w:lineRule="auto"/>
        <w:ind w:left="851"/>
        <w:jc w:val="both"/>
      </w:pPr>
      <w:r w:rsidRPr="00F60A1E">
        <w:t>In choosing one or more of the above measures, the youth tribunal takes into account the following factors:</w:t>
      </w:r>
    </w:p>
    <w:p w:rsidR="00F60A1E" w:rsidRPr="00F60A1E" w:rsidRDefault="00F60A1E" w:rsidP="00F60A1E">
      <w:pPr>
        <w:spacing w:before="0" w:after="0" w:line="240" w:lineRule="auto"/>
        <w:jc w:val="both"/>
      </w:pPr>
      <w:r w:rsidRPr="00F60A1E">
        <w:t xml:space="preserve"> </w:t>
      </w:r>
    </w:p>
    <w:p w:rsidR="00F60A1E" w:rsidRPr="00F60A1E" w:rsidRDefault="00F60A1E" w:rsidP="00F60A1E">
      <w:pPr>
        <w:pStyle w:val="BTNumbList"/>
        <w:numPr>
          <w:ilvl w:val="0"/>
          <w:numId w:val="46"/>
        </w:numPr>
      </w:pPr>
      <w:r w:rsidRPr="00F60A1E">
        <w:t xml:space="preserve">personality and maturity of the person; </w:t>
      </w:r>
    </w:p>
    <w:p w:rsidR="00F60A1E" w:rsidRPr="00F60A1E" w:rsidRDefault="00F60A1E" w:rsidP="00F60A1E">
      <w:pPr>
        <w:numPr>
          <w:ilvl w:val="0"/>
          <w:numId w:val="13"/>
        </w:numPr>
        <w:spacing w:before="0" w:after="0"/>
      </w:pPr>
      <w:r w:rsidRPr="00F60A1E">
        <w:t xml:space="preserve">his/her living environment; </w:t>
      </w:r>
    </w:p>
    <w:p w:rsidR="00F60A1E" w:rsidRPr="00F60A1E" w:rsidRDefault="00F60A1E" w:rsidP="00F60A1E">
      <w:pPr>
        <w:numPr>
          <w:ilvl w:val="0"/>
          <w:numId w:val="13"/>
        </w:numPr>
        <w:spacing w:before="0" w:after="0"/>
      </w:pPr>
      <w:r w:rsidRPr="00F60A1E">
        <w:t xml:space="preserve">the seriousness of the circumstances in which the acts were committed, the damage and the consequences for the victim and for the children who committed the offences; </w:t>
      </w:r>
    </w:p>
    <w:p w:rsidR="00F60A1E" w:rsidRPr="00F60A1E" w:rsidRDefault="00F60A1E" w:rsidP="00F60A1E">
      <w:pPr>
        <w:numPr>
          <w:ilvl w:val="0"/>
          <w:numId w:val="13"/>
        </w:numPr>
        <w:spacing w:before="0" w:after="0"/>
      </w:pPr>
      <w:r w:rsidRPr="00F60A1E">
        <w:t xml:space="preserve">previous measures taken in respect of the child and his/her behaviour during the execution of the measures; </w:t>
      </w:r>
    </w:p>
    <w:p w:rsidR="00F60A1E" w:rsidRPr="00F60A1E" w:rsidRDefault="00F60A1E" w:rsidP="00F60A1E">
      <w:pPr>
        <w:numPr>
          <w:ilvl w:val="0"/>
          <w:numId w:val="13"/>
        </w:numPr>
        <w:spacing w:before="0" w:after="0"/>
      </w:pPr>
      <w:r w:rsidRPr="00F60A1E">
        <w:t xml:space="preserve">the security of the child; </w:t>
      </w:r>
    </w:p>
    <w:p w:rsidR="00F60A1E" w:rsidRPr="00F60A1E" w:rsidRDefault="00F60A1E" w:rsidP="00F60A1E">
      <w:pPr>
        <w:pStyle w:val="BTNumbList"/>
      </w:pPr>
      <w:r w:rsidRPr="00F60A1E">
        <w:t>public safety.</w:t>
      </w:r>
    </w:p>
    <w:p w:rsidR="00F60A1E" w:rsidRPr="00F60A1E" w:rsidRDefault="00F60A1E" w:rsidP="00F60A1E">
      <w:pPr>
        <w:spacing w:before="0" w:after="0" w:line="240" w:lineRule="auto"/>
        <w:jc w:val="both"/>
      </w:pPr>
    </w:p>
    <w:p w:rsidR="00F60A1E" w:rsidRPr="00F60A1E" w:rsidRDefault="00F60A1E" w:rsidP="00F60A1E">
      <w:pPr>
        <w:spacing w:before="0" w:after="0" w:line="240" w:lineRule="auto"/>
        <w:ind w:left="851"/>
        <w:jc w:val="both"/>
      </w:pPr>
      <w:r w:rsidRPr="00F60A1E">
        <w:t>When deciding on a measure, a youth tribunal should give priority to measures which do not involve the placement of the child. The availability of treatment, education or any other resources considered to benefit the child is taken into account. If a measure of placement is considered necessary, placement into an open centre should be preferred to a placement in a closed centre. When imposing a placement measure, a youth tribunal must specify the maximum time allowed for placement, which can only be extended for exceptional reasons, i.e. reasons linked to the dangerous behaviour of the child</w:t>
      </w:r>
      <w:r w:rsidRPr="00F60A1E">
        <w:rPr>
          <w:vertAlign w:val="superscript"/>
        </w:rPr>
        <w:footnoteReference w:id="322"/>
      </w:r>
      <w:r w:rsidRPr="00F60A1E">
        <w:t>. As a result, it can be implied that a placement measure should be considered as a measure of last resort.</w:t>
      </w:r>
    </w:p>
    <w:p w:rsidR="00F60A1E" w:rsidRPr="00F60A1E" w:rsidRDefault="00F60A1E" w:rsidP="00F60A1E">
      <w:pPr>
        <w:spacing w:before="0" w:after="0" w:line="240" w:lineRule="auto"/>
        <w:ind w:left="851"/>
        <w:jc w:val="both"/>
      </w:pPr>
    </w:p>
    <w:p w:rsidR="00F60A1E" w:rsidRPr="00F60A1E" w:rsidRDefault="00F60A1E" w:rsidP="00F60A1E">
      <w:pPr>
        <w:spacing w:before="0" w:after="0" w:line="240" w:lineRule="auto"/>
        <w:ind w:left="851"/>
        <w:jc w:val="both"/>
      </w:pPr>
      <w:r w:rsidRPr="00F60A1E">
        <w:t>Decisions of the youth tribunals may be appealed before the courts of appeal.</w:t>
      </w:r>
    </w:p>
    <w:p w:rsidR="00F60A1E" w:rsidRPr="00F60A1E" w:rsidRDefault="00F60A1E" w:rsidP="00F60A1E">
      <w:pPr>
        <w:spacing w:before="0" w:after="0" w:line="240" w:lineRule="auto"/>
        <w:ind w:left="851"/>
        <w:jc w:val="both"/>
      </w:pPr>
    </w:p>
    <w:p w:rsidR="00F60A1E" w:rsidRPr="00F60A1E" w:rsidRDefault="00F60A1E" w:rsidP="00F60A1E">
      <w:pPr>
        <w:ind w:left="851"/>
        <w:jc w:val="both"/>
        <w:rPr>
          <w:rFonts w:eastAsia="Times New Roman"/>
          <w:lang w:val="en" w:eastAsia="nl-BE"/>
        </w:rPr>
      </w:pPr>
      <w:r w:rsidRPr="00F60A1E">
        <w:rPr>
          <w:rFonts w:eastAsia="Times New Roman"/>
          <w:lang w:val="en" w:eastAsia="nl-BE"/>
        </w:rPr>
        <w:t xml:space="preserve">The youth judge is assisted by </w:t>
      </w:r>
      <w:r w:rsidRPr="00F60A1E">
        <w:rPr>
          <w:rFonts w:eastAsia="Times New Roman"/>
          <w:bCs/>
          <w:lang w:val="en" w:eastAsia="nl-BE"/>
        </w:rPr>
        <w:t>the social service for judicial youth assistance</w:t>
      </w:r>
      <w:r w:rsidRPr="00F60A1E">
        <w:rPr>
          <w:rFonts w:eastAsia="Times New Roman"/>
          <w:lang w:val="en" w:eastAsia="nl-BE"/>
        </w:rPr>
        <w:t>. The judge assigns this service to further investigate the situation of the child before he/she decides which measure to take. The social service also ensures that the measure is implemented. At least once in six months, the social service visits the child in placement and evaluates the placement into care. The social service reports its evaluation to the youth tribunal which may decide to adjust the measure upon the results of the evaluation</w:t>
      </w:r>
      <w:r w:rsidRPr="00F60A1E">
        <w:rPr>
          <w:rFonts w:eastAsia="Times New Roman"/>
          <w:vertAlign w:val="superscript"/>
          <w:lang w:val="en" w:eastAsia="nl-BE"/>
        </w:rPr>
        <w:footnoteReference w:id="323"/>
      </w:r>
      <w:r w:rsidRPr="00F60A1E">
        <w:rPr>
          <w:rFonts w:eastAsia="Times New Roman"/>
          <w:lang w:val="en" w:eastAsia="nl-BE"/>
        </w:rPr>
        <w:t xml:space="preserve">.   </w:t>
      </w:r>
    </w:p>
    <w:p w:rsidR="00F60A1E" w:rsidRPr="00F60A1E" w:rsidRDefault="00F60A1E" w:rsidP="00F60A1E">
      <w:pPr>
        <w:spacing w:before="0" w:after="0" w:line="240" w:lineRule="auto"/>
        <w:ind w:left="851"/>
        <w:jc w:val="both"/>
      </w:pPr>
    </w:p>
    <w:p w:rsidR="00F60A1E" w:rsidRPr="00F60A1E" w:rsidRDefault="00F60A1E" w:rsidP="00F60A1E">
      <w:pPr>
        <w:spacing w:before="0" w:after="0" w:line="240" w:lineRule="auto"/>
        <w:ind w:left="851"/>
        <w:jc w:val="both"/>
      </w:pPr>
      <w:r w:rsidRPr="00F60A1E">
        <w:t>The youth protection committee regularly visit children placed into centres. The youth tribunal, or someone appointed by the tribunal, visits the child at least twice a year during the child’s placement</w:t>
      </w:r>
      <w:r w:rsidRPr="00F60A1E">
        <w:rPr>
          <w:vertAlign w:val="superscript"/>
        </w:rPr>
        <w:footnoteReference w:id="324"/>
      </w:r>
      <w:r w:rsidRPr="00F60A1E">
        <w:t>.</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witness</w:t>
      </w:r>
    </w:p>
    <w:p w:rsidR="00F60A1E" w:rsidRPr="00F60A1E" w:rsidRDefault="00F60A1E" w:rsidP="00F60A1E">
      <w:pPr>
        <w:widowControl w:val="0"/>
        <w:spacing w:before="0" w:after="0" w:line="240" w:lineRule="auto"/>
        <w:ind w:left="2291"/>
        <w:jc w:val="both"/>
        <w:rPr>
          <w:bCs/>
        </w:rPr>
      </w:pPr>
    </w:p>
    <w:p w:rsidR="00F60A1E" w:rsidRPr="00F60A1E" w:rsidRDefault="00F60A1E" w:rsidP="00F60A1E">
      <w:pPr>
        <w:spacing w:before="0" w:after="0" w:line="240" w:lineRule="auto"/>
        <w:ind w:left="851"/>
        <w:jc w:val="both"/>
        <w:rPr>
          <w:szCs w:val="20"/>
        </w:rPr>
      </w:pPr>
      <w:r w:rsidRPr="00F60A1E">
        <w:rPr>
          <w:szCs w:val="20"/>
        </w:rPr>
        <w:t>A child witness may not be detained.</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subject of proceedings</w:t>
      </w:r>
    </w:p>
    <w:p w:rsidR="00F60A1E" w:rsidRPr="00F60A1E" w:rsidRDefault="00F60A1E" w:rsidP="00F60A1E">
      <w:pPr>
        <w:widowControl w:val="0"/>
        <w:spacing w:before="0" w:after="0" w:line="240" w:lineRule="auto"/>
        <w:ind w:left="2291"/>
        <w:jc w:val="both"/>
        <w:rPr>
          <w:bCs/>
        </w:rPr>
      </w:pPr>
    </w:p>
    <w:p w:rsidR="00F60A1E" w:rsidRPr="00F60A1E" w:rsidRDefault="00F60A1E" w:rsidP="00F60A1E">
      <w:pPr>
        <w:spacing w:before="0" w:after="0" w:line="240" w:lineRule="auto"/>
        <w:ind w:left="851"/>
        <w:jc w:val="both"/>
        <w:rPr>
          <w:szCs w:val="20"/>
        </w:rPr>
      </w:pPr>
      <w:r w:rsidRPr="00F60A1E">
        <w:rPr>
          <w:szCs w:val="20"/>
        </w:rPr>
        <w:t>In placement into care proceedings before a youth tribunal, the child will be a party to the proceedings and therefore the child will not be a subject of proceedings.</w:t>
      </w:r>
    </w:p>
    <w:p w:rsidR="00F60A1E" w:rsidRPr="00F60A1E" w:rsidRDefault="00F60A1E" w:rsidP="0082630D">
      <w:pPr>
        <w:pStyle w:val="Heading3"/>
      </w:pPr>
      <w:bookmarkStart w:id="253" w:name="_Toc401578593"/>
      <w:bookmarkStart w:id="254" w:name="_Toc404767212"/>
      <w:bookmarkStart w:id="255" w:name="_Toc409792273"/>
      <w:r w:rsidRPr="00F60A1E">
        <w:t>Procedural rules applicable to children below MACR who have committed offences</w:t>
      </w:r>
      <w:bookmarkEnd w:id="253"/>
      <w:bookmarkEnd w:id="254"/>
      <w:bookmarkEnd w:id="255"/>
      <w:r w:rsidRPr="00F60A1E">
        <w:t xml:space="preserve"> </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plaintiff/defendant</w:t>
      </w:r>
    </w:p>
    <w:p w:rsidR="00F60A1E" w:rsidRPr="00F60A1E" w:rsidRDefault="00F60A1E" w:rsidP="00227001">
      <w:pPr>
        <w:pStyle w:val="Heading3NoNumb"/>
        <w:ind w:left="851"/>
      </w:pPr>
      <w:bookmarkStart w:id="256" w:name="_Toc409792274"/>
      <w:r w:rsidRPr="00F60A1E">
        <w:t>Youth tribunals</w:t>
      </w:r>
      <w:bookmarkEnd w:id="256"/>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 xml:space="preserve">As explained in </w:t>
      </w:r>
      <w:hyperlink w:anchor="_Overview_of_Member" w:history="1">
        <w:r w:rsidRPr="00F60A1E">
          <w:rPr>
            <w:rFonts w:cs="Arial"/>
            <w:color w:val="0000FF" w:themeColor="hyperlink"/>
            <w:szCs w:val="20"/>
            <w:u w:val="single"/>
          </w:rPr>
          <w:t>Section 1</w:t>
        </w:r>
      </w:hyperlink>
      <w:r w:rsidRPr="00F60A1E">
        <w:rPr>
          <w:rFonts w:cs="Arial"/>
          <w:szCs w:val="20"/>
        </w:rPr>
        <w:t>, children below MACR, i.e. 16/18 years old,</w:t>
      </w:r>
      <w:r w:rsidRPr="00F60A1E">
        <w:rPr>
          <w:szCs w:val="20"/>
          <w:vertAlign w:val="superscript"/>
        </w:rPr>
        <w:footnoteReference w:id="325"/>
      </w:r>
      <w:r w:rsidRPr="00F60A1E">
        <w:rPr>
          <w:rFonts w:cs="Arial"/>
          <w:szCs w:val="20"/>
        </w:rPr>
        <w:t xml:space="preserve"> who have committed offences, are dealt with by the youth tribunals applying the </w:t>
      </w:r>
      <w:hyperlink r:id="rId145" w:history="1">
        <w:r w:rsidRPr="00F60A1E">
          <w:rPr>
            <w:rFonts w:cs="Arial"/>
            <w:color w:val="0000FF" w:themeColor="hyperlink"/>
            <w:szCs w:val="20"/>
            <w:u w:val="single"/>
          </w:rPr>
          <w:t>Youth Protection Act</w:t>
        </w:r>
      </w:hyperlink>
      <w:r w:rsidRPr="00F60A1E">
        <w:rPr>
          <w:rFonts w:cs="Arial"/>
          <w:szCs w:val="20"/>
        </w:rPr>
        <w:t xml:space="preserve"> and the </w:t>
      </w:r>
      <w:hyperlink r:id="rId146" w:history="1">
        <w:r w:rsidRPr="00F60A1E">
          <w:rPr>
            <w:rFonts w:cs="Arial"/>
            <w:color w:val="0000FF" w:themeColor="hyperlink"/>
            <w:szCs w:val="20"/>
            <w:u w:val="single"/>
          </w:rPr>
          <w:t>Judicial Code</w:t>
        </w:r>
      </w:hyperlink>
      <w:r w:rsidRPr="00F60A1E">
        <w:rPr>
          <w:rFonts w:cs="Arial"/>
          <w:szCs w:val="20"/>
        </w:rPr>
        <w:t xml:space="preserve">. Civil judicial procedural rules apply to youth tribunal proceedings. </w:t>
      </w:r>
    </w:p>
    <w:p w:rsidR="00F60A1E" w:rsidRPr="00F60A1E" w:rsidRDefault="00F60A1E" w:rsidP="00F60A1E">
      <w:pPr>
        <w:widowControl w:val="0"/>
        <w:spacing w:before="0" w:after="0" w:line="240" w:lineRule="auto"/>
        <w:ind w:left="851"/>
        <w:jc w:val="both"/>
        <w:rPr>
          <w:rFonts w:cs="Arial"/>
          <w:szCs w:val="20"/>
        </w:rPr>
      </w:pPr>
    </w:p>
    <w:p w:rsidR="00F60A1E" w:rsidRPr="00F60A1E" w:rsidRDefault="00F60A1E" w:rsidP="00F60A1E">
      <w:pPr>
        <w:widowControl w:val="0"/>
        <w:spacing w:before="0" w:after="0" w:line="240" w:lineRule="auto"/>
        <w:ind w:left="851"/>
        <w:jc w:val="both"/>
        <w:rPr>
          <w:bCs/>
          <w:szCs w:val="20"/>
        </w:rPr>
      </w:pPr>
      <w:r w:rsidRPr="00F60A1E">
        <w:rPr>
          <w:rFonts w:cs="Arial"/>
          <w:szCs w:val="20"/>
        </w:rPr>
        <w:t>The youth tribunal may take measures restraining the child’s liberty, including the placement of the child into a closed educational centre. The rules mentioned above, under the sector ‘placement into care’, apply to children under MACR who have committed offences.</w:t>
      </w:r>
    </w:p>
    <w:p w:rsidR="00F60A1E" w:rsidRPr="00F60A1E" w:rsidRDefault="00F60A1E" w:rsidP="00F60A1E">
      <w:pPr>
        <w:spacing w:before="0" w:after="0" w:line="240" w:lineRule="auto"/>
        <w:ind w:left="851"/>
        <w:jc w:val="both"/>
      </w:pPr>
    </w:p>
    <w:p w:rsidR="00F60A1E" w:rsidRPr="00F60A1E" w:rsidRDefault="00F60A1E" w:rsidP="00F60A1E">
      <w:pPr>
        <w:spacing w:before="0" w:after="0" w:line="240" w:lineRule="auto"/>
        <w:ind w:left="851"/>
        <w:jc w:val="both"/>
      </w:pPr>
      <w:r w:rsidRPr="00F60A1E">
        <w:t xml:space="preserve">In addition to the measures mentioned above under ‘placement into care’, a youth tribunal may decide to entrust the child to a closed or open environment community youth protection institution. The decision should specify the duration of the measure and whether or not it prescribes a closed or open environment. </w:t>
      </w:r>
      <w:r w:rsidRPr="00F60A1E">
        <w:rPr>
          <w:bCs/>
        </w:rPr>
        <w:t xml:space="preserve">A measure of placement in an open youth protection institution may be imposed on children of 12 years old and above. A measure of placement </w:t>
      </w:r>
      <w:r w:rsidRPr="00F60A1E">
        <w:rPr>
          <w:bCs/>
        </w:rPr>
        <w:lastRenderedPageBreak/>
        <w:t>into a closed youth protection institution may be imposed on children of 14 years old and above</w:t>
      </w:r>
      <w:r w:rsidRPr="00F60A1E">
        <w:rPr>
          <w:bCs/>
          <w:vertAlign w:val="superscript"/>
        </w:rPr>
        <w:footnoteReference w:id="326"/>
      </w:r>
      <w:r w:rsidRPr="00F60A1E">
        <w:rPr>
          <w:bCs/>
        </w:rPr>
        <w:t>.</w:t>
      </w:r>
      <w:r w:rsidRPr="00F60A1E">
        <w:t xml:space="preserve"> </w:t>
      </w:r>
    </w:p>
    <w:p w:rsidR="00F60A1E" w:rsidRPr="00F60A1E" w:rsidRDefault="00F60A1E" w:rsidP="00F60A1E">
      <w:pPr>
        <w:spacing w:before="0" w:after="0" w:line="240" w:lineRule="auto"/>
        <w:jc w:val="both"/>
      </w:pPr>
    </w:p>
    <w:p w:rsidR="00F60A1E" w:rsidRPr="00F60A1E" w:rsidRDefault="00F60A1E" w:rsidP="00F60A1E">
      <w:pPr>
        <w:widowControl w:val="0"/>
        <w:spacing w:before="0" w:after="0" w:line="240" w:lineRule="auto"/>
        <w:ind w:left="851"/>
        <w:jc w:val="both"/>
        <w:rPr>
          <w:szCs w:val="20"/>
        </w:rPr>
      </w:pPr>
      <w:r w:rsidRPr="00F60A1E">
        <w:rPr>
          <w:bCs/>
          <w:szCs w:val="20"/>
        </w:rPr>
        <w:t>Youth tribunals must use, where possible, alternative measures to judicial proceedings for children who have committed offences, whilst remaining attentive to the imperative of social protection</w:t>
      </w:r>
      <w:r w:rsidRPr="00F60A1E">
        <w:rPr>
          <w:bCs/>
          <w:szCs w:val="20"/>
          <w:vertAlign w:val="superscript"/>
        </w:rPr>
        <w:footnoteReference w:id="327"/>
      </w:r>
      <w:r w:rsidRPr="00F60A1E">
        <w:rPr>
          <w:bCs/>
          <w:szCs w:val="20"/>
        </w:rPr>
        <w:t xml:space="preserve">. </w:t>
      </w:r>
      <w:r w:rsidRPr="00F60A1E">
        <w:rPr>
          <w:szCs w:val="20"/>
        </w:rPr>
        <w:t>When deciding on a measure, a youth tribunal should give priority to measures which do not involve the placement of the child. If a measure of placement is considered necessary, placement in an open centre should be preferred to a placement in a closed centre. When imposing a placement measure, a youth tribunal must specify the maximum time of the placement, which can only be extended for exceptional reasons, i.e. for reasons linked to the dangerous behaviour of the child</w:t>
      </w:r>
      <w:r w:rsidRPr="00F60A1E">
        <w:rPr>
          <w:szCs w:val="20"/>
          <w:vertAlign w:val="superscript"/>
        </w:rPr>
        <w:footnoteReference w:id="328"/>
      </w:r>
      <w:r w:rsidRPr="00F60A1E">
        <w:rPr>
          <w:szCs w:val="20"/>
        </w:rPr>
        <w:t>.</w:t>
      </w:r>
    </w:p>
    <w:p w:rsidR="00F60A1E" w:rsidRPr="00F60A1E" w:rsidRDefault="00F60A1E" w:rsidP="00F60A1E">
      <w:pPr>
        <w:spacing w:before="0" w:after="0" w:line="240" w:lineRule="auto"/>
        <w:ind w:left="851"/>
        <w:jc w:val="both"/>
      </w:pPr>
    </w:p>
    <w:p w:rsidR="00F60A1E" w:rsidRPr="00F60A1E" w:rsidRDefault="00F60A1E" w:rsidP="00F60A1E">
      <w:pPr>
        <w:spacing w:before="0" w:after="0" w:line="240" w:lineRule="auto"/>
        <w:ind w:left="851"/>
        <w:jc w:val="both"/>
      </w:pPr>
      <w:r w:rsidRPr="00F60A1E">
        <w:t>Youth tribunals may order the placement of the child as an interim measure. In this case, the interim measure should be for the shortest possible time where serious evidence of culpability exists and when no other measures are available to achieve the desired goal</w:t>
      </w:r>
      <w:r w:rsidRPr="00F60A1E">
        <w:rPr>
          <w:vertAlign w:val="superscript"/>
        </w:rPr>
        <w:footnoteReference w:id="329"/>
      </w:r>
      <w:r w:rsidRPr="00F60A1E">
        <w:t>.</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spacing w:before="0" w:after="0" w:line="240" w:lineRule="auto"/>
        <w:ind w:left="851"/>
        <w:jc w:val="both"/>
      </w:pPr>
      <w:r w:rsidRPr="00F60A1E">
        <w:t>The judge, or competent social service, visits the person assigned to a community institution for public youth protection in a closed environment, if the placement exceeds 15 days. The youth protection committee regularly visits a child placed into such a centre. The youth tribunal, or someone appointed by the tribunal, visits the child at least twice a year during his/her placement</w:t>
      </w:r>
      <w:r w:rsidRPr="00F60A1E">
        <w:rPr>
          <w:vertAlign w:val="superscript"/>
        </w:rPr>
        <w:footnoteReference w:id="330"/>
      </w:r>
      <w:r w:rsidRPr="00F60A1E">
        <w:t>.</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spacing w:before="0" w:after="0" w:line="240" w:lineRule="auto"/>
        <w:ind w:left="851"/>
        <w:jc w:val="both"/>
      </w:pPr>
      <w:r w:rsidRPr="00F60A1E">
        <w:t>Decisions of the youth tribunals may be appealed before courts of appeals.</w:t>
      </w:r>
    </w:p>
    <w:p w:rsidR="00F60A1E" w:rsidRPr="00F60A1E" w:rsidRDefault="00F60A1E" w:rsidP="00227001">
      <w:pPr>
        <w:pStyle w:val="Heading3NoNumb"/>
        <w:ind w:left="851"/>
      </w:pPr>
      <w:bookmarkStart w:id="257" w:name="_Toc409792275"/>
      <w:r w:rsidRPr="00F60A1E">
        <w:t>Po</w:t>
      </w:r>
      <w:r w:rsidR="0082630D">
        <w:t>lice – administrative detention</w:t>
      </w:r>
      <w:bookmarkEnd w:id="257"/>
    </w:p>
    <w:p w:rsidR="00F60A1E" w:rsidRPr="00F60A1E" w:rsidRDefault="00F60A1E" w:rsidP="00F60A1E">
      <w:pPr>
        <w:spacing w:before="0" w:after="0" w:line="240" w:lineRule="auto"/>
        <w:ind w:left="851"/>
        <w:jc w:val="both"/>
      </w:pPr>
      <w:r w:rsidRPr="00F60A1E">
        <w:t>In addition to placement by a youth tribunal, the Police may restrict the liberty of a child under MACR, in certain circumstances, through administrative detention.</w:t>
      </w:r>
    </w:p>
    <w:p w:rsidR="00F60A1E" w:rsidRPr="00F60A1E" w:rsidRDefault="00F60A1E" w:rsidP="00F60A1E">
      <w:pPr>
        <w:spacing w:before="0" w:after="0" w:line="240" w:lineRule="auto"/>
        <w:ind w:left="851"/>
        <w:jc w:val="both"/>
      </w:pPr>
    </w:p>
    <w:p w:rsidR="00F60A1E" w:rsidRPr="00F60A1E" w:rsidRDefault="00F60A1E" w:rsidP="00F60A1E">
      <w:pPr>
        <w:spacing w:before="0" w:after="0" w:line="240" w:lineRule="auto"/>
        <w:ind w:left="851"/>
        <w:jc w:val="both"/>
      </w:pPr>
      <w:r w:rsidRPr="00F60A1E">
        <w:t>The legislation provides that the Police may administratively detain a person – adult or child,  in a case of absolute necessity, for up to 12 hours. Administrative detention is allowed when a:</w:t>
      </w:r>
    </w:p>
    <w:p w:rsidR="00F60A1E" w:rsidRPr="00F60A1E" w:rsidRDefault="00F60A1E" w:rsidP="00F60A1E">
      <w:pPr>
        <w:spacing w:before="0" w:after="0" w:line="240" w:lineRule="auto"/>
        <w:jc w:val="both"/>
      </w:pPr>
    </w:p>
    <w:p w:rsidR="00F60A1E" w:rsidRPr="00F60A1E" w:rsidRDefault="00F60A1E" w:rsidP="00F60A1E">
      <w:pPr>
        <w:pStyle w:val="BTNumbList"/>
        <w:numPr>
          <w:ilvl w:val="0"/>
          <w:numId w:val="47"/>
        </w:numPr>
      </w:pPr>
      <w:r w:rsidRPr="00F60A1E">
        <w:t>person provides an obstacle to the missions of the Police;</w:t>
      </w:r>
    </w:p>
    <w:p w:rsidR="00F60A1E" w:rsidRPr="00F60A1E" w:rsidRDefault="00F60A1E" w:rsidP="00F60A1E">
      <w:pPr>
        <w:numPr>
          <w:ilvl w:val="0"/>
          <w:numId w:val="13"/>
        </w:numPr>
        <w:spacing w:before="0" w:after="0"/>
      </w:pPr>
      <w:r w:rsidRPr="00F60A1E">
        <w:t>person disturbs public order;</w:t>
      </w:r>
    </w:p>
    <w:p w:rsidR="00F60A1E" w:rsidRPr="00F60A1E" w:rsidRDefault="00F60A1E" w:rsidP="00F60A1E">
      <w:pPr>
        <w:numPr>
          <w:ilvl w:val="0"/>
          <w:numId w:val="13"/>
        </w:numPr>
        <w:spacing w:before="0" w:after="0"/>
      </w:pPr>
      <w:r w:rsidRPr="00F60A1E">
        <w:t>person against whom there are reasonable grounds indicating that the person is about to commit an offence that threatens public order;</w:t>
      </w:r>
    </w:p>
    <w:p w:rsidR="00F60A1E" w:rsidRPr="00F60A1E" w:rsidRDefault="00F60A1E" w:rsidP="00F60A1E">
      <w:pPr>
        <w:numPr>
          <w:ilvl w:val="0"/>
          <w:numId w:val="13"/>
        </w:numPr>
        <w:spacing w:before="0" w:after="0"/>
      </w:pPr>
      <w:r w:rsidRPr="00F60A1E">
        <w:t>person is about to commit an offence threatening public order</w:t>
      </w:r>
      <w:r w:rsidRPr="00F60A1E">
        <w:rPr>
          <w:vertAlign w:val="superscript"/>
        </w:rPr>
        <w:footnoteReference w:id="331"/>
      </w:r>
      <w:r w:rsidRPr="00F60A1E">
        <w:t>.</w:t>
      </w:r>
    </w:p>
    <w:p w:rsidR="00F60A1E" w:rsidRPr="00F60A1E" w:rsidRDefault="00F60A1E" w:rsidP="00F60A1E">
      <w:pPr>
        <w:widowControl w:val="0"/>
        <w:spacing w:before="0" w:after="0" w:line="240" w:lineRule="auto"/>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The Crown Prosecutor’s Office, preferably the office specialising in youth cases, will be informed as soon as possible of a child’s custody</w:t>
      </w:r>
      <w:r w:rsidRPr="00F60A1E">
        <w:rPr>
          <w:bCs/>
          <w:szCs w:val="20"/>
          <w:vertAlign w:val="superscript"/>
        </w:rPr>
        <w:footnoteReference w:id="332"/>
      </w:r>
      <w:r w:rsidRPr="00F60A1E">
        <w:rPr>
          <w:bCs/>
          <w:szCs w:val="20"/>
        </w:rPr>
        <w:t>. The Crown Prosecutor may decide to refer the child’s situation before a youth tribunal. However, since the Police acted as an administrative authority, any appeal against the decision of an administrative detention, or the conditions of the detention, should be made in accordance with the administrative procedure, i.e. before the relevant service of the local or Federal Police office or the Committee P</w:t>
      </w:r>
      <w:r w:rsidRPr="00F60A1E">
        <w:rPr>
          <w:bCs/>
          <w:szCs w:val="20"/>
          <w:vertAlign w:val="superscript"/>
        </w:rPr>
        <w:footnoteReference w:id="333"/>
      </w:r>
      <w:r w:rsidRPr="00F60A1E">
        <w:rPr>
          <w:bCs/>
          <w:szCs w:val="20"/>
        </w:rPr>
        <w:t>) and administrative judicial proceedings. The civil courts are competent for any action to obtain compensation for damages resulting from an administrative detention</w:t>
      </w:r>
      <w:r w:rsidRPr="00F60A1E">
        <w:rPr>
          <w:bCs/>
          <w:szCs w:val="20"/>
          <w:vertAlign w:val="superscript"/>
        </w:rPr>
        <w:footnoteReference w:id="334"/>
      </w:r>
      <w:r w:rsidRPr="00F60A1E">
        <w:rPr>
          <w:bCs/>
          <w:szCs w:val="20"/>
        </w:rPr>
        <w:t>.</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witness</w:t>
      </w:r>
    </w:p>
    <w:p w:rsidR="00F60A1E" w:rsidRPr="00F60A1E" w:rsidRDefault="00F60A1E" w:rsidP="00F60A1E">
      <w:pPr>
        <w:widowControl w:val="0"/>
        <w:spacing w:before="0" w:after="0" w:line="240" w:lineRule="auto"/>
        <w:ind w:left="1702"/>
        <w:jc w:val="both"/>
        <w:rPr>
          <w:bCs/>
        </w:rPr>
      </w:pPr>
    </w:p>
    <w:p w:rsidR="00F60A1E" w:rsidRPr="00F60A1E" w:rsidRDefault="00F60A1E" w:rsidP="00F60A1E">
      <w:pPr>
        <w:spacing w:before="0" w:after="0" w:line="240" w:lineRule="auto"/>
        <w:ind w:left="851"/>
        <w:jc w:val="both"/>
        <w:rPr>
          <w:szCs w:val="20"/>
        </w:rPr>
      </w:pPr>
      <w:r w:rsidRPr="00F60A1E">
        <w:rPr>
          <w:szCs w:val="20"/>
        </w:rPr>
        <w:lastRenderedPageBreak/>
        <w:t>A child witness may not be detained.</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subject of proceedings</w:t>
      </w:r>
    </w:p>
    <w:p w:rsidR="00F60A1E" w:rsidRPr="00F60A1E" w:rsidRDefault="00F60A1E" w:rsidP="00F60A1E">
      <w:pPr>
        <w:widowControl w:val="0"/>
        <w:spacing w:before="0" w:after="0" w:line="240" w:lineRule="auto"/>
        <w:ind w:left="2291"/>
        <w:jc w:val="both"/>
        <w:rPr>
          <w:bCs/>
        </w:rPr>
      </w:pPr>
    </w:p>
    <w:p w:rsidR="00F60A1E" w:rsidRPr="00F60A1E" w:rsidRDefault="00F60A1E" w:rsidP="00F60A1E">
      <w:pPr>
        <w:spacing w:before="0" w:after="0" w:line="240" w:lineRule="auto"/>
        <w:ind w:left="851"/>
        <w:jc w:val="both"/>
        <w:rPr>
          <w:szCs w:val="20"/>
        </w:rPr>
      </w:pPr>
      <w:r w:rsidRPr="00F60A1E">
        <w:rPr>
          <w:szCs w:val="20"/>
        </w:rPr>
        <w:t>In placement into care proceedings before a youth tribunal, the child will be a party to the proceedings and therefore the child will not be a subject of the proceedings.</w:t>
      </w:r>
    </w:p>
    <w:p w:rsidR="00F60A1E" w:rsidRPr="00F60A1E" w:rsidRDefault="00F60A1E" w:rsidP="0082630D">
      <w:pPr>
        <w:pStyle w:val="Heading3"/>
      </w:pPr>
      <w:bookmarkStart w:id="258" w:name="_Toc401578594"/>
      <w:bookmarkStart w:id="259" w:name="_Toc404767213"/>
      <w:bookmarkStart w:id="260" w:name="_Toc409792276"/>
      <w:r w:rsidRPr="00F60A1E">
        <w:t>Procedural rules applicable to children involved in health care proceedings – mental health</w:t>
      </w:r>
      <w:bookmarkEnd w:id="258"/>
      <w:bookmarkEnd w:id="259"/>
      <w:bookmarkEnd w:id="260"/>
      <w:r w:rsidRPr="00F60A1E">
        <w:t xml:space="preserve"> </w:t>
      </w:r>
    </w:p>
    <w:p w:rsidR="00F60A1E" w:rsidRPr="00F60A1E" w:rsidRDefault="00F60A1E" w:rsidP="00F60A1E">
      <w:pPr>
        <w:widowControl w:val="0"/>
        <w:spacing w:before="0" w:after="0" w:line="240" w:lineRule="auto"/>
        <w:ind w:left="851"/>
        <w:jc w:val="both"/>
        <w:rPr>
          <w:bCs/>
          <w:szCs w:val="20"/>
        </w:rPr>
      </w:pPr>
      <w:r w:rsidRPr="00F60A1E">
        <w:rPr>
          <w:bCs/>
          <w:szCs w:val="20"/>
        </w:rPr>
        <w:t>Children may have their liberty restricted in the sector of mental health.</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plaintiff/defendant</w:t>
      </w:r>
    </w:p>
    <w:p w:rsidR="00F60A1E" w:rsidRPr="00F60A1E" w:rsidRDefault="00F60A1E" w:rsidP="00F60A1E">
      <w:pPr>
        <w:widowControl w:val="0"/>
        <w:spacing w:before="0" w:after="0" w:line="240" w:lineRule="auto"/>
        <w:ind w:left="2291"/>
        <w:jc w:val="both"/>
        <w:rPr>
          <w:bCs/>
          <w:szCs w:val="20"/>
        </w:rPr>
      </w:pPr>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 xml:space="preserve">As explained in </w:t>
      </w:r>
      <w:hyperlink w:anchor="_Overview_of_Member" w:history="1">
        <w:r w:rsidRPr="00F60A1E">
          <w:rPr>
            <w:rFonts w:cs="Arial"/>
            <w:color w:val="0000FF" w:themeColor="hyperlink"/>
            <w:szCs w:val="20"/>
            <w:u w:val="single"/>
          </w:rPr>
          <w:t>Section 1</w:t>
        </w:r>
      </w:hyperlink>
      <w:r w:rsidRPr="00F60A1E">
        <w:rPr>
          <w:rFonts w:cs="Arial"/>
          <w:szCs w:val="20"/>
        </w:rPr>
        <w:t xml:space="preserve">, the youth tribunals are competent to order protective measure decisions on children with mental health care needs. The youth tribunal applies civil judicial procedural rules, the </w:t>
      </w:r>
      <w:hyperlink r:id="rId147" w:history="1">
        <w:r w:rsidRPr="00F60A1E">
          <w:rPr>
            <w:rFonts w:cs="Arial"/>
            <w:color w:val="0000FF" w:themeColor="hyperlink"/>
            <w:szCs w:val="20"/>
            <w:u w:val="single"/>
          </w:rPr>
          <w:t>Youth Protection Act</w:t>
        </w:r>
      </w:hyperlink>
      <w:r w:rsidRPr="00F60A1E">
        <w:rPr>
          <w:rFonts w:cs="Arial"/>
          <w:szCs w:val="20"/>
        </w:rPr>
        <w:t xml:space="preserve"> and the </w:t>
      </w:r>
      <w:hyperlink r:id="rId148" w:history="1">
        <w:r w:rsidRPr="00F60A1E">
          <w:rPr>
            <w:rFonts w:cs="Arial"/>
            <w:color w:val="0000FF" w:themeColor="hyperlink"/>
            <w:szCs w:val="20"/>
            <w:u w:val="single"/>
          </w:rPr>
          <w:t>Act on the protection of mentally ill persons</w:t>
        </w:r>
      </w:hyperlink>
      <w:r w:rsidRPr="00F60A1E">
        <w:rPr>
          <w:rFonts w:cs="Arial"/>
          <w:szCs w:val="20"/>
        </w:rPr>
        <w:t>.</w:t>
      </w:r>
    </w:p>
    <w:p w:rsidR="00F60A1E" w:rsidRPr="00F60A1E" w:rsidRDefault="00F60A1E" w:rsidP="00F60A1E">
      <w:pPr>
        <w:widowControl w:val="0"/>
        <w:spacing w:before="0" w:after="0" w:line="240" w:lineRule="auto"/>
        <w:ind w:left="851"/>
        <w:jc w:val="both"/>
        <w:rPr>
          <w:rFonts w:cs="Arial"/>
          <w:szCs w:val="20"/>
        </w:rPr>
      </w:pPr>
    </w:p>
    <w:p w:rsidR="00F60A1E" w:rsidRPr="00F60A1E" w:rsidRDefault="00F60A1E" w:rsidP="00F60A1E">
      <w:pPr>
        <w:widowControl w:val="0"/>
        <w:spacing w:before="0" w:after="0" w:line="240" w:lineRule="auto"/>
        <w:ind w:left="851"/>
        <w:jc w:val="both"/>
        <w:rPr>
          <w:rFonts w:cs="Arial"/>
          <w:szCs w:val="20"/>
        </w:rPr>
      </w:pPr>
      <w:r w:rsidRPr="00F60A1E">
        <w:rPr>
          <w:szCs w:val="20"/>
        </w:rPr>
        <w:t xml:space="preserve">A youth tribunal </w:t>
      </w:r>
      <w:r w:rsidRPr="00F60A1E">
        <w:rPr>
          <w:rFonts w:cs="Arial"/>
          <w:szCs w:val="20"/>
        </w:rPr>
        <w:t>may take protective measures for a child with a mental illness only in the absence of any other suitable treatment if the child’s condition requires it because his/her health and safety are seriously at risk, or they constitute a serious threat to the life or integrity of others. Inadequate moral values – social, religious, political or otherwise, cannot be considered a mental illness</w:t>
      </w:r>
      <w:r w:rsidRPr="00F60A1E">
        <w:rPr>
          <w:szCs w:val="20"/>
          <w:vertAlign w:val="superscript"/>
        </w:rPr>
        <w:footnoteReference w:id="335"/>
      </w:r>
      <w:r w:rsidRPr="00F60A1E">
        <w:rPr>
          <w:rFonts w:cs="Arial"/>
          <w:szCs w:val="20"/>
        </w:rPr>
        <w:t>.</w:t>
      </w:r>
    </w:p>
    <w:p w:rsidR="00F60A1E" w:rsidRPr="00F60A1E" w:rsidRDefault="00F60A1E" w:rsidP="00F60A1E">
      <w:pPr>
        <w:widowControl w:val="0"/>
        <w:spacing w:before="0" w:after="0" w:line="240" w:lineRule="auto"/>
        <w:ind w:left="851"/>
        <w:jc w:val="both"/>
        <w:rPr>
          <w:rFonts w:cs="Arial"/>
          <w:szCs w:val="20"/>
        </w:rPr>
      </w:pPr>
    </w:p>
    <w:p w:rsidR="00F60A1E" w:rsidRPr="00F60A1E" w:rsidRDefault="00F60A1E" w:rsidP="00F60A1E">
      <w:pPr>
        <w:spacing w:before="0" w:after="0" w:line="240" w:lineRule="auto"/>
        <w:ind w:left="851"/>
        <w:jc w:val="both"/>
        <w:rPr>
          <w:szCs w:val="20"/>
        </w:rPr>
      </w:pPr>
      <w:r w:rsidRPr="00F60A1E">
        <w:rPr>
          <w:szCs w:val="20"/>
        </w:rPr>
        <w:t>One of the measures a youth tribunal may take towards the child with mental illness is the placement of the child into observation in a psychiatric service for a maximum of 40 days. Any person, including a health practitioner, may request the tribunal to place a child into observation. There are two possible procedures to request such a placement - a standard procedure and an emergency procedure. The emergency procedure is, in practice, the one most often used</w:t>
      </w:r>
      <w:r w:rsidRPr="00F60A1E">
        <w:rPr>
          <w:szCs w:val="20"/>
          <w:vertAlign w:val="superscript"/>
        </w:rPr>
        <w:footnoteReference w:id="336"/>
      </w:r>
      <w:r w:rsidRPr="00F60A1E">
        <w:rPr>
          <w:szCs w:val="20"/>
        </w:rPr>
        <w:t xml:space="preserve">. </w:t>
      </w:r>
    </w:p>
    <w:p w:rsidR="00F60A1E" w:rsidRPr="00F60A1E" w:rsidRDefault="00F60A1E" w:rsidP="00F60A1E">
      <w:pPr>
        <w:spacing w:before="0" w:after="0" w:line="240" w:lineRule="auto"/>
        <w:ind w:left="851"/>
        <w:jc w:val="both"/>
        <w:rPr>
          <w:szCs w:val="20"/>
        </w:rPr>
      </w:pPr>
    </w:p>
    <w:p w:rsidR="00F60A1E" w:rsidRPr="00F60A1E" w:rsidRDefault="00F60A1E" w:rsidP="00F60A1E">
      <w:pPr>
        <w:spacing w:before="0" w:after="0" w:line="240" w:lineRule="auto"/>
        <w:ind w:left="851"/>
        <w:jc w:val="both"/>
        <w:rPr>
          <w:szCs w:val="20"/>
        </w:rPr>
      </w:pPr>
      <w:r w:rsidRPr="00F60A1E">
        <w:rPr>
          <w:szCs w:val="20"/>
        </w:rPr>
        <w:t>The request for placement must include a medical report on the child’s mental condition. Once the request is received, the youth tribunal will review it within 24 hours and set an appointment to visit the child</w:t>
      </w:r>
      <w:r w:rsidRPr="00F60A1E">
        <w:rPr>
          <w:szCs w:val="20"/>
          <w:vertAlign w:val="superscript"/>
        </w:rPr>
        <w:footnoteReference w:id="337"/>
      </w:r>
      <w:r w:rsidRPr="00F60A1E">
        <w:rPr>
          <w:szCs w:val="20"/>
        </w:rPr>
        <w:t>. Within 10 days from hearing the parties, the tribunal will decide on the placement into observation for 40 days. The emergency procedure is similar to the standard procedure except that only the Crown Prosecutor can make a request for placement into observation and the restriction of liberty will immediately follow from the request</w:t>
      </w:r>
      <w:r w:rsidRPr="00F60A1E">
        <w:rPr>
          <w:szCs w:val="20"/>
          <w:vertAlign w:val="superscript"/>
        </w:rPr>
        <w:footnoteReference w:id="338"/>
      </w:r>
      <w:r w:rsidRPr="00F60A1E">
        <w:rPr>
          <w:szCs w:val="20"/>
        </w:rPr>
        <w:t>.</w:t>
      </w:r>
    </w:p>
    <w:p w:rsidR="00F60A1E" w:rsidRPr="00F60A1E" w:rsidRDefault="00F60A1E" w:rsidP="00F60A1E">
      <w:pPr>
        <w:spacing w:before="0" w:after="0" w:line="240" w:lineRule="auto"/>
        <w:ind w:left="851"/>
        <w:jc w:val="both"/>
        <w:rPr>
          <w:szCs w:val="20"/>
        </w:rPr>
      </w:pPr>
    </w:p>
    <w:p w:rsidR="00F60A1E" w:rsidRPr="00F60A1E" w:rsidRDefault="00F60A1E" w:rsidP="00F60A1E">
      <w:pPr>
        <w:spacing w:before="0" w:after="0" w:line="240" w:lineRule="auto"/>
        <w:ind w:left="851"/>
        <w:jc w:val="both"/>
        <w:rPr>
          <w:szCs w:val="20"/>
        </w:rPr>
      </w:pPr>
      <w:r w:rsidRPr="00F60A1E">
        <w:rPr>
          <w:szCs w:val="20"/>
        </w:rPr>
        <w:t xml:space="preserve">During the initial placement of 40 days, the child is monitored and treated. The doctor-in-charge may however authorise the child to leave, alone or accompanied, the placement facility for limited periods of time. At the end of the 40 day period, the youth tribunal can decide to end the placement </w:t>
      </w:r>
      <w:r w:rsidRPr="00F60A1E">
        <w:rPr>
          <w:i/>
          <w:szCs w:val="20"/>
        </w:rPr>
        <w:t>ex officio</w:t>
      </w:r>
      <w:r w:rsidRPr="00F60A1E">
        <w:rPr>
          <w:szCs w:val="20"/>
        </w:rPr>
        <w:t>, at the request of the Crown Prosecutor, the health practitioner, the child, or any other interested party. The youth tribunal may also decide that continued treatment is necessary and the child thus remains in the psychiatric service. The maximum extension time of the placement of the child is two years. However, the youth tribunal must review the decision of placement at least every six months, or every three months for children with mental illness who have committed offences</w:t>
      </w:r>
      <w:r w:rsidRPr="00F60A1E">
        <w:rPr>
          <w:szCs w:val="20"/>
          <w:vertAlign w:val="superscript"/>
        </w:rPr>
        <w:footnoteReference w:id="339"/>
      </w:r>
      <w:r w:rsidRPr="00F60A1E">
        <w:rPr>
          <w:szCs w:val="20"/>
        </w:rPr>
        <w:t>.</w:t>
      </w:r>
    </w:p>
    <w:p w:rsidR="00F60A1E" w:rsidRPr="00F60A1E" w:rsidRDefault="00F60A1E" w:rsidP="00F60A1E">
      <w:pPr>
        <w:spacing w:before="0" w:after="0" w:line="240" w:lineRule="auto"/>
        <w:ind w:left="851"/>
        <w:jc w:val="both"/>
        <w:rPr>
          <w:szCs w:val="20"/>
        </w:rPr>
      </w:pPr>
    </w:p>
    <w:p w:rsidR="00F60A1E" w:rsidRPr="00F60A1E" w:rsidRDefault="00F60A1E" w:rsidP="00F60A1E">
      <w:pPr>
        <w:spacing w:before="0" w:after="0" w:line="240" w:lineRule="auto"/>
        <w:ind w:left="851"/>
        <w:jc w:val="both"/>
        <w:rPr>
          <w:szCs w:val="20"/>
        </w:rPr>
      </w:pPr>
      <w:r w:rsidRPr="00F60A1E">
        <w:rPr>
          <w:szCs w:val="20"/>
        </w:rPr>
        <w:t>Lastly, the youth tribunal can also order any youth protection measures, i.e. measure of care, protection or education, as mentioned above.</w:t>
      </w:r>
      <w:r w:rsidRPr="00F60A1E">
        <w:rPr>
          <w:szCs w:val="20"/>
          <w:vertAlign w:val="superscript"/>
        </w:rPr>
        <w:t xml:space="preserve"> </w:t>
      </w:r>
      <w:r w:rsidRPr="00F60A1E">
        <w:rPr>
          <w:szCs w:val="20"/>
        </w:rPr>
        <w:t xml:space="preserve">Such measures can </w:t>
      </w:r>
      <w:r w:rsidRPr="00F60A1E">
        <w:rPr>
          <w:i/>
          <w:szCs w:val="20"/>
        </w:rPr>
        <w:t xml:space="preserve">inter alia </w:t>
      </w:r>
      <w:r w:rsidRPr="00F60A1E">
        <w:rPr>
          <w:szCs w:val="20"/>
        </w:rPr>
        <w:t xml:space="preserve">consist of: </w:t>
      </w:r>
    </w:p>
    <w:p w:rsidR="00F60A1E" w:rsidRPr="00F60A1E" w:rsidRDefault="00F60A1E" w:rsidP="00F60A1E">
      <w:pPr>
        <w:spacing w:before="0" w:after="0" w:line="240" w:lineRule="auto"/>
        <w:jc w:val="both"/>
        <w:rPr>
          <w:szCs w:val="20"/>
        </w:rPr>
      </w:pPr>
    </w:p>
    <w:p w:rsidR="00F60A1E" w:rsidRPr="00F60A1E" w:rsidRDefault="00F60A1E" w:rsidP="00F60A1E">
      <w:pPr>
        <w:numPr>
          <w:ilvl w:val="0"/>
          <w:numId w:val="22"/>
        </w:numPr>
        <w:spacing w:before="0" w:after="0"/>
      </w:pPr>
      <w:r w:rsidRPr="00F60A1E">
        <w:t xml:space="preserve">outpatient treatment with a psychological or psychiatric service; </w:t>
      </w:r>
    </w:p>
    <w:p w:rsidR="00F60A1E" w:rsidRPr="00F60A1E" w:rsidRDefault="00F60A1E" w:rsidP="00F60A1E">
      <w:pPr>
        <w:numPr>
          <w:ilvl w:val="0"/>
          <w:numId w:val="22"/>
        </w:numPr>
        <w:spacing w:before="0" w:after="0"/>
      </w:pPr>
      <w:r w:rsidRPr="00F60A1E">
        <w:t xml:space="preserve">placement into an appropriate facility for his/her treatment; </w:t>
      </w:r>
    </w:p>
    <w:p w:rsidR="00F60A1E" w:rsidRPr="00F60A1E" w:rsidRDefault="00F60A1E" w:rsidP="00F60A1E">
      <w:pPr>
        <w:numPr>
          <w:ilvl w:val="0"/>
          <w:numId w:val="22"/>
        </w:numPr>
        <w:spacing w:before="0" w:after="0"/>
      </w:pPr>
      <w:r w:rsidRPr="00F60A1E">
        <w:lastRenderedPageBreak/>
        <w:t xml:space="preserve">to entrust him/her to a community institution of public youth protection in a closed or open environment; </w:t>
      </w:r>
    </w:p>
    <w:p w:rsidR="00F60A1E" w:rsidRPr="00F60A1E" w:rsidRDefault="00F60A1E" w:rsidP="00F60A1E">
      <w:pPr>
        <w:numPr>
          <w:ilvl w:val="0"/>
          <w:numId w:val="22"/>
        </w:numPr>
        <w:spacing w:before="0" w:after="0"/>
      </w:pPr>
      <w:r w:rsidRPr="00F60A1E">
        <w:t xml:space="preserve">placement into a hospital; </w:t>
      </w:r>
    </w:p>
    <w:p w:rsidR="00F60A1E" w:rsidRPr="00F60A1E" w:rsidRDefault="00F60A1E" w:rsidP="00F60A1E">
      <w:pPr>
        <w:numPr>
          <w:ilvl w:val="0"/>
          <w:numId w:val="22"/>
        </w:numPr>
        <w:spacing w:before="0" w:after="0"/>
      </w:pPr>
      <w:r w:rsidRPr="00F60A1E">
        <w:t>residential placement into an institution specialised in alcoholism, drug addiction or any other addiction;</w:t>
      </w:r>
    </w:p>
    <w:p w:rsidR="00F60A1E" w:rsidRPr="00F60A1E" w:rsidRDefault="00F60A1E" w:rsidP="00F60A1E">
      <w:pPr>
        <w:numPr>
          <w:ilvl w:val="0"/>
          <w:numId w:val="22"/>
        </w:numPr>
        <w:spacing w:before="0" w:after="0"/>
      </w:pPr>
      <w:r w:rsidRPr="00F60A1E">
        <w:t>residential placement into an open or closed section of a child psychiatry service</w:t>
      </w:r>
      <w:r w:rsidRPr="00F60A1E">
        <w:rPr>
          <w:vertAlign w:val="superscript"/>
        </w:rPr>
        <w:footnoteReference w:id="340"/>
      </w:r>
      <w:r w:rsidRPr="00F60A1E">
        <w:t>.</w:t>
      </w:r>
    </w:p>
    <w:p w:rsidR="00F60A1E" w:rsidRPr="00F60A1E" w:rsidRDefault="00F60A1E" w:rsidP="00F60A1E">
      <w:pPr>
        <w:widowControl w:val="0"/>
        <w:spacing w:before="0" w:after="0" w:line="240" w:lineRule="auto"/>
        <w:jc w:val="both"/>
        <w:rPr>
          <w:rFonts w:cs="Arial"/>
          <w:szCs w:val="20"/>
        </w:rPr>
      </w:pPr>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Appeal of the youth tribunal’s decision may be brought by the child’s legal representative or legal counsel, or by the child him/herself for placement in psychiatric services, before the court of appeal.</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witness</w:t>
      </w:r>
    </w:p>
    <w:p w:rsidR="00F60A1E" w:rsidRPr="00F60A1E" w:rsidRDefault="00F60A1E" w:rsidP="00F60A1E">
      <w:pPr>
        <w:widowControl w:val="0"/>
        <w:spacing w:before="0" w:after="0" w:line="240" w:lineRule="auto"/>
        <w:ind w:left="2291"/>
        <w:jc w:val="both"/>
        <w:rPr>
          <w:bCs/>
        </w:rPr>
      </w:pPr>
    </w:p>
    <w:p w:rsidR="00F60A1E" w:rsidRPr="00F60A1E" w:rsidRDefault="00F60A1E" w:rsidP="00F60A1E">
      <w:pPr>
        <w:spacing w:before="0" w:after="0" w:line="240" w:lineRule="auto"/>
        <w:ind w:left="851"/>
        <w:jc w:val="both"/>
        <w:rPr>
          <w:szCs w:val="20"/>
        </w:rPr>
      </w:pPr>
      <w:r w:rsidRPr="00F60A1E">
        <w:rPr>
          <w:szCs w:val="20"/>
        </w:rPr>
        <w:t>A child witness may not be detained.</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subject of proceedings</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No rules were identified on child subjects of administrative sanction judicial proceedings. A child in such proceedings will be a plaintiff or a defendant. The child is a party to the proceedings before a youth tribunal, although the child’s legal representative must carry out the procedural acts on behalf of the child due to the child’s lack of procedural capacity.</w:t>
      </w:r>
    </w:p>
    <w:p w:rsidR="00F60A1E" w:rsidRPr="00F60A1E" w:rsidRDefault="00F60A1E" w:rsidP="0082630D">
      <w:pPr>
        <w:pStyle w:val="Heading2"/>
      </w:pPr>
      <w:bookmarkStart w:id="261" w:name="_Remedies_or_compensation_1"/>
      <w:bookmarkStart w:id="262" w:name="_Toc371624433"/>
      <w:bookmarkStart w:id="263" w:name="_Ref237679393"/>
      <w:bookmarkStart w:id="264" w:name="_Toc401070025"/>
      <w:bookmarkStart w:id="265" w:name="_Toc401219698"/>
      <w:bookmarkStart w:id="266" w:name="_Toc401221526"/>
      <w:bookmarkStart w:id="267" w:name="_Toc401221603"/>
      <w:bookmarkStart w:id="268" w:name="_Toc401232358"/>
      <w:bookmarkStart w:id="269" w:name="_Toc404767214"/>
      <w:bookmarkStart w:id="270" w:name="_Toc409792277"/>
      <w:bookmarkEnd w:id="261"/>
      <w:r w:rsidRPr="00F60A1E">
        <w:t>Remedies or compensation exist for violation of rights and failure to</w:t>
      </w:r>
      <w:bookmarkEnd w:id="262"/>
      <w:r w:rsidRPr="00F60A1E">
        <w:t xml:space="preserve"> </w:t>
      </w:r>
      <w:bookmarkEnd w:id="242"/>
      <w:bookmarkEnd w:id="263"/>
      <w:r w:rsidRPr="00F60A1E">
        <w:t>act</w:t>
      </w:r>
      <w:bookmarkEnd w:id="264"/>
      <w:bookmarkEnd w:id="265"/>
      <w:bookmarkEnd w:id="266"/>
      <w:bookmarkEnd w:id="267"/>
      <w:bookmarkEnd w:id="268"/>
      <w:bookmarkEnd w:id="269"/>
      <w:bookmarkEnd w:id="270"/>
    </w:p>
    <w:p w:rsidR="00F60A1E" w:rsidRPr="00F60A1E" w:rsidRDefault="00F60A1E" w:rsidP="0082630D">
      <w:pPr>
        <w:pStyle w:val="Heading3"/>
      </w:pPr>
      <w:bookmarkStart w:id="271" w:name="_Toc401578596"/>
      <w:bookmarkStart w:id="272" w:name="_Toc404767215"/>
      <w:bookmarkStart w:id="273" w:name="_Toc409792278"/>
      <w:r w:rsidRPr="00F60A1E">
        <w:t>General procedural rules applicable to children involved in administrative judicial proceedings including proceedings reviewing administrative authorities’ decisions in the sectors of asylum, migration and education</w:t>
      </w:r>
      <w:bookmarkEnd w:id="271"/>
      <w:bookmarkEnd w:id="272"/>
      <w:bookmarkEnd w:id="273"/>
    </w:p>
    <w:p w:rsidR="00F60A1E" w:rsidRPr="00F60A1E" w:rsidRDefault="00F60A1E" w:rsidP="00F60A1E">
      <w:pPr>
        <w:widowControl w:val="0"/>
        <w:spacing w:before="0" w:after="0" w:line="240" w:lineRule="auto"/>
        <w:ind w:left="851"/>
        <w:jc w:val="both"/>
        <w:rPr>
          <w:bCs/>
          <w:szCs w:val="20"/>
          <w:lang w:val="en-US"/>
        </w:rPr>
      </w:pPr>
      <w:r w:rsidRPr="00F60A1E">
        <w:rPr>
          <w:rFonts w:cs="Arial"/>
          <w:bCs/>
          <w:szCs w:val="20"/>
        </w:rPr>
        <w:t>The general rules described below apply to administrative judicial proceedings in the sectors listed above. However, certain specific rules exist in several sectors which are described below in a separate subheading.</w:t>
      </w:r>
      <w:r w:rsidRPr="00F60A1E">
        <w:rPr>
          <w:rFonts w:cs="Arial"/>
          <w:szCs w:val="20"/>
        </w:rPr>
        <w:t xml:space="preserve"> Civil procedural rules apply to healthcare proceedings, proceedings concerning children involved in administrative sanctions and proceedings concerning placement into care (including children below the MACR who have committed offences, see </w:t>
      </w:r>
      <w:hyperlink w:anchor="_Overview_of_Member_2" w:history="1">
        <w:r w:rsidRPr="00F60A1E">
          <w:rPr>
            <w:rFonts w:cs="Arial"/>
            <w:color w:val="0000FF" w:themeColor="hyperlink"/>
            <w:szCs w:val="20"/>
            <w:u w:val="single"/>
          </w:rPr>
          <w:t>Section 1</w:t>
        </w:r>
      </w:hyperlink>
      <w:r w:rsidRPr="00F60A1E">
        <w:rPr>
          <w:rFonts w:cs="Arial"/>
          <w:szCs w:val="20"/>
        </w:rPr>
        <w:t>).</w:t>
      </w:r>
    </w:p>
    <w:p w:rsidR="00F60A1E" w:rsidRPr="00F60A1E" w:rsidRDefault="00F60A1E" w:rsidP="00F60A1E">
      <w:pPr>
        <w:widowControl w:val="0"/>
        <w:spacing w:before="0" w:after="0" w:line="240" w:lineRule="auto"/>
        <w:ind w:left="851"/>
        <w:jc w:val="both"/>
        <w:rPr>
          <w:b/>
          <w:bCs/>
          <w:szCs w:val="20"/>
        </w:rPr>
      </w:pPr>
    </w:p>
    <w:p w:rsidR="00F60A1E" w:rsidRPr="00F60A1E" w:rsidRDefault="00F60A1E" w:rsidP="00F60A1E">
      <w:pPr>
        <w:widowControl w:val="0"/>
        <w:spacing w:before="0" w:after="0" w:line="240" w:lineRule="auto"/>
        <w:ind w:left="851"/>
        <w:jc w:val="both"/>
      </w:pPr>
      <w:r w:rsidRPr="00F60A1E">
        <w:t xml:space="preserve">There are no specific legal rules on children, children’s right to appeal, and remedies in administrative judicial proceedings. Hence, the general rules of proceedings before the Council of State and the </w:t>
      </w:r>
      <w:hyperlink r:id="rId149" w:history="1">
        <w:r w:rsidRPr="00F60A1E">
          <w:rPr>
            <w:rFonts w:cs="Arial"/>
            <w:color w:val="0000FF" w:themeColor="hyperlink"/>
            <w:u w:val="single"/>
          </w:rPr>
          <w:t>Judicial Code</w:t>
        </w:r>
      </w:hyperlink>
      <w:r w:rsidRPr="00F60A1E">
        <w:t xml:space="preserve"> apply.</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plaintiff/defendant</w:t>
      </w:r>
    </w:p>
    <w:p w:rsidR="00F60A1E" w:rsidRPr="00F60A1E" w:rsidRDefault="00F60A1E" w:rsidP="00F60A1E">
      <w:pPr>
        <w:widowControl w:val="0"/>
        <w:spacing w:before="0" w:after="0" w:line="240" w:lineRule="auto"/>
        <w:ind w:left="851"/>
        <w:jc w:val="both"/>
        <w:rPr>
          <w:rFonts w:eastAsia="Times New Roman"/>
          <w:bCs/>
          <w:color w:val="0067AC"/>
        </w:rPr>
      </w:pPr>
    </w:p>
    <w:p w:rsidR="00F60A1E" w:rsidRPr="00F60A1E" w:rsidRDefault="00F60A1E" w:rsidP="00F60A1E">
      <w:pPr>
        <w:widowControl w:val="0"/>
        <w:spacing w:before="0" w:after="0" w:line="240" w:lineRule="auto"/>
        <w:ind w:left="851"/>
        <w:jc w:val="both"/>
        <w:rPr>
          <w:bCs/>
          <w:szCs w:val="20"/>
        </w:rPr>
      </w:pPr>
      <w:r w:rsidRPr="00F60A1E">
        <w:rPr>
          <w:bCs/>
          <w:szCs w:val="20"/>
        </w:rPr>
        <w:t>A decision of the Council of State may be appealed to the Court of Cassation only when the Council of State has decided on its own competence whilst ordinary courts could be competent</w:t>
      </w:r>
      <w:r w:rsidRPr="00F60A1E">
        <w:rPr>
          <w:bCs/>
          <w:szCs w:val="20"/>
          <w:vertAlign w:val="superscript"/>
        </w:rPr>
        <w:footnoteReference w:id="341"/>
      </w:r>
      <w:r w:rsidRPr="00F60A1E">
        <w:rPr>
          <w:bCs/>
          <w:szCs w:val="20"/>
        </w:rPr>
        <w:t>. Hence, the appeal to the Court of Cassation concerns the conflict of competence between the Council of State and the ordinary courts. It is rare that parties appeal the Council of State decisions</w:t>
      </w:r>
      <w:r w:rsidRPr="00F60A1E">
        <w:rPr>
          <w:bCs/>
          <w:szCs w:val="20"/>
          <w:vertAlign w:val="superscript"/>
        </w:rPr>
        <w:footnoteReference w:id="342"/>
      </w:r>
      <w:r w:rsidRPr="00F60A1E">
        <w:rPr>
          <w:bCs/>
          <w:szCs w:val="20"/>
        </w:rPr>
        <w:t xml:space="preserve">. </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Other forms of appeals are the revision appeal, the opposition and the third party opposition</w:t>
      </w:r>
      <w:r w:rsidRPr="00F60A1E">
        <w:rPr>
          <w:bCs/>
          <w:szCs w:val="20"/>
          <w:vertAlign w:val="superscript"/>
        </w:rPr>
        <w:footnoteReference w:id="343"/>
      </w:r>
      <w:r w:rsidRPr="00F60A1E">
        <w:rPr>
          <w:bCs/>
          <w:szCs w:val="20"/>
        </w:rPr>
        <w:t>. The revision appeal concerns the situation where a document serving as evidence is found, or where a document is declared false. The opposition action only concerns decisions taken when the defendant did, or could not, provide a defence. The third party opposition action concerns a person as a party or an intervener affected by the decision which was not part of the proceedings.</w:t>
      </w:r>
    </w:p>
    <w:p w:rsidR="00F60A1E" w:rsidRPr="00F60A1E" w:rsidRDefault="00F60A1E" w:rsidP="00F60A1E">
      <w:pPr>
        <w:widowControl w:val="0"/>
        <w:spacing w:before="0" w:after="0" w:line="240" w:lineRule="auto"/>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No other appeal or remedy is available.</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 xml:space="preserve">In accordance with the rules on procedural capacity of the child described in </w:t>
      </w:r>
      <w:hyperlink w:anchor="_The_child_as" w:history="1">
        <w:r w:rsidRPr="00F60A1E">
          <w:rPr>
            <w:bCs/>
            <w:color w:val="0000FF" w:themeColor="hyperlink"/>
            <w:szCs w:val="20"/>
            <w:u w:val="single"/>
          </w:rPr>
          <w:t>Section 2.1</w:t>
        </w:r>
      </w:hyperlink>
      <w:r w:rsidRPr="00F60A1E">
        <w:rPr>
          <w:bCs/>
          <w:szCs w:val="20"/>
        </w:rPr>
        <w:t xml:space="preserve">, the child may appeal the Council of State decision through his/her legal representative – with the exceptions mentioned in </w:t>
      </w:r>
      <w:hyperlink w:anchor="_The_child_as" w:history="1">
        <w:r w:rsidRPr="00F60A1E">
          <w:rPr>
            <w:bCs/>
            <w:color w:val="0000FF" w:themeColor="hyperlink"/>
            <w:szCs w:val="20"/>
            <w:u w:val="single"/>
          </w:rPr>
          <w:t>Section 2.1</w:t>
        </w:r>
      </w:hyperlink>
      <w:r w:rsidRPr="00F60A1E">
        <w:rPr>
          <w:bCs/>
          <w:szCs w:val="20"/>
        </w:rPr>
        <w:t>. Except where the child may him/herself, initiate the proceedings before the Council of State, including an appeal of the Council’s decision, the child’s legal representative makes the submissions and appeal. The child’s consent is not required for the legal representative to act.</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The same time limit to appeal applies to children as to adults. However, in a case where the child’s legal representation is not secured in time for the appeal, the Council of State may decide to accept an appeal after the time limit</w:t>
      </w:r>
      <w:r w:rsidRPr="00F60A1E">
        <w:rPr>
          <w:bCs/>
          <w:szCs w:val="20"/>
          <w:vertAlign w:val="superscript"/>
        </w:rPr>
        <w:footnoteReference w:id="344"/>
      </w:r>
      <w:r w:rsidRPr="00F60A1E">
        <w:rPr>
          <w:bCs/>
          <w:szCs w:val="20"/>
        </w:rPr>
        <w:t>.</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 xml:space="preserve">As mentioned in </w:t>
      </w:r>
      <w:hyperlink w:anchor="_2.2_Provision_of" w:history="1">
        <w:r w:rsidRPr="00F60A1E">
          <w:rPr>
            <w:bCs/>
            <w:color w:val="0000FF" w:themeColor="hyperlink"/>
            <w:szCs w:val="20"/>
            <w:u w:val="single"/>
          </w:rPr>
          <w:t>Section 2.2</w:t>
        </w:r>
      </w:hyperlink>
      <w:r w:rsidRPr="00F60A1E">
        <w:rPr>
          <w:bCs/>
          <w:szCs w:val="20"/>
        </w:rPr>
        <w:t>, judicial assistants, the social services and the legal counsels can assist children and their legal representatives during the proceedings, including the appeals.</w:t>
      </w:r>
    </w:p>
    <w:p w:rsidR="00F60A1E" w:rsidRPr="00F60A1E" w:rsidRDefault="00F60A1E" w:rsidP="00F60A1E">
      <w:pPr>
        <w:widowControl w:val="0"/>
        <w:spacing w:before="0" w:after="0" w:line="240" w:lineRule="auto"/>
        <w:ind w:left="851"/>
        <w:jc w:val="both"/>
        <w:rPr>
          <w:bCs/>
          <w:szCs w:val="20"/>
        </w:rPr>
      </w:pPr>
      <w:r w:rsidRPr="00F60A1E">
        <w:rPr>
          <w:bCs/>
          <w:szCs w:val="20"/>
        </w:rPr>
        <w:t xml:space="preserve"> </w:t>
      </w:r>
    </w:p>
    <w:p w:rsidR="00F60A1E" w:rsidRPr="00F60A1E" w:rsidRDefault="00F60A1E" w:rsidP="00F60A1E">
      <w:pPr>
        <w:widowControl w:val="0"/>
        <w:spacing w:before="0" w:after="0" w:line="240" w:lineRule="auto"/>
        <w:ind w:left="851"/>
        <w:jc w:val="both"/>
        <w:rPr>
          <w:bCs/>
          <w:szCs w:val="20"/>
        </w:rPr>
      </w:pPr>
      <w:r w:rsidRPr="00F60A1E">
        <w:rPr>
          <w:bCs/>
          <w:szCs w:val="20"/>
        </w:rPr>
        <w:t>There is no obligation on the judicial authorities to secure the right of a child involved in judicial proceedings to claim compensation for damages caused by violation of his/her rights. However, the child, through his/her legal representative, may always turn to the ordinary court to claim damages for violation of his/her rights.</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rPr>
      </w:pPr>
      <w:r w:rsidRPr="00F60A1E">
        <w:rPr>
          <w:bCs/>
        </w:rPr>
        <w:t xml:space="preserve">As explained in </w:t>
      </w:r>
      <w:hyperlink w:anchor="_The_child_as" w:history="1">
        <w:r w:rsidRPr="00F60A1E">
          <w:rPr>
            <w:bCs/>
            <w:color w:val="0000FF" w:themeColor="hyperlink"/>
            <w:u w:val="single"/>
          </w:rPr>
          <w:t>Section 2.1</w:t>
        </w:r>
      </w:hyperlink>
      <w:r w:rsidRPr="00F60A1E">
        <w:rPr>
          <w:bCs/>
        </w:rPr>
        <w:t xml:space="preserve">, in a case of conflict of interests between the child and his/her parents, a civil magistrate court may appoint a guardian </w:t>
      </w:r>
      <w:r w:rsidRPr="00F60A1E">
        <w:rPr>
          <w:bCs/>
          <w:i/>
        </w:rPr>
        <w:t>ad litem</w:t>
      </w:r>
      <w:r w:rsidRPr="00F60A1E">
        <w:rPr>
          <w:bCs/>
        </w:rPr>
        <w:t xml:space="preserve"> upon the request of any interested party or </w:t>
      </w:r>
      <w:r w:rsidRPr="00F60A1E">
        <w:rPr>
          <w:bCs/>
          <w:i/>
        </w:rPr>
        <w:t>ex officio</w:t>
      </w:r>
      <w:r w:rsidRPr="00F60A1E">
        <w:rPr>
          <w:bCs/>
          <w:i/>
          <w:vertAlign w:val="superscript"/>
        </w:rPr>
        <w:footnoteReference w:id="345"/>
      </w:r>
      <w:r w:rsidRPr="00F60A1E">
        <w:rPr>
          <w:bCs/>
        </w:rPr>
        <w:t>. The child does not have the legal capacity to act and petition a court in his/her own right. Some courts have recognised the ability of the child him/herself to petition for the appointment of a guardian</w:t>
      </w:r>
      <w:r w:rsidRPr="00F60A1E">
        <w:rPr>
          <w:bCs/>
          <w:i/>
        </w:rPr>
        <w:t xml:space="preserve"> ad litem</w:t>
      </w:r>
      <w:r w:rsidRPr="00F60A1E">
        <w:rPr>
          <w:bCs/>
        </w:rPr>
        <w:t xml:space="preserve"> in an emergency case</w:t>
      </w:r>
      <w:r w:rsidRPr="00F60A1E">
        <w:rPr>
          <w:bCs/>
          <w:vertAlign w:val="superscript"/>
        </w:rPr>
        <w:footnoteReference w:id="346"/>
      </w:r>
      <w:r w:rsidRPr="00F60A1E">
        <w:rPr>
          <w:bCs/>
        </w:rPr>
        <w:t xml:space="preserve">. </w:t>
      </w:r>
    </w:p>
    <w:p w:rsidR="00F60A1E" w:rsidRPr="00F60A1E" w:rsidRDefault="00F60A1E" w:rsidP="00F60A1E">
      <w:pPr>
        <w:widowControl w:val="0"/>
        <w:spacing w:before="0" w:after="0" w:line="240" w:lineRule="auto"/>
        <w:ind w:left="851"/>
        <w:jc w:val="both"/>
        <w:rPr>
          <w:bCs/>
        </w:rPr>
      </w:pPr>
    </w:p>
    <w:p w:rsidR="00F60A1E" w:rsidRPr="00F60A1E" w:rsidRDefault="00F60A1E" w:rsidP="00F60A1E">
      <w:pPr>
        <w:widowControl w:val="0"/>
        <w:spacing w:before="0" w:after="0" w:line="240" w:lineRule="auto"/>
        <w:ind w:left="851"/>
        <w:jc w:val="both"/>
        <w:rPr>
          <w:bCs/>
        </w:rPr>
      </w:pPr>
      <w:r w:rsidRPr="00F60A1E">
        <w:rPr>
          <w:bCs/>
        </w:rPr>
        <w:t>Child care authorities are not allowed to appeal against the Council of State’s decisions involving children.</w:t>
      </w:r>
    </w:p>
    <w:p w:rsidR="00F60A1E" w:rsidRPr="00F60A1E" w:rsidRDefault="00F60A1E" w:rsidP="00F60A1E">
      <w:pPr>
        <w:keepNext/>
        <w:keepLines/>
        <w:spacing w:after="0"/>
        <w:ind w:left="1702" w:hanging="851"/>
        <w:outlineLvl w:val="4"/>
        <w:rPr>
          <w:rFonts w:ascii="Calibri" w:eastAsiaTheme="majorEastAsia" w:hAnsi="Calibri" w:cstheme="majorBidi"/>
          <w:i/>
          <w:color w:val="0067AC"/>
          <w:sz w:val="22"/>
        </w:rPr>
      </w:pPr>
      <w:r w:rsidRPr="00F60A1E">
        <w:rPr>
          <w:rFonts w:ascii="Calibri" w:eastAsiaTheme="majorEastAsia" w:hAnsi="Calibri" w:cstheme="majorBidi"/>
          <w:i/>
          <w:color w:val="0067AC"/>
          <w:sz w:val="22"/>
        </w:rPr>
        <w:t>Interveners</w:t>
      </w:r>
      <w:r w:rsidRPr="00F60A1E">
        <w:rPr>
          <w:rFonts w:ascii="Calibri" w:eastAsiaTheme="majorEastAsia" w:hAnsi="Calibri" w:cstheme="majorBidi"/>
          <w:i/>
          <w:color w:val="0067AC"/>
          <w:sz w:val="22"/>
        </w:rPr>
        <w:br/>
      </w:r>
    </w:p>
    <w:p w:rsidR="00F60A1E" w:rsidRPr="00F60A1E" w:rsidRDefault="00F60A1E" w:rsidP="00F60A1E">
      <w:pPr>
        <w:widowControl w:val="0"/>
        <w:spacing w:before="0" w:after="0" w:line="240" w:lineRule="auto"/>
        <w:ind w:left="851"/>
        <w:jc w:val="both"/>
        <w:rPr>
          <w:bCs/>
          <w:szCs w:val="20"/>
        </w:rPr>
      </w:pPr>
      <w:r w:rsidRPr="00F60A1E">
        <w:rPr>
          <w:bCs/>
          <w:szCs w:val="20"/>
        </w:rPr>
        <w:t>A child intervener, through his/her legal representative, may bring a revision appeal, or an opposition against the decision of the Council of State regarding the request for intervention. The child intervener is not able to appeal in cassation, in revision or oppose the Council of State’s decision.</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witness</w:t>
      </w:r>
    </w:p>
    <w:p w:rsidR="00F60A1E" w:rsidRPr="00F60A1E" w:rsidRDefault="00F60A1E" w:rsidP="00F60A1E">
      <w:pPr>
        <w:spacing w:before="0" w:after="0" w:line="240" w:lineRule="auto"/>
        <w:ind w:left="851"/>
        <w:rPr>
          <w:bCs/>
          <w:szCs w:val="20"/>
        </w:rPr>
      </w:pPr>
    </w:p>
    <w:p w:rsidR="00F60A1E" w:rsidRPr="00F60A1E" w:rsidRDefault="00F60A1E" w:rsidP="00F60A1E">
      <w:pPr>
        <w:widowControl w:val="0"/>
        <w:spacing w:before="0" w:after="0" w:line="240" w:lineRule="auto"/>
        <w:ind w:left="851"/>
        <w:rPr>
          <w:bCs/>
          <w:szCs w:val="20"/>
        </w:rPr>
      </w:pPr>
      <w:r w:rsidRPr="00F60A1E">
        <w:rPr>
          <w:bCs/>
          <w:szCs w:val="20"/>
        </w:rPr>
        <w:t>Witnesses – both adults and children, have no possibility to appeal against court decisions.</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subject of proceedings</w:t>
      </w:r>
    </w:p>
    <w:p w:rsidR="00F60A1E" w:rsidRPr="00F60A1E" w:rsidRDefault="00F60A1E" w:rsidP="00F60A1E">
      <w:pPr>
        <w:keepNext/>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 xml:space="preserve">As mentioned in </w:t>
      </w:r>
      <w:hyperlink w:anchor="_The_child_as" w:history="1">
        <w:r w:rsidRPr="00F60A1E">
          <w:rPr>
            <w:bCs/>
            <w:color w:val="0000FF" w:themeColor="hyperlink"/>
            <w:szCs w:val="20"/>
            <w:u w:val="single"/>
          </w:rPr>
          <w:t>Section 2.1</w:t>
        </w:r>
      </w:hyperlink>
      <w:r w:rsidRPr="00F60A1E">
        <w:rPr>
          <w:bCs/>
          <w:szCs w:val="20"/>
        </w:rPr>
        <w:t xml:space="preserve">, no rules were identified on child subjects of administrative judicial proceedings in Belgium. A child affected by the proceedings may, through his/her legal representative, request to intervene in the proceedings. </w:t>
      </w:r>
    </w:p>
    <w:p w:rsidR="00F60A1E" w:rsidRPr="00F60A1E" w:rsidRDefault="00F60A1E" w:rsidP="0082630D">
      <w:pPr>
        <w:pStyle w:val="Heading3"/>
      </w:pPr>
      <w:bookmarkStart w:id="274" w:name="_Toc401578597"/>
      <w:bookmarkStart w:id="275" w:name="_Toc404767216"/>
      <w:bookmarkStart w:id="276" w:name="_Toc409792279"/>
      <w:r w:rsidRPr="00F60A1E">
        <w:t>Procedural rules applicable to children involved in asylum and migration proceedings</w:t>
      </w:r>
      <w:bookmarkEnd w:id="274"/>
      <w:bookmarkEnd w:id="275"/>
      <w:bookmarkEnd w:id="276"/>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plaintiff/defendant/subject of proceedings</w:t>
      </w:r>
    </w:p>
    <w:p w:rsidR="00F60A1E" w:rsidRPr="00F60A1E" w:rsidRDefault="00F60A1E" w:rsidP="00F60A1E">
      <w:pPr>
        <w:widowControl w:val="0"/>
        <w:spacing w:before="0" w:after="0" w:line="240" w:lineRule="auto"/>
        <w:ind w:left="851"/>
        <w:jc w:val="both"/>
        <w:rPr>
          <w:bCs/>
        </w:rPr>
      </w:pPr>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 xml:space="preserve">As explained in </w:t>
      </w:r>
      <w:hyperlink w:anchor="_Overview_of_Member" w:history="1">
        <w:r w:rsidRPr="00F60A1E">
          <w:rPr>
            <w:rFonts w:cs="Arial"/>
            <w:color w:val="0000FF" w:themeColor="hyperlink"/>
            <w:szCs w:val="20"/>
            <w:u w:val="single"/>
          </w:rPr>
          <w:t>Section 1</w:t>
        </w:r>
      </w:hyperlink>
      <w:r w:rsidRPr="00F60A1E">
        <w:rPr>
          <w:rFonts w:cs="Arial"/>
          <w:szCs w:val="20"/>
        </w:rPr>
        <w:t xml:space="preserve">, decisions on asylum and migration by quasi-judicial administrative authorities, i.e. the Council for Foreigners Litigation, are appealed to the Council of State in a </w:t>
      </w:r>
      <w:r w:rsidRPr="00F60A1E">
        <w:rPr>
          <w:rFonts w:cs="Arial"/>
          <w:szCs w:val="20"/>
        </w:rPr>
        <w:lastRenderedPageBreak/>
        <w:t>cassation procedure. The Council of State reviews the legality of the decision</w:t>
      </w:r>
      <w:r w:rsidRPr="00F60A1E">
        <w:rPr>
          <w:szCs w:val="20"/>
          <w:vertAlign w:val="superscript"/>
        </w:rPr>
        <w:footnoteReference w:id="347"/>
      </w:r>
      <w:r w:rsidRPr="00F60A1E">
        <w:rPr>
          <w:rFonts w:cs="Arial"/>
          <w:szCs w:val="20"/>
        </w:rPr>
        <w:t>. If the Council of State quashes the decision of the Council for Foreigners Litigation, the case will return before the Council for Foreigners Litigation for a new decision. If the decision of the Council for Foreigners Litigation is upheld, the general rules described above apply.</w:t>
      </w:r>
    </w:p>
    <w:p w:rsidR="00F60A1E" w:rsidRPr="00F60A1E" w:rsidRDefault="00F60A1E" w:rsidP="00F60A1E">
      <w:pPr>
        <w:keepNext/>
        <w:keepLines/>
        <w:spacing w:after="0"/>
        <w:ind w:left="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witness</w:t>
      </w:r>
    </w:p>
    <w:p w:rsidR="00F60A1E" w:rsidRPr="00F60A1E" w:rsidRDefault="00F60A1E" w:rsidP="00F60A1E">
      <w:pPr>
        <w:widowControl w:val="0"/>
        <w:spacing w:before="0" w:after="0" w:line="240" w:lineRule="auto"/>
        <w:ind w:left="2291"/>
        <w:jc w:val="both"/>
        <w:rPr>
          <w:bCs/>
        </w:rPr>
      </w:pPr>
    </w:p>
    <w:p w:rsidR="00F60A1E" w:rsidRPr="00F60A1E" w:rsidRDefault="00F60A1E" w:rsidP="00F60A1E">
      <w:pPr>
        <w:spacing w:before="0" w:after="0" w:line="240" w:lineRule="auto"/>
        <w:ind w:left="851"/>
        <w:jc w:val="both"/>
      </w:pPr>
      <w:r w:rsidRPr="00F60A1E">
        <w:t>Witnesses – both adults and children, have no possibility to appeal against court decisions.</w:t>
      </w:r>
    </w:p>
    <w:p w:rsidR="00F60A1E" w:rsidRPr="00F60A1E" w:rsidRDefault="00F60A1E" w:rsidP="0082630D">
      <w:pPr>
        <w:pStyle w:val="Heading3"/>
      </w:pPr>
      <w:bookmarkStart w:id="277" w:name="_Toc401578598"/>
      <w:bookmarkStart w:id="278" w:name="_Toc404767217"/>
      <w:bookmarkStart w:id="279" w:name="_Toc409792280"/>
      <w:r w:rsidRPr="00F60A1E">
        <w:t>Procedural rules applicable to children involved in placement into care proceedings</w:t>
      </w:r>
      <w:bookmarkEnd w:id="277"/>
      <w:bookmarkEnd w:id="278"/>
      <w:bookmarkEnd w:id="279"/>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plaintiff/defendant/subject of proceedings</w:t>
      </w:r>
    </w:p>
    <w:p w:rsidR="00F60A1E" w:rsidRPr="00F60A1E" w:rsidRDefault="00F60A1E" w:rsidP="00F60A1E">
      <w:pPr>
        <w:widowControl w:val="0"/>
        <w:spacing w:before="0" w:after="0" w:line="240" w:lineRule="auto"/>
        <w:ind w:left="851"/>
        <w:jc w:val="both"/>
        <w:rPr>
          <w:bCs/>
        </w:rPr>
      </w:pPr>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 xml:space="preserve">As mentioned in </w:t>
      </w:r>
      <w:hyperlink w:anchor="_Overview_of_Member" w:history="1">
        <w:r w:rsidRPr="00F60A1E">
          <w:rPr>
            <w:rFonts w:cs="Arial"/>
            <w:color w:val="0000FF" w:themeColor="hyperlink"/>
            <w:szCs w:val="20"/>
            <w:u w:val="single"/>
          </w:rPr>
          <w:t>Section 1</w:t>
        </w:r>
      </w:hyperlink>
      <w:r w:rsidRPr="00F60A1E">
        <w:rPr>
          <w:rFonts w:cs="Arial"/>
          <w:szCs w:val="20"/>
        </w:rPr>
        <w:t xml:space="preserve">, measures for the protection of the child, including placement into care, are either voluntary – under the supervision of a youth care service, or non-voluntary. Non-voluntary measures require the intervention of the youth tribunal, which will apply the </w:t>
      </w:r>
      <w:hyperlink r:id="rId150" w:history="1">
        <w:r w:rsidRPr="00F60A1E">
          <w:rPr>
            <w:rFonts w:cs="Arial"/>
            <w:color w:val="0000FF" w:themeColor="hyperlink"/>
            <w:szCs w:val="20"/>
            <w:u w:val="single"/>
          </w:rPr>
          <w:t>Youth Protection Act</w:t>
        </w:r>
      </w:hyperlink>
      <w:r w:rsidRPr="00F60A1E">
        <w:rPr>
          <w:rFonts w:cs="Arial"/>
          <w:szCs w:val="20"/>
        </w:rPr>
        <w:t xml:space="preserve"> and the </w:t>
      </w:r>
      <w:hyperlink r:id="rId151" w:history="1">
        <w:r w:rsidRPr="00F60A1E">
          <w:rPr>
            <w:rFonts w:cs="Arial"/>
            <w:color w:val="0000FF" w:themeColor="hyperlink"/>
            <w:szCs w:val="20"/>
            <w:u w:val="single"/>
          </w:rPr>
          <w:t>Judicial Code</w:t>
        </w:r>
      </w:hyperlink>
      <w:r w:rsidRPr="00F60A1E">
        <w:rPr>
          <w:rFonts w:cs="Arial"/>
          <w:szCs w:val="20"/>
        </w:rPr>
        <w:t xml:space="preserve">, i.e. civil procedural rules. </w:t>
      </w:r>
    </w:p>
    <w:p w:rsidR="00F60A1E" w:rsidRPr="00F60A1E" w:rsidRDefault="00F60A1E" w:rsidP="00F60A1E">
      <w:pPr>
        <w:widowControl w:val="0"/>
        <w:spacing w:before="0" w:after="0" w:line="240" w:lineRule="auto"/>
        <w:ind w:left="851"/>
        <w:jc w:val="both"/>
        <w:rPr>
          <w:szCs w:val="20"/>
        </w:rPr>
      </w:pPr>
    </w:p>
    <w:p w:rsidR="00F60A1E" w:rsidRPr="00F60A1E" w:rsidRDefault="00F60A1E" w:rsidP="00F60A1E">
      <w:pPr>
        <w:widowControl w:val="0"/>
        <w:spacing w:before="0" w:after="0" w:line="240" w:lineRule="auto"/>
        <w:ind w:left="851"/>
        <w:jc w:val="both"/>
        <w:rPr>
          <w:bCs/>
          <w:szCs w:val="20"/>
        </w:rPr>
      </w:pPr>
      <w:r w:rsidRPr="00F60A1E">
        <w:rPr>
          <w:szCs w:val="20"/>
        </w:rPr>
        <w:t xml:space="preserve">Decisions of the youth tribunals may be appealed before the courts of appeal. </w:t>
      </w:r>
      <w:r w:rsidRPr="00F60A1E">
        <w:rPr>
          <w:bCs/>
          <w:szCs w:val="20"/>
        </w:rPr>
        <w:t xml:space="preserve">In accordance with the rules on procedural capacity of the child described in </w:t>
      </w:r>
      <w:hyperlink w:anchor="_The_child_as" w:history="1">
        <w:r w:rsidRPr="00F60A1E">
          <w:rPr>
            <w:bCs/>
            <w:color w:val="0000FF" w:themeColor="hyperlink"/>
            <w:szCs w:val="20"/>
            <w:u w:val="single"/>
          </w:rPr>
          <w:t>Section 2.1</w:t>
        </w:r>
      </w:hyperlink>
      <w:r w:rsidRPr="00F60A1E">
        <w:rPr>
          <w:bCs/>
          <w:szCs w:val="20"/>
        </w:rPr>
        <w:t xml:space="preserve">, the child may appeal against a youth tribunal’s decision through his/her legal representative – with the exceptions mentioned in </w:t>
      </w:r>
      <w:hyperlink w:anchor="_The_child_as" w:history="1">
        <w:r w:rsidRPr="00F60A1E">
          <w:rPr>
            <w:bCs/>
            <w:color w:val="0000FF" w:themeColor="hyperlink"/>
            <w:szCs w:val="20"/>
            <w:u w:val="single"/>
          </w:rPr>
          <w:t>Section 2.1</w:t>
        </w:r>
      </w:hyperlink>
      <w:r w:rsidRPr="00F60A1E">
        <w:rPr>
          <w:bCs/>
          <w:szCs w:val="20"/>
        </w:rPr>
        <w:t>. The child’s consent is not required for the legal representative to act, although the child must be assisted by a legal counsel in proceedings before a youth tribunal and court of appeal.</w:t>
      </w:r>
    </w:p>
    <w:p w:rsidR="00F60A1E" w:rsidRPr="00F60A1E" w:rsidRDefault="00F60A1E" w:rsidP="00F60A1E">
      <w:pPr>
        <w:widowControl w:val="0"/>
        <w:spacing w:before="0" w:after="0" w:line="240" w:lineRule="auto"/>
        <w:ind w:left="851"/>
        <w:jc w:val="both"/>
        <w:rPr>
          <w:rFonts w:cs="Arial"/>
          <w:szCs w:val="20"/>
        </w:rPr>
      </w:pPr>
    </w:p>
    <w:p w:rsidR="00F60A1E" w:rsidRPr="00F60A1E" w:rsidRDefault="00F60A1E" w:rsidP="00F60A1E">
      <w:pPr>
        <w:spacing w:before="0" w:after="0" w:line="240" w:lineRule="auto"/>
        <w:ind w:left="851"/>
        <w:jc w:val="both"/>
        <w:rPr>
          <w:bCs/>
          <w:szCs w:val="20"/>
        </w:rPr>
      </w:pPr>
      <w:r w:rsidRPr="00F60A1E">
        <w:rPr>
          <w:bCs/>
          <w:szCs w:val="20"/>
        </w:rPr>
        <w:t>When a child is party to a judicial proceeding, the Crown Prosecutor’s Office may be involved in the proceedings</w:t>
      </w:r>
      <w:r w:rsidRPr="00F60A1E">
        <w:rPr>
          <w:bCs/>
          <w:szCs w:val="20"/>
          <w:vertAlign w:val="superscript"/>
        </w:rPr>
        <w:footnoteReference w:id="348"/>
      </w:r>
      <w:r w:rsidRPr="00F60A1E">
        <w:rPr>
          <w:bCs/>
          <w:szCs w:val="20"/>
        </w:rPr>
        <w:t xml:space="preserve"> and can appeal against a court decision if it is deemed to be against public order, i.e. against the child’s best interests. No legal provisions have been identified on the ability of the social services to appeal against judicial decisions involving children.</w:t>
      </w:r>
    </w:p>
    <w:p w:rsidR="00F60A1E" w:rsidRPr="00F60A1E" w:rsidRDefault="00F60A1E" w:rsidP="00F60A1E">
      <w:pPr>
        <w:spacing w:before="0" w:after="0" w:line="240" w:lineRule="auto"/>
        <w:ind w:left="851"/>
        <w:jc w:val="both"/>
        <w:rPr>
          <w:bCs/>
          <w:szCs w:val="20"/>
        </w:rPr>
      </w:pPr>
    </w:p>
    <w:p w:rsidR="00F60A1E" w:rsidRPr="00F60A1E" w:rsidRDefault="00F60A1E" w:rsidP="00F60A1E">
      <w:pPr>
        <w:spacing w:before="0" w:after="0" w:line="240" w:lineRule="auto"/>
        <w:ind w:left="851"/>
        <w:jc w:val="both"/>
        <w:rPr>
          <w:bCs/>
          <w:szCs w:val="20"/>
        </w:rPr>
      </w:pPr>
      <w:r w:rsidRPr="00F60A1E">
        <w:rPr>
          <w:bCs/>
          <w:szCs w:val="20"/>
        </w:rPr>
        <w:t>On the provision of support to access remedies, the issue of a conflict of interests between the child and his/her legal representative and the issue of legal obligation by the judicial authorities to secure the child’s right to claim compensation, the general rules on administrative judicial proceedings described above apply to placement into care proceedings.</w:t>
      </w:r>
    </w:p>
    <w:p w:rsidR="00F60A1E" w:rsidRPr="00F60A1E" w:rsidRDefault="00F60A1E" w:rsidP="00F60A1E">
      <w:pPr>
        <w:spacing w:before="0" w:after="0" w:line="240" w:lineRule="auto"/>
        <w:ind w:left="851"/>
        <w:jc w:val="both"/>
      </w:pPr>
    </w:p>
    <w:p w:rsidR="00F60A1E" w:rsidRPr="00F60A1E" w:rsidRDefault="00F60A1E" w:rsidP="00F60A1E">
      <w:pPr>
        <w:spacing w:before="0" w:after="0" w:line="240" w:lineRule="auto"/>
        <w:ind w:left="851"/>
        <w:jc w:val="both"/>
      </w:pPr>
      <w:r w:rsidRPr="00F60A1E">
        <w:t xml:space="preserve">Regarding the statute of limitation to pursue certain claims, </w:t>
      </w:r>
      <w:r w:rsidRPr="00F60A1E">
        <w:rPr>
          <w:bCs/>
        </w:rPr>
        <w:t xml:space="preserve">as mentioned in the Study to collect data on children’s involvement in civil judicial proceedings, </w:t>
      </w:r>
      <w:r w:rsidRPr="00F60A1E">
        <w:t>children or their legal representatives must report the offence and bring their claims before the end of the legal prescription period. However, a derogation is provided for child victims of sexual abuse, incitement of children to immoral behaviour, prostitution, female genital mutilation or human trafficking. For those offences, the prescription period starts running only when the child reaches the age of 18 years</w:t>
      </w:r>
      <w:r w:rsidRPr="00F60A1E">
        <w:rPr>
          <w:vertAlign w:val="superscript"/>
        </w:rPr>
        <w:footnoteReference w:id="349"/>
      </w:r>
      <w:r w:rsidRPr="00F60A1E">
        <w:t>.</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witness</w:t>
      </w:r>
    </w:p>
    <w:p w:rsidR="00F60A1E" w:rsidRPr="00F60A1E" w:rsidRDefault="00F60A1E" w:rsidP="00F60A1E">
      <w:pPr>
        <w:widowControl w:val="0"/>
        <w:spacing w:before="0" w:after="0" w:line="240" w:lineRule="auto"/>
        <w:ind w:left="2291"/>
        <w:jc w:val="both"/>
        <w:rPr>
          <w:bCs/>
        </w:rPr>
      </w:pPr>
    </w:p>
    <w:p w:rsidR="00F60A1E" w:rsidRPr="00F60A1E" w:rsidRDefault="00F60A1E" w:rsidP="00F60A1E">
      <w:pPr>
        <w:spacing w:before="0" w:after="0" w:line="240" w:lineRule="auto"/>
        <w:ind w:left="851"/>
        <w:jc w:val="both"/>
      </w:pPr>
      <w:r w:rsidRPr="00F60A1E">
        <w:t>Witnesses – both adults and children have no possibility to appeal against court decisions.</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subject of proceedings</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No rules were identified on child subjects of administrative sanction judicial proceedings. A child in such proceedings will be a plaintiff or a defendant. The child is a party to proceedings before a youth tribunal, although the child’s legal representative must carry out the procedural acts on behalf of the child due to the child’s lack of procedural capacity.</w:t>
      </w:r>
    </w:p>
    <w:p w:rsidR="00F60A1E" w:rsidRPr="00F60A1E" w:rsidRDefault="00F60A1E" w:rsidP="0082630D">
      <w:pPr>
        <w:pStyle w:val="Heading3"/>
      </w:pPr>
      <w:bookmarkStart w:id="280" w:name="_Toc401578599"/>
      <w:bookmarkStart w:id="281" w:name="_Toc404767218"/>
      <w:bookmarkStart w:id="282" w:name="_Toc409792281"/>
      <w:r w:rsidRPr="00F60A1E">
        <w:lastRenderedPageBreak/>
        <w:t>Procedural rules applicable to children involved in administrative sanctions proceedings</w:t>
      </w:r>
      <w:bookmarkEnd w:id="280"/>
      <w:bookmarkEnd w:id="281"/>
      <w:bookmarkEnd w:id="282"/>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plaintiff/defendant</w:t>
      </w:r>
      <w:r>
        <w:rPr>
          <w:rFonts w:ascii="Calibri" w:eastAsiaTheme="majorEastAsia" w:hAnsi="Calibri" w:cstheme="majorBidi"/>
          <w:b/>
          <w:bCs/>
          <w:i/>
          <w:iCs/>
          <w:color w:val="0067AC"/>
          <w:sz w:val="22"/>
        </w:rPr>
        <w:br/>
      </w:r>
    </w:p>
    <w:p w:rsidR="00F60A1E" w:rsidRPr="00F60A1E" w:rsidRDefault="00F60A1E" w:rsidP="00F60A1E">
      <w:pPr>
        <w:widowControl w:val="0"/>
        <w:spacing w:before="0" w:after="0" w:line="240" w:lineRule="auto"/>
        <w:ind w:left="851"/>
        <w:jc w:val="both"/>
        <w:rPr>
          <w:szCs w:val="20"/>
        </w:rPr>
      </w:pPr>
      <w:r w:rsidRPr="00F60A1E">
        <w:rPr>
          <w:szCs w:val="20"/>
        </w:rPr>
        <w:t xml:space="preserve">As explained in </w:t>
      </w:r>
      <w:hyperlink w:anchor="_Overview_of_Member" w:history="1">
        <w:r w:rsidRPr="00F60A1E">
          <w:rPr>
            <w:color w:val="0000FF" w:themeColor="hyperlink"/>
            <w:szCs w:val="20"/>
            <w:u w:val="single"/>
          </w:rPr>
          <w:t>Section 1</w:t>
        </w:r>
      </w:hyperlink>
      <w:r w:rsidRPr="00F60A1E">
        <w:rPr>
          <w:szCs w:val="20"/>
        </w:rPr>
        <w:t>, administrative authorities’ decisions imposing administrative sanctions on children can be appealed before the youth tribunals.</w:t>
      </w:r>
    </w:p>
    <w:p w:rsidR="00F60A1E" w:rsidRPr="00F60A1E" w:rsidRDefault="00F60A1E" w:rsidP="00F60A1E">
      <w:pPr>
        <w:widowControl w:val="0"/>
        <w:spacing w:before="0" w:after="0" w:line="240" w:lineRule="auto"/>
        <w:ind w:left="851"/>
        <w:jc w:val="both"/>
        <w:rPr>
          <w:rFonts w:cs="Arial"/>
          <w:szCs w:val="20"/>
        </w:rPr>
      </w:pPr>
    </w:p>
    <w:p w:rsidR="00F60A1E" w:rsidRPr="00F60A1E" w:rsidRDefault="00F60A1E" w:rsidP="00F60A1E">
      <w:pPr>
        <w:spacing w:before="0" w:after="0" w:line="240" w:lineRule="auto"/>
        <w:ind w:left="851"/>
        <w:jc w:val="both"/>
      </w:pPr>
      <w:r w:rsidRPr="00F60A1E">
        <w:t>With respect to proceedings resulting from the municipalities’ administrative sanctions, the decisions of the youth tribunals are not subject to further appeals. However, if the youth tribunal decides, within the proceeding related to the administrative sanction, that a youth protection measure is more adapted to the child’s situation, the youth tribunal can replace the administrative sanction with a protection measure. Such a decision may be appealed before the court of appeal in accordance with the rules described above in placement into care proceedings</w:t>
      </w:r>
      <w:r w:rsidRPr="00F60A1E">
        <w:rPr>
          <w:vertAlign w:val="superscript"/>
        </w:rPr>
        <w:footnoteReference w:id="350"/>
      </w:r>
      <w:r w:rsidRPr="00F60A1E">
        <w:t>.</w:t>
      </w:r>
    </w:p>
    <w:p w:rsidR="00F60A1E" w:rsidRPr="00F60A1E" w:rsidRDefault="00F60A1E" w:rsidP="00F60A1E">
      <w:pPr>
        <w:spacing w:before="0" w:after="0" w:line="240" w:lineRule="auto"/>
        <w:ind w:left="851"/>
        <w:jc w:val="both"/>
      </w:pPr>
    </w:p>
    <w:p w:rsidR="00F60A1E" w:rsidRPr="00F60A1E" w:rsidRDefault="00F60A1E" w:rsidP="00F60A1E">
      <w:pPr>
        <w:spacing w:before="0" w:after="0" w:line="240" w:lineRule="auto"/>
        <w:ind w:left="851"/>
        <w:jc w:val="both"/>
      </w:pPr>
      <w:r w:rsidRPr="00F60A1E">
        <w:t>Concerning appeals against administrative sanctions before the youth tribunals, the youth tribunals’ decisions cannot be appealed</w:t>
      </w:r>
      <w:r w:rsidRPr="00F60A1E">
        <w:rPr>
          <w:vertAlign w:val="superscript"/>
        </w:rPr>
        <w:footnoteReference w:id="351"/>
      </w:r>
      <w:r w:rsidRPr="00F60A1E">
        <w:t>. However, the youth tribunal does not have the possibility to substitute the administrative sanction for a youth protection measure</w:t>
      </w:r>
      <w:r w:rsidRPr="00F60A1E">
        <w:rPr>
          <w:vertAlign w:val="superscript"/>
        </w:rPr>
        <w:footnoteReference w:id="352"/>
      </w:r>
      <w:r w:rsidRPr="00F60A1E">
        <w:t>.</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witness</w:t>
      </w:r>
    </w:p>
    <w:p w:rsidR="00F60A1E" w:rsidRPr="00F60A1E" w:rsidRDefault="00F60A1E" w:rsidP="00F60A1E">
      <w:pPr>
        <w:widowControl w:val="0"/>
        <w:spacing w:before="0" w:after="0" w:line="240" w:lineRule="auto"/>
        <w:ind w:left="2291"/>
        <w:jc w:val="both"/>
        <w:rPr>
          <w:bCs/>
        </w:rPr>
      </w:pPr>
    </w:p>
    <w:p w:rsidR="00F60A1E" w:rsidRPr="00F60A1E" w:rsidRDefault="00F60A1E" w:rsidP="00F60A1E">
      <w:pPr>
        <w:spacing w:before="0" w:after="0" w:line="240" w:lineRule="auto"/>
        <w:ind w:left="851"/>
        <w:jc w:val="both"/>
      </w:pPr>
      <w:r w:rsidRPr="00F60A1E">
        <w:t>Witnesses –both adults and children - have no possibility to appeal against court decisions.</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subject of proceedings</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No rules were identified on child subjects of administrative sanction judicial proceedings. A child in such proceedings will be a plaintiff or a defendant. The child is a party to proceedings before a youth tribunal, although the child’s legal representative must carry out the procedural acts on behalf of the child due to the child’s lack of procedural capacity.</w:t>
      </w:r>
    </w:p>
    <w:p w:rsidR="00F60A1E" w:rsidRPr="00F60A1E" w:rsidRDefault="00F60A1E" w:rsidP="0082630D">
      <w:pPr>
        <w:pStyle w:val="Heading3"/>
      </w:pPr>
      <w:bookmarkStart w:id="283" w:name="_Toc401578600"/>
      <w:bookmarkStart w:id="284" w:name="_Toc404767219"/>
      <w:bookmarkStart w:id="285" w:name="_Toc409792282"/>
      <w:r w:rsidRPr="00F60A1E">
        <w:t>Procedural rules applicable to children involved in health care proceedings</w:t>
      </w:r>
      <w:bookmarkEnd w:id="283"/>
      <w:bookmarkEnd w:id="284"/>
      <w:bookmarkEnd w:id="285"/>
      <w:r w:rsidRPr="00F60A1E">
        <w:t xml:space="preserve"> </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plaintiff/defendant/subject of proceedings</w:t>
      </w:r>
    </w:p>
    <w:p w:rsidR="00F60A1E" w:rsidRPr="00F60A1E" w:rsidRDefault="00F60A1E" w:rsidP="00F60A1E">
      <w:pPr>
        <w:widowControl w:val="0"/>
        <w:spacing w:before="0" w:after="0" w:line="240" w:lineRule="auto"/>
        <w:ind w:left="2291"/>
        <w:jc w:val="both"/>
        <w:rPr>
          <w:bCs/>
          <w:szCs w:val="20"/>
        </w:rPr>
      </w:pPr>
    </w:p>
    <w:p w:rsidR="00F60A1E" w:rsidRPr="00F60A1E" w:rsidRDefault="00F60A1E" w:rsidP="00F60A1E">
      <w:pPr>
        <w:widowControl w:val="0"/>
        <w:spacing w:before="0" w:after="0" w:line="240" w:lineRule="auto"/>
        <w:ind w:left="851"/>
        <w:jc w:val="both"/>
      </w:pPr>
      <w:r w:rsidRPr="00F60A1E">
        <w:t xml:space="preserve">As explained in </w:t>
      </w:r>
      <w:hyperlink w:anchor="_Overview_of_Member" w:history="1">
        <w:r w:rsidRPr="00F60A1E">
          <w:rPr>
            <w:rFonts w:cs="Arial"/>
            <w:color w:val="0000FF" w:themeColor="hyperlink"/>
            <w:u w:val="single"/>
          </w:rPr>
          <w:t>Section 1</w:t>
        </w:r>
      </w:hyperlink>
      <w:r w:rsidRPr="00F60A1E">
        <w:t>, to appeal against medical treatment decisions, the child can turn to the court in civil judicial proceedings if no mediation agreement could be reached.</w:t>
      </w:r>
    </w:p>
    <w:p w:rsidR="00F60A1E" w:rsidRPr="00F60A1E" w:rsidRDefault="00F60A1E" w:rsidP="00F60A1E">
      <w:pPr>
        <w:widowControl w:val="0"/>
        <w:spacing w:before="0" w:after="0" w:line="240" w:lineRule="auto"/>
        <w:ind w:left="851"/>
        <w:jc w:val="both"/>
      </w:pPr>
    </w:p>
    <w:p w:rsidR="00F60A1E" w:rsidRPr="00F60A1E" w:rsidRDefault="00F60A1E" w:rsidP="00F60A1E">
      <w:pPr>
        <w:widowControl w:val="0"/>
        <w:spacing w:before="0" w:after="0" w:line="240" w:lineRule="auto"/>
        <w:ind w:left="851"/>
        <w:jc w:val="both"/>
        <w:rPr>
          <w:bCs/>
        </w:rPr>
      </w:pPr>
      <w:r w:rsidRPr="00F60A1E">
        <w:t xml:space="preserve">Decisions of the civil court and the civil magistrate court may be appealed before a court of appeal or a civil court. </w:t>
      </w:r>
      <w:r w:rsidRPr="00F60A1E">
        <w:rPr>
          <w:bCs/>
        </w:rPr>
        <w:t xml:space="preserve">In accordance with the rules on procedural capacity of the child described in </w:t>
      </w:r>
      <w:hyperlink w:anchor="_The_child_as" w:history="1">
        <w:r w:rsidRPr="00F60A1E">
          <w:rPr>
            <w:bCs/>
            <w:color w:val="0000FF" w:themeColor="hyperlink"/>
            <w:u w:val="single"/>
          </w:rPr>
          <w:t>Section 2.1</w:t>
        </w:r>
      </w:hyperlink>
      <w:r w:rsidRPr="00F60A1E">
        <w:rPr>
          <w:bCs/>
        </w:rPr>
        <w:t xml:space="preserve">, the child may appeal against a court’s decision through his/her legal representative – with the exceptions mentioned in </w:t>
      </w:r>
      <w:hyperlink w:anchor="_The_child_as" w:history="1">
        <w:r w:rsidRPr="00F60A1E">
          <w:rPr>
            <w:bCs/>
            <w:color w:val="0000FF" w:themeColor="hyperlink"/>
            <w:u w:val="single"/>
          </w:rPr>
          <w:t>Section 2.1</w:t>
        </w:r>
      </w:hyperlink>
      <w:r w:rsidRPr="00F60A1E">
        <w:rPr>
          <w:bCs/>
        </w:rPr>
        <w:t>. The child’s consent is not required for the legal representative to act.</w:t>
      </w:r>
    </w:p>
    <w:p w:rsidR="00F60A1E" w:rsidRPr="00F60A1E" w:rsidRDefault="00F60A1E" w:rsidP="00F60A1E">
      <w:pPr>
        <w:widowControl w:val="0"/>
        <w:spacing w:before="0" w:after="0" w:line="240" w:lineRule="auto"/>
        <w:ind w:left="851"/>
        <w:jc w:val="both"/>
      </w:pPr>
    </w:p>
    <w:p w:rsidR="00F60A1E" w:rsidRPr="00F60A1E" w:rsidRDefault="00F60A1E" w:rsidP="00F60A1E">
      <w:pPr>
        <w:spacing w:before="0" w:after="0" w:line="240" w:lineRule="auto"/>
        <w:ind w:left="851"/>
        <w:jc w:val="both"/>
        <w:rPr>
          <w:bCs/>
          <w:szCs w:val="20"/>
        </w:rPr>
      </w:pPr>
      <w:r w:rsidRPr="00F60A1E">
        <w:rPr>
          <w:bCs/>
          <w:szCs w:val="20"/>
        </w:rPr>
        <w:t>On the provision of support to access remedies, the issue of a conflict of interests between the child and his/her legal representative and the issue of legal obligation by the judicial authorities to secure the child’s right to claim compensation, the general rules on administrative judicial proceedings described above apply to health care judicial proceedings.</w:t>
      </w:r>
    </w:p>
    <w:p w:rsidR="00F60A1E" w:rsidRPr="00F60A1E" w:rsidRDefault="00F60A1E" w:rsidP="00F60A1E">
      <w:pPr>
        <w:spacing w:before="0" w:after="0" w:line="240" w:lineRule="auto"/>
        <w:ind w:left="851"/>
        <w:jc w:val="both"/>
        <w:rPr>
          <w:bCs/>
          <w:szCs w:val="20"/>
        </w:rPr>
      </w:pPr>
    </w:p>
    <w:p w:rsidR="00F60A1E" w:rsidRPr="00F60A1E" w:rsidRDefault="00F60A1E" w:rsidP="00F60A1E">
      <w:pPr>
        <w:spacing w:before="0" w:after="0" w:line="240" w:lineRule="auto"/>
        <w:ind w:left="851"/>
        <w:jc w:val="both"/>
        <w:rPr>
          <w:bCs/>
          <w:szCs w:val="20"/>
        </w:rPr>
      </w:pPr>
      <w:r w:rsidRPr="00F60A1E">
        <w:rPr>
          <w:bCs/>
          <w:szCs w:val="20"/>
        </w:rPr>
        <w:t>When a child is a party to a judicial proceeding, the Crown Prosecutor’s Office may be involved in the proceeding</w:t>
      </w:r>
      <w:r w:rsidRPr="00F60A1E">
        <w:rPr>
          <w:bCs/>
          <w:szCs w:val="20"/>
          <w:vertAlign w:val="superscript"/>
        </w:rPr>
        <w:footnoteReference w:id="353"/>
      </w:r>
      <w:r w:rsidRPr="00F60A1E">
        <w:rPr>
          <w:bCs/>
          <w:szCs w:val="20"/>
        </w:rPr>
        <w:t xml:space="preserve"> and can appeal against a court decision if it is deemed to be against public order, i.e. against the child’s best interests. No legal provisions have been identified on the ability of the social services to appeal against judicial decisions involving children.</w:t>
      </w:r>
    </w:p>
    <w:p w:rsidR="00F60A1E" w:rsidRPr="00F60A1E" w:rsidRDefault="00227001" w:rsidP="00227001">
      <w:pPr>
        <w:pStyle w:val="Heading3NoNumb"/>
        <w:ind w:left="851"/>
      </w:pPr>
      <w:bookmarkStart w:id="286" w:name="_Toc409792283"/>
      <w:r>
        <w:t>Mental health</w:t>
      </w:r>
      <w:bookmarkEnd w:id="286"/>
      <w:r>
        <w:t xml:space="preserve"> </w:t>
      </w:r>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 xml:space="preserve">As explained in </w:t>
      </w:r>
      <w:hyperlink w:anchor="_Overview_of_Member" w:history="1">
        <w:r w:rsidRPr="00F60A1E">
          <w:rPr>
            <w:rFonts w:cs="Arial"/>
            <w:color w:val="0000FF" w:themeColor="hyperlink"/>
            <w:szCs w:val="20"/>
            <w:u w:val="single"/>
          </w:rPr>
          <w:t>Section 1</w:t>
        </w:r>
      </w:hyperlink>
      <w:r w:rsidRPr="00F60A1E">
        <w:rPr>
          <w:rFonts w:cs="Arial"/>
          <w:szCs w:val="20"/>
        </w:rPr>
        <w:t xml:space="preserve">, the youth tribunal is competent to take decisions on children with </w:t>
      </w:r>
      <w:r w:rsidRPr="00F60A1E">
        <w:rPr>
          <w:rFonts w:cs="Arial"/>
          <w:szCs w:val="20"/>
        </w:rPr>
        <w:lastRenderedPageBreak/>
        <w:t>mental health care needs</w:t>
      </w:r>
      <w:r w:rsidRPr="00F60A1E">
        <w:rPr>
          <w:szCs w:val="20"/>
          <w:vertAlign w:val="superscript"/>
        </w:rPr>
        <w:footnoteReference w:id="354"/>
      </w:r>
      <w:r w:rsidRPr="00F60A1E">
        <w:rPr>
          <w:rFonts w:cs="Arial"/>
          <w:szCs w:val="20"/>
        </w:rPr>
        <w:t xml:space="preserve">. The youth tribunal applies civil judicial procedural rules, the </w:t>
      </w:r>
      <w:hyperlink r:id="rId152" w:history="1">
        <w:r w:rsidRPr="00F60A1E">
          <w:rPr>
            <w:rFonts w:cs="Arial"/>
            <w:color w:val="0000FF" w:themeColor="hyperlink"/>
            <w:szCs w:val="20"/>
            <w:u w:val="single"/>
          </w:rPr>
          <w:t>Youth Protection Act</w:t>
        </w:r>
      </w:hyperlink>
      <w:r w:rsidRPr="00F60A1E">
        <w:rPr>
          <w:rFonts w:cs="Arial"/>
          <w:szCs w:val="20"/>
        </w:rPr>
        <w:t xml:space="preserve"> and the </w:t>
      </w:r>
      <w:hyperlink r:id="rId153" w:history="1">
        <w:r w:rsidRPr="00F60A1E">
          <w:rPr>
            <w:rFonts w:cs="Arial"/>
            <w:color w:val="0000FF" w:themeColor="hyperlink"/>
            <w:szCs w:val="20"/>
            <w:u w:val="single"/>
          </w:rPr>
          <w:t>Act on the protection of mentally ill persons</w:t>
        </w:r>
      </w:hyperlink>
      <w:r w:rsidRPr="00F60A1E">
        <w:rPr>
          <w:rFonts w:cs="Arial"/>
          <w:szCs w:val="20"/>
        </w:rPr>
        <w:t xml:space="preserve">. </w:t>
      </w:r>
    </w:p>
    <w:p w:rsidR="00F60A1E" w:rsidRPr="00F60A1E" w:rsidRDefault="00F60A1E" w:rsidP="00F60A1E">
      <w:pPr>
        <w:widowControl w:val="0"/>
        <w:spacing w:before="0" w:after="0" w:line="240" w:lineRule="auto"/>
        <w:ind w:left="851"/>
        <w:jc w:val="both"/>
        <w:rPr>
          <w:bCs/>
          <w:szCs w:val="20"/>
          <w:highlight w:val="yellow"/>
        </w:rPr>
      </w:pPr>
    </w:p>
    <w:p w:rsidR="00F60A1E" w:rsidRPr="00F60A1E" w:rsidRDefault="00F60A1E" w:rsidP="00F60A1E">
      <w:pPr>
        <w:widowControl w:val="0"/>
        <w:spacing w:before="0" w:after="0" w:line="240" w:lineRule="auto"/>
        <w:ind w:left="851"/>
        <w:jc w:val="both"/>
        <w:rPr>
          <w:bCs/>
        </w:rPr>
      </w:pPr>
      <w:r w:rsidRPr="00F60A1E">
        <w:rPr>
          <w:bCs/>
        </w:rPr>
        <w:t>The decisions of the youth tribunal may be appealed before the court of appeal. However, as an exception, the decision to end the initial placement into observation in a psychiatric service before the end of the 40 day period, is not subject to appeal</w:t>
      </w:r>
      <w:r w:rsidRPr="00F60A1E">
        <w:rPr>
          <w:bCs/>
          <w:vertAlign w:val="superscript"/>
        </w:rPr>
        <w:footnoteReference w:id="355"/>
      </w:r>
      <w:r w:rsidRPr="00F60A1E">
        <w:rPr>
          <w:bCs/>
        </w:rPr>
        <w:t>.</w:t>
      </w:r>
    </w:p>
    <w:p w:rsidR="00F60A1E" w:rsidRPr="00F60A1E" w:rsidRDefault="00F60A1E" w:rsidP="00F60A1E">
      <w:pPr>
        <w:widowControl w:val="0"/>
        <w:spacing w:before="0" w:after="0" w:line="240" w:lineRule="auto"/>
        <w:ind w:left="851"/>
        <w:jc w:val="both"/>
        <w:rPr>
          <w:bCs/>
        </w:rPr>
      </w:pPr>
    </w:p>
    <w:p w:rsidR="00F60A1E" w:rsidRPr="00F60A1E" w:rsidRDefault="00F60A1E" w:rsidP="00F60A1E">
      <w:pPr>
        <w:widowControl w:val="0"/>
        <w:spacing w:before="0" w:after="0" w:line="240" w:lineRule="auto"/>
        <w:ind w:left="851"/>
        <w:jc w:val="both"/>
        <w:rPr>
          <w:bCs/>
        </w:rPr>
      </w:pPr>
      <w:r w:rsidRPr="00F60A1E">
        <w:rPr>
          <w:bCs/>
        </w:rPr>
        <w:t>The same rules on appeals and remedies in the sector of ‘placement into care’ apply to mental health proceedings with the exception that the child may appeal in his/her own right</w:t>
      </w:r>
      <w:r w:rsidRPr="00F60A1E">
        <w:rPr>
          <w:bCs/>
          <w:vertAlign w:val="superscript"/>
        </w:rPr>
        <w:footnoteReference w:id="356"/>
      </w:r>
      <w:r w:rsidRPr="00F60A1E">
        <w:rPr>
          <w:bCs/>
        </w:rPr>
        <w:t>.</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witness</w:t>
      </w:r>
    </w:p>
    <w:p w:rsidR="00F60A1E" w:rsidRPr="00F60A1E" w:rsidRDefault="00F60A1E" w:rsidP="00F60A1E">
      <w:pPr>
        <w:widowControl w:val="0"/>
        <w:spacing w:before="0" w:after="0" w:line="240" w:lineRule="auto"/>
        <w:ind w:left="2291"/>
        <w:jc w:val="both"/>
        <w:rPr>
          <w:bCs/>
        </w:rPr>
      </w:pPr>
    </w:p>
    <w:p w:rsidR="00F60A1E" w:rsidRPr="00F60A1E" w:rsidRDefault="00F60A1E" w:rsidP="00F60A1E">
      <w:pPr>
        <w:spacing w:before="0" w:after="0" w:line="240" w:lineRule="auto"/>
        <w:ind w:left="851"/>
        <w:jc w:val="both"/>
      </w:pPr>
      <w:r w:rsidRPr="00F60A1E">
        <w:t>Witnesses – both adults and children, have no possibility to appeal against court decisions.</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subject of proceedings</w:t>
      </w:r>
      <w:r w:rsidRPr="00F60A1E">
        <w:rPr>
          <w:rFonts w:ascii="Calibri" w:eastAsiaTheme="majorEastAsia" w:hAnsi="Calibri" w:cstheme="majorBidi"/>
          <w:b/>
          <w:bCs/>
          <w:i/>
          <w:iCs/>
          <w:color w:val="0067AC"/>
          <w:sz w:val="22"/>
        </w:rPr>
        <w:br/>
      </w:r>
    </w:p>
    <w:p w:rsidR="00F60A1E" w:rsidRPr="00F60A1E" w:rsidRDefault="00F60A1E" w:rsidP="00F60A1E">
      <w:pPr>
        <w:widowControl w:val="0"/>
        <w:spacing w:before="0" w:after="0" w:line="240" w:lineRule="auto"/>
        <w:ind w:left="851"/>
        <w:jc w:val="both"/>
        <w:rPr>
          <w:bCs/>
          <w:szCs w:val="20"/>
        </w:rPr>
      </w:pPr>
      <w:r w:rsidRPr="00F60A1E">
        <w:rPr>
          <w:bCs/>
          <w:szCs w:val="20"/>
        </w:rPr>
        <w:t xml:space="preserve">No rules were identified on child subjects of health care judicial proceedings in Belgium. The child will not formally be the party in the proceeding, but rather, his/her legal representative acting on behalf of the child will be the party, with the exception of when the child can be a party in his/her own right as mentioned above. </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As an exception, the child will be a party to mental health proceedings, before the youth tribunal, although the child’s legal representative must carry out the procedural acts on behalf of the child due to the child’s lack of procedural capacity.</w:t>
      </w:r>
    </w:p>
    <w:p w:rsidR="00F60A1E" w:rsidRPr="00F60A1E" w:rsidRDefault="00F60A1E" w:rsidP="0082630D">
      <w:pPr>
        <w:pStyle w:val="Heading2"/>
      </w:pPr>
      <w:bookmarkStart w:id="287" w:name="_Toc346714798"/>
      <w:bookmarkStart w:id="288" w:name="_Toc346714799"/>
      <w:bookmarkStart w:id="289" w:name="_Toc371624434"/>
      <w:bookmarkStart w:id="290" w:name="_Toc401070026"/>
      <w:bookmarkStart w:id="291" w:name="_Toc401219703"/>
      <w:bookmarkStart w:id="292" w:name="_Toc401221531"/>
      <w:bookmarkStart w:id="293" w:name="_Toc401221608"/>
      <w:bookmarkStart w:id="294" w:name="_Toc401232364"/>
      <w:bookmarkStart w:id="295" w:name="_Toc404767220"/>
      <w:bookmarkStart w:id="296" w:name="_Toc409792284"/>
      <w:bookmarkEnd w:id="287"/>
      <w:bookmarkEnd w:id="288"/>
      <w:r w:rsidRPr="00F60A1E">
        <w:t>Legal costs</w:t>
      </w:r>
      <w:bookmarkEnd w:id="289"/>
      <w:bookmarkEnd w:id="290"/>
      <w:bookmarkEnd w:id="291"/>
      <w:bookmarkEnd w:id="292"/>
      <w:bookmarkEnd w:id="293"/>
      <w:bookmarkEnd w:id="294"/>
      <w:bookmarkEnd w:id="295"/>
      <w:bookmarkEnd w:id="296"/>
      <w:r w:rsidRPr="00F60A1E">
        <w:t xml:space="preserve"> </w:t>
      </w:r>
    </w:p>
    <w:p w:rsidR="00F60A1E" w:rsidRPr="00F60A1E" w:rsidRDefault="00F60A1E" w:rsidP="0082630D">
      <w:pPr>
        <w:pStyle w:val="Heading3"/>
      </w:pPr>
      <w:bookmarkStart w:id="297" w:name="_Toc401578602"/>
      <w:bookmarkStart w:id="298" w:name="_Toc404767221"/>
      <w:bookmarkStart w:id="299" w:name="_Toc409792285"/>
      <w:r w:rsidRPr="00F60A1E">
        <w:t>General procedural rules applicable to children involved in administrative judicial proceedings including proceedings reviewing administrative authorities’ decisions in the sectors of asylum, migration and education</w:t>
      </w:r>
      <w:bookmarkEnd w:id="297"/>
      <w:bookmarkEnd w:id="298"/>
      <w:bookmarkEnd w:id="299"/>
    </w:p>
    <w:p w:rsidR="00F60A1E" w:rsidRPr="00F60A1E" w:rsidRDefault="00F60A1E" w:rsidP="00F60A1E">
      <w:pPr>
        <w:widowControl w:val="0"/>
        <w:spacing w:before="0" w:after="0" w:line="240" w:lineRule="auto"/>
        <w:ind w:left="851"/>
        <w:jc w:val="both"/>
        <w:rPr>
          <w:bCs/>
          <w:szCs w:val="20"/>
          <w:lang w:val="en-US"/>
        </w:rPr>
      </w:pPr>
      <w:r w:rsidRPr="00F60A1E">
        <w:rPr>
          <w:rFonts w:cs="Arial"/>
          <w:bCs/>
          <w:szCs w:val="20"/>
        </w:rPr>
        <w:t>The general rules described below apply to administrative judicial proceedings in the sectors listed above. However, certain specific rules exist in several sectors which are described below in a separate subheading.</w:t>
      </w:r>
      <w:r w:rsidRPr="00F60A1E">
        <w:rPr>
          <w:rFonts w:cs="Arial"/>
          <w:szCs w:val="20"/>
        </w:rPr>
        <w:t xml:space="preserve"> Civil procedural rules apply to healthcare proceedings, proceedings concerning children involved in administrative sanctions and proceedings concerning placement into care (including children below the MACR who have committed offences, see </w:t>
      </w:r>
      <w:hyperlink w:anchor="_Overview_of_Member_2" w:history="1">
        <w:r w:rsidRPr="00F60A1E">
          <w:rPr>
            <w:rFonts w:cs="Arial"/>
            <w:color w:val="0000FF" w:themeColor="hyperlink"/>
            <w:szCs w:val="20"/>
            <w:u w:val="single"/>
          </w:rPr>
          <w:t>Section 1</w:t>
        </w:r>
      </w:hyperlink>
      <w:r w:rsidRPr="00F60A1E">
        <w:rPr>
          <w:rFonts w:cs="Arial"/>
          <w:szCs w:val="20"/>
        </w:rPr>
        <w:t>).</w:t>
      </w:r>
      <w:r w:rsidRPr="00F60A1E">
        <w:rPr>
          <w:bCs/>
          <w:szCs w:val="20"/>
          <w:lang w:val="en-US"/>
        </w:rPr>
        <w:t xml:space="preserve"> </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plaintiff/defendant</w:t>
      </w:r>
    </w:p>
    <w:p w:rsidR="00F60A1E" w:rsidRPr="00F60A1E" w:rsidRDefault="00F60A1E" w:rsidP="00F60A1E">
      <w:pPr>
        <w:widowControl w:val="0"/>
        <w:spacing w:before="0" w:after="0" w:line="240" w:lineRule="auto"/>
        <w:ind w:left="229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As mentioned in the Study to collect data on children’s involvement in civil judicial proceedings, when the child, in any role, requests legal representation via secondary legal aid, the costs of the legal counsel’s assistance are fully covered by the State and court fees are waived.</w:t>
      </w:r>
    </w:p>
    <w:p w:rsidR="00F60A1E" w:rsidRPr="00F60A1E" w:rsidRDefault="00F60A1E" w:rsidP="00F60A1E">
      <w:pPr>
        <w:spacing w:before="0" w:after="0" w:line="240" w:lineRule="auto"/>
        <w:ind w:left="851"/>
        <w:jc w:val="both"/>
        <w:rPr>
          <w:szCs w:val="20"/>
        </w:rPr>
      </w:pPr>
    </w:p>
    <w:p w:rsidR="00F60A1E" w:rsidRPr="00F60A1E" w:rsidRDefault="00F60A1E" w:rsidP="00F60A1E">
      <w:pPr>
        <w:spacing w:before="0" w:after="0" w:line="240" w:lineRule="auto"/>
        <w:ind w:left="851"/>
        <w:jc w:val="both"/>
        <w:rPr>
          <w:szCs w:val="20"/>
        </w:rPr>
      </w:pPr>
      <w:r w:rsidRPr="00F60A1E">
        <w:rPr>
          <w:szCs w:val="20"/>
        </w:rPr>
        <w:t>When the child’s legal representative mandates a legal counsel for the representation of the child, the legal representative will need to cover the legal costs of the legal counsel and of the judicial proceedings, i.e. the judicial fees, stamps, bailiffs or experts’ fees where applicable, unless the legal representative qualifies for legal aid, i.e. because of low income. Secondary legal aid consists of the legal assistance of a legal counsel, partly, or fully free-of-charge, and assistance provided to cover the costs of the proceedings, i.e. the judicial fees</w:t>
      </w:r>
      <w:r w:rsidRPr="00F60A1E">
        <w:rPr>
          <w:szCs w:val="20"/>
          <w:vertAlign w:val="superscript"/>
        </w:rPr>
        <w:footnoteReference w:id="357"/>
      </w:r>
      <w:r w:rsidRPr="00F60A1E">
        <w:rPr>
          <w:szCs w:val="20"/>
        </w:rPr>
        <w:t xml:space="preserve">. If the child initiates the proceedings, within the exception mentioned in </w:t>
      </w:r>
      <w:hyperlink w:anchor="_The_child_as" w:history="1">
        <w:r w:rsidRPr="00F60A1E">
          <w:rPr>
            <w:color w:val="0000FF" w:themeColor="hyperlink"/>
            <w:szCs w:val="20"/>
            <w:u w:val="single"/>
          </w:rPr>
          <w:t>Section 2.1</w:t>
        </w:r>
      </w:hyperlink>
      <w:r w:rsidRPr="00F60A1E">
        <w:rPr>
          <w:szCs w:val="20"/>
        </w:rPr>
        <w:t>, the child will have the right to free secondary legal aid</w:t>
      </w:r>
      <w:r w:rsidRPr="00F60A1E">
        <w:rPr>
          <w:szCs w:val="20"/>
          <w:vertAlign w:val="superscript"/>
        </w:rPr>
        <w:footnoteReference w:id="358"/>
      </w:r>
      <w:r w:rsidRPr="00F60A1E">
        <w:rPr>
          <w:szCs w:val="20"/>
        </w:rPr>
        <w:t>.</w:t>
      </w:r>
    </w:p>
    <w:p w:rsidR="00F60A1E" w:rsidRPr="00F60A1E" w:rsidRDefault="00F60A1E" w:rsidP="00F60A1E">
      <w:pPr>
        <w:spacing w:before="0" w:after="0" w:line="240" w:lineRule="auto"/>
        <w:jc w:val="both"/>
        <w:rPr>
          <w:szCs w:val="20"/>
        </w:rPr>
      </w:pPr>
    </w:p>
    <w:p w:rsidR="00F60A1E" w:rsidRPr="00F60A1E" w:rsidRDefault="00F60A1E" w:rsidP="00F60A1E">
      <w:pPr>
        <w:spacing w:before="0" w:after="0" w:line="240" w:lineRule="auto"/>
        <w:ind w:left="851"/>
        <w:jc w:val="both"/>
        <w:rPr>
          <w:szCs w:val="20"/>
        </w:rPr>
      </w:pPr>
      <w:r w:rsidRPr="00F60A1E">
        <w:rPr>
          <w:szCs w:val="20"/>
        </w:rPr>
        <w:lastRenderedPageBreak/>
        <w:t>For appeals before the Council of State a fee of EUR 175 is due. If a party withdraws from the appeal, the Council of State may decide to waive the fee</w:t>
      </w:r>
      <w:r w:rsidRPr="00F60A1E">
        <w:rPr>
          <w:szCs w:val="20"/>
          <w:vertAlign w:val="superscript"/>
        </w:rPr>
        <w:footnoteReference w:id="359"/>
      </w:r>
      <w:r w:rsidRPr="00F60A1E">
        <w:rPr>
          <w:szCs w:val="20"/>
        </w:rPr>
        <w:t>. No legal provision has been identified allowing the Council of State to waive the fee in a case where child is involved.</w:t>
      </w:r>
    </w:p>
    <w:p w:rsidR="00F60A1E" w:rsidRPr="00F60A1E" w:rsidRDefault="00F60A1E" w:rsidP="00F60A1E">
      <w:pPr>
        <w:spacing w:before="0" w:after="0" w:line="240" w:lineRule="auto"/>
        <w:ind w:left="851"/>
        <w:jc w:val="both"/>
        <w:rPr>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The unsuccessful parties must cover the costs of the judicial proceedings of the other party. The costs include the Council of State fees, witness fee, legal counsels’ fees and experts’ fees</w:t>
      </w:r>
      <w:r w:rsidRPr="00F60A1E">
        <w:rPr>
          <w:bCs/>
          <w:szCs w:val="20"/>
          <w:vertAlign w:val="superscript"/>
        </w:rPr>
        <w:footnoteReference w:id="360"/>
      </w:r>
      <w:r w:rsidRPr="00F60A1E">
        <w:rPr>
          <w:bCs/>
          <w:szCs w:val="20"/>
        </w:rPr>
        <w:t>. The requirement to pay the costs will be the responsibility of the child’s legal representative. For those benefiting from legal aid, the amount of the judicial cost is fixed by law</w:t>
      </w:r>
      <w:r w:rsidRPr="00F60A1E">
        <w:rPr>
          <w:bCs/>
          <w:szCs w:val="20"/>
          <w:vertAlign w:val="superscript"/>
        </w:rPr>
        <w:footnoteReference w:id="361"/>
      </w:r>
      <w:r w:rsidRPr="00F60A1E">
        <w:rPr>
          <w:bCs/>
          <w:szCs w:val="20"/>
        </w:rPr>
        <w:t>. The parties may decide to reach a settlement on the costs to be paid</w:t>
      </w:r>
      <w:r w:rsidRPr="00F60A1E">
        <w:rPr>
          <w:bCs/>
          <w:szCs w:val="20"/>
          <w:vertAlign w:val="superscript"/>
        </w:rPr>
        <w:footnoteReference w:id="362"/>
      </w:r>
      <w:r w:rsidRPr="00F60A1E">
        <w:rPr>
          <w:bCs/>
          <w:szCs w:val="20"/>
        </w:rPr>
        <w:t xml:space="preserve">. </w:t>
      </w:r>
    </w:p>
    <w:p w:rsidR="00F60A1E" w:rsidRPr="00F60A1E" w:rsidRDefault="00F60A1E" w:rsidP="00F60A1E">
      <w:pPr>
        <w:keepNext/>
        <w:keepLines/>
        <w:spacing w:after="0"/>
        <w:ind w:left="1702" w:hanging="851"/>
        <w:outlineLvl w:val="4"/>
        <w:rPr>
          <w:rFonts w:ascii="Calibri" w:eastAsiaTheme="majorEastAsia" w:hAnsi="Calibri" w:cstheme="majorBidi"/>
          <w:i/>
          <w:color w:val="0067AC"/>
          <w:sz w:val="22"/>
        </w:rPr>
      </w:pPr>
      <w:r w:rsidRPr="00F60A1E">
        <w:rPr>
          <w:rFonts w:ascii="Calibri" w:eastAsiaTheme="majorEastAsia" w:hAnsi="Calibri" w:cstheme="majorBidi"/>
          <w:i/>
          <w:color w:val="0067AC"/>
          <w:sz w:val="22"/>
        </w:rPr>
        <w:t>Interveners</w:t>
      </w:r>
      <w:r w:rsidRPr="00F60A1E">
        <w:rPr>
          <w:rFonts w:ascii="Calibri" w:eastAsiaTheme="majorEastAsia" w:hAnsi="Calibri" w:cstheme="majorBidi"/>
          <w:i/>
          <w:color w:val="0067AC"/>
          <w:sz w:val="22"/>
        </w:rPr>
        <w:br/>
      </w:r>
    </w:p>
    <w:p w:rsidR="00F60A1E" w:rsidRPr="00F60A1E" w:rsidRDefault="00F60A1E" w:rsidP="00F60A1E">
      <w:pPr>
        <w:widowControl w:val="0"/>
        <w:spacing w:before="0" w:after="0" w:line="240" w:lineRule="auto"/>
        <w:ind w:left="851"/>
        <w:jc w:val="both"/>
        <w:rPr>
          <w:bCs/>
          <w:szCs w:val="20"/>
        </w:rPr>
      </w:pPr>
      <w:r w:rsidRPr="00F60A1E">
        <w:rPr>
          <w:bCs/>
          <w:szCs w:val="20"/>
        </w:rPr>
        <w:t>Any intervener must pay a fee of EUR 125 when submitting his/her request for intervention in the proceedings</w:t>
      </w:r>
      <w:r w:rsidRPr="00F60A1E">
        <w:rPr>
          <w:bCs/>
          <w:szCs w:val="20"/>
          <w:vertAlign w:val="superscript"/>
        </w:rPr>
        <w:footnoteReference w:id="363"/>
      </w:r>
      <w:r w:rsidRPr="00F60A1E">
        <w:rPr>
          <w:bCs/>
          <w:szCs w:val="20"/>
        </w:rPr>
        <w:t>.</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witness</w:t>
      </w:r>
    </w:p>
    <w:p w:rsidR="00F60A1E" w:rsidRPr="00F60A1E" w:rsidRDefault="00F60A1E" w:rsidP="00F60A1E">
      <w:pPr>
        <w:widowControl w:val="0"/>
        <w:spacing w:before="0" w:after="0" w:line="240" w:lineRule="auto"/>
        <w:ind w:left="851"/>
        <w:jc w:val="both"/>
        <w:rPr>
          <w:b/>
          <w:bCs/>
          <w:szCs w:val="20"/>
        </w:rPr>
      </w:pPr>
    </w:p>
    <w:p w:rsidR="00F60A1E" w:rsidRPr="00F60A1E" w:rsidRDefault="00F60A1E" w:rsidP="00F60A1E">
      <w:pPr>
        <w:widowControl w:val="0"/>
        <w:spacing w:before="0" w:after="0" w:line="240" w:lineRule="auto"/>
        <w:ind w:left="851"/>
        <w:jc w:val="both"/>
        <w:rPr>
          <w:bCs/>
          <w:szCs w:val="20"/>
        </w:rPr>
      </w:pPr>
      <w:r w:rsidRPr="00F60A1E">
        <w:rPr>
          <w:rFonts w:eastAsia="Times New Roman"/>
          <w:bCs/>
          <w:szCs w:val="20"/>
        </w:rPr>
        <w:t xml:space="preserve">Witnesses, including child witnesses, cannot be requested to pay legal costs. </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subject of proceedings</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 xml:space="preserve">As mentioned in </w:t>
      </w:r>
      <w:hyperlink w:anchor="_The_child_as" w:history="1">
        <w:r w:rsidRPr="00F60A1E">
          <w:rPr>
            <w:bCs/>
            <w:color w:val="0000FF" w:themeColor="hyperlink"/>
            <w:szCs w:val="20"/>
            <w:u w:val="single"/>
          </w:rPr>
          <w:t>Section 2.1</w:t>
        </w:r>
      </w:hyperlink>
      <w:r w:rsidRPr="00F60A1E">
        <w:rPr>
          <w:bCs/>
          <w:szCs w:val="20"/>
        </w:rPr>
        <w:t xml:space="preserve">, no rules were identified on child subjects of administrative judicial proceedings in Belgium. A child affected by the proceedings may, through his/her legal representative, request to intervene in the proceedings. </w:t>
      </w:r>
    </w:p>
    <w:p w:rsidR="00F60A1E" w:rsidRPr="00F60A1E" w:rsidRDefault="00F60A1E" w:rsidP="0082630D">
      <w:pPr>
        <w:pStyle w:val="Heading3"/>
      </w:pPr>
      <w:bookmarkStart w:id="300" w:name="_Toc401578603"/>
      <w:bookmarkStart w:id="301" w:name="_Toc404767222"/>
      <w:bookmarkStart w:id="302" w:name="_Toc409792286"/>
      <w:r w:rsidRPr="00F60A1E">
        <w:t>Procedural rules applicable to children involved in asylum and migration proceedings</w:t>
      </w:r>
      <w:bookmarkEnd w:id="300"/>
      <w:bookmarkEnd w:id="301"/>
      <w:bookmarkEnd w:id="302"/>
      <w:r w:rsidRPr="00F60A1E">
        <w:t xml:space="preserve"> </w:t>
      </w:r>
    </w:p>
    <w:p w:rsidR="00F60A1E" w:rsidRPr="00F60A1E" w:rsidRDefault="00F60A1E" w:rsidP="00F60A1E">
      <w:pPr>
        <w:keepNext/>
        <w:keepLines/>
        <w:spacing w:after="0"/>
        <w:ind w:left="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plaintiff/defendant/subject of proceedings</w:t>
      </w:r>
    </w:p>
    <w:p w:rsidR="00F60A1E" w:rsidRPr="00F60A1E" w:rsidRDefault="00F60A1E" w:rsidP="00F60A1E">
      <w:pPr>
        <w:keepNext/>
        <w:spacing w:before="0" w:after="0" w:line="240" w:lineRule="auto"/>
        <w:ind w:left="2291"/>
        <w:jc w:val="both"/>
        <w:rPr>
          <w:bCs/>
          <w:szCs w:val="20"/>
        </w:rPr>
      </w:pPr>
    </w:p>
    <w:p w:rsidR="00F60A1E" w:rsidRPr="00F60A1E" w:rsidRDefault="00F60A1E" w:rsidP="00F60A1E">
      <w:pPr>
        <w:widowControl w:val="0"/>
        <w:spacing w:before="0" w:after="0" w:line="240" w:lineRule="auto"/>
        <w:ind w:left="851"/>
        <w:jc w:val="both"/>
      </w:pPr>
      <w:r w:rsidRPr="00F60A1E">
        <w:t>The general rules described above apply to asylum and migration proceedings. In addition, it is noted that a child asylum seeker or illegal migrant – accompanied or not, has the right to free secondary legal aid</w:t>
      </w:r>
      <w:r w:rsidRPr="00F60A1E">
        <w:rPr>
          <w:vertAlign w:val="superscript"/>
        </w:rPr>
        <w:footnoteReference w:id="364"/>
      </w:r>
      <w:r w:rsidRPr="00F60A1E">
        <w:t xml:space="preserve">. </w:t>
      </w:r>
    </w:p>
    <w:p w:rsidR="00F60A1E" w:rsidRPr="00F60A1E" w:rsidRDefault="00F60A1E" w:rsidP="00F60A1E">
      <w:pPr>
        <w:widowControl w:val="0"/>
        <w:spacing w:before="0" w:after="0" w:line="240" w:lineRule="auto"/>
        <w:ind w:left="851"/>
        <w:jc w:val="both"/>
        <w:rPr>
          <w:b/>
          <w:bCs/>
          <w:szCs w:val="20"/>
        </w:rPr>
      </w:pP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witness</w:t>
      </w:r>
    </w:p>
    <w:p w:rsidR="00F60A1E" w:rsidRPr="00F60A1E" w:rsidRDefault="00F60A1E" w:rsidP="00F60A1E">
      <w:pPr>
        <w:widowControl w:val="0"/>
        <w:spacing w:before="0" w:after="0" w:line="240" w:lineRule="auto"/>
        <w:ind w:left="851"/>
        <w:jc w:val="both"/>
        <w:rPr>
          <w:b/>
          <w:bCs/>
          <w:szCs w:val="20"/>
        </w:rPr>
      </w:pPr>
    </w:p>
    <w:p w:rsidR="00F60A1E" w:rsidRPr="00F60A1E" w:rsidRDefault="00F60A1E" w:rsidP="00F60A1E">
      <w:pPr>
        <w:widowControl w:val="0"/>
        <w:spacing w:before="0" w:after="0" w:line="240" w:lineRule="auto"/>
        <w:ind w:left="851"/>
        <w:jc w:val="both"/>
        <w:rPr>
          <w:bCs/>
          <w:szCs w:val="20"/>
        </w:rPr>
      </w:pPr>
      <w:r w:rsidRPr="00F60A1E">
        <w:rPr>
          <w:rFonts w:eastAsia="Times New Roman"/>
          <w:bCs/>
          <w:szCs w:val="20"/>
        </w:rPr>
        <w:t xml:space="preserve">Witnesses, including child witnesses, cannot be requested to pay legal costs. </w:t>
      </w:r>
    </w:p>
    <w:p w:rsidR="00F60A1E" w:rsidRPr="00F60A1E" w:rsidRDefault="00F60A1E" w:rsidP="0082630D">
      <w:pPr>
        <w:pStyle w:val="Heading3"/>
      </w:pPr>
      <w:bookmarkStart w:id="303" w:name="_Toc401578604"/>
      <w:bookmarkStart w:id="304" w:name="_Toc404767223"/>
      <w:bookmarkStart w:id="305" w:name="_Toc409792287"/>
      <w:r w:rsidRPr="00F60A1E">
        <w:t>Procedural rules applicable to children involved in health care placement into care and administrative sanction proceedings</w:t>
      </w:r>
      <w:bookmarkEnd w:id="303"/>
      <w:bookmarkEnd w:id="304"/>
      <w:bookmarkEnd w:id="305"/>
      <w:r w:rsidRPr="00F60A1E">
        <w:t xml:space="preserve"> </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plaintiff/defendant</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pPr>
      <w:r w:rsidRPr="00F60A1E">
        <w:t xml:space="preserve">As explained in </w:t>
      </w:r>
      <w:hyperlink w:anchor="_Overview_of_Member" w:history="1">
        <w:r w:rsidRPr="00F60A1E">
          <w:rPr>
            <w:rFonts w:cs="Arial"/>
            <w:color w:val="0000FF" w:themeColor="hyperlink"/>
            <w:u w:val="single"/>
          </w:rPr>
          <w:t>Section 1</w:t>
        </w:r>
      </w:hyperlink>
      <w:r w:rsidRPr="00F60A1E">
        <w:t>, to appeal against medical treatment decisions, the child can turn to the court in civil judicial proceedings if no mediation agreement could be reached.</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The same rules apply regarding legal aid and assistance as described above in the general rules.</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rPr>
      </w:pPr>
      <w:r w:rsidRPr="00F60A1E">
        <w:rPr>
          <w:bCs/>
        </w:rPr>
        <w:t xml:space="preserve">The court’s ruling may order the unsuccessful parties to cover the costs of the judicial proceedings of the other party. The costs include various judicial fees, registration duties, </w:t>
      </w:r>
      <w:r w:rsidRPr="00F60A1E">
        <w:rPr>
          <w:bCs/>
        </w:rPr>
        <w:lastRenderedPageBreak/>
        <w:t>stamp costs, costs and remuneration of judicial acts, costs of judgement notifications, travel and accommodation expenses of judges, registrars and parties when their travel was ordered by the judge, deed costs when they were made for the sole purpose of the trial, and a rate covering the legal counsel’s fees and mediator’s fees, where applicable</w:t>
      </w:r>
      <w:r w:rsidRPr="00F60A1E">
        <w:rPr>
          <w:bCs/>
          <w:vertAlign w:val="superscript"/>
        </w:rPr>
        <w:footnoteReference w:id="365"/>
      </w:r>
      <w:r w:rsidRPr="00F60A1E">
        <w:rPr>
          <w:bCs/>
        </w:rPr>
        <w:t>. The requirement to pay the costs will be the responsibility of the child’s legal representative. The parties to the proceedings may also conclude an agreement regulating that a party, or that both parties, will cover the costs of the judicial proceedings.</w:t>
      </w:r>
    </w:p>
    <w:p w:rsidR="00F60A1E" w:rsidRPr="00F60A1E" w:rsidRDefault="00F60A1E" w:rsidP="00F60A1E">
      <w:pPr>
        <w:widowControl w:val="0"/>
        <w:spacing w:before="0" w:after="0" w:line="240" w:lineRule="auto"/>
        <w:jc w:val="both"/>
        <w:rPr>
          <w:bCs/>
        </w:rPr>
      </w:pPr>
    </w:p>
    <w:p w:rsidR="00F60A1E" w:rsidRPr="00F60A1E" w:rsidRDefault="00F60A1E" w:rsidP="00F60A1E">
      <w:pPr>
        <w:widowControl w:val="0"/>
        <w:spacing w:before="0" w:after="0" w:line="240" w:lineRule="auto"/>
        <w:ind w:left="851"/>
        <w:jc w:val="both"/>
        <w:rPr>
          <w:bCs/>
        </w:rPr>
      </w:pPr>
      <w:r w:rsidRPr="00F60A1E">
        <w:rPr>
          <w:bCs/>
        </w:rPr>
        <w:t xml:space="preserve">The exact amount is decided by the judge taking into account the importance and the nature of the claim. </w:t>
      </w:r>
      <w:r w:rsidRPr="00F60A1E">
        <w:t>No legal provision has been identified allowing the judge to waive the fee in a case where a child is involved. However, u</w:t>
      </w:r>
      <w:r w:rsidRPr="00F60A1E">
        <w:rPr>
          <w:bCs/>
        </w:rPr>
        <w:t xml:space="preserve">pon request of one of the parties, or </w:t>
      </w:r>
      <w:r w:rsidRPr="00F60A1E">
        <w:rPr>
          <w:bCs/>
          <w:i/>
        </w:rPr>
        <w:t>ex officio</w:t>
      </w:r>
      <w:r w:rsidRPr="00F60A1E">
        <w:rPr>
          <w:bCs/>
        </w:rPr>
        <w:t xml:space="preserve">, the judge may decide to reduce or increase the amount considering, </w:t>
      </w:r>
      <w:r w:rsidRPr="00F60A1E">
        <w:rPr>
          <w:bCs/>
          <w:i/>
        </w:rPr>
        <w:t>inter alia,</w:t>
      </w:r>
      <w:r w:rsidRPr="00F60A1E">
        <w:rPr>
          <w:bCs/>
        </w:rPr>
        <w:t xml:space="preserve"> the financial capacity of the party who is ordered to pay the costs and the complexity of the case</w:t>
      </w:r>
      <w:r w:rsidRPr="00F60A1E">
        <w:rPr>
          <w:bCs/>
          <w:vertAlign w:val="superscript"/>
        </w:rPr>
        <w:footnoteReference w:id="366"/>
      </w:r>
      <w:r w:rsidRPr="00F60A1E">
        <w:rPr>
          <w:bCs/>
        </w:rPr>
        <w:t>. The parties may decide to reach a settlement on the costs to be paid</w:t>
      </w:r>
      <w:r w:rsidRPr="00F60A1E">
        <w:rPr>
          <w:bCs/>
          <w:vertAlign w:val="superscript"/>
        </w:rPr>
        <w:footnoteReference w:id="367"/>
      </w:r>
      <w:r w:rsidRPr="00F60A1E">
        <w:rPr>
          <w:bCs/>
        </w:rPr>
        <w:t xml:space="preserve">. </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witness</w:t>
      </w:r>
      <w:r w:rsidRPr="00F60A1E">
        <w:rPr>
          <w:rFonts w:ascii="Calibri" w:eastAsiaTheme="majorEastAsia" w:hAnsi="Calibri" w:cstheme="majorBidi"/>
          <w:b/>
          <w:bCs/>
          <w:i/>
          <w:iCs/>
          <w:color w:val="0067AC"/>
          <w:sz w:val="22"/>
        </w:rPr>
        <w:br/>
      </w:r>
    </w:p>
    <w:p w:rsidR="00F60A1E" w:rsidRPr="00F60A1E" w:rsidRDefault="00F60A1E" w:rsidP="00F60A1E">
      <w:pPr>
        <w:widowControl w:val="0"/>
        <w:spacing w:before="0" w:after="0" w:line="240" w:lineRule="auto"/>
        <w:ind w:left="851"/>
        <w:jc w:val="both"/>
        <w:rPr>
          <w:bCs/>
          <w:szCs w:val="20"/>
        </w:rPr>
      </w:pPr>
      <w:r w:rsidRPr="00F60A1E">
        <w:rPr>
          <w:rFonts w:eastAsia="Times New Roman"/>
          <w:bCs/>
          <w:szCs w:val="20"/>
        </w:rPr>
        <w:t xml:space="preserve">Witnesses, including child witnesses, cannot be requested to pay legal costs. </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subject of proceedings</w:t>
      </w:r>
    </w:p>
    <w:p w:rsidR="00F60A1E" w:rsidRPr="00F60A1E" w:rsidRDefault="00F60A1E" w:rsidP="00F60A1E">
      <w:pPr>
        <w:widowControl w:val="0"/>
        <w:spacing w:before="0" w:after="0" w:line="240" w:lineRule="auto"/>
        <w:ind w:left="851"/>
        <w:jc w:val="both"/>
        <w:rPr>
          <w:bCs/>
          <w:color w:val="FF0000"/>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 xml:space="preserve">No rules were identified on child subjects of health care judicial proceedings in Belgium. The child will not formally be the party in the proceeding, but rather, his/her legal representative acting on behalf of the child will be the party, with the exceptions of when the child can be a party in his/her own right, mentioned above. </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As an exception, the child will be a party to mental health, placement into care and administrative sanctions proceedings, before a youth tribunal, although the child’s legal representative must carry out the procedural acts on behalf of the child due to the child’s lack of procedural capacity.</w:t>
      </w:r>
    </w:p>
    <w:p w:rsidR="00F60A1E" w:rsidRPr="00F60A1E" w:rsidRDefault="00F60A1E" w:rsidP="0082630D">
      <w:pPr>
        <w:pStyle w:val="Heading2"/>
      </w:pPr>
      <w:bookmarkStart w:id="306" w:name="_Toc371624435"/>
      <w:bookmarkStart w:id="307" w:name="_Toc401070027"/>
      <w:bookmarkStart w:id="308" w:name="_Toc401219707"/>
      <w:bookmarkStart w:id="309" w:name="_Toc401221535"/>
      <w:bookmarkStart w:id="310" w:name="_Toc401221612"/>
      <w:bookmarkStart w:id="311" w:name="_Toc401232368"/>
      <w:bookmarkStart w:id="312" w:name="_Toc404767224"/>
      <w:bookmarkStart w:id="313" w:name="_Toc409792288"/>
      <w:r w:rsidRPr="00F60A1E">
        <w:t>Enforcement of administrative court judgements</w:t>
      </w:r>
      <w:bookmarkEnd w:id="306"/>
      <w:bookmarkEnd w:id="307"/>
      <w:bookmarkEnd w:id="308"/>
      <w:bookmarkEnd w:id="309"/>
      <w:bookmarkEnd w:id="310"/>
      <w:bookmarkEnd w:id="311"/>
      <w:bookmarkEnd w:id="312"/>
      <w:bookmarkEnd w:id="313"/>
      <w:r w:rsidRPr="00F60A1E">
        <w:t xml:space="preserve"> </w:t>
      </w:r>
      <w:bookmarkStart w:id="314" w:name="_Toc338234311"/>
      <w:bookmarkStart w:id="315" w:name="_Toc338234322"/>
      <w:bookmarkStart w:id="316" w:name="_Toc337053486"/>
      <w:bookmarkEnd w:id="314"/>
      <w:bookmarkEnd w:id="315"/>
      <w:bookmarkEnd w:id="316"/>
    </w:p>
    <w:p w:rsidR="00F60A1E" w:rsidRPr="00F60A1E" w:rsidRDefault="00F60A1E" w:rsidP="0082630D">
      <w:pPr>
        <w:pStyle w:val="Heading3"/>
      </w:pPr>
      <w:bookmarkStart w:id="317" w:name="_Toc401578606"/>
      <w:bookmarkStart w:id="318" w:name="_Toc404767225"/>
      <w:bookmarkStart w:id="319" w:name="_Toc409792289"/>
      <w:r w:rsidRPr="00F60A1E">
        <w:t>General procedural rules applicable to children involved in administrative judicial proceedings including proceedings reviewing administrative authorities’ decisions in the sectors of asylum, migration and education</w:t>
      </w:r>
      <w:bookmarkEnd w:id="317"/>
      <w:bookmarkEnd w:id="318"/>
      <w:bookmarkEnd w:id="319"/>
    </w:p>
    <w:p w:rsidR="00F60A1E" w:rsidRPr="00F60A1E" w:rsidRDefault="00F60A1E" w:rsidP="00F60A1E">
      <w:pPr>
        <w:widowControl w:val="0"/>
        <w:spacing w:before="0" w:after="0" w:line="240" w:lineRule="auto"/>
        <w:ind w:left="851"/>
        <w:jc w:val="both"/>
        <w:rPr>
          <w:bCs/>
          <w:szCs w:val="20"/>
          <w:lang w:val="en-US"/>
        </w:rPr>
      </w:pPr>
      <w:r w:rsidRPr="00F60A1E">
        <w:rPr>
          <w:rFonts w:cs="Arial"/>
          <w:bCs/>
          <w:szCs w:val="20"/>
        </w:rPr>
        <w:t>The general rules described below apply to administrative judicial proceedings in the sectors listed above. However, certain specific rules exist in several sectors which are described below in a separate subheading.</w:t>
      </w:r>
      <w:r w:rsidRPr="00F60A1E">
        <w:rPr>
          <w:rFonts w:cs="Arial"/>
          <w:szCs w:val="20"/>
        </w:rPr>
        <w:t xml:space="preserve"> Civil procedural rules apply to healthcare proceedings, proceedings concerning children involved in administrative sanctions and proceedings concerning placement into care (including children below the MACR who have committed offences, see </w:t>
      </w:r>
      <w:hyperlink w:anchor="_Overview_of_Member_2" w:history="1">
        <w:r w:rsidRPr="00F60A1E">
          <w:rPr>
            <w:rFonts w:cs="Arial"/>
            <w:color w:val="0000FF" w:themeColor="hyperlink"/>
            <w:szCs w:val="20"/>
            <w:u w:val="single"/>
          </w:rPr>
          <w:t>Section 1</w:t>
        </w:r>
      </w:hyperlink>
      <w:r w:rsidRPr="00F60A1E">
        <w:rPr>
          <w:rFonts w:cs="Arial"/>
          <w:szCs w:val="20"/>
        </w:rPr>
        <w:t>).</w:t>
      </w:r>
      <w:r w:rsidRPr="00F60A1E">
        <w:rPr>
          <w:bCs/>
          <w:szCs w:val="20"/>
          <w:lang w:val="en-US"/>
        </w:rPr>
        <w:t xml:space="preserve"> </w:t>
      </w:r>
    </w:p>
    <w:p w:rsidR="00F60A1E" w:rsidRPr="00F60A1E" w:rsidRDefault="00F60A1E" w:rsidP="00F60A1E">
      <w:pPr>
        <w:widowControl w:val="0"/>
        <w:spacing w:before="0" w:after="0" w:line="240" w:lineRule="auto"/>
        <w:ind w:left="851"/>
        <w:jc w:val="both"/>
        <w:rPr>
          <w:b/>
          <w:bCs/>
          <w:szCs w:val="20"/>
        </w:rPr>
      </w:pPr>
    </w:p>
    <w:p w:rsidR="00F60A1E" w:rsidRPr="00F60A1E" w:rsidRDefault="00F60A1E" w:rsidP="00F60A1E">
      <w:pPr>
        <w:widowControl w:val="0"/>
        <w:spacing w:before="0" w:after="0" w:line="240" w:lineRule="auto"/>
        <w:ind w:left="851"/>
        <w:jc w:val="both"/>
      </w:pPr>
      <w:r w:rsidRPr="00F60A1E">
        <w:t xml:space="preserve">There are no specific legal rules on children in administrative judicial proceedings. Hence, the general rules of proceedings before the Council of State and the </w:t>
      </w:r>
      <w:hyperlink r:id="rId154" w:history="1">
        <w:r w:rsidRPr="00F60A1E">
          <w:rPr>
            <w:rFonts w:cs="Arial"/>
            <w:color w:val="0000FF" w:themeColor="hyperlink"/>
            <w:u w:val="single"/>
          </w:rPr>
          <w:t>Judicial Code</w:t>
        </w:r>
      </w:hyperlink>
      <w:r w:rsidRPr="00F60A1E">
        <w:t xml:space="preserve"> apply.</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plaintiff/defendant</w:t>
      </w:r>
    </w:p>
    <w:p w:rsidR="00F60A1E" w:rsidRPr="00227001" w:rsidRDefault="00F60A1E" w:rsidP="00227001">
      <w:pPr>
        <w:pStyle w:val="Heading3NoNumb"/>
        <w:ind w:left="851"/>
      </w:pPr>
      <w:bookmarkStart w:id="320" w:name="_Toc409792290"/>
      <w:r w:rsidRPr="00F60A1E">
        <w:t>Enforceability of the judgement</w:t>
      </w:r>
      <w:bookmarkEnd w:id="320"/>
    </w:p>
    <w:p w:rsidR="00F60A1E" w:rsidRPr="00F60A1E" w:rsidRDefault="00F60A1E" w:rsidP="00F60A1E">
      <w:pPr>
        <w:widowControl w:val="0"/>
        <w:spacing w:before="0" w:after="0" w:line="240" w:lineRule="auto"/>
        <w:ind w:left="851"/>
        <w:jc w:val="both"/>
      </w:pPr>
      <w:r w:rsidRPr="00F60A1E">
        <w:t xml:space="preserve">The consequence of a decision of the Council of State varies on whether or not the Council upheld or quashed the administrative authority’s decision. If the Council of State upholds the administrative authority’s decision, the decision is then considered valid for the parties. On the other hand, if the Council of State quashes the administrative authority’s decision, the decision is deemed to have never existed, i.e. in cases of annulment procedures, or is referred back to </w:t>
      </w:r>
      <w:r w:rsidRPr="00F60A1E">
        <w:lastRenderedPageBreak/>
        <w:t xml:space="preserve">the administrative authority, i.e. cassation procedure. </w:t>
      </w:r>
    </w:p>
    <w:p w:rsidR="00F60A1E" w:rsidRPr="00F60A1E" w:rsidRDefault="00F60A1E" w:rsidP="00F60A1E">
      <w:pPr>
        <w:widowControl w:val="0"/>
        <w:spacing w:before="0" w:after="0" w:line="240" w:lineRule="auto"/>
        <w:jc w:val="both"/>
      </w:pPr>
    </w:p>
    <w:p w:rsidR="00F60A1E" w:rsidRPr="00F60A1E" w:rsidRDefault="00F60A1E" w:rsidP="00F60A1E">
      <w:pPr>
        <w:widowControl w:val="0"/>
        <w:spacing w:before="0" w:after="0" w:line="240" w:lineRule="auto"/>
        <w:ind w:left="851"/>
        <w:jc w:val="both"/>
      </w:pPr>
      <w:r w:rsidRPr="00F60A1E">
        <w:t>Indeed, in case of annulment procedure, when the Council of State quashes the administrative authority’s decision, the decision is annulled retroactively. As a result, the administrative authority must take a new decision. When taking the new decision, the administrative authority is required to act in compliance with the Council of State’s decision</w:t>
      </w:r>
      <w:r w:rsidRPr="00F60A1E">
        <w:rPr>
          <w:vertAlign w:val="superscript"/>
        </w:rPr>
        <w:footnoteReference w:id="368"/>
      </w:r>
      <w:r w:rsidRPr="00F60A1E">
        <w:t>. If the administrative authority does not issue a new decision, a party to the proceedings may request the Council of State to order penalty payments</w:t>
      </w:r>
      <w:r w:rsidRPr="00F60A1E">
        <w:rPr>
          <w:vertAlign w:val="superscript"/>
        </w:rPr>
        <w:footnoteReference w:id="369"/>
      </w:r>
      <w:r w:rsidRPr="00F60A1E">
        <w:t>.</w:t>
      </w:r>
    </w:p>
    <w:p w:rsidR="00F60A1E" w:rsidRPr="00F60A1E" w:rsidRDefault="00F60A1E" w:rsidP="00F60A1E">
      <w:pPr>
        <w:widowControl w:val="0"/>
        <w:spacing w:before="0" w:after="0" w:line="240" w:lineRule="auto"/>
        <w:ind w:left="851"/>
        <w:jc w:val="both"/>
      </w:pPr>
    </w:p>
    <w:p w:rsidR="00F60A1E" w:rsidRPr="00F60A1E" w:rsidRDefault="00F60A1E" w:rsidP="00F60A1E">
      <w:pPr>
        <w:widowControl w:val="0"/>
        <w:spacing w:before="0" w:after="0" w:line="240" w:lineRule="auto"/>
        <w:ind w:left="851"/>
        <w:jc w:val="both"/>
      </w:pPr>
      <w:r w:rsidRPr="00F60A1E">
        <w:t>In a case of cassation, the case returns before the administrative authority which is required to comply with the Council of State’s decision. The case should return before an administrative authority that is not the one which issued the decision in the first place. However, in case no other administrative authority of the same level exists, another board or member of the authority involved in the first decision should be reviewing the case after the judicial appeal</w:t>
      </w:r>
      <w:r w:rsidRPr="00F60A1E">
        <w:rPr>
          <w:vertAlign w:val="superscript"/>
        </w:rPr>
        <w:footnoteReference w:id="370"/>
      </w:r>
      <w:r w:rsidRPr="00F60A1E">
        <w:t>. The administrative authority is required to issue a new decision. If the administrative authority does not take a new decision, an interested party may give formal notice, from which the authority has four months to take the new decision</w:t>
      </w:r>
      <w:r w:rsidRPr="00F60A1E">
        <w:rPr>
          <w:vertAlign w:val="superscript"/>
        </w:rPr>
        <w:footnoteReference w:id="371"/>
      </w:r>
      <w:r w:rsidRPr="00F60A1E">
        <w:t>.</w:t>
      </w:r>
    </w:p>
    <w:p w:rsidR="00F60A1E" w:rsidRPr="00F60A1E" w:rsidRDefault="00227001" w:rsidP="00227001">
      <w:pPr>
        <w:pStyle w:val="Heading3NoNumb"/>
        <w:ind w:left="851"/>
      </w:pPr>
      <w:bookmarkStart w:id="321" w:name="_Toc409792291"/>
      <w:r>
        <w:t>Information about the judgement</w:t>
      </w:r>
      <w:bookmarkEnd w:id="321"/>
    </w:p>
    <w:p w:rsidR="00F60A1E" w:rsidRPr="00F60A1E" w:rsidRDefault="00F60A1E" w:rsidP="00F60A1E">
      <w:pPr>
        <w:widowControl w:val="0"/>
        <w:spacing w:before="0" w:after="0" w:line="240" w:lineRule="auto"/>
        <w:ind w:left="851"/>
        <w:jc w:val="both"/>
        <w:rPr>
          <w:bCs/>
          <w:szCs w:val="20"/>
        </w:rPr>
      </w:pPr>
      <w:r w:rsidRPr="00F60A1E">
        <w:rPr>
          <w:bCs/>
          <w:szCs w:val="20"/>
        </w:rPr>
        <w:t xml:space="preserve">Currently applicable, the legislation does not provide for the right of children to receive information in their own right, including the decision enforcements. However, the child and his/her legal representative may request information from the authorities or the services mentioned above in </w:t>
      </w:r>
      <w:hyperlink w:anchor="_2.2_Provision_of" w:history="1">
        <w:r w:rsidRPr="00F60A1E">
          <w:rPr>
            <w:bCs/>
            <w:color w:val="0000FF" w:themeColor="hyperlink"/>
            <w:szCs w:val="20"/>
            <w:u w:val="single"/>
          </w:rPr>
          <w:t>Section 2.2</w:t>
        </w:r>
      </w:hyperlink>
      <w:r w:rsidRPr="00F60A1E">
        <w:rPr>
          <w:bCs/>
          <w:szCs w:val="20"/>
        </w:rPr>
        <w:t>. It is often understood that the legal counsel will inform the children and their legal representatives about their rights and obligations.</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The judgement of the Council of State must contain the following information in addition to the reasoning of the decision and conclusions:</w:t>
      </w:r>
    </w:p>
    <w:p w:rsidR="00F60A1E" w:rsidRPr="00F60A1E" w:rsidRDefault="00F60A1E" w:rsidP="00F60A1E">
      <w:pPr>
        <w:widowControl w:val="0"/>
        <w:spacing w:before="0" w:after="0" w:line="240" w:lineRule="auto"/>
        <w:jc w:val="both"/>
        <w:rPr>
          <w:bCs/>
          <w:szCs w:val="20"/>
        </w:rPr>
      </w:pPr>
    </w:p>
    <w:p w:rsidR="00F60A1E" w:rsidRPr="00F60A1E" w:rsidRDefault="00F60A1E" w:rsidP="00F60A1E">
      <w:pPr>
        <w:pStyle w:val="BTNumbList"/>
        <w:numPr>
          <w:ilvl w:val="0"/>
          <w:numId w:val="48"/>
        </w:numPr>
      </w:pPr>
      <w:r w:rsidRPr="00F60A1E">
        <w:t>the name and address of the parties and of their legal counsels;</w:t>
      </w:r>
    </w:p>
    <w:p w:rsidR="00F60A1E" w:rsidRPr="00F60A1E" w:rsidRDefault="00F60A1E" w:rsidP="00F60A1E">
      <w:pPr>
        <w:numPr>
          <w:ilvl w:val="0"/>
          <w:numId w:val="13"/>
        </w:numPr>
        <w:spacing w:before="0" w:after="0"/>
      </w:pPr>
      <w:r w:rsidRPr="00F60A1E">
        <w:t>the legal provisions regarding the use of languages;</w:t>
      </w:r>
    </w:p>
    <w:p w:rsidR="00F60A1E" w:rsidRPr="00F60A1E" w:rsidRDefault="00F60A1E" w:rsidP="00F60A1E">
      <w:pPr>
        <w:numPr>
          <w:ilvl w:val="0"/>
          <w:numId w:val="13"/>
        </w:numPr>
        <w:spacing w:before="0" w:after="0"/>
      </w:pPr>
      <w:r w:rsidRPr="00F60A1E">
        <w:t>the convocation of parties and their legal counsels, and their presence to the hearing;</w:t>
      </w:r>
    </w:p>
    <w:p w:rsidR="00F60A1E" w:rsidRPr="00F60A1E" w:rsidRDefault="00F60A1E" w:rsidP="00F60A1E">
      <w:pPr>
        <w:numPr>
          <w:ilvl w:val="0"/>
          <w:numId w:val="13"/>
        </w:numPr>
        <w:spacing w:before="0" w:after="0"/>
      </w:pPr>
      <w:r w:rsidRPr="00F60A1E">
        <w:t>a reference to the opinion of the auditor;</w:t>
      </w:r>
    </w:p>
    <w:p w:rsidR="00F60A1E" w:rsidRPr="00F60A1E" w:rsidRDefault="00F60A1E" w:rsidP="00F60A1E">
      <w:pPr>
        <w:numPr>
          <w:ilvl w:val="0"/>
          <w:numId w:val="13"/>
        </w:numPr>
        <w:spacing w:before="0" w:after="0"/>
      </w:pPr>
      <w:r w:rsidRPr="00F60A1E">
        <w:t>the reference and date of the public hearing pronouncing the judgement, as well as the names of the councillors, i.e. the judges of the Council of State</w:t>
      </w:r>
      <w:r w:rsidRPr="00F60A1E">
        <w:rPr>
          <w:bCs/>
          <w:szCs w:val="20"/>
          <w:vertAlign w:val="superscript"/>
        </w:rPr>
        <w:footnoteReference w:id="372"/>
      </w:r>
      <w:r w:rsidRPr="00F60A1E">
        <w:t>.</w:t>
      </w:r>
    </w:p>
    <w:p w:rsidR="00F60A1E" w:rsidRPr="00F60A1E" w:rsidRDefault="00F60A1E" w:rsidP="00F60A1E">
      <w:pPr>
        <w:widowControl w:val="0"/>
        <w:spacing w:before="0" w:after="0" w:line="240" w:lineRule="auto"/>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The clerk must send a copy of the judgement to each party. The Council of State decisions are also published</w:t>
      </w:r>
      <w:r w:rsidRPr="00F60A1E">
        <w:rPr>
          <w:bCs/>
          <w:szCs w:val="20"/>
          <w:vertAlign w:val="superscript"/>
        </w:rPr>
        <w:footnoteReference w:id="373"/>
      </w:r>
      <w:r w:rsidRPr="00F60A1E">
        <w:rPr>
          <w:bCs/>
          <w:szCs w:val="20"/>
        </w:rPr>
        <w:t xml:space="preserve">. </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 xml:space="preserve">As a result of the child’s lack of procedural capacity to act – with the exception mentioned in </w:t>
      </w:r>
      <w:hyperlink w:anchor="_The_child_as" w:history="1">
        <w:r w:rsidRPr="00F60A1E">
          <w:rPr>
            <w:bCs/>
            <w:color w:val="0000FF" w:themeColor="hyperlink"/>
            <w:szCs w:val="20"/>
            <w:u w:val="single"/>
          </w:rPr>
          <w:t>Section 2.1</w:t>
        </w:r>
      </w:hyperlink>
      <w:r w:rsidRPr="00F60A1E">
        <w:rPr>
          <w:bCs/>
          <w:szCs w:val="20"/>
        </w:rPr>
        <w:t>), formally, the child will not be a party to the proceedings, but rather, the child’s legal representative will act on his/her behalf and receive the information on the Council of State’s decision. In addition, the delivery of an original procedural document, including the judicial decisions, cannot be addressed directly to a child who is under 16 years old, but only to his/her parents</w:t>
      </w:r>
      <w:r w:rsidRPr="00F60A1E">
        <w:rPr>
          <w:bCs/>
          <w:szCs w:val="20"/>
          <w:vertAlign w:val="superscript"/>
        </w:rPr>
        <w:footnoteReference w:id="374"/>
      </w:r>
      <w:r w:rsidRPr="00F60A1E">
        <w:rPr>
          <w:bCs/>
          <w:szCs w:val="20"/>
        </w:rPr>
        <w:t xml:space="preserve">. </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 xml:space="preserve">No specific legal provision has been identified requiring the Council of State decisions to include information on the remedies available. However, the general rules of the </w:t>
      </w:r>
      <w:hyperlink r:id="rId155" w:history="1">
        <w:r w:rsidRPr="00F60A1E">
          <w:rPr>
            <w:rFonts w:cs="Arial"/>
            <w:color w:val="0000FF" w:themeColor="hyperlink"/>
            <w:szCs w:val="20"/>
            <w:u w:val="single"/>
          </w:rPr>
          <w:t>Judicial Code</w:t>
        </w:r>
      </w:hyperlink>
      <w:r w:rsidRPr="00F60A1E">
        <w:rPr>
          <w:rFonts w:cs="Arial"/>
          <w:szCs w:val="20"/>
        </w:rPr>
        <w:t xml:space="preserve"> </w:t>
      </w:r>
      <w:r w:rsidRPr="00F60A1E">
        <w:rPr>
          <w:bCs/>
          <w:szCs w:val="20"/>
        </w:rPr>
        <w:t xml:space="preserve">require that, to be valid, the decision must mention the remedies available, the timeframe </w:t>
      </w:r>
      <w:r w:rsidRPr="00F60A1E">
        <w:rPr>
          <w:bCs/>
          <w:szCs w:val="20"/>
        </w:rPr>
        <w:lastRenderedPageBreak/>
        <w:t>within which the appeal should be introduced, and the name and address of the court having jurisdiction</w:t>
      </w:r>
      <w:r w:rsidRPr="00F60A1E">
        <w:rPr>
          <w:bCs/>
          <w:szCs w:val="20"/>
          <w:vertAlign w:val="superscript"/>
        </w:rPr>
        <w:footnoteReference w:id="375"/>
      </w:r>
      <w:r w:rsidRPr="00F60A1E">
        <w:rPr>
          <w:bCs/>
          <w:szCs w:val="20"/>
        </w:rPr>
        <w:t>.</w:t>
      </w:r>
    </w:p>
    <w:p w:rsidR="00F60A1E" w:rsidRPr="00F60A1E" w:rsidRDefault="00F60A1E" w:rsidP="00F60A1E">
      <w:pPr>
        <w:spacing w:before="0" w:after="0" w:line="240" w:lineRule="auto"/>
        <w:jc w:val="both"/>
      </w:pPr>
    </w:p>
    <w:p w:rsidR="00F60A1E" w:rsidRPr="00F60A1E" w:rsidRDefault="00F60A1E" w:rsidP="00F60A1E">
      <w:pPr>
        <w:spacing w:before="0" w:after="0" w:line="240" w:lineRule="auto"/>
        <w:ind w:left="851"/>
        <w:jc w:val="both"/>
      </w:pPr>
      <w:r w:rsidRPr="00F60A1E">
        <w:t xml:space="preserve">No legal requirements have been identified on how the child’s lawyer or legal representative communicates and explains the given decision or judgement to the child in a child-friendly manner. Moreover, it is not a legal requirement to ensure that the language is adapted to the child’s level of understanding. The </w:t>
      </w:r>
      <w:hyperlink r:id="rId156" w:history="1">
        <w:r w:rsidRPr="00F60A1E">
          <w:rPr>
            <w:rFonts w:cs="Arial"/>
            <w:color w:val="0000FF" w:themeColor="hyperlink"/>
            <w:u w:val="single"/>
          </w:rPr>
          <w:t>Council of Europe Guidelines on Child-Friendly Justice</w:t>
        </w:r>
      </w:hyperlink>
      <w:r w:rsidRPr="00F60A1E">
        <w:t xml:space="preserve"> applies to the legal counsels representing the children. The </w:t>
      </w:r>
      <w:hyperlink r:id="rId157" w:history="1">
        <w:r w:rsidRPr="00F60A1E">
          <w:rPr>
            <w:rFonts w:cs="Arial"/>
            <w:color w:val="0000FF" w:themeColor="hyperlink"/>
            <w:u w:val="single"/>
          </w:rPr>
          <w:t>Deontology Code of Legal Counsel of the French and German Speaking Bars</w:t>
        </w:r>
      </w:hyperlink>
      <w:r w:rsidRPr="00F60A1E">
        <w:t xml:space="preserve"> provides that a child should be assisted, advised, represented and defended in a similar manner as an adult client, taking in to account the child’s age, maturity and capacity. The legal counsel should facilitate the understanding of the child of the proceedings and the child’s participation</w:t>
      </w:r>
      <w:r w:rsidRPr="00F60A1E">
        <w:rPr>
          <w:vertAlign w:val="superscript"/>
        </w:rPr>
        <w:footnoteReference w:id="376"/>
      </w:r>
      <w:r w:rsidRPr="00F60A1E">
        <w:t>. No similar provision has been identified for the Flemish Bar</w:t>
      </w:r>
      <w:r w:rsidRPr="00F60A1E">
        <w:rPr>
          <w:vertAlign w:val="superscript"/>
        </w:rPr>
        <w:footnoteReference w:id="377"/>
      </w:r>
      <w:r w:rsidRPr="00F60A1E">
        <w:t>.</w:t>
      </w:r>
    </w:p>
    <w:p w:rsidR="00F60A1E" w:rsidRPr="00227001" w:rsidRDefault="00F60A1E" w:rsidP="00227001">
      <w:pPr>
        <w:pStyle w:val="Heading3NoNumb"/>
        <w:ind w:left="851"/>
      </w:pPr>
      <w:bookmarkStart w:id="322" w:name="_Toc409792292"/>
      <w:r w:rsidRPr="00F60A1E">
        <w:t>Measures available to protect the child during enforcement proceedings</w:t>
      </w:r>
      <w:bookmarkEnd w:id="322"/>
    </w:p>
    <w:p w:rsidR="00F60A1E" w:rsidRPr="00F60A1E" w:rsidRDefault="00F60A1E" w:rsidP="00F60A1E">
      <w:pPr>
        <w:widowControl w:val="0"/>
        <w:spacing w:before="0" w:after="0" w:line="240" w:lineRule="auto"/>
        <w:ind w:left="851"/>
        <w:jc w:val="both"/>
        <w:rPr>
          <w:szCs w:val="20"/>
        </w:rPr>
      </w:pPr>
      <w:r w:rsidRPr="00F60A1E">
        <w:rPr>
          <w:bCs/>
          <w:szCs w:val="20"/>
        </w:rPr>
        <w:t xml:space="preserve">As mentioned under the Study to collect data on children’s involvement in civil judicial proceedings, the youth tribunals are competent to take protection measures for children in danger and in need. In addition, as mentioned in </w:t>
      </w:r>
      <w:hyperlink w:anchor="_2.4_Protection_from_2" w:history="1">
        <w:r w:rsidRPr="00F60A1E">
          <w:rPr>
            <w:bCs/>
            <w:color w:val="0000FF" w:themeColor="hyperlink"/>
            <w:szCs w:val="20"/>
            <w:u w:val="single"/>
          </w:rPr>
          <w:t>Section 2.4</w:t>
        </w:r>
      </w:hyperlink>
      <w:r w:rsidRPr="00F60A1E">
        <w:rPr>
          <w:bCs/>
          <w:szCs w:val="20"/>
        </w:rPr>
        <w:t xml:space="preserve">, the parties can request the president of the </w:t>
      </w:r>
      <w:r w:rsidRPr="00F60A1E">
        <w:rPr>
          <w:szCs w:val="20"/>
        </w:rPr>
        <w:t xml:space="preserve">court of first instance to adopt interim measures in a case of urgency, including those involving a child. The choice of the court will depend on the nature of the proceedings. Children cannot request those interim measures from the courts in their own right, instead it is their legal representatives who file such requests. </w:t>
      </w:r>
    </w:p>
    <w:p w:rsidR="00F60A1E" w:rsidRPr="00F60A1E" w:rsidRDefault="00F60A1E" w:rsidP="00F60A1E">
      <w:pPr>
        <w:widowControl w:val="0"/>
        <w:spacing w:before="0" w:after="0" w:line="240" w:lineRule="auto"/>
        <w:ind w:left="851"/>
        <w:jc w:val="both"/>
        <w:rPr>
          <w:szCs w:val="20"/>
        </w:rPr>
      </w:pPr>
    </w:p>
    <w:p w:rsidR="00F60A1E" w:rsidRPr="00F60A1E" w:rsidRDefault="00F60A1E" w:rsidP="00F60A1E">
      <w:pPr>
        <w:widowControl w:val="0"/>
        <w:spacing w:before="0" w:after="0" w:line="240" w:lineRule="auto"/>
        <w:ind w:left="851"/>
        <w:jc w:val="both"/>
        <w:rPr>
          <w:szCs w:val="20"/>
        </w:rPr>
      </w:pPr>
      <w:r w:rsidRPr="00F60A1E">
        <w:rPr>
          <w:szCs w:val="20"/>
        </w:rPr>
        <w:t>Where the presence of an adult person in the residence of the child poses a serious and immediate risk to the safety of the child, the Crown Prosecutor can issue a restraining order. The restraining order includes both the duty to leave the house and to refrain from contact with the child</w:t>
      </w:r>
      <w:r w:rsidRPr="00F60A1E">
        <w:rPr>
          <w:szCs w:val="20"/>
          <w:vertAlign w:val="superscript"/>
        </w:rPr>
        <w:footnoteReference w:id="378"/>
      </w:r>
      <w:r w:rsidRPr="00F60A1E">
        <w:rPr>
          <w:szCs w:val="20"/>
        </w:rPr>
        <w:t xml:space="preserve">. </w:t>
      </w:r>
    </w:p>
    <w:p w:rsidR="00F60A1E" w:rsidRPr="00F60A1E" w:rsidRDefault="00F60A1E" w:rsidP="00F60A1E">
      <w:pPr>
        <w:widowControl w:val="0"/>
        <w:spacing w:before="0" w:after="0" w:line="240" w:lineRule="auto"/>
        <w:ind w:left="851"/>
        <w:jc w:val="both"/>
        <w:rPr>
          <w:szCs w:val="20"/>
        </w:rPr>
      </w:pPr>
    </w:p>
    <w:p w:rsidR="00F60A1E" w:rsidRPr="00F60A1E" w:rsidRDefault="00F60A1E" w:rsidP="00F60A1E">
      <w:pPr>
        <w:widowControl w:val="0"/>
        <w:spacing w:before="0" w:after="0" w:line="240" w:lineRule="auto"/>
        <w:ind w:left="851"/>
        <w:jc w:val="both"/>
        <w:rPr>
          <w:szCs w:val="20"/>
        </w:rPr>
      </w:pPr>
      <w:r w:rsidRPr="00F60A1E">
        <w:rPr>
          <w:szCs w:val="20"/>
        </w:rPr>
        <w:t>If the enforcement of the decision puts the child at risk, the child’s legal representative may always petition the youth tribunal or the first instance court to order an interim measure.</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witness</w:t>
      </w:r>
    </w:p>
    <w:p w:rsidR="00F60A1E" w:rsidRPr="00F60A1E" w:rsidRDefault="00F60A1E" w:rsidP="00F60A1E">
      <w:pPr>
        <w:widowControl w:val="0"/>
        <w:spacing w:before="0" w:after="0" w:line="240" w:lineRule="auto"/>
        <w:ind w:left="2291"/>
        <w:jc w:val="both"/>
        <w:rPr>
          <w:bCs/>
          <w:szCs w:val="20"/>
        </w:rPr>
      </w:pPr>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A child witness is not a party to the proceedings. As a result, a child witness is not involved in the enforcement of the judicial decision.</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subject of proceedings</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 xml:space="preserve">As mentioned in </w:t>
      </w:r>
      <w:hyperlink w:anchor="_The_child_as" w:history="1">
        <w:r w:rsidRPr="00F60A1E">
          <w:rPr>
            <w:bCs/>
            <w:color w:val="0000FF" w:themeColor="hyperlink"/>
            <w:szCs w:val="20"/>
            <w:u w:val="single"/>
          </w:rPr>
          <w:t>Section 2.1</w:t>
        </w:r>
      </w:hyperlink>
      <w:r w:rsidRPr="00F60A1E">
        <w:rPr>
          <w:bCs/>
          <w:szCs w:val="20"/>
        </w:rPr>
        <w:t xml:space="preserve">, no rules were identified on child subjects of administrative judicial proceedings in Belgium. A child affected by the proceedings may, through his/her legal representative, request to intervene in the proceedings. </w:t>
      </w:r>
    </w:p>
    <w:p w:rsidR="00F60A1E" w:rsidRPr="00F60A1E" w:rsidRDefault="00F60A1E" w:rsidP="0082630D">
      <w:pPr>
        <w:pStyle w:val="Heading3"/>
      </w:pPr>
      <w:bookmarkStart w:id="323" w:name="_Toc401578607"/>
      <w:bookmarkStart w:id="324" w:name="_Toc404767226"/>
      <w:bookmarkStart w:id="325" w:name="_Toc409792293"/>
      <w:r w:rsidRPr="00F60A1E">
        <w:t>Procedural rules applicable to children involved in health care proceedings</w:t>
      </w:r>
      <w:bookmarkEnd w:id="323"/>
      <w:bookmarkEnd w:id="324"/>
      <w:bookmarkEnd w:id="325"/>
      <w:r w:rsidRPr="00F60A1E">
        <w:t xml:space="preserve"> </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plaintiff/defendant</w:t>
      </w:r>
    </w:p>
    <w:p w:rsidR="00F60A1E" w:rsidRPr="00F60A1E" w:rsidRDefault="00F60A1E" w:rsidP="00F60A1E">
      <w:pPr>
        <w:widowControl w:val="0"/>
        <w:spacing w:before="0" w:after="0" w:line="240" w:lineRule="auto"/>
        <w:ind w:left="2291"/>
        <w:jc w:val="both"/>
        <w:rPr>
          <w:bCs/>
          <w:szCs w:val="20"/>
        </w:rPr>
      </w:pPr>
    </w:p>
    <w:p w:rsidR="00F60A1E" w:rsidRPr="00F60A1E" w:rsidRDefault="00F60A1E" w:rsidP="00F60A1E">
      <w:pPr>
        <w:widowControl w:val="0"/>
        <w:spacing w:before="0" w:after="0" w:line="240" w:lineRule="auto"/>
        <w:ind w:left="851"/>
        <w:jc w:val="both"/>
      </w:pPr>
      <w:r w:rsidRPr="00F60A1E">
        <w:t xml:space="preserve">As explained in </w:t>
      </w:r>
      <w:hyperlink w:anchor="_Overview_of_Member" w:history="1">
        <w:r w:rsidRPr="00F60A1E">
          <w:rPr>
            <w:rFonts w:cs="Arial"/>
            <w:color w:val="0000FF" w:themeColor="hyperlink"/>
            <w:u w:val="single"/>
          </w:rPr>
          <w:t>Section 1</w:t>
        </w:r>
      </w:hyperlink>
      <w:r w:rsidRPr="00F60A1E">
        <w:t>, to appeal against medical treatment decisions, the child can turn to the court in civil judicial proceedings if no mediation agreement could be reached.</w:t>
      </w:r>
    </w:p>
    <w:p w:rsidR="00F60A1E" w:rsidRPr="00F60A1E" w:rsidRDefault="00227001" w:rsidP="00227001">
      <w:pPr>
        <w:pStyle w:val="Heading3NoNumb"/>
        <w:ind w:left="851"/>
      </w:pPr>
      <w:bookmarkStart w:id="326" w:name="_Toc409792294"/>
      <w:r>
        <w:t>Information about the judgement</w:t>
      </w:r>
      <w:bookmarkEnd w:id="326"/>
    </w:p>
    <w:p w:rsidR="00F60A1E" w:rsidRPr="00F60A1E" w:rsidRDefault="00F60A1E" w:rsidP="00F60A1E">
      <w:pPr>
        <w:widowControl w:val="0"/>
        <w:spacing w:before="0" w:after="0" w:line="240" w:lineRule="auto"/>
        <w:ind w:left="851"/>
        <w:jc w:val="both"/>
        <w:rPr>
          <w:bCs/>
          <w:szCs w:val="20"/>
        </w:rPr>
      </w:pPr>
      <w:r w:rsidRPr="00F60A1E">
        <w:rPr>
          <w:bCs/>
          <w:szCs w:val="20"/>
        </w:rPr>
        <w:t xml:space="preserve">As mentioned under </w:t>
      </w:r>
      <w:hyperlink w:anchor="_2.2_Provision_of_1" w:history="1">
        <w:r w:rsidRPr="00F60A1E">
          <w:rPr>
            <w:bCs/>
            <w:color w:val="0000FF" w:themeColor="hyperlink"/>
            <w:szCs w:val="20"/>
            <w:u w:val="single"/>
          </w:rPr>
          <w:t>Section 2.2</w:t>
        </w:r>
      </w:hyperlink>
      <w:r w:rsidRPr="00F60A1E">
        <w:rPr>
          <w:bCs/>
          <w:szCs w:val="20"/>
        </w:rPr>
        <w:t>, the delivery of an original procedural document, including the judgement, or the copy thereof, or a summon, cannot be addressed to a child who is under 16 years old, but only to his/her parents</w:t>
      </w:r>
      <w:r w:rsidRPr="00F60A1E">
        <w:rPr>
          <w:bCs/>
          <w:szCs w:val="20"/>
          <w:vertAlign w:val="superscript"/>
        </w:rPr>
        <w:footnoteReference w:id="379"/>
      </w:r>
      <w:r w:rsidRPr="00F60A1E">
        <w:rPr>
          <w:bCs/>
          <w:szCs w:val="20"/>
        </w:rPr>
        <w:t xml:space="preserve">. </w:t>
      </w:r>
    </w:p>
    <w:p w:rsidR="00F60A1E" w:rsidRPr="00F60A1E" w:rsidRDefault="00F60A1E" w:rsidP="00F60A1E">
      <w:pPr>
        <w:widowControl w:val="0"/>
        <w:spacing w:before="0" w:after="0" w:line="240" w:lineRule="auto"/>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The judgement contains the reasoning of the court, conclusions and additional information including the purpose of the claim, the arguments of the parties and reference to the opinion of the Crown Prosecutor</w:t>
      </w:r>
      <w:r w:rsidRPr="00F60A1E">
        <w:rPr>
          <w:bCs/>
          <w:szCs w:val="20"/>
          <w:vertAlign w:val="superscript"/>
        </w:rPr>
        <w:footnoteReference w:id="380"/>
      </w:r>
      <w:r w:rsidRPr="00F60A1E">
        <w:rPr>
          <w:bCs/>
          <w:szCs w:val="20"/>
        </w:rPr>
        <w:t>.</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Within eight days from the issuance of the judgement, the clerk must send an unsigned copy of the judgement by a letter to each party or, where appropriate, their legal counsels. To be valid, the letter must mention the remedies available, the time in which these remedies should be introduced, as well as the name and address of the court having jurisdiction</w:t>
      </w:r>
      <w:r w:rsidRPr="00F60A1E">
        <w:rPr>
          <w:bCs/>
          <w:szCs w:val="20"/>
          <w:vertAlign w:val="superscript"/>
        </w:rPr>
        <w:footnoteReference w:id="381"/>
      </w:r>
      <w:r w:rsidRPr="00F60A1E">
        <w:rPr>
          <w:bCs/>
          <w:szCs w:val="20"/>
        </w:rPr>
        <w:t>.</w:t>
      </w:r>
    </w:p>
    <w:p w:rsidR="00F60A1E" w:rsidRPr="00227001" w:rsidRDefault="00F60A1E" w:rsidP="00227001">
      <w:pPr>
        <w:pStyle w:val="Heading3NoNumb"/>
        <w:ind w:left="851"/>
      </w:pPr>
      <w:bookmarkStart w:id="327" w:name="_Toc409792295"/>
      <w:r w:rsidRPr="00227001">
        <w:t>Enforceability of the judgement</w:t>
      </w:r>
      <w:bookmarkEnd w:id="327"/>
    </w:p>
    <w:p w:rsidR="00F60A1E" w:rsidRPr="00F60A1E" w:rsidRDefault="00F60A1E" w:rsidP="00F60A1E">
      <w:pPr>
        <w:widowControl w:val="0"/>
        <w:spacing w:before="0" w:after="0" w:line="240" w:lineRule="auto"/>
        <w:ind w:left="851"/>
        <w:jc w:val="both"/>
        <w:rPr>
          <w:bCs/>
          <w:szCs w:val="20"/>
        </w:rPr>
      </w:pPr>
      <w:r w:rsidRPr="00F60A1E">
        <w:rPr>
          <w:bCs/>
          <w:szCs w:val="20"/>
        </w:rPr>
        <w:t>As explained under the Study to collect data on children’s involvement in civil judicial proceedings, a judicial decision is enforceable if it contains an enforceability title, which is attached to the judgement</w:t>
      </w:r>
      <w:r w:rsidRPr="00F60A1E">
        <w:rPr>
          <w:bCs/>
          <w:szCs w:val="20"/>
          <w:vertAlign w:val="superscript"/>
        </w:rPr>
        <w:footnoteReference w:id="382"/>
      </w:r>
      <w:r w:rsidRPr="00F60A1E">
        <w:rPr>
          <w:bCs/>
          <w:szCs w:val="20"/>
        </w:rPr>
        <w:t>. In addition, a judicial decision may only be enforced after having been notified to the parties</w:t>
      </w:r>
      <w:r w:rsidRPr="00F60A1E">
        <w:rPr>
          <w:bCs/>
          <w:szCs w:val="20"/>
          <w:vertAlign w:val="superscript"/>
        </w:rPr>
        <w:footnoteReference w:id="383"/>
      </w:r>
      <w:r w:rsidRPr="00F60A1E">
        <w:rPr>
          <w:bCs/>
          <w:szCs w:val="20"/>
        </w:rPr>
        <w:t>.</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With the exception of specific sentences/orders such as payment, a judicial decision may be enforced immediately. An appeal however, may suspend the enforcement, except if the court or the law provides that the decision/order is nevertheless enforceable</w:t>
      </w:r>
      <w:r w:rsidRPr="00F60A1E">
        <w:rPr>
          <w:bCs/>
          <w:szCs w:val="20"/>
          <w:vertAlign w:val="superscript"/>
        </w:rPr>
        <w:footnoteReference w:id="384"/>
      </w:r>
      <w:r w:rsidRPr="00F60A1E">
        <w:rPr>
          <w:bCs/>
          <w:szCs w:val="20"/>
        </w:rPr>
        <w:t>. If the parties immediately enforce a decision without waiting for the appeal period to elapse, they do so at their own risk. A judge may also order the provisional enforcement of the court decisions – which may not be immediately enforced, or for decisions requiring immediate enforcement without having to wait for the appeal term to elapse</w:t>
      </w:r>
      <w:r w:rsidRPr="00F60A1E">
        <w:rPr>
          <w:bCs/>
          <w:szCs w:val="20"/>
          <w:vertAlign w:val="superscript"/>
        </w:rPr>
        <w:footnoteReference w:id="385"/>
      </w:r>
      <w:r w:rsidRPr="00F60A1E">
        <w:rPr>
          <w:bCs/>
          <w:szCs w:val="20"/>
        </w:rPr>
        <w:t>.</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 xml:space="preserve">The Crown Prosecutor has the competence to enforce the judgements </w:t>
      </w:r>
      <w:r w:rsidRPr="00F60A1E">
        <w:rPr>
          <w:bCs/>
          <w:i/>
          <w:szCs w:val="20"/>
        </w:rPr>
        <w:t>ex officio</w:t>
      </w:r>
      <w:r w:rsidRPr="00F60A1E">
        <w:rPr>
          <w:bCs/>
          <w:szCs w:val="20"/>
        </w:rPr>
        <w:t xml:space="preserve"> if the decision is a matter of public order</w:t>
      </w:r>
      <w:r w:rsidRPr="00F60A1E">
        <w:rPr>
          <w:bCs/>
          <w:szCs w:val="20"/>
          <w:vertAlign w:val="superscript"/>
        </w:rPr>
        <w:footnoteReference w:id="386"/>
      </w:r>
      <w:r w:rsidRPr="00F60A1E">
        <w:rPr>
          <w:bCs/>
          <w:szCs w:val="20"/>
        </w:rPr>
        <w:t>.</w:t>
      </w:r>
    </w:p>
    <w:p w:rsidR="00F60A1E" w:rsidRPr="00F60A1E" w:rsidRDefault="00F60A1E" w:rsidP="00227001">
      <w:pPr>
        <w:pStyle w:val="Heading3NoNumb"/>
        <w:ind w:left="851"/>
      </w:pPr>
      <w:bookmarkStart w:id="328" w:name="_Toc409792296"/>
      <w:r w:rsidRPr="00F60A1E">
        <w:t>Coerciv</w:t>
      </w:r>
      <w:r w:rsidR="00227001">
        <w:t>e measures available to enforce</w:t>
      </w:r>
      <w:bookmarkEnd w:id="328"/>
    </w:p>
    <w:p w:rsidR="00F60A1E" w:rsidRPr="00F60A1E" w:rsidRDefault="00F60A1E" w:rsidP="00F60A1E">
      <w:pPr>
        <w:widowControl w:val="0"/>
        <w:spacing w:before="0" w:after="0" w:line="240" w:lineRule="auto"/>
        <w:ind w:left="851"/>
        <w:jc w:val="both"/>
        <w:rPr>
          <w:bCs/>
          <w:szCs w:val="20"/>
        </w:rPr>
      </w:pPr>
      <w:r w:rsidRPr="00F60A1E">
        <w:rPr>
          <w:bCs/>
          <w:szCs w:val="20"/>
        </w:rPr>
        <w:t>If the party does not comply voluntarily with the judgement, various measures can be ordered to enforce, or to provisionally enforce, the judicial decisions, including the following:</w:t>
      </w:r>
    </w:p>
    <w:p w:rsidR="00F60A1E" w:rsidRPr="00F60A1E" w:rsidRDefault="00F60A1E" w:rsidP="00F60A1E">
      <w:pPr>
        <w:widowControl w:val="0"/>
        <w:spacing w:before="0" w:after="0" w:line="240" w:lineRule="auto"/>
        <w:jc w:val="both"/>
        <w:rPr>
          <w:bCs/>
          <w:szCs w:val="20"/>
        </w:rPr>
      </w:pPr>
    </w:p>
    <w:p w:rsidR="00F60A1E" w:rsidRPr="00F60A1E" w:rsidRDefault="00F60A1E" w:rsidP="00F60A1E">
      <w:pPr>
        <w:numPr>
          <w:ilvl w:val="0"/>
          <w:numId w:val="22"/>
        </w:numPr>
        <w:spacing w:before="0" w:after="0"/>
      </w:pPr>
      <w:r w:rsidRPr="00F60A1E">
        <w:t>penalty payments;</w:t>
      </w:r>
    </w:p>
    <w:p w:rsidR="00F60A1E" w:rsidRPr="00F60A1E" w:rsidRDefault="00F60A1E" w:rsidP="00F60A1E">
      <w:pPr>
        <w:numPr>
          <w:ilvl w:val="0"/>
          <w:numId w:val="22"/>
        </w:numPr>
        <w:spacing w:before="0" w:after="0"/>
      </w:pPr>
      <w:r w:rsidRPr="00F60A1E">
        <w:t>seizure – including provisional seizure and forced seizure;</w:t>
      </w:r>
    </w:p>
    <w:p w:rsidR="00F60A1E" w:rsidRPr="00F60A1E" w:rsidRDefault="00F60A1E" w:rsidP="00F60A1E">
      <w:pPr>
        <w:numPr>
          <w:ilvl w:val="0"/>
          <w:numId w:val="22"/>
        </w:numPr>
        <w:spacing w:before="0" w:after="0"/>
      </w:pPr>
      <w:r w:rsidRPr="00F60A1E">
        <w:t>orders.</w:t>
      </w:r>
    </w:p>
    <w:p w:rsidR="00F60A1E" w:rsidRPr="00F60A1E" w:rsidRDefault="00F60A1E" w:rsidP="00F60A1E">
      <w:pPr>
        <w:widowControl w:val="0"/>
        <w:spacing w:before="0" w:after="0" w:line="240" w:lineRule="auto"/>
        <w:jc w:val="both"/>
        <w:rPr>
          <w:bCs/>
          <w:szCs w:val="20"/>
        </w:rPr>
      </w:pPr>
    </w:p>
    <w:p w:rsidR="00F60A1E" w:rsidRPr="00F60A1E" w:rsidRDefault="00F60A1E" w:rsidP="00F60A1E">
      <w:pPr>
        <w:widowControl w:val="0"/>
        <w:spacing w:before="0" w:after="0" w:line="240" w:lineRule="auto"/>
        <w:ind w:left="851"/>
        <w:jc w:val="both"/>
        <w:rPr>
          <w:b/>
          <w:bCs/>
          <w:szCs w:val="20"/>
        </w:rPr>
      </w:pPr>
      <w:r w:rsidRPr="00F60A1E">
        <w:rPr>
          <w:bCs/>
          <w:szCs w:val="20"/>
        </w:rPr>
        <w:t>Physical coercion cannot be used against a child, or a person who has a child under his/her care</w:t>
      </w:r>
      <w:r w:rsidRPr="00F60A1E">
        <w:rPr>
          <w:bCs/>
          <w:szCs w:val="20"/>
          <w:vertAlign w:val="superscript"/>
        </w:rPr>
        <w:footnoteReference w:id="387"/>
      </w:r>
      <w:r w:rsidRPr="00F60A1E">
        <w:rPr>
          <w:bCs/>
          <w:szCs w:val="20"/>
        </w:rPr>
        <w:t xml:space="preserve">. Whilst the Crown Prosecutor may </w:t>
      </w:r>
      <w:r w:rsidRPr="00F60A1E">
        <w:rPr>
          <w:bCs/>
          <w:i/>
          <w:szCs w:val="20"/>
        </w:rPr>
        <w:t>ex officio</w:t>
      </w:r>
      <w:r w:rsidRPr="00F60A1E">
        <w:rPr>
          <w:bCs/>
          <w:szCs w:val="20"/>
        </w:rPr>
        <w:t xml:space="preserve"> decide to enforce a decision in a matter of public order, as a general rule, the enforcement of a judgement requires the intervention of a bailiff</w:t>
      </w:r>
      <w:r w:rsidRPr="00F60A1E">
        <w:rPr>
          <w:bCs/>
          <w:szCs w:val="20"/>
          <w:vertAlign w:val="superscript"/>
        </w:rPr>
        <w:footnoteReference w:id="388"/>
      </w:r>
      <w:r w:rsidRPr="00F60A1E">
        <w:rPr>
          <w:bCs/>
          <w:szCs w:val="20"/>
        </w:rPr>
        <w:t>. The bailiff will certify that the decisions are not enforced. Then the parties can petition the seizure judge within the first instance court to order the enforcement measures. The bailiff will also carry out the enforcement measures ordered.</w:t>
      </w:r>
      <w:r w:rsidRPr="00F60A1E">
        <w:rPr>
          <w:b/>
          <w:bCs/>
          <w:szCs w:val="20"/>
        </w:rPr>
        <w:t xml:space="preserve"> </w:t>
      </w:r>
    </w:p>
    <w:p w:rsidR="00F60A1E" w:rsidRPr="00F60A1E" w:rsidRDefault="00F60A1E" w:rsidP="00F60A1E">
      <w:pPr>
        <w:widowControl w:val="0"/>
        <w:spacing w:before="0" w:after="0" w:line="240" w:lineRule="auto"/>
        <w:ind w:left="851"/>
        <w:jc w:val="both"/>
        <w:rPr>
          <w:b/>
          <w:bCs/>
          <w:szCs w:val="20"/>
        </w:rPr>
      </w:pPr>
    </w:p>
    <w:p w:rsidR="00F60A1E" w:rsidRPr="00F60A1E" w:rsidRDefault="00F60A1E" w:rsidP="00F60A1E">
      <w:pPr>
        <w:widowControl w:val="0"/>
        <w:spacing w:before="0" w:after="0" w:line="240" w:lineRule="auto"/>
        <w:ind w:left="851"/>
        <w:jc w:val="both"/>
        <w:rPr>
          <w:bCs/>
          <w:szCs w:val="20"/>
        </w:rPr>
      </w:pPr>
      <w:r w:rsidRPr="00F60A1E">
        <w:rPr>
          <w:rFonts w:eastAsia="Times New Roman"/>
          <w:bCs/>
          <w:szCs w:val="20"/>
        </w:rPr>
        <w:t>As mentioned above,</w:t>
      </w:r>
      <w:r w:rsidRPr="00F60A1E">
        <w:rPr>
          <w:bCs/>
          <w:szCs w:val="20"/>
        </w:rPr>
        <w:t xml:space="preserve"> as a result of the child’s lack of legal capacity to act, the child will not be a formal party to the enforcement procedure, but rather, the child’s legal representative will represent him/her.</w:t>
      </w:r>
    </w:p>
    <w:p w:rsidR="00F60A1E" w:rsidRPr="00F60A1E" w:rsidRDefault="00F60A1E" w:rsidP="00F60A1E">
      <w:pPr>
        <w:widowControl w:val="0"/>
        <w:spacing w:before="0" w:after="0" w:line="240" w:lineRule="auto"/>
        <w:ind w:left="851"/>
        <w:jc w:val="both"/>
      </w:pPr>
    </w:p>
    <w:p w:rsidR="00F60A1E" w:rsidRPr="00F60A1E" w:rsidRDefault="00F60A1E" w:rsidP="00F60A1E">
      <w:pPr>
        <w:widowControl w:val="0"/>
        <w:spacing w:before="0" w:after="0" w:line="240" w:lineRule="auto"/>
        <w:ind w:left="851"/>
        <w:jc w:val="both"/>
        <w:rPr>
          <w:bCs/>
          <w:szCs w:val="20"/>
        </w:rPr>
      </w:pPr>
      <w:r w:rsidRPr="00F60A1E">
        <w:rPr>
          <w:bCs/>
          <w:szCs w:val="20"/>
        </w:rPr>
        <w:t>The general rules on measures available to protect the child during enforcement proceedings apply to health care proceedings.</w:t>
      </w:r>
    </w:p>
    <w:p w:rsidR="00F60A1E" w:rsidRPr="00F60A1E" w:rsidRDefault="00227001" w:rsidP="00227001">
      <w:pPr>
        <w:pStyle w:val="Heading3NoNumb"/>
        <w:ind w:left="851"/>
      </w:pPr>
      <w:bookmarkStart w:id="329" w:name="_Toc409792297"/>
      <w:r>
        <w:lastRenderedPageBreak/>
        <w:t>Mental health proceedings</w:t>
      </w:r>
      <w:bookmarkEnd w:id="329"/>
    </w:p>
    <w:p w:rsidR="00F60A1E" w:rsidRPr="00F60A1E" w:rsidRDefault="00F60A1E" w:rsidP="00F60A1E">
      <w:pPr>
        <w:widowControl w:val="0"/>
        <w:spacing w:before="0" w:after="0" w:line="240" w:lineRule="auto"/>
        <w:ind w:left="851"/>
        <w:jc w:val="both"/>
        <w:rPr>
          <w:bCs/>
          <w:szCs w:val="20"/>
        </w:rPr>
      </w:pPr>
      <w:r w:rsidRPr="00F60A1E">
        <w:rPr>
          <w:bCs/>
          <w:szCs w:val="20"/>
        </w:rPr>
        <w:t>The rules described below under placement into care proceedings apply to mental health proceedings. In addition, the decisions of the youth tribunal on the placement into a psychiatric service are provisionally enforced notwithstanding an appeal of the decision</w:t>
      </w:r>
      <w:r w:rsidRPr="00F60A1E">
        <w:rPr>
          <w:bCs/>
          <w:szCs w:val="20"/>
          <w:vertAlign w:val="superscript"/>
        </w:rPr>
        <w:footnoteReference w:id="389"/>
      </w:r>
      <w:r w:rsidRPr="00F60A1E">
        <w:rPr>
          <w:bCs/>
          <w:szCs w:val="20"/>
        </w:rPr>
        <w:t>.  A decision ending a placement into psychiatric services is immediately enforced.</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witness</w:t>
      </w:r>
    </w:p>
    <w:p w:rsidR="00F60A1E" w:rsidRPr="00F60A1E" w:rsidRDefault="00F60A1E" w:rsidP="00F60A1E">
      <w:pPr>
        <w:widowControl w:val="0"/>
        <w:spacing w:before="0" w:after="0" w:line="240" w:lineRule="auto"/>
        <w:ind w:left="851"/>
        <w:jc w:val="both"/>
        <w:rPr>
          <w:rFonts w:cs="Arial"/>
          <w:szCs w:val="20"/>
        </w:rPr>
      </w:pPr>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A child witness is not a party to the proceedings – as a result, a child witness is not involved in the enforcement of the judicial decision.</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subject of the proceedings</w:t>
      </w:r>
    </w:p>
    <w:p w:rsidR="00F60A1E" w:rsidRPr="00F60A1E" w:rsidRDefault="00F60A1E" w:rsidP="00F60A1E">
      <w:pPr>
        <w:widowControl w:val="0"/>
        <w:spacing w:before="0" w:after="0" w:line="240" w:lineRule="auto"/>
        <w:ind w:left="851"/>
        <w:jc w:val="both"/>
        <w:rPr>
          <w:bCs/>
          <w:color w:val="FF0000"/>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 xml:space="preserve">No rules were identified on child subjects of health care judicial proceedings in Belgium. The child will not formally be the party in the proceeding, but rather, his/her legal representative acting on behalf of the child will be the party, with the exception of when the child can be a party in his/her own right, as mentioned above. </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As an exception, the child will be a party to mental health proceedings, before a youth tribunal, although the child’s legal representative must carry out the procedural acts on behalf of the child due to the child’s lack of procedural capacity.</w:t>
      </w:r>
    </w:p>
    <w:p w:rsidR="00F60A1E" w:rsidRPr="00F60A1E" w:rsidRDefault="00F60A1E" w:rsidP="0082630D">
      <w:pPr>
        <w:pStyle w:val="Heading3"/>
      </w:pPr>
      <w:bookmarkStart w:id="330" w:name="_Toc401578608"/>
      <w:bookmarkStart w:id="331" w:name="_Toc404767227"/>
      <w:bookmarkStart w:id="332" w:name="_Toc409792298"/>
      <w:r w:rsidRPr="00F60A1E">
        <w:t>Procedural rules applicable to children involved in placement into care proceedings</w:t>
      </w:r>
      <w:bookmarkEnd w:id="330"/>
      <w:bookmarkEnd w:id="331"/>
      <w:bookmarkEnd w:id="332"/>
      <w:r w:rsidRPr="00F60A1E">
        <w:t xml:space="preserve"> </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plaintiff/defendant</w:t>
      </w:r>
    </w:p>
    <w:p w:rsidR="00F60A1E" w:rsidRPr="00F60A1E" w:rsidRDefault="00F60A1E" w:rsidP="00F60A1E">
      <w:pPr>
        <w:widowControl w:val="0"/>
        <w:spacing w:before="0" w:after="0" w:line="240" w:lineRule="auto"/>
        <w:ind w:left="2291"/>
        <w:jc w:val="both"/>
        <w:rPr>
          <w:bCs/>
          <w:szCs w:val="20"/>
        </w:rPr>
      </w:pPr>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 xml:space="preserve">As mentioned in </w:t>
      </w:r>
      <w:hyperlink w:anchor="_Overview_of_Member" w:history="1">
        <w:r w:rsidRPr="00F60A1E">
          <w:rPr>
            <w:rFonts w:cs="Arial"/>
            <w:color w:val="0000FF" w:themeColor="hyperlink"/>
            <w:szCs w:val="20"/>
            <w:u w:val="single"/>
          </w:rPr>
          <w:t>Section 1</w:t>
        </w:r>
      </w:hyperlink>
      <w:r w:rsidRPr="00F60A1E">
        <w:rPr>
          <w:rFonts w:cs="Arial"/>
          <w:szCs w:val="20"/>
        </w:rPr>
        <w:t xml:space="preserve">, measures for the protection of the child, including placement into care, are either voluntary – under the supervision of a youth care service, or non-voluntary. Non-voluntary measures require the intervention of the youth tribunal, which will apply the </w:t>
      </w:r>
      <w:hyperlink r:id="rId158" w:history="1">
        <w:r w:rsidRPr="00F60A1E">
          <w:rPr>
            <w:rFonts w:cs="Arial"/>
            <w:color w:val="0000FF" w:themeColor="hyperlink"/>
            <w:szCs w:val="20"/>
            <w:u w:val="single"/>
          </w:rPr>
          <w:t>Youth Protection Act</w:t>
        </w:r>
      </w:hyperlink>
      <w:r w:rsidRPr="00F60A1E">
        <w:rPr>
          <w:rFonts w:cs="Arial"/>
          <w:szCs w:val="20"/>
        </w:rPr>
        <w:t xml:space="preserve"> and the </w:t>
      </w:r>
      <w:hyperlink r:id="rId159" w:history="1">
        <w:r w:rsidRPr="00F60A1E">
          <w:rPr>
            <w:rFonts w:cs="Arial"/>
            <w:color w:val="0000FF" w:themeColor="hyperlink"/>
            <w:szCs w:val="20"/>
            <w:u w:val="single"/>
          </w:rPr>
          <w:t>Judicial Code</w:t>
        </w:r>
      </w:hyperlink>
      <w:r w:rsidRPr="00F60A1E">
        <w:rPr>
          <w:rFonts w:cs="Arial"/>
          <w:szCs w:val="20"/>
        </w:rPr>
        <w:t xml:space="preserve">, i.e. civil procedural rules. </w:t>
      </w:r>
    </w:p>
    <w:p w:rsidR="00F60A1E" w:rsidRPr="00F60A1E" w:rsidRDefault="00F60A1E" w:rsidP="00F60A1E">
      <w:pPr>
        <w:widowControl w:val="0"/>
        <w:spacing w:before="0" w:after="0" w:line="240" w:lineRule="auto"/>
        <w:ind w:left="851"/>
        <w:jc w:val="both"/>
        <w:rPr>
          <w:rFonts w:cs="Arial"/>
          <w:szCs w:val="20"/>
        </w:rPr>
      </w:pPr>
    </w:p>
    <w:p w:rsidR="00F60A1E" w:rsidRPr="00F60A1E" w:rsidRDefault="00F60A1E" w:rsidP="00F60A1E">
      <w:pPr>
        <w:spacing w:before="0" w:after="0" w:line="240" w:lineRule="auto"/>
        <w:ind w:left="851"/>
        <w:jc w:val="both"/>
        <w:rPr>
          <w:bCs/>
        </w:rPr>
      </w:pPr>
      <w:r w:rsidRPr="00F60A1E">
        <w:t>The rules described above under the sector of “health care” proceedings apply to placement into care proceedings. In addition, in terms of provision of information, a</w:t>
      </w:r>
      <w:r w:rsidRPr="00F60A1E">
        <w:rPr>
          <w:bCs/>
        </w:rPr>
        <w:t xml:space="preserve">s mentioned under </w:t>
      </w:r>
      <w:hyperlink w:anchor="_2.2_Provision_of_1" w:history="1">
        <w:r w:rsidRPr="00F60A1E">
          <w:rPr>
            <w:rFonts w:cs="Arial"/>
            <w:bCs/>
            <w:color w:val="0000FF" w:themeColor="hyperlink"/>
            <w:u w:val="single"/>
          </w:rPr>
          <w:t>Section 2.2</w:t>
        </w:r>
      </w:hyperlink>
      <w:r w:rsidRPr="00F60A1E">
        <w:rPr>
          <w:bCs/>
        </w:rPr>
        <w:t>, a copy of any decision taken by a youth tribunal at first instance or appeal must be provided to the child’s legal counsel on the same day as the decision</w:t>
      </w:r>
      <w:r w:rsidRPr="00F60A1E">
        <w:rPr>
          <w:bCs/>
          <w:vertAlign w:val="superscript"/>
        </w:rPr>
        <w:footnoteReference w:id="390"/>
      </w:r>
      <w:r w:rsidRPr="00F60A1E">
        <w:rPr>
          <w:bCs/>
        </w:rPr>
        <w:t>.</w:t>
      </w:r>
    </w:p>
    <w:p w:rsidR="00F60A1E" w:rsidRPr="00F60A1E" w:rsidRDefault="00F60A1E" w:rsidP="00F60A1E">
      <w:pPr>
        <w:spacing w:before="0" w:after="0" w:line="240" w:lineRule="auto"/>
        <w:ind w:left="851"/>
        <w:jc w:val="both"/>
        <w:rPr>
          <w:bCs/>
        </w:rPr>
      </w:pPr>
    </w:p>
    <w:p w:rsidR="00F60A1E" w:rsidRPr="00F60A1E" w:rsidRDefault="00F60A1E" w:rsidP="00F60A1E">
      <w:pPr>
        <w:spacing w:before="0" w:after="0" w:line="240" w:lineRule="auto"/>
        <w:ind w:left="851"/>
        <w:jc w:val="both"/>
      </w:pPr>
      <w:r w:rsidRPr="00F60A1E">
        <w:t>The youth tribunal may decide on the provisional enforcement of its decisions</w:t>
      </w:r>
      <w:r w:rsidRPr="00F60A1E">
        <w:rPr>
          <w:vertAlign w:val="superscript"/>
        </w:rPr>
        <w:footnoteReference w:id="391"/>
      </w:r>
      <w:r w:rsidRPr="00F60A1E">
        <w:t xml:space="preserve">. Usually, a youth care service will be in charge of implementing the youth tribunal’s decision. As explained in </w:t>
      </w:r>
      <w:hyperlink w:anchor="_Overview_of_Member" w:history="1">
        <w:r w:rsidRPr="00F60A1E">
          <w:rPr>
            <w:rFonts w:cs="Arial"/>
            <w:color w:val="0000FF" w:themeColor="hyperlink"/>
            <w:u w:val="single"/>
          </w:rPr>
          <w:t>Section 1</w:t>
        </w:r>
      </w:hyperlink>
      <w:r w:rsidRPr="00F60A1E">
        <w:t>, if the child and his/her legal representative disagree on how the protection or placement measure is implemented by the youth care service, they have the choice to complain before an administrative authority or counsellor</w:t>
      </w:r>
      <w:r w:rsidRPr="00F60A1E">
        <w:rPr>
          <w:vertAlign w:val="superscript"/>
        </w:rPr>
        <w:footnoteReference w:id="392"/>
      </w:r>
      <w:r w:rsidRPr="00F60A1E">
        <w:t xml:space="preserve"> and/or appeal to the youth tribunal to remove, replace or amend the measure</w:t>
      </w:r>
      <w:r w:rsidRPr="00F60A1E">
        <w:rPr>
          <w:vertAlign w:val="superscript"/>
        </w:rPr>
        <w:footnoteReference w:id="393"/>
      </w:r>
      <w:r w:rsidRPr="00F60A1E">
        <w:t>.</w:t>
      </w:r>
    </w:p>
    <w:p w:rsidR="00F60A1E" w:rsidRPr="00F60A1E" w:rsidRDefault="00F60A1E" w:rsidP="00F60A1E">
      <w:pPr>
        <w:widowControl w:val="0"/>
        <w:spacing w:before="0" w:after="0" w:line="240" w:lineRule="auto"/>
        <w:ind w:left="851"/>
        <w:jc w:val="both"/>
        <w:rPr>
          <w:b/>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The general rules on measures available to protect the child during an enforcement proceeding apply to placement into care proceedings.</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witness</w:t>
      </w:r>
    </w:p>
    <w:p w:rsidR="00F60A1E" w:rsidRPr="00F60A1E" w:rsidRDefault="00F60A1E" w:rsidP="00F60A1E">
      <w:pPr>
        <w:widowControl w:val="0"/>
        <w:spacing w:before="0" w:after="0" w:line="240" w:lineRule="auto"/>
        <w:ind w:left="851"/>
        <w:jc w:val="both"/>
        <w:rPr>
          <w:rFonts w:cs="Arial"/>
          <w:szCs w:val="20"/>
        </w:rPr>
      </w:pPr>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A child witness is not a party to the proceedings – as a result, a child witness is not involved in the enforcement of the judicial decision.</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subject of proceedings</w:t>
      </w:r>
    </w:p>
    <w:p w:rsidR="00F60A1E" w:rsidRPr="00F60A1E" w:rsidRDefault="00F60A1E" w:rsidP="00F60A1E">
      <w:pPr>
        <w:widowControl w:val="0"/>
        <w:spacing w:before="0" w:after="0" w:line="240" w:lineRule="auto"/>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lastRenderedPageBreak/>
        <w:t>No rules were identified on child subjects of administrative sanction judicial proceedings. A child in such proceedings will be a plaintiff or a defendant. The child is a party to proceedings before a youth tribunal, although the child’s legal representative must carry out the procedural acts on behalf of the child due to the child’s lack of procedural capacity.</w:t>
      </w:r>
    </w:p>
    <w:p w:rsidR="00F60A1E" w:rsidRPr="00F60A1E" w:rsidRDefault="00F60A1E" w:rsidP="0082630D">
      <w:pPr>
        <w:pStyle w:val="Heading3"/>
      </w:pPr>
      <w:bookmarkStart w:id="333" w:name="_Toc401578609"/>
      <w:bookmarkStart w:id="334" w:name="_Toc404767228"/>
      <w:bookmarkStart w:id="335" w:name="_Toc409792299"/>
      <w:r w:rsidRPr="00F60A1E">
        <w:t>Procedural rules applicable to children involved in administrative sanctions proceedings</w:t>
      </w:r>
      <w:bookmarkEnd w:id="333"/>
      <w:bookmarkEnd w:id="334"/>
      <w:bookmarkEnd w:id="335"/>
      <w:r w:rsidRPr="00F60A1E">
        <w:t xml:space="preserve"> </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plaintiff/defendant</w:t>
      </w:r>
    </w:p>
    <w:p w:rsidR="00F60A1E" w:rsidRPr="00F60A1E" w:rsidRDefault="00F60A1E" w:rsidP="00F60A1E">
      <w:pPr>
        <w:widowControl w:val="0"/>
        <w:spacing w:before="0" w:after="0" w:line="240" w:lineRule="auto"/>
        <w:ind w:left="851"/>
        <w:jc w:val="both"/>
      </w:pPr>
    </w:p>
    <w:p w:rsidR="00F60A1E" w:rsidRPr="00F60A1E" w:rsidRDefault="00F60A1E" w:rsidP="00F60A1E">
      <w:pPr>
        <w:widowControl w:val="0"/>
        <w:spacing w:before="0" w:after="0" w:line="240" w:lineRule="auto"/>
        <w:ind w:left="851"/>
        <w:jc w:val="both"/>
        <w:rPr>
          <w:szCs w:val="20"/>
        </w:rPr>
      </w:pPr>
      <w:r w:rsidRPr="00F60A1E">
        <w:rPr>
          <w:szCs w:val="20"/>
        </w:rPr>
        <w:t xml:space="preserve">Regarding administrative sanctions proceedings, as explained in </w:t>
      </w:r>
      <w:hyperlink w:anchor="_Overview_of_Member" w:history="1">
        <w:r w:rsidRPr="00F60A1E">
          <w:rPr>
            <w:color w:val="0000FF" w:themeColor="hyperlink"/>
            <w:szCs w:val="20"/>
            <w:u w:val="single"/>
          </w:rPr>
          <w:t>Section 1</w:t>
        </w:r>
      </w:hyperlink>
      <w:r w:rsidRPr="00F60A1E">
        <w:rPr>
          <w:szCs w:val="20"/>
        </w:rPr>
        <w:t>, administrative authorities’ decisions imposing administrative sanctions on children can be appealed before the youth tribunals.</w:t>
      </w:r>
    </w:p>
    <w:p w:rsidR="00F60A1E" w:rsidRPr="00F60A1E" w:rsidRDefault="00F60A1E" w:rsidP="00F60A1E">
      <w:pPr>
        <w:widowControl w:val="0"/>
        <w:spacing w:before="0" w:after="0" w:line="240" w:lineRule="auto"/>
        <w:ind w:left="851"/>
        <w:jc w:val="both"/>
      </w:pPr>
    </w:p>
    <w:p w:rsidR="00F60A1E" w:rsidRPr="00F60A1E" w:rsidRDefault="00F60A1E" w:rsidP="00F60A1E">
      <w:pPr>
        <w:widowControl w:val="0"/>
        <w:spacing w:before="0" w:after="0" w:line="240" w:lineRule="auto"/>
        <w:ind w:left="851"/>
        <w:jc w:val="both"/>
      </w:pPr>
      <w:r w:rsidRPr="00F60A1E">
        <w:t>The rules described above under the sector of “health care” proceedings apply to administrative sanctions proceedings. In addition, if the youth tribunal upholds the administrative sanction, the administrative sanction is therefore enforceable by the administration. If the youth tribunal decides to replace the administrative sanction by a youth protection measure, the rules described under the “placement into care” sector apply.</w:t>
      </w:r>
    </w:p>
    <w:p w:rsidR="00F60A1E" w:rsidRPr="00F60A1E" w:rsidRDefault="00F60A1E" w:rsidP="00F60A1E">
      <w:pPr>
        <w:widowControl w:val="0"/>
        <w:spacing w:before="0" w:after="0" w:line="240" w:lineRule="auto"/>
        <w:ind w:left="851"/>
        <w:jc w:val="both"/>
      </w:pPr>
    </w:p>
    <w:p w:rsidR="00F60A1E" w:rsidRPr="00F60A1E" w:rsidRDefault="00F60A1E" w:rsidP="00F60A1E">
      <w:pPr>
        <w:widowControl w:val="0"/>
        <w:spacing w:before="0" w:after="0" w:line="240" w:lineRule="auto"/>
        <w:ind w:left="851"/>
        <w:jc w:val="both"/>
      </w:pPr>
      <w:r w:rsidRPr="00F60A1E">
        <w:t>In case the administration issued a civic service as an administrative sanction, the civic service must be carried out within six months of the decision. If the sanction is not carried out within the time limit, the administrative authority may decide to issue an administrative fine. The child’s parents or guardian may accompany the child during the execution of the administrative sanction if they wish</w:t>
      </w:r>
      <w:r w:rsidRPr="00F60A1E">
        <w:rPr>
          <w:vertAlign w:val="superscript"/>
        </w:rPr>
        <w:footnoteReference w:id="394"/>
      </w:r>
      <w:r w:rsidRPr="00F60A1E">
        <w:t>.</w:t>
      </w:r>
    </w:p>
    <w:p w:rsidR="00F60A1E" w:rsidRPr="00F60A1E" w:rsidRDefault="00F60A1E" w:rsidP="00F60A1E">
      <w:pPr>
        <w:widowControl w:val="0"/>
        <w:spacing w:before="0" w:after="0" w:line="240" w:lineRule="auto"/>
        <w:ind w:left="851"/>
        <w:jc w:val="both"/>
        <w:rPr>
          <w:b/>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The general rules on measures available to protect the child during an enforcement proceeding apply to administrative sanctions proceedings.</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witness</w:t>
      </w:r>
    </w:p>
    <w:p w:rsidR="00F60A1E" w:rsidRPr="00F60A1E" w:rsidRDefault="00F60A1E" w:rsidP="00F60A1E">
      <w:pPr>
        <w:widowControl w:val="0"/>
        <w:spacing w:before="0" w:after="0" w:line="240" w:lineRule="auto"/>
        <w:ind w:left="851"/>
        <w:jc w:val="both"/>
        <w:rPr>
          <w:rFonts w:cs="Arial"/>
          <w:szCs w:val="20"/>
        </w:rPr>
      </w:pPr>
    </w:p>
    <w:p w:rsidR="00F60A1E" w:rsidRPr="00F60A1E" w:rsidRDefault="00F60A1E" w:rsidP="00F60A1E">
      <w:pPr>
        <w:widowControl w:val="0"/>
        <w:spacing w:before="0" w:after="0" w:line="240" w:lineRule="auto"/>
        <w:ind w:left="851"/>
        <w:jc w:val="both"/>
        <w:rPr>
          <w:rFonts w:cs="Arial"/>
          <w:szCs w:val="20"/>
        </w:rPr>
      </w:pPr>
      <w:r w:rsidRPr="00F60A1E">
        <w:rPr>
          <w:rFonts w:cs="Arial"/>
          <w:szCs w:val="20"/>
        </w:rPr>
        <w:t>A child witness is not a party to the proceedings – as a result, a child witness is not involved in the enforcement of the judicial decision.</w:t>
      </w:r>
    </w:p>
    <w:p w:rsidR="00F60A1E" w:rsidRPr="00F60A1E" w:rsidRDefault="00F60A1E" w:rsidP="00F60A1E">
      <w:pPr>
        <w:keepNext/>
        <w:keepLines/>
        <w:spacing w:after="0"/>
        <w:ind w:left="1702" w:hanging="851"/>
        <w:outlineLvl w:val="3"/>
        <w:rPr>
          <w:rFonts w:ascii="Calibri" w:eastAsiaTheme="majorEastAsia" w:hAnsi="Calibri" w:cstheme="majorBidi"/>
          <w:b/>
          <w:bCs/>
          <w:i/>
          <w:iCs/>
          <w:color w:val="0067AC"/>
          <w:sz w:val="22"/>
        </w:rPr>
      </w:pPr>
      <w:r w:rsidRPr="00F60A1E">
        <w:rPr>
          <w:rFonts w:ascii="Calibri" w:eastAsiaTheme="majorEastAsia" w:hAnsi="Calibri" w:cstheme="majorBidi"/>
          <w:b/>
          <w:bCs/>
          <w:i/>
          <w:iCs/>
          <w:color w:val="0067AC"/>
          <w:sz w:val="22"/>
        </w:rPr>
        <w:t>Child as a subject of proceedings</w:t>
      </w:r>
    </w:p>
    <w:p w:rsidR="00F60A1E" w:rsidRPr="00F60A1E" w:rsidRDefault="00F60A1E" w:rsidP="00F60A1E">
      <w:pPr>
        <w:widowControl w:val="0"/>
        <w:spacing w:before="0" w:after="0" w:line="240" w:lineRule="auto"/>
        <w:ind w:left="851"/>
        <w:jc w:val="both"/>
        <w:rPr>
          <w:bCs/>
          <w:szCs w:val="20"/>
        </w:rPr>
      </w:pPr>
    </w:p>
    <w:p w:rsidR="00F60A1E" w:rsidRPr="00F60A1E" w:rsidRDefault="00F60A1E" w:rsidP="00F60A1E">
      <w:pPr>
        <w:widowControl w:val="0"/>
        <w:spacing w:before="0" w:after="0" w:line="240" w:lineRule="auto"/>
        <w:ind w:left="851"/>
        <w:jc w:val="both"/>
        <w:rPr>
          <w:bCs/>
          <w:szCs w:val="20"/>
        </w:rPr>
      </w:pPr>
      <w:r w:rsidRPr="00F60A1E">
        <w:rPr>
          <w:bCs/>
          <w:szCs w:val="20"/>
        </w:rPr>
        <w:t>No rules were identified on child subjects of administrative sanction judicial proceedings. A child in such proceedings will be a plaintiff or a defendant. The child is a party to the proceedings before a youth tribunal, although the child’s legal representative must carry out the procedural acts on behalf of the child due to the child’s lack of procedural capacity.</w:t>
      </w:r>
    </w:p>
    <w:p w:rsidR="00F60A1E" w:rsidRPr="00F60A1E" w:rsidRDefault="00F60A1E" w:rsidP="00F60A1E">
      <w:pPr>
        <w:widowControl w:val="0"/>
        <w:spacing w:before="0" w:after="0" w:line="240" w:lineRule="auto"/>
        <w:rPr>
          <w:rFonts w:cs="Arial"/>
          <w:szCs w:val="20"/>
        </w:rPr>
      </w:pPr>
    </w:p>
    <w:p w:rsidR="00AC7914" w:rsidRDefault="00AC7914" w:rsidP="00AC7914">
      <w:pPr>
        <w:pStyle w:val="BodyText"/>
        <w:widowControl w:val="0"/>
        <w:spacing w:before="0" w:after="0" w:line="240" w:lineRule="auto"/>
        <w:ind w:left="0"/>
        <w:jc w:val="both"/>
        <w:rPr>
          <w:rFonts w:cs="Arial"/>
          <w:b/>
          <w:bCs/>
          <w:szCs w:val="20"/>
        </w:rPr>
      </w:pPr>
    </w:p>
    <w:p w:rsidR="00960EC3" w:rsidRPr="00ED163D" w:rsidRDefault="00960EC3" w:rsidP="00960EC3">
      <w:pPr>
        <w:pStyle w:val="Heading1NoNumb"/>
        <w:ind w:left="851"/>
      </w:pPr>
      <w:bookmarkStart w:id="336" w:name="_Toc401654882"/>
      <w:bookmarkStart w:id="337" w:name="_Toc409792300"/>
      <w:bookmarkEnd w:id="17"/>
      <w:bookmarkEnd w:id="18"/>
      <w:bookmarkEnd w:id="19"/>
      <w:r w:rsidRPr="000D323B">
        <w:lastRenderedPageBreak/>
        <w:t>Conclusions</w:t>
      </w:r>
      <w:bookmarkEnd w:id="336"/>
      <w:bookmarkEnd w:id="337"/>
    </w:p>
    <w:p w:rsidR="00F60A1E" w:rsidRPr="00F60A1E" w:rsidRDefault="00F60A1E" w:rsidP="00227001">
      <w:pPr>
        <w:pStyle w:val="Heading3NoNumb"/>
        <w:ind w:left="851"/>
      </w:pPr>
      <w:bookmarkStart w:id="338" w:name="_Toc409792301"/>
      <w:r w:rsidRPr="00182DA5">
        <w:t xml:space="preserve">Institutional and </w:t>
      </w:r>
      <w:r>
        <w:t>l</w:t>
      </w:r>
      <w:r w:rsidRPr="00182DA5">
        <w:t xml:space="preserve">egal </w:t>
      </w:r>
      <w:r>
        <w:t>f</w:t>
      </w:r>
      <w:r w:rsidRPr="00182DA5">
        <w:t>ramework</w:t>
      </w:r>
      <w:bookmarkEnd w:id="338"/>
    </w:p>
    <w:p w:rsidR="00F60A1E" w:rsidRPr="00A36DEB" w:rsidRDefault="00F60A1E" w:rsidP="00F60A1E">
      <w:pPr>
        <w:pStyle w:val="BodyText"/>
        <w:widowControl w:val="0"/>
        <w:spacing w:before="0" w:after="0" w:line="240" w:lineRule="auto"/>
        <w:jc w:val="both"/>
        <w:rPr>
          <w:szCs w:val="20"/>
          <w:lang w:val="en-US"/>
        </w:rPr>
      </w:pPr>
      <w:r w:rsidRPr="00437E15">
        <w:rPr>
          <w:szCs w:val="20"/>
        </w:rPr>
        <w:t>Belgium has two administrative courts – the Council of State and the Constitutional Court. The Constitutional Court verifies whether</w:t>
      </w:r>
      <w:r>
        <w:rPr>
          <w:szCs w:val="20"/>
        </w:rPr>
        <w:t xml:space="preserve"> or not</w:t>
      </w:r>
      <w:r w:rsidRPr="00437E15">
        <w:rPr>
          <w:szCs w:val="20"/>
        </w:rPr>
        <w:t xml:space="preserve"> the legislation and administrative regulations are in compliance with the </w:t>
      </w:r>
      <w:hyperlink r:id="rId160" w:history="1">
        <w:r w:rsidRPr="00437E15">
          <w:rPr>
            <w:rStyle w:val="Hyperlink"/>
            <w:szCs w:val="20"/>
          </w:rPr>
          <w:t>Constitution</w:t>
        </w:r>
      </w:hyperlink>
      <w:r w:rsidRPr="00437E15">
        <w:rPr>
          <w:szCs w:val="20"/>
        </w:rPr>
        <w:t>.</w:t>
      </w:r>
      <w:r>
        <w:rPr>
          <w:szCs w:val="20"/>
        </w:rPr>
        <w:t xml:space="preserve"> </w:t>
      </w:r>
      <w:hyperlink r:id="rId161" w:tgtFrame="_blank" w:history="1">
        <w:r w:rsidRPr="00437E15">
          <w:rPr>
            <w:rStyle w:val="Hyperlink"/>
            <w:rFonts w:cs="Arial"/>
            <w:szCs w:val="20"/>
            <w:bdr w:val="none" w:sz="0" w:space="0" w:color="auto" w:frame="1"/>
          </w:rPr>
          <w:t>The</w:t>
        </w:r>
        <w:r w:rsidRPr="00AF32C2">
          <w:rPr>
            <w:rStyle w:val="Hyperlink"/>
            <w:rFonts w:cs="Arial"/>
            <w:szCs w:val="20"/>
            <w:bdr w:val="none" w:sz="0" w:space="0" w:color="auto" w:frame="1"/>
          </w:rPr>
          <w:t xml:space="preserve"> Council of State</w:t>
        </w:r>
      </w:hyperlink>
      <w:r>
        <w:rPr>
          <w:szCs w:val="20"/>
        </w:rPr>
        <w:t xml:space="preserve"> hears judicial appeals against administrative authorities’ decisions</w:t>
      </w:r>
      <w:r>
        <w:rPr>
          <w:szCs w:val="20"/>
          <w:lang w:val="en-US"/>
        </w:rPr>
        <w:t xml:space="preserve">, i.e. </w:t>
      </w:r>
      <w:r w:rsidRPr="00A36DEB">
        <w:rPr>
          <w:szCs w:val="20"/>
          <w:lang w:val="en-US"/>
        </w:rPr>
        <w:t xml:space="preserve">in annulment </w:t>
      </w:r>
      <w:r>
        <w:rPr>
          <w:szCs w:val="20"/>
          <w:lang w:val="en-US"/>
        </w:rPr>
        <w:t>or</w:t>
      </w:r>
      <w:r w:rsidRPr="00A36DEB">
        <w:rPr>
          <w:szCs w:val="20"/>
          <w:lang w:val="en-US"/>
        </w:rPr>
        <w:t xml:space="preserve"> cassation procedures</w:t>
      </w:r>
      <w:r w:rsidRPr="00437E15">
        <w:rPr>
          <w:szCs w:val="20"/>
        </w:rPr>
        <w:t xml:space="preserve">. </w:t>
      </w:r>
    </w:p>
    <w:p w:rsidR="00F60A1E" w:rsidRDefault="00F60A1E" w:rsidP="00F60A1E">
      <w:pPr>
        <w:widowControl w:val="0"/>
        <w:spacing w:before="0" w:after="0" w:line="240" w:lineRule="auto"/>
        <w:ind w:left="851"/>
        <w:jc w:val="both"/>
      </w:pPr>
    </w:p>
    <w:p w:rsidR="00F60A1E" w:rsidRPr="00182DA5" w:rsidRDefault="00F60A1E" w:rsidP="00F60A1E">
      <w:pPr>
        <w:widowControl w:val="0"/>
        <w:spacing w:before="0" w:after="0" w:line="240" w:lineRule="auto"/>
        <w:ind w:left="851"/>
        <w:jc w:val="both"/>
        <w:rPr>
          <w:bCs/>
        </w:rPr>
      </w:pPr>
      <w:r w:rsidRPr="00437E15">
        <w:t xml:space="preserve">In general, there are no specific legal rules on children in administrative judicial proceedings. Hence, the general rules of proceedings before the Council of State </w:t>
      </w:r>
      <w:r w:rsidRPr="00437E15">
        <w:rPr>
          <w:bCs/>
        </w:rPr>
        <w:t xml:space="preserve">provided by the </w:t>
      </w:r>
      <w:hyperlink r:id="rId162" w:history="1">
        <w:r w:rsidRPr="00437E15">
          <w:rPr>
            <w:rStyle w:val="Hyperlink"/>
            <w:bCs/>
          </w:rPr>
          <w:t>Coordinated Laws of 12 January 1973 on the Council of State</w:t>
        </w:r>
      </w:hyperlink>
      <w:r w:rsidRPr="00437E15">
        <w:rPr>
          <w:bCs/>
        </w:rPr>
        <w:t xml:space="preserve"> and other </w:t>
      </w:r>
      <w:hyperlink r:id="rId163" w:history="1">
        <w:r w:rsidRPr="00437E15">
          <w:rPr>
            <w:rStyle w:val="Hyperlink"/>
            <w:bCs/>
          </w:rPr>
          <w:t>specialised regulations</w:t>
        </w:r>
      </w:hyperlink>
      <w:r w:rsidRPr="00437E15">
        <w:rPr>
          <w:bCs/>
        </w:rPr>
        <w:t xml:space="preserve"> apply, supplemented by the </w:t>
      </w:r>
      <w:hyperlink r:id="rId164" w:history="1">
        <w:r w:rsidRPr="00437E15">
          <w:rPr>
            <w:rStyle w:val="Hyperlink"/>
            <w:rFonts w:cs="Arial"/>
          </w:rPr>
          <w:t>Judicial Code</w:t>
        </w:r>
      </w:hyperlink>
      <w:r w:rsidRPr="00437E15">
        <w:t xml:space="preserve"> containing civil procedural rules</w:t>
      </w:r>
      <w:r>
        <w:t>,</w:t>
      </w:r>
      <w:r w:rsidRPr="00437E15">
        <w:t xml:space="preserve"> when no specific Council of State rules exist.</w:t>
      </w:r>
    </w:p>
    <w:p w:rsidR="00F60A1E" w:rsidRPr="00437E15" w:rsidRDefault="00F60A1E" w:rsidP="00F60A1E">
      <w:pPr>
        <w:pStyle w:val="BodyText"/>
        <w:widowControl w:val="0"/>
        <w:spacing w:before="0" w:after="0" w:line="240" w:lineRule="auto"/>
        <w:jc w:val="both"/>
        <w:rPr>
          <w:szCs w:val="20"/>
          <w:highlight w:val="yellow"/>
        </w:rPr>
      </w:pPr>
    </w:p>
    <w:p w:rsidR="00F60A1E" w:rsidRPr="00437E15" w:rsidRDefault="00F60A1E" w:rsidP="00F60A1E">
      <w:pPr>
        <w:pStyle w:val="BodyText"/>
        <w:widowControl w:val="0"/>
        <w:spacing w:before="0" w:after="0" w:line="240" w:lineRule="auto"/>
        <w:jc w:val="both"/>
        <w:rPr>
          <w:szCs w:val="20"/>
          <w:highlight w:val="yellow"/>
        </w:rPr>
      </w:pPr>
      <w:r>
        <w:rPr>
          <w:szCs w:val="20"/>
        </w:rPr>
        <w:t>The o</w:t>
      </w:r>
      <w:r w:rsidRPr="00437E15">
        <w:rPr>
          <w:szCs w:val="20"/>
        </w:rPr>
        <w:t>rdinary courts</w:t>
      </w:r>
      <w:r>
        <w:rPr>
          <w:szCs w:val="20"/>
        </w:rPr>
        <w:t xml:space="preserve">, i.e. </w:t>
      </w:r>
      <w:r w:rsidRPr="00437E15">
        <w:rPr>
          <w:szCs w:val="20"/>
        </w:rPr>
        <w:t>civil magistrate courts and courts of first instance</w:t>
      </w:r>
      <w:r>
        <w:rPr>
          <w:szCs w:val="20"/>
        </w:rPr>
        <w:t>,</w:t>
      </w:r>
      <w:r w:rsidRPr="00437E15">
        <w:rPr>
          <w:szCs w:val="20"/>
        </w:rPr>
        <w:t xml:space="preserve"> are also competent to hear appeals from decisions of </w:t>
      </w:r>
      <w:r>
        <w:rPr>
          <w:szCs w:val="20"/>
        </w:rPr>
        <w:t xml:space="preserve">the </w:t>
      </w:r>
      <w:r w:rsidRPr="00437E15">
        <w:rPr>
          <w:szCs w:val="20"/>
        </w:rPr>
        <w:t>public administrative authorities. For ordinary courts to be competent such judicial appeal</w:t>
      </w:r>
      <w:r>
        <w:rPr>
          <w:szCs w:val="20"/>
        </w:rPr>
        <w:t>s</w:t>
      </w:r>
      <w:r w:rsidRPr="00437E15">
        <w:rPr>
          <w:szCs w:val="20"/>
        </w:rPr>
        <w:t xml:space="preserve"> must involve subjective rights, i.e. a person believes that his/her rights have been violated by the administrative authority. </w:t>
      </w:r>
    </w:p>
    <w:p w:rsidR="00F60A1E" w:rsidRPr="00437E15" w:rsidRDefault="00F60A1E" w:rsidP="00F60A1E">
      <w:pPr>
        <w:pStyle w:val="BodyText"/>
        <w:widowControl w:val="0"/>
        <w:spacing w:before="0" w:after="0" w:line="240" w:lineRule="auto"/>
        <w:jc w:val="both"/>
        <w:rPr>
          <w:szCs w:val="20"/>
        </w:rPr>
      </w:pPr>
    </w:p>
    <w:p w:rsidR="00F60A1E" w:rsidRDefault="00F60A1E" w:rsidP="00F60A1E">
      <w:pPr>
        <w:pStyle w:val="BodyText"/>
        <w:widowControl w:val="0"/>
        <w:spacing w:before="0" w:after="0" w:line="240" w:lineRule="auto"/>
        <w:jc w:val="both"/>
        <w:rPr>
          <w:szCs w:val="20"/>
        </w:rPr>
      </w:pPr>
      <w:r w:rsidRPr="00437E15">
        <w:rPr>
          <w:szCs w:val="20"/>
        </w:rPr>
        <w:t>In addition, a child, through his/her legal representative</w:t>
      </w:r>
      <w:r>
        <w:rPr>
          <w:szCs w:val="20"/>
        </w:rPr>
        <w:t>,</w:t>
      </w:r>
      <w:r w:rsidRPr="00437E15">
        <w:rPr>
          <w:szCs w:val="20"/>
        </w:rPr>
        <w:t xml:space="preserve"> may always claim before </w:t>
      </w:r>
      <w:r>
        <w:rPr>
          <w:szCs w:val="20"/>
        </w:rPr>
        <w:t xml:space="preserve">a </w:t>
      </w:r>
      <w:r w:rsidRPr="00437E15">
        <w:rPr>
          <w:szCs w:val="20"/>
        </w:rPr>
        <w:t xml:space="preserve">civil court compensation for damages resulting from a decision of a public administrative authority or, under certain conditions, before the Council of State. </w:t>
      </w:r>
    </w:p>
    <w:p w:rsidR="00F60A1E" w:rsidRPr="00437E15" w:rsidRDefault="00F60A1E" w:rsidP="00F60A1E">
      <w:pPr>
        <w:pStyle w:val="BodyText"/>
        <w:widowControl w:val="0"/>
        <w:spacing w:before="0" w:after="0" w:line="240" w:lineRule="auto"/>
        <w:jc w:val="both"/>
        <w:rPr>
          <w:szCs w:val="20"/>
        </w:rPr>
      </w:pPr>
    </w:p>
    <w:p w:rsidR="00F60A1E" w:rsidRPr="00B01F5A" w:rsidRDefault="00F60A1E" w:rsidP="00F60A1E">
      <w:pPr>
        <w:pStyle w:val="BodyText"/>
        <w:widowControl w:val="0"/>
        <w:spacing w:before="0" w:after="0" w:line="240" w:lineRule="auto"/>
        <w:jc w:val="both"/>
        <w:rPr>
          <w:bCs/>
          <w:szCs w:val="20"/>
          <w:lang w:val="en-US"/>
        </w:rPr>
      </w:pPr>
      <w:r>
        <w:rPr>
          <w:bCs/>
          <w:szCs w:val="20"/>
          <w:lang w:val="en-US"/>
        </w:rPr>
        <w:t xml:space="preserve">The rules described below apply to administrative judicial proceedings in asylum, migration and education. Decisions in placement into care, </w:t>
      </w:r>
      <w:r>
        <w:rPr>
          <w:rFonts w:cs="Arial"/>
          <w:szCs w:val="20"/>
        </w:rPr>
        <w:t xml:space="preserve">proceedings related to offences involving children below the MACR, and </w:t>
      </w:r>
      <w:r>
        <w:rPr>
          <w:bCs/>
          <w:szCs w:val="20"/>
          <w:lang w:val="en-US"/>
        </w:rPr>
        <w:t xml:space="preserve">healthcare and administrative sanctions, are appealed in civil courts within civil judicial proceedings. </w:t>
      </w:r>
    </w:p>
    <w:p w:rsidR="00F60A1E" w:rsidRPr="005D55C4" w:rsidRDefault="00F60A1E" w:rsidP="00227001">
      <w:pPr>
        <w:pStyle w:val="Heading3NoNumb"/>
        <w:ind w:left="851"/>
        <w:rPr>
          <w:noProof/>
        </w:rPr>
      </w:pPr>
      <w:bookmarkStart w:id="339" w:name="_Toc409792302"/>
      <w:r w:rsidRPr="00A36DEB">
        <w:rPr>
          <w:noProof/>
        </w:rPr>
        <w:t>General approach towards children under administrative law</w:t>
      </w:r>
      <w:bookmarkEnd w:id="339"/>
    </w:p>
    <w:p w:rsidR="00F60A1E" w:rsidRDefault="00F60A1E" w:rsidP="00F60A1E">
      <w:pPr>
        <w:spacing w:before="0" w:after="0" w:line="240" w:lineRule="auto"/>
        <w:ind w:left="851"/>
        <w:jc w:val="both"/>
      </w:pPr>
      <w:r w:rsidRPr="00437E15">
        <w:t xml:space="preserve">As a general rule, the child does not have legal capacity to act. Hence, a child cannot file an action or act in </w:t>
      </w:r>
      <w:r>
        <w:t xml:space="preserve">an </w:t>
      </w:r>
      <w:r w:rsidRPr="00437E15">
        <w:t>administrative judicial proceeding unless represented by his/her legal representative. Children remain under the parental authority of their parents until they turn 18 years old</w:t>
      </w:r>
      <w:r>
        <w:t>.</w:t>
      </w:r>
    </w:p>
    <w:p w:rsidR="00F60A1E" w:rsidRPr="00182DA5" w:rsidRDefault="00F60A1E" w:rsidP="00F60A1E">
      <w:pPr>
        <w:spacing w:before="0" w:after="0" w:line="240" w:lineRule="auto"/>
        <w:ind w:left="851"/>
        <w:jc w:val="both"/>
      </w:pPr>
    </w:p>
    <w:p w:rsidR="00F60A1E" w:rsidRPr="00B72FB2" w:rsidRDefault="00F60A1E" w:rsidP="00F60A1E">
      <w:pPr>
        <w:spacing w:before="0" w:after="0" w:line="240" w:lineRule="auto"/>
        <w:ind w:left="851"/>
        <w:jc w:val="both"/>
      </w:pPr>
      <w:r>
        <w:t>T</w:t>
      </w:r>
      <w:r w:rsidRPr="00437E15">
        <w:t xml:space="preserve">he </w:t>
      </w:r>
      <w:hyperlink r:id="rId165" w:history="1">
        <w:r w:rsidRPr="00437E15">
          <w:rPr>
            <w:rStyle w:val="Hyperlink"/>
            <w:rFonts w:cs="Arial"/>
          </w:rPr>
          <w:t>UN Convention on the Rights of the Child</w:t>
        </w:r>
      </w:hyperlink>
      <w:r w:rsidRPr="00182DA5">
        <w:t xml:space="preserve"> (CRC) as well as the Council of Europe Convention for </w:t>
      </w:r>
      <w:r w:rsidRPr="00437E15">
        <w:t>the Protection of Human Rights and Fundamental Rights (ECHR) are both directly applicable in Belgium</w:t>
      </w:r>
      <w:r>
        <w:t xml:space="preserve"> and</w:t>
      </w:r>
      <w:r w:rsidRPr="00182DA5">
        <w:t xml:space="preserve"> determine </w:t>
      </w:r>
      <w:r>
        <w:t xml:space="preserve">the </w:t>
      </w:r>
      <w:r w:rsidRPr="00437E15">
        <w:t>children’s involvement in judicial proceedings</w:t>
      </w:r>
      <w:r w:rsidRPr="00182DA5">
        <w:t>.</w:t>
      </w:r>
      <w:r>
        <w:t xml:space="preserve"> In addition</w:t>
      </w:r>
      <w:r w:rsidRPr="00437E15">
        <w:t xml:space="preserve">, the principles of the </w:t>
      </w:r>
      <w:hyperlink r:id="rId166" w:history="1">
        <w:r w:rsidRPr="00437E15">
          <w:rPr>
            <w:rStyle w:val="Hyperlink"/>
            <w:rFonts w:cs="Arial"/>
          </w:rPr>
          <w:t>Youth Protection Act</w:t>
        </w:r>
      </w:hyperlink>
      <w:r w:rsidRPr="00182DA5">
        <w:t xml:space="preserve"> specify that children are dealt with by stakeholders who have received specific training on the rights of the child</w:t>
      </w:r>
      <w:r>
        <w:t xml:space="preserve"> and that a </w:t>
      </w:r>
      <w:r w:rsidRPr="00182DA5">
        <w:t>child may not</w:t>
      </w:r>
      <w:r>
        <w:t xml:space="preserve"> </w:t>
      </w:r>
      <w:r w:rsidRPr="00182DA5">
        <w:t>be tr</w:t>
      </w:r>
      <w:r w:rsidRPr="00437E15">
        <w:t xml:space="preserve">eated as an adult in </w:t>
      </w:r>
      <w:r>
        <w:t>his/her</w:t>
      </w:r>
      <w:r w:rsidRPr="00437E15">
        <w:t xml:space="preserve"> degree of responsibility and the consequences of </w:t>
      </w:r>
      <w:r>
        <w:t>his/her</w:t>
      </w:r>
      <w:r w:rsidRPr="00437E15">
        <w:t xml:space="preserve"> actions</w:t>
      </w:r>
      <w:r w:rsidRPr="00182DA5">
        <w:t xml:space="preserve">. </w:t>
      </w:r>
    </w:p>
    <w:p w:rsidR="00F60A1E" w:rsidRPr="00A36DEB" w:rsidRDefault="00F60A1E" w:rsidP="00227001">
      <w:pPr>
        <w:pStyle w:val="Heading3NoNumb"/>
        <w:ind w:left="851"/>
      </w:pPr>
      <w:bookmarkStart w:id="340" w:name="_Toc409792303"/>
      <w:r w:rsidRPr="00A36DEB">
        <w:t>The child as an actor in administrative judicial proceedings</w:t>
      </w:r>
      <w:bookmarkEnd w:id="340"/>
    </w:p>
    <w:p w:rsidR="00F60A1E" w:rsidRPr="00182DA5" w:rsidRDefault="00F60A1E" w:rsidP="00F60A1E">
      <w:pPr>
        <w:widowControl w:val="0"/>
        <w:spacing w:before="0" w:after="0" w:line="240" w:lineRule="auto"/>
        <w:ind w:left="851"/>
        <w:jc w:val="both"/>
      </w:pPr>
      <w:r w:rsidRPr="00182DA5">
        <w:t xml:space="preserve">There are no specific legal rules on children and children’s </w:t>
      </w:r>
      <w:r w:rsidRPr="00437E15">
        <w:t xml:space="preserve">access to the Council of State. Hence, the general rules of </w:t>
      </w:r>
      <w:r>
        <w:t xml:space="preserve">the </w:t>
      </w:r>
      <w:r w:rsidRPr="00437E15">
        <w:t xml:space="preserve">Council of State proceedings and the </w:t>
      </w:r>
      <w:hyperlink r:id="rId167" w:history="1">
        <w:r w:rsidRPr="00437E15">
          <w:rPr>
            <w:rStyle w:val="Hyperlink"/>
            <w:rFonts w:cs="Arial"/>
          </w:rPr>
          <w:t>Judicial Code</w:t>
        </w:r>
      </w:hyperlink>
      <w:r w:rsidRPr="00437E15">
        <w:t xml:space="preserve"> apply, as well as </w:t>
      </w:r>
      <w:r>
        <w:t xml:space="preserve">the </w:t>
      </w:r>
      <w:r w:rsidRPr="00437E15">
        <w:t>principles developed by the Council of State case-law.</w:t>
      </w:r>
    </w:p>
    <w:p w:rsidR="00F60A1E" w:rsidRPr="00437E15" w:rsidRDefault="00F60A1E" w:rsidP="00F60A1E">
      <w:pPr>
        <w:widowControl w:val="0"/>
        <w:spacing w:before="0" w:after="0" w:line="240" w:lineRule="auto"/>
        <w:ind w:left="851"/>
        <w:jc w:val="both"/>
      </w:pPr>
    </w:p>
    <w:p w:rsidR="00F60A1E" w:rsidRDefault="00F60A1E" w:rsidP="00F60A1E">
      <w:pPr>
        <w:widowControl w:val="0"/>
        <w:spacing w:before="0" w:after="0" w:line="240" w:lineRule="auto"/>
        <w:ind w:left="851"/>
        <w:jc w:val="both"/>
        <w:rPr>
          <w:bCs/>
        </w:rPr>
      </w:pPr>
      <w:r>
        <w:t>W</w:t>
      </w:r>
      <w:r w:rsidRPr="00182DA5">
        <w:rPr>
          <w:bCs/>
        </w:rPr>
        <w:t>hil</w:t>
      </w:r>
      <w:r>
        <w:rPr>
          <w:bCs/>
        </w:rPr>
        <w:t xml:space="preserve">st </w:t>
      </w:r>
      <w:r w:rsidRPr="00182DA5">
        <w:rPr>
          <w:bCs/>
        </w:rPr>
        <w:t>children have legal capacity</w:t>
      </w:r>
      <w:r>
        <w:rPr>
          <w:bCs/>
        </w:rPr>
        <w:t xml:space="preserve">, </w:t>
      </w:r>
      <w:r w:rsidRPr="00182DA5">
        <w:rPr>
          <w:bCs/>
        </w:rPr>
        <w:t xml:space="preserve">i.e. capacity to be the holder of rights and obligations, they do not have legal </w:t>
      </w:r>
      <w:r w:rsidRPr="00437E15">
        <w:rPr>
          <w:bCs/>
        </w:rPr>
        <w:t>and procedural capacity to act</w:t>
      </w:r>
      <w:r w:rsidRPr="00182DA5">
        <w:rPr>
          <w:bCs/>
        </w:rPr>
        <w:t>. Hence, they do n</w:t>
      </w:r>
      <w:r w:rsidRPr="00437E15">
        <w:rPr>
          <w:bCs/>
        </w:rPr>
        <w:t>ot have capacity to bring case</w:t>
      </w:r>
      <w:r>
        <w:rPr>
          <w:bCs/>
        </w:rPr>
        <w:t>s</w:t>
      </w:r>
      <w:r w:rsidRPr="00437E15">
        <w:rPr>
          <w:bCs/>
        </w:rPr>
        <w:t xml:space="preserve"> before the court</w:t>
      </w:r>
      <w:r>
        <w:rPr>
          <w:bCs/>
        </w:rPr>
        <w:t>s</w:t>
      </w:r>
      <w:r w:rsidRPr="00437E15">
        <w:rPr>
          <w:bCs/>
        </w:rPr>
        <w:t xml:space="preserve">, </w:t>
      </w:r>
      <w:r>
        <w:rPr>
          <w:bCs/>
        </w:rPr>
        <w:t xml:space="preserve">or </w:t>
      </w:r>
      <w:r w:rsidRPr="00437E15">
        <w:rPr>
          <w:bCs/>
        </w:rPr>
        <w:t>to be part</w:t>
      </w:r>
      <w:r>
        <w:rPr>
          <w:bCs/>
        </w:rPr>
        <w:t>ies</w:t>
      </w:r>
      <w:r w:rsidRPr="00437E15">
        <w:rPr>
          <w:bCs/>
        </w:rPr>
        <w:t xml:space="preserve"> to judicial proceedings in their own name</w:t>
      </w:r>
      <w:r>
        <w:rPr>
          <w:bCs/>
        </w:rPr>
        <w:t>s</w:t>
      </w:r>
      <w:r w:rsidRPr="00437E15">
        <w:rPr>
          <w:bCs/>
        </w:rPr>
        <w:t>. As a result, the child’s legal representative</w:t>
      </w:r>
      <w:r>
        <w:rPr>
          <w:bCs/>
        </w:rPr>
        <w:t xml:space="preserve">, i.e. </w:t>
      </w:r>
      <w:r w:rsidRPr="00437E15">
        <w:rPr>
          <w:bCs/>
        </w:rPr>
        <w:t>parents</w:t>
      </w:r>
      <w:r>
        <w:rPr>
          <w:bCs/>
        </w:rPr>
        <w:t xml:space="preserve"> or</w:t>
      </w:r>
      <w:r w:rsidRPr="00437E15">
        <w:rPr>
          <w:bCs/>
        </w:rPr>
        <w:t xml:space="preserve"> guardian</w:t>
      </w:r>
      <w:r>
        <w:rPr>
          <w:bCs/>
        </w:rPr>
        <w:t>,</w:t>
      </w:r>
      <w:r w:rsidRPr="00437E15">
        <w:rPr>
          <w:bCs/>
        </w:rPr>
        <w:t xml:space="preserve"> file an action and become </w:t>
      </w:r>
      <w:r>
        <w:rPr>
          <w:bCs/>
        </w:rPr>
        <w:t xml:space="preserve">a </w:t>
      </w:r>
      <w:r w:rsidRPr="00437E15">
        <w:rPr>
          <w:bCs/>
        </w:rPr>
        <w:t>part</w:t>
      </w:r>
      <w:r>
        <w:rPr>
          <w:bCs/>
        </w:rPr>
        <w:t>y</w:t>
      </w:r>
      <w:r w:rsidRPr="00437E15">
        <w:rPr>
          <w:bCs/>
        </w:rPr>
        <w:t xml:space="preserve"> to the proceedings on behalf of their child. </w:t>
      </w:r>
      <w:r w:rsidRPr="004B3680">
        <w:rPr>
          <w:bCs/>
        </w:rPr>
        <w:t>As an exception to this rule, children of 15 years of age and above, or emancipated by judicial decision, have limited procedural capacity to act. Other exceptions include the ability of a child in an extreme emergency situation.</w:t>
      </w:r>
      <w:r>
        <w:rPr>
          <w:bCs/>
        </w:rPr>
        <w:t xml:space="preserve"> </w:t>
      </w:r>
      <w:r w:rsidRPr="004B3680">
        <w:rPr>
          <w:bCs/>
        </w:rPr>
        <w:t xml:space="preserve">Exceptionally, the courts have allowed children to bring cases before them under specific circumstances, or in cases of conflicts between the children and their parents, when the actions are absolutely necessary. </w:t>
      </w:r>
    </w:p>
    <w:p w:rsidR="00F60A1E" w:rsidRDefault="00F60A1E" w:rsidP="00F60A1E">
      <w:pPr>
        <w:widowControl w:val="0"/>
        <w:spacing w:before="0" w:after="0" w:line="240" w:lineRule="auto"/>
        <w:ind w:left="851"/>
        <w:jc w:val="both"/>
      </w:pPr>
    </w:p>
    <w:p w:rsidR="00F60A1E" w:rsidRPr="00A36DEB" w:rsidRDefault="00F60A1E" w:rsidP="00F60A1E">
      <w:pPr>
        <w:widowControl w:val="0"/>
        <w:spacing w:before="0" w:after="0" w:line="240" w:lineRule="auto"/>
        <w:ind w:left="851"/>
        <w:jc w:val="both"/>
      </w:pPr>
      <w:r>
        <w:t>The sectors of asylum, migration and education fall within administrative judicial proceedings. The sector of health care falls within civil judicial proceedings. Children involved in proceedings in the sectors of mental health, placement into care and administrative sanctions are dealt with by the youth tribunals applying procedural rules specific to youth tribunal proceedings and civil judicial proceedings.</w:t>
      </w:r>
    </w:p>
    <w:p w:rsidR="00F60A1E" w:rsidRPr="00A36DEB" w:rsidRDefault="00F60A1E" w:rsidP="00227001">
      <w:pPr>
        <w:pStyle w:val="Heading3NoNumb"/>
        <w:ind w:left="851"/>
      </w:pPr>
      <w:bookmarkStart w:id="341" w:name="_Toc409792304"/>
      <w:r w:rsidRPr="00A36DEB">
        <w:rPr>
          <w:noProof/>
        </w:rPr>
        <w:t>Provision of information to children</w:t>
      </w:r>
      <w:bookmarkEnd w:id="341"/>
    </w:p>
    <w:p w:rsidR="00F60A1E" w:rsidRPr="00182DA5" w:rsidRDefault="00F60A1E" w:rsidP="00F60A1E">
      <w:pPr>
        <w:widowControl w:val="0"/>
        <w:spacing w:before="0" w:after="0" w:line="240" w:lineRule="auto"/>
        <w:ind w:left="851"/>
        <w:jc w:val="both"/>
      </w:pPr>
      <w:r w:rsidRPr="00182DA5">
        <w:t xml:space="preserve">There are no specific legal rules on children and children’s </w:t>
      </w:r>
      <w:r w:rsidRPr="00437E15">
        <w:t xml:space="preserve">provision of information in administrative judicial proceedings. Hence, the general rules of proceedings before the Council of State and the </w:t>
      </w:r>
      <w:hyperlink r:id="rId168" w:history="1">
        <w:r w:rsidRPr="00437E15">
          <w:rPr>
            <w:rStyle w:val="Hyperlink"/>
            <w:rFonts w:cs="Arial"/>
          </w:rPr>
          <w:t>Judicial Code</w:t>
        </w:r>
      </w:hyperlink>
      <w:r w:rsidRPr="00437E15">
        <w:t xml:space="preserve"> apply.</w:t>
      </w:r>
    </w:p>
    <w:p w:rsidR="00F60A1E" w:rsidRPr="00437E15" w:rsidRDefault="00F60A1E" w:rsidP="00F60A1E">
      <w:pPr>
        <w:pStyle w:val="BodyText"/>
        <w:widowControl w:val="0"/>
        <w:spacing w:before="0" w:after="0" w:line="240" w:lineRule="auto"/>
        <w:jc w:val="both"/>
        <w:rPr>
          <w:bCs/>
          <w:szCs w:val="20"/>
        </w:rPr>
      </w:pPr>
    </w:p>
    <w:p w:rsidR="00F60A1E" w:rsidRPr="00437E15" w:rsidRDefault="00F60A1E" w:rsidP="00F60A1E">
      <w:pPr>
        <w:pStyle w:val="BodyText"/>
        <w:widowControl w:val="0"/>
        <w:spacing w:before="0" w:after="0" w:line="240" w:lineRule="auto"/>
        <w:jc w:val="both"/>
        <w:rPr>
          <w:bCs/>
          <w:szCs w:val="20"/>
        </w:rPr>
      </w:pPr>
      <w:r w:rsidRPr="00437E15">
        <w:rPr>
          <w:bCs/>
          <w:szCs w:val="20"/>
        </w:rPr>
        <w:t>Currently applicable legislation does not provide for the right of children to receive information in their own right. However, nothing prevents the child and his/her legal representative reques</w:t>
      </w:r>
      <w:r>
        <w:rPr>
          <w:bCs/>
          <w:szCs w:val="20"/>
        </w:rPr>
        <w:t xml:space="preserve">ting information from the </w:t>
      </w:r>
      <w:r w:rsidRPr="00437E15">
        <w:rPr>
          <w:bCs/>
          <w:szCs w:val="20"/>
        </w:rPr>
        <w:t xml:space="preserve">authorities or </w:t>
      </w:r>
      <w:r>
        <w:rPr>
          <w:bCs/>
          <w:szCs w:val="20"/>
        </w:rPr>
        <w:t xml:space="preserve">the specialised </w:t>
      </w:r>
      <w:r w:rsidRPr="00437E15">
        <w:rPr>
          <w:bCs/>
          <w:szCs w:val="20"/>
        </w:rPr>
        <w:t>services. It is often understood that the legal counsel</w:t>
      </w:r>
      <w:r>
        <w:rPr>
          <w:bCs/>
          <w:szCs w:val="20"/>
        </w:rPr>
        <w:t>s</w:t>
      </w:r>
      <w:r w:rsidRPr="00437E15">
        <w:rPr>
          <w:bCs/>
          <w:szCs w:val="20"/>
        </w:rPr>
        <w:t xml:space="preserve"> will be the one</w:t>
      </w:r>
      <w:r>
        <w:rPr>
          <w:bCs/>
          <w:szCs w:val="20"/>
        </w:rPr>
        <w:t>s</w:t>
      </w:r>
      <w:r w:rsidRPr="00437E15">
        <w:rPr>
          <w:bCs/>
          <w:szCs w:val="20"/>
        </w:rPr>
        <w:t xml:space="preserve"> informing </w:t>
      </w:r>
      <w:r>
        <w:rPr>
          <w:bCs/>
          <w:szCs w:val="20"/>
        </w:rPr>
        <w:t xml:space="preserve">the </w:t>
      </w:r>
      <w:r w:rsidRPr="00437E15">
        <w:rPr>
          <w:bCs/>
          <w:szCs w:val="20"/>
        </w:rPr>
        <w:t>children and their legal representatives about their rights and obligations.</w:t>
      </w:r>
      <w:r w:rsidRPr="009767FD">
        <w:rPr>
          <w:bCs/>
          <w:szCs w:val="20"/>
        </w:rPr>
        <w:t xml:space="preserve"> </w:t>
      </w:r>
    </w:p>
    <w:p w:rsidR="00F60A1E" w:rsidRPr="00437E15" w:rsidRDefault="00F60A1E" w:rsidP="00F60A1E">
      <w:pPr>
        <w:pStyle w:val="BodyText"/>
        <w:widowControl w:val="0"/>
        <w:spacing w:before="0" w:after="0" w:line="240" w:lineRule="auto"/>
        <w:jc w:val="both"/>
        <w:rPr>
          <w:bCs/>
          <w:szCs w:val="20"/>
        </w:rPr>
      </w:pPr>
    </w:p>
    <w:p w:rsidR="00F60A1E" w:rsidRPr="00437E15" w:rsidRDefault="00F60A1E" w:rsidP="00F60A1E">
      <w:pPr>
        <w:pStyle w:val="BodyText"/>
        <w:widowControl w:val="0"/>
        <w:spacing w:before="0" w:after="0" w:line="240" w:lineRule="auto"/>
        <w:jc w:val="both"/>
        <w:rPr>
          <w:bCs/>
          <w:szCs w:val="20"/>
        </w:rPr>
      </w:pPr>
      <w:r w:rsidRPr="00437E15">
        <w:rPr>
          <w:bCs/>
          <w:szCs w:val="20"/>
        </w:rPr>
        <w:t xml:space="preserve">No provision has been identified on ensuring that information is effectively delivered to the child and that </w:t>
      </w:r>
      <w:r>
        <w:rPr>
          <w:bCs/>
          <w:szCs w:val="20"/>
        </w:rPr>
        <w:t xml:space="preserve">it </w:t>
      </w:r>
      <w:r w:rsidRPr="00437E15">
        <w:rPr>
          <w:bCs/>
          <w:szCs w:val="20"/>
        </w:rPr>
        <w:t>is done in a child-friendly manner</w:t>
      </w:r>
      <w:r>
        <w:rPr>
          <w:bCs/>
          <w:szCs w:val="20"/>
        </w:rPr>
        <w:t xml:space="preserve"> aside from t</w:t>
      </w:r>
      <w:r w:rsidRPr="00437E15">
        <w:rPr>
          <w:bCs/>
          <w:szCs w:val="20"/>
        </w:rPr>
        <w:t xml:space="preserve">he </w:t>
      </w:r>
      <w:hyperlink r:id="rId169" w:history="1">
        <w:r w:rsidRPr="00437E15">
          <w:rPr>
            <w:rStyle w:val="Hyperlink"/>
            <w:bCs/>
            <w:szCs w:val="20"/>
          </w:rPr>
          <w:t>Council of Europe Guidelines on Child-Friendly Justice</w:t>
        </w:r>
      </w:hyperlink>
      <w:r w:rsidRPr="00437E15">
        <w:rPr>
          <w:bCs/>
          <w:szCs w:val="20"/>
        </w:rPr>
        <w:t>.</w:t>
      </w:r>
    </w:p>
    <w:p w:rsidR="00F60A1E" w:rsidRPr="00437E15" w:rsidRDefault="00F60A1E" w:rsidP="00F60A1E">
      <w:pPr>
        <w:pStyle w:val="BodyText"/>
        <w:widowControl w:val="0"/>
        <w:spacing w:before="0" w:after="0" w:line="240" w:lineRule="auto"/>
        <w:jc w:val="both"/>
        <w:rPr>
          <w:bCs/>
          <w:szCs w:val="20"/>
        </w:rPr>
      </w:pPr>
    </w:p>
    <w:p w:rsidR="00F60A1E" w:rsidRPr="00B01F5A" w:rsidRDefault="00F60A1E" w:rsidP="00F60A1E">
      <w:pPr>
        <w:pStyle w:val="BodyText"/>
        <w:widowControl w:val="0"/>
        <w:spacing w:before="0" w:after="0" w:line="240" w:lineRule="auto"/>
        <w:jc w:val="both"/>
        <w:rPr>
          <w:bCs/>
          <w:szCs w:val="20"/>
        </w:rPr>
      </w:pPr>
      <w:r w:rsidRPr="00AA5A96">
        <w:rPr>
          <w:bCs/>
          <w:szCs w:val="20"/>
        </w:rPr>
        <w:t xml:space="preserve">Public administrative authorities have an obligation to include in their decision </w:t>
      </w:r>
      <w:r w:rsidRPr="00EC4ACE">
        <w:rPr>
          <w:bCs/>
          <w:szCs w:val="20"/>
        </w:rPr>
        <w:t>information on the remedies, competent appeal authorities and courts, time limits and procedure to bring an appeal.</w:t>
      </w:r>
      <w:r>
        <w:rPr>
          <w:bCs/>
          <w:szCs w:val="20"/>
        </w:rPr>
        <w:t xml:space="preserve"> </w:t>
      </w:r>
      <w:r w:rsidRPr="00437E15">
        <w:rPr>
          <w:bCs/>
          <w:szCs w:val="20"/>
        </w:rPr>
        <w:t>The time limits for appeals before the Council of State start running only if the administrative authorit</w:t>
      </w:r>
      <w:r>
        <w:rPr>
          <w:bCs/>
          <w:szCs w:val="20"/>
        </w:rPr>
        <w:t>ies’</w:t>
      </w:r>
      <w:r w:rsidRPr="00437E15">
        <w:rPr>
          <w:bCs/>
          <w:szCs w:val="20"/>
        </w:rPr>
        <w:t xml:space="preserve"> decision</w:t>
      </w:r>
      <w:r>
        <w:rPr>
          <w:bCs/>
          <w:szCs w:val="20"/>
        </w:rPr>
        <w:t>s</w:t>
      </w:r>
      <w:r w:rsidRPr="00437E15">
        <w:rPr>
          <w:bCs/>
          <w:szCs w:val="20"/>
        </w:rPr>
        <w:t xml:space="preserve"> mention the information on procedure</w:t>
      </w:r>
      <w:r>
        <w:rPr>
          <w:bCs/>
          <w:szCs w:val="20"/>
        </w:rPr>
        <w:t>s</w:t>
      </w:r>
      <w:r w:rsidRPr="00437E15">
        <w:rPr>
          <w:bCs/>
          <w:szCs w:val="20"/>
        </w:rPr>
        <w:t xml:space="preserve"> and time limits to appeal the decision</w:t>
      </w:r>
      <w:r>
        <w:rPr>
          <w:bCs/>
          <w:szCs w:val="20"/>
        </w:rPr>
        <w:t>s</w:t>
      </w:r>
      <w:r w:rsidRPr="00437E15">
        <w:rPr>
          <w:bCs/>
          <w:szCs w:val="20"/>
        </w:rPr>
        <w:t xml:space="preserve"> before the Council of State.</w:t>
      </w:r>
    </w:p>
    <w:p w:rsidR="00F60A1E" w:rsidRPr="00A36DEB" w:rsidRDefault="00F60A1E" w:rsidP="00227001">
      <w:pPr>
        <w:pStyle w:val="Heading3NoNumb"/>
        <w:ind w:left="851"/>
      </w:pPr>
      <w:bookmarkStart w:id="342" w:name="_Toc409792305"/>
      <w:r w:rsidRPr="00A36DEB">
        <w:rPr>
          <w:noProof/>
        </w:rPr>
        <w:t>Protection of the child’s private and family life</w:t>
      </w:r>
      <w:bookmarkEnd w:id="342"/>
    </w:p>
    <w:p w:rsidR="00F60A1E" w:rsidRPr="00182DA5" w:rsidRDefault="00F60A1E" w:rsidP="00F60A1E">
      <w:pPr>
        <w:widowControl w:val="0"/>
        <w:spacing w:before="0" w:after="0" w:line="240" w:lineRule="auto"/>
        <w:ind w:left="851"/>
        <w:jc w:val="both"/>
        <w:rPr>
          <w:bCs/>
        </w:rPr>
      </w:pPr>
      <w:r w:rsidRPr="00437E15">
        <w:rPr>
          <w:bCs/>
        </w:rPr>
        <w:t xml:space="preserve">The </w:t>
      </w:r>
      <w:hyperlink r:id="rId170" w:history="1">
        <w:r w:rsidRPr="00437E15">
          <w:rPr>
            <w:rStyle w:val="Hyperlink"/>
            <w:rFonts w:cs="Arial"/>
            <w:bCs/>
          </w:rPr>
          <w:t>Constitution</w:t>
        </w:r>
      </w:hyperlink>
      <w:r w:rsidRPr="00182DA5">
        <w:rPr>
          <w:bCs/>
        </w:rPr>
        <w:t xml:space="preserve"> guarantees the right to private and family life. </w:t>
      </w:r>
      <w:r w:rsidRPr="004B3680">
        <w:rPr>
          <w:bCs/>
        </w:rPr>
        <w:t xml:space="preserve">As a general rule, the right to private life must be guaranteed whilst processing personal data. The violation of this right can be punished by a fine, publication of the </w:t>
      </w:r>
      <w:r>
        <w:rPr>
          <w:bCs/>
        </w:rPr>
        <w:t>judgement</w:t>
      </w:r>
      <w:r w:rsidRPr="004B3680">
        <w:rPr>
          <w:bCs/>
        </w:rPr>
        <w:t>, seizure of the material containing the personal data, or by requesting the deletion of personal data from the material containing it.</w:t>
      </w:r>
      <w:r w:rsidRPr="00182DA5">
        <w:rPr>
          <w:bCs/>
        </w:rPr>
        <w:t xml:space="preserve"> </w:t>
      </w:r>
    </w:p>
    <w:p w:rsidR="00F60A1E" w:rsidRPr="00437E15" w:rsidRDefault="00F60A1E" w:rsidP="00F60A1E">
      <w:pPr>
        <w:widowControl w:val="0"/>
        <w:spacing w:before="0" w:after="0" w:line="240" w:lineRule="auto"/>
        <w:ind w:left="851"/>
        <w:jc w:val="both"/>
        <w:rPr>
          <w:bCs/>
          <w:highlight w:val="yellow"/>
        </w:rPr>
      </w:pPr>
    </w:p>
    <w:p w:rsidR="00F60A1E" w:rsidRPr="00182DA5" w:rsidRDefault="00F60A1E" w:rsidP="00F60A1E">
      <w:pPr>
        <w:widowControl w:val="0"/>
        <w:spacing w:before="0" w:after="0" w:line="240" w:lineRule="auto"/>
        <w:ind w:left="851"/>
        <w:jc w:val="both"/>
        <w:rPr>
          <w:bCs/>
        </w:rPr>
      </w:pPr>
      <w:r w:rsidRPr="00437E15">
        <w:rPr>
          <w:bCs/>
        </w:rPr>
        <w:t xml:space="preserve">The right to privacy and the protection of personal data apply also to judicial proceedings. However, </w:t>
      </w:r>
      <w:r>
        <w:rPr>
          <w:bCs/>
        </w:rPr>
        <w:t>the c</w:t>
      </w:r>
      <w:r w:rsidRPr="00437E15">
        <w:rPr>
          <w:bCs/>
        </w:rPr>
        <w:t xml:space="preserve">ourts benefit from an exemption in accordance with which they can access and use personal data when it is necessary </w:t>
      </w:r>
      <w:r>
        <w:rPr>
          <w:bCs/>
        </w:rPr>
        <w:t>to</w:t>
      </w:r>
      <w:r w:rsidRPr="00437E15">
        <w:rPr>
          <w:bCs/>
        </w:rPr>
        <w:t xml:space="preserve"> carry out their work. Similarly, legal counsels</w:t>
      </w:r>
      <w:r>
        <w:rPr>
          <w:bCs/>
        </w:rPr>
        <w:t xml:space="preserve"> and parties to proceedings</w:t>
      </w:r>
      <w:r w:rsidRPr="00437E15">
        <w:rPr>
          <w:bCs/>
        </w:rPr>
        <w:t xml:space="preserve"> can also access and use, process and handle personal data when necessary for the defence of their clients.</w:t>
      </w:r>
    </w:p>
    <w:p w:rsidR="00F60A1E" w:rsidRPr="00437E15" w:rsidRDefault="00F60A1E" w:rsidP="00F60A1E">
      <w:pPr>
        <w:widowControl w:val="0"/>
        <w:spacing w:before="0" w:after="0" w:line="240" w:lineRule="auto"/>
        <w:ind w:left="851"/>
        <w:jc w:val="both"/>
        <w:rPr>
          <w:bCs/>
        </w:rPr>
      </w:pPr>
    </w:p>
    <w:p w:rsidR="00F60A1E" w:rsidRPr="00A36DEB" w:rsidRDefault="00F60A1E" w:rsidP="00F60A1E">
      <w:pPr>
        <w:widowControl w:val="0"/>
        <w:spacing w:before="0" w:after="0" w:line="240" w:lineRule="auto"/>
        <w:ind w:left="851"/>
        <w:jc w:val="both"/>
      </w:pPr>
      <w:r w:rsidRPr="00437E15">
        <w:t xml:space="preserve">As a constitutional principle, hearings before </w:t>
      </w:r>
      <w:r>
        <w:t xml:space="preserve">the </w:t>
      </w:r>
      <w:r w:rsidRPr="00437E15">
        <w:t xml:space="preserve">courts, including the Council of State, are open to the public. However, as an exception, a judge may decide to meet in </w:t>
      </w:r>
      <w:r>
        <w:t xml:space="preserve">a </w:t>
      </w:r>
      <w:r w:rsidRPr="00437E15">
        <w:t>closed hearing on the basis that a public hearing would go against the public order or morals</w:t>
      </w:r>
      <w:r w:rsidRPr="00437E15">
        <w:rPr>
          <w:bCs/>
        </w:rPr>
        <w:t xml:space="preserve">, </w:t>
      </w:r>
      <w:r>
        <w:rPr>
          <w:bCs/>
        </w:rPr>
        <w:t xml:space="preserve">or </w:t>
      </w:r>
      <w:r w:rsidRPr="00437E15">
        <w:rPr>
          <w:bCs/>
        </w:rPr>
        <w:t xml:space="preserve">where other legitimate interests require </w:t>
      </w:r>
      <w:r>
        <w:rPr>
          <w:bCs/>
        </w:rPr>
        <w:t>it,</w:t>
      </w:r>
      <w:r w:rsidRPr="00437E15">
        <w:rPr>
          <w:bCs/>
        </w:rPr>
        <w:t xml:space="preserve"> or to ensure the confidentiality of information</w:t>
      </w:r>
      <w:r w:rsidRPr="00182DA5">
        <w:t>.</w:t>
      </w:r>
      <w:r w:rsidRPr="00437E15">
        <w:t xml:space="preserve"> The hearing before the Council of State is not open to the public if none of the parties requested to be heard.</w:t>
      </w:r>
    </w:p>
    <w:p w:rsidR="00F60A1E" w:rsidRPr="00A36DEB" w:rsidRDefault="00F60A1E" w:rsidP="00227001">
      <w:pPr>
        <w:pStyle w:val="Heading3NoNumb"/>
        <w:ind w:left="851"/>
        <w:rPr>
          <w:noProof/>
        </w:rPr>
      </w:pPr>
      <w:bookmarkStart w:id="343" w:name="_Toc409792306"/>
      <w:r w:rsidRPr="00A36DEB">
        <w:rPr>
          <w:noProof/>
        </w:rPr>
        <w:t>Protecting the child from harm</w:t>
      </w:r>
      <w:bookmarkEnd w:id="343"/>
      <w:r w:rsidRPr="00A36DEB">
        <w:rPr>
          <w:noProof/>
        </w:rPr>
        <w:t xml:space="preserve"> </w:t>
      </w:r>
    </w:p>
    <w:p w:rsidR="00F60A1E" w:rsidRPr="00437E15" w:rsidRDefault="00F60A1E" w:rsidP="00F60A1E">
      <w:pPr>
        <w:widowControl w:val="0"/>
        <w:spacing w:before="0" w:after="0" w:line="240" w:lineRule="auto"/>
        <w:ind w:left="851"/>
        <w:jc w:val="both"/>
      </w:pPr>
      <w:r>
        <w:t>T</w:t>
      </w:r>
      <w:r w:rsidRPr="00437E15">
        <w:t xml:space="preserve">he duration of the proceedings must not exceed a reasonable time. The law does not provide an indication as to what constitutes a reasonable time, thus </w:t>
      </w:r>
      <w:r>
        <w:t>it</w:t>
      </w:r>
      <w:r w:rsidRPr="00437E15">
        <w:t xml:space="preserve"> depends on the discretion of </w:t>
      </w:r>
      <w:r>
        <w:t>the</w:t>
      </w:r>
      <w:r w:rsidRPr="00437E15">
        <w:t xml:space="preserve"> judge</w:t>
      </w:r>
      <w:r w:rsidRPr="00182DA5">
        <w:t xml:space="preserve">. If no definitive decision has been taken within a reasonable time in </w:t>
      </w:r>
      <w:r>
        <w:t xml:space="preserve">the </w:t>
      </w:r>
      <w:r w:rsidRPr="00437E15">
        <w:t xml:space="preserve">judicial proceedings, the State may be held liable for any damages caused. </w:t>
      </w:r>
    </w:p>
    <w:p w:rsidR="00F60A1E" w:rsidRPr="00437E15" w:rsidRDefault="00F60A1E" w:rsidP="00F60A1E">
      <w:pPr>
        <w:widowControl w:val="0"/>
        <w:spacing w:before="0" w:after="0" w:line="240" w:lineRule="auto"/>
        <w:ind w:left="851"/>
        <w:jc w:val="both"/>
      </w:pPr>
    </w:p>
    <w:p w:rsidR="00F60A1E" w:rsidRPr="00437E15" w:rsidRDefault="00F60A1E" w:rsidP="00F60A1E">
      <w:pPr>
        <w:widowControl w:val="0"/>
        <w:spacing w:before="0" w:after="0" w:line="240" w:lineRule="auto"/>
        <w:ind w:left="851"/>
        <w:jc w:val="both"/>
      </w:pPr>
      <w:r w:rsidRPr="004B3680">
        <w:t>The Council of State can order interim measures under certain conditions. The President of the Tribunal of First Instance can adopt urgent interim measures in any matters via preliminary proceedings – even for matters in administrative judicial proceedings if it relates to subjective rights, or if an action for annulment has been initiated before the Council of State.</w:t>
      </w:r>
      <w:r w:rsidRPr="00437E15">
        <w:t xml:space="preserve"> </w:t>
      </w:r>
    </w:p>
    <w:p w:rsidR="00F60A1E" w:rsidRPr="00437E15" w:rsidRDefault="00F60A1E" w:rsidP="00F60A1E">
      <w:pPr>
        <w:widowControl w:val="0"/>
        <w:spacing w:before="0" w:after="0" w:line="240" w:lineRule="auto"/>
        <w:ind w:left="851"/>
        <w:jc w:val="both"/>
        <w:rPr>
          <w:b/>
          <w:bCs/>
        </w:rPr>
      </w:pPr>
    </w:p>
    <w:p w:rsidR="00F60A1E" w:rsidRPr="00437E15" w:rsidRDefault="00F60A1E" w:rsidP="00F60A1E">
      <w:pPr>
        <w:widowControl w:val="0"/>
        <w:spacing w:before="0" w:after="0" w:line="240" w:lineRule="auto"/>
        <w:ind w:left="851"/>
        <w:jc w:val="both"/>
        <w:rPr>
          <w:bCs/>
        </w:rPr>
      </w:pPr>
      <w:r w:rsidRPr="00182DA5">
        <w:t xml:space="preserve">When interviewed, the child should be heard in a place that is deemed appropriate by the </w:t>
      </w:r>
      <w:r w:rsidRPr="00182DA5">
        <w:lastRenderedPageBreak/>
        <w:t>judge</w:t>
      </w:r>
      <w:r w:rsidRPr="00182DA5">
        <w:rPr>
          <w:bCs/>
        </w:rPr>
        <w:t xml:space="preserve">. </w:t>
      </w:r>
      <w:r w:rsidRPr="00437E15">
        <w:rPr>
          <w:bCs/>
        </w:rPr>
        <w:t xml:space="preserve">It is not a legal requirement for </w:t>
      </w:r>
      <w:r>
        <w:rPr>
          <w:bCs/>
        </w:rPr>
        <w:t xml:space="preserve">the </w:t>
      </w:r>
      <w:r w:rsidRPr="00437E15">
        <w:rPr>
          <w:bCs/>
        </w:rPr>
        <w:t>courts to ensure a child-friendly environment when children are involved in administrative judicial proceedings</w:t>
      </w:r>
      <w:r w:rsidRPr="00182DA5">
        <w:rPr>
          <w:bCs/>
        </w:rPr>
        <w:t xml:space="preserve">. </w:t>
      </w:r>
    </w:p>
    <w:p w:rsidR="00F60A1E" w:rsidRPr="00437E15" w:rsidRDefault="00F60A1E" w:rsidP="00F60A1E">
      <w:pPr>
        <w:widowControl w:val="0"/>
        <w:spacing w:before="0" w:after="0" w:line="240" w:lineRule="auto"/>
        <w:ind w:left="851"/>
        <w:jc w:val="both"/>
        <w:rPr>
          <w:bCs/>
        </w:rPr>
      </w:pPr>
    </w:p>
    <w:p w:rsidR="00F60A1E" w:rsidRPr="00437E15" w:rsidRDefault="00F60A1E" w:rsidP="00F60A1E">
      <w:pPr>
        <w:widowControl w:val="0"/>
        <w:spacing w:before="0" w:after="0" w:line="240" w:lineRule="auto"/>
        <w:ind w:left="851"/>
        <w:jc w:val="both"/>
        <w:rPr>
          <w:bCs/>
        </w:rPr>
      </w:pPr>
      <w:r w:rsidRPr="00437E15">
        <w:rPr>
          <w:bCs/>
        </w:rPr>
        <w:t xml:space="preserve">It is noted that proceedings before the Council of State are mostly. By the time of the hearing, most of the arguments have usually been exchanged in </w:t>
      </w:r>
      <w:r>
        <w:rPr>
          <w:bCs/>
        </w:rPr>
        <w:t>a</w:t>
      </w:r>
      <w:r w:rsidRPr="00437E15">
        <w:rPr>
          <w:bCs/>
        </w:rPr>
        <w:t xml:space="preserve"> written procedure. It is </w:t>
      </w:r>
      <w:r>
        <w:rPr>
          <w:bCs/>
        </w:rPr>
        <w:t xml:space="preserve">also </w:t>
      </w:r>
      <w:r w:rsidRPr="00437E15">
        <w:rPr>
          <w:bCs/>
        </w:rPr>
        <w:t xml:space="preserve">possible that the case is handled exclusively through written procedure. </w:t>
      </w:r>
    </w:p>
    <w:p w:rsidR="00F60A1E" w:rsidRPr="00437E15" w:rsidRDefault="00F60A1E" w:rsidP="00F60A1E">
      <w:pPr>
        <w:widowControl w:val="0"/>
        <w:spacing w:before="0" w:after="0" w:line="240" w:lineRule="auto"/>
        <w:ind w:left="851"/>
        <w:jc w:val="both"/>
        <w:rPr>
          <w:bCs/>
        </w:rPr>
      </w:pPr>
    </w:p>
    <w:p w:rsidR="00F60A1E" w:rsidRPr="00B01F5A" w:rsidRDefault="00F60A1E" w:rsidP="00F60A1E">
      <w:pPr>
        <w:widowControl w:val="0"/>
        <w:spacing w:before="0" w:after="0" w:line="240" w:lineRule="auto"/>
        <w:ind w:left="851"/>
        <w:jc w:val="both"/>
        <w:rPr>
          <w:bCs/>
        </w:rPr>
      </w:pPr>
      <w:r w:rsidRPr="00437E15">
        <w:rPr>
          <w:bCs/>
        </w:rPr>
        <w:t>No legislation or policy has been identified to ensure that interviews, court sessions and other actions during administrative judicial proceedings are adapted to the child’s pace and attention span and any communication difficulties</w:t>
      </w:r>
      <w:r>
        <w:rPr>
          <w:bCs/>
        </w:rPr>
        <w:t>,</w:t>
      </w:r>
      <w:r w:rsidRPr="00437E15">
        <w:rPr>
          <w:bCs/>
        </w:rPr>
        <w:t xml:space="preserve"> aside from the </w:t>
      </w:r>
      <w:hyperlink r:id="rId171" w:history="1">
        <w:r w:rsidRPr="00437E15">
          <w:rPr>
            <w:rStyle w:val="Hyperlink"/>
            <w:bCs/>
          </w:rPr>
          <w:t>Council of Europe Child-Friendly Justice Guidelines</w:t>
        </w:r>
      </w:hyperlink>
      <w:r w:rsidRPr="00437E15">
        <w:rPr>
          <w:bCs/>
        </w:rPr>
        <w:t>.</w:t>
      </w:r>
    </w:p>
    <w:p w:rsidR="00F60A1E" w:rsidRPr="00A36DEB" w:rsidRDefault="00F60A1E" w:rsidP="00227001">
      <w:pPr>
        <w:pStyle w:val="Heading3NoNumb"/>
        <w:ind w:left="851"/>
      </w:pPr>
      <w:bookmarkStart w:id="344" w:name="_Toc409792307"/>
      <w:r w:rsidRPr="00A36DEB">
        <w:rPr>
          <w:noProof/>
        </w:rPr>
        <w:t>Right to be heard and participate in administrative judicial proceedings</w:t>
      </w:r>
      <w:bookmarkEnd w:id="344"/>
    </w:p>
    <w:p w:rsidR="00F60A1E" w:rsidRPr="00B01F5A" w:rsidRDefault="00F60A1E" w:rsidP="00F60A1E">
      <w:pPr>
        <w:spacing w:before="0" w:after="0" w:line="240" w:lineRule="auto"/>
        <w:ind w:left="851"/>
        <w:jc w:val="both"/>
        <w:rPr>
          <w:bCs/>
        </w:rPr>
      </w:pPr>
      <w:r w:rsidRPr="00182DA5">
        <w:rPr>
          <w:bCs/>
        </w:rPr>
        <w:t xml:space="preserve">The right of a child to be heard in all matters affecting him/her is guaranteed by the </w:t>
      </w:r>
      <w:hyperlink r:id="rId172" w:history="1">
        <w:r w:rsidRPr="00437E15">
          <w:rPr>
            <w:rStyle w:val="Hyperlink"/>
            <w:rFonts w:cs="Arial"/>
            <w:bCs/>
          </w:rPr>
          <w:t>Constitution</w:t>
        </w:r>
      </w:hyperlink>
      <w:r w:rsidRPr="00182DA5">
        <w:rPr>
          <w:bCs/>
        </w:rPr>
        <w:t>.</w:t>
      </w:r>
      <w:r w:rsidRPr="00437E15">
        <w:rPr>
          <w:bCs/>
        </w:rPr>
        <w:t xml:space="preserve"> The child’s opinion must be consider</w:t>
      </w:r>
      <w:r>
        <w:rPr>
          <w:bCs/>
        </w:rPr>
        <w:t>ed –</w:t>
      </w:r>
      <w:r w:rsidRPr="00437E15">
        <w:rPr>
          <w:bCs/>
        </w:rPr>
        <w:t xml:space="preserve"> taking </w:t>
      </w:r>
      <w:r>
        <w:rPr>
          <w:bCs/>
        </w:rPr>
        <w:t xml:space="preserve">into </w:t>
      </w:r>
      <w:r w:rsidRPr="00437E15">
        <w:rPr>
          <w:bCs/>
        </w:rPr>
        <w:t>account his/her age and discernment. Whil</w:t>
      </w:r>
      <w:r>
        <w:rPr>
          <w:bCs/>
        </w:rPr>
        <w:t>st</w:t>
      </w:r>
      <w:r w:rsidRPr="00437E15">
        <w:rPr>
          <w:bCs/>
        </w:rPr>
        <w:t xml:space="preserve"> the child has the right to be heard, there is no requirement for the Council of State to hear the child. The legislation requires the Council of State to hear parties to the proceedings. However, in most cases, the child will be represented by his/her legal representative who </w:t>
      </w:r>
      <w:r>
        <w:rPr>
          <w:bCs/>
        </w:rPr>
        <w:t>is</w:t>
      </w:r>
      <w:r w:rsidRPr="00437E15">
        <w:rPr>
          <w:bCs/>
        </w:rPr>
        <w:t xml:space="preserve"> the part</w:t>
      </w:r>
      <w:r>
        <w:rPr>
          <w:bCs/>
        </w:rPr>
        <w:t>y</w:t>
      </w:r>
      <w:r w:rsidRPr="00437E15">
        <w:rPr>
          <w:bCs/>
        </w:rPr>
        <w:t xml:space="preserve"> to the proceedings. As a result, the child may not be heard.</w:t>
      </w:r>
    </w:p>
    <w:p w:rsidR="00F60A1E" w:rsidRPr="00A36DEB" w:rsidRDefault="00F60A1E" w:rsidP="00227001">
      <w:pPr>
        <w:pStyle w:val="Heading3NoNumb"/>
        <w:ind w:left="851"/>
      </w:pPr>
      <w:bookmarkStart w:id="345" w:name="_Toc409792308"/>
      <w:r w:rsidRPr="00A36DEB">
        <w:rPr>
          <w:noProof/>
        </w:rPr>
        <w:t>Right to legal counsel, legal assistance and representation</w:t>
      </w:r>
      <w:bookmarkEnd w:id="345"/>
    </w:p>
    <w:p w:rsidR="00F60A1E" w:rsidRPr="00437E15" w:rsidRDefault="00F60A1E" w:rsidP="00F60A1E">
      <w:pPr>
        <w:spacing w:before="0" w:after="0" w:line="240" w:lineRule="auto"/>
        <w:ind w:left="851"/>
        <w:jc w:val="both"/>
      </w:pPr>
      <w:r w:rsidRPr="00182DA5">
        <w:t xml:space="preserve">The </w:t>
      </w:r>
      <w:r w:rsidRPr="00437E15">
        <w:t>right to legal protection is a constitutional right</w:t>
      </w:r>
      <w:r w:rsidRPr="00182DA5">
        <w:t>. Children have the right to legal counsel</w:t>
      </w:r>
      <w:r>
        <w:t>s</w:t>
      </w:r>
      <w:r w:rsidRPr="00182DA5">
        <w:t xml:space="preserve">, assistance and representation. </w:t>
      </w:r>
      <w:r w:rsidRPr="00437E15">
        <w:t>A child has a right to being assisted by a legal counsel, to receive legal aid and make use of all the rights associated with the client-legal counsel relationship within the limit of the child’s lack of procedural capacity to act.</w:t>
      </w:r>
    </w:p>
    <w:p w:rsidR="00F60A1E" w:rsidRPr="00437E15" w:rsidRDefault="00F60A1E" w:rsidP="00F60A1E">
      <w:pPr>
        <w:spacing w:before="0" w:after="0" w:line="240" w:lineRule="auto"/>
        <w:ind w:left="851"/>
        <w:jc w:val="both"/>
      </w:pPr>
    </w:p>
    <w:p w:rsidR="00F60A1E" w:rsidRDefault="00F60A1E" w:rsidP="00F60A1E">
      <w:pPr>
        <w:spacing w:before="0" w:after="0" w:line="240" w:lineRule="auto"/>
        <w:ind w:left="851"/>
        <w:jc w:val="both"/>
      </w:pPr>
      <w:r w:rsidRPr="00437E15">
        <w:rPr>
          <w:bCs/>
        </w:rPr>
        <w:t>Due to the complexity of the procedure</w:t>
      </w:r>
      <w:r w:rsidRPr="00531778">
        <w:rPr>
          <w:bCs/>
        </w:rPr>
        <w:t xml:space="preserve"> </w:t>
      </w:r>
      <w:r w:rsidRPr="00437E15">
        <w:rPr>
          <w:bCs/>
        </w:rPr>
        <w:t>before the Council of State, parties are usually always represented by legal counsel</w:t>
      </w:r>
      <w:r>
        <w:rPr>
          <w:bCs/>
        </w:rPr>
        <w:t>s</w:t>
      </w:r>
      <w:r w:rsidRPr="00437E15">
        <w:rPr>
          <w:bCs/>
        </w:rPr>
        <w:t>. For some procedures</w:t>
      </w:r>
      <w:r>
        <w:rPr>
          <w:bCs/>
        </w:rPr>
        <w:t xml:space="preserve">, i.e. </w:t>
      </w:r>
      <w:r w:rsidRPr="00437E15">
        <w:rPr>
          <w:bCs/>
        </w:rPr>
        <w:t>action</w:t>
      </w:r>
      <w:r>
        <w:rPr>
          <w:bCs/>
        </w:rPr>
        <w:t>s</w:t>
      </w:r>
      <w:r w:rsidRPr="00437E15">
        <w:rPr>
          <w:bCs/>
        </w:rPr>
        <w:t xml:space="preserve"> in cassation</w:t>
      </w:r>
      <w:r>
        <w:rPr>
          <w:bCs/>
        </w:rPr>
        <w:t>,</w:t>
      </w:r>
      <w:r w:rsidRPr="00437E15">
        <w:rPr>
          <w:bCs/>
        </w:rPr>
        <w:t xml:space="preserve"> which are </w:t>
      </w:r>
      <w:r>
        <w:rPr>
          <w:bCs/>
        </w:rPr>
        <w:t>used</w:t>
      </w:r>
      <w:r w:rsidRPr="00437E15">
        <w:rPr>
          <w:bCs/>
        </w:rPr>
        <w:t xml:space="preserve"> in asylum and migration, the assistance of a legal counsel is mandatory.</w:t>
      </w:r>
      <w:r w:rsidRPr="009B0F5E">
        <w:rPr>
          <w:bCs/>
        </w:rPr>
        <w:t xml:space="preserve"> </w:t>
      </w:r>
      <w:r>
        <w:rPr>
          <w:bCs/>
        </w:rPr>
        <w:t>However, a</w:t>
      </w:r>
      <w:r w:rsidRPr="00863607">
        <w:rPr>
          <w:bCs/>
        </w:rPr>
        <w:t xml:space="preserve"> legal counsel is not automatically assigned for a child in </w:t>
      </w:r>
      <w:r>
        <w:rPr>
          <w:bCs/>
        </w:rPr>
        <w:t xml:space="preserve">an </w:t>
      </w:r>
      <w:r w:rsidRPr="00863607">
        <w:rPr>
          <w:bCs/>
        </w:rPr>
        <w:t>administrative judicial proceeding.</w:t>
      </w:r>
      <w:r>
        <w:rPr>
          <w:bCs/>
        </w:rPr>
        <w:t xml:space="preserve"> </w:t>
      </w:r>
      <w:r w:rsidRPr="00437E15">
        <w:t xml:space="preserve">The child’s legal representative or, in exceptional cases, the child, will need to request his/her assistance. </w:t>
      </w:r>
    </w:p>
    <w:p w:rsidR="00F60A1E" w:rsidRPr="00437E15" w:rsidRDefault="00F60A1E" w:rsidP="00F60A1E">
      <w:pPr>
        <w:spacing w:before="0" w:after="0" w:line="240" w:lineRule="auto"/>
        <w:ind w:left="851"/>
        <w:jc w:val="both"/>
      </w:pPr>
    </w:p>
    <w:p w:rsidR="00F60A1E" w:rsidRPr="00A36DEB" w:rsidRDefault="00F60A1E" w:rsidP="00F60A1E">
      <w:pPr>
        <w:spacing w:before="0" w:after="0" w:line="240" w:lineRule="auto"/>
        <w:ind w:left="851"/>
        <w:jc w:val="both"/>
      </w:pPr>
      <w:r w:rsidRPr="00437E15">
        <w:t xml:space="preserve">The </w:t>
      </w:r>
      <w:hyperlink r:id="rId173" w:history="1">
        <w:r w:rsidRPr="00065BA6">
          <w:rPr>
            <w:rStyle w:val="Hyperlink"/>
            <w:rFonts w:cs="Arial"/>
          </w:rPr>
          <w:t xml:space="preserve">Deontology Code of Legal Counsel of the </w:t>
        </w:r>
        <w:r>
          <w:rPr>
            <w:rStyle w:val="Hyperlink"/>
            <w:rFonts w:cs="Arial"/>
          </w:rPr>
          <w:t>French and German Speaking Bars</w:t>
        </w:r>
      </w:hyperlink>
      <w:r w:rsidRPr="00437E15">
        <w:t xml:space="preserve"> provides that a child should be assisted</w:t>
      </w:r>
      <w:r>
        <w:t>,</w:t>
      </w:r>
      <w:r w:rsidRPr="00437E15">
        <w:t xml:space="preserve"> taking in to account the child’s age, maturity and capacity. The legal counsel </w:t>
      </w:r>
      <w:r>
        <w:t xml:space="preserve">should </w:t>
      </w:r>
      <w:r w:rsidRPr="00437E15">
        <w:t xml:space="preserve">respect of the rights of the child and </w:t>
      </w:r>
      <w:r>
        <w:t xml:space="preserve">the </w:t>
      </w:r>
      <w:r w:rsidRPr="00437E15">
        <w:t>procedural rules</w:t>
      </w:r>
      <w:r>
        <w:t xml:space="preserve"> and</w:t>
      </w:r>
      <w:r w:rsidRPr="00437E15">
        <w:t xml:space="preserve"> facilitate the understanding of the child of the proceedings and the child’s participation</w:t>
      </w:r>
      <w:r w:rsidRPr="00182DA5">
        <w:t>.</w:t>
      </w:r>
      <w:r w:rsidRPr="00437E15">
        <w:t xml:space="preserve"> No similar provision has been identified for the Flemish Bar</w:t>
      </w:r>
      <w:r w:rsidRPr="00182DA5">
        <w:t>.</w:t>
      </w:r>
    </w:p>
    <w:p w:rsidR="00F60A1E" w:rsidRPr="00A36DEB" w:rsidRDefault="00F60A1E" w:rsidP="00227001">
      <w:pPr>
        <w:pStyle w:val="Heading3NoNumb"/>
        <w:ind w:left="851"/>
      </w:pPr>
      <w:bookmarkStart w:id="346" w:name="_Toc409792309"/>
      <w:r w:rsidRPr="00A36DEB">
        <w:t>Restrictions of liberty</w:t>
      </w:r>
      <w:bookmarkEnd w:id="346"/>
    </w:p>
    <w:p w:rsidR="00F60A1E" w:rsidRPr="00437E15" w:rsidRDefault="00F60A1E" w:rsidP="00F60A1E">
      <w:pPr>
        <w:pStyle w:val="BodyText"/>
        <w:widowControl w:val="0"/>
        <w:spacing w:before="0" w:after="0" w:line="240" w:lineRule="auto"/>
        <w:jc w:val="both"/>
        <w:rPr>
          <w:bCs/>
          <w:szCs w:val="20"/>
        </w:rPr>
      </w:pPr>
      <w:r w:rsidRPr="00437E15">
        <w:rPr>
          <w:bCs/>
          <w:szCs w:val="20"/>
        </w:rPr>
        <w:t xml:space="preserve">Deprivation of liberty may be imposed in the sector of migration and asylum, placement into care, mental health care and children below </w:t>
      </w:r>
      <w:r>
        <w:rPr>
          <w:bCs/>
          <w:szCs w:val="20"/>
        </w:rPr>
        <w:t xml:space="preserve">the </w:t>
      </w:r>
      <w:r w:rsidRPr="00437E15">
        <w:rPr>
          <w:bCs/>
          <w:szCs w:val="20"/>
        </w:rPr>
        <w:t>MACR who have committed offence</w:t>
      </w:r>
      <w:r>
        <w:rPr>
          <w:bCs/>
          <w:szCs w:val="20"/>
        </w:rPr>
        <w:t>s</w:t>
      </w:r>
      <w:r w:rsidRPr="00437E15">
        <w:rPr>
          <w:bCs/>
          <w:szCs w:val="20"/>
        </w:rPr>
        <w:t xml:space="preserve">. </w:t>
      </w:r>
    </w:p>
    <w:p w:rsidR="00F60A1E" w:rsidRPr="00437E15" w:rsidRDefault="00F60A1E" w:rsidP="00F60A1E">
      <w:pPr>
        <w:pStyle w:val="BodyText"/>
        <w:widowControl w:val="0"/>
        <w:spacing w:before="0" w:after="0" w:line="240" w:lineRule="auto"/>
        <w:jc w:val="both"/>
        <w:rPr>
          <w:bCs/>
          <w:szCs w:val="20"/>
          <w:highlight w:val="yellow"/>
        </w:rPr>
      </w:pPr>
    </w:p>
    <w:p w:rsidR="00F60A1E" w:rsidRPr="00437E15" w:rsidRDefault="00F60A1E" w:rsidP="00F60A1E">
      <w:pPr>
        <w:pStyle w:val="BodyText"/>
        <w:widowControl w:val="0"/>
        <w:spacing w:before="0" w:after="0" w:line="240" w:lineRule="auto"/>
        <w:jc w:val="both"/>
        <w:rPr>
          <w:bCs/>
          <w:szCs w:val="20"/>
        </w:rPr>
      </w:pPr>
      <w:r w:rsidRPr="00437E15">
        <w:rPr>
          <w:bCs/>
          <w:szCs w:val="20"/>
        </w:rPr>
        <w:t>According to the legislation, children may suffer from as minimal interference as possible to their rights and freedoms</w:t>
      </w:r>
      <w:r w:rsidRPr="008730CA">
        <w:rPr>
          <w:bCs/>
          <w:szCs w:val="20"/>
        </w:rPr>
        <w:t>, only as required for the protection of society,</w:t>
      </w:r>
      <w:r w:rsidRPr="00437E15">
        <w:rPr>
          <w:bCs/>
          <w:szCs w:val="20"/>
        </w:rPr>
        <w:t xml:space="preserve"> taking into account the needs of children, their families and the interests of victims’ rights. From this principle, it can be implied that detention should be a measure of last resort and for the shortest possible time.</w:t>
      </w:r>
    </w:p>
    <w:p w:rsidR="00F60A1E" w:rsidRDefault="00F60A1E" w:rsidP="00F60A1E">
      <w:pPr>
        <w:pStyle w:val="BodyText"/>
        <w:widowControl w:val="0"/>
        <w:spacing w:before="0" w:after="0" w:line="240" w:lineRule="auto"/>
        <w:jc w:val="both"/>
        <w:rPr>
          <w:bCs/>
          <w:szCs w:val="20"/>
        </w:rPr>
      </w:pPr>
    </w:p>
    <w:p w:rsidR="00F60A1E" w:rsidRPr="00437E15" w:rsidRDefault="00F60A1E" w:rsidP="00F60A1E">
      <w:pPr>
        <w:pStyle w:val="BodyText"/>
        <w:widowControl w:val="0"/>
        <w:spacing w:before="0" w:after="0" w:line="240" w:lineRule="auto"/>
        <w:jc w:val="both"/>
        <w:rPr>
          <w:bCs/>
          <w:szCs w:val="20"/>
        </w:rPr>
      </w:pPr>
      <w:r w:rsidRPr="00437E15">
        <w:rPr>
          <w:bCs/>
          <w:szCs w:val="20"/>
        </w:rPr>
        <w:t>In case of deprivation of liberty</w:t>
      </w:r>
      <w:r>
        <w:rPr>
          <w:bCs/>
          <w:szCs w:val="20"/>
        </w:rPr>
        <w:t>,</w:t>
      </w:r>
      <w:r w:rsidRPr="00437E15">
        <w:rPr>
          <w:bCs/>
          <w:szCs w:val="20"/>
        </w:rPr>
        <w:t xml:space="preserve"> the child must have</w:t>
      </w:r>
      <w:r>
        <w:rPr>
          <w:bCs/>
          <w:szCs w:val="20"/>
        </w:rPr>
        <w:t>,</w:t>
      </w:r>
      <w:r w:rsidRPr="00437E15">
        <w:rPr>
          <w:bCs/>
          <w:szCs w:val="20"/>
        </w:rPr>
        <w:t xml:space="preserve"> as a minimum</w:t>
      </w:r>
      <w:r>
        <w:rPr>
          <w:bCs/>
          <w:szCs w:val="20"/>
        </w:rPr>
        <w:t>,</w:t>
      </w:r>
      <w:r w:rsidRPr="00437E15">
        <w:rPr>
          <w:bCs/>
          <w:szCs w:val="20"/>
        </w:rPr>
        <w:t xml:space="preserve"> the same rights as adul</w:t>
      </w:r>
      <w:r>
        <w:rPr>
          <w:bCs/>
          <w:szCs w:val="20"/>
        </w:rPr>
        <w:t>ts. G</w:t>
      </w:r>
      <w:r w:rsidRPr="00437E15">
        <w:rPr>
          <w:bCs/>
          <w:szCs w:val="20"/>
        </w:rPr>
        <w:t xml:space="preserve">iven the presumption of vulnerability stemming from the status as a child, including </w:t>
      </w:r>
      <w:r>
        <w:rPr>
          <w:bCs/>
          <w:szCs w:val="20"/>
        </w:rPr>
        <w:t xml:space="preserve">the </w:t>
      </w:r>
      <w:r w:rsidRPr="00437E15">
        <w:rPr>
          <w:bCs/>
          <w:szCs w:val="20"/>
        </w:rPr>
        <w:t xml:space="preserve">assistance of a legal counsel and rights </w:t>
      </w:r>
      <w:r>
        <w:rPr>
          <w:bCs/>
          <w:szCs w:val="20"/>
        </w:rPr>
        <w:t>in</w:t>
      </w:r>
      <w:r w:rsidRPr="00437E15">
        <w:rPr>
          <w:bCs/>
          <w:szCs w:val="20"/>
        </w:rPr>
        <w:t xml:space="preserve"> the interview of someone deprived of liberty</w:t>
      </w:r>
      <w:r>
        <w:rPr>
          <w:bCs/>
          <w:szCs w:val="20"/>
        </w:rPr>
        <w:t>. The child</w:t>
      </w:r>
      <w:r w:rsidRPr="00437E15">
        <w:rPr>
          <w:bCs/>
          <w:szCs w:val="20"/>
        </w:rPr>
        <w:t xml:space="preserve"> must receive the additional rights provided for in the </w:t>
      </w:r>
      <w:hyperlink r:id="rId174" w:history="1">
        <w:r w:rsidRPr="00437E15">
          <w:rPr>
            <w:rStyle w:val="Hyperlink"/>
            <w:bCs/>
            <w:szCs w:val="20"/>
          </w:rPr>
          <w:t>Youth Protection Act</w:t>
        </w:r>
      </w:hyperlink>
      <w:r>
        <w:rPr>
          <w:bCs/>
          <w:szCs w:val="20"/>
        </w:rPr>
        <w:t xml:space="preserve">, </w:t>
      </w:r>
      <w:r w:rsidRPr="00437E15">
        <w:rPr>
          <w:bCs/>
          <w:szCs w:val="20"/>
        </w:rPr>
        <w:t>including the rights guaranteed in the CRC.</w:t>
      </w:r>
    </w:p>
    <w:p w:rsidR="00F60A1E" w:rsidRPr="00437E15" w:rsidRDefault="00F60A1E" w:rsidP="00F60A1E">
      <w:pPr>
        <w:widowControl w:val="0"/>
        <w:autoSpaceDE w:val="0"/>
        <w:autoSpaceDN w:val="0"/>
        <w:adjustRightInd w:val="0"/>
        <w:spacing w:before="0" w:after="0" w:line="240" w:lineRule="auto"/>
        <w:ind w:left="851"/>
        <w:jc w:val="both"/>
        <w:rPr>
          <w:lang w:eastAsia="da-DK"/>
        </w:rPr>
      </w:pPr>
    </w:p>
    <w:p w:rsidR="00F60A1E" w:rsidRPr="005C2FFE" w:rsidRDefault="00F60A1E" w:rsidP="00F60A1E">
      <w:pPr>
        <w:widowControl w:val="0"/>
        <w:autoSpaceDE w:val="0"/>
        <w:autoSpaceDN w:val="0"/>
        <w:adjustRightInd w:val="0"/>
        <w:spacing w:before="0" w:after="0" w:line="240" w:lineRule="auto"/>
        <w:ind w:left="851"/>
        <w:jc w:val="both"/>
        <w:rPr>
          <w:lang w:eastAsia="da-DK"/>
        </w:rPr>
      </w:pPr>
      <w:r w:rsidRPr="00437E15">
        <w:rPr>
          <w:lang w:eastAsia="da-DK"/>
        </w:rPr>
        <w:t xml:space="preserve">Deprivation of liberty requires the intervention of </w:t>
      </w:r>
      <w:r>
        <w:rPr>
          <w:lang w:eastAsia="da-DK"/>
        </w:rPr>
        <w:t>the</w:t>
      </w:r>
      <w:r w:rsidRPr="00437E15">
        <w:rPr>
          <w:lang w:eastAsia="da-DK"/>
        </w:rPr>
        <w:t xml:space="preserve"> court</w:t>
      </w:r>
      <w:r>
        <w:rPr>
          <w:lang w:eastAsia="da-DK"/>
        </w:rPr>
        <w:t>s</w:t>
      </w:r>
      <w:r w:rsidRPr="00437E15">
        <w:rPr>
          <w:lang w:eastAsia="da-DK"/>
        </w:rPr>
        <w:t xml:space="preserve">, with the exception of the detention of child asylum seekers or illegal migrants for expulsion and administrative detention of </w:t>
      </w:r>
      <w:r>
        <w:rPr>
          <w:lang w:eastAsia="da-DK"/>
        </w:rPr>
        <w:t xml:space="preserve">a maximum of </w:t>
      </w:r>
      <w:r w:rsidRPr="00437E15">
        <w:rPr>
          <w:lang w:eastAsia="da-DK"/>
        </w:rPr>
        <w:t xml:space="preserve">12 hours. </w:t>
      </w:r>
      <w:r>
        <w:rPr>
          <w:lang w:eastAsia="da-DK"/>
        </w:rPr>
        <w:t>The c</w:t>
      </w:r>
      <w:r w:rsidRPr="00437E15">
        <w:rPr>
          <w:lang w:eastAsia="da-DK"/>
        </w:rPr>
        <w:t>ourts are competent to monitor the appropriate use of administrative detention.</w:t>
      </w:r>
    </w:p>
    <w:p w:rsidR="00F60A1E" w:rsidRPr="00A36DEB" w:rsidRDefault="00F60A1E" w:rsidP="00227001">
      <w:pPr>
        <w:pStyle w:val="Heading3NoNumb"/>
        <w:ind w:left="851"/>
        <w:rPr>
          <w:noProof/>
        </w:rPr>
      </w:pPr>
      <w:bookmarkStart w:id="347" w:name="_Toc409792310"/>
      <w:r w:rsidRPr="00A36DEB">
        <w:rPr>
          <w:noProof/>
        </w:rPr>
        <w:lastRenderedPageBreak/>
        <w:t>Remedies or compensation for violation of rights and failure to act</w:t>
      </w:r>
      <w:bookmarkEnd w:id="347"/>
      <w:r w:rsidRPr="00A36DEB">
        <w:rPr>
          <w:noProof/>
        </w:rPr>
        <w:t xml:space="preserve"> </w:t>
      </w:r>
    </w:p>
    <w:p w:rsidR="00F60A1E" w:rsidRPr="00437E15" w:rsidRDefault="00F60A1E" w:rsidP="00F60A1E">
      <w:pPr>
        <w:pStyle w:val="BodyText"/>
        <w:widowControl w:val="0"/>
        <w:spacing w:before="0" w:after="0" w:line="240" w:lineRule="auto"/>
        <w:jc w:val="both"/>
        <w:rPr>
          <w:bCs/>
          <w:szCs w:val="20"/>
        </w:rPr>
      </w:pPr>
      <w:r w:rsidRPr="00972997">
        <w:rPr>
          <w:bCs/>
          <w:szCs w:val="20"/>
        </w:rPr>
        <w:t>A decision of the Council of State may be appealed to the Court of Cassation only when the Council of State has decided on its own competence whilst ordinary courts could be competent. Other forms of appeals are the revision appeal, the opposition and the third party opposition. The revision appeal concerns the situation where a document serving as evidence is found or where a document is declared false. The opposition action only concerns decisions taken when the defendant did or could not provide a defence. The third party opposition action concerns a person affected by the decision which was not part of the proceedings, i.e. as a party or an intervener.</w:t>
      </w:r>
    </w:p>
    <w:p w:rsidR="00F60A1E" w:rsidRPr="00A36DEB" w:rsidRDefault="00F60A1E" w:rsidP="00227001">
      <w:pPr>
        <w:pStyle w:val="Heading3NoNumb"/>
        <w:ind w:left="851"/>
        <w:rPr>
          <w:noProof/>
        </w:rPr>
      </w:pPr>
      <w:bookmarkStart w:id="348" w:name="_Toc409792311"/>
      <w:r w:rsidRPr="00A36DEB">
        <w:rPr>
          <w:noProof/>
        </w:rPr>
        <w:t>Legal costs</w:t>
      </w:r>
      <w:bookmarkEnd w:id="348"/>
    </w:p>
    <w:p w:rsidR="00F60A1E" w:rsidRPr="00437E15" w:rsidRDefault="00F60A1E" w:rsidP="00F60A1E">
      <w:pPr>
        <w:pStyle w:val="BodyText"/>
        <w:widowControl w:val="0"/>
        <w:spacing w:before="0" w:after="0" w:line="240" w:lineRule="auto"/>
        <w:jc w:val="both"/>
        <w:rPr>
          <w:bCs/>
          <w:szCs w:val="20"/>
        </w:rPr>
      </w:pPr>
      <w:r w:rsidRPr="00972997">
        <w:rPr>
          <w:bCs/>
          <w:szCs w:val="20"/>
        </w:rPr>
        <w:t>When the child, in any role, requests legal representation via secondary legal aid, the costs of the legal counsel’s assistance are fully covered by the State and the court fees are waived.</w:t>
      </w:r>
    </w:p>
    <w:p w:rsidR="00F60A1E" w:rsidRPr="00437E15" w:rsidRDefault="00F60A1E" w:rsidP="00F60A1E">
      <w:pPr>
        <w:pStyle w:val="BodyText"/>
        <w:spacing w:before="0" w:after="0" w:line="240" w:lineRule="auto"/>
        <w:jc w:val="both"/>
        <w:rPr>
          <w:szCs w:val="20"/>
        </w:rPr>
      </w:pPr>
    </w:p>
    <w:p w:rsidR="00F60A1E" w:rsidRPr="00B01F5A" w:rsidRDefault="00F60A1E" w:rsidP="00F60A1E">
      <w:pPr>
        <w:pStyle w:val="BodyText"/>
        <w:spacing w:before="0" w:after="0" w:line="240" w:lineRule="auto"/>
        <w:jc w:val="both"/>
        <w:rPr>
          <w:szCs w:val="20"/>
        </w:rPr>
      </w:pPr>
      <w:r w:rsidRPr="00437E15">
        <w:rPr>
          <w:szCs w:val="20"/>
        </w:rPr>
        <w:t>When the child’s legal representative mandates a legal counsel for the representation of the child, the legal representative will need to cover the legal co</w:t>
      </w:r>
      <w:r>
        <w:rPr>
          <w:szCs w:val="20"/>
        </w:rPr>
        <w:t xml:space="preserve">sts of the legal counsel and </w:t>
      </w:r>
      <w:r w:rsidRPr="00437E15">
        <w:rPr>
          <w:szCs w:val="20"/>
        </w:rPr>
        <w:t xml:space="preserve">judicial fees. </w:t>
      </w:r>
    </w:p>
    <w:p w:rsidR="00F60A1E" w:rsidRPr="00A36DEB" w:rsidRDefault="00F60A1E" w:rsidP="00227001">
      <w:pPr>
        <w:pStyle w:val="Heading3NoNumb"/>
        <w:ind w:left="851"/>
        <w:rPr>
          <w:noProof/>
        </w:rPr>
      </w:pPr>
      <w:bookmarkStart w:id="349" w:name="_Toc409792312"/>
      <w:r w:rsidRPr="00A36DEB">
        <w:rPr>
          <w:noProof/>
        </w:rPr>
        <w:t xml:space="preserve">Enforcement of civil court </w:t>
      </w:r>
      <w:r>
        <w:rPr>
          <w:noProof/>
        </w:rPr>
        <w:t>judgement</w:t>
      </w:r>
      <w:r w:rsidRPr="00A36DEB">
        <w:rPr>
          <w:noProof/>
        </w:rPr>
        <w:t>s</w:t>
      </w:r>
      <w:bookmarkEnd w:id="349"/>
    </w:p>
    <w:p w:rsidR="00F60A1E" w:rsidRPr="00437E15" w:rsidRDefault="00F60A1E" w:rsidP="00F60A1E">
      <w:pPr>
        <w:widowControl w:val="0"/>
        <w:spacing w:before="0" w:after="0" w:line="240" w:lineRule="auto"/>
        <w:ind w:left="851"/>
        <w:jc w:val="both"/>
      </w:pPr>
      <w:r w:rsidRPr="00437E15">
        <w:t xml:space="preserve">The consequence of a decision of the Council of State varies on whether </w:t>
      </w:r>
      <w:r>
        <w:t xml:space="preserve">or not </w:t>
      </w:r>
      <w:r w:rsidRPr="00437E15">
        <w:t xml:space="preserve">the Council upheld or quashed the administrative authority’s decision. If the Council of State upholds the administrative authority’s decision, the decision is then considered valid for the parties. On the other hand, if the Council of State quashes the administrative authority’s decision, the decision is deemed to have never existed </w:t>
      </w:r>
      <w:r>
        <w:t>and the administrative authority will need to issue a new decision</w:t>
      </w:r>
      <w:r w:rsidRPr="00437E15">
        <w:t xml:space="preserve"> or</w:t>
      </w:r>
      <w:r>
        <w:t xml:space="preserve"> the case</w:t>
      </w:r>
      <w:r w:rsidRPr="00437E15">
        <w:t xml:space="preserve"> is referred back to the administrative authority</w:t>
      </w:r>
      <w:r>
        <w:t>.</w:t>
      </w:r>
      <w:r w:rsidRPr="00437E15">
        <w:t xml:space="preserve"> </w:t>
      </w:r>
    </w:p>
    <w:p w:rsidR="00F60A1E" w:rsidRPr="00437E15" w:rsidRDefault="00F60A1E" w:rsidP="00F60A1E">
      <w:pPr>
        <w:pStyle w:val="BodyText"/>
        <w:widowControl w:val="0"/>
        <w:spacing w:before="0" w:after="0" w:line="240" w:lineRule="auto"/>
        <w:jc w:val="both"/>
        <w:rPr>
          <w:b/>
          <w:bCs/>
          <w:szCs w:val="20"/>
        </w:rPr>
      </w:pPr>
    </w:p>
    <w:p w:rsidR="00F60A1E" w:rsidRPr="00437E15" w:rsidRDefault="00F60A1E" w:rsidP="00F60A1E">
      <w:pPr>
        <w:pStyle w:val="BodyText"/>
        <w:widowControl w:val="0"/>
        <w:spacing w:before="0" w:after="0" w:line="240" w:lineRule="auto"/>
        <w:jc w:val="both"/>
        <w:rPr>
          <w:bCs/>
          <w:szCs w:val="20"/>
        </w:rPr>
      </w:pPr>
      <w:r w:rsidRPr="00437E15">
        <w:rPr>
          <w:bCs/>
          <w:szCs w:val="20"/>
        </w:rPr>
        <w:t>Currently applicable</w:t>
      </w:r>
      <w:r>
        <w:rPr>
          <w:bCs/>
          <w:szCs w:val="20"/>
        </w:rPr>
        <w:t>,</w:t>
      </w:r>
      <w:r w:rsidRPr="00437E15">
        <w:rPr>
          <w:bCs/>
          <w:szCs w:val="20"/>
        </w:rPr>
        <w:t xml:space="preserve"> the legislation does not provide for the right of children to receive information in their own right, including the enforcement</w:t>
      </w:r>
      <w:r>
        <w:rPr>
          <w:bCs/>
          <w:szCs w:val="20"/>
        </w:rPr>
        <w:t>s</w:t>
      </w:r>
      <w:r w:rsidRPr="00437E15">
        <w:rPr>
          <w:bCs/>
          <w:szCs w:val="20"/>
        </w:rPr>
        <w:t xml:space="preserve"> of the decision</w:t>
      </w:r>
      <w:r>
        <w:rPr>
          <w:bCs/>
          <w:szCs w:val="20"/>
        </w:rPr>
        <w:t>s</w:t>
      </w:r>
      <w:r w:rsidRPr="00437E15">
        <w:rPr>
          <w:bCs/>
          <w:szCs w:val="20"/>
        </w:rPr>
        <w:t xml:space="preserve">. However, the child and his/her legal representative may request information from </w:t>
      </w:r>
      <w:r>
        <w:rPr>
          <w:bCs/>
          <w:szCs w:val="20"/>
        </w:rPr>
        <w:t xml:space="preserve">the </w:t>
      </w:r>
      <w:r w:rsidRPr="00437E15">
        <w:rPr>
          <w:bCs/>
          <w:szCs w:val="20"/>
        </w:rPr>
        <w:t>authorit</w:t>
      </w:r>
      <w:r>
        <w:rPr>
          <w:bCs/>
          <w:szCs w:val="20"/>
        </w:rPr>
        <w:t>y</w:t>
      </w:r>
      <w:r w:rsidRPr="00437E15">
        <w:rPr>
          <w:bCs/>
          <w:szCs w:val="20"/>
        </w:rPr>
        <w:t xml:space="preserve"> or </w:t>
      </w:r>
      <w:r>
        <w:rPr>
          <w:bCs/>
          <w:szCs w:val="20"/>
        </w:rPr>
        <w:t xml:space="preserve">the </w:t>
      </w:r>
      <w:r w:rsidRPr="00437E15">
        <w:rPr>
          <w:bCs/>
          <w:szCs w:val="20"/>
        </w:rPr>
        <w:t xml:space="preserve">services. </w:t>
      </w:r>
    </w:p>
    <w:p w:rsidR="00F60A1E" w:rsidRPr="00437E15" w:rsidRDefault="00F60A1E" w:rsidP="00F60A1E">
      <w:pPr>
        <w:pStyle w:val="BodyText"/>
        <w:widowControl w:val="0"/>
        <w:spacing w:before="0" w:after="0" w:line="240" w:lineRule="auto"/>
        <w:jc w:val="both"/>
        <w:rPr>
          <w:szCs w:val="20"/>
        </w:rPr>
      </w:pPr>
    </w:p>
    <w:p w:rsidR="00F60A1E" w:rsidRPr="00B01F5A" w:rsidRDefault="00F60A1E" w:rsidP="00F60A1E">
      <w:pPr>
        <w:pStyle w:val="BodyText"/>
        <w:widowControl w:val="0"/>
        <w:spacing w:before="0" w:after="0" w:line="240" w:lineRule="auto"/>
        <w:jc w:val="both"/>
        <w:rPr>
          <w:szCs w:val="20"/>
        </w:rPr>
      </w:pPr>
      <w:r w:rsidRPr="00437E15">
        <w:rPr>
          <w:szCs w:val="20"/>
        </w:rPr>
        <w:t xml:space="preserve">If the enforcement of the decision put the child at risk, the child’s legal representative may always petition the youth tribunal or first instance court to order </w:t>
      </w:r>
      <w:r>
        <w:rPr>
          <w:szCs w:val="20"/>
        </w:rPr>
        <w:t xml:space="preserve">an </w:t>
      </w:r>
      <w:r w:rsidRPr="00437E15">
        <w:rPr>
          <w:szCs w:val="20"/>
        </w:rPr>
        <w:t>interim measure.</w:t>
      </w:r>
    </w:p>
    <w:p w:rsidR="00F60A1E" w:rsidRPr="00A36DEB" w:rsidRDefault="00F60A1E" w:rsidP="00227001">
      <w:pPr>
        <w:pStyle w:val="Heading3NoNumb"/>
        <w:ind w:left="851"/>
        <w:rPr>
          <w:lang w:eastAsia="fr-FR"/>
        </w:rPr>
      </w:pPr>
      <w:bookmarkStart w:id="350" w:name="_Toc409792313"/>
      <w:r w:rsidRPr="00A36DEB">
        <w:rPr>
          <w:noProof/>
        </w:rPr>
        <w:t>Strengths and gaps</w:t>
      </w:r>
      <w:bookmarkEnd w:id="350"/>
    </w:p>
    <w:p w:rsidR="00F60A1E" w:rsidRPr="0085107A" w:rsidRDefault="00F60A1E" w:rsidP="00F60A1E">
      <w:pPr>
        <w:widowControl w:val="0"/>
        <w:spacing w:before="0" w:after="0" w:line="240" w:lineRule="auto"/>
        <w:ind w:left="851"/>
        <w:jc w:val="both"/>
      </w:pPr>
      <w:r w:rsidRPr="0085107A">
        <w:t xml:space="preserve">Overall, the Belgian legal framework guarantees safeguards to children involved in </w:t>
      </w:r>
      <w:r>
        <w:t>administrative</w:t>
      </w:r>
      <w:r w:rsidRPr="0085107A">
        <w:t xml:space="preserve"> judicial proceedings</w:t>
      </w:r>
      <w:r w:rsidRPr="00972997">
        <w:t>. The right to be heard is guaranteed and children’s opinion must be taken into account in accordance with their ages and maturity. The child has the right to legal assistance and legal aid. Several safeguards are in place to ensure the protection of the child, through the intervention of a youth social service, the Guardianship Service, the Crown Prosecutor’s Office or the youth tribunal. Whilst children lack legal capacity to act, the Council of State case-law has allowed children to initiate proceedings in certain cases.</w:t>
      </w:r>
    </w:p>
    <w:p w:rsidR="00F60A1E" w:rsidRPr="0085107A" w:rsidRDefault="00F60A1E" w:rsidP="00F60A1E">
      <w:pPr>
        <w:widowControl w:val="0"/>
        <w:spacing w:before="0" w:after="0" w:line="240" w:lineRule="auto"/>
        <w:ind w:left="851"/>
        <w:jc w:val="both"/>
      </w:pPr>
    </w:p>
    <w:p w:rsidR="00F60A1E" w:rsidRDefault="00F60A1E" w:rsidP="00F60A1E">
      <w:pPr>
        <w:widowControl w:val="0"/>
        <w:spacing w:before="0" w:after="0" w:line="240" w:lineRule="auto"/>
        <w:ind w:left="851"/>
        <w:jc w:val="both"/>
      </w:pPr>
      <w:r>
        <w:t xml:space="preserve">The main gap in the involvement of children in administrative judicial proceedings is the lack of rules regarding children involved in the proceedings before the Council of State. This is partly due to the fact that those proceedings are mostly written proceedings and that the child will </w:t>
      </w:r>
      <w:r w:rsidRPr="0085107A">
        <w:t xml:space="preserve">not be the party to </w:t>
      </w:r>
      <w:r>
        <w:t xml:space="preserve">the </w:t>
      </w:r>
      <w:r w:rsidRPr="0085107A">
        <w:t>judicial proceedings and will always be represented by his/her legal representative or guardian. As a result, the system relies on the child’s legal representative</w:t>
      </w:r>
      <w:r>
        <w:t>’s</w:t>
      </w:r>
      <w:r w:rsidRPr="0085107A">
        <w:t xml:space="preserve"> actions</w:t>
      </w:r>
      <w:r>
        <w:t xml:space="preserve"> and no requirement exists to ensure that the information or the environment is child-friendly</w:t>
      </w:r>
      <w:r w:rsidRPr="0085107A">
        <w:t>.</w:t>
      </w:r>
    </w:p>
    <w:p w:rsidR="00960EC3" w:rsidRPr="00273093" w:rsidRDefault="00960EC3" w:rsidP="00960EC3"/>
    <w:p w:rsidR="00960EC3" w:rsidRPr="00680AC6" w:rsidRDefault="00960EC3" w:rsidP="00960EC3">
      <w:pPr>
        <w:pStyle w:val="AnnexHeading"/>
        <w:rPr>
          <w:lang w:val="fr-BE"/>
        </w:rPr>
      </w:pPr>
      <w:bookmarkStart w:id="351" w:name="_Toc409792314"/>
      <w:r>
        <w:lastRenderedPageBreak/>
        <w:t>L</w:t>
      </w:r>
      <w:r w:rsidRPr="005A187F">
        <w:rPr>
          <w:lang w:val="en-US"/>
        </w:rPr>
        <w:t>ist of l</w:t>
      </w:r>
      <w:r>
        <w:t>egislation</w:t>
      </w:r>
      <w:bookmarkEnd w:id="351"/>
    </w:p>
    <w:p w:rsidR="0082630D" w:rsidRPr="00AF32C2" w:rsidRDefault="0082630D" w:rsidP="0082630D">
      <w:pPr>
        <w:pStyle w:val="AnnexH2"/>
        <w:rPr>
          <w:lang w:eastAsia="fr-FR"/>
        </w:rPr>
      </w:pPr>
      <w:r w:rsidRPr="00AF32C2">
        <w:rPr>
          <w:lang w:eastAsia="fr-FR"/>
        </w:rPr>
        <w:t>Federal legislation</w:t>
      </w:r>
    </w:p>
    <w:p w:rsidR="0082630D" w:rsidRPr="00AF32C2" w:rsidRDefault="0082630D" w:rsidP="0082630D">
      <w:pPr>
        <w:pStyle w:val="BTBullet1"/>
      </w:pPr>
      <w:r w:rsidRPr="00AF32C2">
        <w:t>Belgian Constitution</w:t>
      </w:r>
    </w:p>
    <w:p w:rsidR="0082630D" w:rsidRPr="00AF32C2" w:rsidRDefault="0082630D" w:rsidP="0082630D">
      <w:pPr>
        <w:pStyle w:val="BTBullet1"/>
      </w:pPr>
      <w:r w:rsidRPr="00AF32C2">
        <w:t>Judicial Code</w:t>
      </w:r>
    </w:p>
    <w:p w:rsidR="0082630D" w:rsidRPr="00AF32C2" w:rsidRDefault="0082630D" w:rsidP="0082630D">
      <w:pPr>
        <w:pStyle w:val="BTBullet1"/>
      </w:pPr>
      <w:r w:rsidRPr="00AF32C2">
        <w:t>Civil Code</w:t>
      </w:r>
    </w:p>
    <w:p w:rsidR="0082630D" w:rsidRDefault="0082630D" w:rsidP="0082630D">
      <w:pPr>
        <w:pStyle w:val="BTBullet1"/>
      </w:pPr>
      <w:r w:rsidRPr="00AF32C2">
        <w:t>Criminal Code</w:t>
      </w:r>
    </w:p>
    <w:p w:rsidR="0082630D" w:rsidRDefault="0082630D" w:rsidP="0082630D">
      <w:pPr>
        <w:pStyle w:val="BTBullet1"/>
      </w:pPr>
      <w:r w:rsidRPr="00447AD0">
        <w:t>Code of Criminal Procedure</w:t>
      </w:r>
    </w:p>
    <w:p w:rsidR="0082630D" w:rsidRPr="00651FD8" w:rsidRDefault="0082630D" w:rsidP="0082630D">
      <w:pPr>
        <w:pStyle w:val="BTBullet1"/>
      </w:pPr>
      <w:r w:rsidRPr="00651FD8">
        <w:t>New Act of 18 June 2013 on the creation of a Family and Youth Tribunal (into force on 1 September 2014)</w:t>
      </w:r>
    </w:p>
    <w:p w:rsidR="0082630D" w:rsidRDefault="0082630D" w:rsidP="0082630D">
      <w:pPr>
        <w:pStyle w:val="BTBullet1"/>
      </w:pPr>
      <w:r>
        <w:t>Act of 24 June 2013 on municipal administrative sanctions</w:t>
      </w:r>
    </w:p>
    <w:p w:rsidR="0082630D" w:rsidRDefault="0082630D" w:rsidP="0082630D">
      <w:pPr>
        <w:pStyle w:val="BTBullet1"/>
      </w:pPr>
      <w:r w:rsidRPr="002E7C34">
        <w:t>Act of 15 May 2012 on temporary prohibition of residence in cases of domestic violence</w:t>
      </w:r>
    </w:p>
    <w:p w:rsidR="0082630D" w:rsidRDefault="0082630D" w:rsidP="0082630D">
      <w:pPr>
        <w:pStyle w:val="BTBullet1"/>
      </w:pPr>
      <w:r w:rsidRPr="00C95A4C">
        <w:t>Royal Decree of 26 October 2007 establishing the proceedings fee</w:t>
      </w:r>
      <w:r>
        <w:t>s</w:t>
      </w:r>
    </w:p>
    <w:p w:rsidR="0082630D" w:rsidRDefault="0082630D" w:rsidP="0082630D">
      <w:pPr>
        <w:pStyle w:val="BTBullet1"/>
      </w:pPr>
      <w:r w:rsidRPr="00CB101A">
        <w:t>Anti-discrimination Act of 10 May 2007</w:t>
      </w:r>
    </w:p>
    <w:p w:rsidR="0082630D" w:rsidRDefault="0082630D" w:rsidP="0082630D">
      <w:pPr>
        <w:pStyle w:val="BTBullet1"/>
      </w:pPr>
      <w:r w:rsidRPr="00096DEA">
        <w:t>Act of 12 January 2007 on the reception of asylum-seekers and other categories of non-nationals</w:t>
      </w:r>
    </w:p>
    <w:p w:rsidR="0082630D" w:rsidRDefault="0082630D" w:rsidP="0082630D">
      <w:pPr>
        <w:pStyle w:val="BTBullet1"/>
      </w:pPr>
      <w:r w:rsidRPr="00260AF0">
        <w:t>Royal Decree of 21 December 2006 on the procedure before the C</w:t>
      </w:r>
      <w:r>
        <w:t>ouncil of Foreigners Litigation</w:t>
      </w:r>
    </w:p>
    <w:p w:rsidR="0082630D" w:rsidRDefault="0082630D" w:rsidP="0082630D">
      <w:pPr>
        <w:pStyle w:val="BTBullet1"/>
      </w:pPr>
      <w:r w:rsidRPr="00035EB9">
        <w:t>Royal Decree of 30 November 2006 determining the procedure in cassation before the Council of State</w:t>
      </w:r>
    </w:p>
    <w:p w:rsidR="0082630D" w:rsidRDefault="0082630D" w:rsidP="0082630D">
      <w:pPr>
        <w:pStyle w:val="BTBullet1"/>
      </w:pPr>
      <w:r w:rsidRPr="00AD25B7">
        <w:t xml:space="preserve">Royal Decree of 1 April 2003 on the composition and functioning of the Federal Commission on Patient Rights </w:t>
      </w:r>
    </w:p>
    <w:p w:rsidR="0082630D" w:rsidRDefault="0082630D" w:rsidP="0082630D">
      <w:pPr>
        <w:pStyle w:val="BTBullet1"/>
      </w:pPr>
      <w:r w:rsidRPr="00C72091">
        <w:t>Royal Decree of 22 December 2003 implementing Title XIII, Chapter 6 of the Law Programme of 24 December 2002 on the guardianship of unaccompanied foreign minors</w:t>
      </w:r>
    </w:p>
    <w:p w:rsidR="0082630D" w:rsidRDefault="0082630D" w:rsidP="0082630D">
      <w:pPr>
        <w:pStyle w:val="BTBullet1"/>
      </w:pPr>
      <w:r w:rsidRPr="000E59F3">
        <w:t>Royal Decree of 18 December 2003 on the conditions for full or p</w:t>
      </w:r>
      <w:r>
        <w:t>artial free secondary legal aid</w:t>
      </w:r>
    </w:p>
    <w:p w:rsidR="0082630D" w:rsidRDefault="0082630D" w:rsidP="0082630D">
      <w:pPr>
        <w:pStyle w:val="BTBullet1"/>
      </w:pPr>
      <w:r w:rsidRPr="000D7309">
        <w:t>Law-Programme of 24 December 2002</w:t>
      </w:r>
    </w:p>
    <w:p w:rsidR="0082630D" w:rsidRDefault="0082630D" w:rsidP="0082630D">
      <w:pPr>
        <w:pStyle w:val="BTBullet1"/>
      </w:pPr>
      <w:r w:rsidRPr="00096DEA">
        <w:t>Programme Law of 24 December 2002 on guardianship of unaccompanied foreign minors</w:t>
      </w:r>
    </w:p>
    <w:p w:rsidR="0082630D" w:rsidRDefault="0082630D" w:rsidP="0082630D">
      <w:pPr>
        <w:pStyle w:val="BTBullet1"/>
      </w:pPr>
      <w:r w:rsidRPr="00AD25B7">
        <w:t>Act of 22 Au</w:t>
      </w:r>
      <w:r>
        <w:t>gust 2002 on patient rights</w:t>
      </w:r>
    </w:p>
    <w:p w:rsidR="0082630D" w:rsidRDefault="0082630D" w:rsidP="0082630D">
      <w:pPr>
        <w:pStyle w:val="BTBullet1"/>
      </w:pPr>
      <w:r w:rsidRPr="004C03F6">
        <w:t>Act of 21 December 1998 on safety during football matches</w:t>
      </w:r>
    </w:p>
    <w:p w:rsidR="0082630D" w:rsidRDefault="0082630D" w:rsidP="0082630D">
      <w:pPr>
        <w:pStyle w:val="BTBullet1"/>
      </w:pPr>
      <w:r w:rsidRPr="002E7C34">
        <w:t>Act of 30 June 1994 on copyrights and related rights</w:t>
      </w:r>
    </w:p>
    <w:p w:rsidR="0082630D" w:rsidRDefault="0082630D" w:rsidP="0082630D">
      <w:pPr>
        <w:pStyle w:val="BTBullet1"/>
      </w:pPr>
      <w:r w:rsidRPr="00317A32">
        <w:t>Act of 11 April 1994 on the publicity of administrative authorities</w:t>
      </w:r>
    </w:p>
    <w:p w:rsidR="0082630D" w:rsidRDefault="0082630D" w:rsidP="0082630D">
      <w:pPr>
        <w:pStyle w:val="BTBullet1"/>
      </w:pPr>
      <w:r w:rsidRPr="006F6128">
        <w:t>Act of 8 December 1992 on the protection of private life regarding the treatment of personal data</w:t>
      </w:r>
      <w:r w:rsidRPr="00317A32">
        <w:t xml:space="preserve"> </w:t>
      </w:r>
    </w:p>
    <w:p w:rsidR="0082630D" w:rsidRDefault="0082630D" w:rsidP="0082630D">
      <w:pPr>
        <w:pStyle w:val="BTBullet1"/>
      </w:pPr>
      <w:r w:rsidRPr="007F3767">
        <w:t>Act of 5 August 1992 on the functions of the police</w:t>
      </w:r>
    </w:p>
    <w:p w:rsidR="0082630D" w:rsidRDefault="0082630D" w:rsidP="0082630D">
      <w:pPr>
        <w:pStyle w:val="BTBullet1"/>
      </w:pPr>
      <w:r>
        <w:t>Act of 26 June 1990 on the protection of mentally ill persons</w:t>
      </w:r>
    </w:p>
    <w:p w:rsidR="0082630D" w:rsidRPr="002943E2" w:rsidRDefault="0082630D" w:rsidP="0082630D">
      <w:pPr>
        <w:pStyle w:val="BTBullet1"/>
      </w:pPr>
      <w:r w:rsidRPr="00842E37">
        <w:t>Act of 15 December 1980 on the access to territory, stay, establishment and expulsion of foreigners</w:t>
      </w:r>
    </w:p>
    <w:p w:rsidR="0082630D" w:rsidRPr="00AF32C2" w:rsidRDefault="0082630D" w:rsidP="0082630D">
      <w:pPr>
        <w:pStyle w:val="BTBullet1"/>
      </w:pPr>
      <w:r w:rsidRPr="00AF32C2">
        <w:t>Coordinated Laws of 12 January 1973 on the Council of State</w:t>
      </w:r>
    </w:p>
    <w:p w:rsidR="0082630D" w:rsidRDefault="0082630D" w:rsidP="0082630D">
      <w:pPr>
        <w:pStyle w:val="BTBullet1"/>
      </w:pPr>
      <w:r w:rsidRPr="00AF32C2">
        <w:t>The Act of 8 April 1965 on the protection of youth and the care of minors who committed acts qualified as offence</w:t>
      </w:r>
    </w:p>
    <w:p w:rsidR="0082630D" w:rsidRPr="00AF32C2" w:rsidRDefault="0082630D" w:rsidP="0082630D">
      <w:pPr>
        <w:pStyle w:val="BTBullet1"/>
      </w:pPr>
      <w:r w:rsidRPr="00096DEA">
        <w:t>Decree the regent of 23 August 1948 determining the procedure before the section of administrative litigation of the Council of State</w:t>
      </w:r>
      <w:r w:rsidRPr="00AF32C2">
        <w:t xml:space="preserve"> </w:t>
      </w:r>
    </w:p>
    <w:p w:rsidR="0082630D" w:rsidRPr="00AF32C2" w:rsidRDefault="0082630D" w:rsidP="0082630D">
      <w:pPr>
        <w:widowControl w:val="0"/>
        <w:spacing w:before="0" w:after="0" w:line="240" w:lineRule="auto"/>
      </w:pPr>
    </w:p>
    <w:p w:rsidR="0082630D" w:rsidRPr="00AF32C2" w:rsidRDefault="0082630D" w:rsidP="0082630D">
      <w:pPr>
        <w:pStyle w:val="AnnexH2"/>
      </w:pPr>
      <w:r w:rsidRPr="00AF32C2">
        <w:t>Community</w:t>
      </w:r>
      <w:r>
        <w:t>/Regional</w:t>
      </w:r>
      <w:r w:rsidRPr="00AF32C2">
        <w:t xml:space="preserve"> legislation </w:t>
      </w:r>
    </w:p>
    <w:p w:rsidR="0082630D" w:rsidRDefault="0082630D" w:rsidP="0082630D">
      <w:pPr>
        <w:pStyle w:val="BTBullet1"/>
        <w:rPr>
          <w:rStyle w:val="Hyperlink"/>
          <w:rFonts w:cs="Arial"/>
        </w:rPr>
      </w:pPr>
      <w:r w:rsidRPr="00317A32">
        <w:t>Walloon Code of Local Democracy and Decentralisation</w:t>
      </w:r>
      <w:r w:rsidRPr="00182DA5">
        <w:rPr>
          <w:rStyle w:val="Hyperlink"/>
          <w:rFonts w:cs="Arial"/>
        </w:rPr>
        <w:t xml:space="preserve"> </w:t>
      </w:r>
    </w:p>
    <w:p w:rsidR="0082630D" w:rsidRDefault="0082630D" w:rsidP="0082630D">
      <w:pPr>
        <w:pStyle w:val="BTBullet1"/>
      </w:pPr>
      <w:r w:rsidRPr="00AF32C2">
        <w:rPr>
          <w:rStyle w:val="Hyperlink"/>
          <w:rFonts w:cs="Arial"/>
        </w:rPr>
        <w:t xml:space="preserve">Flemish Community Decree of 12 July 2013 on integrated youth </w:t>
      </w:r>
      <w:r>
        <w:rPr>
          <w:rStyle w:val="Hyperlink"/>
          <w:rFonts w:cs="Arial"/>
        </w:rPr>
        <w:t>welfare</w:t>
      </w:r>
    </w:p>
    <w:p w:rsidR="0082630D" w:rsidRDefault="0082630D" w:rsidP="0082630D">
      <w:pPr>
        <w:pStyle w:val="BTBullet1"/>
      </w:pPr>
      <w:r w:rsidRPr="00AF32C2">
        <w:t>Flemish Community Decree of 7 March 2008 on special youth assistance</w:t>
      </w:r>
    </w:p>
    <w:p w:rsidR="0082630D" w:rsidRDefault="0082630D" w:rsidP="0082630D">
      <w:pPr>
        <w:pStyle w:val="BTBullet1"/>
      </w:pPr>
      <w:r w:rsidRPr="00CB101A">
        <w:t xml:space="preserve">French Community Decree of 12 December 2008 combatting certain forms of discrimination </w:t>
      </w:r>
    </w:p>
    <w:p w:rsidR="0082630D" w:rsidRDefault="0082630D" w:rsidP="0082630D">
      <w:pPr>
        <w:pStyle w:val="BTBullet1"/>
      </w:pPr>
      <w:r w:rsidRPr="00CB101A">
        <w:t>Flemish Region Decree of 10 July 2008 on equal opportunities and treatment</w:t>
      </w:r>
    </w:p>
    <w:p w:rsidR="0082630D" w:rsidRPr="00AF32C2" w:rsidRDefault="0082630D" w:rsidP="0082630D">
      <w:pPr>
        <w:pStyle w:val="BTBullet1"/>
      </w:pPr>
      <w:r w:rsidRPr="00AF32C2">
        <w:t>German Community Decree of 19 May 2008 on youth assistance</w:t>
      </w:r>
    </w:p>
    <w:p w:rsidR="0082630D" w:rsidRPr="00AF32C2" w:rsidRDefault="0082630D" w:rsidP="0082630D">
      <w:pPr>
        <w:pStyle w:val="BTBullet1"/>
      </w:pPr>
      <w:r w:rsidRPr="00AF32C2">
        <w:t>Brussels Capital Region Order of 29 April 2004 on youth assistance</w:t>
      </w:r>
    </w:p>
    <w:p w:rsidR="0082630D" w:rsidRDefault="0082630D" w:rsidP="0082630D">
      <w:pPr>
        <w:pStyle w:val="BTBullet1"/>
      </w:pPr>
      <w:r w:rsidRPr="00317A32">
        <w:lastRenderedPageBreak/>
        <w:t xml:space="preserve">Decree of the Flemish Community of 26 March 2004 on the publicity of administrative authorities </w:t>
      </w:r>
    </w:p>
    <w:p w:rsidR="0082630D" w:rsidRDefault="0082630D" w:rsidP="0082630D">
      <w:pPr>
        <w:pStyle w:val="BTBullet1"/>
      </w:pPr>
      <w:r w:rsidRPr="00AF32C2">
        <w:t xml:space="preserve">Flemish Community Decree of 7 May 2004 on the minor legal status in the integrated youth </w:t>
      </w:r>
      <w:r>
        <w:t>services</w:t>
      </w:r>
    </w:p>
    <w:p w:rsidR="0082630D" w:rsidRDefault="0082630D" w:rsidP="0082630D">
      <w:pPr>
        <w:pStyle w:val="BTBullet1"/>
      </w:pPr>
      <w:r w:rsidRPr="004068E8">
        <w:t>Decree of the French Community of 24 July 1997 on the priority missions of primary and secondary education</w:t>
      </w:r>
      <w:r w:rsidRPr="00317A32">
        <w:t xml:space="preserve"> </w:t>
      </w:r>
    </w:p>
    <w:p w:rsidR="0082630D" w:rsidRPr="00AF32C2" w:rsidRDefault="0082630D" w:rsidP="0082630D">
      <w:pPr>
        <w:pStyle w:val="BTBullet1"/>
      </w:pPr>
      <w:r w:rsidRPr="00317A32">
        <w:t>Ordinance of the Brussels-Capital Region of 30 March 1995 on the publicity of administrative authorities</w:t>
      </w:r>
    </w:p>
    <w:p w:rsidR="0082630D" w:rsidRPr="00404FE4" w:rsidRDefault="0082630D" w:rsidP="0082630D">
      <w:pPr>
        <w:pStyle w:val="BTBullet1"/>
      </w:pPr>
      <w:r w:rsidRPr="00AF32C2">
        <w:t>French Community Decree of 4 March 1991 on youth care</w:t>
      </w:r>
    </w:p>
    <w:p w:rsidR="00374E53" w:rsidRDefault="00374E53" w:rsidP="00714D98">
      <w:pPr>
        <w:pStyle w:val="BodyText"/>
        <w:ind w:left="0"/>
      </w:pPr>
    </w:p>
    <w:p w:rsidR="00404FE4" w:rsidRPr="00404FE4" w:rsidRDefault="00404FE4" w:rsidP="00404FE4"/>
    <w:sectPr w:rsidR="00404FE4" w:rsidRPr="00404FE4" w:rsidSect="00660C9C">
      <w:footerReference w:type="default" r:id="rId175"/>
      <w:pgSz w:w="11907" w:h="16840" w:code="9"/>
      <w:pgMar w:top="1848" w:right="1418" w:bottom="1021" w:left="1418" w:header="680"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13B1" w:rsidRDefault="007413B1" w:rsidP="001E33FA">
      <w:pPr>
        <w:spacing w:after="0" w:line="240" w:lineRule="auto"/>
      </w:pPr>
      <w:r>
        <w:separator/>
      </w:r>
    </w:p>
  </w:endnote>
  <w:endnote w:type="continuationSeparator" w:id="0">
    <w:p w:rsidR="007413B1" w:rsidRDefault="007413B1" w:rsidP="001E3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sig w:usb0="00000001" w:usb1="08070000" w:usb2="00000010" w:usb3="00000000" w:csb0="00020000" w:csb1="00000000"/>
  </w:font>
  <w:font w:name="DejaVu Sans">
    <w:charset w:val="00"/>
    <w:family w:val="swiss"/>
    <w:pitch w:val="variable"/>
    <w:sig w:usb0="E7003EFF" w:usb1="D200FDFF" w:usb2="00042029" w:usb3="00000000" w:csb0="800001FF" w:csb1="00000000"/>
  </w:font>
  <w:font w:name="Lohit Hindi">
    <w:altName w:val="MS Mincho"/>
    <w:charset w:val="80"/>
    <w:family w:val="auto"/>
    <w:pitch w:val="default"/>
    <w:sig w:usb0="00000001" w:usb1="08070000" w:usb2="00000010" w:usb3="00000000" w:csb0="00020000"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0A1E" w:rsidRDefault="00F60A1E" w:rsidP="006D75C3">
    <w:pPr>
      <w:pStyle w:val="Header"/>
      <w:jc w:val="right"/>
    </w:pPr>
  </w:p>
  <w:p w:rsidR="00F60A1E" w:rsidRPr="00943B80" w:rsidRDefault="00F60A1E" w:rsidP="006D75C3">
    <w:pPr>
      <w:pStyle w:val="Footer"/>
      <w:rPr>
        <w:sz w:val="16"/>
        <w:szCs w:val="16"/>
      </w:rPr>
    </w:pPr>
    <w:r w:rsidRPr="00943B80">
      <w:rPr>
        <w:sz w:val="16"/>
        <w:szCs w:val="16"/>
      </w:rPr>
      <w:t xml:space="preserve">This National Report has been prepared by </w:t>
    </w:r>
    <w:r>
      <w:rPr>
        <w:sz w:val="16"/>
        <w:szCs w:val="16"/>
      </w:rPr>
      <w:t>Nathalie Meurens with research support of Doménique Lorusso</w:t>
    </w:r>
    <w:r w:rsidRPr="00943B80">
      <w:rPr>
        <w:sz w:val="16"/>
        <w:szCs w:val="16"/>
      </w:rPr>
      <w:t xml:space="preserve"> for Milieu Ltd in partnership with ICF under Contract No JUST/2011/CHIL/PR/0147/A4 with the European Commission, DG Justice. </w:t>
    </w:r>
  </w:p>
  <w:p w:rsidR="00F60A1E" w:rsidRPr="00943B80" w:rsidRDefault="00F60A1E" w:rsidP="006D75C3">
    <w:pPr>
      <w:pStyle w:val="Footer"/>
      <w:rPr>
        <w:sz w:val="16"/>
        <w:szCs w:val="16"/>
      </w:rPr>
    </w:pPr>
  </w:p>
  <w:p w:rsidR="00F60A1E" w:rsidRPr="00943B80" w:rsidRDefault="00F60A1E" w:rsidP="006D75C3">
    <w:pPr>
      <w:pStyle w:val="Footer"/>
      <w:rPr>
        <w:sz w:val="16"/>
        <w:szCs w:val="16"/>
      </w:rPr>
    </w:pPr>
    <w:r w:rsidRPr="00943B80">
      <w:rPr>
        <w:sz w:val="16"/>
        <w:szCs w:val="16"/>
      </w:rPr>
      <w:t>The information and views set out in this publication are those of the author(s) and do not necessarily reflect the official opinion of the European Union. Neither the European Union institutions and bodies nor any person acting on their behalf may be held responsible for the use which may be made of the information contained therein.</w:t>
    </w:r>
  </w:p>
  <w:p w:rsidR="00F60A1E" w:rsidRPr="00943B80" w:rsidRDefault="00F60A1E" w:rsidP="006D75C3">
    <w:pPr>
      <w:pStyle w:val="Footer"/>
      <w:rPr>
        <w:sz w:val="16"/>
        <w:szCs w:val="16"/>
      </w:rPr>
    </w:pPr>
  </w:p>
  <w:p w:rsidR="00F60A1E" w:rsidRPr="00943B80" w:rsidRDefault="00F60A1E" w:rsidP="006D75C3">
    <w:pPr>
      <w:pStyle w:val="Footer"/>
      <w:rPr>
        <w:sz w:val="16"/>
        <w:szCs w:val="16"/>
      </w:rPr>
    </w:pPr>
    <w:r w:rsidRPr="00943B80">
      <w:rPr>
        <w:sz w:val="16"/>
        <w:szCs w:val="16"/>
      </w:rPr>
      <w:t>Temporary copyright clause pending verification with regard to third party citations:</w:t>
    </w:r>
  </w:p>
  <w:p w:rsidR="00F60A1E" w:rsidRPr="006D75C3" w:rsidRDefault="00830AE1" w:rsidP="006D75C3">
    <w:pPr>
      <w:rPr>
        <w:rFonts w:cs="Arial"/>
        <w:sz w:val="16"/>
        <w:szCs w:val="16"/>
      </w:rPr>
    </w:pPr>
    <w:r>
      <w:rPr>
        <w:sz w:val="16"/>
        <w:szCs w:val="16"/>
      </w:rPr>
      <w:t>© European Union, 2015</w:t>
    </w:r>
    <w:r w:rsidR="00F60A1E" w:rsidRPr="00943B80">
      <w:rPr>
        <w:sz w:val="16"/>
        <w:szCs w:val="16"/>
      </w:rPr>
      <w:t>.  Reproduction is authorised provided the source is acknowledged.</w:t>
    </w:r>
    <w:r w:rsidR="00F60A1E">
      <w:rPr>
        <w:sz w:val="16"/>
        <w:szCs w:val="16"/>
      </w:rPr>
      <w:t xml:space="preserve"> </w:t>
    </w:r>
    <w:r w:rsidR="00F60A1E" w:rsidRPr="008A3945">
      <w:rPr>
        <w:rFonts w:cs="Arial"/>
        <w:sz w:val="16"/>
        <w:szCs w:val="16"/>
      </w:rPr>
      <w:t>The reproduction of the third-party textual or artistic material included is prohibited.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778073"/>
      <w:docPartObj>
        <w:docPartGallery w:val="Page Numbers (Bottom of Page)"/>
        <w:docPartUnique/>
      </w:docPartObj>
    </w:sdtPr>
    <w:sdtEndPr>
      <w:rPr>
        <w:noProof/>
      </w:rPr>
    </w:sdtEndPr>
    <w:sdtContent>
      <w:p w:rsidR="00F60A1E" w:rsidRDefault="00F60A1E">
        <w:pPr>
          <w:pStyle w:val="Footer"/>
          <w:jc w:val="right"/>
        </w:pPr>
        <w:r>
          <w:fldChar w:fldCharType="begin"/>
        </w:r>
        <w:r>
          <w:instrText xml:space="preserve"> PAGE   \* MERGEFORMAT </w:instrText>
        </w:r>
        <w:r>
          <w:fldChar w:fldCharType="separate"/>
        </w:r>
        <w:r w:rsidR="00537401">
          <w:rPr>
            <w:noProof/>
          </w:rPr>
          <w:t>iv</w:t>
        </w:r>
        <w:r>
          <w:rPr>
            <w:noProof/>
          </w:rPr>
          <w:fldChar w:fldCharType="end"/>
        </w:r>
      </w:p>
    </w:sdtContent>
  </w:sdt>
  <w:p w:rsidR="00F60A1E" w:rsidRDefault="00F60A1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0A1E" w:rsidRDefault="00F60A1E" w:rsidP="004F5174">
    <w:pPr>
      <w:pStyle w:val="Footer"/>
      <w:jc w:val="center"/>
      <w:rPr>
        <w:i/>
        <w:iCs/>
      </w:rPr>
    </w:pPr>
  </w:p>
  <w:p w:rsidR="00F60A1E" w:rsidRDefault="00F60A1E" w:rsidP="004F5174">
    <w:pPr>
      <w:pStyle w:val="Footer"/>
      <w:jc w:val="center"/>
      <w:rPr>
        <w:i/>
        <w:iCs/>
      </w:rPr>
    </w:pPr>
  </w:p>
  <w:p w:rsidR="00F60A1E" w:rsidRDefault="00F60A1E" w:rsidP="004F5174">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9971039"/>
      <w:docPartObj>
        <w:docPartGallery w:val="Page Numbers (Bottom of Page)"/>
        <w:docPartUnique/>
      </w:docPartObj>
    </w:sdtPr>
    <w:sdtEndPr>
      <w:rPr>
        <w:noProof/>
      </w:rPr>
    </w:sdtEndPr>
    <w:sdtContent>
      <w:p w:rsidR="00F60A1E" w:rsidRDefault="00F60A1E">
        <w:pPr>
          <w:pStyle w:val="Footer"/>
          <w:jc w:val="right"/>
        </w:pPr>
        <w:r>
          <w:fldChar w:fldCharType="begin"/>
        </w:r>
        <w:r>
          <w:instrText xml:space="preserve"> PAGE   \* MERGEFORMAT </w:instrText>
        </w:r>
        <w:r>
          <w:fldChar w:fldCharType="separate"/>
        </w:r>
        <w:r w:rsidR="00537401">
          <w:rPr>
            <w:noProof/>
          </w:rPr>
          <w:t>2</w:t>
        </w:r>
        <w:r>
          <w:rPr>
            <w:noProof/>
          </w:rPr>
          <w:fldChar w:fldCharType="end"/>
        </w:r>
      </w:p>
    </w:sdtContent>
  </w:sdt>
  <w:p w:rsidR="00F60A1E" w:rsidRDefault="00F60A1E">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8324374"/>
      <w:docPartObj>
        <w:docPartGallery w:val="Page Numbers (Bottom of Page)"/>
        <w:docPartUnique/>
      </w:docPartObj>
    </w:sdtPr>
    <w:sdtEndPr>
      <w:rPr>
        <w:noProof/>
      </w:rPr>
    </w:sdtEndPr>
    <w:sdtContent>
      <w:p w:rsidR="00F60A1E" w:rsidRDefault="00F60A1E">
        <w:pPr>
          <w:pStyle w:val="Footer"/>
          <w:jc w:val="right"/>
        </w:pPr>
        <w:r>
          <w:fldChar w:fldCharType="begin"/>
        </w:r>
        <w:r>
          <w:instrText xml:space="preserve"> PAGE   \* MERGEFORMAT </w:instrText>
        </w:r>
        <w:r>
          <w:fldChar w:fldCharType="separate"/>
        </w:r>
        <w:r w:rsidR="00537401">
          <w:rPr>
            <w:noProof/>
          </w:rPr>
          <w:t>3</w:t>
        </w:r>
        <w:r>
          <w:rPr>
            <w:noProof/>
          </w:rPr>
          <w:fldChar w:fldCharType="end"/>
        </w:r>
      </w:p>
    </w:sdtContent>
  </w:sdt>
  <w:p w:rsidR="00F60A1E" w:rsidRDefault="00F60A1E" w:rsidP="00660C9C">
    <w:pPr>
      <w:pStyle w:val="FooterLand"/>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0A1E" w:rsidRDefault="00227001">
    <w:pPr>
      <w:pStyle w:val="Footer"/>
    </w:pPr>
    <w:fldSimple w:instr=" DOCVARIABLE  FooterVersion  \* MERGEFORMAT ">
      <w:r w:rsidR="00F60A1E">
        <w:t xml:space="preserve"> </w:t>
      </w:r>
    </w:fldSimple>
    <w:r w:rsidR="00F60A1E">
      <w:tab/>
    </w:r>
    <w:r w:rsidR="00F60A1E">
      <w:fldChar w:fldCharType="begin"/>
    </w:r>
    <w:r w:rsidR="00F60A1E">
      <w:instrText xml:space="preserve"> PAGE   \* MERGEFORMAT </w:instrText>
    </w:r>
    <w:r w:rsidR="00F60A1E">
      <w:fldChar w:fldCharType="separate"/>
    </w:r>
    <w:r w:rsidR="00537401">
      <w:rPr>
        <w:noProof/>
      </w:rPr>
      <w:t>5</w:t>
    </w:r>
    <w:r w:rsidR="00F60A1E">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13B1" w:rsidRDefault="007413B1" w:rsidP="001E33FA">
      <w:pPr>
        <w:spacing w:after="0" w:line="240" w:lineRule="auto"/>
      </w:pPr>
      <w:r>
        <w:separator/>
      </w:r>
    </w:p>
  </w:footnote>
  <w:footnote w:type="continuationSeparator" w:id="0">
    <w:p w:rsidR="007413B1" w:rsidRDefault="007413B1" w:rsidP="001E33FA">
      <w:pPr>
        <w:spacing w:after="0" w:line="240" w:lineRule="auto"/>
      </w:pPr>
      <w:r>
        <w:continuationSeparator/>
      </w:r>
    </w:p>
  </w:footnote>
  <w:footnote w:id="1">
    <w:p w:rsidR="00F60A1E" w:rsidRPr="00FA35D8" w:rsidRDefault="00F60A1E" w:rsidP="00F60A1E">
      <w:pPr>
        <w:pStyle w:val="FootnoteText"/>
        <w:spacing w:after="0"/>
      </w:pPr>
      <w:r>
        <w:rPr>
          <w:rStyle w:val="FootnoteReference"/>
        </w:rPr>
        <w:footnoteRef/>
      </w:r>
      <w:r>
        <w:t xml:space="preserve"> </w:t>
      </w:r>
      <w:r w:rsidRPr="007B5F7C">
        <w:rPr>
          <w:iCs/>
        </w:rPr>
        <w:t xml:space="preserve">This table provides an indicative summary of competent courts and relevant proceedings. However, please check </w:t>
      </w:r>
      <w:hyperlink w:anchor="Section1" w:history="1">
        <w:r w:rsidRPr="00F154B6">
          <w:rPr>
            <w:rStyle w:val="Hyperlink"/>
            <w:iCs/>
          </w:rPr>
          <w:t>Section 1</w:t>
        </w:r>
      </w:hyperlink>
      <w:r w:rsidRPr="007B5F7C">
        <w:rPr>
          <w:iCs/>
        </w:rPr>
        <w:t xml:space="preserve"> for a complete overview of the competent courts or sections/divisions within the competent courts.</w:t>
      </w:r>
    </w:p>
  </w:footnote>
  <w:footnote w:id="2">
    <w:p w:rsidR="00F60A1E" w:rsidRDefault="00F60A1E" w:rsidP="00F60A1E">
      <w:pPr>
        <w:pStyle w:val="FootnoteText"/>
        <w:spacing w:after="0"/>
        <w:rPr>
          <w:rFonts w:cs="Arial"/>
          <w:lang w:val="en-US"/>
        </w:rPr>
      </w:pPr>
      <w:r>
        <w:rPr>
          <w:rStyle w:val="FootnoteReference"/>
        </w:rPr>
        <w:footnoteRef/>
      </w:r>
      <w:r>
        <w:t xml:space="preserve"> This study on Children’s involvement in judicial proceedings is composed by three contextual overviews i.e. contextual overview for criminal justice, contextual overview for civil justice, contextual overview for administrative justice. </w:t>
      </w:r>
      <w:r>
        <w:rPr>
          <w:lang w:val="en-US"/>
        </w:rPr>
        <w:t xml:space="preserve">The rules applying to judicial proceedings in the sectors of family and employment are described in the </w:t>
      </w:r>
      <w:r>
        <w:t>contextual overview for civil justice</w:t>
      </w:r>
      <w:r>
        <w:rPr>
          <w:lang w:val="en-US"/>
        </w:rPr>
        <w:t>.</w:t>
      </w:r>
    </w:p>
  </w:footnote>
  <w:footnote w:id="3">
    <w:p w:rsidR="00F60A1E" w:rsidRDefault="00F60A1E" w:rsidP="00F60A1E">
      <w:pPr>
        <w:pStyle w:val="FootnoteText"/>
        <w:spacing w:after="0"/>
      </w:pPr>
      <w:r>
        <w:rPr>
          <w:rStyle w:val="FootnoteReference"/>
        </w:rPr>
        <w:footnoteRef/>
      </w:r>
      <w:r>
        <w:t xml:space="preserve"> (MACR) Minimum Age of Criminal Responsibility – see </w:t>
      </w:r>
      <w:hyperlink r:id="rId1" w:history="1">
        <w:r w:rsidRPr="00E04F65">
          <w:rPr>
            <w:rStyle w:val="Hyperlink"/>
          </w:rPr>
          <w:t xml:space="preserve">Table 3.1 of the EU Summary of contextual overviews on children's involvement in criminal judicial proceedings </w:t>
        </w:r>
      </w:hyperlink>
      <w:r>
        <w:t xml:space="preserve"> on MACR in EU28 as at 1</w:t>
      </w:r>
      <w:r>
        <w:rPr>
          <w:lang w:val="en-US"/>
        </w:rPr>
        <w:t xml:space="preserve"> June </w:t>
      </w:r>
      <w:r>
        <w:t xml:space="preserve">2012. </w:t>
      </w:r>
    </w:p>
  </w:footnote>
  <w:footnote w:id="4">
    <w:p w:rsidR="00F60A1E" w:rsidRPr="006E70D3" w:rsidRDefault="00F60A1E" w:rsidP="00F60A1E">
      <w:pPr>
        <w:pStyle w:val="FootnoteText"/>
        <w:spacing w:after="0"/>
        <w:rPr>
          <w:rFonts w:cs="Arial"/>
          <w:szCs w:val="18"/>
          <w:lang w:val="en-US"/>
        </w:rPr>
      </w:pPr>
      <w:r w:rsidRPr="006E70D3">
        <w:rPr>
          <w:rStyle w:val="FootnoteReference"/>
          <w:rFonts w:cs="Arial"/>
          <w:szCs w:val="18"/>
        </w:rPr>
        <w:footnoteRef/>
      </w:r>
      <w:r w:rsidRPr="006E70D3">
        <w:rPr>
          <w:rFonts w:cs="Arial"/>
          <w:szCs w:val="18"/>
        </w:rPr>
        <w:t xml:space="preserve"> </w:t>
      </w:r>
      <w:r w:rsidRPr="006E70D3">
        <w:rPr>
          <w:rFonts w:cs="Arial"/>
          <w:szCs w:val="18"/>
          <w:lang w:val="en-US"/>
        </w:rPr>
        <w:t>In the French Community, they do not include social assistance, whilst in Flemish Community, the integrated youth care includes the provision of social assistance.</w:t>
      </w:r>
    </w:p>
  </w:footnote>
  <w:footnote w:id="5">
    <w:p w:rsidR="00F60A1E" w:rsidRPr="006E70D3" w:rsidRDefault="00F60A1E" w:rsidP="00F60A1E">
      <w:pPr>
        <w:pStyle w:val="FootnoteText"/>
        <w:spacing w:after="0"/>
        <w:jc w:val="both"/>
        <w:rPr>
          <w:rFonts w:cs="Arial"/>
          <w:szCs w:val="18"/>
        </w:rPr>
      </w:pPr>
      <w:r w:rsidRPr="006E70D3">
        <w:rPr>
          <w:rStyle w:val="FootnoteReference"/>
          <w:rFonts w:cs="Arial"/>
          <w:szCs w:val="18"/>
        </w:rPr>
        <w:footnoteRef/>
      </w:r>
      <w:r w:rsidRPr="006E70D3">
        <w:rPr>
          <w:rFonts w:cs="Arial"/>
          <w:szCs w:val="18"/>
        </w:rPr>
        <w:t xml:space="preserve"> Legislation is available in </w:t>
      </w:r>
      <w:hyperlink r:id="rId2" w:history="1">
        <w:r w:rsidRPr="006E70D3">
          <w:rPr>
            <w:rStyle w:val="Hyperlink"/>
            <w:rFonts w:cs="Arial"/>
            <w:szCs w:val="18"/>
          </w:rPr>
          <w:t>Dutch</w:t>
        </w:r>
      </w:hyperlink>
      <w:r w:rsidRPr="006E70D3">
        <w:rPr>
          <w:rFonts w:cs="Arial"/>
          <w:szCs w:val="18"/>
        </w:rPr>
        <w:t xml:space="preserve"> and </w:t>
      </w:r>
      <w:hyperlink r:id="rId3" w:history="1">
        <w:r w:rsidRPr="006E70D3">
          <w:rPr>
            <w:rStyle w:val="Hyperlink"/>
            <w:rFonts w:cs="Arial"/>
            <w:szCs w:val="18"/>
          </w:rPr>
          <w:t>French</w:t>
        </w:r>
      </w:hyperlink>
      <w:r w:rsidRPr="006E70D3">
        <w:rPr>
          <w:rFonts w:cs="Arial"/>
          <w:szCs w:val="18"/>
        </w:rPr>
        <w:t xml:space="preserve"> via the ejustice search engine.</w:t>
      </w:r>
    </w:p>
  </w:footnote>
  <w:footnote w:id="6">
    <w:p w:rsidR="00F60A1E" w:rsidRPr="00F9627C" w:rsidRDefault="00F60A1E" w:rsidP="00F60A1E">
      <w:pPr>
        <w:pStyle w:val="FootnoteText"/>
        <w:spacing w:after="0"/>
        <w:rPr>
          <w:rFonts w:cs="Arial"/>
          <w:sz w:val="16"/>
          <w:szCs w:val="16"/>
          <w:lang w:val="en-US"/>
        </w:rPr>
      </w:pPr>
      <w:r w:rsidRPr="006E70D3">
        <w:rPr>
          <w:rStyle w:val="FootnoteReference"/>
          <w:rFonts w:cs="Arial"/>
          <w:szCs w:val="18"/>
        </w:rPr>
        <w:footnoteRef/>
      </w:r>
      <w:r w:rsidRPr="006E70D3">
        <w:rPr>
          <w:rFonts w:cs="Arial"/>
          <w:szCs w:val="18"/>
        </w:rPr>
        <w:t xml:space="preserve"> </w:t>
      </w:r>
      <w:r w:rsidRPr="006E70D3">
        <w:rPr>
          <w:rFonts w:cs="Arial"/>
          <w:szCs w:val="18"/>
          <w:lang w:val="en-US"/>
        </w:rPr>
        <w:t xml:space="preserve">Article 2 of the </w:t>
      </w:r>
      <w:hyperlink r:id="rId4" w:history="1">
        <w:r w:rsidRPr="006E70D3">
          <w:rPr>
            <w:rStyle w:val="Hyperlink"/>
            <w:rFonts w:cs="Arial"/>
            <w:szCs w:val="18"/>
          </w:rPr>
          <w:t>Judicial Code</w:t>
        </w:r>
      </w:hyperlink>
      <w:r w:rsidRPr="006E70D3">
        <w:rPr>
          <w:rFonts w:cs="Arial"/>
          <w:szCs w:val="18"/>
          <w:lang w:val="en-US"/>
        </w:rPr>
        <w:t xml:space="preserve"> and Council of State decision of 4 March 2008, No 180.510.</w:t>
      </w:r>
    </w:p>
  </w:footnote>
  <w:footnote w:id="7">
    <w:p w:rsidR="00F60A1E" w:rsidRPr="006E70D3" w:rsidRDefault="00F60A1E" w:rsidP="00F60A1E">
      <w:pPr>
        <w:pStyle w:val="FootnoteText"/>
        <w:spacing w:after="0"/>
        <w:jc w:val="both"/>
        <w:rPr>
          <w:rFonts w:cs="Arial"/>
          <w:szCs w:val="18"/>
        </w:rPr>
      </w:pPr>
      <w:r w:rsidRPr="006E70D3">
        <w:rPr>
          <w:rStyle w:val="FootnoteReference"/>
          <w:rFonts w:cs="Arial"/>
          <w:szCs w:val="18"/>
        </w:rPr>
        <w:footnoteRef/>
      </w:r>
      <w:r w:rsidRPr="006E70D3">
        <w:rPr>
          <w:rFonts w:cs="Arial"/>
          <w:szCs w:val="18"/>
        </w:rPr>
        <w:t xml:space="preserve"> Article 142 of the </w:t>
      </w:r>
      <w:hyperlink r:id="rId5" w:history="1">
        <w:r w:rsidRPr="006E70D3">
          <w:rPr>
            <w:rStyle w:val="Hyperlink"/>
            <w:rFonts w:cs="Arial"/>
            <w:szCs w:val="18"/>
          </w:rPr>
          <w:t>Constitution</w:t>
        </w:r>
      </w:hyperlink>
      <w:r w:rsidRPr="006E70D3">
        <w:rPr>
          <w:rFonts w:cs="Arial"/>
          <w:szCs w:val="18"/>
          <w:lang w:val="en-US"/>
        </w:rPr>
        <w:t>;</w:t>
      </w:r>
      <w:r w:rsidRPr="006E70D3">
        <w:rPr>
          <w:rFonts w:cs="Arial"/>
          <w:szCs w:val="18"/>
        </w:rPr>
        <w:t> </w:t>
      </w:r>
      <w:r w:rsidRPr="006E70D3">
        <w:rPr>
          <w:rFonts w:cs="Arial"/>
          <w:szCs w:val="18"/>
          <w:lang w:val="en-US"/>
        </w:rPr>
        <w:t xml:space="preserve">the </w:t>
      </w:r>
      <w:hyperlink r:id="rId6" w:history="1">
        <w:r w:rsidRPr="006E70D3">
          <w:rPr>
            <w:rStyle w:val="Hyperlink"/>
            <w:rFonts w:cs="Arial"/>
            <w:szCs w:val="18"/>
            <w:lang w:val="en-US"/>
          </w:rPr>
          <w:t>Constitutional Court</w:t>
        </w:r>
      </w:hyperlink>
      <w:r w:rsidRPr="006E70D3">
        <w:rPr>
          <w:rFonts w:cs="Arial"/>
          <w:szCs w:val="18"/>
        </w:rPr>
        <w:t>.</w:t>
      </w:r>
    </w:p>
  </w:footnote>
  <w:footnote w:id="8">
    <w:p w:rsidR="00F60A1E" w:rsidRPr="006E70D3" w:rsidRDefault="00F60A1E" w:rsidP="00F60A1E">
      <w:pPr>
        <w:pStyle w:val="FootnoteText"/>
        <w:spacing w:after="0"/>
        <w:jc w:val="both"/>
        <w:rPr>
          <w:rFonts w:cs="Arial"/>
          <w:szCs w:val="18"/>
        </w:rPr>
      </w:pPr>
      <w:r w:rsidRPr="006E70D3">
        <w:rPr>
          <w:rStyle w:val="FootnoteReference"/>
          <w:rFonts w:cs="Arial"/>
          <w:szCs w:val="18"/>
        </w:rPr>
        <w:footnoteRef/>
      </w:r>
      <w:r w:rsidRPr="006E70D3">
        <w:rPr>
          <w:rFonts w:cs="Arial"/>
          <w:szCs w:val="18"/>
        </w:rPr>
        <w:t xml:space="preserve"> Article 160 of the </w:t>
      </w:r>
      <w:hyperlink r:id="rId7" w:history="1">
        <w:r w:rsidRPr="006E70D3">
          <w:rPr>
            <w:rStyle w:val="Hyperlink"/>
            <w:rFonts w:cs="Arial"/>
            <w:szCs w:val="18"/>
          </w:rPr>
          <w:t>Constitution</w:t>
        </w:r>
      </w:hyperlink>
      <w:r w:rsidRPr="006E70D3">
        <w:rPr>
          <w:rFonts w:cs="Arial"/>
          <w:szCs w:val="18"/>
          <w:lang w:val="en-US"/>
        </w:rPr>
        <w:t xml:space="preserve">; the </w:t>
      </w:r>
      <w:hyperlink r:id="rId8" w:history="1">
        <w:r w:rsidRPr="006E70D3">
          <w:rPr>
            <w:rStyle w:val="Hyperlink"/>
            <w:rFonts w:cs="Arial"/>
            <w:szCs w:val="18"/>
            <w:lang w:val="en-US"/>
          </w:rPr>
          <w:t>Council of State</w:t>
        </w:r>
      </w:hyperlink>
      <w:r w:rsidRPr="006E70D3">
        <w:rPr>
          <w:rFonts w:cs="Arial"/>
          <w:szCs w:val="18"/>
        </w:rPr>
        <w:t>.</w:t>
      </w:r>
    </w:p>
  </w:footnote>
  <w:footnote w:id="9">
    <w:p w:rsidR="00F60A1E" w:rsidRPr="00A36DEB" w:rsidRDefault="00F60A1E" w:rsidP="00F60A1E">
      <w:pPr>
        <w:pStyle w:val="FootnoteText"/>
        <w:spacing w:after="0"/>
        <w:rPr>
          <w:rFonts w:cs="Arial"/>
        </w:rPr>
      </w:pPr>
      <w:r w:rsidRPr="006E70D3">
        <w:rPr>
          <w:rStyle w:val="FootnoteReference"/>
          <w:rFonts w:cs="Arial"/>
          <w:szCs w:val="18"/>
        </w:rPr>
        <w:footnoteRef/>
      </w:r>
      <w:r w:rsidRPr="006E70D3">
        <w:rPr>
          <w:rFonts w:cs="Arial"/>
          <w:szCs w:val="18"/>
        </w:rPr>
        <w:t xml:space="preserve"> Article 7 and 14 of </w:t>
      </w:r>
      <w:r w:rsidRPr="006E70D3">
        <w:rPr>
          <w:rFonts w:cs="Arial"/>
          <w:color w:val="000000"/>
          <w:szCs w:val="18"/>
          <w:shd w:val="clear" w:color="auto" w:fill="FFFFFF"/>
        </w:rPr>
        <w:t xml:space="preserve">the </w:t>
      </w:r>
      <w:hyperlink r:id="rId9" w:history="1">
        <w:r w:rsidRPr="006E70D3">
          <w:rPr>
            <w:rStyle w:val="Hyperlink"/>
            <w:rFonts w:cs="Arial"/>
            <w:szCs w:val="18"/>
            <w:shd w:val="clear" w:color="auto" w:fill="FFFFFF"/>
            <w:lang w:val="en-US"/>
          </w:rPr>
          <w:t>C</w:t>
        </w:r>
        <w:r w:rsidRPr="006E70D3">
          <w:rPr>
            <w:rStyle w:val="Hyperlink"/>
            <w:rFonts w:cs="Arial"/>
            <w:szCs w:val="18"/>
            <w:shd w:val="clear" w:color="auto" w:fill="FFFFFF"/>
          </w:rPr>
          <w:t>onsolidated Acts of 12 January 1973</w:t>
        </w:r>
        <w:r w:rsidRPr="006E70D3">
          <w:rPr>
            <w:rStyle w:val="Hyperlink"/>
            <w:rFonts w:cs="Arial"/>
            <w:szCs w:val="18"/>
            <w:shd w:val="clear" w:color="auto" w:fill="FFFFFF"/>
            <w:lang w:val="en-US"/>
          </w:rPr>
          <w:t xml:space="preserve"> </w:t>
        </w:r>
        <w:r w:rsidRPr="006E70D3">
          <w:rPr>
            <w:rStyle w:val="Hyperlink"/>
            <w:rFonts w:cs="Arial"/>
            <w:szCs w:val="18"/>
            <w:shd w:val="clear" w:color="auto" w:fill="FFFFFF"/>
          </w:rPr>
          <w:t>relating to the Council of State</w:t>
        </w:r>
      </w:hyperlink>
      <w:r w:rsidRPr="006E70D3">
        <w:rPr>
          <w:rFonts w:cs="Arial"/>
          <w:color w:val="000000"/>
          <w:szCs w:val="18"/>
          <w:shd w:val="clear" w:color="auto" w:fill="FFFFFF"/>
        </w:rPr>
        <w:t>.</w:t>
      </w:r>
    </w:p>
  </w:footnote>
  <w:footnote w:id="10">
    <w:p w:rsidR="00F60A1E" w:rsidRPr="006E70D3" w:rsidRDefault="00F60A1E" w:rsidP="00F60A1E">
      <w:pPr>
        <w:pStyle w:val="FootnoteText"/>
        <w:spacing w:after="0"/>
        <w:jc w:val="both"/>
        <w:rPr>
          <w:rFonts w:cs="Arial"/>
          <w:szCs w:val="18"/>
        </w:rPr>
      </w:pPr>
      <w:r w:rsidRPr="006E70D3">
        <w:rPr>
          <w:rStyle w:val="FootnoteReference"/>
          <w:rFonts w:cs="Arial"/>
          <w:szCs w:val="18"/>
        </w:rPr>
        <w:footnoteRef/>
      </w:r>
      <w:r w:rsidRPr="006E70D3">
        <w:rPr>
          <w:rFonts w:cs="Arial"/>
          <w:szCs w:val="18"/>
        </w:rPr>
        <w:t xml:space="preserve"> </w:t>
      </w:r>
      <w:r w:rsidRPr="006E70D3">
        <w:rPr>
          <w:rStyle w:val="Hyperlink"/>
          <w:rFonts w:cs="Arial"/>
          <w:szCs w:val="18"/>
        </w:rPr>
        <w:t xml:space="preserve">New </w:t>
      </w:r>
      <w:hyperlink r:id="rId10" w:history="1">
        <w:r w:rsidRPr="006E70D3">
          <w:rPr>
            <w:rStyle w:val="Hyperlink"/>
            <w:rFonts w:cs="Arial"/>
            <w:szCs w:val="18"/>
          </w:rPr>
          <w:t>Act of 30 July 2013</w:t>
        </w:r>
      </w:hyperlink>
      <w:r w:rsidRPr="006E70D3">
        <w:rPr>
          <w:rFonts w:cs="Arial"/>
          <w:szCs w:val="18"/>
          <w:u w:val="single"/>
        </w:rPr>
        <w:t xml:space="preserve"> </w:t>
      </w:r>
      <w:r w:rsidRPr="006E70D3">
        <w:rPr>
          <w:rFonts w:cs="Arial"/>
          <w:szCs w:val="18"/>
        </w:rPr>
        <w:t xml:space="preserve">for the creation of a Family and Youth Tribunal, which will enter into force on 1 September 2014. </w:t>
      </w:r>
    </w:p>
  </w:footnote>
  <w:footnote w:id="11">
    <w:p w:rsidR="00F60A1E" w:rsidRPr="006E70D3" w:rsidRDefault="00F60A1E" w:rsidP="00F60A1E">
      <w:pPr>
        <w:pStyle w:val="FootnoteText"/>
        <w:spacing w:after="0"/>
        <w:rPr>
          <w:rFonts w:cs="Arial"/>
          <w:szCs w:val="18"/>
        </w:rPr>
      </w:pPr>
      <w:r w:rsidRPr="006E70D3">
        <w:rPr>
          <w:rStyle w:val="FootnoteReference"/>
          <w:rFonts w:cs="Arial"/>
          <w:szCs w:val="18"/>
        </w:rPr>
        <w:footnoteRef/>
      </w:r>
      <w:r w:rsidRPr="006E70D3">
        <w:rPr>
          <w:rFonts w:cs="Arial"/>
          <w:szCs w:val="18"/>
        </w:rPr>
        <w:t xml:space="preserve"> </w:t>
      </w:r>
      <w:hyperlink r:id="rId11" w:history="1">
        <w:r w:rsidRPr="006E70D3">
          <w:rPr>
            <w:rStyle w:val="Hyperlink"/>
            <w:rFonts w:cs="Arial"/>
            <w:szCs w:val="18"/>
          </w:rPr>
          <w:t>French Community Decree of 4 March 1991 on Youth Assistance</w:t>
        </w:r>
      </w:hyperlink>
      <w:r w:rsidRPr="006E70D3">
        <w:rPr>
          <w:rFonts w:cs="Arial"/>
          <w:szCs w:val="18"/>
        </w:rPr>
        <w:t> </w:t>
      </w:r>
      <w:r w:rsidRPr="006E70D3">
        <w:rPr>
          <w:rFonts w:cs="Arial"/>
          <w:szCs w:val="18"/>
          <w:lang w:val="en-US"/>
        </w:rPr>
        <w:t>;</w:t>
      </w:r>
      <w:r w:rsidRPr="006E70D3">
        <w:rPr>
          <w:rFonts w:cs="Arial"/>
          <w:szCs w:val="18"/>
        </w:rPr>
        <w:t xml:space="preserve"> </w:t>
      </w:r>
      <w:hyperlink r:id="rId12" w:history="1">
        <w:r w:rsidRPr="006E70D3">
          <w:rPr>
            <w:rStyle w:val="Hyperlink"/>
            <w:rFonts w:cs="Arial"/>
            <w:szCs w:val="18"/>
          </w:rPr>
          <w:t xml:space="preserve">Flemish Decree of 7 May 2004 on the minor status with regards to integrated youth </w:t>
        </w:r>
        <w:r w:rsidRPr="006E70D3">
          <w:rPr>
            <w:rStyle w:val="Hyperlink"/>
            <w:rFonts w:cs="Arial"/>
            <w:szCs w:val="18"/>
            <w:lang w:val="en-US"/>
          </w:rPr>
          <w:t>services</w:t>
        </w:r>
      </w:hyperlink>
      <w:r w:rsidRPr="006E70D3">
        <w:rPr>
          <w:rFonts w:cs="Arial"/>
          <w:szCs w:val="18"/>
        </w:rPr>
        <w:t xml:space="preserve"> and </w:t>
      </w:r>
      <w:r w:rsidRPr="006E70D3">
        <w:rPr>
          <w:szCs w:val="18"/>
        </w:rPr>
        <w:t xml:space="preserve">Decree of the Flemish Community of 12 July 2013 on Integrated Youth </w:t>
      </w:r>
      <w:r w:rsidRPr="006E70D3">
        <w:rPr>
          <w:szCs w:val="18"/>
          <w:lang w:val="en-US"/>
        </w:rPr>
        <w:t>Welfare</w:t>
      </w:r>
      <w:r w:rsidRPr="006E70D3">
        <w:rPr>
          <w:rFonts w:cs="Arial"/>
          <w:szCs w:val="18"/>
        </w:rPr>
        <w:t>.</w:t>
      </w:r>
    </w:p>
  </w:footnote>
  <w:footnote w:id="12">
    <w:p w:rsidR="00F60A1E" w:rsidRPr="006E70D3" w:rsidRDefault="00F60A1E" w:rsidP="00F60A1E">
      <w:pPr>
        <w:pStyle w:val="FootnoteText"/>
        <w:spacing w:after="0"/>
        <w:jc w:val="both"/>
        <w:rPr>
          <w:rFonts w:cs="Arial"/>
          <w:szCs w:val="18"/>
        </w:rPr>
      </w:pPr>
      <w:r w:rsidRPr="006E70D3">
        <w:rPr>
          <w:rStyle w:val="FootnoteReference"/>
          <w:rFonts w:cs="Arial"/>
          <w:szCs w:val="18"/>
        </w:rPr>
        <w:footnoteRef/>
      </w:r>
      <w:r w:rsidRPr="006E70D3">
        <w:rPr>
          <w:rFonts w:cs="Arial"/>
          <w:szCs w:val="18"/>
        </w:rPr>
        <w:t xml:space="preserve"> Article 8 of the </w:t>
      </w:r>
      <w:hyperlink r:id="rId13" w:history="1">
        <w:r w:rsidRPr="006E70D3">
          <w:rPr>
            <w:rStyle w:val="Hyperlink"/>
            <w:rFonts w:cs="Arial"/>
            <w:szCs w:val="18"/>
          </w:rPr>
          <w:t>Youth Protection Act</w:t>
        </w:r>
      </w:hyperlink>
      <w:r w:rsidRPr="006E70D3">
        <w:rPr>
          <w:rFonts w:cs="Arial"/>
          <w:szCs w:val="18"/>
        </w:rPr>
        <w:t>.</w:t>
      </w:r>
    </w:p>
  </w:footnote>
  <w:footnote w:id="13">
    <w:p w:rsidR="00F60A1E" w:rsidRPr="006E70D3" w:rsidRDefault="00F60A1E" w:rsidP="00F60A1E">
      <w:pPr>
        <w:pStyle w:val="FootnoteText"/>
        <w:spacing w:after="0"/>
        <w:jc w:val="both"/>
        <w:rPr>
          <w:rFonts w:cs="Arial"/>
          <w:szCs w:val="18"/>
        </w:rPr>
      </w:pPr>
      <w:r w:rsidRPr="006E70D3">
        <w:rPr>
          <w:rStyle w:val="FootnoteReference"/>
          <w:rFonts w:cs="Arial"/>
          <w:szCs w:val="18"/>
        </w:rPr>
        <w:footnoteRef/>
      </w:r>
      <w:r w:rsidRPr="006E70D3">
        <w:rPr>
          <w:rFonts w:cs="Arial"/>
          <w:szCs w:val="18"/>
        </w:rPr>
        <w:t xml:space="preserve"> More information available at </w:t>
      </w:r>
      <w:hyperlink r:id="rId14" w:history="1">
        <w:r w:rsidRPr="006E70D3">
          <w:rPr>
            <w:rStyle w:val="Hyperlink"/>
            <w:rFonts w:cs="Arial"/>
            <w:szCs w:val="18"/>
          </w:rPr>
          <w:t>the website of Victim Support</w:t>
        </w:r>
      </w:hyperlink>
      <w:r w:rsidRPr="006E70D3">
        <w:rPr>
          <w:rFonts w:cs="Arial"/>
          <w:szCs w:val="18"/>
        </w:rPr>
        <w:t>.</w:t>
      </w:r>
    </w:p>
  </w:footnote>
  <w:footnote w:id="14">
    <w:p w:rsidR="00F60A1E" w:rsidRPr="006E70D3" w:rsidRDefault="00F60A1E" w:rsidP="00F60A1E">
      <w:pPr>
        <w:pStyle w:val="FootnoteText"/>
        <w:spacing w:after="0"/>
        <w:jc w:val="both"/>
        <w:rPr>
          <w:rFonts w:cs="Arial"/>
          <w:szCs w:val="18"/>
        </w:rPr>
      </w:pPr>
      <w:r w:rsidRPr="006E70D3">
        <w:rPr>
          <w:rStyle w:val="FootnoteReference"/>
          <w:rFonts w:cs="Arial"/>
          <w:szCs w:val="18"/>
        </w:rPr>
        <w:footnoteRef/>
      </w:r>
      <w:r w:rsidRPr="006E70D3">
        <w:rPr>
          <w:rFonts w:cs="Arial"/>
          <w:szCs w:val="18"/>
        </w:rPr>
        <w:t xml:space="preserve"> </w:t>
      </w:r>
      <w:hyperlink r:id="rId15" w:history="1">
        <w:r w:rsidRPr="006E70D3">
          <w:rPr>
            <w:rStyle w:val="Hyperlink"/>
            <w:rFonts w:cs="Arial"/>
            <w:szCs w:val="18"/>
          </w:rPr>
          <w:t>Houses of Justice – Civil Social Inquiry</w:t>
        </w:r>
      </w:hyperlink>
      <w:r w:rsidRPr="006E70D3">
        <w:rPr>
          <w:rFonts w:cs="Arial"/>
          <w:szCs w:val="18"/>
        </w:rPr>
        <w:t xml:space="preserve"> booklet.</w:t>
      </w:r>
    </w:p>
  </w:footnote>
  <w:footnote w:id="15">
    <w:p w:rsidR="00F60A1E" w:rsidRPr="00FF18BE" w:rsidRDefault="00F60A1E" w:rsidP="00F60A1E">
      <w:pPr>
        <w:pStyle w:val="FootnoteText"/>
        <w:spacing w:after="0"/>
        <w:rPr>
          <w:szCs w:val="18"/>
          <w:lang w:val="en-US"/>
        </w:rPr>
      </w:pPr>
      <w:r w:rsidRPr="006E70D3">
        <w:rPr>
          <w:rStyle w:val="FootnoteReference"/>
          <w:szCs w:val="18"/>
        </w:rPr>
        <w:footnoteRef/>
      </w:r>
      <w:r w:rsidRPr="006E70D3">
        <w:rPr>
          <w:szCs w:val="18"/>
        </w:rPr>
        <w:t xml:space="preserve"> Sociale dienst voor gerechtelijke jeugdhulp</w:t>
      </w:r>
      <w:r w:rsidRPr="00FF18BE">
        <w:rPr>
          <w:szCs w:val="18"/>
          <w:lang w:val="en-US"/>
        </w:rPr>
        <w:t xml:space="preserve"> (Flemish Community) and</w:t>
      </w:r>
      <w:r w:rsidRPr="006E70D3">
        <w:rPr>
          <w:szCs w:val="18"/>
        </w:rPr>
        <w:t xml:space="preserve"> </w:t>
      </w:r>
      <w:r w:rsidRPr="00FF18BE">
        <w:rPr>
          <w:szCs w:val="18"/>
          <w:lang w:val="en-US"/>
        </w:rPr>
        <w:t>Services de Protection Judiciaire (French Community).</w:t>
      </w:r>
    </w:p>
  </w:footnote>
  <w:footnote w:id="16">
    <w:p w:rsidR="00F60A1E" w:rsidRPr="006E70D3" w:rsidRDefault="00F60A1E" w:rsidP="00F60A1E">
      <w:pPr>
        <w:pStyle w:val="FootnoteText"/>
        <w:spacing w:after="0"/>
        <w:rPr>
          <w:rFonts w:cs="Arial"/>
          <w:szCs w:val="18"/>
          <w:lang w:val="en-US"/>
        </w:rPr>
      </w:pPr>
      <w:r w:rsidRPr="006E70D3">
        <w:rPr>
          <w:rStyle w:val="FootnoteReference"/>
          <w:rFonts w:cs="Arial"/>
          <w:szCs w:val="18"/>
        </w:rPr>
        <w:footnoteRef/>
      </w:r>
      <w:r w:rsidRPr="006E70D3">
        <w:rPr>
          <w:rFonts w:cs="Arial"/>
          <w:szCs w:val="18"/>
        </w:rPr>
        <w:t xml:space="preserve"> </w:t>
      </w:r>
      <w:hyperlink r:id="rId16" w:history="1">
        <w:r w:rsidRPr="006E70D3">
          <w:rPr>
            <w:rStyle w:val="Hyperlink"/>
            <w:rFonts w:cs="Arial"/>
            <w:szCs w:val="18"/>
          </w:rPr>
          <w:t>Act of 22 August 2002 on patient right</w:t>
        </w:r>
        <w:r w:rsidRPr="006E70D3">
          <w:rPr>
            <w:rStyle w:val="Hyperlink"/>
            <w:rFonts w:cs="Arial"/>
            <w:szCs w:val="18"/>
            <w:lang w:val="en-US"/>
          </w:rPr>
          <w:t>s</w:t>
        </w:r>
      </w:hyperlink>
      <w:r w:rsidRPr="006E70D3">
        <w:rPr>
          <w:rFonts w:cs="Arial"/>
          <w:szCs w:val="18"/>
        </w:rPr>
        <w:t xml:space="preserve"> and </w:t>
      </w:r>
      <w:hyperlink r:id="rId17" w:history="1">
        <w:r w:rsidRPr="006E70D3">
          <w:rPr>
            <w:rStyle w:val="Hyperlink"/>
            <w:rFonts w:cs="Arial"/>
            <w:szCs w:val="18"/>
            <w:lang w:val="en-US"/>
          </w:rPr>
          <w:t>Royal Decree of 1 April 2003 on the composition and functioning of the Federal Commission on Patient Rights</w:t>
        </w:r>
      </w:hyperlink>
      <w:r w:rsidRPr="006E70D3">
        <w:rPr>
          <w:rFonts w:cs="Arial"/>
          <w:szCs w:val="18"/>
          <w:lang w:val="en-US"/>
        </w:rPr>
        <w:t>.</w:t>
      </w:r>
    </w:p>
  </w:footnote>
  <w:footnote w:id="17">
    <w:p w:rsidR="00F60A1E" w:rsidRPr="006E70D3" w:rsidRDefault="00F60A1E" w:rsidP="00F60A1E">
      <w:pPr>
        <w:pStyle w:val="FootnoteText"/>
        <w:spacing w:after="0"/>
        <w:rPr>
          <w:rFonts w:cs="Arial"/>
          <w:szCs w:val="18"/>
          <w:lang w:val="en-US"/>
        </w:rPr>
      </w:pPr>
      <w:r w:rsidRPr="006E70D3">
        <w:rPr>
          <w:rStyle w:val="FootnoteReference"/>
          <w:rFonts w:cs="Arial"/>
          <w:szCs w:val="18"/>
        </w:rPr>
        <w:footnoteRef/>
      </w:r>
      <w:r w:rsidRPr="006E70D3">
        <w:rPr>
          <w:rFonts w:cs="Arial"/>
          <w:szCs w:val="18"/>
        </w:rPr>
        <w:t xml:space="preserve"> </w:t>
      </w:r>
      <w:r w:rsidRPr="006E70D3">
        <w:rPr>
          <w:rFonts w:cs="Arial"/>
          <w:szCs w:val="18"/>
          <w:lang w:val="en-US"/>
        </w:rPr>
        <w:t xml:space="preserve">The </w:t>
      </w:r>
      <w:hyperlink r:id="rId18" w:history="1">
        <w:r w:rsidRPr="006E70D3">
          <w:rPr>
            <w:rStyle w:val="Hyperlink"/>
            <w:rFonts w:cs="Arial"/>
            <w:szCs w:val="18"/>
            <w:lang w:val="en-US"/>
          </w:rPr>
          <w:t>Federal Ombudsman’s website</w:t>
        </w:r>
      </w:hyperlink>
      <w:r w:rsidRPr="006E70D3">
        <w:rPr>
          <w:rFonts w:cs="Arial"/>
          <w:szCs w:val="18"/>
          <w:lang w:val="en-US"/>
        </w:rPr>
        <w:t>.</w:t>
      </w:r>
    </w:p>
  </w:footnote>
  <w:footnote w:id="18">
    <w:p w:rsidR="00F60A1E" w:rsidRPr="006E70D3" w:rsidRDefault="00F60A1E" w:rsidP="00F60A1E">
      <w:pPr>
        <w:pStyle w:val="FootnoteText"/>
        <w:spacing w:after="0"/>
        <w:rPr>
          <w:rFonts w:cs="Arial"/>
          <w:szCs w:val="18"/>
          <w:lang w:val="en-US"/>
        </w:rPr>
      </w:pPr>
      <w:r w:rsidRPr="006E70D3">
        <w:rPr>
          <w:rStyle w:val="FootnoteReference"/>
          <w:rFonts w:cs="Arial"/>
          <w:szCs w:val="18"/>
        </w:rPr>
        <w:footnoteRef/>
      </w:r>
      <w:r w:rsidRPr="006E70D3">
        <w:rPr>
          <w:rFonts w:cs="Arial"/>
          <w:szCs w:val="18"/>
        </w:rPr>
        <w:t xml:space="preserve"> </w:t>
      </w:r>
      <w:r w:rsidRPr="006E70D3">
        <w:rPr>
          <w:rFonts w:cs="Arial"/>
          <w:szCs w:val="18"/>
          <w:lang w:val="en-US"/>
        </w:rPr>
        <w:t xml:space="preserve">The </w:t>
      </w:r>
      <w:hyperlink r:id="rId19" w:history="1">
        <w:r w:rsidRPr="006E70D3">
          <w:rPr>
            <w:rStyle w:val="Hyperlink"/>
            <w:rFonts w:cs="Arial"/>
            <w:szCs w:val="18"/>
            <w:lang w:val="en-US"/>
          </w:rPr>
          <w:t>Walloon Region’s and Wallonia-Brussels Federation Ombudsman website</w:t>
        </w:r>
      </w:hyperlink>
      <w:r w:rsidRPr="006E70D3">
        <w:rPr>
          <w:rFonts w:cs="Arial"/>
          <w:szCs w:val="18"/>
          <w:lang w:val="en-US"/>
        </w:rPr>
        <w:t>.</w:t>
      </w:r>
    </w:p>
  </w:footnote>
  <w:footnote w:id="19">
    <w:p w:rsidR="00F60A1E" w:rsidRPr="00EB06AC" w:rsidRDefault="00F60A1E" w:rsidP="00F60A1E">
      <w:pPr>
        <w:pStyle w:val="FootnoteText"/>
        <w:spacing w:after="0"/>
        <w:rPr>
          <w:rFonts w:cs="Arial"/>
          <w:sz w:val="16"/>
          <w:szCs w:val="16"/>
        </w:rPr>
      </w:pPr>
      <w:r w:rsidRPr="006E70D3">
        <w:rPr>
          <w:rStyle w:val="FootnoteReference"/>
          <w:rFonts w:cs="Arial"/>
          <w:szCs w:val="18"/>
        </w:rPr>
        <w:footnoteRef/>
      </w:r>
      <w:r w:rsidRPr="006E70D3">
        <w:rPr>
          <w:rFonts w:cs="Arial"/>
          <w:szCs w:val="18"/>
        </w:rPr>
        <w:t xml:space="preserve"> </w:t>
      </w:r>
      <w:r w:rsidRPr="006E70D3">
        <w:rPr>
          <w:rFonts w:cs="Arial"/>
          <w:szCs w:val="18"/>
          <w:lang w:val="en-US"/>
        </w:rPr>
        <w:t xml:space="preserve">The </w:t>
      </w:r>
      <w:hyperlink r:id="rId20" w:history="1">
        <w:r w:rsidRPr="006E70D3">
          <w:rPr>
            <w:rStyle w:val="Hyperlink"/>
            <w:rFonts w:cs="Arial"/>
            <w:szCs w:val="18"/>
            <w:lang w:val="en-US"/>
          </w:rPr>
          <w:t>Ombudsman for the German-speaking Community website</w:t>
        </w:r>
      </w:hyperlink>
      <w:r w:rsidRPr="006E70D3">
        <w:rPr>
          <w:rFonts w:cs="Arial"/>
          <w:szCs w:val="18"/>
          <w:lang w:val="en-US"/>
        </w:rPr>
        <w:t>.</w:t>
      </w:r>
    </w:p>
  </w:footnote>
  <w:footnote w:id="20">
    <w:p w:rsidR="00F60A1E" w:rsidRPr="009E70C2" w:rsidRDefault="00F60A1E" w:rsidP="00F60A1E">
      <w:pPr>
        <w:pStyle w:val="FootnoteText"/>
        <w:spacing w:after="0"/>
        <w:rPr>
          <w:rFonts w:cs="Arial"/>
          <w:szCs w:val="18"/>
        </w:rPr>
      </w:pPr>
      <w:r w:rsidRPr="009E70C2">
        <w:rPr>
          <w:rStyle w:val="FootnoteReference"/>
          <w:rFonts w:cs="Arial"/>
          <w:szCs w:val="18"/>
        </w:rPr>
        <w:footnoteRef/>
      </w:r>
      <w:r w:rsidRPr="009E70C2">
        <w:rPr>
          <w:rFonts w:cs="Arial"/>
          <w:szCs w:val="18"/>
        </w:rPr>
        <w:t xml:space="preserve"> </w:t>
      </w:r>
      <w:r w:rsidRPr="009E70C2">
        <w:rPr>
          <w:rFonts w:cs="Arial"/>
          <w:szCs w:val="18"/>
          <w:lang w:val="en-US"/>
        </w:rPr>
        <w:t xml:space="preserve">The </w:t>
      </w:r>
      <w:hyperlink r:id="rId21" w:history="1">
        <w:r w:rsidRPr="009E70C2">
          <w:rPr>
            <w:rStyle w:val="Hyperlink"/>
            <w:rFonts w:cs="Arial"/>
            <w:szCs w:val="18"/>
            <w:lang w:val="en-US"/>
          </w:rPr>
          <w:t>Flemish Ombuds service website</w:t>
        </w:r>
      </w:hyperlink>
      <w:r w:rsidRPr="009E70C2">
        <w:rPr>
          <w:rFonts w:cs="Arial"/>
          <w:szCs w:val="18"/>
          <w:lang w:val="en-US"/>
        </w:rPr>
        <w:t>.</w:t>
      </w:r>
    </w:p>
  </w:footnote>
  <w:footnote w:id="21">
    <w:p w:rsidR="00F60A1E" w:rsidRPr="009E70C2" w:rsidRDefault="00F60A1E" w:rsidP="00F60A1E">
      <w:pPr>
        <w:pStyle w:val="FootnoteText"/>
        <w:spacing w:after="0"/>
        <w:rPr>
          <w:rFonts w:cs="Arial"/>
          <w:szCs w:val="18"/>
          <w:lang w:val="en-US"/>
        </w:rPr>
      </w:pPr>
      <w:r w:rsidRPr="009E70C2">
        <w:rPr>
          <w:rStyle w:val="FootnoteReference"/>
          <w:rFonts w:cs="Arial"/>
          <w:szCs w:val="18"/>
        </w:rPr>
        <w:footnoteRef/>
      </w:r>
      <w:r w:rsidRPr="009E70C2">
        <w:rPr>
          <w:rFonts w:cs="Arial"/>
          <w:szCs w:val="18"/>
        </w:rPr>
        <w:t xml:space="preserve"> </w:t>
      </w:r>
      <w:r w:rsidRPr="009E70C2">
        <w:rPr>
          <w:rFonts w:cs="Arial"/>
          <w:szCs w:val="18"/>
          <w:lang w:val="en-US"/>
        </w:rPr>
        <w:t xml:space="preserve">The municipalities of Antwerpen, Brugge, Charleroi, Courcelles, Gent, Ixelles, Leuven, Mechelen and Sint-Niklass have their own ombudsman service. See the </w:t>
      </w:r>
      <w:hyperlink r:id="rId22" w:history="1">
        <w:r w:rsidRPr="009E70C2">
          <w:rPr>
            <w:rStyle w:val="Hyperlink"/>
            <w:rFonts w:cs="Arial"/>
            <w:szCs w:val="18"/>
            <w:lang w:val="en-US"/>
          </w:rPr>
          <w:t>ombudsmen website</w:t>
        </w:r>
      </w:hyperlink>
      <w:r w:rsidRPr="009E70C2">
        <w:rPr>
          <w:rFonts w:cs="Arial"/>
          <w:szCs w:val="18"/>
          <w:lang w:val="en-US"/>
        </w:rPr>
        <w:t>.</w:t>
      </w:r>
    </w:p>
  </w:footnote>
  <w:footnote w:id="22">
    <w:p w:rsidR="00F60A1E" w:rsidRPr="009E70C2" w:rsidRDefault="00F60A1E" w:rsidP="00F60A1E">
      <w:pPr>
        <w:pStyle w:val="FootnoteText"/>
        <w:spacing w:after="0"/>
        <w:rPr>
          <w:rFonts w:cs="Arial"/>
          <w:szCs w:val="18"/>
          <w:lang w:val="en-US"/>
        </w:rPr>
      </w:pPr>
      <w:r w:rsidRPr="009E70C2">
        <w:rPr>
          <w:rStyle w:val="FootnoteReference"/>
          <w:rFonts w:cs="Arial"/>
          <w:szCs w:val="18"/>
        </w:rPr>
        <w:footnoteRef/>
      </w:r>
      <w:r w:rsidRPr="009E70C2">
        <w:rPr>
          <w:rFonts w:cs="Arial"/>
          <w:szCs w:val="18"/>
        </w:rPr>
        <w:t xml:space="preserve"> </w:t>
      </w:r>
      <w:r w:rsidRPr="009E70C2">
        <w:rPr>
          <w:rFonts w:cs="Arial"/>
          <w:szCs w:val="18"/>
          <w:lang w:val="en-US"/>
        </w:rPr>
        <w:t>T</w:t>
      </w:r>
      <w:r w:rsidRPr="009E70C2">
        <w:rPr>
          <w:rFonts w:cs="Arial"/>
          <w:szCs w:val="18"/>
        </w:rPr>
        <w:t xml:space="preserve">he </w:t>
      </w:r>
      <w:hyperlink r:id="rId23" w:history="1">
        <w:r w:rsidRPr="009E70C2">
          <w:rPr>
            <w:rStyle w:val="Hyperlink"/>
            <w:rFonts w:cs="Arial"/>
            <w:szCs w:val="18"/>
            <w:lang w:val="en-US"/>
          </w:rPr>
          <w:t>Interfederal C</w:t>
        </w:r>
        <w:r w:rsidRPr="009E70C2">
          <w:rPr>
            <w:rStyle w:val="Hyperlink"/>
            <w:rFonts w:cs="Arial"/>
            <w:szCs w:val="18"/>
          </w:rPr>
          <w:t>entre for Equal Opportunities</w:t>
        </w:r>
      </w:hyperlink>
      <w:r w:rsidRPr="009E70C2">
        <w:rPr>
          <w:rFonts w:cs="Arial"/>
          <w:szCs w:val="18"/>
        </w:rPr>
        <w:t xml:space="preserve"> </w:t>
      </w:r>
      <w:r w:rsidRPr="009E70C2">
        <w:rPr>
          <w:rFonts w:cs="Arial"/>
          <w:szCs w:val="18"/>
          <w:lang w:val="en-US"/>
        </w:rPr>
        <w:t>website.</w:t>
      </w:r>
    </w:p>
  </w:footnote>
  <w:footnote w:id="23">
    <w:p w:rsidR="00F60A1E" w:rsidRPr="009E70C2" w:rsidRDefault="00F60A1E" w:rsidP="00F60A1E">
      <w:pPr>
        <w:pStyle w:val="FootnoteText"/>
        <w:spacing w:after="0"/>
        <w:rPr>
          <w:szCs w:val="18"/>
        </w:rPr>
      </w:pPr>
      <w:r w:rsidRPr="009E70C2">
        <w:rPr>
          <w:rStyle w:val="FootnoteReference"/>
          <w:szCs w:val="18"/>
        </w:rPr>
        <w:footnoteRef/>
      </w:r>
      <w:r w:rsidRPr="009E70C2">
        <w:rPr>
          <w:szCs w:val="18"/>
        </w:rPr>
        <w:t xml:space="preserve"> </w:t>
      </w:r>
      <w:r w:rsidRPr="009E70C2">
        <w:rPr>
          <w:szCs w:val="18"/>
          <w:lang w:val="en-US"/>
        </w:rPr>
        <w:t xml:space="preserve">Article 14 of the </w:t>
      </w:r>
      <w:hyperlink r:id="rId24" w:history="1">
        <w:r w:rsidRPr="009E70C2">
          <w:rPr>
            <w:rStyle w:val="Hyperlink"/>
            <w:szCs w:val="18"/>
          </w:rPr>
          <w:t>Coordinated Laws of 12 January 1973 on the Council of State</w:t>
        </w:r>
      </w:hyperlink>
      <w:r w:rsidRPr="009E70C2">
        <w:rPr>
          <w:szCs w:val="18"/>
        </w:rPr>
        <w:t>.</w:t>
      </w:r>
    </w:p>
  </w:footnote>
  <w:footnote w:id="24">
    <w:p w:rsidR="00F60A1E" w:rsidRPr="009E70C2" w:rsidRDefault="00F60A1E" w:rsidP="00F60A1E">
      <w:pPr>
        <w:pStyle w:val="FootnoteText"/>
        <w:spacing w:after="0"/>
        <w:rPr>
          <w:rFonts w:cs="Arial"/>
          <w:szCs w:val="18"/>
          <w:lang w:val="en-US"/>
        </w:rPr>
      </w:pPr>
      <w:r w:rsidRPr="009E70C2">
        <w:rPr>
          <w:rStyle w:val="FootnoteReference"/>
          <w:rFonts w:cs="Arial"/>
          <w:szCs w:val="18"/>
        </w:rPr>
        <w:footnoteRef/>
      </w:r>
      <w:r w:rsidRPr="009E70C2">
        <w:rPr>
          <w:rFonts w:cs="Arial"/>
          <w:szCs w:val="18"/>
        </w:rPr>
        <w:t xml:space="preserve"> </w:t>
      </w:r>
      <w:r w:rsidRPr="009E70C2">
        <w:rPr>
          <w:rFonts w:cs="Arial"/>
          <w:szCs w:val="18"/>
          <w:lang w:val="en-US"/>
        </w:rPr>
        <w:t xml:space="preserve">The interest must also be certain and current. Those criteria have been developed by the case-law. Michel Leroy, </w:t>
      </w:r>
      <w:r w:rsidRPr="009E70C2">
        <w:rPr>
          <w:rFonts w:cs="Arial"/>
          <w:i/>
          <w:szCs w:val="18"/>
          <w:lang w:val="en-US"/>
        </w:rPr>
        <w:t>Contentieux administratif</w:t>
      </w:r>
      <w:r w:rsidRPr="009E70C2">
        <w:rPr>
          <w:rFonts w:cs="Arial"/>
          <w:szCs w:val="18"/>
          <w:lang w:val="en-US"/>
        </w:rPr>
        <w:t>, Anthemis, Brussels, 2011, p. 461.</w:t>
      </w:r>
    </w:p>
  </w:footnote>
  <w:footnote w:id="25">
    <w:p w:rsidR="00F60A1E" w:rsidRPr="009E70C2" w:rsidRDefault="00F60A1E" w:rsidP="00F60A1E">
      <w:pPr>
        <w:pStyle w:val="FootnoteText"/>
        <w:spacing w:after="0"/>
        <w:rPr>
          <w:rFonts w:cs="Arial"/>
          <w:szCs w:val="18"/>
        </w:rPr>
      </w:pPr>
      <w:r w:rsidRPr="009E70C2">
        <w:rPr>
          <w:rStyle w:val="FootnoteReference"/>
          <w:rFonts w:cs="Arial"/>
          <w:szCs w:val="18"/>
        </w:rPr>
        <w:footnoteRef/>
      </w:r>
      <w:r w:rsidRPr="009E70C2">
        <w:rPr>
          <w:rFonts w:cs="Arial"/>
          <w:szCs w:val="18"/>
        </w:rPr>
        <w:t xml:space="preserve"> </w:t>
      </w:r>
      <w:r w:rsidRPr="009E70C2">
        <w:rPr>
          <w:rFonts w:cs="Arial"/>
          <w:szCs w:val="18"/>
          <w:lang w:val="en-US"/>
        </w:rPr>
        <w:t xml:space="preserve">There are a large number of quasi-judicial administrative authorities created and based on Articles 145, 146 and 161 of </w:t>
      </w:r>
      <w:r w:rsidRPr="009E70C2">
        <w:rPr>
          <w:rFonts w:cs="Arial"/>
          <w:szCs w:val="18"/>
        </w:rPr>
        <w:t xml:space="preserve">the </w:t>
      </w:r>
      <w:hyperlink r:id="rId25" w:history="1">
        <w:r w:rsidRPr="009E70C2">
          <w:rPr>
            <w:rStyle w:val="Hyperlink"/>
            <w:rFonts w:cs="Arial"/>
            <w:szCs w:val="18"/>
          </w:rPr>
          <w:t>Constitution</w:t>
        </w:r>
      </w:hyperlink>
      <w:r w:rsidRPr="009E70C2">
        <w:rPr>
          <w:rFonts w:cs="Arial"/>
          <w:szCs w:val="18"/>
          <w:lang w:val="en-US"/>
        </w:rPr>
        <w:t>.</w:t>
      </w:r>
    </w:p>
  </w:footnote>
  <w:footnote w:id="26">
    <w:p w:rsidR="00F60A1E" w:rsidRPr="00AF32C2" w:rsidRDefault="00F60A1E" w:rsidP="00F60A1E">
      <w:pPr>
        <w:pStyle w:val="FootnoteText"/>
        <w:spacing w:after="0"/>
        <w:rPr>
          <w:rFonts w:cs="Arial"/>
          <w:sz w:val="16"/>
          <w:szCs w:val="16"/>
          <w:lang w:val="en-US"/>
        </w:rPr>
      </w:pPr>
      <w:r w:rsidRPr="009E70C2">
        <w:rPr>
          <w:rStyle w:val="FootnoteReference"/>
          <w:rFonts w:cs="Arial"/>
          <w:szCs w:val="18"/>
        </w:rPr>
        <w:footnoteRef/>
      </w:r>
      <w:r w:rsidRPr="009E70C2">
        <w:rPr>
          <w:rFonts w:cs="Arial"/>
          <w:szCs w:val="18"/>
        </w:rPr>
        <w:t xml:space="preserve"> </w:t>
      </w:r>
      <w:r w:rsidRPr="009E70C2">
        <w:rPr>
          <w:rFonts w:cs="Arial"/>
          <w:szCs w:val="18"/>
          <w:lang w:val="en-US"/>
        </w:rPr>
        <w:t xml:space="preserve">Articles 144 and 145 of </w:t>
      </w:r>
      <w:r w:rsidRPr="009E70C2">
        <w:rPr>
          <w:rFonts w:cs="Arial"/>
          <w:szCs w:val="18"/>
        </w:rPr>
        <w:t xml:space="preserve">the </w:t>
      </w:r>
      <w:hyperlink r:id="rId26" w:history="1">
        <w:r w:rsidRPr="009E70C2">
          <w:rPr>
            <w:rStyle w:val="Hyperlink"/>
            <w:rFonts w:cs="Arial"/>
            <w:szCs w:val="18"/>
          </w:rPr>
          <w:t>Constitution</w:t>
        </w:r>
      </w:hyperlink>
      <w:r w:rsidRPr="009E70C2">
        <w:rPr>
          <w:rFonts w:cs="Arial"/>
          <w:szCs w:val="18"/>
          <w:lang w:val="en-US"/>
        </w:rPr>
        <w:t>.</w:t>
      </w:r>
    </w:p>
  </w:footnote>
  <w:footnote w:id="27">
    <w:p w:rsidR="00F60A1E" w:rsidRPr="009E70C2" w:rsidRDefault="00F60A1E" w:rsidP="00F60A1E">
      <w:pPr>
        <w:pStyle w:val="FootnoteText"/>
        <w:spacing w:after="0"/>
        <w:rPr>
          <w:rFonts w:cs="Arial"/>
          <w:szCs w:val="18"/>
          <w:lang w:val="en-US"/>
        </w:rPr>
      </w:pPr>
      <w:r w:rsidRPr="009E70C2">
        <w:rPr>
          <w:rStyle w:val="FootnoteReference"/>
          <w:rFonts w:cs="Arial"/>
          <w:szCs w:val="18"/>
        </w:rPr>
        <w:footnoteRef/>
      </w:r>
      <w:r w:rsidRPr="009E70C2">
        <w:rPr>
          <w:rFonts w:cs="Arial"/>
          <w:szCs w:val="18"/>
        </w:rPr>
        <w:t xml:space="preserve"> </w:t>
      </w:r>
      <w:r w:rsidRPr="009E70C2">
        <w:rPr>
          <w:rFonts w:cs="Arial"/>
          <w:szCs w:val="18"/>
          <w:lang w:val="en-US"/>
        </w:rPr>
        <w:t xml:space="preserve">See Michel Leroy, </w:t>
      </w:r>
      <w:r w:rsidRPr="009E70C2">
        <w:rPr>
          <w:rFonts w:cs="Arial"/>
          <w:i/>
          <w:szCs w:val="18"/>
          <w:lang w:val="en-US"/>
        </w:rPr>
        <w:t>Contentieux administratif</w:t>
      </w:r>
      <w:r w:rsidRPr="009E70C2">
        <w:rPr>
          <w:rFonts w:cs="Arial"/>
          <w:szCs w:val="18"/>
          <w:lang w:val="en-US"/>
        </w:rPr>
        <w:t>, Anthemis, Brussels, 2011, p. 78 and following.</w:t>
      </w:r>
    </w:p>
  </w:footnote>
  <w:footnote w:id="28">
    <w:p w:rsidR="00F60A1E" w:rsidRPr="009E70C2" w:rsidRDefault="00F60A1E" w:rsidP="00F60A1E">
      <w:pPr>
        <w:pStyle w:val="FootnoteText"/>
        <w:spacing w:after="0"/>
        <w:rPr>
          <w:rFonts w:cs="Arial"/>
          <w:szCs w:val="18"/>
          <w:lang w:val="en-US"/>
        </w:rPr>
      </w:pPr>
      <w:r w:rsidRPr="009E70C2">
        <w:rPr>
          <w:rStyle w:val="FootnoteReference"/>
          <w:rFonts w:cs="Arial"/>
          <w:szCs w:val="18"/>
        </w:rPr>
        <w:footnoteRef/>
      </w:r>
      <w:r w:rsidRPr="009E70C2">
        <w:rPr>
          <w:rFonts w:cs="Arial"/>
          <w:szCs w:val="18"/>
        </w:rPr>
        <w:t xml:space="preserve"> </w:t>
      </w:r>
      <w:r w:rsidRPr="009E70C2">
        <w:rPr>
          <w:rFonts w:cs="Arial"/>
          <w:szCs w:val="18"/>
          <w:lang w:val="en-US"/>
        </w:rPr>
        <w:t xml:space="preserve">Article 158 of </w:t>
      </w:r>
      <w:r w:rsidRPr="009E70C2">
        <w:rPr>
          <w:rFonts w:cs="Arial"/>
          <w:szCs w:val="18"/>
        </w:rPr>
        <w:t xml:space="preserve">the </w:t>
      </w:r>
      <w:hyperlink r:id="rId27" w:history="1">
        <w:r w:rsidRPr="009E70C2">
          <w:rPr>
            <w:rStyle w:val="Hyperlink"/>
            <w:rFonts w:cs="Arial"/>
            <w:szCs w:val="18"/>
          </w:rPr>
          <w:t>Constitution</w:t>
        </w:r>
      </w:hyperlink>
      <w:r w:rsidRPr="009E70C2">
        <w:rPr>
          <w:rFonts w:cs="Arial"/>
          <w:szCs w:val="18"/>
          <w:lang w:val="en-US"/>
        </w:rPr>
        <w:t>.</w:t>
      </w:r>
    </w:p>
  </w:footnote>
  <w:footnote w:id="29">
    <w:p w:rsidR="00F60A1E" w:rsidRPr="009E70C2" w:rsidRDefault="00F60A1E" w:rsidP="00F60A1E">
      <w:pPr>
        <w:pStyle w:val="FootnoteText"/>
        <w:spacing w:after="0"/>
        <w:rPr>
          <w:szCs w:val="18"/>
          <w:lang w:val="en-US"/>
        </w:rPr>
      </w:pPr>
      <w:r w:rsidRPr="009E70C2">
        <w:rPr>
          <w:rStyle w:val="FootnoteReference"/>
          <w:szCs w:val="18"/>
        </w:rPr>
        <w:footnoteRef/>
      </w:r>
      <w:r w:rsidRPr="009E70C2">
        <w:rPr>
          <w:szCs w:val="18"/>
        </w:rPr>
        <w:t xml:space="preserve"> In case no other </w:t>
      </w:r>
      <w:r w:rsidRPr="009E70C2">
        <w:rPr>
          <w:szCs w:val="18"/>
          <w:lang w:val="en-US"/>
        </w:rPr>
        <w:t>court is competent</w:t>
      </w:r>
      <w:r w:rsidRPr="009E70C2">
        <w:rPr>
          <w:szCs w:val="18"/>
        </w:rPr>
        <w:t xml:space="preserve">, </w:t>
      </w:r>
      <w:r w:rsidRPr="009E70C2">
        <w:rPr>
          <w:szCs w:val="18"/>
          <w:lang w:val="en-US"/>
        </w:rPr>
        <w:t>the Council of State</w:t>
      </w:r>
      <w:r w:rsidRPr="009E70C2">
        <w:rPr>
          <w:szCs w:val="18"/>
        </w:rPr>
        <w:t xml:space="preserve"> </w:t>
      </w:r>
      <w:r w:rsidRPr="009E70C2">
        <w:rPr>
          <w:szCs w:val="18"/>
          <w:lang w:val="en-US"/>
        </w:rPr>
        <w:t xml:space="preserve">may decide </w:t>
      </w:r>
      <w:r w:rsidRPr="009E70C2">
        <w:rPr>
          <w:szCs w:val="18"/>
        </w:rPr>
        <w:t>on applications</w:t>
      </w:r>
      <w:r w:rsidRPr="009E70C2">
        <w:rPr>
          <w:szCs w:val="18"/>
          <w:lang w:val="en-US"/>
        </w:rPr>
        <w:t xml:space="preserve"> for</w:t>
      </w:r>
      <w:r w:rsidRPr="009E70C2">
        <w:rPr>
          <w:szCs w:val="18"/>
        </w:rPr>
        <w:t xml:space="preserve"> compensation for the moral or material </w:t>
      </w:r>
      <w:r w:rsidRPr="009E70C2">
        <w:rPr>
          <w:szCs w:val="18"/>
          <w:lang w:val="en-US"/>
        </w:rPr>
        <w:t xml:space="preserve">damages </w:t>
      </w:r>
      <w:r w:rsidRPr="009E70C2">
        <w:rPr>
          <w:szCs w:val="18"/>
        </w:rPr>
        <w:t xml:space="preserve">caused by an administrative authority. The claim </w:t>
      </w:r>
      <w:r w:rsidRPr="009E70C2">
        <w:rPr>
          <w:szCs w:val="18"/>
          <w:lang w:val="en-US"/>
        </w:rPr>
        <w:t>is admissible only if</w:t>
      </w:r>
      <w:r w:rsidRPr="009E70C2">
        <w:rPr>
          <w:szCs w:val="18"/>
        </w:rPr>
        <w:t xml:space="preserve"> the administrative authority </w:t>
      </w:r>
      <w:r w:rsidRPr="009E70C2">
        <w:rPr>
          <w:szCs w:val="18"/>
          <w:lang w:val="en-US"/>
        </w:rPr>
        <w:t>has</w:t>
      </w:r>
      <w:r w:rsidRPr="009E70C2">
        <w:rPr>
          <w:szCs w:val="18"/>
        </w:rPr>
        <w:t xml:space="preserve"> fully or partially denied a </w:t>
      </w:r>
      <w:r w:rsidRPr="009E70C2">
        <w:rPr>
          <w:szCs w:val="18"/>
          <w:lang w:val="en-US"/>
        </w:rPr>
        <w:t>claim for compensation</w:t>
      </w:r>
      <w:r w:rsidRPr="009E70C2">
        <w:rPr>
          <w:szCs w:val="18"/>
        </w:rPr>
        <w:t xml:space="preserve">, or neglected </w:t>
      </w:r>
      <w:r w:rsidRPr="009E70C2">
        <w:rPr>
          <w:szCs w:val="18"/>
          <w:lang w:val="en-US"/>
        </w:rPr>
        <w:t>to act within 60</w:t>
      </w:r>
      <w:r w:rsidRPr="009E70C2">
        <w:rPr>
          <w:szCs w:val="18"/>
        </w:rPr>
        <w:t xml:space="preserve"> days </w:t>
      </w:r>
      <w:r w:rsidRPr="009E70C2">
        <w:rPr>
          <w:szCs w:val="18"/>
          <w:lang w:val="en-US"/>
        </w:rPr>
        <w:t>from the compensation request</w:t>
      </w:r>
      <w:r w:rsidRPr="009E70C2">
        <w:rPr>
          <w:szCs w:val="18"/>
        </w:rPr>
        <w:t>.</w:t>
      </w:r>
      <w:r w:rsidRPr="009E70C2">
        <w:rPr>
          <w:szCs w:val="18"/>
          <w:lang w:val="en-US"/>
        </w:rPr>
        <w:t xml:space="preserve"> Article 11 of the </w:t>
      </w:r>
      <w:hyperlink r:id="rId28" w:history="1">
        <w:r w:rsidRPr="009E70C2">
          <w:rPr>
            <w:rStyle w:val="Hyperlink"/>
            <w:szCs w:val="18"/>
          </w:rPr>
          <w:t>Coordinated Laws of 12 January 1973 on the Council of State</w:t>
        </w:r>
      </w:hyperlink>
      <w:r w:rsidRPr="009E70C2">
        <w:rPr>
          <w:szCs w:val="18"/>
        </w:rPr>
        <w:t>.</w:t>
      </w:r>
    </w:p>
  </w:footnote>
  <w:footnote w:id="30">
    <w:p w:rsidR="00F60A1E" w:rsidRPr="009E70C2" w:rsidRDefault="00F60A1E" w:rsidP="00F60A1E">
      <w:pPr>
        <w:pStyle w:val="FootnoteText"/>
        <w:spacing w:after="0"/>
        <w:rPr>
          <w:rFonts w:cs="Arial"/>
          <w:szCs w:val="18"/>
        </w:rPr>
      </w:pPr>
      <w:r w:rsidRPr="009E70C2">
        <w:rPr>
          <w:rStyle w:val="FootnoteReference"/>
          <w:rFonts w:cs="Arial"/>
          <w:szCs w:val="18"/>
        </w:rPr>
        <w:footnoteRef/>
      </w:r>
      <w:r w:rsidRPr="009E70C2">
        <w:rPr>
          <w:rFonts w:cs="Arial"/>
          <w:szCs w:val="18"/>
        </w:rPr>
        <w:t xml:space="preserve"> </w:t>
      </w:r>
      <w:r w:rsidRPr="009E70C2">
        <w:rPr>
          <w:rFonts w:cs="Arial"/>
          <w:szCs w:val="18"/>
          <w:lang w:val="en-US"/>
        </w:rPr>
        <w:t>Before civil courts, t</w:t>
      </w:r>
      <w:r w:rsidRPr="009E70C2">
        <w:rPr>
          <w:rFonts w:cs="Arial"/>
          <w:szCs w:val="18"/>
        </w:rPr>
        <w:t xml:space="preserve">he claim of the parties will be based on Articles 1382 and 1383 of the </w:t>
      </w:r>
      <w:hyperlink r:id="rId29" w:history="1">
        <w:r w:rsidRPr="009E70C2">
          <w:rPr>
            <w:rStyle w:val="Hyperlink"/>
            <w:rFonts w:cs="Arial"/>
            <w:szCs w:val="18"/>
          </w:rPr>
          <w:t>Civil Code</w:t>
        </w:r>
      </w:hyperlink>
      <w:r w:rsidRPr="009E70C2">
        <w:rPr>
          <w:rFonts w:cs="Arial"/>
          <w:szCs w:val="18"/>
        </w:rPr>
        <w:t>.</w:t>
      </w:r>
    </w:p>
  </w:footnote>
  <w:footnote w:id="31">
    <w:p w:rsidR="00F60A1E" w:rsidRPr="009E70C2" w:rsidRDefault="00F60A1E" w:rsidP="00F60A1E">
      <w:pPr>
        <w:pStyle w:val="FootnoteText"/>
        <w:spacing w:after="0"/>
        <w:rPr>
          <w:rFonts w:cs="Arial"/>
          <w:szCs w:val="18"/>
          <w:lang w:val="en-US"/>
        </w:rPr>
      </w:pPr>
      <w:r w:rsidRPr="009E70C2">
        <w:rPr>
          <w:rStyle w:val="FootnoteReference"/>
          <w:rFonts w:cs="Arial"/>
          <w:szCs w:val="18"/>
        </w:rPr>
        <w:footnoteRef/>
      </w:r>
      <w:r w:rsidRPr="009E70C2">
        <w:rPr>
          <w:rFonts w:cs="Arial"/>
          <w:szCs w:val="18"/>
        </w:rPr>
        <w:t xml:space="preserve"> </w:t>
      </w:r>
      <w:r w:rsidRPr="009E70C2">
        <w:rPr>
          <w:rFonts w:cs="Arial"/>
          <w:szCs w:val="18"/>
          <w:lang w:val="en-US"/>
        </w:rPr>
        <w:t xml:space="preserve">The </w:t>
      </w:r>
      <w:hyperlink r:id="rId30" w:history="1">
        <w:r w:rsidRPr="009E70C2">
          <w:rPr>
            <w:rStyle w:val="Hyperlink"/>
            <w:rFonts w:cs="Arial"/>
            <w:szCs w:val="18"/>
            <w:lang w:val="en-US"/>
          </w:rPr>
          <w:t>Office of the Commissioner General for Refugees and Stateless Persons</w:t>
        </w:r>
      </w:hyperlink>
      <w:r w:rsidRPr="009E70C2">
        <w:rPr>
          <w:rFonts w:cs="Arial"/>
          <w:szCs w:val="18"/>
          <w:lang w:val="en-US"/>
        </w:rPr>
        <w:t xml:space="preserve"> (</w:t>
      </w:r>
      <w:r w:rsidRPr="009E70C2">
        <w:rPr>
          <w:rFonts w:cs="Arial"/>
          <w:i/>
          <w:szCs w:val="18"/>
          <w:lang w:val="en-US"/>
        </w:rPr>
        <w:t>Het Commissariaat-generaal voor de Vluchtelingen en de Staatlozen – Le Commissariat Général aux Réfugiés et aux Apatrides</w:t>
      </w:r>
      <w:r w:rsidRPr="009E70C2">
        <w:rPr>
          <w:rFonts w:cs="Arial"/>
          <w:szCs w:val="18"/>
          <w:lang w:val="en-US"/>
        </w:rPr>
        <w:t>).</w:t>
      </w:r>
    </w:p>
  </w:footnote>
  <w:footnote w:id="32">
    <w:p w:rsidR="00F60A1E" w:rsidRPr="009E70C2" w:rsidRDefault="00F60A1E" w:rsidP="00F60A1E">
      <w:pPr>
        <w:pStyle w:val="FootnoteText"/>
        <w:spacing w:after="0"/>
        <w:rPr>
          <w:rFonts w:cs="Arial"/>
          <w:szCs w:val="18"/>
          <w:lang w:val="en-US"/>
        </w:rPr>
      </w:pPr>
      <w:r w:rsidRPr="009E70C2">
        <w:rPr>
          <w:rStyle w:val="FootnoteReference"/>
          <w:rFonts w:cs="Arial"/>
          <w:szCs w:val="18"/>
        </w:rPr>
        <w:footnoteRef/>
      </w:r>
      <w:r w:rsidRPr="009E70C2">
        <w:rPr>
          <w:rFonts w:cs="Arial"/>
          <w:szCs w:val="18"/>
        </w:rPr>
        <w:t xml:space="preserve"> </w:t>
      </w:r>
      <w:r w:rsidRPr="009E70C2">
        <w:rPr>
          <w:rFonts w:cs="Arial"/>
          <w:szCs w:val="18"/>
          <w:lang w:val="en-US"/>
        </w:rPr>
        <w:t xml:space="preserve">The </w:t>
      </w:r>
      <w:hyperlink r:id="rId31" w:history="1">
        <w:r w:rsidRPr="009E70C2">
          <w:rPr>
            <w:rStyle w:val="Hyperlink"/>
            <w:rFonts w:cs="Arial"/>
            <w:szCs w:val="18"/>
            <w:lang w:val="en-US"/>
          </w:rPr>
          <w:t>Immigration Office</w:t>
        </w:r>
      </w:hyperlink>
      <w:r w:rsidRPr="009E70C2">
        <w:rPr>
          <w:rFonts w:cs="Arial"/>
          <w:szCs w:val="18"/>
        </w:rPr>
        <w:t xml:space="preserve"> (</w:t>
      </w:r>
      <w:r w:rsidRPr="009E70C2">
        <w:rPr>
          <w:rFonts w:cs="Arial"/>
          <w:i/>
          <w:szCs w:val="18"/>
        </w:rPr>
        <w:t>Dienst Vreemdelingenzaken – Office des Etrangers</w:t>
      </w:r>
      <w:r w:rsidRPr="009E70C2">
        <w:rPr>
          <w:rFonts w:cs="Arial"/>
          <w:szCs w:val="18"/>
        </w:rPr>
        <w:t>)</w:t>
      </w:r>
      <w:r w:rsidRPr="009E70C2">
        <w:rPr>
          <w:rFonts w:cs="Arial"/>
          <w:szCs w:val="18"/>
          <w:lang w:val="en-US"/>
        </w:rPr>
        <w:t>.</w:t>
      </w:r>
    </w:p>
  </w:footnote>
  <w:footnote w:id="33">
    <w:p w:rsidR="00F60A1E" w:rsidRPr="009E70C2" w:rsidRDefault="00F60A1E" w:rsidP="00F60A1E">
      <w:pPr>
        <w:pStyle w:val="FootnoteText"/>
        <w:spacing w:after="0"/>
        <w:rPr>
          <w:rFonts w:cs="Arial"/>
          <w:szCs w:val="18"/>
          <w:lang w:val="en-US"/>
        </w:rPr>
      </w:pPr>
      <w:r w:rsidRPr="009E70C2">
        <w:rPr>
          <w:rStyle w:val="FootnoteReference"/>
          <w:rFonts w:cs="Arial"/>
          <w:szCs w:val="18"/>
        </w:rPr>
        <w:footnoteRef/>
      </w:r>
      <w:r w:rsidRPr="009E70C2">
        <w:rPr>
          <w:rFonts w:cs="Arial"/>
          <w:szCs w:val="18"/>
        </w:rPr>
        <w:t xml:space="preserve"> </w:t>
      </w:r>
      <w:r w:rsidRPr="009E70C2">
        <w:rPr>
          <w:rFonts w:cs="Arial"/>
          <w:szCs w:val="18"/>
          <w:lang w:val="en-US"/>
        </w:rPr>
        <w:t xml:space="preserve">The </w:t>
      </w:r>
      <w:hyperlink r:id="rId32" w:history="1">
        <w:r w:rsidRPr="009E70C2">
          <w:rPr>
            <w:rStyle w:val="Hyperlink"/>
            <w:rFonts w:cs="Arial"/>
            <w:szCs w:val="18"/>
            <w:lang w:val="en-US"/>
          </w:rPr>
          <w:t>Council of Foreigners Litigation</w:t>
        </w:r>
      </w:hyperlink>
      <w:r w:rsidRPr="009E70C2">
        <w:rPr>
          <w:rFonts w:cs="Arial"/>
          <w:szCs w:val="18"/>
          <w:lang w:val="en-US"/>
        </w:rPr>
        <w:t xml:space="preserve"> (</w:t>
      </w:r>
      <w:r w:rsidRPr="009E70C2">
        <w:rPr>
          <w:rFonts w:cs="Arial"/>
          <w:i/>
          <w:szCs w:val="18"/>
          <w:lang w:val="en-US"/>
        </w:rPr>
        <w:t>Raad voor Vreemdelingenbetwistingen</w:t>
      </w:r>
      <w:r w:rsidRPr="009E70C2">
        <w:rPr>
          <w:rFonts w:cs="Arial"/>
          <w:szCs w:val="18"/>
          <w:lang w:val="en-US"/>
        </w:rPr>
        <w:t xml:space="preserve"> – </w:t>
      </w:r>
      <w:r w:rsidRPr="009E70C2">
        <w:rPr>
          <w:rFonts w:cs="Arial"/>
          <w:i/>
          <w:szCs w:val="18"/>
          <w:lang w:val="en-US"/>
        </w:rPr>
        <w:t>Conseil du Contentieux des Etrangers</w:t>
      </w:r>
      <w:r w:rsidRPr="009E70C2">
        <w:rPr>
          <w:rFonts w:cs="Arial"/>
          <w:szCs w:val="18"/>
          <w:lang w:val="en-US"/>
        </w:rPr>
        <w:t xml:space="preserve">); </w:t>
      </w:r>
      <w:hyperlink r:id="rId33" w:history="1">
        <w:r w:rsidRPr="009E70C2">
          <w:rPr>
            <w:rStyle w:val="Hyperlink"/>
            <w:rFonts w:cs="Arial"/>
            <w:szCs w:val="18"/>
            <w:lang w:val="en-US"/>
          </w:rPr>
          <w:t>Act of 15 December 1980 on the access to the territory, stay, establishment and expulsion of foreigners</w:t>
        </w:r>
      </w:hyperlink>
      <w:r w:rsidRPr="009E70C2">
        <w:rPr>
          <w:rFonts w:cs="Arial"/>
          <w:szCs w:val="18"/>
          <w:lang w:val="en-US"/>
        </w:rPr>
        <w:t xml:space="preserve">; </w:t>
      </w:r>
      <w:hyperlink r:id="rId34" w:history="1">
        <w:r w:rsidRPr="009E70C2">
          <w:rPr>
            <w:rStyle w:val="Hyperlink"/>
            <w:rFonts w:cs="Arial"/>
            <w:szCs w:val="18"/>
            <w:lang w:val="en-US"/>
          </w:rPr>
          <w:t>Royal Decree of 21 December 2006 on the procedure before the Council of Foreigners Litigation</w:t>
        </w:r>
      </w:hyperlink>
      <w:r w:rsidRPr="009E70C2">
        <w:rPr>
          <w:rFonts w:cs="Arial"/>
          <w:szCs w:val="18"/>
          <w:lang w:val="en-US"/>
        </w:rPr>
        <w:t>.</w:t>
      </w:r>
    </w:p>
  </w:footnote>
  <w:footnote w:id="34">
    <w:p w:rsidR="00F60A1E" w:rsidRPr="00AF32C2" w:rsidRDefault="00F60A1E" w:rsidP="00F60A1E">
      <w:pPr>
        <w:pStyle w:val="FootnoteText"/>
        <w:spacing w:after="0"/>
        <w:rPr>
          <w:sz w:val="16"/>
          <w:szCs w:val="16"/>
        </w:rPr>
      </w:pPr>
      <w:r w:rsidRPr="009E70C2">
        <w:rPr>
          <w:rStyle w:val="FootnoteReference"/>
          <w:szCs w:val="18"/>
        </w:rPr>
        <w:footnoteRef/>
      </w:r>
      <w:r w:rsidRPr="009E70C2">
        <w:rPr>
          <w:szCs w:val="18"/>
        </w:rPr>
        <w:t xml:space="preserve"> </w:t>
      </w:r>
      <w:r w:rsidRPr="009E70C2">
        <w:rPr>
          <w:szCs w:val="18"/>
          <w:lang w:val="en-US"/>
        </w:rPr>
        <w:t xml:space="preserve">Article 14 of the </w:t>
      </w:r>
      <w:hyperlink r:id="rId35" w:history="1">
        <w:r w:rsidRPr="009E70C2">
          <w:rPr>
            <w:rStyle w:val="Hyperlink"/>
            <w:szCs w:val="18"/>
          </w:rPr>
          <w:t>Coordinated Laws of 12 January 1973 on the Council of State</w:t>
        </w:r>
      </w:hyperlink>
      <w:r w:rsidRPr="009E70C2">
        <w:rPr>
          <w:szCs w:val="18"/>
          <w:lang w:val="en-US"/>
        </w:rPr>
        <w:t xml:space="preserve"> and </w:t>
      </w:r>
      <w:r w:rsidRPr="009E70C2">
        <w:rPr>
          <w:rFonts w:cs="Arial"/>
          <w:szCs w:val="18"/>
          <w:lang w:val="en-US"/>
        </w:rPr>
        <w:t xml:space="preserve">Michel Leroy, </w:t>
      </w:r>
      <w:r w:rsidRPr="009E70C2">
        <w:rPr>
          <w:rFonts w:cs="Arial"/>
          <w:i/>
          <w:szCs w:val="18"/>
          <w:lang w:val="en-US"/>
        </w:rPr>
        <w:t>Contentieux administratif</w:t>
      </w:r>
      <w:r w:rsidRPr="009E70C2">
        <w:rPr>
          <w:rFonts w:cs="Arial"/>
          <w:szCs w:val="18"/>
          <w:lang w:val="en-US"/>
        </w:rPr>
        <w:t>, Anthemis, Brussels, 2011, p. 836.</w:t>
      </w:r>
    </w:p>
  </w:footnote>
  <w:footnote w:id="35">
    <w:p w:rsidR="00F60A1E" w:rsidRPr="009E70C2" w:rsidRDefault="00F60A1E" w:rsidP="00F60A1E">
      <w:pPr>
        <w:pStyle w:val="FootnoteText"/>
        <w:spacing w:after="0"/>
        <w:rPr>
          <w:rFonts w:cs="Arial"/>
          <w:szCs w:val="18"/>
          <w:lang w:val="en-US"/>
        </w:rPr>
      </w:pPr>
      <w:r w:rsidRPr="009E70C2">
        <w:rPr>
          <w:rStyle w:val="FootnoteReference"/>
          <w:rFonts w:cs="Arial"/>
          <w:szCs w:val="18"/>
        </w:rPr>
        <w:footnoteRef/>
      </w:r>
      <w:r w:rsidRPr="009E70C2">
        <w:rPr>
          <w:rFonts w:cs="Arial"/>
          <w:szCs w:val="18"/>
        </w:rPr>
        <w:t xml:space="preserve"> </w:t>
      </w:r>
      <w:hyperlink r:id="rId36" w:history="1">
        <w:r w:rsidRPr="009E70C2">
          <w:rPr>
            <w:rStyle w:val="Hyperlink"/>
            <w:rFonts w:cs="Arial"/>
            <w:szCs w:val="18"/>
            <w:lang w:val="en-US"/>
          </w:rPr>
          <w:t>Decree of the French Community of 24 July 1997 on the priority missions of primary and secondary education</w:t>
        </w:r>
      </w:hyperlink>
      <w:r w:rsidRPr="009E70C2">
        <w:rPr>
          <w:rFonts w:cs="Arial"/>
          <w:szCs w:val="18"/>
          <w:lang w:val="en-US"/>
        </w:rPr>
        <w:t>.</w:t>
      </w:r>
    </w:p>
  </w:footnote>
  <w:footnote w:id="36">
    <w:p w:rsidR="00F60A1E" w:rsidRPr="009E70C2" w:rsidRDefault="00F60A1E" w:rsidP="00F60A1E">
      <w:pPr>
        <w:pStyle w:val="FootnoteText"/>
        <w:spacing w:after="0"/>
        <w:rPr>
          <w:rFonts w:cs="Arial"/>
          <w:szCs w:val="18"/>
          <w:lang w:val="fr-BE"/>
        </w:rPr>
      </w:pPr>
      <w:r w:rsidRPr="009E70C2">
        <w:rPr>
          <w:rStyle w:val="FootnoteReference"/>
          <w:rFonts w:cs="Arial"/>
          <w:szCs w:val="18"/>
        </w:rPr>
        <w:footnoteRef/>
      </w:r>
      <w:r w:rsidRPr="00FF18BE">
        <w:rPr>
          <w:rFonts w:cs="Arial"/>
          <w:szCs w:val="18"/>
          <w:lang w:val="fr-BE"/>
        </w:rPr>
        <w:t xml:space="preserve"> </w:t>
      </w:r>
      <w:r w:rsidRPr="009E70C2">
        <w:rPr>
          <w:rFonts w:cs="Arial"/>
          <w:szCs w:val="18"/>
          <w:lang w:val="fr-BE"/>
        </w:rPr>
        <w:t xml:space="preserve">Michel Leroy, </w:t>
      </w:r>
      <w:r w:rsidRPr="009E70C2">
        <w:rPr>
          <w:rFonts w:cs="Arial"/>
          <w:i/>
          <w:szCs w:val="18"/>
          <w:lang w:val="fr-BE"/>
        </w:rPr>
        <w:t>Contentieux administratif</w:t>
      </w:r>
      <w:r w:rsidRPr="009E70C2">
        <w:rPr>
          <w:rFonts w:cs="Arial"/>
          <w:szCs w:val="18"/>
          <w:lang w:val="fr-BE"/>
        </w:rPr>
        <w:t>, Anthemis, Brussels, 2011, pp. 279-282.</w:t>
      </w:r>
    </w:p>
  </w:footnote>
  <w:footnote w:id="37">
    <w:p w:rsidR="00F60A1E" w:rsidRPr="009E70C2" w:rsidRDefault="00F60A1E" w:rsidP="00F60A1E">
      <w:pPr>
        <w:pStyle w:val="FootnoteText"/>
        <w:spacing w:after="0"/>
        <w:rPr>
          <w:rFonts w:cs="Arial"/>
          <w:szCs w:val="18"/>
        </w:rPr>
      </w:pPr>
      <w:r w:rsidRPr="009E70C2">
        <w:rPr>
          <w:rStyle w:val="FootnoteReference"/>
          <w:rFonts w:cs="Arial"/>
          <w:szCs w:val="18"/>
        </w:rPr>
        <w:footnoteRef/>
      </w:r>
      <w:r w:rsidRPr="009E70C2">
        <w:rPr>
          <w:rFonts w:cs="Arial"/>
          <w:szCs w:val="18"/>
        </w:rPr>
        <w:t xml:space="preserve"> Private schools are understood as schools not organised by the Wallonia-Brussels Federation, municipality or other administrative authority, but by a private organisation and receiving funding from the French Community.</w:t>
      </w:r>
    </w:p>
  </w:footnote>
  <w:footnote w:id="38">
    <w:p w:rsidR="00F60A1E" w:rsidRPr="009E70C2" w:rsidRDefault="00F60A1E" w:rsidP="00F60A1E">
      <w:pPr>
        <w:pStyle w:val="FootnoteText"/>
        <w:spacing w:after="0"/>
        <w:rPr>
          <w:rFonts w:cs="Arial"/>
          <w:szCs w:val="18"/>
          <w:lang w:val="fr-BE"/>
        </w:rPr>
      </w:pPr>
      <w:r w:rsidRPr="009E70C2">
        <w:rPr>
          <w:rStyle w:val="FootnoteReference"/>
          <w:rFonts w:cs="Arial"/>
          <w:szCs w:val="18"/>
        </w:rPr>
        <w:footnoteRef/>
      </w:r>
      <w:r w:rsidRPr="00FF18BE">
        <w:rPr>
          <w:rFonts w:cs="Arial"/>
          <w:szCs w:val="18"/>
          <w:lang w:val="fr-BE"/>
        </w:rPr>
        <w:t xml:space="preserve"> </w:t>
      </w:r>
      <w:r w:rsidRPr="009E70C2">
        <w:rPr>
          <w:rFonts w:cs="Arial"/>
          <w:szCs w:val="18"/>
          <w:lang w:val="fr-BE"/>
        </w:rPr>
        <w:t xml:space="preserve">Michel Leroy, </w:t>
      </w:r>
      <w:r w:rsidRPr="009E70C2">
        <w:rPr>
          <w:rFonts w:cs="Arial"/>
          <w:i/>
          <w:szCs w:val="18"/>
          <w:lang w:val="fr-BE"/>
        </w:rPr>
        <w:t>Contentieux administratif</w:t>
      </w:r>
      <w:r w:rsidRPr="009E70C2">
        <w:rPr>
          <w:rFonts w:cs="Arial"/>
          <w:szCs w:val="18"/>
          <w:lang w:val="fr-BE"/>
        </w:rPr>
        <w:t>, Anthemis, Brussels, 2011, pp. 279-282.</w:t>
      </w:r>
    </w:p>
  </w:footnote>
  <w:footnote w:id="39">
    <w:p w:rsidR="00F60A1E" w:rsidRPr="00AF32C2" w:rsidRDefault="00F60A1E" w:rsidP="00F60A1E">
      <w:pPr>
        <w:pStyle w:val="FootnoteText"/>
        <w:spacing w:after="0"/>
        <w:rPr>
          <w:rFonts w:cs="Arial"/>
          <w:lang w:val="en-US"/>
        </w:rPr>
      </w:pPr>
      <w:r w:rsidRPr="009E70C2">
        <w:rPr>
          <w:rStyle w:val="FootnoteReference"/>
          <w:rFonts w:cs="Arial"/>
          <w:szCs w:val="18"/>
        </w:rPr>
        <w:footnoteRef/>
      </w:r>
      <w:r w:rsidRPr="009E70C2">
        <w:rPr>
          <w:rFonts w:cs="Arial"/>
          <w:szCs w:val="18"/>
        </w:rPr>
        <w:t xml:space="preserve"> </w:t>
      </w:r>
      <w:r w:rsidRPr="009E70C2">
        <w:rPr>
          <w:rFonts w:cs="Arial"/>
          <w:szCs w:val="18"/>
          <w:lang w:val="en-US"/>
        </w:rPr>
        <w:t>ibid.</w:t>
      </w:r>
    </w:p>
  </w:footnote>
  <w:footnote w:id="40">
    <w:p w:rsidR="00F60A1E" w:rsidRPr="009E70C2" w:rsidRDefault="00F60A1E" w:rsidP="00F60A1E">
      <w:pPr>
        <w:pStyle w:val="FootnoteText"/>
        <w:spacing w:after="0"/>
        <w:rPr>
          <w:rFonts w:cs="Arial"/>
          <w:szCs w:val="18"/>
          <w:lang w:val="en-US"/>
        </w:rPr>
      </w:pPr>
      <w:r w:rsidRPr="009E70C2">
        <w:rPr>
          <w:rStyle w:val="FootnoteReference"/>
          <w:rFonts w:cs="Arial"/>
          <w:szCs w:val="18"/>
        </w:rPr>
        <w:footnoteRef/>
      </w:r>
      <w:r w:rsidRPr="009E70C2">
        <w:rPr>
          <w:rFonts w:cs="Arial"/>
          <w:szCs w:val="18"/>
        </w:rPr>
        <w:t xml:space="preserve"> </w:t>
      </w:r>
      <w:hyperlink r:id="rId37" w:history="1">
        <w:r w:rsidRPr="009E70C2">
          <w:rPr>
            <w:rStyle w:val="Hyperlink"/>
            <w:rFonts w:cs="Arial"/>
            <w:szCs w:val="18"/>
          </w:rPr>
          <w:t>Act of 22 August 2002 on patient</w:t>
        </w:r>
        <w:r w:rsidRPr="009E70C2">
          <w:rPr>
            <w:rStyle w:val="Hyperlink"/>
            <w:rFonts w:cs="Arial"/>
            <w:szCs w:val="18"/>
            <w:lang w:val="en-US"/>
          </w:rPr>
          <w:t>’s</w:t>
        </w:r>
        <w:r w:rsidRPr="009E70C2">
          <w:rPr>
            <w:rStyle w:val="Hyperlink"/>
            <w:rFonts w:cs="Arial"/>
            <w:szCs w:val="18"/>
          </w:rPr>
          <w:t xml:space="preserve"> rights</w:t>
        </w:r>
      </w:hyperlink>
      <w:r w:rsidRPr="009E70C2">
        <w:rPr>
          <w:rFonts w:cs="Arial"/>
          <w:szCs w:val="18"/>
        </w:rPr>
        <w:t xml:space="preserve"> and </w:t>
      </w:r>
      <w:hyperlink r:id="rId38" w:history="1">
        <w:r w:rsidRPr="009E70C2">
          <w:rPr>
            <w:rStyle w:val="Hyperlink"/>
            <w:rFonts w:cs="Arial"/>
            <w:szCs w:val="18"/>
            <w:lang w:val="en-US"/>
          </w:rPr>
          <w:t>Royal Decree of 1 April 2003 on the composition and functioning of the Federal Commission on Patient’s Rights</w:t>
        </w:r>
      </w:hyperlink>
      <w:r w:rsidRPr="009E70C2">
        <w:rPr>
          <w:rFonts w:cs="Arial"/>
          <w:szCs w:val="18"/>
          <w:lang w:val="en-US"/>
        </w:rPr>
        <w:t>.</w:t>
      </w:r>
    </w:p>
  </w:footnote>
  <w:footnote w:id="41">
    <w:p w:rsidR="00F60A1E" w:rsidRPr="009E70C2" w:rsidRDefault="00F60A1E" w:rsidP="00F60A1E">
      <w:pPr>
        <w:pStyle w:val="FootnoteText"/>
        <w:spacing w:after="0"/>
        <w:rPr>
          <w:szCs w:val="18"/>
        </w:rPr>
      </w:pPr>
      <w:r w:rsidRPr="009E70C2">
        <w:rPr>
          <w:rStyle w:val="FootnoteReference"/>
          <w:rFonts w:cs="Arial"/>
          <w:szCs w:val="18"/>
        </w:rPr>
        <w:footnoteRef/>
      </w:r>
      <w:r w:rsidRPr="009E70C2">
        <w:rPr>
          <w:rFonts w:cs="Arial"/>
          <w:szCs w:val="18"/>
        </w:rPr>
        <w:t xml:space="preserve"> </w:t>
      </w:r>
      <w:r w:rsidRPr="009E70C2">
        <w:rPr>
          <w:szCs w:val="18"/>
        </w:rPr>
        <w:t xml:space="preserve">Article 2 of the </w:t>
      </w:r>
      <w:hyperlink r:id="rId39" w:history="1">
        <w:r w:rsidRPr="009E70C2">
          <w:rPr>
            <w:rStyle w:val="Hyperlink"/>
            <w:szCs w:val="18"/>
          </w:rPr>
          <w:t>Act of 26 June 1990 on the protection of mentally ill persons</w:t>
        </w:r>
      </w:hyperlink>
      <w:r w:rsidRPr="009E70C2">
        <w:rPr>
          <w:szCs w:val="18"/>
        </w:rPr>
        <w:t>.</w:t>
      </w:r>
    </w:p>
  </w:footnote>
  <w:footnote w:id="42">
    <w:p w:rsidR="00F60A1E" w:rsidRPr="009E70C2" w:rsidRDefault="00F60A1E" w:rsidP="00F60A1E">
      <w:pPr>
        <w:pStyle w:val="FootnoteText"/>
        <w:spacing w:after="0"/>
        <w:rPr>
          <w:szCs w:val="18"/>
        </w:rPr>
      </w:pPr>
      <w:r w:rsidRPr="009E70C2">
        <w:rPr>
          <w:rStyle w:val="FootnoteReference"/>
          <w:rFonts w:cs="Arial"/>
          <w:szCs w:val="18"/>
        </w:rPr>
        <w:footnoteRef/>
      </w:r>
      <w:r w:rsidRPr="009E70C2">
        <w:rPr>
          <w:rFonts w:cs="Arial"/>
          <w:szCs w:val="18"/>
        </w:rPr>
        <w:t xml:space="preserve"> Article </w:t>
      </w:r>
      <w:r w:rsidRPr="009E70C2">
        <w:rPr>
          <w:rFonts w:cs="Arial"/>
          <w:szCs w:val="18"/>
          <w:lang w:val="en-US"/>
        </w:rPr>
        <w:t>37</w:t>
      </w:r>
      <w:r w:rsidRPr="009E70C2">
        <w:rPr>
          <w:rFonts w:cs="Arial"/>
          <w:szCs w:val="18"/>
        </w:rPr>
        <w:t xml:space="preserve"> of the </w:t>
      </w:r>
      <w:hyperlink r:id="rId40" w:history="1">
        <w:r w:rsidRPr="009E70C2">
          <w:rPr>
            <w:rStyle w:val="Hyperlink"/>
            <w:rFonts w:cs="Arial"/>
            <w:szCs w:val="18"/>
          </w:rPr>
          <w:t xml:space="preserve">Youth Protection Act </w:t>
        </w:r>
        <w:r w:rsidRPr="009E70C2">
          <w:rPr>
            <w:rStyle w:val="Hyperlink"/>
            <w:rFonts w:cs="Arial"/>
            <w:szCs w:val="18"/>
            <w:lang w:val="en-US"/>
          </w:rPr>
          <w:t>of 8 April 1965</w:t>
        </w:r>
      </w:hyperlink>
      <w:r w:rsidRPr="009E70C2">
        <w:rPr>
          <w:rFonts w:cs="Arial"/>
          <w:szCs w:val="18"/>
          <w:lang w:val="en-US"/>
        </w:rPr>
        <w:t xml:space="preserve"> </w:t>
      </w:r>
      <w:r w:rsidRPr="009E70C2">
        <w:rPr>
          <w:rFonts w:cs="Arial"/>
          <w:szCs w:val="18"/>
        </w:rPr>
        <w:t xml:space="preserve">and Article 1 of the </w:t>
      </w:r>
      <w:hyperlink r:id="rId41" w:history="1">
        <w:r w:rsidRPr="009E70C2">
          <w:rPr>
            <w:rStyle w:val="Hyperlink"/>
            <w:rFonts w:cs="Arial"/>
            <w:szCs w:val="18"/>
          </w:rPr>
          <w:t>Act of 26 June 1990 on the protection of mentally ill persons</w:t>
        </w:r>
      </w:hyperlink>
      <w:r w:rsidRPr="009E70C2">
        <w:rPr>
          <w:rFonts w:cs="Arial"/>
          <w:szCs w:val="18"/>
        </w:rPr>
        <w:t>.</w:t>
      </w:r>
    </w:p>
  </w:footnote>
  <w:footnote w:id="43">
    <w:p w:rsidR="00F60A1E" w:rsidRPr="009E70C2" w:rsidRDefault="00F60A1E" w:rsidP="00F60A1E">
      <w:pPr>
        <w:pStyle w:val="FootnoteText"/>
        <w:spacing w:after="0"/>
        <w:rPr>
          <w:szCs w:val="18"/>
        </w:rPr>
      </w:pPr>
      <w:r w:rsidRPr="009E70C2">
        <w:rPr>
          <w:rStyle w:val="FootnoteReference"/>
          <w:rFonts w:cs="Arial"/>
          <w:szCs w:val="18"/>
        </w:rPr>
        <w:footnoteRef/>
      </w:r>
      <w:r w:rsidRPr="009E70C2">
        <w:rPr>
          <w:rFonts w:cs="Arial"/>
          <w:szCs w:val="18"/>
        </w:rPr>
        <w:t xml:space="preserve"> </w:t>
      </w:r>
      <w:r w:rsidRPr="009E70C2">
        <w:rPr>
          <w:szCs w:val="18"/>
        </w:rPr>
        <w:t xml:space="preserve">Article 30 of </w:t>
      </w:r>
      <w:r w:rsidRPr="009E70C2">
        <w:rPr>
          <w:rFonts w:cs="Arial"/>
          <w:szCs w:val="18"/>
        </w:rPr>
        <w:t xml:space="preserve">the </w:t>
      </w:r>
      <w:hyperlink r:id="rId42" w:history="1">
        <w:r w:rsidRPr="009E70C2">
          <w:rPr>
            <w:rStyle w:val="Hyperlink"/>
            <w:rFonts w:cs="Arial"/>
            <w:szCs w:val="18"/>
          </w:rPr>
          <w:t>Act of 26 June 1990 on the protection of mentally ill persons</w:t>
        </w:r>
      </w:hyperlink>
      <w:r w:rsidRPr="009E70C2">
        <w:rPr>
          <w:rFonts w:cs="Arial"/>
          <w:szCs w:val="18"/>
        </w:rPr>
        <w:t>.</w:t>
      </w:r>
    </w:p>
  </w:footnote>
  <w:footnote w:id="44">
    <w:p w:rsidR="00F60A1E" w:rsidRPr="009E70C2" w:rsidRDefault="00F60A1E" w:rsidP="00F60A1E">
      <w:pPr>
        <w:pStyle w:val="FootnoteText"/>
        <w:spacing w:after="0"/>
        <w:jc w:val="both"/>
        <w:rPr>
          <w:rFonts w:cs="Arial"/>
          <w:szCs w:val="18"/>
        </w:rPr>
      </w:pPr>
      <w:r w:rsidRPr="009E70C2">
        <w:rPr>
          <w:rStyle w:val="FootnoteReference"/>
          <w:rFonts w:cs="Arial"/>
          <w:szCs w:val="18"/>
        </w:rPr>
        <w:footnoteRef/>
      </w:r>
      <w:r w:rsidRPr="009E70C2">
        <w:rPr>
          <w:rFonts w:cs="Arial"/>
          <w:szCs w:val="18"/>
        </w:rPr>
        <w:t xml:space="preserve"> Articles 4 and 5 of the </w:t>
      </w:r>
      <w:hyperlink r:id="rId43" w:history="1">
        <w:r w:rsidRPr="009E70C2">
          <w:rPr>
            <w:rStyle w:val="Hyperlink"/>
            <w:rFonts w:cs="Arial"/>
            <w:szCs w:val="18"/>
          </w:rPr>
          <w:t xml:space="preserve">Flemish Decree of 7 May 2004 on </w:t>
        </w:r>
        <w:r w:rsidRPr="009E70C2">
          <w:rPr>
            <w:rStyle w:val="Hyperlink"/>
            <w:rFonts w:cs="Arial"/>
            <w:szCs w:val="18"/>
            <w:lang w:val="en-US"/>
          </w:rPr>
          <w:t xml:space="preserve">a </w:t>
        </w:r>
        <w:r w:rsidRPr="009E70C2">
          <w:rPr>
            <w:rStyle w:val="Hyperlink"/>
            <w:rFonts w:cs="Arial"/>
            <w:szCs w:val="18"/>
          </w:rPr>
          <w:t>minors’</w:t>
        </w:r>
        <w:r w:rsidRPr="009E70C2">
          <w:rPr>
            <w:rStyle w:val="Hyperlink"/>
            <w:rFonts w:cs="Arial"/>
            <w:szCs w:val="18"/>
            <w:lang w:val="en-US"/>
          </w:rPr>
          <w:t xml:space="preserve"> legal</w:t>
        </w:r>
        <w:r w:rsidRPr="009E70C2">
          <w:rPr>
            <w:rStyle w:val="Hyperlink"/>
            <w:rFonts w:cs="Arial"/>
            <w:szCs w:val="18"/>
          </w:rPr>
          <w:t xml:space="preserve"> status </w:t>
        </w:r>
        <w:r w:rsidRPr="009E70C2">
          <w:rPr>
            <w:rStyle w:val="Hyperlink"/>
            <w:rFonts w:cs="Arial"/>
            <w:szCs w:val="18"/>
            <w:lang w:val="en-US"/>
          </w:rPr>
          <w:t>on</w:t>
        </w:r>
        <w:r w:rsidRPr="009E70C2">
          <w:rPr>
            <w:rStyle w:val="Hyperlink"/>
            <w:rFonts w:cs="Arial"/>
            <w:szCs w:val="18"/>
          </w:rPr>
          <w:t xml:space="preserve"> integrated youth </w:t>
        </w:r>
        <w:r w:rsidRPr="009E70C2">
          <w:rPr>
            <w:rStyle w:val="Hyperlink"/>
            <w:rFonts w:cs="Arial"/>
            <w:szCs w:val="18"/>
            <w:lang w:val="en-US"/>
          </w:rPr>
          <w:t>servoces</w:t>
        </w:r>
      </w:hyperlink>
      <w:r w:rsidRPr="009E70C2">
        <w:rPr>
          <w:rFonts w:cs="Arial"/>
          <w:szCs w:val="18"/>
        </w:rPr>
        <w:t>.</w:t>
      </w:r>
    </w:p>
  </w:footnote>
  <w:footnote w:id="45">
    <w:p w:rsidR="00F60A1E" w:rsidRPr="00A36DEB" w:rsidRDefault="00F60A1E" w:rsidP="00F60A1E">
      <w:pPr>
        <w:pStyle w:val="FootnoteText"/>
        <w:spacing w:after="0"/>
        <w:jc w:val="both"/>
        <w:rPr>
          <w:rFonts w:cs="Arial"/>
        </w:rPr>
      </w:pPr>
      <w:r w:rsidRPr="009E70C2">
        <w:rPr>
          <w:rStyle w:val="FootnoteReference"/>
          <w:rFonts w:cs="Arial"/>
          <w:szCs w:val="18"/>
        </w:rPr>
        <w:footnoteRef/>
      </w:r>
      <w:r w:rsidRPr="009E70C2">
        <w:rPr>
          <w:rFonts w:cs="Arial"/>
          <w:szCs w:val="18"/>
        </w:rPr>
        <w:t xml:space="preserve"> Article 7 of the </w:t>
      </w:r>
      <w:hyperlink r:id="rId44" w:history="1">
        <w:r w:rsidRPr="009E70C2">
          <w:rPr>
            <w:rStyle w:val="Hyperlink"/>
            <w:rFonts w:cs="Arial"/>
            <w:szCs w:val="18"/>
          </w:rPr>
          <w:t>French Community Decree of 4 March 1991 on youth welfare</w:t>
        </w:r>
      </w:hyperlink>
      <w:r w:rsidRPr="009E70C2">
        <w:rPr>
          <w:rFonts w:cs="Arial"/>
          <w:szCs w:val="18"/>
        </w:rPr>
        <w:t>.</w:t>
      </w:r>
    </w:p>
  </w:footnote>
  <w:footnote w:id="46">
    <w:p w:rsidR="00F60A1E" w:rsidRPr="009E70C2" w:rsidRDefault="00F60A1E" w:rsidP="00F60A1E">
      <w:pPr>
        <w:pStyle w:val="FootnoteText"/>
        <w:spacing w:after="0"/>
        <w:jc w:val="both"/>
        <w:rPr>
          <w:rFonts w:cs="Arial"/>
          <w:szCs w:val="18"/>
        </w:rPr>
      </w:pPr>
      <w:r w:rsidRPr="009E70C2">
        <w:rPr>
          <w:rStyle w:val="FootnoteReference"/>
          <w:rFonts w:cs="Arial"/>
          <w:szCs w:val="18"/>
        </w:rPr>
        <w:footnoteRef/>
      </w:r>
      <w:r w:rsidRPr="009E70C2">
        <w:rPr>
          <w:rFonts w:cs="Arial"/>
          <w:szCs w:val="18"/>
        </w:rPr>
        <w:t xml:space="preserve"> </w:t>
      </w:r>
      <w:r w:rsidRPr="009E70C2">
        <w:rPr>
          <w:rFonts w:cs="Arial"/>
          <w:szCs w:val="18"/>
          <w:lang w:val="en-US"/>
        </w:rPr>
        <w:t xml:space="preserve">Article 29 </w:t>
      </w:r>
      <w:r w:rsidRPr="009E70C2">
        <w:rPr>
          <w:rFonts w:cs="Arial"/>
          <w:szCs w:val="18"/>
        </w:rPr>
        <w:t xml:space="preserve">of the </w:t>
      </w:r>
      <w:hyperlink r:id="rId45" w:history="1">
        <w:r w:rsidRPr="009E70C2">
          <w:rPr>
            <w:rStyle w:val="Hyperlink"/>
            <w:rFonts w:cs="Arial"/>
            <w:szCs w:val="18"/>
          </w:rPr>
          <w:t xml:space="preserve">Flemish Decree of 7 May 2004 on </w:t>
        </w:r>
        <w:r w:rsidRPr="009E70C2">
          <w:rPr>
            <w:rStyle w:val="Hyperlink"/>
            <w:rFonts w:cs="Arial"/>
            <w:szCs w:val="18"/>
            <w:lang w:val="en-US"/>
          </w:rPr>
          <w:t xml:space="preserve">a </w:t>
        </w:r>
        <w:r w:rsidRPr="009E70C2">
          <w:rPr>
            <w:rStyle w:val="Hyperlink"/>
            <w:rFonts w:cs="Arial"/>
            <w:szCs w:val="18"/>
          </w:rPr>
          <w:t>minors’</w:t>
        </w:r>
        <w:r w:rsidRPr="009E70C2">
          <w:rPr>
            <w:rStyle w:val="Hyperlink"/>
            <w:rFonts w:cs="Arial"/>
            <w:szCs w:val="18"/>
            <w:lang w:val="en-US"/>
          </w:rPr>
          <w:t xml:space="preserve"> legal</w:t>
        </w:r>
        <w:r w:rsidRPr="009E70C2">
          <w:rPr>
            <w:rStyle w:val="Hyperlink"/>
            <w:rFonts w:cs="Arial"/>
            <w:szCs w:val="18"/>
          </w:rPr>
          <w:t xml:space="preserve"> status </w:t>
        </w:r>
        <w:r w:rsidRPr="009E70C2">
          <w:rPr>
            <w:rStyle w:val="Hyperlink"/>
            <w:rFonts w:cs="Arial"/>
            <w:szCs w:val="18"/>
            <w:lang w:val="en-US"/>
          </w:rPr>
          <w:t>on</w:t>
        </w:r>
        <w:r w:rsidRPr="009E70C2">
          <w:rPr>
            <w:rStyle w:val="Hyperlink"/>
            <w:rFonts w:cs="Arial"/>
            <w:szCs w:val="18"/>
          </w:rPr>
          <w:t xml:space="preserve"> integrated youth </w:t>
        </w:r>
        <w:r w:rsidRPr="009E70C2">
          <w:rPr>
            <w:rStyle w:val="Hyperlink"/>
            <w:rFonts w:cs="Arial"/>
            <w:szCs w:val="18"/>
            <w:lang w:val="en-US"/>
          </w:rPr>
          <w:t xml:space="preserve">services </w:t>
        </w:r>
      </w:hyperlink>
      <w:r w:rsidRPr="009E70C2">
        <w:rPr>
          <w:rFonts w:cs="Arial"/>
          <w:szCs w:val="18"/>
          <w:lang w:val="en-US"/>
        </w:rPr>
        <w:t xml:space="preserve">and Articles 4 and 36(5) </w:t>
      </w:r>
      <w:r w:rsidRPr="009E70C2">
        <w:rPr>
          <w:rFonts w:cs="Arial"/>
          <w:szCs w:val="18"/>
        </w:rPr>
        <w:t xml:space="preserve">of the </w:t>
      </w:r>
      <w:hyperlink r:id="rId46" w:history="1">
        <w:r w:rsidRPr="009E70C2">
          <w:rPr>
            <w:rStyle w:val="Hyperlink"/>
            <w:rFonts w:cs="Arial"/>
            <w:szCs w:val="18"/>
          </w:rPr>
          <w:t>French Community Decree of 4 March 1991 on youth welfare</w:t>
        </w:r>
      </w:hyperlink>
      <w:r w:rsidRPr="009E70C2">
        <w:rPr>
          <w:rFonts w:cs="Arial"/>
          <w:szCs w:val="18"/>
        </w:rPr>
        <w:t>.</w:t>
      </w:r>
    </w:p>
  </w:footnote>
  <w:footnote w:id="47">
    <w:p w:rsidR="00F60A1E" w:rsidRPr="009E70C2" w:rsidRDefault="00F60A1E" w:rsidP="00F60A1E">
      <w:pPr>
        <w:pStyle w:val="FootnoteText"/>
        <w:spacing w:after="0"/>
        <w:rPr>
          <w:rFonts w:cs="Arial"/>
          <w:szCs w:val="18"/>
          <w:lang w:val="en-US"/>
        </w:rPr>
      </w:pPr>
      <w:r w:rsidRPr="009E70C2">
        <w:rPr>
          <w:rStyle w:val="FootnoteReference"/>
          <w:rFonts w:cs="Arial"/>
          <w:szCs w:val="18"/>
        </w:rPr>
        <w:footnoteRef/>
      </w:r>
      <w:r w:rsidRPr="009E70C2">
        <w:rPr>
          <w:rFonts w:cs="Arial"/>
          <w:szCs w:val="18"/>
        </w:rPr>
        <w:t xml:space="preserve"> </w:t>
      </w:r>
      <w:r w:rsidRPr="009E70C2">
        <w:rPr>
          <w:rFonts w:cs="Arial"/>
          <w:szCs w:val="18"/>
          <w:lang w:val="en-US"/>
        </w:rPr>
        <w:t xml:space="preserve">Article 51 of the </w:t>
      </w:r>
      <w:hyperlink r:id="rId47" w:history="1">
        <w:r w:rsidRPr="009E70C2">
          <w:rPr>
            <w:rStyle w:val="Hyperlink"/>
            <w:rFonts w:cs="Arial"/>
            <w:szCs w:val="18"/>
          </w:rPr>
          <w:t xml:space="preserve">Flemish </w:t>
        </w:r>
        <w:r w:rsidRPr="009E70C2">
          <w:rPr>
            <w:rStyle w:val="Hyperlink"/>
            <w:rFonts w:cs="Arial"/>
            <w:szCs w:val="18"/>
            <w:lang w:val="en-US"/>
          </w:rPr>
          <w:t xml:space="preserve">Community </w:t>
        </w:r>
        <w:r w:rsidRPr="009E70C2">
          <w:rPr>
            <w:rStyle w:val="Hyperlink"/>
            <w:rFonts w:cs="Arial"/>
            <w:szCs w:val="18"/>
          </w:rPr>
          <w:t xml:space="preserve">Decree of </w:t>
        </w:r>
        <w:r w:rsidRPr="009E70C2">
          <w:rPr>
            <w:rStyle w:val="Hyperlink"/>
            <w:rFonts w:cs="Arial"/>
            <w:szCs w:val="18"/>
            <w:lang w:val="en-US"/>
          </w:rPr>
          <w:t xml:space="preserve">12 July 2013 </w:t>
        </w:r>
        <w:r w:rsidRPr="009E70C2">
          <w:rPr>
            <w:rStyle w:val="Hyperlink"/>
            <w:rFonts w:cs="Arial"/>
            <w:szCs w:val="18"/>
          </w:rPr>
          <w:t>on</w:t>
        </w:r>
        <w:r w:rsidRPr="009E70C2">
          <w:rPr>
            <w:rStyle w:val="Hyperlink"/>
            <w:rFonts w:cs="Arial"/>
            <w:szCs w:val="18"/>
            <w:lang w:val="en-US"/>
          </w:rPr>
          <w:t xml:space="preserve"> i</w:t>
        </w:r>
        <w:r w:rsidRPr="009E70C2">
          <w:rPr>
            <w:rStyle w:val="Hyperlink"/>
            <w:rFonts w:cs="Arial"/>
            <w:szCs w:val="18"/>
          </w:rPr>
          <w:t xml:space="preserve">ntegrated youth </w:t>
        </w:r>
        <w:r w:rsidRPr="009E70C2">
          <w:rPr>
            <w:rStyle w:val="Hyperlink"/>
            <w:rFonts w:cs="Arial"/>
            <w:szCs w:val="18"/>
            <w:lang w:val="en-US"/>
          </w:rPr>
          <w:t>welfare</w:t>
        </w:r>
      </w:hyperlink>
      <w:r w:rsidRPr="009E70C2">
        <w:rPr>
          <w:rFonts w:cs="Arial"/>
          <w:szCs w:val="18"/>
          <w:lang w:val="en-US"/>
        </w:rPr>
        <w:t xml:space="preserve"> and Article 37 of </w:t>
      </w:r>
      <w:r w:rsidRPr="009E70C2">
        <w:rPr>
          <w:rFonts w:cs="Arial"/>
          <w:szCs w:val="18"/>
        </w:rPr>
        <w:t xml:space="preserve">the </w:t>
      </w:r>
      <w:hyperlink r:id="rId48" w:history="1">
        <w:r w:rsidRPr="009E70C2">
          <w:rPr>
            <w:rStyle w:val="Hyperlink"/>
            <w:rFonts w:cs="Arial"/>
            <w:szCs w:val="18"/>
          </w:rPr>
          <w:t>French Community Decree of 4 March 1991 on youth welfare</w:t>
        </w:r>
      </w:hyperlink>
      <w:r w:rsidRPr="009E70C2">
        <w:rPr>
          <w:rFonts w:cs="Arial"/>
          <w:szCs w:val="18"/>
          <w:lang w:val="en-US"/>
        </w:rPr>
        <w:t>.</w:t>
      </w:r>
    </w:p>
  </w:footnote>
  <w:footnote w:id="48">
    <w:p w:rsidR="00F60A1E" w:rsidRPr="009E70C2" w:rsidRDefault="00F60A1E" w:rsidP="00F60A1E">
      <w:pPr>
        <w:pStyle w:val="FootnoteText"/>
        <w:spacing w:after="0"/>
        <w:rPr>
          <w:rFonts w:cs="Arial"/>
          <w:szCs w:val="18"/>
          <w:lang w:val="en-US"/>
        </w:rPr>
      </w:pPr>
      <w:r w:rsidRPr="009E70C2">
        <w:rPr>
          <w:rStyle w:val="FootnoteReference"/>
          <w:rFonts w:cs="Arial"/>
          <w:szCs w:val="18"/>
        </w:rPr>
        <w:footnoteRef/>
      </w:r>
      <w:r w:rsidRPr="009E70C2">
        <w:rPr>
          <w:rFonts w:cs="Arial"/>
          <w:szCs w:val="18"/>
        </w:rPr>
        <w:t xml:space="preserve"> </w:t>
      </w:r>
      <w:r w:rsidRPr="009E70C2">
        <w:rPr>
          <w:rFonts w:cs="Arial"/>
          <w:szCs w:val="18"/>
          <w:lang w:val="en-US"/>
        </w:rPr>
        <w:t>The MACR is 18 years old. However, under specific conditions a child of at least 16 years may be referred to the adult criminal system and, as a result, be held criminally liable for the offence committed. There are two situations where a child at least 16 years old may be held criminally liable: 1) the youth tribunal declines jurisdiction and transfers the child to an adult criminal jurisdiction, or 2) in road traffic offences.</w:t>
      </w:r>
    </w:p>
    <w:p w:rsidR="00F60A1E" w:rsidRPr="009E70C2" w:rsidRDefault="00F60A1E" w:rsidP="00F60A1E">
      <w:pPr>
        <w:pStyle w:val="FootnoteText"/>
        <w:spacing w:after="0"/>
        <w:rPr>
          <w:rFonts w:cs="Arial"/>
          <w:szCs w:val="18"/>
        </w:rPr>
      </w:pPr>
      <w:r w:rsidRPr="009E70C2">
        <w:rPr>
          <w:rFonts w:cs="Arial"/>
          <w:szCs w:val="18"/>
          <w:lang w:val="en-US"/>
        </w:rPr>
        <w:t xml:space="preserve">1) After conducting a psychosocial investigation, the youth tribunal can conclude that a protection measure is not appropriate. The judge will transfer the case to an adult criminal court. Such a transfer is permitted only if the child is between the ages of 16 and 18 years and has already been subject to a protection measure applied by the Tribunal, or based on the seriousness of the offence. 2) Adult jurisdictions are competent, upon request of the Crown Prosecutor, to try children aged at least 16, who are suspected of traffic offences, including homicide and involuntary injury related to a traffic offence, and in relation to mandatory motor vehicles insurance. The adult jurisdiction may refer the child back to the youth tribunal if youth protection measures are more appropriate. See more information in the Study </w:t>
      </w:r>
      <w:r w:rsidRPr="009E70C2">
        <w:rPr>
          <w:rFonts w:eastAsia="Times New Roman" w:cs="Arial"/>
          <w:color w:val="000000"/>
          <w:szCs w:val="18"/>
          <w:lang w:eastAsia="zh-CN"/>
        </w:rPr>
        <w:t xml:space="preserve">to collect data on children’s involvement in </w:t>
      </w:r>
      <w:r w:rsidRPr="009E70C2">
        <w:rPr>
          <w:rFonts w:cs="Arial"/>
          <w:szCs w:val="18"/>
          <w:lang w:val="en-US"/>
        </w:rPr>
        <w:t>criminal proceedings.</w:t>
      </w:r>
    </w:p>
  </w:footnote>
  <w:footnote w:id="49">
    <w:p w:rsidR="00F60A1E" w:rsidRPr="009E70C2" w:rsidRDefault="00F60A1E" w:rsidP="00F60A1E">
      <w:pPr>
        <w:pStyle w:val="FootnoteText"/>
        <w:spacing w:after="0"/>
        <w:rPr>
          <w:rFonts w:cs="Arial"/>
          <w:szCs w:val="18"/>
        </w:rPr>
      </w:pPr>
      <w:r w:rsidRPr="009E70C2">
        <w:rPr>
          <w:rStyle w:val="FootnoteReference"/>
          <w:rFonts w:cs="Arial"/>
          <w:szCs w:val="18"/>
        </w:rPr>
        <w:footnoteRef/>
      </w:r>
      <w:r w:rsidRPr="009E70C2">
        <w:rPr>
          <w:rFonts w:cs="Arial"/>
          <w:szCs w:val="18"/>
        </w:rPr>
        <w:t xml:space="preserve"> Johan Put, ‘The Juvenile Justice System in Belgium’, in </w:t>
      </w:r>
      <w:r w:rsidRPr="009E70C2">
        <w:rPr>
          <w:rFonts w:cs="Arial"/>
          <w:i/>
          <w:szCs w:val="18"/>
        </w:rPr>
        <w:t>Juvenile Justice Systems in Europe: Current Situation and Reform Developments</w:t>
      </w:r>
      <w:r w:rsidRPr="009E70C2">
        <w:rPr>
          <w:rFonts w:cs="Arial"/>
          <w:szCs w:val="18"/>
        </w:rPr>
        <w:t>, Volume 1, p.6.</w:t>
      </w:r>
    </w:p>
  </w:footnote>
  <w:footnote w:id="50">
    <w:p w:rsidR="00F60A1E" w:rsidRPr="009E70C2" w:rsidRDefault="00F60A1E" w:rsidP="00F60A1E">
      <w:pPr>
        <w:pStyle w:val="FootnoteText"/>
        <w:spacing w:after="0"/>
        <w:rPr>
          <w:rFonts w:cs="Arial"/>
          <w:szCs w:val="18"/>
        </w:rPr>
      </w:pPr>
      <w:r w:rsidRPr="009E70C2">
        <w:rPr>
          <w:rStyle w:val="FootnoteReference"/>
          <w:rFonts w:cs="Arial"/>
          <w:szCs w:val="18"/>
        </w:rPr>
        <w:footnoteRef/>
      </w:r>
      <w:r w:rsidRPr="009E70C2">
        <w:rPr>
          <w:rFonts w:cs="Arial"/>
          <w:szCs w:val="18"/>
        </w:rPr>
        <w:t xml:space="preserve"> Information provided in writing by the Belgian authorities.</w:t>
      </w:r>
    </w:p>
  </w:footnote>
  <w:footnote w:id="51">
    <w:p w:rsidR="00F60A1E" w:rsidRPr="009E70C2" w:rsidRDefault="00F60A1E" w:rsidP="00F60A1E">
      <w:pPr>
        <w:pStyle w:val="FootnoteText"/>
        <w:spacing w:after="0"/>
        <w:rPr>
          <w:rFonts w:cs="Arial"/>
          <w:szCs w:val="18"/>
          <w:lang w:val="en-US"/>
        </w:rPr>
      </w:pPr>
      <w:r w:rsidRPr="009E70C2">
        <w:rPr>
          <w:rStyle w:val="FootnoteReference"/>
          <w:rFonts w:cs="Arial"/>
          <w:szCs w:val="18"/>
        </w:rPr>
        <w:footnoteRef/>
      </w:r>
      <w:r w:rsidRPr="009E70C2">
        <w:rPr>
          <w:rFonts w:cs="Arial"/>
          <w:szCs w:val="18"/>
        </w:rPr>
        <w:t xml:space="preserve"> </w:t>
      </w:r>
      <w:r w:rsidRPr="009E70C2">
        <w:rPr>
          <w:rFonts w:cs="Arial"/>
          <w:szCs w:val="18"/>
          <w:lang w:val="en-US"/>
        </w:rPr>
        <w:t xml:space="preserve">Article 37 of the </w:t>
      </w:r>
      <w:hyperlink r:id="rId49" w:history="1">
        <w:r w:rsidRPr="009E70C2">
          <w:rPr>
            <w:rStyle w:val="Hyperlink"/>
            <w:rFonts w:cs="Arial"/>
            <w:szCs w:val="18"/>
          </w:rPr>
          <w:t>French Community Decree of 4 March 1991 on youth care</w:t>
        </w:r>
      </w:hyperlink>
      <w:r w:rsidRPr="009E70C2">
        <w:rPr>
          <w:rStyle w:val="Hyperlink"/>
          <w:rFonts w:cs="Arial"/>
          <w:szCs w:val="18"/>
          <w:lang w:val="en-US"/>
        </w:rPr>
        <w:t xml:space="preserve">; </w:t>
      </w:r>
      <w:hyperlink r:id="rId50" w:history="1">
        <w:r w:rsidRPr="009E70C2">
          <w:rPr>
            <w:rStyle w:val="Hyperlink"/>
            <w:rFonts w:cs="Arial"/>
            <w:szCs w:val="18"/>
            <w:lang w:val="en-US"/>
          </w:rPr>
          <w:t>Decree of the Flemish Community of 12 July 2013 on integrated youth welfare</w:t>
        </w:r>
      </w:hyperlink>
      <w:r w:rsidRPr="009E70C2">
        <w:rPr>
          <w:rStyle w:val="Hyperlink"/>
          <w:rFonts w:cs="Arial"/>
          <w:szCs w:val="18"/>
          <w:lang w:val="en-US"/>
        </w:rPr>
        <w:t>.</w:t>
      </w:r>
    </w:p>
  </w:footnote>
  <w:footnote w:id="52">
    <w:p w:rsidR="00F60A1E" w:rsidRPr="00A36DEB" w:rsidRDefault="00F60A1E" w:rsidP="00F60A1E">
      <w:pPr>
        <w:pStyle w:val="FootnoteText"/>
        <w:spacing w:after="0"/>
        <w:rPr>
          <w:rFonts w:cs="Arial"/>
          <w:lang w:val="en-US"/>
        </w:rPr>
      </w:pPr>
      <w:r w:rsidRPr="009E70C2">
        <w:rPr>
          <w:rStyle w:val="FootnoteReference"/>
          <w:rFonts w:cs="Arial"/>
          <w:szCs w:val="18"/>
        </w:rPr>
        <w:footnoteRef/>
      </w:r>
      <w:r w:rsidRPr="009E70C2">
        <w:rPr>
          <w:rFonts w:cs="Arial"/>
          <w:szCs w:val="18"/>
        </w:rPr>
        <w:t xml:space="preserve"> </w:t>
      </w:r>
      <w:r w:rsidRPr="009E70C2">
        <w:rPr>
          <w:rFonts w:cs="Arial"/>
          <w:szCs w:val="18"/>
          <w:lang w:val="en-US"/>
        </w:rPr>
        <w:t xml:space="preserve">Meeting of the </w:t>
      </w:r>
      <w:r w:rsidRPr="009E70C2">
        <w:rPr>
          <w:rFonts w:cs="Arial"/>
          <w:szCs w:val="18"/>
        </w:rPr>
        <w:t xml:space="preserve"> BENELUX </w:t>
      </w:r>
      <w:r w:rsidRPr="009E70C2">
        <w:rPr>
          <w:rFonts w:cs="Arial"/>
          <w:szCs w:val="18"/>
          <w:lang w:val="en-US"/>
        </w:rPr>
        <w:t>Councils of State and of Luxembourg Administrative Court</w:t>
      </w:r>
      <w:r w:rsidRPr="009E70C2">
        <w:rPr>
          <w:rFonts w:cs="Arial"/>
          <w:szCs w:val="18"/>
        </w:rPr>
        <w:t xml:space="preserve">, </w:t>
      </w:r>
      <w:hyperlink r:id="rId51" w:history="1">
        <w:r w:rsidRPr="009E70C2">
          <w:rPr>
            <w:rStyle w:val="Hyperlink"/>
            <w:rFonts w:cs="Arial"/>
            <w:szCs w:val="18"/>
            <w:lang w:val="en-US"/>
          </w:rPr>
          <w:t>Administrative sanctions in Belgium, Luxembourg and the Netherlands Comparative Analysis</w:t>
        </w:r>
      </w:hyperlink>
      <w:r w:rsidRPr="009E70C2">
        <w:rPr>
          <w:rFonts w:cs="Arial"/>
          <w:szCs w:val="18"/>
        </w:rPr>
        <w:t>, Bru</w:t>
      </w:r>
      <w:r w:rsidRPr="009E70C2">
        <w:rPr>
          <w:rFonts w:cs="Arial"/>
          <w:szCs w:val="18"/>
          <w:lang w:val="en-US"/>
        </w:rPr>
        <w:t>ssel</w:t>
      </w:r>
      <w:r w:rsidRPr="009E70C2">
        <w:rPr>
          <w:rFonts w:cs="Arial"/>
          <w:szCs w:val="18"/>
        </w:rPr>
        <w:t>s, 2011.</w:t>
      </w:r>
    </w:p>
  </w:footnote>
  <w:footnote w:id="53">
    <w:p w:rsidR="00F60A1E" w:rsidRPr="009E70C2" w:rsidRDefault="00F60A1E" w:rsidP="00F60A1E">
      <w:pPr>
        <w:pStyle w:val="FootnoteText"/>
        <w:spacing w:after="0"/>
        <w:rPr>
          <w:szCs w:val="18"/>
          <w:lang w:val="en-US"/>
        </w:rPr>
      </w:pPr>
      <w:r w:rsidRPr="009E70C2">
        <w:rPr>
          <w:rStyle w:val="FootnoteReference"/>
          <w:szCs w:val="18"/>
        </w:rPr>
        <w:footnoteRef/>
      </w:r>
      <w:r w:rsidRPr="009E70C2">
        <w:rPr>
          <w:szCs w:val="18"/>
        </w:rPr>
        <w:t xml:space="preserve"> </w:t>
      </w:r>
      <w:r w:rsidRPr="009E70C2">
        <w:rPr>
          <w:szCs w:val="18"/>
          <w:lang w:val="en-US"/>
        </w:rPr>
        <w:t xml:space="preserve">It is noted that </w:t>
      </w:r>
      <w:hyperlink r:id="rId52" w:history="1">
        <w:r w:rsidRPr="009E70C2">
          <w:rPr>
            <w:rStyle w:val="Hyperlink"/>
            <w:szCs w:val="18"/>
            <w:lang w:val="en-US"/>
          </w:rPr>
          <w:t>human rights and children’s rights organisations</w:t>
        </w:r>
      </w:hyperlink>
      <w:r w:rsidRPr="009E70C2">
        <w:rPr>
          <w:szCs w:val="18"/>
          <w:lang w:val="en-US"/>
        </w:rPr>
        <w:t xml:space="preserve"> brought an action before the </w:t>
      </w:r>
      <w:hyperlink r:id="rId53" w:history="1">
        <w:r w:rsidRPr="009E70C2">
          <w:rPr>
            <w:rStyle w:val="Hyperlink"/>
            <w:szCs w:val="18"/>
            <w:lang w:val="en-US"/>
          </w:rPr>
          <w:t>Constitutional Court</w:t>
        </w:r>
      </w:hyperlink>
      <w:r w:rsidRPr="009E70C2">
        <w:rPr>
          <w:szCs w:val="18"/>
          <w:lang w:val="en-US"/>
        </w:rPr>
        <w:t xml:space="preserve"> to annul the </w:t>
      </w:r>
      <w:hyperlink r:id="rId54" w:history="1">
        <w:r w:rsidRPr="009E70C2">
          <w:rPr>
            <w:rStyle w:val="Hyperlink"/>
            <w:szCs w:val="18"/>
            <w:lang w:val="en-US"/>
          </w:rPr>
          <w:t>Act of 24 June 2013 on municipal administrative sanctions</w:t>
        </w:r>
      </w:hyperlink>
      <w:r w:rsidRPr="009E70C2">
        <w:rPr>
          <w:szCs w:val="18"/>
          <w:lang w:val="en-US"/>
        </w:rPr>
        <w:t xml:space="preserve"> on the grounds that the Act is discriminatory and does not provide the sufficient safeguards of due process. </w:t>
      </w:r>
    </w:p>
  </w:footnote>
  <w:footnote w:id="54">
    <w:p w:rsidR="00F60A1E" w:rsidRPr="009E70C2" w:rsidRDefault="00F60A1E" w:rsidP="00F60A1E">
      <w:pPr>
        <w:pStyle w:val="FootnoteText"/>
        <w:spacing w:after="0"/>
        <w:jc w:val="both"/>
        <w:rPr>
          <w:rFonts w:cs="Arial"/>
          <w:szCs w:val="18"/>
          <w:lang w:val="en-US"/>
        </w:rPr>
      </w:pPr>
      <w:r w:rsidRPr="009E70C2">
        <w:rPr>
          <w:rStyle w:val="FootnoteReference"/>
          <w:rFonts w:cs="Arial"/>
          <w:szCs w:val="18"/>
        </w:rPr>
        <w:footnoteRef/>
      </w:r>
      <w:r w:rsidRPr="009E70C2">
        <w:rPr>
          <w:rFonts w:cs="Arial"/>
          <w:szCs w:val="18"/>
        </w:rPr>
        <w:t xml:space="preserve"> </w:t>
      </w:r>
      <w:r w:rsidRPr="009E70C2">
        <w:rPr>
          <w:rFonts w:cs="Arial"/>
          <w:szCs w:val="18"/>
          <w:lang w:val="en-US"/>
        </w:rPr>
        <w:t xml:space="preserve">Article 24 of the </w:t>
      </w:r>
      <w:hyperlink r:id="rId55" w:history="1">
        <w:r w:rsidRPr="009E70C2">
          <w:rPr>
            <w:rStyle w:val="Hyperlink"/>
            <w:rFonts w:cs="Arial"/>
            <w:szCs w:val="18"/>
            <w:lang w:val="en-US"/>
          </w:rPr>
          <w:t>Act of 21 December 1998 on safety during football matches</w:t>
        </w:r>
      </w:hyperlink>
      <w:r w:rsidRPr="009E70C2">
        <w:rPr>
          <w:rFonts w:cs="Arial"/>
          <w:szCs w:val="18"/>
          <w:lang w:val="en-US"/>
        </w:rPr>
        <w:t>.</w:t>
      </w:r>
    </w:p>
  </w:footnote>
  <w:footnote w:id="55">
    <w:p w:rsidR="00F60A1E" w:rsidRPr="009E70C2" w:rsidRDefault="00F60A1E" w:rsidP="00F60A1E">
      <w:pPr>
        <w:pStyle w:val="FootnoteText"/>
        <w:spacing w:after="0"/>
        <w:rPr>
          <w:rFonts w:cs="Arial"/>
          <w:szCs w:val="18"/>
          <w:lang w:val="en-US"/>
        </w:rPr>
      </w:pPr>
      <w:r w:rsidRPr="009E70C2">
        <w:rPr>
          <w:rStyle w:val="FootnoteReference"/>
          <w:rFonts w:cs="Arial"/>
          <w:szCs w:val="18"/>
        </w:rPr>
        <w:footnoteRef/>
      </w:r>
      <w:r w:rsidRPr="009E70C2">
        <w:rPr>
          <w:rFonts w:cs="Arial"/>
          <w:szCs w:val="18"/>
        </w:rPr>
        <w:t xml:space="preserve"> </w:t>
      </w:r>
      <w:r w:rsidRPr="009E70C2">
        <w:rPr>
          <w:rFonts w:cs="Arial"/>
          <w:szCs w:val="18"/>
          <w:lang w:val="en-US"/>
        </w:rPr>
        <w:t xml:space="preserve">Article 26 of the </w:t>
      </w:r>
      <w:hyperlink r:id="rId56" w:history="1">
        <w:r w:rsidRPr="009E70C2">
          <w:rPr>
            <w:rStyle w:val="Hyperlink"/>
            <w:rFonts w:cs="Arial"/>
            <w:szCs w:val="18"/>
            <w:lang w:val="en-US"/>
          </w:rPr>
          <w:t>Act of 21 December 1998 on safety during football matches</w:t>
        </w:r>
      </w:hyperlink>
      <w:r w:rsidRPr="009E70C2">
        <w:rPr>
          <w:rFonts w:cs="Arial"/>
          <w:szCs w:val="18"/>
          <w:lang w:val="en-US"/>
        </w:rPr>
        <w:t>.</w:t>
      </w:r>
    </w:p>
  </w:footnote>
  <w:footnote w:id="56">
    <w:p w:rsidR="00F60A1E" w:rsidRPr="009E70C2" w:rsidRDefault="00F60A1E" w:rsidP="00F60A1E">
      <w:pPr>
        <w:pStyle w:val="FootnoteText"/>
        <w:spacing w:after="0"/>
        <w:rPr>
          <w:rFonts w:cs="Arial"/>
          <w:szCs w:val="18"/>
          <w:lang w:val="en-US"/>
        </w:rPr>
      </w:pPr>
      <w:r w:rsidRPr="009E70C2">
        <w:rPr>
          <w:rStyle w:val="FootnoteReference"/>
          <w:rFonts w:cs="Arial"/>
          <w:szCs w:val="18"/>
        </w:rPr>
        <w:footnoteRef/>
      </w:r>
      <w:r w:rsidRPr="009E70C2">
        <w:rPr>
          <w:rFonts w:cs="Arial"/>
          <w:szCs w:val="18"/>
        </w:rPr>
        <w:t xml:space="preserve"> </w:t>
      </w:r>
      <w:r w:rsidRPr="009E70C2">
        <w:rPr>
          <w:rFonts w:cs="Arial"/>
          <w:szCs w:val="18"/>
          <w:lang w:val="en-US"/>
        </w:rPr>
        <w:t xml:space="preserve">Article 31 of the </w:t>
      </w:r>
      <w:hyperlink r:id="rId57" w:history="1">
        <w:r w:rsidRPr="009E70C2">
          <w:rPr>
            <w:rStyle w:val="Hyperlink"/>
            <w:rFonts w:cs="Arial"/>
            <w:szCs w:val="18"/>
            <w:lang w:val="en-US"/>
          </w:rPr>
          <w:t>Act of 21 December 1998 on safety during football matches</w:t>
        </w:r>
      </w:hyperlink>
      <w:r w:rsidRPr="009E70C2">
        <w:rPr>
          <w:rFonts w:cs="Arial"/>
          <w:szCs w:val="18"/>
          <w:lang w:val="en-US"/>
        </w:rPr>
        <w:t>.</w:t>
      </w:r>
    </w:p>
  </w:footnote>
  <w:footnote w:id="57">
    <w:p w:rsidR="00F60A1E" w:rsidRPr="009E70C2" w:rsidRDefault="00F60A1E" w:rsidP="00F60A1E">
      <w:pPr>
        <w:pStyle w:val="FootnoteText"/>
        <w:spacing w:after="0"/>
        <w:rPr>
          <w:szCs w:val="18"/>
          <w:lang w:val="en-US"/>
        </w:rPr>
      </w:pPr>
      <w:r w:rsidRPr="009E70C2">
        <w:rPr>
          <w:rStyle w:val="FootnoteReference"/>
          <w:szCs w:val="18"/>
        </w:rPr>
        <w:footnoteRef/>
      </w:r>
      <w:r w:rsidRPr="009E70C2">
        <w:rPr>
          <w:szCs w:val="18"/>
        </w:rPr>
        <w:t xml:space="preserve"> </w:t>
      </w:r>
      <w:r w:rsidRPr="009E70C2">
        <w:rPr>
          <w:szCs w:val="18"/>
          <w:lang w:val="en-US"/>
        </w:rPr>
        <w:t xml:space="preserve">Article 35 </w:t>
      </w:r>
      <w:r w:rsidRPr="009E70C2">
        <w:rPr>
          <w:rFonts w:cs="Arial"/>
          <w:szCs w:val="18"/>
          <w:lang w:val="en-US"/>
        </w:rPr>
        <w:t xml:space="preserve">of the </w:t>
      </w:r>
      <w:hyperlink r:id="rId58" w:history="1">
        <w:r w:rsidRPr="009E70C2">
          <w:rPr>
            <w:rStyle w:val="Hyperlink"/>
            <w:rFonts w:cs="Arial"/>
            <w:szCs w:val="18"/>
            <w:lang w:val="en-US"/>
          </w:rPr>
          <w:t>Act of 21 December 1998 on safety during football matches</w:t>
        </w:r>
      </w:hyperlink>
      <w:r w:rsidRPr="009E70C2">
        <w:rPr>
          <w:rFonts w:cs="Arial"/>
          <w:szCs w:val="18"/>
          <w:lang w:val="en-US"/>
        </w:rPr>
        <w:t>.</w:t>
      </w:r>
    </w:p>
  </w:footnote>
  <w:footnote w:id="58">
    <w:p w:rsidR="00F60A1E" w:rsidRPr="009E70C2" w:rsidRDefault="00F60A1E" w:rsidP="00F60A1E">
      <w:pPr>
        <w:pStyle w:val="FootnoteText"/>
        <w:spacing w:after="0"/>
        <w:rPr>
          <w:rFonts w:cs="Arial"/>
          <w:szCs w:val="18"/>
          <w:lang w:val="en-US"/>
        </w:rPr>
      </w:pPr>
      <w:r w:rsidRPr="009E70C2">
        <w:rPr>
          <w:rStyle w:val="FootnoteReference"/>
          <w:rFonts w:cs="Arial"/>
          <w:szCs w:val="18"/>
        </w:rPr>
        <w:footnoteRef/>
      </w:r>
      <w:r w:rsidRPr="009E70C2">
        <w:rPr>
          <w:rFonts w:cs="Arial"/>
          <w:szCs w:val="18"/>
        </w:rPr>
        <w:t xml:space="preserve"> </w:t>
      </w:r>
      <w:r w:rsidRPr="009E70C2">
        <w:rPr>
          <w:rFonts w:cs="Arial"/>
          <w:szCs w:val="18"/>
          <w:lang w:val="en-US"/>
        </w:rPr>
        <w:t xml:space="preserve">Article 3 of the </w:t>
      </w:r>
      <w:hyperlink r:id="rId59" w:history="1">
        <w:r w:rsidRPr="009E70C2">
          <w:rPr>
            <w:rStyle w:val="Hyperlink"/>
            <w:rFonts w:cs="Arial"/>
            <w:szCs w:val="18"/>
            <w:lang w:val="en-US"/>
          </w:rPr>
          <w:t>Act of 24 June 2013 on municipal administrative sanctions</w:t>
        </w:r>
      </w:hyperlink>
      <w:r w:rsidRPr="009E70C2">
        <w:rPr>
          <w:rFonts w:cs="Arial"/>
          <w:szCs w:val="18"/>
        </w:rPr>
        <w:t xml:space="preserve"> </w:t>
      </w:r>
      <w:r w:rsidRPr="009E70C2">
        <w:rPr>
          <w:rFonts w:cs="Arial"/>
          <w:szCs w:val="18"/>
          <w:lang w:val="en-US"/>
        </w:rPr>
        <w:t xml:space="preserve">and </w:t>
      </w:r>
      <w:hyperlink r:id="rId60" w:history="1">
        <w:r w:rsidRPr="009E70C2">
          <w:rPr>
            <w:rStyle w:val="Hyperlink"/>
            <w:rFonts w:cs="Arial"/>
            <w:szCs w:val="18"/>
          </w:rPr>
          <w:t>Act of 16 March 1968 on the</w:t>
        </w:r>
        <w:r w:rsidRPr="009E70C2">
          <w:rPr>
            <w:rStyle w:val="Hyperlink"/>
            <w:rFonts w:cs="Arial"/>
            <w:szCs w:val="18"/>
            <w:lang w:val="en-US"/>
          </w:rPr>
          <w:t xml:space="preserve"> road</w:t>
        </w:r>
        <w:r w:rsidRPr="009E70C2">
          <w:rPr>
            <w:rStyle w:val="Hyperlink"/>
            <w:rFonts w:cs="Arial"/>
            <w:szCs w:val="18"/>
          </w:rPr>
          <w:t xml:space="preserve"> traffi</w:t>
        </w:r>
        <w:r w:rsidRPr="009E70C2">
          <w:rPr>
            <w:rStyle w:val="Hyperlink"/>
            <w:rFonts w:cs="Arial"/>
            <w:szCs w:val="18"/>
            <w:lang w:val="en-US"/>
          </w:rPr>
          <w:t>c police</w:t>
        </w:r>
      </w:hyperlink>
      <w:r w:rsidRPr="009E70C2">
        <w:rPr>
          <w:rFonts w:cs="Arial"/>
          <w:szCs w:val="18"/>
          <w:lang w:val="en-US"/>
        </w:rPr>
        <w:t>.</w:t>
      </w:r>
    </w:p>
  </w:footnote>
  <w:footnote w:id="59">
    <w:p w:rsidR="00F60A1E" w:rsidRPr="009E70C2" w:rsidRDefault="00F60A1E" w:rsidP="00F60A1E">
      <w:pPr>
        <w:pStyle w:val="FootnoteText"/>
        <w:spacing w:after="0"/>
        <w:rPr>
          <w:rFonts w:cs="Arial"/>
          <w:szCs w:val="18"/>
        </w:rPr>
      </w:pPr>
      <w:r w:rsidRPr="009E70C2">
        <w:rPr>
          <w:rStyle w:val="FootnoteReference"/>
          <w:rFonts w:cs="Arial"/>
          <w:szCs w:val="18"/>
        </w:rPr>
        <w:footnoteRef/>
      </w:r>
      <w:r w:rsidRPr="009E70C2">
        <w:rPr>
          <w:rFonts w:cs="Arial"/>
          <w:szCs w:val="18"/>
        </w:rPr>
        <w:t xml:space="preserve"> </w:t>
      </w:r>
      <w:r w:rsidRPr="009E70C2">
        <w:rPr>
          <w:rFonts w:cs="Arial"/>
          <w:szCs w:val="18"/>
          <w:lang w:val="en-US"/>
        </w:rPr>
        <w:t xml:space="preserve">Article 18 of the </w:t>
      </w:r>
      <w:hyperlink r:id="rId61" w:history="1">
        <w:r w:rsidRPr="009E70C2">
          <w:rPr>
            <w:rStyle w:val="Hyperlink"/>
            <w:rFonts w:cs="Arial"/>
            <w:szCs w:val="18"/>
            <w:lang w:val="en-US"/>
          </w:rPr>
          <w:t>Act of 24 June 2013 on municipal administrative sanctions</w:t>
        </w:r>
      </w:hyperlink>
      <w:r w:rsidRPr="009E70C2">
        <w:rPr>
          <w:rFonts w:cs="Arial"/>
          <w:szCs w:val="18"/>
          <w:lang w:val="en-US"/>
        </w:rPr>
        <w:t>.</w:t>
      </w:r>
    </w:p>
  </w:footnote>
  <w:footnote w:id="60">
    <w:p w:rsidR="00F60A1E" w:rsidRPr="009E70C2" w:rsidRDefault="00F60A1E" w:rsidP="00F60A1E">
      <w:pPr>
        <w:pStyle w:val="FootnoteText"/>
        <w:spacing w:after="0"/>
        <w:jc w:val="both"/>
        <w:rPr>
          <w:rFonts w:cs="Arial"/>
          <w:szCs w:val="18"/>
          <w:lang w:val="en-US"/>
        </w:rPr>
      </w:pPr>
      <w:r w:rsidRPr="009E70C2">
        <w:rPr>
          <w:rStyle w:val="FootnoteReference"/>
          <w:rFonts w:cs="Arial"/>
          <w:szCs w:val="18"/>
        </w:rPr>
        <w:footnoteRef/>
      </w:r>
      <w:r w:rsidRPr="009E70C2">
        <w:rPr>
          <w:rFonts w:cs="Arial"/>
          <w:szCs w:val="18"/>
        </w:rPr>
        <w:t xml:space="preserve"> </w:t>
      </w:r>
      <w:r w:rsidRPr="009E70C2">
        <w:rPr>
          <w:rFonts w:cs="Arial"/>
          <w:szCs w:val="18"/>
          <w:lang w:val="en-US"/>
        </w:rPr>
        <w:t xml:space="preserve">Article 4 of the </w:t>
      </w:r>
      <w:hyperlink r:id="rId62" w:history="1">
        <w:r w:rsidRPr="009E70C2">
          <w:rPr>
            <w:rStyle w:val="Hyperlink"/>
            <w:rFonts w:cs="Arial"/>
            <w:szCs w:val="18"/>
            <w:lang w:val="en-US"/>
          </w:rPr>
          <w:t>Act of 24 June 2013 on municipal administrative sanctions</w:t>
        </w:r>
      </w:hyperlink>
      <w:r w:rsidRPr="009E70C2">
        <w:rPr>
          <w:rFonts w:cs="Arial"/>
          <w:szCs w:val="18"/>
          <w:lang w:val="en-US"/>
        </w:rPr>
        <w:t>.</w:t>
      </w:r>
    </w:p>
  </w:footnote>
  <w:footnote w:id="61">
    <w:p w:rsidR="00F60A1E" w:rsidRPr="009E70C2" w:rsidRDefault="00F60A1E" w:rsidP="00F60A1E">
      <w:pPr>
        <w:pStyle w:val="FootnoteText"/>
        <w:spacing w:after="0"/>
        <w:jc w:val="both"/>
        <w:rPr>
          <w:rFonts w:cs="Arial"/>
          <w:szCs w:val="18"/>
          <w:lang w:val="en-US"/>
        </w:rPr>
      </w:pPr>
      <w:r w:rsidRPr="009E70C2">
        <w:rPr>
          <w:rStyle w:val="FootnoteReference"/>
          <w:rFonts w:cs="Arial"/>
          <w:szCs w:val="18"/>
        </w:rPr>
        <w:footnoteRef/>
      </w:r>
      <w:r w:rsidRPr="009E70C2">
        <w:rPr>
          <w:rFonts w:cs="Arial"/>
          <w:szCs w:val="18"/>
        </w:rPr>
        <w:t xml:space="preserve"> </w:t>
      </w:r>
      <w:r w:rsidRPr="009E70C2">
        <w:rPr>
          <w:rFonts w:cs="Arial"/>
          <w:szCs w:val="18"/>
          <w:lang w:val="en-US"/>
        </w:rPr>
        <w:t xml:space="preserve">Article 19 of the </w:t>
      </w:r>
      <w:hyperlink r:id="rId63" w:history="1">
        <w:r w:rsidRPr="009E70C2">
          <w:rPr>
            <w:rStyle w:val="Hyperlink"/>
            <w:rFonts w:cs="Arial"/>
            <w:szCs w:val="18"/>
            <w:lang w:val="en-US"/>
          </w:rPr>
          <w:t>Act of 24 June 2013 on municipal administrative sanctions</w:t>
        </w:r>
      </w:hyperlink>
      <w:r w:rsidRPr="009E70C2">
        <w:rPr>
          <w:rFonts w:cs="Arial"/>
          <w:szCs w:val="18"/>
          <w:lang w:val="en-US"/>
        </w:rPr>
        <w:t>.</w:t>
      </w:r>
    </w:p>
  </w:footnote>
  <w:footnote w:id="62">
    <w:p w:rsidR="00F60A1E" w:rsidRPr="009E70C2" w:rsidRDefault="00F60A1E" w:rsidP="00F60A1E">
      <w:pPr>
        <w:pStyle w:val="FootnoteText"/>
        <w:spacing w:after="0"/>
        <w:jc w:val="both"/>
        <w:rPr>
          <w:rFonts w:cs="Arial"/>
          <w:szCs w:val="18"/>
          <w:lang w:val="en-US"/>
        </w:rPr>
      </w:pPr>
      <w:r w:rsidRPr="009E70C2">
        <w:rPr>
          <w:rStyle w:val="FootnoteReference"/>
          <w:rFonts w:cs="Arial"/>
          <w:szCs w:val="18"/>
        </w:rPr>
        <w:footnoteRef/>
      </w:r>
      <w:r w:rsidRPr="009E70C2">
        <w:rPr>
          <w:rFonts w:cs="Arial"/>
          <w:szCs w:val="18"/>
        </w:rPr>
        <w:t xml:space="preserve"> </w:t>
      </w:r>
      <w:r w:rsidRPr="009E70C2">
        <w:rPr>
          <w:rFonts w:cs="Arial"/>
          <w:szCs w:val="18"/>
          <w:lang w:val="en-US"/>
        </w:rPr>
        <w:t xml:space="preserve">Article 16 of the </w:t>
      </w:r>
      <w:hyperlink r:id="rId64" w:history="1">
        <w:r w:rsidRPr="009E70C2">
          <w:rPr>
            <w:rStyle w:val="Hyperlink"/>
            <w:rFonts w:cs="Arial"/>
            <w:szCs w:val="18"/>
            <w:lang w:val="en-US"/>
          </w:rPr>
          <w:t>Act of 24 June 2013 on municipal administrative sanctions</w:t>
        </w:r>
      </w:hyperlink>
      <w:r w:rsidRPr="009E70C2">
        <w:rPr>
          <w:rFonts w:cs="Arial"/>
          <w:szCs w:val="18"/>
          <w:lang w:val="en-US"/>
        </w:rPr>
        <w:t>.</w:t>
      </w:r>
    </w:p>
  </w:footnote>
  <w:footnote w:id="63">
    <w:p w:rsidR="00F60A1E" w:rsidRPr="009E70C2" w:rsidRDefault="00F60A1E" w:rsidP="00F60A1E">
      <w:pPr>
        <w:pStyle w:val="FootnoteText"/>
        <w:spacing w:after="0"/>
        <w:rPr>
          <w:rFonts w:cs="Arial"/>
          <w:szCs w:val="18"/>
        </w:rPr>
      </w:pPr>
      <w:r w:rsidRPr="009E70C2">
        <w:rPr>
          <w:rStyle w:val="FootnoteReference"/>
          <w:rFonts w:cs="Arial"/>
          <w:szCs w:val="18"/>
        </w:rPr>
        <w:footnoteRef/>
      </w:r>
      <w:r w:rsidRPr="009E70C2">
        <w:rPr>
          <w:rFonts w:cs="Arial"/>
          <w:szCs w:val="18"/>
        </w:rPr>
        <w:t xml:space="preserve"> Article</w:t>
      </w:r>
      <w:r w:rsidRPr="009E70C2">
        <w:rPr>
          <w:rFonts w:cs="Arial"/>
          <w:szCs w:val="18"/>
          <w:lang w:val="en-US"/>
        </w:rPr>
        <w:t>s</w:t>
      </w:r>
      <w:r w:rsidRPr="009E70C2">
        <w:rPr>
          <w:rFonts w:cs="Arial"/>
          <w:szCs w:val="18"/>
        </w:rPr>
        <w:t xml:space="preserve"> 37 of the </w:t>
      </w:r>
      <w:hyperlink r:id="rId65" w:history="1">
        <w:r w:rsidRPr="009E70C2">
          <w:rPr>
            <w:rStyle w:val="Hyperlink"/>
            <w:rFonts w:cs="Arial"/>
            <w:szCs w:val="18"/>
          </w:rPr>
          <w:t>Youth Protection Act</w:t>
        </w:r>
      </w:hyperlink>
      <w:r w:rsidRPr="009E70C2">
        <w:rPr>
          <w:rFonts w:cs="Arial"/>
          <w:szCs w:val="18"/>
        </w:rPr>
        <w:t>.</w:t>
      </w:r>
    </w:p>
  </w:footnote>
  <w:footnote w:id="64">
    <w:p w:rsidR="00F60A1E" w:rsidRPr="00A36DEB" w:rsidRDefault="00F60A1E" w:rsidP="00F60A1E">
      <w:pPr>
        <w:pStyle w:val="FootnoteText"/>
        <w:spacing w:after="0"/>
        <w:rPr>
          <w:rFonts w:cs="Arial"/>
        </w:rPr>
      </w:pPr>
      <w:r w:rsidRPr="009E70C2">
        <w:rPr>
          <w:rStyle w:val="FootnoteReference"/>
          <w:rFonts w:cs="Arial"/>
          <w:szCs w:val="18"/>
        </w:rPr>
        <w:footnoteRef/>
      </w:r>
      <w:r w:rsidRPr="009E70C2">
        <w:rPr>
          <w:rFonts w:cs="Arial"/>
          <w:szCs w:val="18"/>
        </w:rPr>
        <w:t xml:space="preserve"> </w:t>
      </w:r>
      <w:r w:rsidRPr="009E70C2">
        <w:rPr>
          <w:rFonts w:cs="Arial"/>
          <w:szCs w:val="18"/>
          <w:lang w:val="en-US"/>
        </w:rPr>
        <w:t xml:space="preserve">Article 31 of the </w:t>
      </w:r>
      <w:hyperlink r:id="rId66" w:history="1">
        <w:r w:rsidRPr="009E70C2">
          <w:rPr>
            <w:rStyle w:val="Hyperlink"/>
            <w:rFonts w:cs="Arial"/>
            <w:szCs w:val="18"/>
            <w:lang w:val="en-US"/>
          </w:rPr>
          <w:t>Act of 24 June 2013 on municipal administrative sanctions</w:t>
        </w:r>
      </w:hyperlink>
      <w:r w:rsidRPr="009E70C2">
        <w:rPr>
          <w:rFonts w:cs="Arial"/>
          <w:szCs w:val="18"/>
          <w:lang w:val="en-US"/>
        </w:rPr>
        <w:t>.</w:t>
      </w:r>
    </w:p>
  </w:footnote>
  <w:footnote w:id="65">
    <w:p w:rsidR="00F60A1E" w:rsidRPr="009E70C2" w:rsidRDefault="00F60A1E" w:rsidP="00F60A1E">
      <w:pPr>
        <w:pStyle w:val="FootnoteText"/>
        <w:spacing w:after="0"/>
        <w:jc w:val="both"/>
        <w:rPr>
          <w:rFonts w:cs="Arial"/>
          <w:szCs w:val="18"/>
        </w:rPr>
      </w:pPr>
      <w:r w:rsidRPr="009E70C2">
        <w:rPr>
          <w:rStyle w:val="FootnoteReference"/>
          <w:rFonts w:cs="Arial"/>
          <w:szCs w:val="18"/>
        </w:rPr>
        <w:footnoteRef/>
      </w:r>
      <w:r w:rsidRPr="009E70C2">
        <w:rPr>
          <w:rFonts w:cs="Arial"/>
          <w:szCs w:val="18"/>
        </w:rPr>
        <w:t xml:space="preserve"> The Belgian Court of Cassation decision of 27 May 1971 (Case Franco-Suisse Le Ski). In several cases, courts have been reluctant to recognise the direct applicability of the </w:t>
      </w:r>
      <w:hyperlink r:id="rId67" w:history="1">
        <w:r w:rsidRPr="009E70C2">
          <w:rPr>
            <w:rStyle w:val="Hyperlink"/>
            <w:rFonts w:cs="Arial"/>
            <w:szCs w:val="18"/>
          </w:rPr>
          <w:t>CRC</w:t>
        </w:r>
      </w:hyperlink>
      <w:r w:rsidRPr="009E70C2">
        <w:rPr>
          <w:rFonts w:cs="Arial"/>
          <w:szCs w:val="18"/>
        </w:rPr>
        <w:t xml:space="preserve"> provisions due to their lack of clarity.</w:t>
      </w:r>
    </w:p>
  </w:footnote>
  <w:footnote w:id="66">
    <w:p w:rsidR="00F60A1E" w:rsidRPr="009E70C2" w:rsidRDefault="00F60A1E" w:rsidP="00F60A1E">
      <w:pPr>
        <w:spacing w:before="0" w:after="0" w:line="240" w:lineRule="auto"/>
        <w:jc w:val="both"/>
        <w:rPr>
          <w:sz w:val="18"/>
          <w:szCs w:val="18"/>
        </w:rPr>
      </w:pPr>
      <w:r w:rsidRPr="009E70C2">
        <w:rPr>
          <w:rStyle w:val="FootnoteReference"/>
          <w:rFonts w:cs="Arial"/>
          <w:sz w:val="18"/>
          <w:szCs w:val="18"/>
        </w:rPr>
        <w:footnoteRef/>
      </w:r>
      <w:r w:rsidRPr="009E70C2">
        <w:rPr>
          <w:sz w:val="18"/>
          <w:szCs w:val="18"/>
        </w:rPr>
        <w:t xml:space="preserve"> Preliminary Title of the </w:t>
      </w:r>
      <w:hyperlink r:id="rId68" w:history="1">
        <w:r w:rsidRPr="009E70C2">
          <w:rPr>
            <w:rStyle w:val="Hyperlink"/>
            <w:rFonts w:cs="Arial"/>
            <w:sz w:val="18"/>
            <w:szCs w:val="18"/>
          </w:rPr>
          <w:t>Youth Protection Act</w:t>
        </w:r>
      </w:hyperlink>
      <w:r w:rsidRPr="009E70C2">
        <w:rPr>
          <w:i/>
          <w:sz w:val="18"/>
          <w:szCs w:val="18"/>
        </w:rPr>
        <w:t>.</w:t>
      </w:r>
    </w:p>
  </w:footnote>
  <w:footnote w:id="67">
    <w:p w:rsidR="00F60A1E" w:rsidRPr="009E70C2" w:rsidRDefault="00F60A1E" w:rsidP="00F60A1E">
      <w:pPr>
        <w:pStyle w:val="FootnoteText"/>
        <w:spacing w:after="0"/>
        <w:jc w:val="both"/>
        <w:rPr>
          <w:rFonts w:cs="Arial"/>
          <w:szCs w:val="18"/>
        </w:rPr>
      </w:pPr>
      <w:r w:rsidRPr="009E70C2">
        <w:rPr>
          <w:rStyle w:val="FootnoteReference"/>
          <w:rFonts w:cs="Arial"/>
          <w:szCs w:val="18"/>
        </w:rPr>
        <w:footnoteRef/>
      </w:r>
      <w:r w:rsidRPr="009E70C2">
        <w:rPr>
          <w:rFonts w:cs="Arial"/>
          <w:szCs w:val="18"/>
        </w:rPr>
        <w:t xml:space="preserve"> ibid.</w:t>
      </w:r>
    </w:p>
  </w:footnote>
  <w:footnote w:id="68">
    <w:p w:rsidR="00F60A1E" w:rsidRPr="009E70C2" w:rsidRDefault="00F60A1E" w:rsidP="00F60A1E">
      <w:pPr>
        <w:pStyle w:val="FootnoteText"/>
        <w:spacing w:after="0"/>
        <w:jc w:val="both"/>
        <w:rPr>
          <w:rFonts w:cs="Arial"/>
          <w:szCs w:val="18"/>
        </w:rPr>
      </w:pPr>
      <w:r w:rsidRPr="009E70C2">
        <w:rPr>
          <w:rStyle w:val="FootnoteReference"/>
          <w:rFonts w:cs="Arial"/>
          <w:szCs w:val="18"/>
        </w:rPr>
        <w:footnoteRef/>
      </w:r>
      <w:r w:rsidRPr="009E70C2">
        <w:rPr>
          <w:rFonts w:cs="Arial"/>
          <w:szCs w:val="18"/>
        </w:rPr>
        <w:t xml:space="preserve"> Article 22bis of the </w:t>
      </w:r>
      <w:hyperlink r:id="rId69" w:history="1">
        <w:r w:rsidRPr="009E70C2">
          <w:rPr>
            <w:rStyle w:val="Hyperlink"/>
            <w:rFonts w:cs="Arial"/>
            <w:szCs w:val="18"/>
          </w:rPr>
          <w:t>Belgian Constitution</w:t>
        </w:r>
      </w:hyperlink>
      <w:r w:rsidRPr="009E70C2">
        <w:rPr>
          <w:rFonts w:cs="Arial"/>
          <w:szCs w:val="18"/>
        </w:rPr>
        <w:t>.</w:t>
      </w:r>
    </w:p>
  </w:footnote>
  <w:footnote w:id="69">
    <w:p w:rsidR="00F60A1E" w:rsidRPr="009E70C2" w:rsidRDefault="00F60A1E" w:rsidP="00F60A1E">
      <w:pPr>
        <w:pStyle w:val="FootnoteText"/>
        <w:spacing w:after="0"/>
        <w:jc w:val="both"/>
        <w:rPr>
          <w:rFonts w:cs="Arial"/>
          <w:szCs w:val="18"/>
        </w:rPr>
      </w:pPr>
      <w:r w:rsidRPr="009E70C2">
        <w:rPr>
          <w:rStyle w:val="FootnoteReference"/>
          <w:rFonts w:cs="Arial"/>
          <w:szCs w:val="18"/>
        </w:rPr>
        <w:footnoteRef/>
      </w:r>
      <w:r w:rsidRPr="009E70C2">
        <w:rPr>
          <w:rFonts w:cs="Arial"/>
          <w:szCs w:val="18"/>
        </w:rPr>
        <w:t xml:space="preserve"> Article 22bis of the </w:t>
      </w:r>
      <w:hyperlink r:id="rId70" w:history="1">
        <w:r w:rsidRPr="009E70C2">
          <w:rPr>
            <w:rStyle w:val="Hyperlink"/>
            <w:rFonts w:cs="Arial"/>
            <w:szCs w:val="18"/>
          </w:rPr>
          <w:t>Belgian Constitution</w:t>
        </w:r>
      </w:hyperlink>
      <w:r w:rsidRPr="009E70C2">
        <w:rPr>
          <w:rFonts w:cs="Arial"/>
          <w:szCs w:val="18"/>
        </w:rPr>
        <w:t>.</w:t>
      </w:r>
    </w:p>
  </w:footnote>
  <w:footnote w:id="70">
    <w:p w:rsidR="00F60A1E" w:rsidRPr="009E70C2" w:rsidRDefault="00F60A1E" w:rsidP="00F60A1E">
      <w:pPr>
        <w:pStyle w:val="FootnoteText"/>
        <w:spacing w:after="0"/>
        <w:rPr>
          <w:rFonts w:cs="Arial"/>
          <w:szCs w:val="18"/>
        </w:rPr>
      </w:pPr>
      <w:r w:rsidRPr="009E70C2">
        <w:rPr>
          <w:rStyle w:val="FootnoteReference"/>
          <w:rFonts w:cs="Arial"/>
          <w:szCs w:val="18"/>
        </w:rPr>
        <w:footnoteRef/>
      </w:r>
      <w:r w:rsidRPr="009E70C2">
        <w:rPr>
          <w:rFonts w:cs="Arial"/>
          <w:szCs w:val="18"/>
        </w:rPr>
        <w:t xml:space="preserve"> Article 37 of the </w:t>
      </w:r>
      <w:hyperlink r:id="rId71" w:history="1">
        <w:r w:rsidRPr="009E70C2">
          <w:rPr>
            <w:rStyle w:val="Hyperlink"/>
            <w:rFonts w:cs="Arial"/>
            <w:szCs w:val="18"/>
          </w:rPr>
          <w:t>Youth Protection Act</w:t>
        </w:r>
      </w:hyperlink>
      <w:r w:rsidRPr="009E70C2">
        <w:rPr>
          <w:rFonts w:cs="Arial"/>
          <w:szCs w:val="18"/>
        </w:rPr>
        <w:t>.</w:t>
      </w:r>
    </w:p>
  </w:footnote>
  <w:footnote w:id="71">
    <w:p w:rsidR="00F60A1E" w:rsidRPr="009E70C2" w:rsidRDefault="00F60A1E" w:rsidP="00F60A1E">
      <w:pPr>
        <w:pStyle w:val="FootnoteText"/>
        <w:spacing w:after="0"/>
        <w:rPr>
          <w:rFonts w:cs="Arial"/>
          <w:szCs w:val="18"/>
        </w:rPr>
      </w:pPr>
      <w:r w:rsidRPr="009E70C2">
        <w:rPr>
          <w:rStyle w:val="FootnoteReference"/>
          <w:rFonts w:cs="Arial"/>
          <w:szCs w:val="18"/>
        </w:rPr>
        <w:footnoteRef/>
      </w:r>
      <w:r w:rsidRPr="009E70C2">
        <w:rPr>
          <w:rFonts w:cs="Arial"/>
          <w:szCs w:val="18"/>
        </w:rPr>
        <w:t xml:space="preserve"> Article 5 of the </w:t>
      </w:r>
      <w:hyperlink r:id="rId72" w:history="1">
        <w:r w:rsidRPr="009E70C2">
          <w:rPr>
            <w:rStyle w:val="Hyperlink"/>
            <w:rFonts w:cs="Arial"/>
            <w:szCs w:val="18"/>
          </w:rPr>
          <w:t xml:space="preserve">Flemish Decree of 7 May 2004 on the minor status with regards to integrated youth </w:t>
        </w:r>
        <w:r w:rsidRPr="009E70C2">
          <w:rPr>
            <w:rStyle w:val="Hyperlink"/>
            <w:rFonts w:cs="Arial"/>
            <w:szCs w:val="18"/>
            <w:lang w:val="en-US"/>
          </w:rPr>
          <w:t>services</w:t>
        </w:r>
      </w:hyperlink>
      <w:r w:rsidRPr="009E70C2">
        <w:rPr>
          <w:rFonts w:cs="Arial"/>
          <w:szCs w:val="18"/>
        </w:rPr>
        <w:t>.</w:t>
      </w:r>
    </w:p>
  </w:footnote>
  <w:footnote w:id="72">
    <w:p w:rsidR="00F60A1E" w:rsidRPr="009E70C2" w:rsidRDefault="00F60A1E" w:rsidP="00F60A1E">
      <w:pPr>
        <w:pStyle w:val="FootnoteText"/>
        <w:spacing w:after="0"/>
        <w:rPr>
          <w:rFonts w:cs="Arial"/>
          <w:szCs w:val="18"/>
          <w:lang w:val="en-US"/>
        </w:rPr>
      </w:pPr>
      <w:r w:rsidRPr="009E70C2">
        <w:rPr>
          <w:rStyle w:val="FootnoteReference"/>
          <w:rFonts w:cs="Arial"/>
          <w:szCs w:val="18"/>
        </w:rPr>
        <w:footnoteRef/>
      </w:r>
      <w:r w:rsidRPr="009E70C2">
        <w:rPr>
          <w:rFonts w:cs="Arial"/>
          <w:szCs w:val="18"/>
        </w:rPr>
        <w:t xml:space="preserve"> Article 4 of the </w:t>
      </w:r>
      <w:hyperlink r:id="rId73" w:history="1">
        <w:r w:rsidRPr="009E70C2">
          <w:rPr>
            <w:rStyle w:val="Hyperlink"/>
            <w:rFonts w:cs="Arial"/>
            <w:szCs w:val="18"/>
          </w:rPr>
          <w:t>French Community Decree of 4 March 1991 on youth welfare</w:t>
        </w:r>
      </w:hyperlink>
      <w:r w:rsidRPr="009E70C2">
        <w:rPr>
          <w:rFonts w:cs="Arial"/>
          <w:szCs w:val="18"/>
          <w:lang w:val="en-US"/>
        </w:rPr>
        <w:t>.</w:t>
      </w:r>
    </w:p>
  </w:footnote>
  <w:footnote w:id="73">
    <w:p w:rsidR="00F60A1E" w:rsidRPr="00AF32C2" w:rsidRDefault="00F60A1E" w:rsidP="00F60A1E">
      <w:pPr>
        <w:pStyle w:val="FootnoteText"/>
        <w:spacing w:after="0"/>
        <w:jc w:val="both"/>
        <w:rPr>
          <w:rFonts w:cs="Arial"/>
          <w:sz w:val="16"/>
          <w:szCs w:val="16"/>
        </w:rPr>
      </w:pPr>
      <w:r w:rsidRPr="009E70C2">
        <w:rPr>
          <w:rStyle w:val="FootnoteReference"/>
          <w:rFonts w:cs="Arial"/>
          <w:szCs w:val="18"/>
        </w:rPr>
        <w:footnoteRef/>
      </w:r>
      <w:r w:rsidRPr="009E70C2">
        <w:rPr>
          <w:rFonts w:cs="Arial"/>
          <w:szCs w:val="18"/>
        </w:rPr>
        <w:t xml:space="preserve"> idem., </w:t>
      </w:r>
      <w:hyperlink r:id="rId74" w:history="1">
        <w:r w:rsidRPr="009E70C2">
          <w:rPr>
            <w:rStyle w:val="Hyperlink"/>
            <w:rFonts w:cs="Arial"/>
            <w:szCs w:val="18"/>
          </w:rPr>
          <w:t>Belgian Constitution</w:t>
        </w:r>
      </w:hyperlink>
      <w:r w:rsidRPr="009E70C2">
        <w:rPr>
          <w:rStyle w:val="Hyperlink"/>
          <w:rFonts w:cs="Arial"/>
          <w:szCs w:val="18"/>
        </w:rPr>
        <w:t>.</w:t>
      </w:r>
    </w:p>
  </w:footnote>
  <w:footnote w:id="74">
    <w:p w:rsidR="00F60A1E" w:rsidRPr="009E70C2" w:rsidRDefault="00F60A1E" w:rsidP="00F60A1E">
      <w:pPr>
        <w:pStyle w:val="FootnoteText"/>
        <w:spacing w:after="0"/>
        <w:jc w:val="both"/>
        <w:rPr>
          <w:rFonts w:cs="Arial"/>
          <w:szCs w:val="18"/>
        </w:rPr>
      </w:pPr>
      <w:r w:rsidRPr="009E70C2">
        <w:rPr>
          <w:rStyle w:val="FootnoteReference"/>
          <w:rFonts w:cs="Arial"/>
          <w:szCs w:val="18"/>
        </w:rPr>
        <w:footnoteRef/>
      </w:r>
      <w:r w:rsidRPr="009E70C2">
        <w:rPr>
          <w:rFonts w:cs="Arial"/>
          <w:szCs w:val="18"/>
        </w:rPr>
        <w:t xml:space="preserve"> Information collected through stakeholder’s interview and Johan Put, </w:t>
      </w:r>
      <w:r w:rsidRPr="009E70C2">
        <w:rPr>
          <w:rFonts w:cs="Arial"/>
          <w:i/>
          <w:szCs w:val="18"/>
        </w:rPr>
        <w:t>‘The Juvenile Justice System in Belgium’</w:t>
      </w:r>
      <w:r w:rsidRPr="009E70C2">
        <w:rPr>
          <w:rFonts w:cs="Arial"/>
          <w:szCs w:val="18"/>
        </w:rPr>
        <w:t xml:space="preserve">, in </w:t>
      </w:r>
      <w:r w:rsidRPr="009E70C2">
        <w:rPr>
          <w:rFonts w:cs="Arial"/>
          <w:i/>
          <w:szCs w:val="18"/>
        </w:rPr>
        <w:t>Juvenile Justice Systems in Europe: Current Situation and Reform Developments</w:t>
      </w:r>
      <w:r w:rsidRPr="009E70C2">
        <w:rPr>
          <w:rFonts w:cs="Arial"/>
          <w:szCs w:val="18"/>
        </w:rPr>
        <w:t>, Volume 1, p.6.</w:t>
      </w:r>
    </w:p>
  </w:footnote>
  <w:footnote w:id="75">
    <w:p w:rsidR="00F60A1E" w:rsidRPr="009E70C2" w:rsidRDefault="00F60A1E" w:rsidP="00F60A1E">
      <w:pPr>
        <w:pStyle w:val="FootnoteText"/>
        <w:spacing w:after="0"/>
        <w:jc w:val="both"/>
        <w:rPr>
          <w:rFonts w:cs="Arial"/>
          <w:szCs w:val="18"/>
        </w:rPr>
      </w:pPr>
      <w:r w:rsidRPr="009E70C2">
        <w:rPr>
          <w:rStyle w:val="FootnoteReference"/>
          <w:rFonts w:cs="Arial"/>
          <w:szCs w:val="18"/>
        </w:rPr>
        <w:footnoteRef/>
      </w:r>
      <w:r w:rsidRPr="009E70C2">
        <w:rPr>
          <w:rFonts w:cs="Arial"/>
          <w:szCs w:val="18"/>
        </w:rPr>
        <w:t xml:space="preserve"> Articles 4 and 5 of the </w:t>
      </w:r>
      <w:hyperlink r:id="rId75" w:history="1">
        <w:r w:rsidRPr="009E70C2">
          <w:rPr>
            <w:rStyle w:val="Hyperlink"/>
            <w:rFonts w:cs="Arial"/>
            <w:szCs w:val="18"/>
          </w:rPr>
          <w:t>Flemish Decree of 7 May 2004 on minors’</w:t>
        </w:r>
        <w:r w:rsidRPr="009E70C2">
          <w:rPr>
            <w:rStyle w:val="Hyperlink"/>
            <w:rFonts w:cs="Arial"/>
            <w:szCs w:val="18"/>
            <w:lang w:val="en-US"/>
          </w:rPr>
          <w:t xml:space="preserve"> legal</w:t>
        </w:r>
        <w:r w:rsidRPr="009E70C2">
          <w:rPr>
            <w:rStyle w:val="Hyperlink"/>
            <w:rFonts w:cs="Arial"/>
            <w:szCs w:val="18"/>
          </w:rPr>
          <w:t xml:space="preserve"> status </w:t>
        </w:r>
        <w:r w:rsidRPr="009E70C2">
          <w:rPr>
            <w:rStyle w:val="Hyperlink"/>
            <w:rFonts w:cs="Arial"/>
            <w:szCs w:val="18"/>
            <w:lang w:val="en-US"/>
          </w:rPr>
          <w:t>on</w:t>
        </w:r>
        <w:r w:rsidRPr="009E70C2">
          <w:rPr>
            <w:rStyle w:val="Hyperlink"/>
            <w:rFonts w:cs="Arial"/>
            <w:szCs w:val="18"/>
          </w:rPr>
          <w:t xml:space="preserve"> integrated youth </w:t>
        </w:r>
        <w:r w:rsidRPr="009E70C2">
          <w:rPr>
            <w:rStyle w:val="Hyperlink"/>
            <w:rFonts w:cs="Arial"/>
            <w:szCs w:val="18"/>
            <w:lang w:val="en-US"/>
          </w:rPr>
          <w:t>services</w:t>
        </w:r>
      </w:hyperlink>
      <w:r w:rsidRPr="009E70C2">
        <w:rPr>
          <w:rFonts w:cs="Arial"/>
          <w:szCs w:val="18"/>
        </w:rPr>
        <w:t>.</w:t>
      </w:r>
    </w:p>
  </w:footnote>
  <w:footnote w:id="76">
    <w:p w:rsidR="00F60A1E" w:rsidRPr="009E70C2" w:rsidRDefault="00F60A1E" w:rsidP="00F60A1E">
      <w:pPr>
        <w:pStyle w:val="FootnoteText"/>
        <w:spacing w:after="0"/>
        <w:jc w:val="both"/>
        <w:rPr>
          <w:rFonts w:cs="Arial"/>
          <w:szCs w:val="18"/>
        </w:rPr>
      </w:pPr>
      <w:r w:rsidRPr="009E70C2">
        <w:rPr>
          <w:rStyle w:val="FootnoteReference"/>
          <w:rFonts w:cs="Arial"/>
          <w:szCs w:val="18"/>
        </w:rPr>
        <w:footnoteRef/>
      </w:r>
      <w:r w:rsidRPr="009E70C2">
        <w:rPr>
          <w:rFonts w:cs="Arial"/>
          <w:szCs w:val="18"/>
        </w:rPr>
        <w:t xml:space="preserve"> Article 7 of the </w:t>
      </w:r>
      <w:hyperlink r:id="rId76" w:history="1">
        <w:r w:rsidRPr="009E70C2">
          <w:rPr>
            <w:rStyle w:val="Hyperlink"/>
            <w:rFonts w:cs="Arial"/>
            <w:szCs w:val="18"/>
          </w:rPr>
          <w:t>French Community Decree of 4 March 1991 on youth welfare</w:t>
        </w:r>
      </w:hyperlink>
      <w:r w:rsidRPr="009E70C2">
        <w:rPr>
          <w:rFonts w:cs="Arial"/>
          <w:szCs w:val="18"/>
        </w:rPr>
        <w:t xml:space="preserve">. </w:t>
      </w:r>
    </w:p>
  </w:footnote>
  <w:footnote w:id="77">
    <w:p w:rsidR="00F60A1E" w:rsidRPr="009E70C2" w:rsidRDefault="00F60A1E" w:rsidP="00F60A1E">
      <w:pPr>
        <w:pStyle w:val="FootnoteText"/>
        <w:spacing w:after="0"/>
        <w:jc w:val="both"/>
        <w:rPr>
          <w:rFonts w:cs="Arial"/>
          <w:szCs w:val="18"/>
        </w:rPr>
      </w:pPr>
      <w:r w:rsidRPr="009E70C2">
        <w:rPr>
          <w:rStyle w:val="FootnoteReference"/>
          <w:rFonts w:cs="Arial"/>
          <w:szCs w:val="18"/>
        </w:rPr>
        <w:footnoteRef/>
      </w:r>
      <w:r w:rsidRPr="009E70C2">
        <w:rPr>
          <w:rFonts w:cs="Arial"/>
          <w:szCs w:val="18"/>
        </w:rPr>
        <w:t xml:space="preserve"> Article 4 of the </w:t>
      </w:r>
      <w:hyperlink r:id="rId77" w:history="1">
        <w:r w:rsidRPr="009E70C2">
          <w:rPr>
            <w:rStyle w:val="Hyperlink"/>
            <w:rFonts w:cs="Arial"/>
            <w:szCs w:val="18"/>
          </w:rPr>
          <w:t>Anti-discrimination Act of 10 May 2007</w:t>
        </w:r>
      </w:hyperlink>
      <w:r w:rsidRPr="009E70C2">
        <w:rPr>
          <w:rFonts w:cs="Arial"/>
          <w:szCs w:val="18"/>
        </w:rPr>
        <w:t xml:space="preserve">. Information on the Act is available in English on the </w:t>
      </w:r>
      <w:hyperlink r:id="rId78" w:history="1">
        <w:r w:rsidRPr="009E70C2">
          <w:rPr>
            <w:rStyle w:val="Hyperlink"/>
            <w:rFonts w:cs="Arial"/>
            <w:szCs w:val="18"/>
            <w:lang w:val="en-US"/>
          </w:rPr>
          <w:t>Interfederal C</w:t>
        </w:r>
        <w:r w:rsidRPr="009E70C2">
          <w:rPr>
            <w:rStyle w:val="Hyperlink"/>
            <w:rFonts w:cs="Arial"/>
            <w:szCs w:val="18"/>
          </w:rPr>
          <w:t>entre for Equal Opportunity website</w:t>
        </w:r>
      </w:hyperlink>
      <w:r w:rsidRPr="009E70C2">
        <w:rPr>
          <w:rFonts w:cs="Arial"/>
          <w:szCs w:val="18"/>
        </w:rPr>
        <w:t xml:space="preserve">. See also the </w:t>
      </w:r>
      <w:hyperlink r:id="rId79" w:history="1">
        <w:r w:rsidRPr="009E70C2">
          <w:rPr>
            <w:rStyle w:val="Hyperlink"/>
            <w:rFonts w:cs="Arial"/>
            <w:szCs w:val="18"/>
          </w:rPr>
          <w:t>French Community Decree of 12 December 2008 combatting certain forms of discrimination</w:t>
        </w:r>
      </w:hyperlink>
      <w:r w:rsidRPr="009E70C2">
        <w:rPr>
          <w:rFonts w:cs="Arial"/>
          <w:szCs w:val="18"/>
        </w:rPr>
        <w:t xml:space="preserve"> and the </w:t>
      </w:r>
      <w:hyperlink r:id="rId80" w:history="1">
        <w:r w:rsidRPr="009E70C2">
          <w:rPr>
            <w:rStyle w:val="Hyperlink"/>
            <w:rFonts w:cs="Arial"/>
            <w:szCs w:val="18"/>
          </w:rPr>
          <w:t>Flemish Region Decree of 10 July 2008 on equal opportunities and treatment</w:t>
        </w:r>
      </w:hyperlink>
      <w:r w:rsidRPr="009E70C2">
        <w:rPr>
          <w:rFonts w:cs="Arial"/>
          <w:szCs w:val="18"/>
        </w:rPr>
        <w:t>.</w:t>
      </w:r>
    </w:p>
  </w:footnote>
  <w:footnote w:id="78">
    <w:p w:rsidR="00F60A1E" w:rsidRPr="009E70C2" w:rsidRDefault="00F60A1E" w:rsidP="00F60A1E">
      <w:pPr>
        <w:pStyle w:val="FootnoteText"/>
        <w:spacing w:after="0"/>
        <w:jc w:val="both"/>
        <w:rPr>
          <w:rFonts w:cs="Arial"/>
          <w:szCs w:val="18"/>
        </w:rPr>
      </w:pPr>
      <w:r w:rsidRPr="009E70C2">
        <w:rPr>
          <w:rStyle w:val="FootnoteReference"/>
          <w:rFonts w:cs="Arial"/>
          <w:szCs w:val="18"/>
        </w:rPr>
        <w:footnoteRef/>
      </w:r>
      <w:r w:rsidRPr="009E70C2">
        <w:rPr>
          <w:rFonts w:cs="Arial"/>
          <w:szCs w:val="18"/>
        </w:rPr>
        <w:t xml:space="preserve"> </w:t>
      </w:r>
      <w:hyperlink r:id="rId81" w:history="1">
        <w:r w:rsidRPr="009E70C2">
          <w:rPr>
            <w:rStyle w:val="Hyperlink"/>
            <w:rFonts w:cs="Arial"/>
            <w:szCs w:val="18"/>
          </w:rPr>
          <w:t>Article 479 of the Law-Programme of 24 December 2002</w:t>
        </w:r>
      </w:hyperlink>
      <w:r w:rsidRPr="009E70C2">
        <w:rPr>
          <w:rFonts w:cs="Arial"/>
          <w:szCs w:val="18"/>
        </w:rPr>
        <w:t>.</w:t>
      </w:r>
    </w:p>
  </w:footnote>
  <w:footnote w:id="79">
    <w:p w:rsidR="00F60A1E" w:rsidRPr="00AF32C2" w:rsidRDefault="00F60A1E" w:rsidP="00F60A1E">
      <w:pPr>
        <w:pStyle w:val="FootnoteText"/>
        <w:spacing w:after="0"/>
        <w:jc w:val="both"/>
        <w:rPr>
          <w:rFonts w:cs="Arial"/>
          <w:sz w:val="16"/>
          <w:szCs w:val="16"/>
        </w:rPr>
      </w:pPr>
      <w:r w:rsidRPr="009E70C2">
        <w:rPr>
          <w:rStyle w:val="FootnoteReference"/>
          <w:rFonts w:cs="Arial"/>
          <w:szCs w:val="18"/>
        </w:rPr>
        <w:footnoteRef/>
      </w:r>
      <w:r w:rsidRPr="009E70C2">
        <w:rPr>
          <w:rFonts w:cs="Arial"/>
          <w:szCs w:val="18"/>
        </w:rPr>
        <w:t xml:space="preserve"> Article </w:t>
      </w:r>
      <w:r w:rsidRPr="009E70C2">
        <w:rPr>
          <w:rFonts w:cs="Arial"/>
          <w:szCs w:val="18"/>
          <w:lang w:val="en-US"/>
        </w:rPr>
        <w:t>1</w:t>
      </w:r>
      <w:r w:rsidRPr="009E70C2">
        <w:rPr>
          <w:rFonts w:cs="Arial"/>
          <w:szCs w:val="18"/>
        </w:rPr>
        <w:t xml:space="preserve">4 of the </w:t>
      </w:r>
      <w:hyperlink r:id="rId82" w:history="1">
        <w:r w:rsidRPr="009E70C2">
          <w:rPr>
            <w:rStyle w:val="Hyperlink"/>
            <w:rFonts w:cs="Arial"/>
            <w:szCs w:val="18"/>
          </w:rPr>
          <w:t>Anti-discrimination Act of 10 May 2007</w:t>
        </w:r>
      </w:hyperlink>
      <w:r w:rsidRPr="009E70C2">
        <w:rPr>
          <w:rFonts w:cs="Arial"/>
          <w:szCs w:val="18"/>
          <w:lang w:val="en-US"/>
        </w:rPr>
        <w:t xml:space="preserve"> and</w:t>
      </w:r>
      <w:r w:rsidRPr="009E70C2">
        <w:rPr>
          <w:rFonts w:cs="Arial"/>
          <w:szCs w:val="18"/>
        </w:rPr>
        <w:t xml:space="preserve"> Nathalie Meurens, </w:t>
      </w:r>
      <w:hyperlink r:id="rId83" w:history="1">
        <w:r w:rsidRPr="009E70C2">
          <w:rPr>
            <w:rStyle w:val="Hyperlink"/>
            <w:rFonts w:cs="Arial"/>
            <w:i/>
            <w:szCs w:val="18"/>
          </w:rPr>
          <w:t>Country Report on Belgium for the Study on Member States’ Policies for Children with Disabilities</w:t>
        </w:r>
      </w:hyperlink>
      <w:r w:rsidRPr="009E70C2">
        <w:rPr>
          <w:rFonts w:cs="Arial"/>
          <w:szCs w:val="18"/>
        </w:rPr>
        <w:t>, European Parliament, Committee on Civil Liberties, Justice and Home Affairs, 2013.</w:t>
      </w:r>
    </w:p>
  </w:footnote>
  <w:footnote w:id="80">
    <w:p w:rsidR="00F60A1E" w:rsidRPr="009E70C2" w:rsidRDefault="00F60A1E" w:rsidP="00F60A1E">
      <w:pPr>
        <w:pStyle w:val="FootnoteText"/>
        <w:spacing w:after="0"/>
        <w:jc w:val="both"/>
        <w:rPr>
          <w:rFonts w:cs="Arial"/>
          <w:szCs w:val="18"/>
          <w:lang w:val="en-US"/>
        </w:rPr>
      </w:pPr>
      <w:r w:rsidRPr="009E70C2">
        <w:rPr>
          <w:rStyle w:val="FootnoteReference"/>
          <w:rFonts w:cs="Arial"/>
          <w:szCs w:val="18"/>
        </w:rPr>
        <w:footnoteRef/>
      </w:r>
      <w:r w:rsidRPr="009E70C2">
        <w:rPr>
          <w:rFonts w:cs="Arial"/>
          <w:szCs w:val="18"/>
        </w:rPr>
        <w:t xml:space="preserve"> The </w:t>
      </w:r>
      <w:hyperlink r:id="rId84" w:history="1">
        <w:r w:rsidRPr="009E70C2">
          <w:rPr>
            <w:rStyle w:val="Hyperlink"/>
            <w:rFonts w:cs="Arial"/>
            <w:szCs w:val="18"/>
          </w:rPr>
          <w:t>National Commission on the Rights of the Child</w:t>
        </w:r>
      </w:hyperlink>
      <w:r w:rsidRPr="009E70C2">
        <w:rPr>
          <w:rFonts w:cs="Arial"/>
          <w:szCs w:val="18"/>
        </w:rPr>
        <w:t xml:space="preserve"> website.</w:t>
      </w:r>
    </w:p>
  </w:footnote>
  <w:footnote w:id="81">
    <w:p w:rsidR="00F60A1E" w:rsidRPr="009E70C2" w:rsidRDefault="00F60A1E" w:rsidP="00F60A1E">
      <w:pPr>
        <w:pStyle w:val="FootnoteText"/>
        <w:spacing w:after="0"/>
        <w:rPr>
          <w:rFonts w:cs="Arial"/>
          <w:szCs w:val="18"/>
        </w:rPr>
      </w:pPr>
      <w:r w:rsidRPr="009E70C2">
        <w:rPr>
          <w:rStyle w:val="FootnoteReference"/>
          <w:rFonts w:cs="Arial"/>
          <w:szCs w:val="18"/>
        </w:rPr>
        <w:footnoteRef/>
      </w:r>
      <w:r w:rsidRPr="009E70C2">
        <w:rPr>
          <w:rFonts w:cs="Arial"/>
          <w:szCs w:val="18"/>
        </w:rPr>
        <w:t xml:space="preserve"> Website of the </w:t>
      </w:r>
      <w:hyperlink r:id="rId85" w:history="1">
        <w:r w:rsidRPr="009E70C2">
          <w:rPr>
            <w:rStyle w:val="Hyperlink"/>
            <w:rFonts w:cs="Arial"/>
            <w:szCs w:val="18"/>
          </w:rPr>
          <w:t>Office of the Federal Ombudsm</w:t>
        </w:r>
        <w:r w:rsidRPr="009E70C2">
          <w:rPr>
            <w:rStyle w:val="Hyperlink"/>
            <w:rFonts w:cs="Arial"/>
            <w:szCs w:val="18"/>
            <w:lang w:val="en-US"/>
          </w:rPr>
          <w:t>a</w:t>
        </w:r>
        <w:r w:rsidRPr="009E70C2">
          <w:rPr>
            <w:rStyle w:val="Hyperlink"/>
            <w:rFonts w:cs="Arial"/>
            <w:szCs w:val="18"/>
          </w:rPr>
          <w:t>n</w:t>
        </w:r>
      </w:hyperlink>
      <w:r w:rsidRPr="009E70C2">
        <w:rPr>
          <w:rFonts w:cs="Arial"/>
          <w:szCs w:val="18"/>
        </w:rPr>
        <w:t>.</w:t>
      </w:r>
    </w:p>
  </w:footnote>
  <w:footnote w:id="82">
    <w:p w:rsidR="00F60A1E" w:rsidRPr="009E70C2" w:rsidRDefault="00F60A1E" w:rsidP="00F60A1E">
      <w:pPr>
        <w:pStyle w:val="FootnoteText"/>
        <w:spacing w:after="0"/>
        <w:rPr>
          <w:rFonts w:cs="Arial"/>
          <w:szCs w:val="18"/>
        </w:rPr>
      </w:pPr>
      <w:r w:rsidRPr="009E70C2">
        <w:rPr>
          <w:rStyle w:val="FootnoteReference"/>
          <w:rFonts w:cs="Arial"/>
          <w:szCs w:val="18"/>
        </w:rPr>
        <w:footnoteRef/>
      </w:r>
      <w:r w:rsidRPr="009E70C2">
        <w:rPr>
          <w:rFonts w:cs="Arial"/>
          <w:szCs w:val="18"/>
        </w:rPr>
        <w:t xml:space="preserve"> </w:t>
      </w:r>
      <w:hyperlink r:id="rId86" w:history="1">
        <w:r w:rsidRPr="009E70C2">
          <w:rPr>
            <w:rStyle w:val="Hyperlink"/>
            <w:rFonts w:cs="Arial"/>
            <w:szCs w:val="18"/>
          </w:rPr>
          <w:t>Protocol of intervention between the medical, psychological and social sector and the judicial sector</w:t>
        </w:r>
      </w:hyperlink>
      <w:r w:rsidRPr="009E70C2">
        <w:rPr>
          <w:rFonts w:cs="Arial"/>
          <w:szCs w:val="18"/>
        </w:rPr>
        <w:t xml:space="preserve"> [</w:t>
      </w:r>
      <w:r w:rsidRPr="009E70C2">
        <w:rPr>
          <w:rFonts w:cs="Arial"/>
          <w:i/>
          <w:szCs w:val="18"/>
        </w:rPr>
        <w:t>Protocole d’intervention entre le secteur médico-psycho-social et le secteur judiciaire</w:t>
      </w:r>
      <w:r w:rsidRPr="009E70C2">
        <w:rPr>
          <w:rFonts w:cs="Arial"/>
          <w:szCs w:val="18"/>
        </w:rPr>
        <w:t>].</w:t>
      </w:r>
    </w:p>
  </w:footnote>
  <w:footnote w:id="83">
    <w:p w:rsidR="00F60A1E" w:rsidRPr="009E70C2" w:rsidRDefault="00F60A1E" w:rsidP="00F60A1E">
      <w:pPr>
        <w:pStyle w:val="FootnoteText"/>
        <w:spacing w:after="0"/>
        <w:rPr>
          <w:rFonts w:cs="Arial"/>
          <w:szCs w:val="18"/>
        </w:rPr>
      </w:pPr>
      <w:r w:rsidRPr="009E70C2">
        <w:rPr>
          <w:rStyle w:val="FootnoteReference"/>
          <w:rFonts w:cs="Arial"/>
          <w:szCs w:val="18"/>
        </w:rPr>
        <w:footnoteRef/>
      </w:r>
      <w:r w:rsidRPr="009E70C2">
        <w:rPr>
          <w:rFonts w:cs="Arial"/>
          <w:szCs w:val="18"/>
        </w:rPr>
        <w:t xml:space="preserve"> </w:t>
      </w:r>
      <w:hyperlink r:id="rId87" w:history="1">
        <w:r w:rsidRPr="009E70C2">
          <w:rPr>
            <w:rStyle w:val="Hyperlink"/>
            <w:rFonts w:cs="Arial"/>
            <w:szCs w:val="18"/>
          </w:rPr>
          <w:t>Protocol Child Abuse between the Minister of Justice and the Flemish Minister of Welfare</w:t>
        </w:r>
      </w:hyperlink>
      <w:r w:rsidRPr="009E70C2">
        <w:rPr>
          <w:rFonts w:cs="Arial"/>
          <w:szCs w:val="18"/>
        </w:rPr>
        <w:t>, Public Health and Family [</w:t>
      </w:r>
      <w:r w:rsidRPr="009E70C2">
        <w:rPr>
          <w:rFonts w:cs="Arial"/>
          <w:i/>
          <w:szCs w:val="18"/>
        </w:rPr>
        <w:t>Protocol Kindermishandeling Justitie ­ Welzijn</w:t>
      </w:r>
      <w:r w:rsidRPr="009E70C2">
        <w:rPr>
          <w:rFonts w:cs="Arial"/>
          <w:szCs w:val="18"/>
        </w:rPr>
        <w:t xml:space="preserve">] (20 March 2010). </w:t>
      </w:r>
    </w:p>
  </w:footnote>
  <w:footnote w:id="84">
    <w:p w:rsidR="00F60A1E" w:rsidRPr="009E70C2" w:rsidRDefault="00F60A1E" w:rsidP="00F60A1E">
      <w:pPr>
        <w:pStyle w:val="FootnoteText"/>
        <w:spacing w:after="0"/>
        <w:rPr>
          <w:rFonts w:cs="Arial"/>
          <w:szCs w:val="18"/>
          <w:lang w:val="en-US"/>
        </w:rPr>
      </w:pPr>
      <w:r w:rsidRPr="009E70C2">
        <w:rPr>
          <w:rStyle w:val="FootnoteReference"/>
          <w:rFonts w:cs="Arial"/>
          <w:szCs w:val="18"/>
        </w:rPr>
        <w:footnoteRef/>
      </w:r>
      <w:r w:rsidRPr="009E70C2">
        <w:rPr>
          <w:rFonts w:cs="Arial"/>
          <w:szCs w:val="18"/>
        </w:rPr>
        <w:t xml:space="preserve"> Website of the </w:t>
      </w:r>
      <w:hyperlink r:id="rId88" w:history="1">
        <w:r w:rsidRPr="009E70C2">
          <w:rPr>
            <w:rStyle w:val="Hyperlink"/>
            <w:rFonts w:cs="Arial"/>
            <w:szCs w:val="18"/>
          </w:rPr>
          <w:t>Observatory on Children, Youth and Assistance to Young People</w:t>
        </w:r>
      </w:hyperlink>
      <w:r w:rsidRPr="009E70C2">
        <w:rPr>
          <w:rFonts w:cs="Arial"/>
          <w:szCs w:val="18"/>
        </w:rPr>
        <w:t>.</w:t>
      </w:r>
    </w:p>
  </w:footnote>
  <w:footnote w:id="85">
    <w:p w:rsidR="00F60A1E" w:rsidRPr="009E70C2" w:rsidRDefault="00F60A1E" w:rsidP="00F60A1E">
      <w:pPr>
        <w:pStyle w:val="FootnoteText"/>
        <w:spacing w:after="0"/>
        <w:rPr>
          <w:rFonts w:cs="Arial"/>
          <w:szCs w:val="18"/>
          <w:lang w:val="en-US"/>
        </w:rPr>
      </w:pPr>
      <w:r w:rsidRPr="009E70C2">
        <w:rPr>
          <w:rStyle w:val="FootnoteReference"/>
          <w:rFonts w:cs="Arial"/>
          <w:szCs w:val="18"/>
        </w:rPr>
        <w:footnoteRef/>
      </w:r>
      <w:r w:rsidRPr="009E70C2">
        <w:rPr>
          <w:rFonts w:cs="Arial"/>
          <w:szCs w:val="18"/>
        </w:rPr>
        <w:t xml:space="preserve"> </w:t>
      </w:r>
      <w:r w:rsidRPr="009E70C2">
        <w:rPr>
          <w:rFonts w:cs="Arial"/>
          <w:szCs w:val="18"/>
          <w:lang w:val="en-US"/>
        </w:rPr>
        <w:t>Cooperation</w:t>
      </w:r>
      <w:r w:rsidRPr="009E70C2">
        <w:rPr>
          <w:rFonts w:cs="Arial"/>
          <w:szCs w:val="18"/>
        </w:rPr>
        <w:t xml:space="preserve"> Framework </w:t>
      </w:r>
      <w:r w:rsidRPr="009E70C2">
        <w:rPr>
          <w:rFonts w:cs="Arial"/>
          <w:szCs w:val="18"/>
          <w:lang w:val="en-US"/>
        </w:rPr>
        <w:t>P</w:t>
      </w:r>
      <w:r w:rsidRPr="009E70C2">
        <w:rPr>
          <w:rFonts w:cs="Arial"/>
          <w:szCs w:val="18"/>
        </w:rPr>
        <w:t xml:space="preserve">rotocol between municipal social assistance centres and their advisors and directors of youth </w:t>
      </w:r>
      <w:r w:rsidRPr="009E70C2">
        <w:rPr>
          <w:rFonts w:cs="Arial"/>
          <w:szCs w:val="18"/>
          <w:lang w:val="en-US"/>
        </w:rPr>
        <w:t>care</w:t>
      </w:r>
      <w:r w:rsidRPr="009E70C2">
        <w:rPr>
          <w:rFonts w:cs="Arial"/>
          <w:szCs w:val="18"/>
        </w:rPr>
        <w:t xml:space="preserve"> </w:t>
      </w:r>
      <w:r w:rsidRPr="009E70C2">
        <w:rPr>
          <w:rFonts w:cs="Arial"/>
          <w:szCs w:val="18"/>
          <w:lang w:val="en-US"/>
        </w:rPr>
        <w:t>of 3 May 2012.</w:t>
      </w:r>
    </w:p>
  </w:footnote>
  <w:footnote w:id="86">
    <w:p w:rsidR="00F60A1E" w:rsidRPr="00A36DEB" w:rsidRDefault="00F60A1E" w:rsidP="00F60A1E">
      <w:pPr>
        <w:pStyle w:val="FootnoteText"/>
        <w:spacing w:after="0"/>
        <w:rPr>
          <w:rFonts w:cs="Arial"/>
          <w:lang w:val="en-US"/>
        </w:rPr>
      </w:pPr>
      <w:r w:rsidRPr="009E70C2">
        <w:rPr>
          <w:rStyle w:val="FootnoteReference"/>
          <w:rFonts w:cs="Arial"/>
          <w:szCs w:val="18"/>
        </w:rPr>
        <w:footnoteRef/>
      </w:r>
      <w:r w:rsidRPr="009E70C2">
        <w:rPr>
          <w:rFonts w:cs="Arial"/>
          <w:szCs w:val="18"/>
        </w:rPr>
        <w:t xml:space="preserve"> </w:t>
      </w:r>
      <w:r w:rsidRPr="009E70C2">
        <w:rPr>
          <w:rFonts w:cs="Arial"/>
          <w:szCs w:val="18"/>
          <w:lang w:val="en-US"/>
        </w:rPr>
        <w:t xml:space="preserve">Website of </w:t>
      </w:r>
      <w:hyperlink r:id="rId89" w:history="1">
        <w:r w:rsidRPr="009E70C2">
          <w:rPr>
            <w:rStyle w:val="Hyperlink"/>
            <w:rFonts w:cs="Arial"/>
            <w:szCs w:val="18"/>
            <w:lang w:val="en-US"/>
          </w:rPr>
          <w:t>the integrated youth care of the Flemish Community</w:t>
        </w:r>
      </w:hyperlink>
      <w:r w:rsidRPr="009E70C2">
        <w:rPr>
          <w:rFonts w:cs="Arial"/>
          <w:szCs w:val="18"/>
          <w:lang w:val="en-US"/>
        </w:rPr>
        <w:t>.</w:t>
      </w:r>
    </w:p>
  </w:footnote>
  <w:footnote w:id="87">
    <w:p w:rsidR="00F60A1E" w:rsidRPr="00A36DEB" w:rsidRDefault="00F60A1E" w:rsidP="00F60A1E">
      <w:pPr>
        <w:pStyle w:val="FootnoteText"/>
        <w:spacing w:after="0"/>
        <w:jc w:val="both"/>
        <w:rPr>
          <w:rFonts w:cs="Arial"/>
        </w:rPr>
      </w:pPr>
      <w:r w:rsidRPr="00A36DEB">
        <w:rPr>
          <w:rStyle w:val="FootnoteReference"/>
          <w:rFonts w:cs="Arial"/>
        </w:rPr>
        <w:footnoteRef/>
      </w:r>
      <w:r w:rsidRPr="00A36DEB">
        <w:rPr>
          <w:rFonts w:cs="Arial"/>
        </w:rPr>
        <w:t xml:space="preserve"> Articles 645 and 646 of the </w:t>
      </w:r>
      <w:hyperlink r:id="rId90" w:history="1">
        <w:r w:rsidRPr="00A36DEB">
          <w:rPr>
            <w:rStyle w:val="Hyperlink"/>
            <w:rFonts w:cs="Arial"/>
          </w:rPr>
          <w:t>Judicial Code</w:t>
        </w:r>
      </w:hyperlink>
      <w:r w:rsidRPr="00A36DEB">
        <w:rPr>
          <w:rFonts w:cs="Arial"/>
        </w:rPr>
        <w:t>.</w:t>
      </w:r>
    </w:p>
  </w:footnote>
  <w:footnote w:id="88">
    <w:p w:rsidR="00F60A1E" w:rsidRPr="00A36DEB" w:rsidRDefault="00F60A1E" w:rsidP="00F60A1E">
      <w:pPr>
        <w:pStyle w:val="FootnoteText"/>
        <w:spacing w:after="0"/>
        <w:jc w:val="both"/>
        <w:rPr>
          <w:rFonts w:cs="Arial"/>
        </w:rPr>
      </w:pPr>
      <w:r w:rsidRPr="00A36DEB">
        <w:rPr>
          <w:rStyle w:val="FootnoteReference"/>
          <w:rFonts w:cs="Arial"/>
        </w:rPr>
        <w:footnoteRef/>
      </w:r>
      <w:r w:rsidRPr="00A36DEB">
        <w:rPr>
          <w:rFonts w:cs="Arial"/>
        </w:rPr>
        <w:t xml:space="preserve"> Article 4 of the </w:t>
      </w:r>
      <w:hyperlink r:id="rId91" w:history="1">
        <w:r w:rsidRPr="00A36DEB">
          <w:rPr>
            <w:rStyle w:val="Hyperlink"/>
            <w:rFonts w:cs="Arial"/>
          </w:rPr>
          <w:t>Code of Criminal Procedure</w:t>
        </w:r>
      </w:hyperlink>
      <w:r w:rsidRPr="00A36DEB">
        <w:rPr>
          <w:rFonts w:cs="Arial"/>
        </w:rPr>
        <w:t>.</w:t>
      </w:r>
    </w:p>
  </w:footnote>
  <w:footnote w:id="89">
    <w:p w:rsidR="00F60A1E" w:rsidRPr="00A36DEB" w:rsidRDefault="00F60A1E" w:rsidP="00F60A1E">
      <w:pPr>
        <w:pStyle w:val="FootnoteText"/>
        <w:spacing w:after="0"/>
        <w:jc w:val="both"/>
        <w:rPr>
          <w:rFonts w:cs="Arial"/>
        </w:rPr>
      </w:pPr>
      <w:r w:rsidRPr="00A36DEB">
        <w:rPr>
          <w:rStyle w:val="FootnoteReference"/>
          <w:rFonts w:cs="Arial"/>
        </w:rPr>
        <w:footnoteRef/>
      </w:r>
      <w:r w:rsidRPr="00A36DEB">
        <w:rPr>
          <w:rFonts w:cs="Arial"/>
        </w:rPr>
        <w:t xml:space="preserve"> </w:t>
      </w:r>
      <w:hyperlink r:id="rId92" w:history="1">
        <w:r w:rsidRPr="00A36DEB">
          <w:rPr>
            <w:rStyle w:val="Hyperlink"/>
            <w:rFonts w:cs="Arial"/>
          </w:rPr>
          <w:t>Guidelines of the Superior Council of Justice for the training of judges and judicial trainees</w:t>
        </w:r>
      </w:hyperlink>
      <w:r w:rsidRPr="00A36DEB">
        <w:rPr>
          <w:rFonts w:cs="Arial"/>
        </w:rPr>
        <w:t xml:space="preserve"> (ratified by the General Assembly of 30 May 2012). CRC Committee noted that Belgium was correctly implementing the CRC on this aspect. See Summary record of the 1521</w:t>
      </w:r>
      <w:r w:rsidRPr="00A36DEB">
        <w:rPr>
          <w:rFonts w:cs="Arial"/>
          <w:vertAlign w:val="superscript"/>
        </w:rPr>
        <w:t>st</w:t>
      </w:r>
      <w:r w:rsidRPr="00A36DEB">
        <w:rPr>
          <w:rFonts w:cs="Arial"/>
        </w:rPr>
        <w:t xml:space="preserve"> meeting </w:t>
      </w:r>
      <w:hyperlink r:id="rId93" w:history="1">
        <w:r w:rsidRPr="00A36DEB">
          <w:rPr>
            <w:rStyle w:val="Hyperlink"/>
            <w:rFonts w:cs="Arial"/>
          </w:rPr>
          <w:t>(CRC/C/SR.1521)</w:t>
        </w:r>
      </w:hyperlink>
      <w:r w:rsidRPr="00A36DEB">
        <w:rPr>
          <w:rFonts w:cs="Arial"/>
        </w:rPr>
        <w:t>, 10 June 2010, p.9.</w:t>
      </w:r>
    </w:p>
  </w:footnote>
  <w:footnote w:id="90">
    <w:p w:rsidR="00F60A1E" w:rsidRPr="00A36DEB" w:rsidRDefault="00F60A1E" w:rsidP="00F60A1E">
      <w:pPr>
        <w:pStyle w:val="FootnoteText"/>
        <w:spacing w:after="0"/>
        <w:jc w:val="both"/>
        <w:rPr>
          <w:rFonts w:cs="Arial"/>
        </w:rPr>
      </w:pPr>
      <w:r w:rsidRPr="00A36DEB">
        <w:rPr>
          <w:rStyle w:val="FootnoteReference"/>
          <w:rFonts w:cs="Arial"/>
        </w:rPr>
        <w:footnoteRef/>
      </w:r>
      <w:r w:rsidRPr="00A36DEB">
        <w:rPr>
          <w:rFonts w:cs="Arial"/>
        </w:rPr>
        <w:t xml:space="preserve"> </w:t>
      </w:r>
      <w:hyperlink r:id="rId94" w:history="1">
        <w:r w:rsidRPr="00A36DEB">
          <w:rPr>
            <w:rStyle w:val="Hyperlink"/>
            <w:rFonts w:cs="Arial"/>
          </w:rPr>
          <w:t>IGO-IFJ website</w:t>
        </w:r>
      </w:hyperlink>
      <w:r w:rsidRPr="00A36DEB">
        <w:rPr>
          <w:rFonts w:cs="Arial"/>
        </w:rPr>
        <w:t>.</w:t>
      </w:r>
    </w:p>
  </w:footnote>
  <w:footnote w:id="91">
    <w:p w:rsidR="00F60A1E" w:rsidRPr="00A36DEB" w:rsidRDefault="00F60A1E" w:rsidP="00F60A1E">
      <w:pPr>
        <w:pStyle w:val="FootnoteText"/>
        <w:spacing w:after="0"/>
        <w:jc w:val="both"/>
        <w:rPr>
          <w:rFonts w:cs="Arial"/>
        </w:rPr>
      </w:pPr>
      <w:r w:rsidRPr="00A36DEB">
        <w:rPr>
          <w:rStyle w:val="FootnoteReference"/>
          <w:rFonts w:cs="Arial"/>
        </w:rPr>
        <w:footnoteRef/>
      </w:r>
      <w:r w:rsidRPr="00A36DEB">
        <w:rPr>
          <w:rFonts w:cs="Arial"/>
        </w:rPr>
        <w:t xml:space="preserve"> </w:t>
      </w:r>
      <w:hyperlink r:id="rId95" w:history="1">
        <w:r w:rsidRPr="00A36DEB">
          <w:rPr>
            <w:rStyle w:val="Hyperlink"/>
            <w:rFonts w:cs="Arial"/>
          </w:rPr>
          <w:t>Specific regulation regarding the conditions of admission and of maintenance on the list of volunteered lawyers in juvenile law</w:t>
        </w:r>
      </w:hyperlink>
      <w:r w:rsidRPr="00A36DEB">
        <w:rPr>
          <w:rFonts w:cs="Arial"/>
        </w:rPr>
        <w:t>, in force since 1 July 2013.</w:t>
      </w:r>
    </w:p>
  </w:footnote>
  <w:footnote w:id="92">
    <w:p w:rsidR="00F60A1E" w:rsidRPr="00A36DEB" w:rsidRDefault="00F60A1E" w:rsidP="00F60A1E">
      <w:pPr>
        <w:pStyle w:val="FootnoteText"/>
        <w:spacing w:after="0"/>
        <w:jc w:val="both"/>
        <w:rPr>
          <w:rFonts w:cs="Arial"/>
        </w:rPr>
      </w:pPr>
      <w:r w:rsidRPr="00A36DEB">
        <w:rPr>
          <w:rStyle w:val="FootnoteReference"/>
          <w:rFonts w:cs="Arial"/>
        </w:rPr>
        <w:footnoteRef/>
      </w:r>
      <w:r w:rsidRPr="00A36DEB">
        <w:rPr>
          <w:rFonts w:cs="Arial"/>
        </w:rPr>
        <w:t xml:space="preserve"> </w:t>
      </w:r>
      <w:hyperlink r:id="rId96" w:history="1">
        <w:r w:rsidRPr="00A36DEB">
          <w:rPr>
            <w:rStyle w:val="Hyperlink"/>
            <w:rFonts w:cs="Arial"/>
          </w:rPr>
          <w:t>Flemish Bar Association, Special training in juvenile law</w:t>
        </w:r>
      </w:hyperlink>
      <w:r w:rsidRPr="00A36DEB">
        <w:rPr>
          <w:rFonts w:cs="Arial"/>
        </w:rPr>
        <w:t>.</w:t>
      </w:r>
    </w:p>
  </w:footnote>
  <w:footnote w:id="93">
    <w:p w:rsidR="00F60A1E" w:rsidRPr="00AF32C2" w:rsidRDefault="00F60A1E" w:rsidP="00F60A1E">
      <w:pPr>
        <w:pStyle w:val="FootnoteText"/>
        <w:spacing w:after="0"/>
        <w:rPr>
          <w:rFonts w:cs="Arial"/>
          <w:sz w:val="16"/>
          <w:szCs w:val="16"/>
          <w:lang w:val="en-US"/>
        </w:rPr>
      </w:pPr>
      <w:r w:rsidRPr="00AF32C2">
        <w:rPr>
          <w:rStyle w:val="FootnoteReference"/>
          <w:rFonts w:cs="Arial"/>
          <w:sz w:val="16"/>
          <w:szCs w:val="16"/>
        </w:rPr>
        <w:footnoteRef/>
      </w:r>
      <w:r w:rsidRPr="00AF32C2">
        <w:rPr>
          <w:rFonts w:cs="Arial"/>
          <w:sz w:val="16"/>
          <w:szCs w:val="16"/>
        </w:rPr>
        <w:t xml:space="preserve"> </w:t>
      </w:r>
      <w:hyperlink r:id="rId97" w:history="1">
        <w:r>
          <w:rPr>
            <w:rStyle w:val="Hyperlink"/>
            <w:rFonts w:cs="Arial"/>
            <w:sz w:val="16"/>
            <w:szCs w:val="16"/>
            <w:lang w:val="en-US"/>
          </w:rPr>
          <w:t>P</w:t>
        </w:r>
        <w:r w:rsidRPr="00AF32C2">
          <w:rPr>
            <w:rStyle w:val="Hyperlink"/>
            <w:rFonts w:cs="Arial"/>
            <w:sz w:val="16"/>
            <w:szCs w:val="16"/>
            <w:lang w:val="en-US"/>
          </w:rPr>
          <w:t>rogramme</w:t>
        </w:r>
        <w:r>
          <w:rPr>
            <w:rStyle w:val="Hyperlink"/>
            <w:rFonts w:cs="Arial"/>
            <w:sz w:val="16"/>
            <w:szCs w:val="16"/>
            <w:lang w:val="en-US"/>
          </w:rPr>
          <w:t xml:space="preserve"> Law</w:t>
        </w:r>
        <w:r w:rsidRPr="00AF32C2">
          <w:rPr>
            <w:rStyle w:val="Hyperlink"/>
            <w:rFonts w:cs="Arial"/>
            <w:sz w:val="16"/>
            <w:szCs w:val="16"/>
            <w:lang w:val="en-US"/>
          </w:rPr>
          <w:t xml:space="preserve"> of 24 December 2002</w:t>
        </w:r>
      </w:hyperlink>
      <w:r w:rsidRPr="00AF32C2">
        <w:rPr>
          <w:rFonts w:cs="Arial"/>
          <w:sz w:val="16"/>
          <w:szCs w:val="16"/>
          <w:lang w:val="en-US"/>
        </w:rPr>
        <w:t>.</w:t>
      </w:r>
    </w:p>
  </w:footnote>
  <w:footnote w:id="94">
    <w:p w:rsidR="00F60A1E" w:rsidRPr="00AF32C2" w:rsidRDefault="00F60A1E" w:rsidP="00F60A1E">
      <w:pPr>
        <w:pStyle w:val="FootnoteText"/>
        <w:spacing w:after="0"/>
        <w:jc w:val="both"/>
        <w:rPr>
          <w:rFonts w:cs="Arial"/>
          <w:sz w:val="16"/>
          <w:szCs w:val="16"/>
        </w:rPr>
      </w:pPr>
      <w:r w:rsidRPr="00AF32C2">
        <w:rPr>
          <w:rStyle w:val="FootnoteReference"/>
          <w:rFonts w:cs="Arial"/>
          <w:sz w:val="16"/>
          <w:szCs w:val="16"/>
        </w:rPr>
        <w:footnoteRef/>
      </w:r>
      <w:r w:rsidRPr="00AF32C2">
        <w:rPr>
          <w:rFonts w:cs="Arial"/>
          <w:sz w:val="16"/>
          <w:szCs w:val="16"/>
        </w:rPr>
        <w:t xml:space="preserve"> Information confirmed by stakeholder consultation with a Children’s Rights </w:t>
      </w:r>
      <w:r>
        <w:rPr>
          <w:rFonts w:cs="Arial"/>
          <w:sz w:val="16"/>
          <w:szCs w:val="16"/>
        </w:rPr>
        <w:t>A</w:t>
      </w:r>
      <w:r w:rsidRPr="00AF32C2">
        <w:rPr>
          <w:rFonts w:cs="Arial"/>
          <w:sz w:val="16"/>
          <w:szCs w:val="16"/>
        </w:rPr>
        <w:t>uthority.</w:t>
      </w:r>
    </w:p>
  </w:footnote>
  <w:footnote w:id="95">
    <w:p w:rsidR="00F60A1E" w:rsidRPr="00A36DEB" w:rsidRDefault="00F60A1E" w:rsidP="00F60A1E">
      <w:pPr>
        <w:pStyle w:val="FootnoteText"/>
        <w:spacing w:after="0"/>
        <w:jc w:val="both"/>
        <w:rPr>
          <w:rFonts w:cs="Arial"/>
        </w:rPr>
      </w:pPr>
      <w:r w:rsidRPr="00AF32C2">
        <w:rPr>
          <w:rStyle w:val="FootnoteReference"/>
          <w:rFonts w:cs="Arial"/>
          <w:sz w:val="16"/>
          <w:szCs w:val="16"/>
        </w:rPr>
        <w:footnoteRef/>
      </w:r>
      <w:r w:rsidRPr="00AF32C2">
        <w:rPr>
          <w:rFonts w:cs="Arial"/>
          <w:sz w:val="16"/>
          <w:szCs w:val="16"/>
        </w:rPr>
        <w:t xml:space="preserve"> Article 596 of the </w:t>
      </w:r>
      <w:hyperlink r:id="rId98" w:history="1">
        <w:r w:rsidRPr="00AF32C2">
          <w:rPr>
            <w:rStyle w:val="Hyperlink"/>
            <w:rFonts w:cs="Arial"/>
            <w:sz w:val="16"/>
            <w:szCs w:val="16"/>
          </w:rPr>
          <w:t>Code of Criminal Procedure</w:t>
        </w:r>
      </w:hyperlink>
      <w:r w:rsidRPr="00AF32C2">
        <w:rPr>
          <w:rFonts w:cs="Arial"/>
          <w:sz w:val="16"/>
          <w:szCs w:val="16"/>
        </w:rPr>
        <w:t>.</w:t>
      </w:r>
    </w:p>
  </w:footnote>
  <w:footnote w:id="96">
    <w:p w:rsidR="00F60A1E" w:rsidRPr="006E70D3" w:rsidRDefault="00F60A1E" w:rsidP="00F60A1E">
      <w:pPr>
        <w:pStyle w:val="FootnoteText"/>
        <w:spacing w:after="0"/>
        <w:rPr>
          <w:rFonts w:cs="Arial"/>
          <w:szCs w:val="18"/>
          <w:lang w:val="en-US"/>
        </w:rPr>
      </w:pPr>
      <w:r w:rsidRPr="006E70D3">
        <w:rPr>
          <w:rStyle w:val="FootnoteReference"/>
          <w:rFonts w:cs="Arial"/>
          <w:szCs w:val="18"/>
        </w:rPr>
        <w:footnoteRef/>
      </w:r>
      <w:r w:rsidRPr="006E70D3">
        <w:rPr>
          <w:rFonts w:cs="Arial"/>
          <w:szCs w:val="18"/>
        </w:rPr>
        <w:t xml:space="preserve"> </w:t>
      </w:r>
      <w:r w:rsidRPr="006E70D3">
        <w:rPr>
          <w:rFonts w:cs="Arial"/>
          <w:szCs w:val="18"/>
          <w:lang w:val="en-US"/>
        </w:rPr>
        <w:t xml:space="preserve">Article 2 of the </w:t>
      </w:r>
      <w:hyperlink r:id="rId99" w:history="1">
        <w:r w:rsidRPr="006E70D3">
          <w:rPr>
            <w:rStyle w:val="Hyperlink"/>
            <w:rFonts w:cs="Arial"/>
            <w:szCs w:val="18"/>
          </w:rPr>
          <w:t>Judicial Code</w:t>
        </w:r>
      </w:hyperlink>
      <w:r w:rsidRPr="006E70D3">
        <w:rPr>
          <w:rFonts w:cs="Arial"/>
          <w:szCs w:val="18"/>
          <w:lang w:val="en-US"/>
        </w:rPr>
        <w:t xml:space="preserve"> and Council of State decision of 4 March 2008, No 180.510.</w:t>
      </w:r>
    </w:p>
  </w:footnote>
  <w:footnote w:id="97">
    <w:p w:rsidR="00F60A1E" w:rsidRPr="006E70D3" w:rsidRDefault="00F60A1E" w:rsidP="00F60A1E">
      <w:pPr>
        <w:pStyle w:val="FootnoteText"/>
        <w:spacing w:after="0"/>
        <w:jc w:val="both"/>
        <w:rPr>
          <w:rFonts w:cs="Arial"/>
          <w:szCs w:val="18"/>
        </w:rPr>
      </w:pPr>
      <w:r w:rsidRPr="006E70D3">
        <w:rPr>
          <w:rStyle w:val="FootnoteReference"/>
          <w:rFonts w:cs="Arial"/>
          <w:szCs w:val="18"/>
        </w:rPr>
        <w:footnoteRef/>
      </w:r>
      <w:r w:rsidRPr="006E70D3">
        <w:rPr>
          <w:rFonts w:cs="Arial"/>
          <w:szCs w:val="18"/>
        </w:rPr>
        <w:t xml:space="preserve"> Articles 1124 and 1125 of the </w:t>
      </w:r>
      <w:hyperlink r:id="rId100" w:history="1">
        <w:r w:rsidRPr="006E70D3">
          <w:rPr>
            <w:rStyle w:val="Hyperlink"/>
            <w:rFonts w:cs="Arial"/>
            <w:szCs w:val="18"/>
          </w:rPr>
          <w:t>Civil Code</w:t>
        </w:r>
      </w:hyperlink>
      <w:r w:rsidRPr="006E70D3">
        <w:rPr>
          <w:rFonts w:cs="Arial"/>
          <w:szCs w:val="18"/>
        </w:rPr>
        <w:t>.</w:t>
      </w:r>
    </w:p>
  </w:footnote>
  <w:footnote w:id="98">
    <w:p w:rsidR="00F60A1E" w:rsidRPr="006E70D3" w:rsidRDefault="00F60A1E" w:rsidP="00F60A1E">
      <w:pPr>
        <w:pStyle w:val="FootnoteText"/>
        <w:spacing w:after="0"/>
        <w:jc w:val="both"/>
        <w:rPr>
          <w:rFonts w:cs="Arial"/>
          <w:szCs w:val="18"/>
          <w:lang w:val="fr-BE"/>
        </w:rPr>
      </w:pPr>
      <w:r w:rsidRPr="006E70D3">
        <w:rPr>
          <w:rStyle w:val="FootnoteReference"/>
          <w:rFonts w:cs="Arial"/>
          <w:szCs w:val="18"/>
        </w:rPr>
        <w:footnoteRef/>
      </w:r>
      <w:r w:rsidRPr="006E70D3">
        <w:rPr>
          <w:rFonts w:cs="Arial"/>
          <w:szCs w:val="18"/>
        </w:rPr>
        <w:t xml:space="preserve"> The filing of a judicial action by a child results in the inadmissibility of the action, which can be overcome by the regularisation of the action. </w:t>
      </w:r>
      <w:r w:rsidRPr="006E70D3">
        <w:rPr>
          <w:rFonts w:cs="Arial"/>
          <w:szCs w:val="18"/>
          <w:lang w:val="fr-BE"/>
        </w:rPr>
        <w:t xml:space="preserve">Kinderrechtswinkels, Services droit des jeunes and Infor Jeunes Bruxelles, </w:t>
      </w:r>
      <w:r w:rsidRPr="006E70D3">
        <w:rPr>
          <w:rFonts w:cs="Arial"/>
          <w:i/>
          <w:szCs w:val="18"/>
          <w:lang w:val="fr-BE"/>
        </w:rPr>
        <w:t>The legal position of the minor in practice (La position juridique du mineur dans la pratique)</w:t>
      </w:r>
      <w:r w:rsidRPr="006E70D3">
        <w:rPr>
          <w:rFonts w:cs="Arial"/>
          <w:szCs w:val="18"/>
          <w:lang w:val="fr-BE"/>
        </w:rPr>
        <w:t>, 2006, UGA, p.79.</w:t>
      </w:r>
    </w:p>
  </w:footnote>
  <w:footnote w:id="99">
    <w:p w:rsidR="00F60A1E" w:rsidRPr="006E70D3" w:rsidRDefault="00F60A1E" w:rsidP="00F60A1E">
      <w:pPr>
        <w:pStyle w:val="FootnoteText"/>
        <w:spacing w:after="0"/>
        <w:jc w:val="both"/>
        <w:rPr>
          <w:rFonts w:cs="Arial"/>
          <w:szCs w:val="18"/>
        </w:rPr>
      </w:pPr>
      <w:r w:rsidRPr="006E70D3">
        <w:rPr>
          <w:rStyle w:val="FootnoteReference"/>
          <w:rFonts w:cs="Arial"/>
          <w:szCs w:val="18"/>
        </w:rPr>
        <w:footnoteRef/>
      </w:r>
      <w:r w:rsidRPr="006E70D3">
        <w:rPr>
          <w:rFonts w:cs="Arial"/>
          <w:szCs w:val="18"/>
        </w:rPr>
        <w:t xml:space="preserve"> Title X, Chapter 3 of the </w:t>
      </w:r>
      <w:hyperlink r:id="rId101" w:history="1">
        <w:r w:rsidRPr="006E70D3">
          <w:rPr>
            <w:rStyle w:val="Hyperlink"/>
            <w:rFonts w:cs="Arial"/>
            <w:szCs w:val="18"/>
          </w:rPr>
          <w:t>Civil Code</w:t>
        </w:r>
      </w:hyperlink>
      <w:r w:rsidRPr="006E70D3">
        <w:rPr>
          <w:rFonts w:cs="Arial"/>
          <w:szCs w:val="18"/>
        </w:rPr>
        <w:t>.</w:t>
      </w:r>
    </w:p>
  </w:footnote>
  <w:footnote w:id="100">
    <w:p w:rsidR="00F60A1E" w:rsidRPr="006E70D3" w:rsidRDefault="00F60A1E" w:rsidP="00F60A1E">
      <w:pPr>
        <w:pStyle w:val="FootnoteText"/>
        <w:spacing w:after="0"/>
        <w:jc w:val="both"/>
        <w:rPr>
          <w:rFonts w:cs="Arial"/>
          <w:szCs w:val="18"/>
          <w:lang w:val="nl-BE"/>
        </w:rPr>
      </w:pPr>
      <w:r w:rsidRPr="006E70D3">
        <w:rPr>
          <w:rStyle w:val="FootnoteReference"/>
          <w:rFonts w:cs="Arial"/>
          <w:szCs w:val="18"/>
        </w:rPr>
        <w:footnoteRef/>
      </w:r>
      <w:r w:rsidRPr="006E70D3">
        <w:rPr>
          <w:rFonts w:cs="Arial"/>
          <w:szCs w:val="18"/>
        </w:rPr>
        <w:t xml:space="preserve"> Articles 476-486 of the </w:t>
      </w:r>
      <w:hyperlink r:id="rId102" w:history="1">
        <w:r w:rsidRPr="006E70D3">
          <w:rPr>
            <w:rStyle w:val="Hyperlink"/>
            <w:rFonts w:cs="Arial"/>
            <w:szCs w:val="18"/>
          </w:rPr>
          <w:t>Civil Code</w:t>
        </w:r>
      </w:hyperlink>
      <w:r w:rsidRPr="006E70D3">
        <w:rPr>
          <w:rFonts w:cs="Arial"/>
          <w:szCs w:val="18"/>
        </w:rPr>
        <w:t xml:space="preserve">. </w:t>
      </w:r>
      <w:r w:rsidRPr="006E70D3">
        <w:rPr>
          <w:rFonts w:cs="Arial"/>
          <w:szCs w:val="18"/>
          <w:lang w:val="fr-BE"/>
        </w:rPr>
        <w:t xml:space="preserve">Kinderrechtswinkels, Services droit des jeunes and Infor Jeunes Bruxelles, </w:t>
      </w:r>
      <w:r w:rsidRPr="006E70D3">
        <w:rPr>
          <w:rFonts w:cs="Arial"/>
          <w:i/>
          <w:szCs w:val="18"/>
          <w:lang w:val="fr-BE"/>
        </w:rPr>
        <w:t>The legal position of the minor in practice (La position juridique du mineur dans la pratique)</w:t>
      </w:r>
      <w:r w:rsidRPr="006E70D3">
        <w:rPr>
          <w:rFonts w:cs="Arial"/>
          <w:szCs w:val="18"/>
          <w:lang w:val="fr-BE"/>
        </w:rPr>
        <w:t xml:space="preserve">, 2006, UGA, pp.84-85. </w:t>
      </w:r>
      <w:r w:rsidRPr="006E70D3">
        <w:rPr>
          <w:rFonts w:cs="Arial"/>
          <w:szCs w:val="18"/>
          <w:lang w:val="nl-BE"/>
        </w:rPr>
        <w:t xml:space="preserve">Kinderrechtswinkels, </w:t>
      </w:r>
      <w:r w:rsidRPr="006E70D3">
        <w:rPr>
          <w:rFonts w:cs="Arial"/>
          <w:i/>
          <w:szCs w:val="18"/>
          <w:lang w:val="nl-BE"/>
        </w:rPr>
        <w:t>‘The law of minors in practice’</w:t>
      </w:r>
      <w:r w:rsidRPr="006E70D3">
        <w:rPr>
          <w:rFonts w:cs="Arial"/>
          <w:szCs w:val="18"/>
          <w:lang w:val="nl-BE"/>
        </w:rPr>
        <w:t xml:space="preserve"> </w:t>
      </w:r>
      <w:r w:rsidRPr="006E70D3">
        <w:rPr>
          <w:rFonts w:cs="Arial"/>
          <w:i/>
          <w:szCs w:val="18"/>
          <w:lang w:val="nl-BE"/>
        </w:rPr>
        <w:t>‘De juridische positive van de minderjarige in de pratijk’</w:t>
      </w:r>
      <w:r w:rsidRPr="006E70D3">
        <w:rPr>
          <w:rFonts w:cs="Arial"/>
          <w:szCs w:val="18"/>
          <w:lang w:val="nl-BE"/>
        </w:rPr>
        <w:t>, 2007, UGA, pp.108-109.</w:t>
      </w:r>
    </w:p>
  </w:footnote>
  <w:footnote w:id="101">
    <w:p w:rsidR="00F60A1E" w:rsidRPr="00AF32C2" w:rsidRDefault="00F60A1E" w:rsidP="00F60A1E">
      <w:pPr>
        <w:pStyle w:val="FootnoteText"/>
        <w:spacing w:after="0"/>
        <w:jc w:val="both"/>
        <w:rPr>
          <w:rFonts w:cs="Arial"/>
          <w:sz w:val="16"/>
          <w:szCs w:val="16"/>
        </w:rPr>
      </w:pPr>
      <w:r w:rsidRPr="006E70D3">
        <w:rPr>
          <w:rStyle w:val="FootnoteReference"/>
          <w:rFonts w:cs="Arial"/>
          <w:szCs w:val="18"/>
        </w:rPr>
        <w:footnoteRef/>
      </w:r>
      <w:r w:rsidRPr="006E70D3">
        <w:rPr>
          <w:rFonts w:cs="Arial"/>
          <w:szCs w:val="18"/>
        </w:rPr>
        <w:t xml:space="preserve"> Article 1150 of the </w:t>
      </w:r>
      <w:hyperlink r:id="rId103" w:history="1">
        <w:r w:rsidRPr="006E70D3">
          <w:rPr>
            <w:rStyle w:val="Hyperlink"/>
            <w:rFonts w:cs="Arial"/>
            <w:szCs w:val="18"/>
          </w:rPr>
          <w:t>Judicial Code</w:t>
        </w:r>
      </w:hyperlink>
      <w:r w:rsidRPr="006E70D3">
        <w:rPr>
          <w:rFonts w:cs="Arial"/>
          <w:szCs w:val="18"/>
        </w:rPr>
        <w:t>.</w:t>
      </w:r>
    </w:p>
  </w:footnote>
  <w:footnote w:id="102">
    <w:p w:rsidR="00F60A1E" w:rsidRPr="006E70D3" w:rsidRDefault="00F60A1E" w:rsidP="00F60A1E">
      <w:pPr>
        <w:pStyle w:val="FootnoteText"/>
        <w:spacing w:after="0"/>
        <w:jc w:val="both"/>
        <w:rPr>
          <w:rFonts w:cs="Arial"/>
          <w:szCs w:val="18"/>
          <w:lang w:val="fr-BE"/>
        </w:rPr>
      </w:pPr>
      <w:r w:rsidRPr="006E70D3">
        <w:rPr>
          <w:rStyle w:val="FootnoteReference"/>
          <w:rFonts w:cs="Arial"/>
          <w:szCs w:val="18"/>
        </w:rPr>
        <w:footnoteRef/>
      </w:r>
      <w:r w:rsidRPr="006E70D3">
        <w:rPr>
          <w:rFonts w:cs="Arial"/>
          <w:szCs w:val="18"/>
          <w:lang w:val="en-US"/>
        </w:rPr>
        <w:t xml:space="preserve"> </w:t>
      </w:r>
      <w:r w:rsidRPr="006E70D3">
        <w:rPr>
          <w:rFonts w:cs="Arial"/>
          <w:bCs/>
          <w:szCs w:val="18"/>
        </w:rPr>
        <w:t>However, the exceptions/waiving recognised by some courts must be taken with caution as the case-law is not consistent in allowing/recognising such exceptions</w:t>
      </w:r>
      <w:r w:rsidRPr="006E70D3">
        <w:rPr>
          <w:rFonts w:cs="Arial"/>
          <w:bCs/>
          <w:szCs w:val="18"/>
          <w:lang w:val="en-US"/>
        </w:rPr>
        <w:t>.</w:t>
      </w:r>
      <w:r w:rsidRPr="006E70D3">
        <w:rPr>
          <w:rFonts w:cs="Arial"/>
          <w:szCs w:val="18"/>
          <w:lang w:val="en-US"/>
        </w:rPr>
        <w:t xml:space="preserve"> </w:t>
      </w:r>
      <w:r w:rsidRPr="006E70D3">
        <w:rPr>
          <w:rFonts w:cs="Arial"/>
          <w:szCs w:val="18"/>
          <w:lang w:val="fr-BE"/>
        </w:rPr>
        <w:t xml:space="preserve">Cécile De Boe, </w:t>
      </w:r>
      <w:r w:rsidRPr="006E70D3">
        <w:rPr>
          <w:rFonts w:cs="Arial"/>
          <w:i/>
          <w:szCs w:val="18"/>
          <w:lang w:val="fr-BE"/>
        </w:rPr>
        <w:t xml:space="preserve">‘The position of the child in civil proceedings’ </w:t>
      </w:r>
      <w:r w:rsidRPr="006E70D3">
        <w:rPr>
          <w:rFonts w:cs="Arial"/>
          <w:szCs w:val="18"/>
          <w:lang w:val="fr-BE"/>
        </w:rPr>
        <w:t>(</w:t>
      </w:r>
      <w:r w:rsidRPr="006E70D3">
        <w:rPr>
          <w:rFonts w:cs="Arial"/>
          <w:i/>
          <w:szCs w:val="18"/>
          <w:lang w:val="fr-BE"/>
        </w:rPr>
        <w:t>La place de l’enfant dans le procès civil</w:t>
      </w:r>
      <w:r w:rsidRPr="006E70D3">
        <w:rPr>
          <w:rFonts w:cs="Arial"/>
          <w:szCs w:val="18"/>
          <w:lang w:val="fr-BE"/>
        </w:rPr>
        <w:t xml:space="preserve">)’, 2009, </w:t>
      </w:r>
      <w:r w:rsidRPr="006E70D3">
        <w:rPr>
          <w:rFonts w:cs="Arial"/>
          <w:i/>
          <w:szCs w:val="18"/>
          <w:lang w:val="fr-BE"/>
        </w:rPr>
        <w:t>Journal des Tribunaux</w:t>
      </w:r>
      <w:r w:rsidRPr="006E70D3">
        <w:rPr>
          <w:rFonts w:cs="Arial"/>
          <w:szCs w:val="18"/>
          <w:lang w:val="fr-BE"/>
        </w:rPr>
        <w:t>, pp. 485-494.</w:t>
      </w:r>
    </w:p>
  </w:footnote>
  <w:footnote w:id="103">
    <w:p w:rsidR="00F60A1E" w:rsidRPr="006E70D3" w:rsidRDefault="00F60A1E" w:rsidP="00F60A1E">
      <w:pPr>
        <w:pStyle w:val="FootnoteText"/>
        <w:spacing w:after="0"/>
        <w:rPr>
          <w:rFonts w:cs="Arial"/>
          <w:szCs w:val="18"/>
          <w:lang w:val="en-US"/>
        </w:rPr>
      </w:pPr>
      <w:r w:rsidRPr="006E70D3">
        <w:rPr>
          <w:rStyle w:val="FootnoteReference"/>
          <w:rFonts w:cs="Arial"/>
          <w:szCs w:val="18"/>
        </w:rPr>
        <w:footnoteRef/>
      </w:r>
      <w:r w:rsidRPr="006E70D3">
        <w:rPr>
          <w:rFonts w:cs="Arial"/>
          <w:szCs w:val="18"/>
        </w:rPr>
        <w:t xml:space="preserve"> </w:t>
      </w:r>
      <w:r w:rsidRPr="006E70D3">
        <w:rPr>
          <w:rFonts w:cs="Arial"/>
          <w:szCs w:val="18"/>
          <w:lang w:val="en-US"/>
        </w:rPr>
        <w:t>Council of State decision of 28 August 1992, No 40.185.</w:t>
      </w:r>
    </w:p>
  </w:footnote>
  <w:footnote w:id="104">
    <w:p w:rsidR="00F60A1E" w:rsidRPr="006E70D3" w:rsidRDefault="00F60A1E" w:rsidP="00F60A1E">
      <w:pPr>
        <w:pStyle w:val="FootnoteText"/>
        <w:spacing w:after="0"/>
        <w:rPr>
          <w:rFonts w:cs="Arial"/>
          <w:szCs w:val="18"/>
          <w:lang w:val="fr-BE"/>
        </w:rPr>
      </w:pPr>
      <w:r w:rsidRPr="006E70D3">
        <w:rPr>
          <w:rStyle w:val="FootnoteReference"/>
          <w:rFonts w:cs="Arial"/>
          <w:szCs w:val="18"/>
        </w:rPr>
        <w:footnoteRef/>
      </w:r>
      <w:r w:rsidRPr="00FF18BE">
        <w:rPr>
          <w:rFonts w:cs="Arial"/>
          <w:szCs w:val="18"/>
          <w:lang w:val="fr-BE"/>
        </w:rPr>
        <w:t xml:space="preserve"> </w:t>
      </w:r>
      <w:r w:rsidRPr="006E70D3">
        <w:rPr>
          <w:rFonts w:cs="Arial"/>
          <w:szCs w:val="18"/>
          <w:lang w:val="fr-BE"/>
        </w:rPr>
        <w:t xml:space="preserve">Michel Leroy, </w:t>
      </w:r>
      <w:r w:rsidRPr="006E70D3">
        <w:rPr>
          <w:rFonts w:cs="Arial"/>
          <w:i/>
          <w:szCs w:val="18"/>
          <w:lang w:val="fr-BE"/>
        </w:rPr>
        <w:t>Contentieux administratif</w:t>
      </w:r>
      <w:r w:rsidRPr="006E70D3">
        <w:rPr>
          <w:rFonts w:cs="Arial"/>
          <w:szCs w:val="18"/>
          <w:lang w:val="fr-BE"/>
        </w:rPr>
        <w:t>, Anthemis, Brussels, 2011, p. 482-483.</w:t>
      </w:r>
    </w:p>
  </w:footnote>
  <w:footnote w:id="105">
    <w:p w:rsidR="00F60A1E" w:rsidRPr="006E70D3" w:rsidRDefault="00F60A1E" w:rsidP="00F60A1E">
      <w:pPr>
        <w:pStyle w:val="FootnoteText"/>
        <w:spacing w:after="0"/>
        <w:jc w:val="both"/>
        <w:rPr>
          <w:rFonts w:cs="Arial"/>
          <w:szCs w:val="18"/>
        </w:rPr>
      </w:pPr>
      <w:r w:rsidRPr="006E70D3">
        <w:rPr>
          <w:rStyle w:val="FootnoteReference"/>
          <w:rFonts w:cs="Arial"/>
          <w:szCs w:val="18"/>
        </w:rPr>
        <w:footnoteRef/>
      </w:r>
      <w:r w:rsidRPr="006E70D3">
        <w:rPr>
          <w:rFonts w:cs="Arial"/>
          <w:szCs w:val="18"/>
        </w:rPr>
        <w:t xml:space="preserve"> Articles 373 and 374 of the </w:t>
      </w:r>
      <w:hyperlink r:id="rId104" w:history="1">
        <w:r w:rsidRPr="006E70D3">
          <w:rPr>
            <w:rStyle w:val="Hyperlink"/>
            <w:rFonts w:cs="Arial"/>
            <w:szCs w:val="18"/>
          </w:rPr>
          <w:t>Civil Code</w:t>
        </w:r>
      </w:hyperlink>
      <w:r w:rsidRPr="006E70D3">
        <w:rPr>
          <w:rFonts w:cs="Arial"/>
          <w:szCs w:val="18"/>
        </w:rPr>
        <w:t>.</w:t>
      </w:r>
    </w:p>
  </w:footnote>
  <w:footnote w:id="106">
    <w:p w:rsidR="00F60A1E" w:rsidRPr="006E70D3" w:rsidRDefault="00F60A1E" w:rsidP="00F60A1E">
      <w:pPr>
        <w:pStyle w:val="FootnoteText"/>
        <w:spacing w:after="0"/>
        <w:jc w:val="both"/>
        <w:rPr>
          <w:rFonts w:cs="Arial"/>
          <w:szCs w:val="18"/>
        </w:rPr>
      </w:pPr>
      <w:r w:rsidRPr="006E70D3">
        <w:rPr>
          <w:rStyle w:val="FootnoteReference"/>
          <w:rFonts w:cs="Arial"/>
          <w:szCs w:val="18"/>
        </w:rPr>
        <w:footnoteRef/>
      </w:r>
      <w:r w:rsidRPr="006E70D3">
        <w:rPr>
          <w:rFonts w:cs="Arial"/>
          <w:szCs w:val="18"/>
        </w:rPr>
        <w:t xml:space="preserve"> </w:t>
      </w:r>
      <w:r w:rsidRPr="006E70D3">
        <w:rPr>
          <w:rFonts w:cs="Arial"/>
          <w:bCs/>
          <w:szCs w:val="18"/>
        </w:rPr>
        <w:t xml:space="preserve">Article 378 of the </w:t>
      </w:r>
      <w:hyperlink r:id="rId105" w:history="1">
        <w:r w:rsidRPr="006E70D3">
          <w:rPr>
            <w:rStyle w:val="Hyperlink"/>
            <w:rFonts w:cs="Arial"/>
            <w:szCs w:val="18"/>
          </w:rPr>
          <w:t>Civil Code</w:t>
        </w:r>
      </w:hyperlink>
      <w:r w:rsidRPr="006E70D3">
        <w:rPr>
          <w:rFonts w:cs="Arial"/>
          <w:bCs/>
          <w:szCs w:val="18"/>
        </w:rPr>
        <w:t>.</w:t>
      </w:r>
    </w:p>
  </w:footnote>
  <w:footnote w:id="107">
    <w:p w:rsidR="00F60A1E" w:rsidRPr="006E70D3" w:rsidRDefault="00F60A1E" w:rsidP="00F60A1E">
      <w:pPr>
        <w:pStyle w:val="FootnoteText"/>
        <w:spacing w:after="0"/>
        <w:jc w:val="both"/>
        <w:rPr>
          <w:rFonts w:cs="Arial"/>
          <w:szCs w:val="18"/>
        </w:rPr>
      </w:pPr>
      <w:r w:rsidRPr="006E70D3">
        <w:rPr>
          <w:rStyle w:val="FootnoteReference"/>
          <w:rFonts w:cs="Arial"/>
          <w:szCs w:val="18"/>
        </w:rPr>
        <w:footnoteRef/>
      </w:r>
      <w:r w:rsidRPr="006E70D3">
        <w:rPr>
          <w:rFonts w:cs="Arial"/>
          <w:szCs w:val="18"/>
        </w:rPr>
        <w:t xml:space="preserve"> Thierry Moreau, ‘</w:t>
      </w:r>
      <w:r w:rsidRPr="006E70D3">
        <w:rPr>
          <w:rFonts w:cs="Arial"/>
          <w:i/>
          <w:szCs w:val="18"/>
        </w:rPr>
        <w:t>The autonomy of the minor in justice’</w:t>
      </w:r>
      <w:r w:rsidRPr="006E70D3">
        <w:rPr>
          <w:rFonts w:cs="Arial"/>
          <w:szCs w:val="18"/>
        </w:rPr>
        <w:t xml:space="preserve"> (L’autonomie du mineur en justice)’, in </w:t>
      </w:r>
      <w:r w:rsidRPr="006E70D3">
        <w:rPr>
          <w:rFonts w:cs="Arial"/>
          <w:i/>
          <w:szCs w:val="18"/>
        </w:rPr>
        <w:t>L’autonomie du mineur</w:t>
      </w:r>
      <w:r w:rsidRPr="006E70D3">
        <w:rPr>
          <w:rFonts w:cs="Arial"/>
          <w:szCs w:val="18"/>
        </w:rPr>
        <w:t>, eds P. Jadoul, J. Sambon and B. Van Keirsblick, p.170.</w:t>
      </w:r>
    </w:p>
  </w:footnote>
  <w:footnote w:id="108">
    <w:p w:rsidR="00F60A1E" w:rsidRPr="006E70D3" w:rsidRDefault="00F60A1E" w:rsidP="00F60A1E">
      <w:pPr>
        <w:pStyle w:val="FootnoteText"/>
        <w:spacing w:after="0"/>
        <w:jc w:val="both"/>
        <w:rPr>
          <w:rFonts w:cs="Arial"/>
          <w:szCs w:val="18"/>
        </w:rPr>
      </w:pPr>
      <w:r w:rsidRPr="006E70D3">
        <w:rPr>
          <w:rStyle w:val="FootnoteReference"/>
          <w:rFonts w:cs="Arial"/>
          <w:szCs w:val="18"/>
        </w:rPr>
        <w:footnoteRef/>
      </w:r>
      <w:r w:rsidRPr="006E70D3">
        <w:rPr>
          <w:rFonts w:cs="Arial"/>
          <w:szCs w:val="18"/>
        </w:rPr>
        <w:t xml:space="preserve"> Article 372 of the </w:t>
      </w:r>
      <w:hyperlink r:id="rId106" w:history="1">
        <w:r w:rsidRPr="006E70D3">
          <w:rPr>
            <w:rStyle w:val="Hyperlink"/>
            <w:rFonts w:cs="Arial"/>
            <w:szCs w:val="18"/>
          </w:rPr>
          <w:t>Civil Code</w:t>
        </w:r>
      </w:hyperlink>
      <w:r w:rsidRPr="006E70D3">
        <w:rPr>
          <w:rFonts w:cs="Arial"/>
          <w:szCs w:val="18"/>
        </w:rPr>
        <w:t>.</w:t>
      </w:r>
    </w:p>
  </w:footnote>
  <w:footnote w:id="109">
    <w:p w:rsidR="00F60A1E" w:rsidRPr="006E70D3" w:rsidRDefault="00F60A1E" w:rsidP="00F60A1E">
      <w:pPr>
        <w:pStyle w:val="FootnoteText"/>
        <w:spacing w:after="0"/>
        <w:rPr>
          <w:rFonts w:cs="Arial"/>
          <w:szCs w:val="18"/>
          <w:lang w:val="en-US"/>
        </w:rPr>
      </w:pPr>
      <w:r w:rsidRPr="006E70D3">
        <w:rPr>
          <w:rStyle w:val="FootnoteReference"/>
          <w:rFonts w:cs="Arial"/>
          <w:szCs w:val="18"/>
        </w:rPr>
        <w:footnoteRef/>
      </w:r>
      <w:r w:rsidRPr="006E70D3">
        <w:rPr>
          <w:rFonts w:cs="Arial"/>
          <w:szCs w:val="18"/>
        </w:rPr>
        <w:t xml:space="preserve"> </w:t>
      </w:r>
      <w:r w:rsidRPr="006E70D3">
        <w:rPr>
          <w:rFonts w:cs="Arial"/>
          <w:szCs w:val="18"/>
          <w:lang w:val="en-US"/>
        </w:rPr>
        <w:t xml:space="preserve">Article 815 of the </w:t>
      </w:r>
      <w:hyperlink r:id="rId107" w:history="1">
        <w:r w:rsidRPr="006E70D3">
          <w:rPr>
            <w:rStyle w:val="Hyperlink"/>
            <w:rFonts w:cs="Arial"/>
            <w:szCs w:val="18"/>
          </w:rPr>
          <w:t>Judicial Code</w:t>
        </w:r>
      </w:hyperlink>
      <w:r w:rsidRPr="006E70D3">
        <w:rPr>
          <w:rFonts w:cs="Arial"/>
          <w:szCs w:val="18"/>
        </w:rPr>
        <w:t>.</w:t>
      </w:r>
    </w:p>
  </w:footnote>
  <w:footnote w:id="110">
    <w:p w:rsidR="00F60A1E" w:rsidRPr="006E70D3" w:rsidRDefault="00F60A1E" w:rsidP="00F60A1E">
      <w:pPr>
        <w:pStyle w:val="FootnoteText"/>
        <w:spacing w:after="0"/>
        <w:jc w:val="both"/>
        <w:rPr>
          <w:rFonts w:cs="Arial"/>
          <w:szCs w:val="18"/>
          <w:lang w:val="en-US"/>
        </w:rPr>
      </w:pPr>
      <w:r w:rsidRPr="006E70D3">
        <w:rPr>
          <w:rStyle w:val="FootnoteReference"/>
          <w:rFonts w:cs="Arial"/>
          <w:szCs w:val="18"/>
        </w:rPr>
        <w:footnoteRef/>
      </w:r>
      <w:r w:rsidRPr="006E70D3">
        <w:rPr>
          <w:rFonts w:cs="Arial"/>
          <w:szCs w:val="18"/>
        </w:rPr>
        <w:t xml:space="preserve"> </w:t>
      </w:r>
      <w:r w:rsidRPr="006E70D3">
        <w:rPr>
          <w:rFonts w:cs="Arial"/>
          <w:szCs w:val="18"/>
          <w:lang w:val="en-US"/>
        </w:rPr>
        <w:t xml:space="preserve">Gand, 4 October 1994, </w:t>
      </w:r>
      <w:r w:rsidRPr="006E70D3">
        <w:rPr>
          <w:rFonts w:cs="Arial"/>
          <w:i/>
          <w:szCs w:val="18"/>
          <w:lang w:val="en-US"/>
        </w:rPr>
        <w:t>R.W</w:t>
      </w:r>
      <w:r w:rsidRPr="006E70D3">
        <w:rPr>
          <w:rFonts w:cs="Arial"/>
          <w:szCs w:val="18"/>
          <w:lang w:val="en-US"/>
        </w:rPr>
        <w:t>., 1995-1996, p. 435.</w:t>
      </w:r>
    </w:p>
  </w:footnote>
  <w:footnote w:id="111">
    <w:p w:rsidR="00F60A1E" w:rsidRPr="00AF32C2" w:rsidRDefault="00F60A1E" w:rsidP="00F60A1E">
      <w:pPr>
        <w:pStyle w:val="FootnoteText"/>
        <w:spacing w:after="0"/>
        <w:jc w:val="both"/>
        <w:rPr>
          <w:rFonts w:cs="Arial"/>
          <w:sz w:val="16"/>
          <w:szCs w:val="16"/>
          <w:lang w:val="fr-BE"/>
        </w:rPr>
      </w:pPr>
      <w:r w:rsidRPr="006E70D3">
        <w:rPr>
          <w:rStyle w:val="FootnoteReference"/>
          <w:rFonts w:cs="Arial"/>
          <w:szCs w:val="18"/>
        </w:rPr>
        <w:footnoteRef/>
      </w:r>
      <w:r w:rsidRPr="006E70D3">
        <w:rPr>
          <w:rFonts w:cs="Arial"/>
          <w:szCs w:val="18"/>
          <w:lang w:val="fr-BE"/>
        </w:rPr>
        <w:t xml:space="preserve"> Cécile De Boe, </w:t>
      </w:r>
      <w:r w:rsidRPr="006E70D3">
        <w:rPr>
          <w:rFonts w:cs="Arial"/>
          <w:i/>
          <w:szCs w:val="18"/>
          <w:lang w:val="fr-BE"/>
        </w:rPr>
        <w:t>‘The position of the child in civil proceedings’</w:t>
      </w:r>
      <w:r w:rsidRPr="006E70D3">
        <w:rPr>
          <w:rFonts w:cs="Arial"/>
          <w:szCs w:val="18"/>
          <w:lang w:val="fr-BE"/>
        </w:rPr>
        <w:t xml:space="preserve"> (</w:t>
      </w:r>
      <w:r w:rsidRPr="006E70D3">
        <w:rPr>
          <w:rFonts w:cs="Arial"/>
          <w:i/>
          <w:szCs w:val="18"/>
          <w:lang w:val="fr-BE"/>
        </w:rPr>
        <w:t>La place de l’enfant dans le procès civil</w:t>
      </w:r>
      <w:r w:rsidRPr="006E70D3">
        <w:rPr>
          <w:rFonts w:cs="Arial"/>
          <w:szCs w:val="18"/>
          <w:lang w:val="fr-BE"/>
        </w:rPr>
        <w:t xml:space="preserve">)’, 2009, </w:t>
      </w:r>
      <w:r w:rsidRPr="006E70D3">
        <w:rPr>
          <w:rFonts w:cs="Arial"/>
          <w:i/>
          <w:szCs w:val="18"/>
          <w:lang w:val="fr-BE"/>
        </w:rPr>
        <w:t>Journal des Tribunaux</w:t>
      </w:r>
      <w:r w:rsidRPr="006E70D3">
        <w:rPr>
          <w:rFonts w:cs="Arial"/>
          <w:szCs w:val="18"/>
          <w:lang w:val="fr-BE"/>
        </w:rPr>
        <w:t>, p.487.</w:t>
      </w:r>
    </w:p>
  </w:footnote>
  <w:footnote w:id="112">
    <w:p w:rsidR="00F60A1E" w:rsidRPr="006E70D3" w:rsidRDefault="00F60A1E" w:rsidP="00F60A1E">
      <w:pPr>
        <w:pStyle w:val="FootnoteText"/>
        <w:spacing w:after="0"/>
        <w:rPr>
          <w:rFonts w:cs="Arial"/>
          <w:szCs w:val="18"/>
          <w:lang w:val="fr-BE"/>
        </w:rPr>
      </w:pPr>
      <w:r w:rsidRPr="006E70D3">
        <w:rPr>
          <w:rStyle w:val="FootnoteReference"/>
          <w:rFonts w:cs="Arial"/>
          <w:szCs w:val="18"/>
        </w:rPr>
        <w:footnoteRef/>
      </w:r>
      <w:r w:rsidRPr="006E70D3">
        <w:rPr>
          <w:rFonts w:cs="Arial"/>
          <w:szCs w:val="18"/>
        </w:rPr>
        <w:t xml:space="preserve"> </w:t>
      </w:r>
      <w:r w:rsidRPr="006E70D3">
        <w:rPr>
          <w:rFonts w:cs="Arial"/>
          <w:szCs w:val="18"/>
          <w:lang w:val="en-US"/>
        </w:rPr>
        <w:t xml:space="preserve">Those criteria have been developed by the case-law. </w:t>
      </w:r>
      <w:r w:rsidRPr="006E70D3">
        <w:rPr>
          <w:rFonts w:cs="Arial"/>
          <w:szCs w:val="18"/>
          <w:lang w:val="fr-BE"/>
        </w:rPr>
        <w:t xml:space="preserve">Michel Leroy, </w:t>
      </w:r>
      <w:r w:rsidRPr="006E70D3">
        <w:rPr>
          <w:rFonts w:cs="Arial"/>
          <w:i/>
          <w:szCs w:val="18"/>
          <w:lang w:val="fr-BE"/>
        </w:rPr>
        <w:t>Contentieux administratif</w:t>
      </w:r>
      <w:r w:rsidRPr="006E70D3">
        <w:rPr>
          <w:rFonts w:cs="Arial"/>
          <w:szCs w:val="18"/>
          <w:lang w:val="fr-BE"/>
        </w:rPr>
        <w:t>, Anthemis, Brussels, 2011, p. 461.</w:t>
      </w:r>
    </w:p>
  </w:footnote>
  <w:footnote w:id="113">
    <w:p w:rsidR="00F60A1E" w:rsidRPr="006E70D3" w:rsidRDefault="00F60A1E" w:rsidP="00F60A1E">
      <w:pPr>
        <w:pStyle w:val="FootnoteText"/>
        <w:rPr>
          <w:rFonts w:cs="Arial"/>
          <w:szCs w:val="18"/>
          <w:lang w:val="en-US"/>
        </w:rPr>
      </w:pPr>
      <w:r w:rsidRPr="006E70D3">
        <w:rPr>
          <w:rStyle w:val="FootnoteReference"/>
          <w:rFonts w:cs="Arial"/>
          <w:szCs w:val="18"/>
        </w:rPr>
        <w:footnoteRef/>
      </w:r>
      <w:r w:rsidRPr="006E70D3">
        <w:rPr>
          <w:rFonts w:cs="Arial"/>
          <w:szCs w:val="18"/>
        </w:rPr>
        <w:t xml:space="preserve"> </w:t>
      </w:r>
      <w:r w:rsidRPr="006E70D3">
        <w:rPr>
          <w:rFonts w:cs="Arial"/>
          <w:szCs w:val="18"/>
          <w:lang w:val="en-US"/>
        </w:rPr>
        <w:t xml:space="preserve">Article 19 of the </w:t>
      </w:r>
      <w:hyperlink r:id="rId108" w:history="1">
        <w:r w:rsidRPr="006E70D3">
          <w:rPr>
            <w:rStyle w:val="Hyperlink"/>
            <w:rFonts w:cs="Arial"/>
            <w:bCs/>
            <w:szCs w:val="18"/>
          </w:rPr>
          <w:t>Coordinated Laws of 12 January 1973 on the Council of State</w:t>
        </w:r>
      </w:hyperlink>
      <w:r w:rsidRPr="006E70D3">
        <w:rPr>
          <w:rFonts w:cs="Arial"/>
          <w:bCs/>
          <w:szCs w:val="18"/>
          <w:lang w:val="en-US"/>
        </w:rPr>
        <w:t>.</w:t>
      </w:r>
    </w:p>
  </w:footnote>
  <w:footnote w:id="114">
    <w:p w:rsidR="00F60A1E" w:rsidRPr="006E70D3" w:rsidRDefault="00F60A1E" w:rsidP="00F60A1E">
      <w:pPr>
        <w:pStyle w:val="FootnoteText"/>
        <w:spacing w:after="0"/>
        <w:rPr>
          <w:szCs w:val="18"/>
          <w:lang w:val="en-US"/>
        </w:rPr>
      </w:pPr>
      <w:r w:rsidRPr="006E70D3">
        <w:rPr>
          <w:rStyle w:val="FootnoteReference"/>
          <w:szCs w:val="18"/>
        </w:rPr>
        <w:footnoteRef/>
      </w:r>
      <w:r w:rsidRPr="006E70D3">
        <w:rPr>
          <w:szCs w:val="18"/>
        </w:rPr>
        <w:t xml:space="preserve"> </w:t>
      </w:r>
      <w:r w:rsidRPr="006E70D3">
        <w:rPr>
          <w:szCs w:val="18"/>
          <w:lang w:val="en-US"/>
        </w:rPr>
        <w:t>The Auditor in Council of State proceedings has a role similar to the Crown. The Auditor participates in the proceedings and submits a report of his/her opinion on the case.</w:t>
      </w:r>
    </w:p>
  </w:footnote>
  <w:footnote w:id="115">
    <w:p w:rsidR="00F60A1E" w:rsidRPr="006E70D3" w:rsidRDefault="00F60A1E" w:rsidP="00F60A1E">
      <w:pPr>
        <w:pStyle w:val="FootnoteText"/>
        <w:spacing w:after="0"/>
        <w:rPr>
          <w:szCs w:val="18"/>
          <w:lang w:val="en-US"/>
        </w:rPr>
      </w:pPr>
      <w:r w:rsidRPr="006E70D3">
        <w:rPr>
          <w:rStyle w:val="FootnoteReference"/>
          <w:szCs w:val="18"/>
        </w:rPr>
        <w:footnoteRef/>
      </w:r>
      <w:r w:rsidRPr="006E70D3">
        <w:rPr>
          <w:szCs w:val="18"/>
        </w:rPr>
        <w:t xml:space="preserve"> </w:t>
      </w:r>
      <w:r w:rsidRPr="006E70D3">
        <w:rPr>
          <w:szCs w:val="18"/>
          <w:lang w:val="en-US"/>
        </w:rPr>
        <w:t xml:space="preserve">Article 21bis </w:t>
      </w:r>
      <w:r w:rsidRPr="006E70D3">
        <w:rPr>
          <w:rFonts w:cs="Arial"/>
          <w:szCs w:val="18"/>
          <w:lang w:val="en-US"/>
        </w:rPr>
        <w:t xml:space="preserve">of the </w:t>
      </w:r>
      <w:hyperlink r:id="rId109" w:history="1">
        <w:r w:rsidRPr="006E70D3">
          <w:rPr>
            <w:rStyle w:val="Hyperlink"/>
            <w:rFonts w:cs="Arial"/>
            <w:bCs/>
            <w:szCs w:val="18"/>
          </w:rPr>
          <w:t>Coordinated Laws of 12 January 1973 on the Council of State</w:t>
        </w:r>
      </w:hyperlink>
      <w:r w:rsidRPr="006E70D3">
        <w:rPr>
          <w:rFonts w:cs="Arial"/>
          <w:bCs/>
          <w:szCs w:val="18"/>
          <w:lang w:val="en-US"/>
        </w:rPr>
        <w:t xml:space="preserve"> and Article 52</w:t>
      </w:r>
      <w:r w:rsidRPr="006E70D3">
        <w:rPr>
          <w:rFonts w:cs="Arial"/>
          <w:szCs w:val="18"/>
        </w:rPr>
        <w:t xml:space="preserve"> of the</w:t>
      </w:r>
      <w:r w:rsidRPr="006E70D3">
        <w:rPr>
          <w:rFonts w:cs="Arial"/>
          <w:szCs w:val="18"/>
          <w:lang w:val="en-US"/>
        </w:rPr>
        <w:t xml:space="preserve"> </w:t>
      </w:r>
      <w:hyperlink r:id="rId110" w:history="1">
        <w:r w:rsidRPr="006E70D3">
          <w:rPr>
            <w:rStyle w:val="Hyperlink"/>
            <w:rFonts w:cs="Arial"/>
            <w:szCs w:val="18"/>
            <w:lang w:val="en-US"/>
          </w:rPr>
          <w:t>Decree the regent of 23 August 1948 determining the procedure before the section of administrative litigation of the Council of State</w:t>
        </w:r>
      </w:hyperlink>
      <w:r w:rsidRPr="006E70D3">
        <w:rPr>
          <w:rFonts w:cs="Arial"/>
          <w:bCs/>
          <w:szCs w:val="18"/>
          <w:lang w:val="en-US"/>
        </w:rPr>
        <w:t>.</w:t>
      </w:r>
    </w:p>
  </w:footnote>
  <w:footnote w:id="116">
    <w:p w:rsidR="00F60A1E" w:rsidRPr="006E70D3" w:rsidRDefault="00F60A1E" w:rsidP="00F60A1E">
      <w:pPr>
        <w:pStyle w:val="FootnoteText"/>
        <w:spacing w:after="0"/>
        <w:rPr>
          <w:rFonts w:cs="Arial"/>
          <w:szCs w:val="18"/>
          <w:lang w:val="fr-BE"/>
        </w:rPr>
      </w:pPr>
      <w:r w:rsidRPr="006E70D3">
        <w:rPr>
          <w:rStyle w:val="FootnoteReference"/>
          <w:szCs w:val="18"/>
        </w:rPr>
        <w:footnoteRef/>
      </w:r>
      <w:r w:rsidRPr="00FF18BE">
        <w:rPr>
          <w:szCs w:val="18"/>
          <w:lang w:val="fr-BE"/>
        </w:rPr>
        <w:t xml:space="preserve"> </w:t>
      </w:r>
      <w:r w:rsidRPr="006E70D3">
        <w:rPr>
          <w:rFonts w:cs="Arial"/>
          <w:szCs w:val="18"/>
          <w:lang w:val="fr-BE"/>
        </w:rPr>
        <w:t xml:space="preserve">Michel Leroy, </w:t>
      </w:r>
      <w:r w:rsidRPr="006E70D3">
        <w:rPr>
          <w:rFonts w:cs="Arial"/>
          <w:i/>
          <w:szCs w:val="18"/>
          <w:lang w:val="fr-BE"/>
        </w:rPr>
        <w:t>Contentieux administratif</w:t>
      </w:r>
      <w:r w:rsidRPr="006E70D3">
        <w:rPr>
          <w:rFonts w:cs="Arial"/>
          <w:szCs w:val="18"/>
          <w:lang w:val="fr-BE"/>
        </w:rPr>
        <w:t>, Anthemis, Brussels, 2011, p. 559.</w:t>
      </w:r>
    </w:p>
  </w:footnote>
  <w:footnote w:id="117">
    <w:p w:rsidR="00F60A1E" w:rsidRPr="00AF32C2" w:rsidRDefault="00F60A1E" w:rsidP="00F60A1E">
      <w:pPr>
        <w:pStyle w:val="FootnoteText"/>
        <w:spacing w:after="0"/>
        <w:jc w:val="both"/>
        <w:rPr>
          <w:rFonts w:cs="Arial"/>
          <w:sz w:val="16"/>
          <w:szCs w:val="16"/>
        </w:rPr>
      </w:pPr>
      <w:r w:rsidRPr="006E70D3">
        <w:rPr>
          <w:rStyle w:val="FootnoteReference"/>
          <w:rFonts w:cs="Arial"/>
          <w:szCs w:val="18"/>
        </w:rPr>
        <w:footnoteRef/>
      </w:r>
      <w:r w:rsidRPr="006E70D3">
        <w:rPr>
          <w:rFonts w:cs="Arial"/>
          <w:szCs w:val="18"/>
        </w:rPr>
        <w:t xml:space="preserve"> Article 931 of the </w:t>
      </w:r>
      <w:hyperlink r:id="rId111" w:history="1">
        <w:r w:rsidRPr="006E70D3">
          <w:rPr>
            <w:rStyle w:val="Hyperlink"/>
            <w:rFonts w:cs="Arial"/>
            <w:szCs w:val="18"/>
          </w:rPr>
          <w:t>Judicial Code</w:t>
        </w:r>
      </w:hyperlink>
      <w:r w:rsidRPr="006E70D3">
        <w:rPr>
          <w:rFonts w:cs="Arial"/>
          <w:szCs w:val="18"/>
        </w:rPr>
        <w:t>.</w:t>
      </w:r>
    </w:p>
  </w:footnote>
  <w:footnote w:id="118">
    <w:p w:rsidR="00F60A1E" w:rsidRPr="006E70D3" w:rsidRDefault="00F60A1E" w:rsidP="00F60A1E">
      <w:pPr>
        <w:pStyle w:val="FootnoteText"/>
        <w:spacing w:after="0"/>
        <w:rPr>
          <w:rFonts w:cs="Arial"/>
          <w:szCs w:val="18"/>
          <w:lang w:val="en-US"/>
        </w:rPr>
      </w:pPr>
      <w:r w:rsidRPr="006E70D3">
        <w:rPr>
          <w:rStyle w:val="FootnoteReference"/>
          <w:rFonts w:cs="Arial"/>
          <w:szCs w:val="18"/>
        </w:rPr>
        <w:footnoteRef/>
      </w:r>
      <w:r w:rsidRPr="006E70D3">
        <w:rPr>
          <w:rFonts w:cs="Arial"/>
          <w:szCs w:val="18"/>
        </w:rPr>
        <w:t xml:space="preserve"> </w:t>
      </w:r>
      <w:hyperlink r:id="rId112" w:history="1">
        <w:r w:rsidRPr="006E70D3">
          <w:rPr>
            <w:rStyle w:val="Hyperlink"/>
            <w:rFonts w:cs="Arial"/>
            <w:szCs w:val="18"/>
            <w:lang w:val="en-US"/>
          </w:rPr>
          <w:t>Council of State Decision of 28 December 1998</w:t>
        </w:r>
      </w:hyperlink>
      <w:r w:rsidRPr="006E70D3">
        <w:rPr>
          <w:rFonts w:cs="Arial"/>
          <w:szCs w:val="18"/>
          <w:lang w:val="en-US"/>
        </w:rPr>
        <w:t>, No 77.847.</w:t>
      </w:r>
    </w:p>
  </w:footnote>
  <w:footnote w:id="119">
    <w:p w:rsidR="00F60A1E" w:rsidRPr="006E70D3" w:rsidRDefault="00F60A1E" w:rsidP="00F60A1E">
      <w:pPr>
        <w:pStyle w:val="FootnoteText"/>
        <w:spacing w:after="0"/>
        <w:rPr>
          <w:rFonts w:cs="Arial"/>
          <w:szCs w:val="18"/>
          <w:lang w:val="en-US"/>
        </w:rPr>
      </w:pPr>
      <w:r w:rsidRPr="006E70D3">
        <w:rPr>
          <w:rStyle w:val="FootnoteReference"/>
          <w:rFonts w:cs="Arial"/>
          <w:szCs w:val="18"/>
        </w:rPr>
        <w:footnoteRef/>
      </w:r>
      <w:r w:rsidRPr="006E70D3">
        <w:rPr>
          <w:rFonts w:cs="Arial"/>
          <w:szCs w:val="18"/>
        </w:rPr>
        <w:t xml:space="preserve"> </w:t>
      </w:r>
      <w:r w:rsidRPr="006E70D3">
        <w:rPr>
          <w:rFonts w:cs="Arial"/>
          <w:szCs w:val="18"/>
          <w:lang w:val="en-US"/>
        </w:rPr>
        <w:t xml:space="preserve">See the </w:t>
      </w:r>
      <w:hyperlink r:id="rId113" w:history="1">
        <w:r w:rsidRPr="006E70D3">
          <w:rPr>
            <w:rStyle w:val="Hyperlink"/>
            <w:rFonts w:cs="Arial"/>
            <w:szCs w:val="18"/>
            <w:lang w:val="en-US"/>
          </w:rPr>
          <w:t>EEA Agreement</w:t>
        </w:r>
      </w:hyperlink>
      <w:r w:rsidRPr="006E70D3">
        <w:rPr>
          <w:rFonts w:cs="Arial"/>
          <w:szCs w:val="18"/>
          <w:lang w:val="en-US"/>
        </w:rPr>
        <w:t>.</w:t>
      </w:r>
    </w:p>
  </w:footnote>
  <w:footnote w:id="120">
    <w:p w:rsidR="00F60A1E" w:rsidRPr="006E70D3" w:rsidRDefault="00F60A1E" w:rsidP="00F60A1E">
      <w:pPr>
        <w:pStyle w:val="FootnoteText"/>
        <w:spacing w:after="0"/>
        <w:jc w:val="both"/>
        <w:rPr>
          <w:rFonts w:cs="Arial"/>
          <w:szCs w:val="18"/>
          <w:lang w:val="en-US"/>
        </w:rPr>
      </w:pPr>
      <w:r w:rsidRPr="006E70D3">
        <w:rPr>
          <w:rStyle w:val="FootnoteReference"/>
          <w:rFonts w:cs="Arial"/>
          <w:szCs w:val="18"/>
        </w:rPr>
        <w:footnoteRef/>
      </w:r>
      <w:r w:rsidRPr="006E70D3">
        <w:rPr>
          <w:rFonts w:cs="Arial"/>
          <w:szCs w:val="18"/>
          <w:lang w:val="en-US"/>
        </w:rPr>
        <w:t xml:space="preserve"> Article 5 of the </w:t>
      </w:r>
      <w:hyperlink r:id="rId114" w:history="1">
        <w:r w:rsidRPr="006E70D3">
          <w:rPr>
            <w:rStyle w:val="Hyperlink"/>
            <w:rFonts w:cs="Arial"/>
            <w:szCs w:val="18"/>
            <w:lang w:val="en-US"/>
          </w:rPr>
          <w:t>Programme Law of 24 December 2002 on guardianship of unaccompanied foreign minors</w:t>
        </w:r>
      </w:hyperlink>
      <w:r w:rsidRPr="006E70D3">
        <w:rPr>
          <w:rFonts w:cs="Arial"/>
          <w:szCs w:val="18"/>
          <w:lang w:val="en-US"/>
        </w:rPr>
        <w:t xml:space="preserve"> and </w:t>
      </w:r>
      <w:hyperlink r:id="rId115" w:history="1">
        <w:r w:rsidRPr="006E70D3">
          <w:rPr>
            <w:rStyle w:val="Hyperlink"/>
            <w:rFonts w:cs="Arial"/>
            <w:szCs w:val="18"/>
            <w:lang w:val="en-US"/>
          </w:rPr>
          <w:t>Act of 12 January 2007 on the reception of asylum-seekers and other categories of non-nationals</w:t>
        </w:r>
      </w:hyperlink>
      <w:r w:rsidRPr="006E70D3">
        <w:rPr>
          <w:rFonts w:cs="Arial"/>
          <w:szCs w:val="18"/>
          <w:lang w:val="en-US"/>
        </w:rPr>
        <w:t>.</w:t>
      </w:r>
    </w:p>
  </w:footnote>
  <w:footnote w:id="121">
    <w:p w:rsidR="00F60A1E" w:rsidRPr="006E70D3" w:rsidRDefault="00F60A1E" w:rsidP="00F60A1E">
      <w:pPr>
        <w:pStyle w:val="FootnoteText"/>
        <w:spacing w:after="0"/>
        <w:rPr>
          <w:rFonts w:cs="Arial"/>
          <w:szCs w:val="18"/>
          <w:lang w:val="en-US"/>
        </w:rPr>
      </w:pPr>
      <w:r w:rsidRPr="006E70D3">
        <w:rPr>
          <w:rStyle w:val="FootnoteReference"/>
          <w:rFonts w:cs="Arial"/>
          <w:szCs w:val="18"/>
        </w:rPr>
        <w:footnoteRef/>
      </w:r>
      <w:r w:rsidRPr="006E70D3">
        <w:rPr>
          <w:rFonts w:cs="Arial"/>
          <w:szCs w:val="18"/>
        </w:rPr>
        <w:t xml:space="preserve"> </w:t>
      </w:r>
      <w:r w:rsidRPr="006E70D3">
        <w:rPr>
          <w:rFonts w:cs="Arial"/>
          <w:szCs w:val="18"/>
          <w:lang w:val="en-US"/>
        </w:rPr>
        <w:t xml:space="preserve">Article 9 of the </w:t>
      </w:r>
      <w:hyperlink r:id="rId116" w:history="1">
        <w:r w:rsidRPr="006E70D3">
          <w:rPr>
            <w:rStyle w:val="Hyperlink"/>
            <w:rFonts w:cs="Arial"/>
            <w:szCs w:val="18"/>
            <w:lang w:val="en-US"/>
          </w:rPr>
          <w:t>Programme Law of 24 December 2002 on guardianship of unaccompanied foreign minors</w:t>
        </w:r>
      </w:hyperlink>
      <w:r w:rsidRPr="006E70D3">
        <w:rPr>
          <w:rFonts w:cs="Arial"/>
          <w:szCs w:val="18"/>
          <w:lang w:val="en-US"/>
        </w:rPr>
        <w:t>.</w:t>
      </w:r>
    </w:p>
  </w:footnote>
  <w:footnote w:id="122">
    <w:p w:rsidR="00F60A1E" w:rsidRPr="006E70D3" w:rsidRDefault="00F60A1E" w:rsidP="00F60A1E">
      <w:pPr>
        <w:pStyle w:val="FootnoteText"/>
        <w:spacing w:after="0"/>
        <w:rPr>
          <w:rFonts w:cs="Arial"/>
          <w:szCs w:val="18"/>
          <w:lang w:val="en-US"/>
        </w:rPr>
      </w:pPr>
      <w:r w:rsidRPr="006E70D3">
        <w:rPr>
          <w:rStyle w:val="FootnoteReference"/>
          <w:rFonts w:cs="Arial"/>
          <w:szCs w:val="18"/>
        </w:rPr>
        <w:footnoteRef/>
      </w:r>
      <w:r w:rsidRPr="006E70D3">
        <w:rPr>
          <w:rFonts w:cs="Arial"/>
          <w:szCs w:val="18"/>
        </w:rPr>
        <w:t xml:space="preserve"> </w:t>
      </w:r>
      <w:r w:rsidRPr="006E70D3">
        <w:rPr>
          <w:rFonts w:cs="Arial"/>
          <w:szCs w:val="18"/>
          <w:lang w:val="en-US"/>
        </w:rPr>
        <w:t xml:space="preserve">Article 6 of the </w:t>
      </w:r>
      <w:hyperlink r:id="rId117" w:history="1">
        <w:r w:rsidRPr="006E70D3">
          <w:rPr>
            <w:rStyle w:val="Hyperlink"/>
            <w:rFonts w:cs="Arial"/>
            <w:szCs w:val="18"/>
            <w:lang w:val="en-US"/>
          </w:rPr>
          <w:t>Programme Law of 24 December 2002 on guardianship of unaccompanied foreign minors</w:t>
        </w:r>
      </w:hyperlink>
      <w:r w:rsidRPr="006E70D3">
        <w:rPr>
          <w:rFonts w:cs="Arial"/>
          <w:szCs w:val="18"/>
          <w:lang w:val="en-US"/>
        </w:rPr>
        <w:t>.</w:t>
      </w:r>
    </w:p>
  </w:footnote>
  <w:footnote w:id="123">
    <w:p w:rsidR="00F60A1E" w:rsidRPr="00AF32C2" w:rsidRDefault="00F60A1E" w:rsidP="00F60A1E">
      <w:pPr>
        <w:pStyle w:val="FootnoteText"/>
        <w:spacing w:after="0"/>
        <w:rPr>
          <w:rFonts w:cs="Arial"/>
          <w:sz w:val="16"/>
          <w:szCs w:val="16"/>
          <w:lang w:val="en-US"/>
        </w:rPr>
      </w:pPr>
      <w:r w:rsidRPr="006E70D3">
        <w:rPr>
          <w:rStyle w:val="FootnoteReference"/>
          <w:rFonts w:cs="Arial"/>
          <w:szCs w:val="18"/>
        </w:rPr>
        <w:footnoteRef/>
      </w:r>
      <w:r w:rsidRPr="006E70D3">
        <w:rPr>
          <w:rFonts w:cs="Arial"/>
          <w:szCs w:val="18"/>
        </w:rPr>
        <w:t xml:space="preserve"> </w:t>
      </w:r>
      <w:r w:rsidRPr="006E70D3">
        <w:rPr>
          <w:rFonts w:cs="Arial"/>
          <w:szCs w:val="18"/>
          <w:lang w:val="en-US"/>
        </w:rPr>
        <w:t xml:space="preserve">Article 41 of the </w:t>
      </w:r>
      <w:hyperlink r:id="rId118" w:history="1">
        <w:r w:rsidRPr="006E70D3">
          <w:rPr>
            <w:rStyle w:val="Hyperlink"/>
            <w:rFonts w:cs="Arial"/>
            <w:szCs w:val="18"/>
            <w:lang w:val="en-US"/>
          </w:rPr>
          <w:t>Act of 12 January 2007 on the reception of asylum-seekers and other categories of non-nationals</w:t>
        </w:r>
      </w:hyperlink>
      <w:r w:rsidRPr="006E70D3">
        <w:rPr>
          <w:rFonts w:cs="Arial"/>
          <w:szCs w:val="18"/>
          <w:lang w:val="en-US"/>
        </w:rPr>
        <w:t>.</w:t>
      </w:r>
    </w:p>
  </w:footnote>
  <w:footnote w:id="124">
    <w:p w:rsidR="00F60A1E" w:rsidRPr="006E70D3" w:rsidRDefault="00F60A1E" w:rsidP="00F60A1E">
      <w:pPr>
        <w:pStyle w:val="FootnoteText"/>
        <w:spacing w:after="0"/>
        <w:rPr>
          <w:rFonts w:cs="Arial"/>
          <w:szCs w:val="18"/>
          <w:lang w:val="en-US"/>
        </w:rPr>
      </w:pPr>
      <w:r w:rsidRPr="006E70D3">
        <w:rPr>
          <w:rStyle w:val="FootnoteReference"/>
          <w:rFonts w:cs="Arial"/>
          <w:szCs w:val="18"/>
        </w:rPr>
        <w:footnoteRef/>
      </w:r>
      <w:r w:rsidRPr="006E70D3">
        <w:rPr>
          <w:rFonts w:cs="Arial"/>
          <w:szCs w:val="18"/>
        </w:rPr>
        <w:t xml:space="preserve"> </w:t>
      </w:r>
      <w:hyperlink r:id="rId119" w:history="1">
        <w:r w:rsidRPr="006E70D3">
          <w:rPr>
            <w:rStyle w:val="Hyperlink"/>
            <w:rFonts w:cs="Arial"/>
            <w:szCs w:val="18"/>
            <w:lang w:val="en-US"/>
          </w:rPr>
          <w:t>Royal Decree of 22 December 2003 implementing Title XIII, Chapter 6 of the Law Programme of 24 December 2002 on the guardianship of unaccompanied foreign minors</w:t>
        </w:r>
      </w:hyperlink>
      <w:r w:rsidRPr="006E70D3">
        <w:rPr>
          <w:rFonts w:cs="Arial"/>
          <w:szCs w:val="18"/>
          <w:lang w:val="en-US"/>
        </w:rPr>
        <w:t>.</w:t>
      </w:r>
    </w:p>
  </w:footnote>
  <w:footnote w:id="125">
    <w:p w:rsidR="00F60A1E" w:rsidRPr="006E70D3" w:rsidRDefault="00F60A1E" w:rsidP="00F60A1E">
      <w:pPr>
        <w:pStyle w:val="FootnoteText"/>
        <w:spacing w:after="0"/>
        <w:rPr>
          <w:rFonts w:cs="Arial"/>
          <w:szCs w:val="18"/>
          <w:lang w:val="en-US"/>
        </w:rPr>
      </w:pPr>
      <w:r w:rsidRPr="006E70D3">
        <w:rPr>
          <w:rStyle w:val="FootnoteReference"/>
          <w:rFonts w:cs="Arial"/>
          <w:szCs w:val="18"/>
        </w:rPr>
        <w:footnoteRef/>
      </w:r>
      <w:r w:rsidRPr="006E70D3">
        <w:rPr>
          <w:rFonts w:cs="Arial"/>
          <w:szCs w:val="18"/>
        </w:rPr>
        <w:t xml:space="preserve"> </w:t>
      </w:r>
      <w:r w:rsidRPr="006E70D3">
        <w:rPr>
          <w:rFonts w:cs="Arial"/>
          <w:szCs w:val="18"/>
          <w:lang w:val="en-US"/>
        </w:rPr>
        <w:t xml:space="preserve">Article 20 of the </w:t>
      </w:r>
      <w:hyperlink r:id="rId120" w:history="1">
        <w:r w:rsidRPr="006E70D3">
          <w:rPr>
            <w:rStyle w:val="Hyperlink"/>
            <w:rFonts w:cs="Arial"/>
            <w:szCs w:val="18"/>
            <w:lang w:val="en-US"/>
          </w:rPr>
          <w:t>Programme Law of 24 December 2002 on guardianship of unaccompanied foreign minors</w:t>
        </w:r>
      </w:hyperlink>
      <w:r w:rsidRPr="006E70D3">
        <w:rPr>
          <w:rFonts w:cs="Arial"/>
          <w:szCs w:val="18"/>
          <w:lang w:val="en-US"/>
        </w:rPr>
        <w:t>.</w:t>
      </w:r>
    </w:p>
  </w:footnote>
  <w:footnote w:id="126">
    <w:p w:rsidR="00F60A1E" w:rsidRPr="006E70D3" w:rsidRDefault="00F60A1E" w:rsidP="00F60A1E">
      <w:pPr>
        <w:pStyle w:val="FootnoteText"/>
        <w:spacing w:after="0"/>
        <w:jc w:val="both"/>
        <w:rPr>
          <w:rFonts w:cs="Arial"/>
          <w:szCs w:val="18"/>
          <w:lang w:val="en-US"/>
        </w:rPr>
      </w:pPr>
      <w:r w:rsidRPr="006E70D3">
        <w:rPr>
          <w:rStyle w:val="FootnoteReference"/>
          <w:rFonts w:cs="Arial"/>
          <w:szCs w:val="18"/>
        </w:rPr>
        <w:footnoteRef/>
      </w:r>
      <w:r w:rsidRPr="006E70D3">
        <w:rPr>
          <w:rFonts w:cs="Arial"/>
          <w:szCs w:val="18"/>
        </w:rPr>
        <w:t xml:space="preserve"> </w:t>
      </w:r>
      <w:r w:rsidRPr="006E70D3">
        <w:rPr>
          <w:rFonts w:cs="Arial"/>
          <w:szCs w:val="18"/>
          <w:lang w:val="en-US"/>
        </w:rPr>
        <w:t xml:space="preserve">A bill has been adopted to establish a system of guardianship for unaccompanied EEA children and repeal the Circular which regulated the issue up to now. The bill is waiting for royal sanction at the time of the finalisation of this report and is not yet into force. </w:t>
      </w:r>
      <w:hyperlink r:id="rId121" w:history="1">
        <w:r w:rsidRPr="006E70D3">
          <w:rPr>
            <w:rStyle w:val="Hyperlink"/>
            <w:rFonts w:cs="Arial"/>
            <w:szCs w:val="18"/>
            <w:lang w:val="en-US"/>
          </w:rPr>
          <w:t>Law proposal (Doc. 53 3469/001) modifying the title XIII, Chapter VI of the Law Programme of 24 December 2002 on guardianship of unaccompanied foreign children</w:t>
        </w:r>
      </w:hyperlink>
      <w:r w:rsidRPr="006E70D3">
        <w:rPr>
          <w:rFonts w:cs="Arial"/>
          <w:szCs w:val="18"/>
          <w:lang w:val="en-US"/>
        </w:rPr>
        <w:t>.</w:t>
      </w:r>
    </w:p>
  </w:footnote>
  <w:footnote w:id="127">
    <w:p w:rsidR="00F60A1E" w:rsidRPr="006E70D3" w:rsidRDefault="00F60A1E" w:rsidP="00F60A1E">
      <w:pPr>
        <w:pStyle w:val="FootnoteText"/>
        <w:spacing w:after="0"/>
        <w:rPr>
          <w:szCs w:val="18"/>
        </w:rPr>
      </w:pPr>
      <w:r w:rsidRPr="006E70D3">
        <w:rPr>
          <w:rStyle w:val="FootnoteReference"/>
          <w:szCs w:val="18"/>
        </w:rPr>
        <w:footnoteRef/>
      </w:r>
      <w:r w:rsidRPr="006E70D3">
        <w:rPr>
          <w:szCs w:val="18"/>
        </w:rPr>
        <w:t xml:space="preserve"> </w:t>
      </w:r>
      <w:r w:rsidRPr="006E70D3">
        <w:rPr>
          <w:rFonts w:cs="Arial"/>
          <w:szCs w:val="18"/>
        </w:rPr>
        <w:t xml:space="preserve">The situation of vulnerability may be a result of his/her irregular administrative situation, unstable social situation, condition of pregnancy, beggary, disability, physical or poor health or a victim of human trafficking. </w:t>
      </w:r>
      <w:hyperlink r:id="rId122" w:history="1">
        <w:r w:rsidRPr="006E70D3">
          <w:rPr>
            <w:rStyle w:val="Hyperlink"/>
            <w:rFonts w:cs="Arial"/>
            <w:szCs w:val="18"/>
            <w:lang w:val="en-US"/>
          </w:rPr>
          <w:t>Circular of 2 August 2007 on the unaccompanied European child</w:t>
        </w:r>
      </w:hyperlink>
      <w:r w:rsidRPr="006E70D3">
        <w:rPr>
          <w:rFonts w:cs="Arial"/>
          <w:szCs w:val="18"/>
          <w:lang w:val="en-US"/>
        </w:rPr>
        <w:t>.</w:t>
      </w:r>
    </w:p>
  </w:footnote>
  <w:footnote w:id="128">
    <w:p w:rsidR="00F60A1E" w:rsidRPr="006E70D3" w:rsidRDefault="00F60A1E" w:rsidP="00F60A1E">
      <w:pPr>
        <w:pStyle w:val="FootnoteText"/>
        <w:spacing w:after="0"/>
        <w:rPr>
          <w:szCs w:val="18"/>
          <w:lang w:val="en-US"/>
        </w:rPr>
      </w:pPr>
      <w:r w:rsidRPr="006E70D3">
        <w:rPr>
          <w:rStyle w:val="FootnoteReference"/>
          <w:szCs w:val="18"/>
        </w:rPr>
        <w:footnoteRef/>
      </w:r>
      <w:r w:rsidRPr="006E70D3">
        <w:rPr>
          <w:szCs w:val="18"/>
        </w:rPr>
        <w:t xml:space="preserve"> </w:t>
      </w:r>
      <w:r w:rsidRPr="006E70D3">
        <w:rPr>
          <w:szCs w:val="18"/>
          <w:lang w:val="en-US"/>
        </w:rPr>
        <w:t xml:space="preserve">Article 51/8 of the </w:t>
      </w:r>
      <w:hyperlink r:id="rId123" w:history="1">
        <w:r w:rsidRPr="006E70D3">
          <w:rPr>
            <w:rStyle w:val="Hyperlink"/>
            <w:rFonts w:cs="Arial"/>
            <w:bCs/>
            <w:szCs w:val="18"/>
          </w:rPr>
          <w:t>Coordinated Laws of 12 January 1973 on the Council of State</w:t>
        </w:r>
      </w:hyperlink>
      <w:r w:rsidRPr="006E70D3">
        <w:rPr>
          <w:szCs w:val="18"/>
          <w:lang w:val="en-US"/>
        </w:rPr>
        <w:t>. Belgian Committee on the Support of Refugees, ‘</w:t>
      </w:r>
      <w:hyperlink r:id="rId124" w:history="1">
        <w:r w:rsidRPr="006E70D3">
          <w:rPr>
            <w:rStyle w:val="Hyperlink"/>
            <w:szCs w:val="18"/>
          </w:rPr>
          <w:t>The child in asylum </w:t>
        </w:r>
        <w:r w:rsidRPr="006E70D3">
          <w:rPr>
            <w:rStyle w:val="Hyperlink"/>
            <w:szCs w:val="18"/>
            <w:lang w:val="en-US"/>
          </w:rPr>
          <w:t>:</w:t>
        </w:r>
        <w:r w:rsidRPr="006E70D3">
          <w:rPr>
            <w:rStyle w:val="Hyperlink"/>
            <w:szCs w:val="18"/>
          </w:rPr>
          <w:t xml:space="preserve"> consideration of </w:t>
        </w:r>
        <w:r w:rsidRPr="006E70D3">
          <w:rPr>
            <w:rStyle w:val="Hyperlink"/>
            <w:szCs w:val="18"/>
            <w:lang w:val="en-US"/>
          </w:rPr>
          <w:t>his/her</w:t>
        </w:r>
        <w:r w:rsidRPr="006E70D3">
          <w:rPr>
            <w:rStyle w:val="Hyperlink"/>
            <w:szCs w:val="18"/>
          </w:rPr>
          <w:t xml:space="preserve"> vulnerability and </w:t>
        </w:r>
        <w:r w:rsidRPr="006E70D3">
          <w:rPr>
            <w:rStyle w:val="Hyperlink"/>
            <w:szCs w:val="18"/>
            <w:lang w:val="en-US"/>
          </w:rPr>
          <w:t>his/her</w:t>
        </w:r>
        <w:r w:rsidRPr="006E70D3">
          <w:rPr>
            <w:rStyle w:val="Hyperlink"/>
            <w:szCs w:val="18"/>
          </w:rPr>
          <w:t xml:space="preserve"> best interests</w:t>
        </w:r>
      </w:hyperlink>
      <w:r w:rsidRPr="006E70D3">
        <w:rPr>
          <w:szCs w:val="18"/>
          <w:lang w:val="en-US"/>
        </w:rPr>
        <w:t>’, pp.41-42</w:t>
      </w:r>
    </w:p>
  </w:footnote>
  <w:footnote w:id="129">
    <w:p w:rsidR="00F60A1E" w:rsidRPr="001B45E4" w:rsidRDefault="00F60A1E" w:rsidP="00F60A1E">
      <w:pPr>
        <w:pStyle w:val="FootnoteText"/>
        <w:spacing w:after="0"/>
        <w:rPr>
          <w:rFonts w:cs="Arial"/>
          <w:szCs w:val="18"/>
          <w:lang w:val="en-US"/>
        </w:rPr>
      </w:pPr>
      <w:r w:rsidRPr="001B45E4">
        <w:rPr>
          <w:rStyle w:val="FootnoteReference"/>
          <w:rFonts w:cs="Arial"/>
          <w:szCs w:val="18"/>
        </w:rPr>
        <w:footnoteRef/>
      </w:r>
      <w:r w:rsidRPr="001B45E4">
        <w:rPr>
          <w:rFonts w:cs="Arial"/>
          <w:szCs w:val="18"/>
        </w:rPr>
        <w:t xml:space="preserve"> </w:t>
      </w:r>
      <w:r w:rsidRPr="001B45E4">
        <w:rPr>
          <w:rFonts w:cs="Arial"/>
          <w:szCs w:val="18"/>
          <w:lang w:val="en-US"/>
        </w:rPr>
        <w:t xml:space="preserve">Article 12 of the </w:t>
      </w:r>
      <w:hyperlink r:id="rId125" w:history="1">
        <w:r w:rsidRPr="001B45E4">
          <w:rPr>
            <w:rStyle w:val="Hyperlink"/>
            <w:rFonts w:cs="Arial"/>
            <w:szCs w:val="18"/>
            <w:lang w:val="en-US"/>
          </w:rPr>
          <w:t>Act of 22 August 2002 on patient’s rights</w:t>
        </w:r>
      </w:hyperlink>
      <w:r w:rsidRPr="001B45E4">
        <w:rPr>
          <w:rFonts w:cs="Arial"/>
          <w:szCs w:val="18"/>
          <w:lang w:val="en-US"/>
        </w:rPr>
        <w:t>.</w:t>
      </w:r>
    </w:p>
  </w:footnote>
  <w:footnote w:id="130">
    <w:p w:rsidR="00F60A1E" w:rsidRPr="001B45E4" w:rsidRDefault="00F60A1E" w:rsidP="00F60A1E">
      <w:pPr>
        <w:pStyle w:val="FootnoteText"/>
        <w:spacing w:after="0"/>
        <w:rPr>
          <w:rFonts w:cs="Arial"/>
          <w:szCs w:val="18"/>
          <w:lang w:val="en-US"/>
        </w:rPr>
      </w:pPr>
      <w:r w:rsidRPr="001B45E4">
        <w:rPr>
          <w:rStyle w:val="FootnoteReference"/>
          <w:rFonts w:cs="Arial"/>
          <w:szCs w:val="18"/>
        </w:rPr>
        <w:footnoteRef/>
      </w:r>
      <w:r w:rsidRPr="001B45E4">
        <w:rPr>
          <w:rFonts w:cs="Arial"/>
          <w:szCs w:val="18"/>
        </w:rPr>
        <w:t xml:space="preserve"> Karine Joliton</w:t>
      </w:r>
      <w:r w:rsidRPr="001B45E4">
        <w:rPr>
          <w:rFonts w:cs="Arial"/>
          <w:szCs w:val="18"/>
          <w:lang w:val="en-US"/>
        </w:rPr>
        <w:t>, “</w:t>
      </w:r>
      <w:hyperlink r:id="rId126" w:history="1">
        <w:r w:rsidRPr="001B45E4">
          <w:rPr>
            <w:rStyle w:val="Hyperlink"/>
            <w:rFonts w:cs="Arial"/>
            <w:szCs w:val="18"/>
            <w:lang w:val="en-US"/>
          </w:rPr>
          <w:t>Minors and health treatments</w:t>
        </w:r>
      </w:hyperlink>
      <w:r w:rsidRPr="001B45E4">
        <w:rPr>
          <w:rFonts w:cs="Arial"/>
          <w:szCs w:val="18"/>
          <w:lang w:val="en-US"/>
        </w:rPr>
        <w:t xml:space="preserve">”, </w:t>
      </w:r>
      <w:r w:rsidRPr="001B45E4">
        <w:rPr>
          <w:rFonts w:cs="Arial"/>
          <w:i/>
          <w:szCs w:val="18"/>
          <w:lang w:val="en-US"/>
        </w:rPr>
        <w:t>JDJ No 225</w:t>
      </w:r>
      <w:r w:rsidRPr="001B45E4">
        <w:rPr>
          <w:rFonts w:cs="Arial"/>
          <w:szCs w:val="18"/>
          <w:lang w:val="en-US"/>
        </w:rPr>
        <w:t>, May 2003, p.21.</w:t>
      </w:r>
    </w:p>
  </w:footnote>
  <w:footnote w:id="131">
    <w:p w:rsidR="00F60A1E" w:rsidRPr="001B45E4" w:rsidRDefault="00F60A1E" w:rsidP="00F60A1E">
      <w:pPr>
        <w:pStyle w:val="FootnoteText"/>
        <w:spacing w:after="0"/>
        <w:rPr>
          <w:rFonts w:cs="Arial"/>
          <w:szCs w:val="18"/>
        </w:rPr>
      </w:pPr>
      <w:r w:rsidRPr="001B45E4">
        <w:rPr>
          <w:rStyle w:val="FootnoteReference"/>
          <w:rFonts w:cs="Arial"/>
          <w:szCs w:val="18"/>
        </w:rPr>
        <w:footnoteRef/>
      </w:r>
      <w:r w:rsidRPr="001B45E4">
        <w:rPr>
          <w:rFonts w:cs="Arial"/>
          <w:szCs w:val="18"/>
        </w:rPr>
        <w:t xml:space="preserve"> Article 2 of the </w:t>
      </w:r>
      <w:hyperlink r:id="rId127" w:history="1">
        <w:r w:rsidRPr="001B45E4">
          <w:rPr>
            <w:rStyle w:val="Hyperlink"/>
            <w:rFonts w:cs="Arial"/>
            <w:szCs w:val="18"/>
          </w:rPr>
          <w:t>Act of 26 June 1990 on the protection of mentally ill persons</w:t>
        </w:r>
      </w:hyperlink>
      <w:r w:rsidRPr="001B45E4">
        <w:rPr>
          <w:rFonts w:cs="Arial"/>
          <w:szCs w:val="18"/>
        </w:rPr>
        <w:t>.</w:t>
      </w:r>
    </w:p>
  </w:footnote>
  <w:footnote w:id="132">
    <w:p w:rsidR="00F60A1E" w:rsidRPr="001B45E4" w:rsidRDefault="00F60A1E" w:rsidP="00F60A1E">
      <w:pPr>
        <w:pStyle w:val="FootnoteText"/>
        <w:spacing w:after="0"/>
        <w:rPr>
          <w:rFonts w:cs="Arial"/>
          <w:szCs w:val="18"/>
        </w:rPr>
      </w:pPr>
      <w:r w:rsidRPr="001B45E4">
        <w:rPr>
          <w:rStyle w:val="FootnoteReference"/>
          <w:rFonts w:cs="Arial"/>
          <w:szCs w:val="18"/>
        </w:rPr>
        <w:footnoteRef/>
      </w:r>
      <w:r w:rsidRPr="001B45E4">
        <w:rPr>
          <w:rFonts w:cs="Arial"/>
          <w:szCs w:val="18"/>
        </w:rPr>
        <w:t xml:space="preserve"> Article 30 of the </w:t>
      </w:r>
      <w:hyperlink r:id="rId128" w:history="1">
        <w:r w:rsidRPr="001B45E4">
          <w:rPr>
            <w:rStyle w:val="Hyperlink"/>
            <w:rFonts w:cs="Arial"/>
            <w:szCs w:val="18"/>
          </w:rPr>
          <w:t>Act of 26 June 1990 on the protection of the mentally ill persons</w:t>
        </w:r>
      </w:hyperlink>
      <w:r w:rsidRPr="001B45E4">
        <w:rPr>
          <w:rFonts w:cs="Arial"/>
          <w:szCs w:val="18"/>
        </w:rPr>
        <w:t>.</w:t>
      </w:r>
    </w:p>
  </w:footnote>
  <w:footnote w:id="133">
    <w:p w:rsidR="00F60A1E" w:rsidRPr="00AF32C2" w:rsidRDefault="00F60A1E" w:rsidP="00F60A1E">
      <w:pPr>
        <w:pStyle w:val="FootnoteText"/>
        <w:spacing w:after="0"/>
        <w:rPr>
          <w:sz w:val="16"/>
          <w:szCs w:val="16"/>
          <w:lang w:val="en-US"/>
        </w:rPr>
      </w:pPr>
      <w:r w:rsidRPr="001B45E4">
        <w:rPr>
          <w:rStyle w:val="FootnoteReference"/>
          <w:szCs w:val="18"/>
        </w:rPr>
        <w:footnoteRef/>
      </w:r>
      <w:r w:rsidRPr="001B45E4">
        <w:rPr>
          <w:szCs w:val="18"/>
        </w:rPr>
        <w:t xml:space="preserve"> </w:t>
      </w:r>
      <w:r w:rsidRPr="001B45E4">
        <w:rPr>
          <w:szCs w:val="18"/>
          <w:lang w:val="en-US"/>
        </w:rPr>
        <w:t xml:space="preserve">Article 37(3) of the </w:t>
      </w:r>
      <w:hyperlink r:id="rId129" w:history="1">
        <w:r w:rsidRPr="001B45E4">
          <w:rPr>
            <w:rStyle w:val="Hyperlink"/>
            <w:szCs w:val="18"/>
            <w:lang w:val="en-US"/>
          </w:rPr>
          <w:t>Youth Protection Act</w:t>
        </w:r>
      </w:hyperlink>
      <w:r w:rsidRPr="001B45E4">
        <w:rPr>
          <w:szCs w:val="18"/>
          <w:lang w:val="en-US"/>
        </w:rPr>
        <w:t>.</w:t>
      </w:r>
    </w:p>
  </w:footnote>
  <w:footnote w:id="134">
    <w:p w:rsidR="00F60A1E" w:rsidRPr="001B45E4" w:rsidRDefault="00F60A1E" w:rsidP="00F60A1E">
      <w:pPr>
        <w:pStyle w:val="FootnoteText"/>
        <w:spacing w:after="0"/>
        <w:rPr>
          <w:rFonts w:cs="Arial"/>
          <w:szCs w:val="18"/>
          <w:lang w:val="en-US"/>
        </w:rPr>
      </w:pPr>
      <w:r w:rsidRPr="001B45E4">
        <w:rPr>
          <w:rStyle w:val="FootnoteReference"/>
          <w:rFonts w:cs="Arial"/>
          <w:szCs w:val="18"/>
        </w:rPr>
        <w:footnoteRef/>
      </w:r>
      <w:r w:rsidRPr="001B45E4">
        <w:rPr>
          <w:rFonts w:cs="Arial"/>
          <w:szCs w:val="18"/>
        </w:rPr>
        <w:t xml:space="preserve"> </w:t>
      </w:r>
      <w:r w:rsidRPr="001B45E4">
        <w:rPr>
          <w:rFonts w:cs="Arial"/>
          <w:szCs w:val="18"/>
          <w:lang w:val="en-US"/>
        </w:rPr>
        <w:t xml:space="preserve">In the French Community, a child of at least 14 years old must provide his/her written consent. The legal representatives of children under 14 years old must provide consent to youth care assistance. In the Flemish Community, since the </w:t>
      </w:r>
      <w:r w:rsidRPr="001B45E4">
        <w:rPr>
          <w:rFonts w:cs="Arial"/>
          <w:bCs/>
          <w:szCs w:val="18"/>
        </w:rPr>
        <w:t>the legislation recognises the capacity of the child of at least 12 years to exercise his/her rights, his/her consent is required by the  youth care assistance. In case the child cannot understand his/her interests and is under 12 years old, the child’s legal representative must then give his/her consent.</w:t>
      </w:r>
    </w:p>
  </w:footnote>
  <w:footnote w:id="135">
    <w:p w:rsidR="00F60A1E" w:rsidRPr="001B45E4" w:rsidRDefault="00F60A1E" w:rsidP="00F60A1E">
      <w:pPr>
        <w:pStyle w:val="FootnoteText"/>
        <w:spacing w:after="0"/>
        <w:jc w:val="both"/>
        <w:rPr>
          <w:rFonts w:cs="Arial"/>
          <w:szCs w:val="18"/>
        </w:rPr>
      </w:pPr>
      <w:r w:rsidRPr="001B45E4">
        <w:rPr>
          <w:rStyle w:val="FootnoteReference"/>
          <w:rFonts w:cs="Arial"/>
          <w:szCs w:val="18"/>
        </w:rPr>
        <w:footnoteRef/>
      </w:r>
      <w:r w:rsidRPr="001B45E4">
        <w:rPr>
          <w:rFonts w:cs="Arial"/>
          <w:szCs w:val="18"/>
        </w:rPr>
        <w:t xml:space="preserve"> </w:t>
      </w:r>
      <w:hyperlink r:id="rId130" w:history="1">
        <w:r w:rsidRPr="001B45E4">
          <w:rPr>
            <w:rStyle w:val="Hyperlink"/>
            <w:rFonts w:cs="Arial"/>
            <w:szCs w:val="18"/>
          </w:rPr>
          <w:t>French Community Decree of 4 March 1991 on Youth Assistance</w:t>
        </w:r>
      </w:hyperlink>
      <w:r w:rsidRPr="001B45E4">
        <w:rPr>
          <w:rFonts w:cs="Arial"/>
          <w:szCs w:val="18"/>
        </w:rPr>
        <w:t xml:space="preserve">, </w:t>
      </w:r>
      <w:hyperlink r:id="rId131" w:history="1">
        <w:r w:rsidRPr="001B45E4">
          <w:rPr>
            <w:rStyle w:val="Hyperlink"/>
            <w:rFonts w:cs="Arial"/>
            <w:szCs w:val="18"/>
          </w:rPr>
          <w:t xml:space="preserve">Flemish </w:t>
        </w:r>
        <w:r w:rsidRPr="001B45E4">
          <w:rPr>
            <w:rStyle w:val="Hyperlink"/>
            <w:rFonts w:cs="Arial"/>
            <w:szCs w:val="18"/>
            <w:lang w:val="en-US"/>
          </w:rPr>
          <w:t xml:space="preserve">Community </w:t>
        </w:r>
        <w:r w:rsidRPr="001B45E4">
          <w:rPr>
            <w:rStyle w:val="Hyperlink"/>
            <w:rFonts w:cs="Arial"/>
            <w:szCs w:val="18"/>
          </w:rPr>
          <w:t>Decree of 7 May 2004 on the minor</w:t>
        </w:r>
        <w:r w:rsidRPr="001B45E4">
          <w:rPr>
            <w:rStyle w:val="Hyperlink"/>
            <w:rFonts w:cs="Arial"/>
            <w:szCs w:val="18"/>
            <w:lang w:val="en-US"/>
          </w:rPr>
          <w:t>s’ legal</w:t>
        </w:r>
        <w:r w:rsidRPr="001B45E4">
          <w:rPr>
            <w:rStyle w:val="Hyperlink"/>
            <w:rFonts w:cs="Arial"/>
            <w:szCs w:val="18"/>
          </w:rPr>
          <w:t xml:space="preserve"> status </w:t>
        </w:r>
        <w:r w:rsidRPr="001B45E4">
          <w:rPr>
            <w:rStyle w:val="Hyperlink"/>
            <w:rFonts w:cs="Arial"/>
            <w:szCs w:val="18"/>
            <w:lang w:val="en-US"/>
          </w:rPr>
          <w:t>in the i</w:t>
        </w:r>
        <w:r w:rsidRPr="001B45E4">
          <w:rPr>
            <w:rStyle w:val="Hyperlink"/>
            <w:rFonts w:cs="Arial"/>
            <w:szCs w:val="18"/>
          </w:rPr>
          <w:t xml:space="preserve">ntegrated youth </w:t>
        </w:r>
        <w:r w:rsidRPr="001B45E4">
          <w:rPr>
            <w:rStyle w:val="Hyperlink"/>
            <w:rFonts w:cs="Arial"/>
            <w:szCs w:val="18"/>
            <w:lang w:val="en-US"/>
          </w:rPr>
          <w:t>assistance</w:t>
        </w:r>
      </w:hyperlink>
      <w:r w:rsidRPr="001B45E4">
        <w:rPr>
          <w:rFonts w:cs="Arial"/>
          <w:szCs w:val="18"/>
        </w:rPr>
        <w:t xml:space="preserve"> and </w:t>
      </w:r>
      <w:hyperlink r:id="rId132" w:history="1">
        <w:r w:rsidRPr="001B45E4">
          <w:rPr>
            <w:rStyle w:val="Hyperlink"/>
            <w:rFonts w:cs="Arial"/>
            <w:szCs w:val="18"/>
          </w:rPr>
          <w:t>Decree of the Flemish Community of 7 March 2008 on special youth assistance</w:t>
        </w:r>
      </w:hyperlink>
      <w:r w:rsidRPr="001B45E4">
        <w:rPr>
          <w:rFonts w:cs="Arial"/>
          <w:szCs w:val="18"/>
        </w:rPr>
        <w:t>.</w:t>
      </w:r>
    </w:p>
  </w:footnote>
  <w:footnote w:id="136">
    <w:p w:rsidR="00F60A1E" w:rsidRPr="001B45E4" w:rsidRDefault="00F60A1E" w:rsidP="00F60A1E">
      <w:pPr>
        <w:pStyle w:val="FootnoteText"/>
        <w:spacing w:after="0"/>
        <w:rPr>
          <w:rFonts w:cs="Arial"/>
          <w:szCs w:val="18"/>
          <w:lang w:val="en-US"/>
        </w:rPr>
      </w:pPr>
      <w:r w:rsidRPr="001B45E4">
        <w:rPr>
          <w:rStyle w:val="FootnoteReference"/>
          <w:rFonts w:cs="Arial"/>
          <w:szCs w:val="18"/>
        </w:rPr>
        <w:footnoteRef/>
      </w:r>
      <w:r w:rsidRPr="001B45E4">
        <w:rPr>
          <w:rFonts w:cs="Arial"/>
          <w:szCs w:val="18"/>
        </w:rPr>
        <w:t xml:space="preserve"> </w:t>
      </w:r>
      <w:r w:rsidRPr="001B45E4">
        <w:rPr>
          <w:rFonts w:cs="Arial"/>
          <w:szCs w:val="18"/>
          <w:lang w:val="en-US"/>
        </w:rPr>
        <w:t>Article 4 of the</w:t>
      </w:r>
      <w:r w:rsidRPr="001B45E4">
        <w:rPr>
          <w:rFonts w:cs="Arial"/>
          <w:szCs w:val="18"/>
        </w:rPr>
        <w:t xml:space="preserve"> </w:t>
      </w:r>
      <w:hyperlink r:id="rId133" w:history="1">
        <w:r w:rsidRPr="001B45E4">
          <w:rPr>
            <w:rStyle w:val="Hyperlink"/>
            <w:rFonts w:cs="Arial"/>
            <w:szCs w:val="18"/>
          </w:rPr>
          <w:t xml:space="preserve">Flemish </w:t>
        </w:r>
        <w:r w:rsidRPr="001B45E4">
          <w:rPr>
            <w:rStyle w:val="Hyperlink"/>
            <w:rFonts w:cs="Arial"/>
            <w:szCs w:val="18"/>
            <w:lang w:val="en-US"/>
          </w:rPr>
          <w:t xml:space="preserve">Community </w:t>
        </w:r>
        <w:r w:rsidRPr="001B45E4">
          <w:rPr>
            <w:rStyle w:val="Hyperlink"/>
            <w:rFonts w:cs="Arial"/>
            <w:szCs w:val="18"/>
          </w:rPr>
          <w:t>Decree of 7 May 2004 on the minors’</w:t>
        </w:r>
        <w:r w:rsidRPr="001B45E4">
          <w:rPr>
            <w:rStyle w:val="Hyperlink"/>
            <w:rFonts w:cs="Arial"/>
            <w:szCs w:val="18"/>
            <w:lang w:val="en-US"/>
          </w:rPr>
          <w:t xml:space="preserve"> legal</w:t>
        </w:r>
        <w:r w:rsidRPr="001B45E4">
          <w:rPr>
            <w:rStyle w:val="Hyperlink"/>
            <w:rFonts w:cs="Arial"/>
            <w:szCs w:val="18"/>
          </w:rPr>
          <w:t xml:space="preserve"> status </w:t>
        </w:r>
        <w:r w:rsidRPr="001B45E4">
          <w:rPr>
            <w:rStyle w:val="Hyperlink"/>
            <w:rFonts w:cs="Arial"/>
            <w:szCs w:val="18"/>
            <w:lang w:val="en-US"/>
          </w:rPr>
          <w:t>in the i</w:t>
        </w:r>
        <w:r w:rsidRPr="001B45E4">
          <w:rPr>
            <w:rStyle w:val="Hyperlink"/>
            <w:rFonts w:cs="Arial"/>
            <w:szCs w:val="18"/>
          </w:rPr>
          <w:t xml:space="preserve">ntegrated youth </w:t>
        </w:r>
        <w:r w:rsidRPr="001B45E4">
          <w:rPr>
            <w:rStyle w:val="Hyperlink"/>
            <w:rFonts w:cs="Arial"/>
            <w:szCs w:val="18"/>
            <w:lang w:val="en-US"/>
          </w:rPr>
          <w:t>services</w:t>
        </w:r>
      </w:hyperlink>
      <w:r w:rsidRPr="001B45E4">
        <w:rPr>
          <w:rFonts w:cs="Arial"/>
          <w:szCs w:val="18"/>
          <w:lang w:val="en-US"/>
        </w:rPr>
        <w:t>.</w:t>
      </w:r>
    </w:p>
  </w:footnote>
  <w:footnote w:id="137">
    <w:p w:rsidR="00F60A1E" w:rsidRPr="001B45E4" w:rsidRDefault="00F60A1E" w:rsidP="00F60A1E">
      <w:pPr>
        <w:pStyle w:val="FootnoteText"/>
        <w:spacing w:after="0"/>
        <w:rPr>
          <w:rFonts w:cs="Arial"/>
          <w:szCs w:val="18"/>
          <w:lang w:val="en-US"/>
        </w:rPr>
      </w:pPr>
      <w:r w:rsidRPr="001B45E4">
        <w:rPr>
          <w:rStyle w:val="FootnoteReference"/>
          <w:rFonts w:cs="Arial"/>
          <w:szCs w:val="18"/>
        </w:rPr>
        <w:footnoteRef/>
      </w:r>
      <w:r w:rsidRPr="001B45E4">
        <w:rPr>
          <w:rFonts w:cs="Arial"/>
          <w:szCs w:val="18"/>
        </w:rPr>
        <w:t xml:space="preserve"> </w:t>
      </w:r>
      <w:r w:rsidRPr="001B45E4">
        <w:rPr>
          <w:rFonts w:cs="Arial"/>
          <w:szCs w:val="18"/>
          <w:lang w:val="en-US"/>
        </w:rPr>
        <w:t xml:space="preserve">Article 4 of the </w:t>
      </w:r>
      <w:hyperlink r:id="rId134" w:history="1">
        <w:r w:rsidRPr="001B45E4">
          <w:rPr>
            <w:rStyle w:val="Hyperlink"/>
            <w:rFonts w:cs="Arial"/>
            <w:szCs w:val="18"/>
          </w:rPr>
          <w:t>French Community Decree of 4 March 1991 on Youth Assistance</w:t>
        </w:r>
      </w:hyperlink>
      <w:r w:rsidRPr="001B45E4">
        <w:rPr>
          <w:rFonts w:cs="Arial"/>
          <w:szCs w:val="18"/>
          <w:lang w:val="en-US"/>
        </w:rPr>
        <w:t>.</w:t>
      </w:r>
    </w:p>
  </w:footnote>
  <w:footnote w:id="138">
    <w:p w:rsidR="00F60A1E" w:rsidRPr="001B45E4" w:rsidRDefault="00F60A1E" w:rsidP="00F60A1E">
      <w:pPr>
        <w:pStyle w:val="FootnoteText"/>
        <w:spacing w:after="0"/>
        <w:jc w:val="both"/>
        <w:rPr>
          <w:rFonts w:cs="Arial"/>
          <w:szCs w:val="18"/>
        </w:rPr>
      </w:pPr>
      <w:r w:rsidRPr="001B45E4">
        <w:rPr>
          <w:rStyle w:val="FootnoteReference"/>
          <w:rFonts w:cs="Arial"/>
          <w:szCs w:val="18"/>
        </w:rPr>
        <w:footnoteRef/>
      </w:r>
      <w:r w:rsidRPr="001B45E4">
        <w:rPr>
          <w:rFonts w:cs="Arial"/>
          <w:szCs w:val="18"/>
        </w:rPr>
        <w:t xml:space="preserve"> Articles 38 and 39 of the </w:t>
      </w:r>
      <w:hyperlink r:id="rId135" w:history="1">
        <w:r w:rsidRPr="001B45E4">
          <w:rPr>
            <w:rStyle w:val="Hyperlink"/>
            <w:rFonts w:cs="Arial"/>
            <w:szCs w:val="18"/>
          </w:rPr>
          <w:t>French Community Decree of 4 March 1991 on Youth Assistance</w:t>
        </w:r>
      </w:hyperlink>
      <w:r w:rsidRPr="001B45E4">
        <w:rPr>
          <w:rFonts w:cs="Arial"/>
          <w:szCs w:val="18"/>
        </w:rPr>
        <w:t xml:space="preserve"> and Article 47 of the Decree of the Flemish Community on Integrated Youth Welfare Services.</w:t>
      </w:r>
    </w:p>
  </w:footnote>
  <w:footnote w:id="139">
    <w:p w:rsidR="00F60A1E" w:rsidRPr="001B45E4" w:rsidRDefault="00F60A1E" w:rsidP="00F60A1E">
      <w:pPr>
        <w:pStyle w:val="FootnoteText"/>
        <w:spacing w:after="0"/>
        <w:jc w:val="both"/>
        <w:rPr>
          <w:rFonts w:cs="Arial"/>
          <w:szCs w:val="18"/>
        </w:rPr>
      </w:pPr>
      <w:r w:rsidRPr="001B45E4">
        <w:rPr>
          <w:rStyle w:val="FootnoteReference"/>
          <w:rFonts w:cs="Arial"/>
          <w:szCs w:val="18"/>
        </w:rPr>
        <w:footnoteRef/>
      </w:r>
      <w:r w:rsidRPr="001B45E4">
        <w:rPr>
          <w:rFonts w:cs="Arial"/>
          <w:szCs w:val="18"/>
        </w:rPr>
        <w:t xml:space="preserve"> </w:t>
      </w:r>
      <w:r w:rsidRPr="001B45E4">
        <w:rPr>
          <w:rFonts w:cs="Arial"/>
          <w:szCs w:val="18"/>
          <w:lang w:val="en-US"/>
        </w:rPr>
        <w:t xml:space="preserve">Article 29 </w:t>
      </w:r>
      <w:r w:rsidRPr="001B45E4">
        <w:rPr>
          <w:rFonts w:cs="Arial"/>
          <w:szCs w:val="18"/>
        </w:rPr>
        <w:t xml:space="preserve">of the </w:t>
      </w:r>
      <w:hyperlink r:id="rId136" w:history="1">
        <w:r w:rsidRPr="001B45E4">
          <w:rPr>
            <w:rStyle w:val="Hyperlink"/>
            <w:rFonts w:cs="Arial"/>
            <w:szCs w:val="18"/>
          </w:rPr>
          <w:t>Flemish Decree of 7 May 2004 on minors’</w:t>
        </w:r>
        <w:r w:rsidRPr="001B45E4">
          <w:rPr>
            <w:rStyle w:val="Hyperlink"/>
            <w:rFonts w:cs="Arial"/>
            <w:szCs w:val="18"/>
            <w:lang w:val="en-US"/>
          </w:rPr>
          <w:t xml:space="preserve"> legal</w:t>
        </w:r>
        <w:r w:rsidRPr="001B45E4">
          <w:rPr>
            <w:rStyle w:val="Hyperlink"/>
            <w:rFonts w:cs="Arial"/>
            <w:szCs w:val="18"/>
          </w:rPr>
          <w:t xml:space="preserve"> status </w:t>
        </w:r>
        <w:r w:rsidRPr="001B45E4">
          <w:rPr>
            <w:rStyle w:val="Hyperlink"/>
            <w:rFonts w:cs="Arial"/>
            <w:szCs w:val="18"/>
            <w:lang w:val="en-US"/>
          </w:rPr>
          <w:t>on</w:t>
        </w:r>
        <w:r w:rsidRPr="001B45E4">
          <w:rPr>
            <w:rStyle w:val="Hyperlink"/>
            <w:rFonts w:cs="Arial"/>
            <w:szCs w:val="18"/>
          </w:rPr>
          <w:t xml:space="preserve"> integrated youth </w:t>
        </w:r>
        <w:r w:rsidRPr="001B45E4">
          <w:rPr>
            <w:rStyle w:val="Hyperlink"/>
            <w:rFonts w:cs="Arial"/>
            <w:szCs w:val="18"/>
            <w:lang w:val="en-US"/>
          </w:rPr>
          <w:t xml:space="preserve">services </w:t>
        </w:r>
      </w:hyperlink>
      <w:r w:rsidRPr="001B45E4">
        <w:rPr>
          <w:rFonts w:cs="Arial"/>
          <w:szCs w:val="18"/>
          <w:lang w:val="en-US"/>
        </w:rPr>
        <w:t xml:space="preserve"> and Article 4 </w:t>
      </w:r>
      <w:r w:rsidRPr="001B45E4">
        <w:rPr>
          <w:rFonts w:cs="Arial"/>
          <w:szCs w:val="18"/>
        </w:rPr>
        <w:t xml:space="preserve">of the </w:t>
      </w:r>
      <w:hyperlink r:id="rId137" w:history="1">
        <w:r w:rsidRPr="001B45E4">
          <w:rPr>
            <w:rStyle w:val="Hyperlink"/>
            <w:rFonts w:cs="Arial"/>
            <w:szCs w:val="18"/>
          </w:rPr>
          <w:t>French Community Decree of 4 March 1991 on youth welfare</w:t>
        </w:r>
      </w:hyperlink>
      <w:r w:rsidRPr="001B45E4">
        <w:rPr>
          <w:rFonts w:cs="Arial"/>
          <w:szCs w:val="18"/>
        </w:rPr>
        <w:t>.</w:t>
      </w:r>
    </w:p>
  </w:footnote>
  <w:footnote w:id="140">
    <w:p w:rsidR="00F60A1E" w:rsidRPr="001B45E4" w:rsidRDefault="00F60A1E" w:rsidP="00F60A1E">
      <w:pPr>
        <w:pStyle w:val="FootnoteText"/>
        <w:spacing w:after="0"/>
        <w:rPr>
          <w:rFonts w:cs="Arial"/>
          <w:szCs w:val="18"/>
          <w:lang w:val="en-US"/>
        </w:rPr>
      </w:pPr>
      <w:r w:rsidRPr="001B45E4">
        <w:rPr>
          <w:rStyle w:val="FootnoteReference"/>
          <w:rFonts w:cs="Arial"/>
          <w:szCs w:val="18"/>
        </w:rPr>
        <w:footnoteRef/>
      </w:r>
      <w:r w:rsidRPr="001B45E4">
        <w:rPr>
          <w:rFonts w:cs="Arial"/>
          <w:szCs w:val="18"/>
        </w:rPr>
        <w:t xml:space="preserve"> </w:t>
      </w:r>
      <w:r w:rsidRPr="001B45E4">
        <w:rPr>
          <w:rFonts w:cs="Arial"/>
          <w:szCs w:val="18"/>
          <w:lang w:val="en-US"/>
        </w:rPr>
        <w:t xml:space="preserve">Article 51 of the </w:t>
      </w:r>
      <w:hyperlink r:id="rId138" w:history="1">
        <w:r w:rsidRPr="001B45E4">
          <w:rPr>
            <w:rStyle w:val="Hyperlink"/>
            <w:rFonts w:cs="Arial"/>
            <w:szCs w:val="18"/>
          </w:rPr>
          <w:t xml:space="preserve">Flemish </w:t>
        </w:r>
        <w:r w:rsidRPr="001B45E4">
          <w:rPr>
            <w:rStyle w:val="Hyperlink"/>
            <w:rFonts w:cs="Arial"/>
            <w:szCs w:val="18"/>
            <w:lang w:val="en-US"/>
          </w:rPr>
          <w:t xml:space="preserve">Community </w:t>
        </w:r>
        <w:r w:rsidRPr="001B45E4">
          <w:rPr>
            <w:rStyle w:val="Hyperlink"/>
            <w:rFonts w:cs="Arial"/>
            <w:szCs w:val="18"/>
          </w:rPr>
          <w:t xml:space="preserve">Decree of </w:t>
        </w:r>
        <w:r w:rsidRPr="001B45E4">
          <w:rPr>
            <w:rStyle w:val="Hyperlink"/>
            <w:rFonts w:cs="Arial"/>
            <w:szCs w:val="18"/>
            <w:lang w:val="en-US"/>
          </w:rPr>
          <w:t xml:space="preserve">12 July 2013 </w:t>
        </w:r>
        <w:r w:rsidRPr="001B45E4">
          <w:rPr>
            <w:rStyle w:val="Hyperlink"/>
            <w:rFonts w:cs="Arial"/>
            <w:szCs w:val="18"/>
          </w:rPr>
          <w:t>on</w:t>
        </w:r>
        <w:r w:rsidRPr="001B45E4">
          <w:rPr>
            <w:rStyle w:val="Hyperlink"/>
            <w:rFonts w:cs="Arial"/>
            <w:szCs w:val="18"/>
            <w:lang w:val="en-US"/>
          </w:rPr>
          <w:t xml:space="preserve"> i</w:t>
        </w:r>
        <w:r w:rsidRPr="001B45E4">
          <w:rPr>
            <w:rStyle w:val="Hyperlink"/>
            <w:rFonts w:cs="Arial"/>
            <w:szCs w:val="18"/>
          </w:rPr>
          <w:t xml:space="preserve">ntegrated youth </w:t>
        </w:r>
        <w:r w:rsidRPr="001B45E4">
          <w:rPr>
            <w:rStyle w:val="Hyperlink"/>
            <w:rFonts w:cs="Arial"/>
            <w:szCs w:val="18"/>
            <w:lang w:val="en-US"/>
          </w:rPr>
          <w:t>welfare</w:t>
        </w:r>
      </w:hyperlink>
      <w:r w:rsidRPr="001B45E4">
        <w:rPr>
          <w:rFonts w:cs="Arial"/>
          <w:szCs w:val="18"/>
          <w:lang w:val="en-US"/>
        </w:rPr>
        <w:t xml:space="preserve"> and Article 37 of </w:t>
      </w:r>
      <w:r w:rsidRPr="001B45E4">
        <w:rPr>
          <w:rFonts w:cs="Arial"/>
          <w:szCs w:val="18"/>
        </w:rPr>
        <w:t xml:space="preserve">the </w:t>
      </w:r>
      <w:hyperlink r:id="rId139" w:history="1">
        <w:r w:rsidRPr="001B45E4">
          <w:rPr>
            <w:rStyle w:val="Hyperlink"/>
            <w:rFonts w:cs="Arial"/>
            <w:szCs w:val="18"/>
          </w:rPr>
          <w:t>French Community Decree of 4 March 1991 on youth welfare</w:t>
        </w:r>
      </w:hyperlink>
      <w:r w:rsidRPr="001B45E4">
        <w:rPr>
          <w:rFonts w:cs="Arial"/>
          <w:szCs w:val="18"/>
          <w:lang w:val="en-US"/>
        </w:rPr>
        <w:t>.</w:t>
      </w:r>
    </w:p>
  </w:footnote>
  <w:footnote w:id="141">
    <w:p w:rsidR="00F60A1E" w:rsidRPr="001B45E4" w:rsidRDefault="00F60A1E" w:rsidP="00F60A1E">
      <w:pPr>
        <w:pStyle w:val="FootnoteText"/>
        <w:spacing w:after="0"/>
        <w:rPr>
          <w:rFonts w:cs="Arial"/>
          <w:szCs w:val="18"/>
          <w:lang w:val="en-US"/>
        </w:rPr>
      </w:pPr>
      <w:r w:rsidRPr="001B45E4">
        <w:rPr>
          <w:rStyle w:val="FootnoteReference"/>
          <w:rFonts w:cs="Arial"/>
          <w:szCs w:val="18"/>
        </w:rPr>
        <w:footnoteRef/>
      </w:r>
      <w:r w:rsidRPr="001B45E4">
        <w:rPr>
          <w:rFonts w:cs="Arial"/>
          <w:szCs w:val="18"/>
        </w:rPr>
        <w:t xml:space="preserve"> </w:t>
      </w:r>
      <w:r w:rsidRPr="001B45E4">
        <w:rPr>
          <w:rFonts w:cs="Arial"/>
          <w:szCs w:val="18"/>
          <w:lang w:val="en-US"/>
        </w:rPr>
        <w:t xml:space="preserve">Article 37 of the </w:t>
      </w:r>
      <w:hyperlink r:id="rId140" w:history="1">
        <w:r w:rsidRPr="001B45E4">
          <w:rPr>
            <w:rStyle w:val="Hyperlink"/>
            <w:rFonts w:cs="Arial"/>
            <w:szCs w:val="18"/>
          </w:rPr>
          <w:t>French Community Decree of 4 March 1991 on youth care</w:t>
        </w:r>
      </w:hyperlink>
      <w:r w:rsidRPr="001B45E4">
        <w:rPr>
          <w:rStyle w:val="Hyperlink"/>
          <w:rFonts w:cs="Arial"/>
          <w:szCs w:val="18"/>
          <w:lang w:val="en-US"/>
        </w:rPr>
        <w:t>.</w:t>
      </w:r>
    </w:p>
  </w:footnote>
  <w:footnote w:id="142">
    <w:p w:rsidR="00F60A1E" w:rsidRPr="001B45E4" w:rsidRDefault="00F60A1E" w:rsidP="00F60A1E">
      <w:pPr>
        <w:pStyle w:val="FootnoteText"/>
        <w:spacing w:after="0"/>
        <w:rPr>
          <w:rFonts w:cs="Arial"/>
          <w:szCs w:val="18"/>
          <w:lang w:val="en-US"/>
        </w:rPr>
      </w:pPr>
      <w:r w:rsidRPr="001B45E4">
        <w:rPr>
          <w:rStyle w:val="FootnoteReference"/>
          <w:rFonts w:cs="Arial"/>
          <w:szCs w:val="18"/>
        </w:rPr>
        <w:footnoteRef/>
      </w:r>
      <w:r w:rsidRPr="001B45E4">
        <w:rPr>
          <w:rFonts w:cs="Arial"/>
          <w:szCs w:val="18"/>
        </w:rPr>
        <w:t xml:space="preserve"> </w:t>
      </w:r>
      <w:r w:rsidRPr="001B45E4">
        <w:rPr>
          <w:rFonts w:cs="Arial"/>
          <w:szCs w:val="18"/>
          <w:lang w:val="en-US"/>
        </w:rPr>
        <w:t xml:space="preserve">Articles 4 and 36(5) of the </w:t>
      </w:r>
      <w:hyperlink r:id="rId141" w:history="1">
        <w:r w:rsidRPr="001B45E4">
          <w:rPr>
            <w:rStyle w:val="Hyperlink"/>
            <w:rFonts w:cs="Arial"/>
            <w:szCs w:val="18"/>
          </w:rPr>
          <w:t>French Community Decree of 4 March 1991 on youth care</w:t>
        </w:r>
      </w:hyperlink>
      <w:r w:rsidRPr="001B45E4">
        <w:rPr>
          <w:rStyle w:val="Hyperlink"/>
          <w:rFonts w:cs="Arial"/>
          <w:szCs w:val="18"/>
          <w:lang w:val="en-US"/>
        </w:rPr>
        <w:t>.</w:t>
      </w:r>
    </w:p>
  </w:footnote>
  <w:footnote w:id="143">
    <w:p w:rsidR="00F60A1E" w:rsidRPr="001B45E4" w:rsidRDefault="00F60A1E" w:rsidP="00F60A1E">
      <w:pPr>
        <w:pStyle w:val="FootnoteText"/>
        <w:spacing w:after="0"/>
        <w:rPr>
          <w:rFonts w:cs="Arial"/>
          <w:szCs w:val="18"/>
          <w:lang w:val="en-US"/>
        </w:rPr>
      </w:pPr>
      <w:r w:rsidRPr="001B45E4">
        <w:rPr>
          <w:rStyle w:val="FootnoteReference"/>
          <w:rFonts w:cs="Arial"/>
          <w:szCs w:val="18"/>
        </w:rPr>
        <w:footnoteRef/>
      </w:r>
      <w:r w:rsidRPr="001B45E4">
        <w:rPr>
          <w:rFonts w:cs="Arial"/>
          <w:szCs w:val="18"/>
        </w:rPr>
        <w:t xml:space="preserve"> </w:t>
      </w:r>
      <w:r w:rsidRPr="001B45E4">
        <w:rPr>
          <w:rFonts w:cs="Arial"/>
          <w:szCs w:val="18"/>
          <w:lang w:val="en-US"/>
        </w:rPr>
        <w:t xml:space="preserve">Article 29 of the </w:t>
      </w:r>
      <w:hyperlink r:id="rId142" w:history="1">
        <w:r w:rsidRPr="001B45E4">
          <w:rPr>
            <w:rStyle w:val="Hyperlink"/>
            <w:rFonts w:cs="Arial"/>
            <w:szCs w:val="18"/>
          </w:rPr>
          <w:t xml:space="preserve">Flemish </w:t>
        </w:r>
        <w:r w:rsidRPr="001B45E4">
          <w:rPr>
            <w:rStyle w:val="Hyperlink"/>
            <w:rFonts w:cs="Arial"/>
            <w:szCs w:val="18"/>
            <w:lang w:val="en-US"/>
          </w:rPr>
          <w:t xml:space="preserve">Community </w:t>
        </w:r>
        <w:r w:rsidRPr="001B45E4">
          <w:rPr>
            <w:rStyle w:val="Hyperlink"/>
            <w:rFonts w:cs="Arial"/>
            <w:szCs w:val="18"/>
          </w:rPr>
          <w:t>Decree of 7 May 2004 on the minor’s</w:t>
        </w:r>
        <w:r w:rsidRPr="001B45E4">
          <w:rPr>
            <w:rStyle w:val="Hyperlink"/>
            <w:rFonts w:cs="Arial"/>
            <w:szCs w:val="18"/>
            <w:lang w:val="en-US"/>
          </w:rPr>
          <w:t xml:space="preserve"> legal</w:t>
        </w:r>
        <w:r w:rsidRPr="001B45E4">
          <w:rPr>
            <w:rStyle w:val="Hyperlink"/>
            <w:rFonts w:cs="Arial"/>
            <w:szCs w:val="18"/>
          </w:rPr>
          <w:t xml:space="preserve"> status </w:t>
        </w:r>
        <w:r w:rsidRPr="001B45E4">
          <w:rPr>
            <w:rStyle w:val="Hyperlink"/>
            <w:rFonts w:cs="Arial"/>
            <w:szCs w:val="18"/>
            <w:lang w:val="en-US"/>
          </w:rPr>
          <w:t>in the i</w:t>
        </w:r>
        <w:r w:rsidRPr="001B45E4">
          <w:rPr>
            <w:rStyle w:val="Hyperlink"/>
            <w:rFonts w:cs="Arial"/>
            <w:szCs w:val="18"/>
          </w:rPr>
          <w:t xml:space="preserve">ntegrated youth </w:t>
        </w:r>
        <w:r w:rsidRPr="001B45E4">
          <w:rPr>
            <w:rStyle w:val="Hyperlink"/>
            <w:rFonts w:cs="Arial"/>
            <w:szCs w:val="18"/>
            <w:lang w:val="en-US"/>
          </w:rPr>
          <w:t>services</w:t>
        </w:r>
      </w:hyperlink>
      <w:r w:rsidRPr="001B45E4">
        <w:rPr>
          <w:rFonts w:cs="Arial"/>
          <w:szCs w:val="18"/>
          <w:lang w:val="en-US"/>
        </w:rPr>
        <w:t>.</w:t>
      </w:r>
    </w:p>
  </w:footnote>
  <w:footnote w:id="144">
    <w:p w:rsidR="00F60A1E" w:rsidRPr="001B45E4" w:rsidRDefault="00F60A1E" w:rsidP="00F60A1E">
      <w:pPr>
        <w:pStyle w:val="FootnoteText"/>
        <w:spacing w:after="0"/>
        <w:rPr>
          <w:rFonts w:cs="Arial"/>
          <w:szCs w:val="18"/>
          <w:lang w:val="en-US"/>
        </w:rPr>
      </w:pPr>
      <w:r w:rsidRPr="001B45E4">
        <w:rPr>
          <w:rStyle w:val="FootnoteReference"/>
          <w:rFonts w:cs="Arial"/>
          <w:szCs w:val="18"/>
        </w:rPr>
        <w:footnoteRef/>
      </w:r>
      <w:r w:rsidRPr="001B45E4">
        <w:rPr>
          <w:rFonts w:cs="Arial"/>
          <w:szCs w:val="18"/>
        </w:rPr>
        <w:t xml:space="preserve"> </w:t>
      </w:r>
      <w:r w:rsidRPr="001B45E4">
        <w:rPr>
          <w:rFonts w:cs="Arial"/>
          <w:szCs w:val="18"/>
          <w:lang w:val="en-US"/>
        </w:rPr>
        <w:t xml:space="preserve">Article 51 of the </w:t>
      </w:r>
      <w:hyperlink r:id="rId143" w:history="1">
        <w:r w:rsidRPr="001B45E4">
          <w:rPr>
            <w:rStyle w:val="Hyperlink"/>
            <w:rFonts w:cs="Arial"/>
            <w:szCs w:val="18"/>
          </w:rPr>
          <w:t xml:space="preserve">Flemish </w:t>
        </w:r>
        <w:r w:rsidRPr="001B45E4">
          <w:rPr>
            <w:rStyle w:val="Hyperlink"/>
            <w:rFonts w:cs="Arial"/>
            <w:szCs w:val="18"/>
            <w:lang w:val="en-US"/>
          </w:rPr>
          <w:t xml:space="preserve">Community </w:t>
        </w:r>
        <w:r w:rsidRPr="001B45E4">
          <w:rPr>
            <w:rStyle w:val="Hyperlink"/>
            <w:rFonts w:cs="Arial"/>
            <w:szCs w:val="18"/>
          </w:rPr>
          <w:t xml:space="preserve">Decree of </w:t>
        </w:r>
        <w:r w:rsidRPr="001B45E4">
          <w:rPr>
            <w:rStyle w:val="Hyperlink"/>
            <w:rFonts w:cs="Arial"/>
            <w:szCs w:val="18"/>
            <w:lang w:val="en-US"/>
          </w:rPr>
          <w:t xml:space="preserve">12 July 2013 </w:t>
        </w:r>
        <w:r w:rsidRPr="001B45E4">
          <w:rPr>
            <w:rStyle w:val="Hyperlink"/>
            <w:rFonts w:cs="Arial"/>
            <w:szCs w:val="18"/>
          </w:rPr>
          <w:t>on</w:t>
        </w:r>
        <w:r w:rsidRPr="001B45E4">
          <w:rPr>
            <w:rStyle w:val="Hyperlink"/>
            <w:rFonts w:cs="Arial"/>
            <w:szCs w:val="18"/>
            <w:lang w:val="en-US"/>
          </w:rPr>
          <w:t xml:space="preserve"> i</w:t>
        </w:r>
        <w:r w:rsidRPr="001B45E4">
          <w:rPr>
            <w:rStyle w:val="Hyperlink"/>
            <w:rFonts w:cs="Arial"/>
            <w:szCs w:val="18"/>
          </w:rPr>
          <w:t xml:space="preserve">ntegrated youth </w:t>
        </w:r>
        <w:r w:rsidRPr="001B45E4">
          <w:rPr>
            <w:rStyle w:val="Hyperlink"/>
            <w:rFonts w:cs="Arial"/>
            <w:szCs w:val="18"/>
            <w:lang w:val="en-US"/>
          </w:rPr>
          <w:t>welfare</w:t>
        </w:r>
      </w:hyperlink>
      <w:r w:rsidRPr="001B45E4">
        <w:rPr>
          <w:rFonts w:cs="Arial"/>
          <w:szCs w:val="18"/>
          <w:lang w:val="en-US"/>
        </w:rPr>
        <w:t>.</w:t>
      </w:r>
    </w:p>
  </w:footnote>
  <w:footnote w:id="145">
    <w:p w:rsidR="00F60A1E" w:rsidRPr="001B45E4" w:rsidRDefault="00F60A1E" w:rsidP="00F60A1E">
      <w:pPr>
        <w:pStyle w:val="FootnoteText"/>
        <w:spacing w:after="0"/>
        <w:rPr>
          <w:szCs w:val="18"/>
          <w:lang w:val="en-US"/>
        </w:rPr>
      </w:pPr>
      <w:r w:rsidRPr="001B45E4">
        <w:rPr>
          <w:rStyle w:val="FootnoteReference"/>
          <w:szCs w:val="18"/>
        </w:rPr>
        <w:footnoteRef/>
      </w:r>
      <w:r w:rsidRPr="001B45E4">
        <w:rPr>
          <w:szCs w:val="18"/>
        </w:rPr>
        <w:t xml:space="preserve"> </w:t>
      </w:r>
      <w:r w:rsidRPr="001B45E4">
        <w:rPr>
          <w:szCs w:val="18"/>
          <w:lang w:val="en-US"/>
        </w:rPr>
        <w:t xml:space="preserve">Article 37(3) of the </w:t>
      </w:r>
      <w:hyperlink r:id="rId144" w:history="1">
        <w:r w:rsidRPr="001B45E4">
          <w:rPr>
            <w:rStyle w:val="Hyperlink"/>
            <w:szCs w:val="18"/>
            <w:lang w:val="en-US"/>
          </w:rPr>
          <w:t>Youth Protection Act</w:t>
        </w:r>
      </w:hyperlink>
      <w:r w:rsidRPr="001B45E4">
        <w:rPr>
          <w:szCs w:val="18"/>
          <w:lang w:val="en-US"/>
        </w:rPr>
        <w:t>.</w:t>
      </w:r>
    </w:p>
  </w:footnote>
  <w:footnote w:id="146">
    <w:p w:rsidR="00F60A1E" w:rsidRPr="001B45E4" w:rsidRDefault="00F60A1E" w:rsidP="00F60A1E">
      <w:pPr>
        <w:pStyle w:val="FootnoteText"/>
        <w:spacing w:after="0"/>
        <w:rPr>
          <w:rFonts w:cs="Arial"/>
          <w:szCs w:val="18"/>
          <w:lang w:val="en-US"/>
        </w:rPr>
      </w:pPr>
      <w:r w:rsidRPr="001B45E4">
        <w:rPr>
          <w:rStyle w:val="FootnoteReference"/>
          <w:rFonts w:cs="Arial"/>
          <w:szCs w:val="18"/>
        </w:rPr>
        <w:footnoteRef/>
      </w:r>
      <w:r w:rsidRPr="001B45E4">
        <w:rPr>
          <w:rFonts w:cs="Arial"/>
          <w:szCs w:val="18"/>
        </w:rPr>
        <w:t xml:space="preserve"> </w:t>
      </w:r>
      <w:r w:rsidRPr="001B45E4">
        <w:rPr>
          <w:rFonts w:cs="Arial"/>
          <w:szCs w:val="18"/>
          <w:lang w:val="en-US"/>
        </w:rPr>
        <w:t xml:space="preserve">Article 14 of the </w:t>
      </w:r>
      <w:hyperlink r:id="rId145" w:history="1">
        <w:r w:rsidRPr="001B45E4">
          <w:rPr>
            <w:rStyle w:val="Hyperlink"/>
            <w:rFonts w:cs="Arial"/>
            <w:szCs w:val="18"/>
            <w:lang w:val="en-US"/>
          </w:rPr>
          <w:t>Act of 24 June 2013 on municipal administrative sanctions</w:t>
        </w:r>
      </w:hyperlink>
      <w:r w:rsidRPr="001B45E4">
        <w:rPr>
          <w:rFonts w:cs="Arial"/>
          <w:szCs w:val="18"/>
          <w:lang w:val="en-US"/>
        </w:rPr>
        <w:t xml:space="preserve"> and Article 24quater of </w:t>
      </w:r>
      <w:hyperlink r:id="rId146" w:history="1">
        <w:r w:rsidRPr="001B45E4">
          <w:rPr>
            <w:rStyle w:val="Hyperlink"/>
            <w:rFonts w:cs="Arial"/>
            <w:szCs w:val="18"/>
            <w:lang w:val="en-US"/>
          </w:rPr>
          <w:t>the Act of 21 December 1998 on safety during football matches</w:t>
        </w:r>
      </w:hyperlink>
      <w:r w:rsidRPr="001B45E4">
        <w:rPr>
          <w:rFonts w:cs="Arial"/>
          <w:szCs w:val="18"/>
          <w:lang w:val="en-US"/>
        </w:rPr>
        <w:t>.</w:t>
      </w:r>
    </w:p>
  </w:footnote>
  <w:footnote w:id="147">
    <w:p w:rsidR="00F60A1E" w:rsidRPr="001B45E4" w:rsidRDefault="00F60A1E" w:rsidP="00F60A1E">
      <w:pPr>
        <w:pStyle w:val="FootnoteText"/>
        <w:spacing w:after="0"/>
        <w:rPr>
          <w:rFonts w:cs="Arial"/>
          <w:szCs w:val="18"/>
        </w:rPr>
      </w:pPr>
      <w:r w:rsidRPr="001B45E4">
        <w:rPr>
          <w:rStyle w:val="FootnoteReference"/>
          <w:rFonts w:cs="Arial"/>
          <w:szCs w:val="18"/>
        </w:rPr>
        <w:footnoteRef/>
      </w:r>
      <w:r w:rsidRPr="001B45E4">
        <w:rPr>
          <w:rFonts w:cs="Arial"/>
          <w:szCs w:val="18"/>
        </w:rPr>
        <w:t xml:space="preserve"> </w:t>
      </w:r>
      <w:r w:rsidRPr="001B45E4">
        <w:rPr>
          <w:rFonts w:cs="Arial"/>
          <w:szCs w:val="18"/>
          <w:lang w:val="en-US"/>
        </w:rPr>
        <w:t xml:space="preserve">Article 31 of the </w:t>
      </w:r>
      <w:hyperlink r:id="rId147" w:history="1">
        <w:r w:rsidRPr="001B45E4">
          <w:rPr>
            <w:rStyle w:val="Hyperlink"/>
            <w:rFonts w:cs="Arial"/>
            <w:szCs w:val="18"/>
            <w:lang w:val="en-US"/>
          </w:rPr>
          <w:t>Act of 24 June 2013 on the municipal administrative sanctions</w:t>
        </w:r>
      </w:hyperlink>
      <w:r w:rsidRPr="001B45E4">
        <w:rPr>
          <w:rFonts w:cs="Arial"/>
          <w:szCs w:val="18"/>
          <w:lang w:val="en-US"/>
        </w:rPr>
        <w:t xml:space="preserve"> and Article 31 of the </w:t>
      </w:r>
      <w:hyperlink r:id="rId148" w:history="1">
        <w:r w:rsidRPr="001B45E4">
          <w:rPr>
            <w:rStyle w:val="Hyperlink"/>
            <w:rFonts w:cs="Arial"/>
            <w:szCs w:val="18"/>
            <w:lang w:val="en-US"/>
          </w:rPr>
          <w:t>Act of 21 December 1998 on safety during football matches</w:t>
        </w:r>
      </w:hyperlink>
      <w:r w:rsidRPr="001B45E4">
        <w:rPr>
          <w:rFonts w:cs="Arial"/>
          <w:szCs w:val="18"/>
          <w:lang w:val="en-US"/>
        </w:rPr>
        <w:t>.</w:t>
      </w:r>
    </w:p>
  </w:footnote>
  <w:footnote w:id="148">
    <w:p w:rsidR="00F60A1E" w:rsidRPr="001B45E4" w:rsidRDefault="00F60A1E" w:rsidP="00F60A1E">
      <w:pPr>
        <w:pStyle w:val="FootnoteText"/>
        <w:spacing w:after="0"/>
        <w:rPr>
          <w:rFonts w:cs="Arial"/>
          <w:szCs w:val="18"/>
          <w:lang w:val="en-US"/>
        </w:rPr>
      </w:pPr>
      <w:r w:rsidRPr="001B45E4">
        <w:rPr>
          <w:rStyle w:val="FootnoteReference"/>
          <w:rFonts w:cs="Arial"/>
          <w:szCs w:val="18"/>
        </w:rPr>
        <w:footnoteRef/>
      </w:r>
      <w:r w:rsidRPr="001B45E4">
        <w:rPr>
          <w:rFonts w:cs="Arial"/>
          <w:szCs w:val="18"/>
        </w:rPr>
        <w:t xml:space="preserve"> </w:t>
      </w:r>
      <w:r w:rsidRPr="001B45E4">
        <w:rPr>
          <w:rFonts w:cs="Arial"/>
          <w:szCs w:val="18"/>
          <w:lang w:val="en-US"/>
        </w:rPr>
        <w:t xml:space="preserve">Article 14 of the </w:t>
      </w:r>
      <w:hyperlink r:id="rId149" w:history="1">
        <w:r w:rsidRPr="001B45E4">
          <w:rPr>
            <w:rStyle w:val="Hyperlink"/>
            <w:rFonts w:cs="Arial"/>
            <w:szCs w:val="18"/>
            <w:lang w:val="en-US"/>
          </w:rPr>
          <w:t>Act of 24 June 2013 on municipal administrative sanctions</w:t>
        </w:r>
      </w:hyperlink>
      <w:r w:rsidRPr="001B45E4">
        <w:rPr>
          <w:rFonts w:cs="Arial"/>
          <w:szCs w:val="18"/>
          <w:lang w:val="en-US"/>
        </w:rPr>
        <w:t>.</w:t>
      </w:r>
    </w:p>
  </w:footnote>
  <w:footnote w:id="149">
    <w:p w:rsidR="00F60A1E" w:rsidRPr="001B45E4" w:rsidRDefault="00F60A1E" w:rsidP="00F60A1E">
      <w:pPr>
        <w:pStyle w:val="FootnoteText"/>
        <w:spacing w:after="0"/>
        <w:jc w:val="both"/>
        <w:rPr>
          <w:rFonts w:cs="Arial"/>
          <w:szCs w:val="18"/>
        </w:rPr>
      </w:pPr>
      <w:r w:rsidRPr="001B45E4">
        <w:rPr>
          <w:rStyle w:val="FootnoteReference"/>
          <w:rFonts w:cs="Arial"/>
          <w:szCs w:val="18"/>
        </w:rPr>
        <w:footnoteRef/>
      </w:r>
      <w:r w:rsidRPr="001B45E4">
        <w:rPr>
          <w:rFonts w:cs="Arial"/>
          <w:szCs w:val="18"/>
        </w:rPr>
        <w:t xml:space="preserve"> Article 168 of the </w:t>
      </w:r>
      <w:hyperlink r:id="rId150" w:history="1">
        <w:r w:rsidRPr="001B45E4">
          <w:rPr>
            <w:rStyle w:val="Hyperlink"/>
            <w:rFonts w:cs="Arial"/>
            <w:szCs w:val="18"/>
          </w:rPr>
          <w:t>Judicial Code</w:t>
        </w:r>
      </w:hyperlink>
      <w:r w:rsidRPr="001B45E4">
        <w:rPr>
          <w:rFonts w:cs="Arial"/>
          <w:szCs w:val="18"/>
        </w:rPr>
        <w:t xml:space="preserve"> and </w:t>
      </w:r>
      <w:hyperlink r:id="rId151" w:history="1">
        <w:r w:rsidRPr="001B45E4">
          <w:rPr>
            <w:rStyle w:val="Hyperlink"/>
            <w:rFonts w:cs="Arial"/>
            <w:szCs w:val="18"/>
          </w:rPr>
          <w:t>travaux préparatoires of the Act of 17 February 1997</w:t>
        </w:r>
      </w:hyperlink>
      <w:r w:rsidRPr="001B45E4">
        <w:rPr>
          <w:rFonts w:cs="Arial"/>
          <w:szCs w:val="18"/>
        </w:rPr>
        <w:t xml:space="preserve"> amending the Judicial Code with regard to the Registry and crown prosecutor’s offices.</w:t>
      </w:r>
    </w:p>
  </w:footnote>
  <w:footnote w:id="150">
    <w:p w:rsidR="00F60A1E" w:rsidRPr="00932E28" w:rsidRDefault="00F60A1E" w:rsidP="00F60A1E">
      <w:pPr>
        <w:pStyle w:val="FootnoteText"/>
        <w:spacing w:after="0"/>
        <w:jc w:val="both"/>
        <w:rPr>
          <w:rFonts w:cs="Arial"/>
          <w:sz w:val="16"/>
          <w:szCs w:val="16"/>
        </w:rPr>
      </w:pPr>
      <w:r w:rsidRPr="001B45E4">
        <w:rPr>
          <w:rStyle w:val="FootnoteReference"/>
          <w:rFonts w:cs="Arial"/>
          <w:szCs w:val="18"/>
        </w:rPr>
        <w:footnoteRef/>
      </w:r>
      <w:r w:rsidRPr="001B45E4">
        <w:rPr>
          <w:rFonts w:cs="Arial"/>
          <w:szCs w:val="18"/>
        </w:rPr>
        <w:t xml:space="preserve"> Article 297 of the </w:t>
      </w:r>
      <w:hyperlink r:id="rId152" w:history="1">
        <w:r w:rsidRPr="001B45E4">
          <w:rPr>
            <w:rStyle w:val="Hyperlink"/>
            <w:rFonts w:cs="Arial"/>
            <w:szCs w:val="18"/>
          </w:rPr>
          <w:t>Judicial Code</w:t>
        </w:r>
      </w:hyperlink>
      <w:r w:rsidRPr="001B45E4">
        <w:rPr>
          <w:rFonts w:cs="Arial"/>
          <w:szCs w:val="18"/>
        </w:rPr>
        <w:t>.</w:t>
      </w:r>
    </w:p>
  </w:footnote>
  <w:footnote w:id="151">
    <w:p w:rsidR="00F60A1E" w:rsidRPr="001B45E4" w:rsidRDefault="00F60A1E" w:rsidP="00F60A1E">
      <w:pPr>
        <w:pStyle w:val="FootnoteText"/>
        <w:spacing w:after="0"/>
        <w:jc w:val="both"/>
        <w:rPr>
          <w:rFonts w:cs="Arial"/>
          <w:szCs w:val="18"/>
        </w:rPr>
      </w:pPr>
      <w:r w:rsidRPr="001B45E4">
        <w:rPr>
          <w:rStyle w:val="FootnoteReference"/>
          <w:rFonts w:cs="Arial"/>
          <w:szCs w:val="18"/>
        </w:rPr>
        <w:footnoteRef/>
      </w:r>
      <w:r w:rsidRPr="001B45E4">
        <w:rPr>
          <w:rFonts w:cs="Arial"/>
          <w:szCs w:val="18"/>
        </w:rPr>
        <w:t xml:space="preserve"> </w:t>
      </w:r>
      <w:hyperlink r:id="rId153" w:history="1">
        <w:r w:rsidRPr="001B45E4">
          <w:rPr>
            <w:rStyle w:val="Hyperlink"/>
            <w:rFonts w:cs="Arial"/>
            <w:szCs w:val="18"/>
          </w:rPr>
          <w:t>UNICEF-Belgium</w:t>
        </w:r>
      </w:hyperlink>
      <w:r w:rsidRPr="001B45E4">
        <w:rPr>
          <w:rFonts w:cs="Arial"/>
          <w:szCs w:val="18"/>
        </w:rPr>
        <w:t xml:space="preserve">; </w:t>
      </w:r>
      <w:hyperlink r:id="rId154" w:history="1">
        <w:r w:rsidRPr="001B45E4">
          <w:rPr>
            <w:rStyle w:val="Hyperlink"/>
            <w:rFonts w:cs="Arial"/>
            <w:szCs w:val="18"/>
          </w:rPr>
          <w:t>General Delegate for Children’s Rights</w:t>
        </w:r>
      </w:hyperlink>
      <w:r w:rsidRPr="001B45E4">
        <w:rPr>
          <w:rFonts w:cs="Arial"/>
          <w:szCs w:val="18"/>
        </w:rPr>
        <w:t xml:space="preserve">; </w:t>
      </w:r>
      <w:hyperlink r:id="rId155" w:history="1">
        <w:r w:rsidRPr="001B45E4">
          <w:rPr>
            <w:rStyle w:val="Hyperlink"/>
            <w:rFonts w:cs="Arial"/>
            <w:szCs w:val="18"/>
          </w:rPr>
          <w:t>Kinderrechtswinkel</w:t>
        </w:r>
      </w:hyperlink>
      <w:r w:rsidRPr="001B45E4">
        <w:rPr>
          <w:rFonts w:cs="Arial"/>
          <w:szCs w:val="18"/>
        </w:rPr>
        <w:t xml:space="preserve">; </w:t>
      </w:r>
      <w:hyperlink r:id="rId156" w:history="1">
        <w:r w:rsidRPr="001B45E4">
          <w:rPr>
            <w:rStyle w:val="Hyperlink"/>
            <w:rFonts w:cs="Arial"/>
            <w:szCs w:val="18"/>
          </w:rPr>
          <w:t>Commissariat for Children’s Rights</w:t>
        </w:r>
      </w:hyperlink>
      <w:r w:rsidRPr="001B45E4">
        <w:rPr>
          <w:rFonts w:cs="Arial"/>
          <w:szCs w:val="18"/>
        </w:rPr>
        <w:t xml:space="preserve">; </w:t>
      </w:r>
      <w:hyperlink r:id="rId157" w:history="1">
        <w:r w:rsidRPr="001B45E4">
          <w:rPr>
            <w:rStyle w:val="Hyperlink"/>
            <w:rFonts w:cs="Arial"/>
            <w:szCs w:val="18"/>
          </w:rPr>
          <w:t>Children’s Rights Collective</w:t>
        </w:r>
      </w:hyperlink>
      <w:r w:rsidRPr="001B45E4">
        <w:rPr>
          <w:rFonts w:cs="Arial"/>
          <w:szCs w:val="18"/>
        </w:rPr>
        <w:t xml:space="preserve">. </w:t>
      </w:r>
    </w:p>
  </w:footnote>
  <w:footnote w:id="152">
    <w:p w:rsidR="00F60A1E" w:rsidRPr="001B45E4" w:rsidRDefault="00F60A1E" w:rsidP="00F60A1E">
      <w:pPr>
        <w:pStyle w:val="FootnoteText"/>
        <w:spacing w:after="0"/>
        <w:jc w:val="both"/>
        <w:rPr>
          <w:rFonts w:cs="Arial"/>
          <w:szCs w:val="18"/>
        </w:rPr>
      </w:pPr>
      <w:r w:rsidRPr="001B45E4">
        <w:rPr>
          <w:rStyle w:val="FootnoteReference"/>
          <w:rFonts w:cs="Arial"/>
          <w:szCs w:val="18"/>
        </w:rPr>
        <w:footnoteRef/>
      </w:r>
      <w:r w:rsidRPr="001B45E4">
        <w:rPr>
          <w:rFonts w:cs="Arial"/>
          <w:szCs w:val="18"/>
        </w:rPr>
        <w:t xml:space="preserve"> Information confirmed by stakeholder consultation with a Children’s Rights authority.</w:t>
      </w:r>
    </w:p>
  </w:footnote>
  <w:footnote w:id="153">
    <w:p w:rsidR="00F60A1E" w:rsidRPr="001B45E4" w:rsidRDefault="00F60A1E" w:rsidP="00F60A1E">
      <w:pPr>
        <w:pStyle w:val="FootnoteText"/>
        <w:spacing w:after="0"/>
        <w:jc w:val="both"/>
        <w:rPr>
          <w:rFonts w:cs="Arial"/>
          <w:szCs w:val="18"/>
        </w:rPr>
      </w:pPr>
      <w:r w:rsidRPr="001B45E4">
        <w:rPr>
          <w:rStyle w:val="FootnoteReference"/>
          <w:rFonts w:cs="Arial"/>
          <w:szCs w:val="18"/>
        </w:rPr>
        <w:footnoteRef/>
      </w:r>
      <w:r w:rsidRPr="001B45E4">
        <w:rPr>
          <w:rFonts w:cs="Arial"/>
          <w:szCs w:val="18"/>
        </w:rPr>
        <w:t xml:space="preserve"> Information confirmed by stakeholder consultation with a Children’s Rights authority.</w:t>
      </w:r>
    </w:p>
  </w:footnote>
  <w:footnote w:id="154">
    <w:p w:rsidR="00F60A1E" w:rsidRPr="001B45E4" w:rsidRDefault="00F60A1E" w:rsidP="00F60A1E">
      <w:pPr>
        <w:pStyle w:val="FootnoteText"/>
        <w:spacing w:after="0"/>
        <w:rPr>
          <w:rFonts w:cs="Arial"/>
          <w:szCs w:val="18"/>
          <w:lang w:val="en-US"/>
        </w:rPr>
      </w:pPr>
      <w:r w:rsidRPr="001B45E4">
        <w:rPr>
          <w:rStyle w:val="FootnoteReference"/>
          <w:rFonts w:cs="Arial"/>
          <w:szCs w:val="18"/>
        </w:rPr>
        <w:footnoteRef/>
      </w:r>
      <w:r w:rsidRPr="001B45E4">
        <w:rPr>
          <w:rFonts w:cs="Arial"/>
          <w:szCs w:val="18"/>
        </w:rPr>
        <w:t xml:space="preserve"> </w:t>
      </w:r>
      <w:r w:rsidRPr="001B45E4">
        <w:rPr>
          <w:rFonts w:cs="Arial"/>
          <w:szCs w:val="18"/>
          <w:lang w:val="en-US"/>
        </w:rPr>
        <w:t xml:space="preserve">Article 2 of the </w:t>
      </w:r>
      <w:hyperlink r:id="rId158" w:history="1">
        <w:r w:rsidRPr="001B45E4">
          <w:rPr>
            <w:rStyle w:val="Hyperlink"/>
            <w:rFonts w:cs="Arial"/>
            <w:szCs w:val="18"/>
            <w:lang w:val="en-US"/>
          </w:rPr>
          <w:t>Act of 11 April 1994 on the publicity of administrative authorities</w:t>
        </w:r>
      </w:hyperlink>
      <w:r w:rsidRPr="001B45E4">
        <w:rPr>
          <w:rFonts w:cs="Arial"/>
          <w:szCs w:val="18"/>
          <w:lang w:val="en-US"/>
        </w:rPr>
        <w:t xml:space="preserve">; </w:t>
      </w:r>
      <w:hyperlink r:id="rId159" w:history="1">
        <w:r w:rsidRPr="001B45E4">
          <w:rPr>
            <w:rStyle w:val="Hyperlink"/>
            <w:rFonts w:cs="Arial"/>
            <w:szCs w:val="18"/>
            <w:lang w:val="en-US"/>
          </w:rPr>
          <w:t>Decree of the Flemish Community of 26 March 2004 on the publicity of administrative authorities</w:t>
        </w:r>
      </w:hyperlink>
      <w:r w:rsidRPr="001B45E4">
        <w:rPr>
          <w:rFonts w:cs="Arial"/>
          <w:szCs w:val="18"/>
          <w:lang w:val="en-US"/>
        </w:rPr>
        <w:t xml:space="preserve">; </w:t>
      </w:r>
      <w:hyperlink r:id="rId160" w:history="1">
        <w:r w:rsidRPr="001B45E4">
          <w:rPr>
            <w:rStyle w:val="Hyperlink"/>
            <w:rFonts w:cs="Arial"/>
            <w:szCs w:val="18"/>
            <w:lang w:val="en-US"/>
          </w:rPr>
          <w:t>Ordinance of the Brussels-Capital Region of 30 March 1995 on the publicity of administrative authorities</w:t>
        </w:r>
      </w:hyperlink>
      <w:r w:rsidRPr="001B45E4">
        <w:rPr>
          <w:rFonts w:cs="Arial"/>
          <w:szCs w:val="18"/>
          <w:lang w:val="en-US"/>
        </w:rPr>
        <w:t xml:space="preserve">; Article 3221-1 of the </w:t>
      </w:r>
      <w:hyperlink r:id="rId161" w:history="1">
        <w:r w:rsidRPr="001B45E4">
          <w:rPr>
            <w:rStyle w:val="Hyperlink"/>
            <w:rFonts w:cs="Arial"/>
            <w:szCs w:val="18"/>
            <w:lang w:val="en-US"/>
          </w:rPr>
          <w:t>Walloon Code of Local Democracy and Decentralisation</w:t>
        </w:r>
      </w:hyperlink>
      <w:r w:rsidRPr="001B45E4">
        <w:rPr>
          <w:rFonts w:cs="Arial"/>
          <w:szCs w:val="18"/>
          <w:lang w:val="en-US"/>
        </w:rPr>
        <w:t>.</w:t>
      </w:r>
    </w:p>
  </w:footnote>
  <w:footnote w:id="155">
    <w:p w:rsidR="00F60A1E" w:rsidRPr="00AF32C2" w:rsidRDefault="00F60A1E" w:rsidP="00F60A1E">
      <w:pPr>
        <w:pStyle w:val="FootnoteText"/>
        <w:spacing w:after="0"/>
        <w:rPr>
          <w:rFonts w:cs="Arial"/>
          <w:sz w:val="16"/>
          <w:szCs w:val="16"/>
          <w:lang w:val="en-US"/>
        </w:rPr>
      </w:pPr>
      <w:r w:rsidRPr="001B45E4">
        <w:rPr>
          <w:rStyle w:val="FootnoteReference"/>
          <w:rFonts w:cs="Arial"/>
          <w:szCs w:val="18"/>
        </w:rPr>
        <w:footnoteRef/>
      </w:r>
      <w:r w:rsidRPr="001B45E4">
        <w:rPr>
          <w:rFonts w:cs="Arial"/>
          <w:szCs w:val="18"/>
        </w:rPr>
        <w:t xml:space="preserve"> </w:t>
      </w:r>
      <w:r w:rsidRPr="001B45E4">
        <w:rPr>
          <w:rFonts w:cs="Arial"/>
          <w:szCs w:val="18"/>
          <w:lang w:val="en-US"/>
        </w:rPr>
        <w:t xml:space="preserve">In case such information is not provided, the party has four months to appeal from the day the party has knowledge of the decision. Article 19 of the </w:t>
      </w:r>
      <w:hyperlink r:id="rId162" w:history="1">
        <w:r w:rsidRPr="001B45E4">
          <w:rPr>
            <w:rStyle w:val="Hyperlink"/>
            <w:rFonts w:cs="Arial"/>
            <w:bCs/>
            <w:szCs w:val="18"/>
          </w:rPr>
          <w:t>Coordinated Laws of 12 January 1973 on the Council of State</w:t>
        </w:r>
      </w:hyperlink>
      <w:r w:rsidRPr="001B45E4">
        <w:rPr>
          <w:rFonts w:cs="Arial"/>
          <w:bCs/>
          <w:szCs w:val="18"/>
          <w:lang w:val="en-US"/>
        </w:rPr>
        <w:t>.</w:t>
      </w:r>
    </w:p>
  </w:footnote>
  <w:footnote w:id="156">
    <w:p w:rsidR="00F60A1E" w:rsidRPr="001B45E4" w:rsidRDefault="00F60A1E" w:rsidP="00F60A1E">
      <w:pPr>
        <w:pStyle w:val="FootnoteText"/>
        <w:spacing w:after="0"/>
        <w:jc w:val="both"/>
        <w:rPr>
          <w:rFonts w:cs="Arial"/>
          <w:szCs w:val="18"/>
        </w:rPr>
      </w:pPr>
      <w:r w:rsidRPr="001B45E4">
        <w:rPr>
          <w:rStyle w:val="FootnoteReference"/>
          <w:rFonts w:cs="Arial"/>
          <w:szCs w:val="18"/>
        </w:rPr>
        <w:footnoteRef/>
      </w:r>
      <w:r w:rsidRPr="001B45E4">
        <w:rPr>
          <w:rFonts w:cs="Arial"/>
          <w:szCs w:val="18"/>
        </w:rPr>
        <w:t xml:space="preserve"> </w:t>
      </w:r>
      <w:r w:rsidRPr="001B45E4">
        <w:rPr>
          <w:rFonts w:cs="Arial"/>
          <w:bCs/>
          <w:szCs w:val="18"/>
        </w:rPr>
        <w:t xml:space="preserve">Article 35 of the </w:t>
      </w:r>
      <w:hyperlink r:id="rId163" w:history="1">
        <w:r w:rsidRPr="001B45E4">
          <w:rPr>
            <w:rStyle w:val="Hyperlink"/>
            <w:rFonts w:cs="Arial"/>
            <w:szCs w:val="18"/>
          </w:rPr>
          <w:t>Judicial Code</w:t>
        </w:r>
      </w:hyperlink>
      <w:r w:rsidRPr="001B45E4">
        <w:rPr>
          <w:rFonts w:cs="Arial"/>
          <w:bCs/>
          <w:szCs w:val="18"/>
        </w:rPr>
        <w:t>.</w:t>
      </w:r>
    </w:p>
  </w:footnote>
  <w:footnote w:id="157">
    <w:p w:rsidR="00F60A1E" w:rsidRPr="001B45E4" w:rsidRDefault="00F60A1E" w:rsidP="00F60A1E">
      <w:pPr>
        <w:pStyle w:val="FootnoteText"/>
        <w:spacing w:after="0"/>
        <w:rPr>
          <w:szCs w:val="18"/>
          <w:lang w:val="en-US"/>
        </w:rPr>
      </w:pPr>
      <w:r w:rsidRPr="001B45E4">
        <w:rPr>
          <w:rStyle w:val="FootnoteReference"/>
          <w:szCs w:val="18"/>
        </w:rPr>
        <w:footnoteRef/>
      </w:r>
      <w:r w:rsidRPr="001B45E4">
        <w:rPr>
          <w:szCs w:val="18"/>
        </w:rPr>
        <w:t xml:space="preserve"> Article 34 of the Decree the regent of 23 August 1948 determining the procedure before the section of administrative litigation of the Council of State.</w:t>
      </w:r>
    </w:p>
  </w:footnote>
  <w:footnote w:id="158">
    <w:p w:rsidR="00F60A1E" w:rsidRPr="001B45E4" w:rsidRDefault="00F60A1E" w:rsidP="00F60A1E">
      <w:pPr>
        <w:pStyle w:val="FootnoteText"/>
        <w:spacing w:after="0"/>
        <w:rPr>
          <w:rFonts w:cs="Arial"/>
          <w:szCs w:val="18"/>
          <w:lang w:val="en-US"/>
        </w:rPr>
      </w:pPr>
      <w:r w:rsidRPr="001B45E4">
        <w:rPr>
          <w:rStyle w:val="FootnoteReference"/>
          <w:rFonts w:cs="Arial"/>
          <w:szCs w:val="18"/>
        </w:rPr>
        <w:footnoteRef/>
      </w:r>
      <w:r w:rsidRPr="001B45E4">
        <w:rPr>
          <w:rFonts w:cs="Arial"/>
          <w:szCs w:val="18"/>
        </w:rPr>
        <w:t xml:space="preserve"> </w:t>
      </w:r>
      <w:r w:rsidRPr="001B45E4">
        <w:rPr>
          <w:rFonts w:cs="Arial"/>
          <w:szCs w:val="18"/>
          <w:lang w:val="en-US"/>
        </w:rPr>
        <w:t xml:space="preserve">Article 28 of the </w:t>
      </w:r>
      <w:hyperlink r:id="rId164" w:history="1">
        <w:r w:rsidRPr="001B45E4">
          <w:rPr>
            <w:rStyle w:val="Hyperlink"/>
            <w:rFonts w:cs="Arial"/>
            <w:bCs/>
            <w:szCs w:val="18"/>
          </w:rPr>
          <w:t>Coordinated Laws of 12 January 1973 on the Council of State</w:t>
        </w:r>
      </w:hyperlink>
      <w:r w:rsidRPr="001B45E4">
        <w:rPr>
          <w:rFonts w:cs="Arial"/>
          <w:bCs/>
          <w:szCs w:val="18"/>
          <w:lang w:val="en-US"/>
        </w:rPr>
        <w:t xml:space="preserve"> and</w:t>
      </w:r>
      <w:r w:rsidRPr="001B45E4">
        <w:rPr>
          <w:rFonts w:cs="Arial"/>
          <w:szCs w:val="18"/>
          <w:lang w:val="en-US"/>
        </w:rPr>
        <w:t xml:space="preserve"> Articles 36 and 39 of the </w:t>
      </w:r>
      <w:hyperlink r:id="rId165" w:history="1">
        <w:r w:rsidRPr="001B45E4">
          <w:rPr>
            <w:rStyle w:val="Hyperlink"/>
            <w:rFonts w:cs="Arial"/>
            <w:szCs w:val="18"/>
            <w:lang w:val="en-US"/>
          </w:rPr>
          <w:t>Decree of the Regent of 23 August 1948 determining the procedure before the section of administrative litigation of the Council of State</w:t>
        </w:r>
      </w:hyperlink>
      <w:r w:rsidRPr="001B45E4">
        <w:rPr>
          <w:rFonts w:cs="Arial"/>
          <w:szCs w:val="18"/>
        </w:rPr>
        <w:t>.</w:t>
      </w:r>
    </w:p>
  </w:footnote>
  <w:footnote w:id="159">
    <w:p w:rsidR="00F60A1E" w:rsidRPr="001B45E4" w:rsidRDefault="00F60A1E" w:rsidP="00F60A1E">
      <w:pPr>
        <w:pStyle w:val="FootnoteText"/>
        <w:rPr>
          <w:rFonts w:cs="Arial"/>
          <w:szCs w:val="18"/>
          <w:lang w:val="fr-BE"/>
        </w:rPr>
      </w:pPr>
      <w:r w:rsidRPr="001B45E4">
        <w:rPr>
          <w:rStyle w:val="FootnoteReference"/>
          <w:rFonts w:cs="Arial"/>
          <w:szCs w:val="18"/>
        </w:rPr>
        <w:footnoteRef/>
      </w:r>
      <w:r w:rsidRPr="001B45E4">
        <w:rPr>
          <w:rFonts w:cs="Arial"/>
          <w:szCs w:val="18"/>
        </w:rPr>
        <w:t xml:space="preserve"> </w:t>
      </w:r>
      <w:r w:rsidRPr="001B45E4">
        <w:rPr>
          <w:rFonts w:cs="Arial"/>
          <w:szCs w:val="18"/>
          <w:lang w:val="en-US"/>
        </w:rPr>
        <w:t xml:space="preserve">In 2011, it was reported that only 80 decisions were appealed (out of 214000 decisions). </w:t>
      </w:r>
      <w:r w:rsidRPr="001B45E4">
        <w:rPr>
          <w:rFonts w:cs="Arial"/>
          <w:szCs w:val="18"/>
          <w:lang w:val="fr-BE"/>
        </w:rPr>
        <w:t xml:space="preserve">Michel Leroy, </w:t>
      </w:r>
      <w:r w:rsidRPr="001B45E4">
        <w:rPr>
          <w:rFonts w:cs="Arial"/>
          <w:i/>
          <w:szCs w:val="18"/>
          <w:lang w:val="fr-BE"/>
        </w:rPr>
        <w:t>Contentieux administratif</w:t>
      </w:r>
      <w:r w:rsidRPr="001B45E4">
        <w:rPr>
          <w:rFonts w:cs="Arial"/>
          <w:szCs w:val="18"/>
          <w:lang w:val="fr-BE"/>
        </w:rPr>
        <w:t>, Anthemis, Brussels, 2011, p. 961.</w:t>
      </w:r>
    </w:p>
  </w:footnote>
  <w:footnote w:id="160">
    <w:p w:rsidR="00F60A1E" w:rsidRPr="00227001" w:rsidRDefault="00F60A1E" w:rsidP="00F60A1E">
      <w:pPr>
        <w:pStyle w:val="FootnoteText"/>
        <w:spacing w:after="0"/>
        <w:jc w:val="both"/>
        <w:rPr>
          <w:rFonts w:cs="Arial"/>
          <w:szCs w:val="18"/>
        </w:rPr>
      </w:pPr>
      <w:r w:rsidRPr="001B45E4">
        <w:rPr>
          <w:rStyle w:val="FootnoteReference"/>
          <w:rFonts w:cs="Arial"/>
          <w:szCs w:val="18"/>
        </w:rPr>
        <w:footnoteRef/>
      </w:r>
      <w:r w:rsidRPr="00227001">
        <w:rPr>
          <w:rFonts w:cs="Arial"/>
          <w:szCs w:val="18"/>
        </w:rPr>
        <w:t xml:space="preserve"> Article 792 of the </w:t>
      </w:r>
      <w:hyperlink r:id="rId166" w:history="1">
        <w:r w:rsidRPr="00227001">
          <w:rPr>
            <w:rStyle w:val="Hyperlink"/>
            <w:rFonts w:cs="Arial"/>
            <w:szCs w:val="18"/>
          </w:rPr>
          <w:t>Judicial Code</w:t>
        </w:r>
      </w:hyperlink>
      <w:r w:rsidRPr="00227001">
        <w:rPr>
          <w:rFonts w:cs="Arial"/>
          <w:szCs w:val="18"/>
        </w:rPr>
        <w:t>.</w:t>
      </w:r>
    </w:p>
  </w:footnote>
  <w:footnote w:id="161">
    <w:p w:rsidR="00F60A1E" w:rsidRPr="00AF32C2" w:rsidRDefault="00F60A1E" w:rsidP="00F60A1E">
      <w:pPr>
        <w:pStyle w:val="FootnoteText"/>
        <w:spacing w:after="0"/>
        <w:rPr>
          <w:sz w:val="16"/>
          <w:szCs w:val="16"/>
          <w:lang w:val="en-US"/>
        </w:rPr>
      </w:pPr>
      <w:r w:rsidRPr="001B45E4">
        <w:rPr>
          <w:rStyle w:val="FootnoteReference"/>
          <w:szCs w:val="18"/>
        </w:rPr>
        <w:footnoteRef/>
      </w:r>
      <w:r w:rsidRPr="001B45E4">
        <w:rPr>
          <w:szCs w:val="18"/>
        </w:rPr>
        <w:t xml:space="preserve"> </w:t>
      </w:r>
      <w:r w:rsidRPr="001B45E4">
        <w:rPr>
          <w:szCs w:val="18"/>
          <w:lang w:val="en-US"/>
        </w:rPr>
        <w:t>The Auditor in Council of State proceedings has a role similar to the Crown. The Auditor participates in the proceedings and submits a report his/her opinions on the case.</w:t>
      </w:r>
    </w:p>
  </w:footnote>
  <w:footnote w:id="162">
    <w:p w:rsidR="00F60A1E" w:rsidRPr="001B45E4" w:rsidRDefault="00F60A1E" w:rsidP="00F60A1E">
      <w:pPr>
        <w:pStyle w:val="FootnoteText"/>
        <w:spacing w:after="0"/>
        <w:rPr>
          <w:rFonts w:cs="Arial"/>
          <w:szCs w:val="18"/>
          <w:lang w:val="en-US"/>
        </w:rPr>
      </w:pPr>
      <w:r w:rsidRPr="001B45E4">
        <w:rPr>
          <w:rStyle w:val="FootnoteReference"/>
          <w:rFonts w:cs="Arial"/>
          <w:szCs w:val="18"/>
        </w:rPr>
        <w:footnoteRef/>
      </w:r>
      <w:r w:rsidRPr="001B45E4">
        <w:rPr>
          <w:rFonts w:cs="Arial"/>
          <w:szCs w:val="18"/>
        </w:rPr>
        <w:t xml:space="preserve"> </w:t>
      </w:r>
      <w:r w:rsidRPr="001B45E4">
        <w:rPr>
          <w:rFonts w:cs="Arial"/>
          <w:szCs w:val="18"/>
          <w:lang w:val="en-US"/>
        </w:rPr>
        <w:t xml:space="preserve">The Office of the Commissioner General for Refugees and Stateless Persons, </w:t>
      </w:r>
      <w:hyperlink r:id="rId167" w:history="1">
        <w:r w:rsidRPr="001B45E4">
          <w:rPr>
            <w:rStyle w:val="Hyperlink"/>
            <w:rFonts w:cs="Arial"/>
            <w:szCs w:val="18"/>
            <w:lang w:val="en-US"/>
          </w:rPr>
          <w:t>Charter of the hearing</w:t>
        </w:r>
      </w:hyperlink>
      <w:r w:rsidRPr="001B45E4">
        <w:rPr>
          <w:rFonts w:cs="Arial"/>
          <w:szCs w:val="18"/>
          <w:lang w:val="en-US"/>
        </w:rPr>
        <w:t>, 2011.</w:t>
      </w:r>
    </w:p>
  </w:footnote>
  <w:footnote w:id="163">
    <w:p w:rsidR="00F60A1E" w:rsidRPr="001B45E4" w:rsidRDefault="00F60A1E" w:rsidP="00F60A1E">
      <w:pPr>
        <w:pStyle w:val="FootnoteText"/>
        <w:spacing w:after="0"/>
        <w:rPr>
          <w:rFonts w:cs="Arial"/>
          <w:szCs w:val="18"/>
        </w:rPr>
      </w:pPr>
      <w:r w:rsidRPr="001B45E4">
        <w:rPr>
          <w:rStyle w:val="FootnoteReference"/>
          <w:rFonts w:cs="Arial"/>
          <w:szCs w:val="18"/>
        </w:rPr>
        <w:footnoteRef/>
      </w:r>
      <w:r w:rsidRPr="001B45E4">
        <w:rPr>
          <w:rFonts w:cs="Arial"/>
          <w:szCs w:val="18"/>
        </w:rPr>
        <w:t xml:space="preserve"> </w:t>
      </w:r>
      <w:r w:rsidRPr="001B45E4">
        <w:rPr>
          <w:rFonts w:cs="Arial"/>
          <w:szCs w:val="18"/>
          <w:lang w:val="en-US"/>
        </w:rPr>
        <w:t xml:space="preserve">Articles 7 and 11 of the </w:t>
      </w:r>
      <w:hyperlink r:id="rId168" w:history="1">
        <w:r w:rsidRPr="001B45E4">
          <w:rPr>
            <w:rStyle w:val="Hyperlink"/>
            <w:rFonts w:cs="Arial"/>
            <w:szCs w:val="18"/>
            <w:lang w:val="en-US"/>
          </w:rPr>
          <w:t>Act of 22 August 2002 on patient’s rights</w:t>
        </w:r>
      </w:hyperlink>
      <w:r w:rsidRPr="001B45E4">
        <w:rPr>
          <w:rFonts w:cs="Arial"/>
          <w:szCs w:val="18"/>
          <w:lang w:val="en-US"/>
        </w:rPr>
        <w:t>.</w:t>
      </w:r>
    </w:p>
  </w:footnote>
  <w:footnote w:id="164">
    <w:p w:rsidR="00F60A1E" w:rsidRPr="001B45E4" w:rsidRDefault="00F60A1E" w:rsidP="00F60A1E">
      <w:pPr>
        <w:pStyle w:val="FootnoteText"/>
        <w:spacing w:after="0"/>
        <w:rPr>
          <w:rFonts w:cs="Arial"/>
          <w:szCs w:val="18"/>
          <w:lang w:val="en-US"/>
        </w:rPr>
      </w:pPr>
      <w:r w:rsidRPr="001B45E4">
        <w:rPr>
          <w:rStyle w:val="FootnoteReference"/>
          <w:rFonts w:cs="Arial"/>
          <w:szCs w:val="18"/>
        </w:rPr>
        <w:footnoteRef/>
      </w:r>
      <w:r w:rsidRPr="001B45E4">
        <w:rPr>
          <w:rFonts w:cs="Arial"/>
          <w:szCs w:val="18"/>
        </w:rPr>
        <w:t xml:space="preserve"> </w:t>
      </w:r>
      <w:r w:rsidRPr="001B45E4">
        <w:rPr>
          <w:rFonts w:cs="Arial"/>
          <w:szCs w:val="18"/>
          <w:lang w:val="en-US"/>
        </w:rPr>
        <w:t xml:space="preserve">Article 12 of the </w:t>
      </w:r>
      <w:hyperlink r:id="rId169" w:history="1">
        <w:r w:rsidRPr="001B45E4">
          <w:rPr>
            <w:rStyle w:val="Hyperlink"/>
            <w:rFonts w:cs="Arial"/>
            <w:szCs w:val="18"/>
            <w:lang w:val="en-US"/>
          </w:rPr>
          <w:t>Act of 22 August 2002 on patient’s rights</w:t>
        </w:r>
      </w:hyperlink>
      <w:r w:rsidRPr="001B45E4">
        <w:rPr>
          <w:rFonts w:cs="Arial"/>
          <w:szCs w:val="18"/>
          <w:lang w:val="en-US"/>
        </w:rPr>
        <w:t>.</w:t>
      </w:r>
    </w:p>
  </w:footnote>
  <w:footnote w:id="165">
    <w:p w:rsidR="00F60A1E" w:rsidRPr="001B45E4" w:rsidRDefault="00F60A1E" w:rsidP="00F60A1E">
      <w:pPr>
        <w:pStyle w:val="FootnoteText"/>
        <w:spacing w:after="0"/>
        <w:jc w:val="both"/>
        <w:rPr>
          <w:rFonts w:cs="Arial"/>
          <w:szCs w:val="18"/>
        </w:rPr>
      </w:pPr>
      <w:r w:rsidRPr="001B45E4">
        <w:rPr>
          <w:rStyle w:val="FootnoteReference"/>
          <w:rFonts w:cs="Arial"/>
          <w:szCs w:val="18"/>
        </w:rPr>
        <w:footnoteRef/>
      </w:r>
      <w:r w:rsidRPr="001B45E4">
        <w:rPr>
          <w:rFonts w:cs="Arial"/>
          <w:szCs w:val="18"/>
        </w:rPr>
        <w:t xml:space="preserve"> Article 700 of the </w:t>
      </w:r>
      <w:hyperlink r:id="rId170" w:history="1">
        <w:r w:rsidRPr="001B45E4">
          <w:rPr>
            <w:rStyle w:val="Hyperlink"/>
            <w:rFonts w:cs="Arial"/>
            <w:szCs w:val="18"/>
          </w:rPr>
          <w:t>Judicial Code</w:t>
        </w:r>
      </w:hyperlink>
      <w:r w:rsidRPr="001B45E4">
        <w:rPr>
          <w:rFonts w:cs="Arial"/>
          <w:szCs w:val="18"/>
        </w:rPr>
        <w:t>.</w:t>
      </w:r>
    </w:p>
  </w:footnote>
  <w:footnote w:id="166">
    <w:p w:rsidR="00F60A1E" w:rsidRPr="001B45E4" w:rsidRDefault="00F60A1E" w:rsidP="00F60A1E">
      <w:pPr>
        <w:pStyle w:val="FootnoteText"/>
        <w:spacing w:after="0"/>
        <w:jc w:val="both"/>
        <w:rPr>
          <w:rFonts w:cs="Arial"/>
          <w:szCs w:val="18"/>
        </w:rPr>
      </w:pPr>
      <w:r w:rsidRPr="001B45E4">
        <w:rPr>
          <w:rStyle w:val="FootnoteReference"/>
          <w:rFonts w:cs="Arial"/>
          <w:szCs w:val="18"/>
        </w:rPr>
        <w:footnoteRef/>
      </w:r>
      <w:r w:rsidRPr="001B45E4">
        <w:rPr>
          <w:rFonts w:cs="Arial"/>
          <w:szCs w:val="18"/>
        </w:rPr>
        <w:t xml:space="preserve"> Article 702 of the </w:t>
      </w:r>
      <w:hyperlink r:id="rId171" w:history="1">
        <w:r w:rsidRPr="001B45E4">
          <w:rPr>
            <w:rStyle w:val="Hyperlink"/>
            <w:rFonts w:cs="Arial"/>
            <w:szCs w:val="18"/>
          </w:rPr>
          <w:t>Judicial Code</w:t>
        </w:r>
      </w:hyperlink>
      <w:r w:rsidRPr="001B45E4">
        <w:rPr>
          <w:rFonts w:cs="Arial"/>
          <w:szCs w:val="18"/>
        </w:rPr>
        <w:t>.</w:t>
      </w:r>
    </w:p>
  </w:footnote>
  <w:footnote w:id="167">
    <w:p w:rsidR="00F60A1E" w:rsidRPr="001B45E4" w:rsidRDefault="00F60A1E" w:rsidP="00F60A1E">
      <w:pPr>
        <w:pStyle w:val="FootnoteText"/>
        <w:spacing w:after="0"/>
        <w:jc w:val="both"/>
        <w:rPr>
          <w:rFonts w:cs="Arial"/>
          <w:szCs w:val="18"/>
        </w:rPr>
      </w:pPr>
      <w:r w:rsidRPr="001B45E4">
        <w:rPr>
          <w:rStyle w:val="FootnoteReference"/>
          <w:rFonts w:cs="Arial"/>
          <w:szCs w:val="18"/>
        </w:rPr>
        <w:footnoteRef/>
      </w:r>
      <w:r w:rsidRPr="001B45E4">
        <w:rPr>
          <w:rFonts w:cs="Arial"/>
          <w:szCs w:val="18"/>
        </w:rPr>
        <w:t xml:space="preserve"> </w:t>
      </w:r>
      <w:r w:rsidRPr="001B45E4">
        <w:rPr>
          <w:rFonts w:cs="Arial"/>
          <w:bCs/>
          <w:szCs w:val="18"/>
        </w:rPr>
        <w:t xml:space="preserve">Article 35 of the </w:t>
      </w:r>
      <w:hyperlink r:id="rId172" w:history="1">
        <w:r w:rsidRPr="001B45E4">
          <w:rPr>
            <w:rStyle w:val="Hyperlink"/>
            <w:rFonts w:cs="Arial"/>
            <w:szCs w:val="18"/>
          </w:rPr>
          <w:t>Judicial Code</w:t>
        </w:r>
      </w:hyperlink>
      <w:r w:rsidRPr="001B45E4">
        <w:rPr>
          <w:rFonts w:cs="Arial"/>
          <w:bCs/>
          <w:szCs w:val="18"/>
        </w:rPr>
        <w:t>.</w:t>
      </w:r>
    </w:p>
  </w:footnote>
  <w:footnote w:id="168">
    <w:p w:rsidR="00F60A1E" w:rsidRPr="001B45E4" w:rsidRDefault="00F60A1E" w:rsidP="00F60A1E">
      <w:pPr>
        <w:pStyle w:val="FootnoteText"/>
        <w:spacing w:after="0"/>
        <w:jc w:val="both"/>
        <w:rPr>
          <w:rFonts w:cs="Arial"/>
          <w:szCs w:val="18"/>
        </w:rPr>
      </w:pPr>
      <w:r w:rsidRPr="001B45E4">
        <w:rPr>
          <w:rStyle w:val="FootnoteReference"/>
          <w:rFonts w:cs="Arial"/>
          <w:szCs w:val="18"/>
        </w:rPr>
        <w:footnoteRef/>
      </w:r>
      <w:r w:rsidRPr="001B45E4">
        <w:rPr>
          <w:rFonts w:cs="Arial"/>
          <w:szCs w:val="18"/>
        </w:rPr>
        <w:t xml:space="preserve"> Article 780 of the </w:t>
      </w:r>
      <w:hyperlink r:id="rId173" w:history="1">
        <w:r w:rsidRPr="001B45E4">
          <w:rPr>
            <w:rStyle w:val="Hyperlink"/>
            <w:rFonts w:cs="Arial"/>
            <w:szCs w:val="18"/>
          </w:rPr>
          <w:t>Judicial Code</w:t>
        </w:r>
      </w:hyperlink>
      <w:r w:rsidRPr="001B45E4">
        <w:rPr>
          <w:rFonts w:cs="Arial"/>
          <w:szCs w:val="18"/>
        </w:rPr>
        <w:t>.</w:t>
      </w:r>
    </w:p>
  </w:footnote>
  <w:footnote w:id="169">
    <w:p w:rsidR="00F60A1E" w:rsidRPr="00A36DEB" w:rsidRDefault="00F60A1E" w:rsidP="00F60A1E">
      <w:pPr>
        <w:pStyle w:val="FootnoteText"/>
        <w:spacing w:after="0"/>
        <w:jc w:val="both"/>
        <w:rPr>
          <w:rFonts w:cs="Arial"/>
        </w:rPr>
      </w:pPr>
      <w:r w:rsidRPr="001B45E4">
        <w:rPr>
          <w:rStyle w:val="FootnoteReference"/>
          <w:rFonts w:cs="Arial"/>
          <w:szCs w:val="18"/>
        </w:rPr>
        <w:footnoteRef/>
      </w:r>
      <w:r w:rsidRPr="001B45E4">
        <w:rPr>
          <w:rFonts w:cs="Arial"/>
          <w:szCs w:val="18"/>
        </w:rPr>
        <w:t xml:space="preserve"> Article 792 of the </w:t>
      </w:r>
      <w:hyperlink r:id="rId174" w:history="1">
        <w:r w:rsidRPr="001B45E4">
          <w:rPr>
            <w:rStyle w:val="Hyperlink"/>
            <w:rFonts w:cs="Arial"/>
            <w:szCs w:val="18"/>
          </w:rPr>
          <w:t>Judicial Code</w:t>
        </w:r>
      </w:hyperlink>
      <w:r w:rsidRPr="001B45E4">
        <w:rPr>
          <w:rFonts w:cs="Arial"/>
          <w:szCs w:val="18"/>
        </w:rPr>
        <w:t>.</w:t>
      </w:r>
    </w:p>
  </w:footnote>
  <w:footnote w:id="170">
    <w:p w:rsidR="00F60A1E" w:rsidRPr="001B45E4" w:rsidRDefault="00F60A1E" w:rsidP="00F60A1E">
      <w:pPr>
        <w:pStyle w:val="FootnoteText"/>
        <w:spacing w:after="0"/>
        <w:rPr>
          <w:rFonts w:cs="Arial"/>
          <w:szCs w:val="18"/>
        </w:rPr>
      </w:pPr>
      <w:r w:rsidRPr="001B45E4">
        <w:rPr>
          <w:rStyle w:val="FootnoteReference"/>
          <w:rFonts w:cs="Arial"/>
          <w:szCs w:val="18"/>
        </w:rPr>
        <w:footnoteRef/>
      </w:r>
      <w:r w:rsidRPr="001B45E4">
        <w:rPr>
          <w:rFonts w:cs="Arial"/>
          <w:szCs w:val="18"/>
        </w:rPr>
        <w:t xml:space="preserve"> Article 2 of the </w:t>
      </w:r>
      <w:hyperlink r:id="rId175" w:history="1">
        <w:r w:rsidRPr="001B45E4">
          <w:rPr>
            <w:rStyle w:val="Hyperlink"/>
            <w:rFonts w:cs="Arial"/>
            <w:szCs w:val="18"/>
          </w:rPr>
          <w:t>Act of 26 June 1990 on the protection of mentally ill persons</w:t>
        </w:r>
      </w:hyperlink>
      <w:r w:rsidRPr="001B45E4">
        <w:rPr>
          <w:rFonts w:cs="Arial"/>
          <w:szCs w:val="18"/>
        </w:rPr>
        <w:t>.</w:t>
      </w:r>
    </w:p>
  </w:footnote>
  <w:footnote w:id="171">
    <w:p w:rsidR="00F60A1E" w:rsidRPr="001B45E4" w:rsidRDefault="00F60A1E" w:rsidP="00F60A1E">
      <w:pPr>
        <w:pStyle w:val="FootnoteText"/>
        <w:spacing w:after="0"/>
        <w:rPr>
          <w:szCs w:val="18"/>
          <w:lang w:val="en-US"/>
        </w:rPr>
      </w:pPr>
      <w:r w:rsidRPr="001B45E4">
        <w:rPr>
          <w:rStyle w:val="FootnoteReference"/>
          <w:szCs w:val="18"/>
        </w:rPr>
        <w:footnoteRef/>
      </w:r>
      <w:r w:rsidRPr="001B45E4">
        <w:rPr>
          <w:szCs w:val="18"/>
        </w:rPr>
        <w:t xml:space="preserve"> </w:t>
      </w:r>
      <w:r w:rsidRPr="001B45E4">
        <w:rPr>
          <w:szCs w:val="18"/>
          <w:lang w:val="en-US"/>
        </w:rPr>
        <w:t xml:space="preserve">Articles 8, 12 and 19 </w:t>
      </w:r>
      <w:r w:rsidRPr="001B45E4">
        <w:rPr>
          <w:rFonts w:cs="Arial"/>
          <w:szCs w:val="18"/>
        </w:rPr>
        <w:t xml:space="preserve">of the </w:t>
      </w:r>
      <w:hyperlink r:id="rId176" w:history="1">
        <w:r w:rsidRPr="001B45E4">
          <w:rPr>
            <w:rStyle w:val="Hyperlink"/>
            <w:rFonts w:cs="Arial"/>
            <w:szCs w:val="18"/>
          </w:rPr>
          <w:t>Act of 26 June 1990 on the protection of mentally ill persons</w:t>
        </w:r>
      </w:hyperlink>
      <w:r w:rsidRPr="001B45E4">
        <w:rPr>
          <w:rFonts w:cs="Arial"/>
          <w:szCs w:val="18"/>
        </w:rPr>
        <w:t>.</w:t>
      </w:r>
    </w:p>
  </w:footnote>
  <w:footnote w:id="172">
    <w:p w:rsidR="00F60A1E" w:rsidRPr="001B45E4" w:rsidRDefault="00F60A1E" w:rsidP="00F60A1E">
      <w:pPr>
        <w:pStyle w:val="FootnoteText"/>
        <w:spacing w:after="0"/>
        <w:rPr>
          <w:rFonts w:cs="Arial"/>
          <w:szCs w:val="18"/>
        </w:rPr>
      </w:pPr>
      <w:r w:rsidRPr="001B45E4">
        <w:rPr>
          <w:rStyle w:val="FootnoteReference"/>
          <w:rFonts w:cs="Arial"/>
          <w:szCs w:val="18"/>
        </w:rPr>
        <w:footnoteRef/>
      </w:r>
      <w:r w:rsidRPr="001B45E4">
        <w:rPr>
          <w:rFonts w:cs="Arial"/>
          <w:szCs w:val="18"/>
        </w:rPr>
        <w:t xml:space="preserve"> Preliminary Title of the </w:t>
      </w:r>
      <w:hyperlink r:id="rId177" w:history="1">
        <w:r w:rsidRPr="001B45E4">
          <w:rPr>
            <w:rStyle w:val="Hyperlink"/>
            <w:rFonts w:cs="Arial"/>
            <w:szCs w:val="18"/>
          </w:rPr>
          <w:t>Youth Protection Act</w:t>
        </w:r>
      </w:hyperlink>
      <w:r w:rsidRPr="001B45E4">
        <w:rPr>
          <w:rFonts w:cs="Arial"/>
          <w:i/>
          <w:szCs w:val="18"/>
        </w:rPr>
        <w:t>.</w:t>
      </w:r>
    </w:p>
  </w:footnote>
  <w:footnote w:id="173">
    <w:p w:rsidR="00F60A1E" w:rsidRPr="001B45E4" w:rsidRDefault="00F60A1E" w:rsidP="00F60A1E">
      <w:pPr>
        <w:pStyle w:val="FootnoteText"/>
        <w:spacing w:after="0"/>
        <w:rPr>
          <w:szCs w:val="18"/>
          <w:lang w:val="en-US"/>
        </w:rPr>
      </w:pPr>
      <w:r w:rsidRPr="001B45E4">
        <w:rPr>
          <w:rStyle w:val="FootnoteReference"/>
          <w:szCs w:val="18"/>
        </w:rPr>
        <w:footnoteRef/>
      </w:r>
      <w:r w:rsidRPr="001B45E4">
        <w:rPr>
          <w:szCs w:val="18"/>
        </w:rPr>
        <w:t xml:space="preserve"> </w:t>
      </w:r>
      <w:r w:rsidRPr="001B45E4">
        <w:rPr>
          <w:szCs w:val="18"/>
          <w:lang w:val="en-US"/>
        </w:rPr>
        <w:t xml:space="preserve">Article 7 </w:t>
      </w:r>
      <w:r w:rsidRPr="001B45E4">
        <w:rPr>
          <w:rFonts w:cs="Arial"/>
          <w:szCs w:val="18"/>
        </w:rPr>
        <w:t xml:space="preserve">of the </w:t>
      </w:r>
      <w:hyperlink r:id="rId178" w:history="1">
        <w:r w:rsidRPr="001B45E4">
          <w:rPr>
            <w:rStyle w:val="Hyperlink"/>
            <w:rFonts w:cs="Arial"/>
            <w:szCs w:val="18"/>
          </w:rPr>
          <w:t>Act of 26 June 1990 on the protection of mentally ill persons</w:t>
        </w:r>
      </w:hyperlink>
      <w:r w:rsidRPr="001B45E4">
        <w:rPr>
          <w:rFonts w:cs="Arial"/>
          <w:szCs w:val="18"/>
        </w:rPr>
        <w:t>.</w:t>
      </w:r>
    </w:p>
  </w:footnote>
  <w:footnote w:id="174">
    <w:p w:rsidR="00F60A1E" w:rsidRPr="001B45E4" w:rsidRDefault="00F60A1E" w:rsidP="00F60A1E">
      <w:pPr>
        <w:pStyle w:val="FootnoteText"/>
        <w:spacing w:after="0"/>
        <w:jc w:val="both"/>
        <w:rPr>
          <w:rFonts w:cs="Arial"/>
          <w:szCs w:val="18"/>
        </w:rPr>
      </w:pPr>
      <w:r w:rsidRPr="001B45E4">
        <w:rPr>
          <w:rStyle w:val="FootnoteReference"/>
          <w:rFonts w:cs="Arial"/>
          <w:szCs w:val="18"/>
        </w:rPr>
        <w:footnoteRef/>
      </w:r>
      <w:r w:rsidRPr="001B45E4">
        <w:rPr>
          <w:rFonts w:cs="Arial"/>
          <w:szCs w:val="18"/>
        </w:rPr>
        <w:t xml:space="preserve"> Article 10 of the </w:t>
      </w:r>
      <w:hyperlink r:id="rId179" w:history="1">
        <w:r w:rsidRPr="001B45E4">
          <w:rPr>
            <w:rStyle w:val="Hyperlink"/>
            <w:rFonts w:cs="Arial"/>
            <w:szCs w:val="18"/>
          </w:rPr>
          <w:t>Youth Protection Act</w:t>
        </w:r>
      </w:hyperlink>
      <w:r w:rsidRPr="001B45E4">
        <w:rPr>
          <w:rFonts w:cs="Arial"/>
          <w:szCs w:val="18"/>
          <w:lang w:val="en-US"/>
        </w:rPr>
        <w:t xml:space="preserve"> of 8 April 1965</w:t>
      </w:r>
      <w:r w:rsidRPr="001B45E4">
        <w:rPr>
          <w:rFonts w:cs="Arial"/>
          <w:szCs w:val="18"/>
        </w:rPr>
        <w:t>.</w:t>
      </w:r>
    </w:p>
  </w:footnote>
  <w:footnote w:id="175">
    <w:p w:rsidR="00F60A1E" w:rsidRPr="00A36DEB" w:rsidRDefault="00F60A1E" w:rsidP="00F60A1E">
      <w:pPr>
        <w:pStyle w:val="FootnoteText"/>
        <w:spacing w:after="0"/>
        <w:rPr>
          <w:lang w:val="en-US"/>
        </w:rPr>
      </w:pPr>
      <w:r w:rsidRPr="001B45E4">
        <w:rPr>
          <w:rStyle w:val="FootnoteReference"/>
          <w:szCs w:val="18"/>
        </w:rPr>
        <w:footnoteRef/>
      </w:r>
      <w:r w:rsidRPr="001B45E4">
        <w:rPr>
          <w:szCs w:val="18"/>
        </w:rPr>
        <w:t xml:space="preserve"> </w:t>
      </w:r>
      <w:r w:rsidRPr="001B45E4">
        <w:rPr>
          <w:szCs w:val="18"/>
          <w:lang w:val="en-US"/>
        </w:rPr>
        <w:t xml:space="preserve">Article 8 of the </w:t>
      </w:r>
      <w:hyperlink r:id="rId180" w:history="1">
        <w:r w:rsidRPr="001B45E4">
          <w:rPr>
            <w:rStyle w:val="Hyperlink"/>
            <w:rFonts w:cs="Arial"/>
            <w:szCs w:val="18"/>
          </w:rPr>
          <w:t>Act of 26 June 1990 on the protection of mentally ill persons</w:t>
        </w:r>
      </w:hyperlink>
      <w:r w:rsidRPr="001B45E4">
        <w:rPr>
          <w:rFonts w:cs="Arial"/>
          <w:szCs w:val="18"/>
        </w:rPr>
        <w:t>.</w:t>
      </w:r>
    </w:p>
  </w:footnote>
  <w:footnote w:id="176">
    <w:p w:rsidR="00F60A1E" w:rsidRPr="001B45E4" w:rsidRDefault="00F60A1E" w:rsidP="00F60A1E">
      <w:pPr>
        <w:pStyle w:val="FootnoteText"/>
        <w:spacing w:after="0"/>
        <w:rPr>
          <w:rFonts w:cs="Arial"/>
          <w:szCs w:val="18"/>
          <w:lang w:val="en-US"/>
        </w:rPr>
      </w:pPr>
      <w:r w:rsidRPr="001B45E4">
        <w:rPr>
          <w:rStyle w:val="FootnoteReference"/>
          <w:rFonts w:cs="Arial"/>
          <w:szCs w:val="18"/>
        </w:rPr>
        <w:footnoteRef/>
      </w:r>
      <w:r w:rsidRPr="001B45E4">
        <w:rPr>
          <w:rFonts w:cs="Arial"/>
          <w:szCs w:val="18"/>
        </w:rPr>
        <w:t xml:space="preserve"> </w:t>
      </w:r>
      <w:r w:rsidRPr="001B45E4">
        <w:rPr>
          <w:rFonts w:cs="Arial"/>
          <w:szCs w:val="18"/>
          <w:lang w:val="en-US"/>
        </w:rPr>
        <w:t xml:space="preserve">Articles 11 and 12 of </w:t>
      </w:r>
      <w:r w:rsidRPr="001B45E4">
        <w:rPr>
          <w:rFonts w:cs="Arial"/>
          <w:szCs w:val="18"/>
        </w:rPr>
        <w:t xml:space="preserve">Flemish Decree of 7 May 2004 on minors’ </w:t>
      </w:r>
      <w:r w:rsidRPr="001B45E4">
        <w:rPr>
          <w:rFonts w:cs="Arial"/>
          <w:szCs w:val="18"/>
          <w:lang w:val="en-US"/>
        </w:rPr>
        <w:t xml:space="preserve">legal </w:t>
      </w:r>
      <w:r w:rsidRPr="001B45E4">
        <w:rPr>
          <w:rFonts w:cs="Arial"/>
          <w:szCs w:val="18"/>
        </w:rPr>
        <w:t xml:space="preserve">status </w:t>
      </w:r>
      <w:r w:rsidRPr="001B45E4">
        <w:rPr>
          <w:rFonts w:cs="Arial"/>
          <w:szCs w:val="18"/>
          <w:lang w:val="en-US"/>
        </w:rPr>
        <w:t>in</w:t>
      </w:r>
      <w:r w:rsidRPr="001B45E4">
        <w:rPr>
          <w:rFonts w:cs="Arial"/>
          <w:szCs w:val="18"/>
        </w:rPr>
        <w:t xml:space="preserve"> integrated youth </w:t>
      </w:r>
      <w:r w:rsidRPr="001B45E4">
        <w:rPr>
          <w:rFonts w:cs="Arial"/>
          <w:szCs w:val="18"/>
          <w:lang w:val="en-US"/>
        </w:rPr>
        <w:t>services</w:t>
      </w:r>
      <w:r w:rsidRPr="001B45E4">
        <w:rPr>
          <w:rFonts w:cs="Arial"/>
          <w:szCs w:val="18"/>
        </w:rPr>
        <w:t>.</w:t>
      </w:r>
    </w:p>
  </w:footnote>
  <w:footnote w:id="177">
    <w:p w:rsidR="00F60A1E" w:rsidRPr="001B45E4" w:rsidRDefault="00F60A1E" w:rsidP="00F60A1E">
      <w:pPr>
        <w:pStyle w:val="FootnoteText"/>
        <w:spacing w:after="0"/>
        <w:jc w:val="both"/>
        <w:rPr>
          <w:rFonts w:cs="Arial"/>
          <w:szCs w:val="18"/>
        </w:rPr>
      </w:pPr>
      <w:r w:rsidRPr="001B45E4">
        <w:rPr>
          <w:rStyle w:val="FootnoteReference"/>
          <w:rFonts w:cs="Arial"/>
          <w:szCs w:val="18"/>
        </w:rPr>
        <w:footnoteRef/>
      </w:r>
      <w:r w:rsidRPr="001B45E4">
        <w:rPr>
          <w:rFonts w:cs="Arial"/>
          <w:szCs w:val="18"/>
        </w:rPr>
        <w:t xml:space="preserve"> Articles 4 and 5 of the </w:t>
      </w:r>
      <w:hyperlink r:id="rId181" w:history="1">
        <w:r w:rsidRPr="001B45E4">
          <w:rPr>
            <w:rStyle w:val="Hyperlink"/>
            <w:rFonts w:cs="Arial"/>
            <w:szCs w:val="18"/>
          </w:rPr>
          <w:t>Flemish Decree of 7 May 2004 on minors</w:t>
        </w:r>
        <w:r w:rsidRPr="001B45E4">
          <w:rPr>
            <w:rStyle w:val="Hyperlink"/>
            <w:rFonts w:cs="Arial"/>
            <w:szCs w:val="18"/>
            <w:lang w:val="en-US"/>
          </w:rPr>
          <w:t>’ legal</w:t>
        </w:r>
        <w:r w:rsidRPr="001B45E4">
          <w:rPr>
            <w:rStyle w:val="Hyperlink"/>
            <w:rFonts w:cs="Arial"/>
            <w:szCs w:val="18"/>
          </w:rPr>
          <w:t xml:space="preserve"> status </w:t>
        </w:r>
        <w:r w:rsidRPr="001B45E4">
          <w:rPr>
            <w:rStyle w:val="Hyperlink"/>
            <w:rFonts w:cs="Arial"/>
            <w:szCs w:val="18"/>
            <w:lang w:val="en-US"/>
          </w:rPr>
          <w:t>in</w:t>
        </w:r>
        <w:r w:rsidRPr="001B45E4">
          <w:rPr>
            <w:rStyle w:val="Hyperlink"/>
            <w:rFonts w:cs="Arial"/>
            <w:szCs w:val="18"/>
          </w:rPr>
          <w:t xml:space="preserve"> integrated youth </w:t>
        </w:r>
        <w:r w:rsidRPr="001B45E4">
          <w:rPr>
            <w:rStyle w:val="Hyperlink"/>
            <w:rFonts w:cs="Arial"/>
            <w:szCs w:val="18"/>
            <w:lang w:val="en-US"/>
          </w:rPr>
          <w:t>services</w:t>
        </w:r>
      </w:hyperlink>
      <w:r w:rsidRPr="001B45E4">
        <w:rPr>
          <w:rFonts w:cs="Arial"/>
          <w:szCs w:val="18"/>
        </w:rPr>
        <w:t>.</w:t>
      </w:r>
    </w:p>
  </w:footnote>
  <w:footnote w:id="178">
    <w:p w:rsidR="00F60A1E" w:rsidRPr="001B45E4" w:rsidRDefault="00F60A1E" w:rsidP="00F60A1E">
      <w:pPr>
        <w:pStyle w:val="FootnoteText"/>
        <w:spacing w:after="0"/>
        <w:jc w:val="both"/>
        <w:rPr>
          <w:rFonts w:cs="Arial"/>
          <w:szCs w:val="18"/>
        </w:rPr>
      </w:pPr>
      <w:r w:rsidRPr="001B45E4">
        <w:rPr>
          <w:rStyle w:val="FootnoteReference"/>
          <w:rFonts w:cs="Arial"/>
          <w:szCs w:val="18"/>
        </w:rPr>
        <w:footnoteRef/>
      </w:r>
      <w:r w:rsidRPr="001B45E4">
        <w:rPr>
          <w:rFonts w:cs="Arial"/>
          <w:szCs w:val="18"/>
        </w:rPr>
        <w:t xml:space="preserve"> </w:t>
      </w:r>
      <w:r w:rsidRPr="001B45E4">
        <w:rPr>
          <w:rFonts w:cs="Arial"/>
          <w:szCs w:val="18"/>
          <w:lang w:val="en-US"/>
        </w:rPr>
        <w:t xml:space="preserve">Article 47 </w:t>
      </w:r>
      <w:r w:rsidRPr="001B45E4">
        <w:rPr>
          <w:rFonts w:cs="Arial"/>
          <w:szCs w:val="18"/>
        </w:rPr>
        <w:t xml:space="preserve">of the Flemish Decree of </w:t>
      </w:r>
      <w:r w:rsidRPr="001B45E4">
        <w:rPr>
          <w:rFonts w:cs="Arial"/>
          <w:szCs w:val="18"/>
          <w:lang w:val="en-US"/>
        </w:rPr>
        <w:t>12 July</w:t>
      </w:r>
      <w:r w:rsidRPr="001B45E4">
        <w:rPr>
          <w:rFonts w:cs="Arial"/>
          <w:szCs w:val="18"/>
        </w:rPr>
        <w:t xml:space="preserve"> 20</w:t>
      </w:r>
      <w:r w:rsidRPr="001B45E4">
        <w:rPr>
          <w:rFonts w:cs="Arial"/>
          <w:szCs w:val="18"/>
          <w:lang w:val="en-US"/>
        </w:rPr>
        <w:t>13</w:t>
      </w:r>
      <w:r w:rsidRPr="001B45E4">
        <w:rPr>
          <w:rFonts w:cs="Arial"/>
          <w:szCs w:val="18"/>
        </w:rPr>
        <w:t xml:space="preserve"> on integrated youth </w:t>
      </w:r>
      <w:r w:rsidRPr="001B45E4">
        <w:rPr>
          <w:rFonts w:cs="Arial"/>
          <w:szCs w:val="18"/>
          <w:lang w:val="en-US"/>
        </w:rPr>
        <w:t>welfare</w:t>
      </w:r>
      <w:r w:rsidRPr="001B45E4">
        <w:rPr>
          <w:rFonts w:cs="Arial"/>
          <w:szCs w:val="18"/>
        </w:rPr>
        <w:t>.</w:t>
      </w:r>
    </w:p>
  </w:footnote>
  <w:footnote w:id="179">
    <w:p w:rsidR="00F60A1E" w:rsidRPr="001B45E4" w:rsidRDefault="00F60A1E" w:rsidP="00F60A1E">
      <w:pPr>
        <w:pStyle w:val="FootnoteText"/>
        <w:spacing w:after="0"/>
        <w:rPr>
          <w:rFonts w:cs="Arial"/>
          <w:szCs w:val="18"/>
          <w:lang w:val="en-US"/>
        </w:rPr>
      </w:pPr>
      <w:r w:rsidRPr="001B45E4">
        <w:rPr>
          <w:rStyle w:val="FootnoteReference"/>
          <w:rFonts w:cs="Arial"/>
          <w:szCs w:val="18"/>
        </w:rPr>
        <w:footnoteRef/>
      </w:r>
      <w:r w:rsidRPr="001B45E4">
        <w:rPr>
          <w:rFonts w:cs="Arial"/>
          <w:szCs w:val="18"/>
        </w:rPr>
        <w:t xml:space="preserve"> </w:t>
      </w:r>
      <w:r w:rsidRPr="001B45E4">
        <w:rPr>
          <w:rFonts w:cs="Arial"/>
          <w:szCs w:val="18"/>
          <w:lang w:val="en-US"/>
        </w:rPr>
        <w:t xml:space="preserve">Articles 5 and 37 of the </w:t>
      </w:r>
      <w:hyperlink r:id="rId182" w:history="1">
        <w:r w:rsidRPr="001B45E4">
          <w:rPr>
            <w:rStyle w:val="Hyperlink"/>
            <w:rFonts w:cs="Arial"/>
            <w:szCs w:val="18"/>
          </w:rPr>
          <w:t>French Community Decree of 4 March 1991 on youth welfare</w:t>
        </w:r>
      </w:hyperlink>
      <w:r w:rsidRPr="001B45E4">
        <w:rPr>
          <w:rFonts w:cs="Arial"/>
          <w:szCs w:val="18"/>
        </w:rPr>
        <w:t>.</w:t>
      </w:r>
    </w:p>
  </w:footnote>
  <w:footnote w:id="180">
    <w:p w:rsidR="00F60A1E" w:rsidRPr="001B45E4" w:rsidRDefault="00F60A1E" w:rsidP="00F60A1E">
      <w:pPr>
        <w:pStyle w:val="FootnoteText"/>
        <w:spacing w:after="0"/>
        <w:rPr>
          <w:rFonts w:cs="Arial"/>
          <w:szCs w:val="18"/>
          <w:lang w:val="en-US"/>
        </w:rPr>
      </w:pPr>
      <w:r w:rsidRPr="001B45E4">
        <w:rPr>
          <w:rStyle w:val="FootnoteReference"/>
          <w:rFonts w:cs="Arial"/>
          <w:szCs w:val="18"/>
        </w:rPr>
        <w:footnoteRef/>
      </w:r>
      <w:r w:rsidRPr="001B45E4">
        <w:rPr>
          <w:rFonts w:cs="Arial"/>
          <w:szCs w:val="18"/>
        </w:rPr>
        <w:t xml:space="preserve"> </w:t>
      </w:r>
      <w:r w:rsidRPr="001B45E4">
        <w:rPr>
          <w:rFonts w:cs="Arial"/>
          <w:szCs w:val="18"/>
          <w:lang w:val="en-US"/>
        </w:rPr>
        <w:t xml:space="preserve">Article 12 of the </w:t>
      </w:r>
      <w:hyperlink r:id="rId183" w:history="1">
        <w:r w:rsidRPr="001B45E4">
          <w:rPr>
            <w:rStyle w:val="Hyperlink"/>
            <w:rFonts w:cs="Arial"/>
            <w:szCs w:val="18"/>
          </w:rPr>
          <w:t>French Community Decree of 4 March 1991 on youth welfare</w:t>
        </w:r>
      </w:hyperlink>
      <w:r w:rsidRPr="001B45E4">
        <w:rPr>
          <w:rFonts w:cs="Arial"/>
          <w:szCs w:val="18"/>
        </w:rPr>
        <w:t>.</w:t>
      </w:r>
    </w:p>
  </w:footnote>
  <w:footnote w:id="181">
    <w:p w:rsidR="00F60A1E" w:rsidRPr="001B45E4" w:rsidRDefault="00F60A1E" w:rsidP="00F60A1E">
      <w:pPr>
        <w:pStyle w:val="FootnoteText"/>
        <w:spacing w:after="0"/>
        <w:jc w:val="both"/>
        <w:rPr>
          <w:rFonts w:cs="Arial"/>
          <w:szCs w:val="18"/>
        </w:rPr>
      </w:pPr>
      <w:r w:rsidRPr="001B45E4">
        <w:rPr>
          <w:rStyle w:val="FootnoteReference"/>
          <w:rFonts w:cs="Arial"/>
          <w:szCs w:val="18"/>
        </w:rPr>
        <w:footnoteRef/>
      </w:r>
      <w:r w:rsidRPr="001B45E4">
        <w:rPr>
          <w:rFonts w:cs="Arial"/>
          <w:szCs w:val="18"/>
        </w:rPr>
        <w:t xml:space="preserve"> Article 7 of the </w:t>
      </w:r>
      <w:hyperlink r:id="rId184" w:history="1">
        <w:r w:rsidRPr="001B45E4">
          <w:rPr>
            <w:rStyle w:val="Hyperlink"/>
            <w:rFonts w:cs="Arial"/>
            <w:szCs w:val="18"/>
          </w:rPr>
          <w:t>French Community Decree of 4 March 1991 on youth welfare</w:t>
        </w:r>
      </w:hyperlink>
      <w:r w:rsidRPr="001B45E4">
        <w:rPr>
          <w:rFonts w:cs="Arial"/>
          <w:szCs w:val="18"/>
        </w:rPr>
        <w:t>.</w:t>
      </w:r>
    </w:p>
  </w:footnote>
  <w:footnote w:id="182">
    <w:p w:rsidR="00F60A1E" w:rsidRPr="001B45E4" w:rsidRDefault="00F60A1E" w:rsidP="00F60A1E">
      <w:pPr>
        <w:pStyle w:val="FootnoteText"/>
        <w:spacing w:after="0"/>
        <w:rPr>
          <w:rFonts w:cs="Arial"/>
          <w:szCs w:val="18"/>
          <w:lang w:val="en-US"/>
        </w:rPr>
      </w:pPr>
      <w:r w:rsidRPr="001B45E4">
        <w:rPr>
          <w:rStyle w:val="FootnoteReference"/>
          <w:rFonts w:cs="Arial"/>
          <w:szCs w:val="18"/>
        </w:rPr>
        <w:footnoteRef/>
      </w:r>
      <w:r w:rsidRPr="001B45E4">
        <w:rPr>
          <w:rFonts w:cs="Arial"/>
          <w:szCs w:val="18"/>
        </w:rPr>
        <w:t xml:space="preserve"> </w:t>
      </w:r>
      <w:r w:rsidRPr="001B45E4">
        <w:rPr>
          <w:rFonts w:cs="Arial"/>
          <w:szCs w:val="18"/>
          <w:lang w:val="en-US"/>
        </w:rPr>
        <w:t xml:space="preserve">Articles 37, 38 and 39 </w:t>
      </w:r>
      <w:r w:rsidRPr="001B45E4">
        <w:rPr>
          <w:rFonts w:cs="Arial"/>
          <w:szCs w:val="18"/>
        </w:rPr>
        <w:t xml:space="preserve">of the </w:t>
      </w:r>
      <w:hyperlink r:id="rId185" w:history="1">
        <w:r w:rsidRPr="001B45E4">
          <w:rPr>
            <w:rStyle w:val="Hyperlink"/>
            <w:rFonts w:cs="Arial"/>
            <w:szCs w:val="18"/>
          </w:rPr>
          <w:t>French Community Decree of 4 March 1991 on youth welfare</w:t>
        </w:r>
      </w:hyperlink>
      <w:r w:rsidRPr="001B45E4">
        <w:rPr>
          <w:rFonts w:cs="Arial"/>
          <w:szCs w:val="18"/>
        </w:rPr>
        <w:t>.</w:t>
      </w:r>
    </w:p>
  </w:footnote>
  <w:footnote w:id="183">
    <w:p w:rsidR="00F60A1E" w:rsidRPr="001B45E4" w:rsidRDefault="00F60A1E" w:rsidP="00F60A1E">
      <w:pPr>
        <w:pStyle w:val="FootnoteText"/>
        <w:spacing w:after="0"/>
        <w:rPr>
          <w:rFonts w:cs="Arial"/>
          <w:szCs w:val="18"/>
        </w:rPr>
      </w:pPr>
      <w:r w:rsidRPr="001B45E4">
        <w:rPr>
          <w:rStyle w:val="FootnoteReference"/>
          <w:rFonts w:cs="Arial"/>
          <w:szCs w:val="18"/>
        </w:rPr>
        <w:footnoteRef/>
      </w:r>
      <w:r w:rsidRPr="001B45E4">
        <w:rPr>
          <w:rFonts w:cs="Arial"/>
          <w:szCs w:val="18"/>
        </w:rPr>
        <w:t xml:space="preserve"> Preliminary Title of the </w:t>
      </w:r>
      <w:hyperlink r:id="rId186" w:history="1">
        <w:r w:rsidRPr="001B45E4">
          <w:rPr>
            <w:rStyle w:val="Hyperlink"/>
            <w:rFonts w:cs="Arial"/>
            <w:szCs w:val="18"/>
          </w:rPr>
          <w:t>Youth Protection Act</w:t>
        </w:r>
      </w:hyperlink>
      <w:r w:rsidRPr="001B45E4">
        <w:rPr>
          <w:rFonts w:cs="Arial"/>
          <w:i/>
          <w:szCs w:val="18"/>
        </w:rPr>
        <w:t>.</w:t>
      </w:r>
    </w:p>
  </w:footnote>
  <w:footnote w:id="184">
    <w:p w:rsidR="00F60A1E" w:rsidRPr="00D3341F" w:rsidRDefault="00F60A1E" w:rsidP="00F60A1E">
      <w:pPr>
        <w:pStyle w:val="FootnoteText"/>
        <w:spacing w:after="0"/>
        <w:rPr>
          <w:sz w:val="16"/>
          <w:szCs w:val="16"/>
          <w:lang w:val="en-US"/>
        </w:rPr>
      </w:pPr>
      <w:r w:rsidRPr="001B45E4">
        <w:rPr>
          <w:rStyle w:val="FootnoteReference"/>
          <w:szCs w:val="18"/>
        </w:rPr>
        <w:footnoteRef/>
      </w:r>
      <w:r w:rsidRPr="001B45E4">
        <w:rPr>
          <w:szCs w:val="18"/>
        </w:rPr>
        <w:t xml:space="preserve"> Sociale dienst voor gerechtelijke jeugdhulp</w:t>
      </w:r>
      <w:r w:rsidRPr="001B45E4">
        <w:rPr>
          <w:szCs w:val="18"/>
          <w:lang w:val="en-US"/>
        </w:rPr>
        <w:t xml:space="preserve"> (Flemish Community) and</w:t>
      </w:r>
      <w:r w:rsidRPr="001B45E4">
        <w:rPr>
          <w:szCs w:val="18"/>
        </w:rPr>
        <w:t xml:space="preserve"> </w:t>
      </w:r>
      <w:r w:rsidRPr="001B45E4">
        <w:rPr>
          <w:szCs w:val="18"/>
          <w:lang w:val="en-US"/>
        </w:rPr>
        <w:t>Services de Protection Judiciaire (French Community).</w:t>
      </w:r>
    </w:p>
  </w:footnote>
  <w:footnote w:id="185">
    <w:p w:rsidR="00F60A1E" w:rsidRPr="001B45E4" w:rsidRDefault="00F60A1E" w:rsidP="00F60A1E">
      <w:pPr>
        <w:pStyle w:val="FootnoteText"/>
        <w:spacing w:after="0"/>
        <w:jc w:val="both"/>
        <w:rPr>
          <w:rFonts w:cs="Arial"/>
          <w:szCs w:val="18"/>
        </w:rPr>
      </w:pPr>
      <w:r w:rsidRPr="001B45E4">
        <w:rPr>
          <w:rStyle w:val="FootnoteReference"/>
          <w:rFonts w:cs="Arial"/>
          <w:szCs w:val="18"/>
        </w:rPr>
        <w:footnoteRef/>
      </w:r>
      <w:r w:rsidRPr="001B45E4">
        <w:rPr>
          <w:rFonts w:cs="Arial"/>
          <w:szCs w:val="18"/>
        </w:rPr>
        <w:t xml:space="preserve"> Article 10 of the </w:t>
      </w:r>
      <w:hyperlink r:id="rId187" w:history="1">
        <w:r w:rsidRPr="001B45E4">
          <w:rPr>
            <w:rStyle w:val="Hyperlink"/>
            <w:rFonts w:cs="Arial"/>
            <w:szCs w:val="18"/>
          </w:rPr>
          <w:t>Youth Protection Act</w:t>
        </w:r>
      </w:hyperlink>
      <w:r w:rsidRPr="001B45E4">
        <w:rPr>
          <w:rFonts w:cs="Arial"/>
          <w:szCs w:val="18"/>
          <w:lang w:val="en-US"/>
        </w:rPr>
        <w:t xml:space="preserve"> of 8 April 1965</w:t>
      </w:r>
      <w:r w:rsidRPr="001B45E4">
        <w:rPr>
          <w:rFonts w:cs="Arial"/>
          <w:szCs w:val="18"/>
        </w:rPr>
        <w:t>.</w:t>
      </w:r>
    </w:p>
  </w:footnote>
  <w:footnote w:id="186">
    <w:p w:rsidR="00F60A1E" w:rsidRPr="001B45E4" w:rsidRDefault="00F60A1E" w:rsidP="00F60A1E">
      <w:pPr>
        <w:pStyle w:val="FootnoteText"/>
        <w:spacing w:after="0"/>
        <w:rPr>
          <w:rFonts w:cs="Arial"/>
          <w:szCs w:val="18"/>
          <w:lang w:val="en-US"/>
        </w:rPr>
      </w:pPr>
      <w:r w:rsidRPr="001B45E4">
        <w:rPr>
          <w:rStyle w:val="FootnoteReference"/>
          <w:rFonts w:cs="Arial"/>
          <w:szCs w:val="18"/>
        </w:rPr>
        <w:footnoteRef/>
      </w:r>
      <w:r w:rsidRPr="001B45E4">
        <w:rPr>
          <w:rFonts w:cs="Arial"/>
          <w:szCs w:val="18"/>
        </w:rPr>
        <w:t xml:space="preserve"> </w:t>
      </w:r>
      <w:r w:rsidRPr="001B45E4">
        <w:rPr>
          <w:rFonts w:cs="Arial"/>
          <w:szCs w:val="18"/>
          <w:lang w:val="en-US"/>
        </w:rPr>
        <w:t xml:space="preserve">Article 15  </w:t>
      </w:r>
      <w:hyperlink r:id="rId188" w:history="1">
        <w:r w:rsidRPr="001B45E4">
          <w:rPr>
            <w:rStyle w:val="Hyperlink"/>
            <w:rFonts w:cs="Arial"/>
            <w:szCs w:val="18"/>
            <w:lang w:val="en-US"/>
          </w:rPr>
          <w:t>Act of 24 June 2013 on municipal administrative sanctions</w:t>
        </w:r>
      </w:hyperlink>
      <w:r w:rsidRPr="001B45E4">
        <w:rPr>
          <w:rFonts w:cs="Arial"/>
          <w:szCs w:val="18"/>
          <w:lang w:val="en-US"/>
        </w:rPr>
        <w:t>.</w:t>
      </w:r>
    </w:p>
  </w:footnote>
  <w:footnote w:id="187">
    <w:p w:rsidR="00F60A1E" w:rsidRPr="001B45E4" w:rsidRDefault="00F60A1E" w:rsidP="00F60A1E">
      <w:pPr>
        <w:pStyle w:val="FootnoteText"/>
        <w:spacing w:after="0"/>
        <w:rPr>
          <w:rFonts w:cs="Arial"/>
          <w:szCs w:val="18"/>
          <w:lang w:val="en-US"/>
        </w:rPr>
      </w:pPr>
      <w:r w:rsidRPr="001B45E4">
        <w:rPr>
          <w:rStyle w:val="FootnoteReference"/>
          <w:rFonts w:cs="Arial"/>
          <w:szCs w:val="18"/>
        </w:rPr>
        <w:footnoteRef/>
      </w:r>
      <w:r w:rsidRPr="001B45E4">
        <w:rPr>
          <w:rFonts w:cs="Arial"/>
          <w:szCs w:val="18"/>
        </w:rPr>
        <w:t xml:space="preserve"> </w:t>
      </w:r>
      <w:r w:rsidRPr="001B45E4">
        <w:rPr>
          <w:rFonts w:cs="Arial"/>
          <w:szCs w:val="18"/>
          <w:lang w:val="en-US"/>
        </w:rPr>
        <w:t xml:space="preserve">Article 31 of the </w:t>
      </w:r>
      <w:hyperlink r:id="rId189" w:history="1">
        <w:r w:rsidRPr="001B45E4">
          <w:rPr>
            <w:rStyle w:val="Hyperlink"/>
            <w:rFonts w:cs="Arial"/>
            <w:szCs w:val="18"/>
            <w:lang w:val="en-US"/>
          </w:rPr>
          <w:t>Act of 21 December 1998 on safety during football matches</w:t>
        </w:r>
      </w:hyperlink>
      <w:r w:rsidRPr="001B45E4">
        <w:rPr>
          <w:rFonts w:cs="Arial"/>
          <w:szCs w:val="18"/>
          <w:lang w:val="en-US"/>
        </w:rPr>
        <w:t xml:space="preserve"> and Article 31 of the </w:t>
      </w:r>
      <w:hyperlink r:id="rId190" w:history="1">
        <w:r w:rsidRPr="001B45E4">
          <w:rPr>
            <w:rStyle w:val="Hyperlink"/>
            <w:rFonts w:cs="Arial"/>
            <w:szCs w:val="18"/>
            <w:lang w:val="en-US"/>
          </w:rPr>
          <w:t>Act of 24 June 2013 on municipal administrative sanctions</w:t>
        </w:r>
      </w:hyperlink>
      <w:r w:rsidRPr="001B45E4">
        <w:rPr>
          <w:rFonts w:cs="Arial"/>
          <w:szCs w:val="18"/>
          <w:lang w:val="en-US"/>
        </w:rPr>
        <w:t>.</w:t>
      </w:r>
    </w:p>
  </w:footnote>
  <w:footnote w:id="188">
    <w:p w:rsidR="00F60A1E" w:rsidRPr="001B45E4" w:rsidRDefault="00F60A1E" w:rsidP="00F60A1E">
      <w:pPr>
        <w:pStyle w:val="FootnoteText"/>
        <w:rPr>
          <w:rFonts w:cs="Arial"/>
          <w:szCs w:val="18"/>
        </w:rPr>
      </w:pPr>
      <w:r w:rsidRPr="001B45E4">
        <w:rPr>
          <w:rStyle w:val="FootnoteReference"/>
          <w:rFonts w:cs="Arial"/>
          <w:szCs w:val="18"/>
        </w:rPr>
        <w:footnoteRef/>
      </w:r>
      <w:r w:rsidRPr="001B45E4">
        <w:rPr>
          <w:rFonts w:cs="Arial"/>
          <w:szCs w:val="18"/>
        </w:rPr>
        <w:t xml:space="preserve"> Preliminary Title of the </w:t>
      </w:r>
      <w:hyperlink r:id="rId191" w:history="1">
        <w:r w:rsidRPr="001B45E4">
          <w:rPr>
            <w:rStyle w:val="Hyperlink"/>
            <w:rFonts w:cs="Arial"/>
            <w:szCs w:val="18"/>
          </w:rPr>
          <w:t>Youth Protection Act</w:t>
        </w:r>
      </w:hyperlink>
      <w:r w:rsidRPr="001B45E4">
        <w:rPr>
          <w:rFonts w:cs="Arial"/>
          <w:i/>
          <w:szCs w:val="18"/>
        </w:rPr>
        <w:t>.</w:t>
      </w:r>
    </w:p>
  </w:footnote>
  <w:footnote w:id="189">
    <w:p w:rsidR="00F60A1E" w:rsidRPr="00A36DEB" w:rsidRDefault="00F60A1E" w:rsidP="00F60A1E">
      <w:pPr>
        <w:pStyle w:val="FootnoteText"/>
        <w:spacing w:after="0"/>
        <w:jc w:val="both"/>
        <w:rPr>
          <w:rFonts w:cs="Arial"/>
        </w:rPr>
      </w:pPr>
      <w:r w:rsidRPr="001B45E4">
        <w:rPr>
          <w:rStyle w:val="FootnoteReference"/>
          <w:rFonts w:cs="Arial"/>
          <w:szCs w:val="18"/>
        </w:rPr>
        <w:footnoteRef/>
      </w:r>
      <w:r w:rsidRPr="001B45E4">
        <w:rPr>
          <w:rFonts w:cs="Arial"/>
          <w:szCs w:val="18"/>
        </w:rPr>
        <w:t xml:space="preserve"> Article 10 of the </w:t>
      </w:r>
      <w:hyperlink r:id="rId192" w:history="1">
        <w:r w:rsidRPr="001B45E4">
          <w:rPr>
            <w:rStyle w:val="Hyperlink"/>
            <w:rFonts w:cs="Arial"/>
            <w:szCs w:val="18"/>
          </w:rPr>
          <w:t>Youth Protection Act</w:t>
        </w:r>
      </w:hyperlink>
      <w:r w:rsidRPr="001B45E4">
        <w:rPr>
          <w:rFonts w:cs="Arial"/>
          <w:szCs w:val="18"/>
          <w:lang w:val="en-US"/>
        </w:rPr>
        <w:t xml:space="preserve"> of 8 April 1965</w:t>
      </w:r>
      <w:r w:rsidRPr="001B45E4">
        <w:rPr>
          <w:rFonts w:cs="Arial"/>
          <w:szCs w:val="18"/>
        </w:rPr>
        <w:t>.</w:t>
      </w:r>
    </w:p>
  </w:footnote>
  <w:footnote w:id="190">
    <w:p w:rsidR="00F60A1E" w:rsidRPr="001B45E4" w:rsidRDefault="00F60A1E" w:rsidP="00F60A1E">
      <w:pPr>
        <w:pStyle w:val="FootnoteText"/>
        <w:spacing w:after="0"/>
        <w:jc w:val="both"/>
        <w:rPr>
          <w:rFonts w:cs="Arial"/>
          <w:szCs w:val="18"/>
        </w:rPr>
      </w:pPr>
      <w:r w:rsidRPr="001B45E4">
        <w:rPr>
          <w:rStyle w:val="FootnoteReference"/>
          <w:rFonts w:cs="Arial"/>
          <w:szCs w:val="18"/>
        </w:rPr>
        <w:footnoteRef/>
      </w:r>
      <w:r w:rsidRPr="001B45E4">
        <w:rPr>
          <w:rFonts w:cs="Arial"/>
          <w:szCs w:val="18"/>
        </w:rPr>
        <w:t xml:space="preserve"> Article 22 of the </w:t>
      </w:r>
      <w:hyperlink r:id="rId193" w:history="1">
        <w:r w:rsidRPr="001B45E4">
          <w:rPr>
            <w:rStyle w:val="Hyperlink"/>
            <w:rFonts w:cs="Arial"/>
            <w:szCs w:val="18"/>
          </w:rPr>
          <w:t>Constitution</w:t>
        </w:r>
      </w:hyperlink>
      <w:r w:rsidRPr="001B45E4">
        <w:rPr>
          <w:rFonts w:cs="Arial"/>
          <w:szCs w:val="18"/>
        </w:rPr>
        <w:t>.</w:t>
      </w:r>
    </w:p>
  </w:footnote>
  <w:footnote w:id="191">
    <w:p w:rsidR="00F60A1E" w:rsidRPr="001B45E4" w:rsidRDefault="00F60A1E" w:rsidP="00F60A1E">
      <w:pPr>
        <w:pStyle w:val="FootnoteText"/>
        <w:spacing w:after="0"/>
        <w:jc w:val="both"/>
        <w:rPr>
          <w:rFonts w:cs="Arial"/>
          <w:szCs w:val="18"/>
        </w:rPr>
      </w:pPr>
      <w:r w:rsidRPr="001B45E4">
        <w:rPr>
          <w:rStyle w:val="FootnoteReference"/>
          <w:rFonts w:cs="Arial"/>
          <w:szCs w:val="18"/>
        </w:rPr>
        <w:footnoteRef/>
      </w:r>
      <w:r w:rsidRPr="001B45E4">
        <w:rPr>
          <w:rFonts w:cs="Arial"/>
          <w:szCs w:val="18"/>
        </w:rPr>
        <w:t xml:space="preserve"> Article 2 of </w:t>
      </w:r>
      <w:hyperlink r:id="rId194" w:history="1">
        <w:r w:rsidRPr="001B45E4">
          <w:rPr>
            <w:rStyle w:val="Hyperlink"/>
            <w:rFonts w:cs="Arial"/>
            <w:szCs w:val="18"/>
          </w:rPr>
          <w:t>the Act of 8 December 1992 on the protection of private life regarding the treatment of personal data</w:t>
        </w:r>
      </w:hyperlink>
      <w:r w:rsidRPr="001B45E4">
        <w:rPr>
          <w:rFonts w:cs="Arial"/>
          <w:szCs w:val="18"/>
        </w:rPr>
        <w:t>.</w:t>
      </w:r>
    </w:p>
  </w:footnote>
  <w:footnote w:id="192">
    <w:p w:rsidR="00F60A1E" w:rsidRPr="001B45E4" w:rsidRDefault="00F60A1E" w:rsidP="00F60A1E">
      <w:pPr>
        <w:pStyle w:val="FootnoteText"/>
        <w:spacing w:after="0"/>
        <w:jc w:val="both"/>
        <w:rPr>
          <w:rFonts w:cs="Arial"/>
          <w:szCs w:val="18"/>
          <w:highlight w:val="yellow"/>
        </w:rPr>
      </w:pPr>
      <w:r w:rsidRPr="001B45E4">
        <w:rPr>
          <w:rStyle w:val="FootnoteReference"/>
          <w:rFonts w:cs="Arial"/>
          <w:szCs w:val="18"/>
        </w:rPr>
        <w:footnoteRef/>
      </w:r>
      <w:r w:rsidRPr="001B45E4">
        <w:rPr>
          <w:rFonts w:cs="Arial"/>
          <w:szCs w:val="18"/>
        </w:rPr>
        <w:t xml:space="preserve"> Chapter VIII of </w:t>
      </w:r>
      <w:hyperlink r:id="rId195" w:history="1">
        <w:r w:rsidRPr="001B45E4">
          <w:rPr>
            <w:rStyle w:val="Hyperlink"/>
            <w:rFonts w:cs="Arial"/>
            <w:szCs w:val="18"/>
          </w:rPr>
          <w:t>the Act of 8 December 1992 on the protection of private life regarding the treatment of personal data</w:t>
        </w:r>
      </w:hyperlink>
      <w:r w:rsidRPr="001B45E4">
        <w:rPr>
          <w:rFonts w:cs="Arial"/>
          <w:szCs w:val="18"/>
        </w:rPr>
        <w:t>.</w:t>
      </w:r>
    </w:p>
  </w:footnote>
  <w:footnote w:id="193">
    <w:p w:rsidR="00F60A1E" w:rsidRPr="001B45E4" w:rsidRDefault="00F60A1E" w:rsidP="00F60A1E">
      <w:pPr>
        <w:pStyle w:val="FootnoteText"/>
        <w:spacing w:after="0"/>
        <w:jc w:val="both"/>
        <w:rPr>
          <w:rFonts w:cs="Arial"/>
          <w:szCs w:val="18"/>
        </w:rPr>
      </w:pPr>
      <w:r w:rsidRPr="001B45E4">
        <w:rPr>
          <w:rStyle w:val="FootnoteReference"/>
          <w:rFonts w:cs="Arial"/>
          <w:szCs w:val="18"/>
        </w:rPr>
        <w:footnoteRef/>
      </w:r>
      <w:r w:rsidRPr="001B45E4">
        <w:rPr>
          <w:rFonts w:cs="Arial"/>
          <w:szCs w:val="18"/>
        </w:rPr>
        <w:t xml:space="preserve"> Article 8 of the </w:t>
      </w:r>
      <w:hyperlink r:id="rId196" w:history="1">
        <w:r w:rsidRPr="001B45E4">
          <w:rPr>
            <w:rStyle w:val="Hyperlink"/>
            <w:rFonts w:cs="Arial"/>
            <w:szCs w:val="18"/>
          </w:rPr>
          <w:t>Act of 8 December 1992 on the protection of private life regarding the treatment of personal data</w:t>
        </w:r>
      </w:hyperlink>
      <w:r w:rsidRPr="001B45E4">
        <w:rPr>
          <w:rFonts w:cs="Arial"/>
          <w:szCs w:val="18"/>
        </w:rPr>
        <w:t>.</w:t>
      </w:r>
    </w:p>
  </w:footnote>
  <w:footnote w:id="194">
    <w:p w:rsidR="00F60A1E" w:rsidRPr="001B45E4" w:rsidRDefault="00F60A1E" w:rsidP="00F60A1E">
      <w:pPr>
        <w:pStyle w:val="FootnoteText"/>
        <w:spacing w:after="0"/>
        <w:jc w:val="both"/>
        <w:rPr>
          <w:rFonts w:cs="Arial"/>
          <w:szCs w:val="18"/>
        </w:rPr>
      </w:pPr>
      <w:r w:rsidRPr="001B45E4">
        <w:rPr>
          <w:rStyle w:val="FootnoteReference"/>
          <w:rFonts w:cs="Arial"/>
          <w:szCs w:val="18"/>
        </w:rPr>
        <w:footnoteRef/>
      </w:r>
      <w:r w:rsidRPr="001B45E4">
        <w:rPr>
          <w:rFonts w:cs="Arial"/>
          <w:szCs w:val="18"/>
        </w:rPr>
        <w:t xml:space="preserve"> </w:t>
      </w:r>
      <w:r w:rsidRPr="001B45E4">
        <w:rPr>
          <w:rFonts w:cs="Arial"/>
          <w:szCs w:val="18"/>
          <w:lang w:val="en-US"/>
        </w:rPr>
        <w:t xml:space="preserve">Article 87 of the </w:t>
      </w:r>
      <w:hyperlink r:id="rId197" w:history="1">
        <w:r w:rsidRPr="001B45E4">
          <w:rPr>
            <w:rStyle w:val="Hyperlink"/>
            <w:rFonts w:cs="Arial"/>
            <w:szCs w:val="18"/>
            <w:lang w:val="en-US"/>
          </w:rPr>
          <w:t>Decree of the Regent of 23 August 1948 determining the procedure before the section of administrative litigation of the Council of State</w:t>
        </w:r>
      </w:hyperlink>
      <w:r w:rsidRPr="001B45E4">
        <w:rPr>
          <w:rFonts w:cs="Arial"/>
          <w:szCs w:val="18"/>
        </w:rPr>
        <w:t>.</w:t>
      </w:r>
    </w:p>
  </w:footnote>
  <w:footnote w:id="195">
    <w:p w:rsidR="00F60A1E" w:rsidRPr="001B45E4" w:rsidRDefault="00F60A1E" w:rsidP="00F60A1E">
      <w:pPr>
        <w:pStyle w:val="FootnoteText"/>
        <w:spacing w:after="0"/>
        <w:rPr>
          <w:rFonts w:cs="Arial"/>
          <w:szCs w:val="18"/>
          <w:lang w:val="en-US"/>
        </w:rPr>
      </w:pPr>
      <w:r w:rsidRPr="001B45E4">
        <w:rPr>
          <w:rStyle w:val="FootnoteReference"/>
          <w:rFonts w:cs="Arial"/>
          <w:szCs w:val="18"/>
        </w:rPr>
        <w:footnoteRef/>
      </w:r>
      <w:r w:rsidRPr="001B45E4">
        <w:rPr>
          <w:rFonts w:cs="Arial"/>
          <w:szCs w:val="18"/>
        </w:rPr>
        <w:t xml:space="preserve"> </w:t>
      </w:r>
      <w:r w:rsidRPr="001B45E4">
        <w:rPr>
          <w:rFonts w:cs="Arial"/>
          <w:szCs w:val="18"/>
          <w:lang w:val="en-US"/>
        </w:rPr>
        <w:t>ibid.</w:t>
      </w:r>
    </w:p>
  </w:footnote>
  <w:footnote w:id="196">
    <w:p w:rsidR="00F60A1E" w:rsidRPr="001B45E4" w:rsidRDefault="00F60A1E" w:rsidP="00F60A1E">
      <w:pPr>
        <w:pStyle w:val="FootnoteText"/>
        <w:spacing w:after="0"/>
        <w:jc w:val="both"/>
        <w:rPr>
          <w:rFonts w:cs="Arial"/>
          <w:szCs w:val="18"/>
        </w:rPr>
      </w:pPr>
      <w:r w:rsidRPr="001B45E4">
        <w:rPr>
          <w:rStyle w:val="FootnoteReference"/>
          <w:rFonts w:cs="Arial"/>
          <w:szCs w:val="18"/>
        </w:rPr>
        <w:footnoteRef/>
      </w:r>
      <w:r w:rsidRPr="001B45E4">
        <w:rPr>
          <w:rFonts w:cs="Arial"/>
          <w:szCs w:val="18"/>
        </w:rPr>
        <w:t xml:space="preserve"> Article 931 of the </w:t>
      </w:r>
      <w:hyperlink r:id="rId198" w:history="1">
        <w:r w:rsidRPr="001B45E4">
          <w:rPr>
            <w:rStyle w:val="Hyperlink"/>
            <w:rFonts w:cs="Arial"/>
            <w:szCs w:val="18"/>
          </w:rPr>
          <w:t>Judicial Code</w:t>
        </w:r>
      </w:hyperlink>
      <w:r w:rsidRPr="001B45E4">
        <w:rPr>
          <w:rFonts w:cs="Arial"/>
          <w:szCs w:val="18"/>
        </w:rPr>
        <w:t>.</w:t>
      </w:r>
    </w:p>
  </w:footnote>
  <w:footnote w:id="197">
    <w:p w:rsidR="00F60A1E" w:rsidRPr="001B45E4" w:rsidRDefault="00F60A1E" w:rsidP="00F60A1E">
      <w:pPr>
        <w:pStyle w:val="FootnoteText"/>
        <w:spacing w:after="0"/>
        <w:jc w:val="both"/>
        <w:rPr>
          <w:rFonts w:cs="Arial"/>
          <w:szCs w:val="18"/>
        </w:rPr>
      </w:pPr>
      <w:r w:rsidRPr="001B45E4">
        <w:rPr>
          <w:rStyle w:val="FootnoteReference"/>
          <w:rFonts w:cs="Arial"/>
          <w:szCs w:val="18"/>
        </w:rPr>
        <w:footnoteRef/>
      </w:r>
      <w:r w:rsidRPr="001B45E4">
        <w:rPr>
          <w:rFonts w:cs="Arial"/>
          <w:szCs w:val="18"/>
        </w:rPr>
        <w:t xml:space="preserve"> Article 148 of the </w:t>
      </w:r>
      <w:hyperlink r:id="rId199" w:history="1">
        <w:r w:rsidRPr="001B45E4">
          <w:rPr>
            <w:rStyle w:val="Hyperlink"/>
            <w:rFonts w:cs="Arial"/>
            <w:szCs w:val="18"/>
          </w:rPr>
          <w:t>Constitution</w:t>
        </w:r>
      </w:hyperlink>
      <w:r w:rsidRPr="001B45E4">
        <w:rPr>
          <w:rFonts w:cs="Arial"/>
          <w:szCs w:val="18"/>
        </w:rPr>
        <w:t> </w:t>
      </w:r>
      <w:r w:rsidRPr="001B45E4">
        <w:rPr>
          <w:rFonts w:cs="Arial"/>
          <w:szCs w:val="18"/>
          <w:lang w:val="en-US"/>
        </w:rPr>
        <w:t>; Article 27 of the</w:t>
      </w:r>
      <w:r w:rsidRPr="001B45E4">
        <w:rPr>
          <w:rFonts w:cs="Arial"/>
          <w:szCs w:val="18"/>
        </w:rPr>
        <w:t xml:space="preserve"> </w:t>
      </w:r>
      <w:hyperlink r:id="rId200" w:history="1">
        <w:r w:rsidRPr="001B45E4">
          <w:rPr>
            <w:rStyle w:val="Hyperlink"/>
            <w:rFonts w:cs="Arial"/>
            <w:bCs/>
            <w:szCs w:val="18"/>
          </w:rPr>
          <w:t>Coordinated Laws of 12 January 1973 on the Council of State</w:t>
        </w:r>
      </w:hyperlink>
      <w:r w:rsidRPr="001B45E4">
        <w:rPr>
          <w:rFonts w:cs="Arial"/>
          <w:bCs/>
          <w:szCs w:val="18"/>
          <w:lang w:val="en-US"/>
        </w:rPr>
        <w:t xml:space="preserve"> </w:t>
      </w:r>
      <w:r w:rsidRPr="001B45E4">
        <w:rPr>
          <w:rFonts w:cs="Arial"/>
          <w:szCs w:val="18"/>
        </w:rPr>
        <w:t xml:space="preserve">and Article 757 of the </w:t>
      </w:r>
      <w:hyperlink r:id="rId201" w:history="1">
        <w:r w:rsidRPr="001B45E4">
          <w:rPr>
            <w:rStyle w:val="Hyperlink"/>
            <w:rFonts w:cs="Arial"/>
            <w:szCs w:val="18"/>
          </w:rPr>
          <w:t>Judicial Code</w:t>
        </w:r>
      </w:hyperlink>
      <w:r w:rsidRPr="001B45E4">
        <w:rPr>
          <w:rFonts w:cs="Arial"/>
          <w:szCs w:val="18"/>
        </w:rPr>
        <w:t>.</w:t>
      </w:r>
    </w:p>
  </w:footnote>
  <w:footnote w:id="198">
    <w:p w:rsidR="00F60A1E" w:rsidRPr="001B45E4" w:rsidRDefault="00F60A1E" w:rsidP="00F60A1E">
      <w:pPr>
        <w:pStyle w:val="FootnoteText"/>
        <w:spacing w:after="0"/>
        <w:jc w:val="both"/>
        <w:rPr>
          <w:rFonts w:cs="Arial"/>
          <w:szCs w:val="18"/>
        </w:rPr>
      </w:pPr>
      <w:r w:rsidRPr="001B45E4">
        <w:rPr>
          <w:rStyle w:val="FootnoteReference"/>
          <w:rFonts w:cs="Arial"/>
          <w:szCs w:val="18"/>
        </w:rPr>
        <w:footnoteRef/>
      </w:r>
      <w:r w:rsidRPr="001B45E4">
        <w:rPr>
          <w:rFonts w:cs="Arial"/>
          <w:szCs w:val="18"/>
        </w:rPr>
        <w:t xml:space="preserve"> Article </w:t>
      </w:r>
      <w:r w:rsidRPr="001B45E4">
        <w:rPr>
          <w:rFonts w:cs="Arial"/>
          <w:szCs w:val="18"/>
          <w:lang w:val="en-US"/>
        </w:rPr>
        <w:t xml:space="preserve">22 of the </w:t>
      </w:r>
      <w:hyperlink r:id="rId202" w:history="1">
        <w:r w:rsidRPr="001B45E4">
          <w:rPr>
            <w:rStyle w:val="Hyperlink"/>
            <w:rFonts w:cs="Arial"/>
            <w:szCs w:val="18"/>
            <w:lang w:val="en-US"/>
          </w:rPr>
          <w:t>Royal Decree of 30 November 2006 determining the procedure in cassation before the Council of State</w:t>
        </w:r>
      </w:hyperlink>
      <w:r w:rsidRPr="001B45E4">
        <w:rPr>
          <w:rFonts w:cs="Arial"/>
          <w:szCs w:val="18"/>
          <w:lang w:val="en-US"/>
        </w:rPr>
        <w:t xml:space="preserve"> and </w:t>
      </w:r>
      <w:r w:rsidRPr="001B45E4">
        <w:rPr>
          <w:rFonts w:cs="Arial"/>
          <w:szCs w:val="18"/>
        </w:rPr>
        <w:t xml:space="preserve">Article 446ter of the </w:t>
      </w:r>
      <w:hyperlink r:id="rId203" w:history="1">
        <w:r w:rsidRPr="001B45E4">
          <w:rPr>
            <w:rStyle w:val="Hyperlink"/>
            <w:rFonts w:cs="Arial"/>
            <w:szCs w:val="18"/>
          </w:rPr>
          <w:t>Judicial Code</w:t>
        </w:r>
      </w:hyperlink>
      <w:r w:rsidRPr="001B45E4">
        <w:rPr>
          <w:rFonts w:cs="Arial"/>
          <w:szCs w:val="18"/>
        </w:rPr>
        <w:t>.</w:t>
      </w:r>
    </w:p>
  </w:footnote>
  <w:footnote w:id="199">
    <w:p w:rsidR="00F60A1E" w:rsidRPr="001B45E4" w:rsidRDefault="00F60A1E" w:rsidP="00F60A1E">
      <w:pPr>
        <w:pStyle w:val="FootnoteText"/>
        <w:spacing w:after="0"/>
        <w:rPr>
          <w:rFonts w:cs="Arial"/>
          <w:szCs w:val="18"/>
        </w:rPr>
      </w:pPr>
      <w:r w:rsidRPr="001B45E4">
        <w:rPr>
          <w:rStyle w:val="FootnoteReference"/>
          <w:rFonts w:cs="Arial"/>
          <w:szCs w:val="18"/>
        </w:rPr>
        <w:footnoteRef/>
      </w:r>
      <w:r w:rsidRPr="001B45E4">
        <w:rPr>
          <w:rFonts w:cs="Arial"/>
          <w:szCs w:val="18"/>
        </w:rPr>
        <w:t xml:space="preserve"> </w:t>
      </w:r>
      <w:r w:rsidRPr="001B45E4">
        <w:rPr>
          <w:rFonts w:cs="Arial"/>
          <w:szCs w:val="18"/>
          <w:lang w:val="en-US"/>
        </w:rPr>
        <w:t>Article 28 of the</w:t>
      </w:r>
      <w:r w:rsidRPr="001B45E4">
        <w:rPr>
          <w:rFonts w:cs="Arial"/>
          <w:szCs w:val="18"/>
        </w:rPr>
        <w:t xml:space="preserve"> </w:t>
      </w:r>
      <w:hyperlink r:id="rId204" w:history="1">
        <w:r w:rsidRPr="001B45E4">
          <w:rPr>
            <w:rStyle w:val="Hyperlink"/>
            <w:rFonts w:cs="Arial"/>
            <w:bCs/>
            <w:szCs w:val="18"/>
          </w:rPr>
          <w:t>Coordinated Laws of 12 January 1973 on the Council of State</w:t>
        </w:r>
      </w:hyperlink>
      <w:r w:rsidRPr="001B45E4">
        <w:rPr>
          <w:rFonts w:cs="Arial"/>
          <w:bCs/>
          <w:szCs w:val="18"/>
          <w:lang w:val="en-US"/>
        </w:rPr>
        <w:t>.</w:t>
      </w:r>
    </w:p>
  </w:footnote>
  <w:footnote w:id="200">
    <w:p w:rsidR="00F60A1E" w:rsidRPr="001B45E4" w:rsidRDefault="00F60A1E" w:rsidP="00F60A1E">
      <w:pPr>
        <w:pStyle w:val="FootnoteText"/>
        <w:jc w:val="both"/>
        <w:rPr>
          <w:rFonts w:cs="Arial"/>
          <w:szCs w:val="18"/>
        </w:rPr>
      </w:pPr>
      <w:r w:rsidRPr="001B45E4">
        <w:rPr>
          <w:rStyle w:val="FootnoteReference"/>
          <w:rFonts w:cs="Arial"/>
          <w:szCs w:val="18"/>
        </w:rPr>
        <w:footnoteRef/>
      </w:r>
      <w:r w:rsidRPr="001B45E4">
        <w:rPr>
          <w:rFonts w:cs="Arial"/>
          <w:szCs w:val="18"/>
        </w:rPr>
        <w:t xml:space="preserve"> The </w:t>
      </w:r>
      <w:hyperlink r:id="rId205" w:history="1">
        <w:r w:rsidRPr="001B45E4">
          <w:rPr>
            <w:rStyle w:val="Hyperlink"/>
            <w:rFonts w:cs="Arial"/>
            <w:szCs w:val="18"/>
          </w:rPr>
          <w:t>Higher Council of Justice’s Guide for Magistrates</w:t>
        </w:r>
      </w:hyperlink>
      <w:r w:rsidRPr="001B45E4">
        <w:rPr>
          <w:rFonts w:cs="Arial"/>
          <w:szCs w:val="18"/>
        </w:rPr>
        <w:t>, approved on 27 June 2012.</w:t>
      </w:r>
    </w:p>
  </w:footnote>
  <w:footnote w:id="201">
    <w:p w:rsidR="00F60A1E" w:rsidRPr="001B45E4" w:rsidRDefault="00F60A1E" w:rsidP="00F60A1E">
      <w:pPr>
        <w:pStyle w:val="FootnoteText"/>
        <w:spacing w:after="0"/>
        <w:jc w:val="both"/>
        <w:rPr>
          <w:rFonts w:cs="Arial"/>
          <w:szCs w:val="18"/>
        </w:rPr>
      </w:pPr>
      <w:r w:rsidRPr="001B45E4">
        <w:rPr>
          <w:rStyle w:val="FootnoteReference"/>
          <w:rFonts w:cs="Arial"/>
          <w:szCs w:val="18"/>
        </w:rPr>
        <w:footnoteRef/>
      </w:r>
      <w:r w:rsidRPr="001B45E4">
        <w:rPr>
          <w:rFonts w:cs="Arial"/>
          <w:szCs w:val="18"/>
        </w:rPr>
        <w:t xml:space="preserve"> </w:t>
      </w:r>
      <w:hyperlink r:id="rId206" w:history="1">
        <w:r w:rsidRPr="001B45E4">
          <w:rPr>
            <w:rStyle w:val="Hyperlink"/>
            <w:rFonts w:cs="Arial"/>
            <w:szCs w:val="18"/>
          </w:rPr>
          <w:t>Deontology Code of the Lawyer for the French and German</w:t>
        </w:r>
        <w:r w:rsidRPr="001B45E4">
          <w:rPr>
            <w:rStyle w:val="Hyperlink"/>
            <w:rFonts w:cs="Arial"/>
            <w:szCs w:val="18"/>
            <w:lang w:val="en-US"/>
          </w:rPr>
          <w:t>-</w:t>
        </w:r>
        <w:r w:rsidRPr="001B45E4">
          <w:rPr>
            <w:rStyle w:val="Hyperlink"/>
            <w:rFonts w:cs="Arial"/>
            <w:szCs w:val="18"/>
          </w:rPr>
          <w:t>speaking Bar</w:t>
        </w:r>
      </w:hyperlink>
      <w:r w:rsidRPr="001B45E4">
        <w:rPr>
          <w:rFonts w:cs="Arial"/>
          <w:szCs w:val="18"/>
        </w:rPr>
        <w:t xml:space="preserve">; </w:t>
      </w:r>
      <w:hyperlink r:id="rId207" w:history="1">
        <w:r w:rsidRPr="001B45E4">
          <w:rPr>
            <w:rStyle w:val="Hyperlink"/>
            <w:rFonts w:cs="Arial"/>
            <w:szCs w:val="18"/>
          </w:rPr>
          <w:t>Deontology Code for the Dutch speaking Bar</w:t>
        </w:r>
      </w:hyperlink>
      <w:r w:rsidRPr="001B45E4">
        <w:rPr>
          <w:rFonts w:cs="Arial"/>
          <w:szCs w:val="18"/>
        </w:rPr>
        <w:t>.</w:t>
      </w:r>
    </w:p>
  </w:footnote>
  <w:footnote w:id="202">
    <w:p w:rsidR="00F60A1E" w:rsidRPr="001B45E4" w:rsidRDefault="00F60A1E" w:rsidP="00F60A1E">
      <w:pPr>
        <w:pStyle w:val="FootnoteText"/>
        <w:spacing w:after="0"/>
        <w:jc w:val="both"/>
        <w:rPr>
          <w:rFonts w:cs="Arial"/>
          <w:szCs w:val="18"/>
        </w:rPr>
      </w:pPr>
      <w:r w:rsidRPr="001B45E4">
        <w:rPr>
          <w:rStyle w:val="FootnoteReference"/>
          <w:rFonts w:cs="Arial"/>
          <w:szCs w:val="18"/>
        </w:rPr>
        <w:footnoteRef/>
      </w:r>
      <w:r w:rsidRPr="001B45E4">
        <w:rPr>
          <w:rFonts w:cs="Arial"/>
          <w:szCs w:val="18"/>
        </w:rPr>
        <w:t xml:space="preserve"> Articles 458 and 458bis of the </w:t>
      </w:r>
      <w:hyperlink r:id="rId208" w:history="1">
        <w:r w:rsidRPr="001B45E4">
          <w:rPr>
            <w:rStyle w:val="Hyperlink"/>
            <w:rFonts w:cs="Arial"/>
            <w:szCs w:val="18"/>
          </w:rPr>
          <w:t>Criminal Code</w:t>
        </w:r>
      </w:hyperlink>
      <w:r w:rsidRPr="001B45E4">
        <w:rPr>
          <w:rFonts w:cs="Arial"/>
          <w:szCs w:val="18"/>
        </w:rPr>
        <w:t>.</w:t>
      </w:r>
    </w:p>
  </w:footnote>
  <w:footnote w:id="203">
    <w:p w:rsidR="00F60A1E" w:rsidRPr="001B45E4" w:rsidRDefault="00F60A1E" w:rsidP="00F60A1E">
      <w:pPr>
        <w:pStyle w:val="FootnoteText"/>
        <w:spacing w:after="0"/>
        <w:jc w:val="both"/>
        <w:rPr>
          <w:rFonts w:cs="Arial"/>
          <w:szCs w:val="18"/>
        </w:rPr>
      </w:pPr>
      <w:r w:rsidRPr="001B45E4">
        <w:rPr>
          <w:rStyle w:val="FootnoteReference"/>
          <w:rFonts w:cs="Arial"/>
          <w:szCs w:val="18"/>
        </w:rPr>
        <w:footnoteRef/>
      </w:r>
      <w:r w:rsidRPr="001B45E4">
        <w:rPr>
          <w:rFonts w:cs="Arial"/>
          <w:szCs w:val="18"/>
        </w:rPr>
        <w:t xml:space="preserve"> Article 10 of the </w:t>
      </w:r>
      <w:hyperlink r:id="rId209" w:history="1">
        <w:r w:rsidRPr="001B45E4">
          <w:rPr>
            <w:rStyle w:val="Hyperlink"/>
            <w:rFonts w:cs="Arial"/>
            <w:szCs w:val="18"/>
          </w:rPr>
          <w:t>Act of 30 June 1994 on copyrights and related rights</w:t>
        </w:r>
      </w:hyperlink>
      <w:r w:rsidRPr="001B45E4">
        <w:rPr>
          <w:rFonts w:cs="Arial"/>
          <w:szCs w:val="18"/>
        </w:rPr>
        <w:t xml:space="preserve">; </w:t>
      </w:r>
      <w:hyperlink r:id="rId210" w:history="1">
        <w:r w:rsidRPr="001B45E4">
          <w:rPr>
            <w:rStyle w:val="Hyperlink"/>
            <w:rFonts w:cs="Arial"/>
            <w:szCs w:val="18"/>
          </w:rPr>
          <w:t>Opinion No 38/2002 of the Commission for the protection of privacy of the 16 September 2002</w:t>
        </w:r>
      </w:hyperlink>
      <w:r w:rsidRPr="001B45E4">
        <w:rPr>
          <w:rFonts w:cs="Arial"/>
          <w:szCs w:val="18"/>
        </w:rPr>
        <w:t>.</w:t>
      </w:r>
    </w:p>
  </w:footnote>
  <w:footnote w:id="204">
    <w:p w:rsidR="00F60A1E" w:rsidRPr="001B45E4" w:rsidRDefault="00F60A1E" w:rsidP="00F60A1E">
      <w:pPr>
        <w:pStyle w:val="FootnoteText"/>
        <w:spacing w:after="0"/>
        <w:jc w:val="both"/>
        <w:rPr>
          <w:rFonts w:cs="Arial"/>
          <w:szCs w:val="18"/>
        </w:rPr>
      </w:pPr>
      <w:r w:rsidRPr="001B45E4">
        <w:rPr>
          <w:rStyle w:val="FootnoteReference"/>
          <w:rFonts w:cs="Arial"/>
          <w:szCs w:val="18"/>
        </w:rPr>
        <w:footnoteRef/>
      </w:r>
      <w:r w:rsidRPr="001B45E4">
        <w:rPr>
          <w:rFonts w:cs="Arial"/>
          <w:szCs w:val="18"/>
        </w:rPr>
        <w:t xml:space="preserve"> Article 725 of the </w:t>
      </w:r>
      <w:hyperlink r:id="rId211" w:history="1">
        <w:r w:rsidRPr="001B45E4">
          <w:rPr>
            <w:rStyle w:val="Hyperlink"/>
            <w:rFonts w:cs="Arial"/>
            <w:szCs w:val="18"/>
          </w:rPr>
          <w:t>Judicial Code</w:t>
        </w:r>
      </w:hyperlink>
      <w:r w:rsidRPr="001B45E4">
        <w:rPr>
          <w:rFonts w:cs="Arial"/>
          <w:szCs w:val="18"/>
        </w:rPr>
        <w:t>.</w:t>
      </w:r>
    </w:p>
  </w:footnote>
  <w:footnote w:id="205">
    <w:p w:rsidR="00F60A1E" w:rsidRPr="00AF32C2" w:rsidRDefault="00F60A1E" w:rsidP="00F60A1E">
      <w:pPr>
        <w:pStyle w:val="FootnoteText"/>
        <w:spacing w:after="0"/>
        <w:jc w:val="both"/>
        <w:rPr>
          <w:rFonts w:cs="Arial"/>
          <w:sz w:val="16"/>
          <w:szCs w:val="16"/>
        </w:rPr>
      </w:pPr>
      <w:r w:rsidRPr="001B45E4">
        <w:rPr>
          <w:rStyle w:val="FootnoteReference"/>
          <w:rFonts w:cs="Arial"/>
          <w:szCs w:val="18"/>
        </w:rPr>
        <w:footnoteRef/>
      </w:r>
      <w:r w:rsidRPr="001B45E4">
        <w:rPr>
          <w:rFonts w:cs="Arial"/>
          <w:szCs w:val="18"/>
        </w:rPr>
        <w:t xml:space="preserve"> Article 446ter of the </w:t>
      </w:r>
      <w:hyperlink r:id="rId212" w:history="1">
        <w:r w:rsidRPr="001B45E4">
          <w:rPr>
            <w:rStyle w:val="Hyperlink"/>
            <w:rFonts w:cs="Arial"/>
            <w:szCs w:val="18"/>
          </w:rPr>
          <w:t>Judicial Code</w:t>
        </w:r>
      </w:hyperlink>
      <w:r w:rsidRPr="001B45E4">
        <w:rPr>
          <w:rFonts w:cs="Arial"/>
          <w:szCs w:val="18"/>
        </w:rPr>
        <w:t>.</w:t>
      </w:r>
    </w:p>
  </w:footnote>
  <w:footnote w:id="206">
    <w:p w:rsidR="00F60A1E" w:rsidRPr="008F4611" w:rsidRDefault="00F60A1E" w:rsidP="00F60A1E">
      <w:pPr>
        <w:pStyle w:val="FootnoteText"/>
        <w:spacing w:after="0"/>
        <w:jc w:val="both"/>
        <w:rPr>
          <w:rFonts w:cs="Arial"/>
          <w:szCs w:val="18"/>
        </w:rPr>
      </w:pPr>
      <w:r w:rsidRPr="008F4611">
        <w:rPr>
          <w:rStyle w:val="FootnoteReference"/>
          <w:rFonts w:cs="Arial"/>
          <w:szCs w:val="18"/>
        </w:rPr>
        <w:footnoteRef/>
      </w:r>
      <w:r w:rsidRPr="008F4611">
        <w:rPr>
          <w:rFonts w:cs="Arial"/>
          <w:szCs w:val="18"/>
        </w:rPr>
        <w:t xml:space="preserve"> Article 77 of the </w:t>
      </w:r>
      <w:hyperlink r:id="rId213" w:history="1">
        <w:r w:rsidRPr="008F4611">
          <w:rPr>
            <w:rStyle w:val="Hyperlink"/>
            <w:rFonts w:cs="Arial"/>
            <w:szCs w:val="18"/>
          </w:rPr>
          <w:t>Youth Protection Act</w:t>
        </w:r>
      </w:hyperlink>
      <w:r w:rsidRPr="008F4611">
        <w:rPr>
          <w:rFonts w:cs="Arial"/>
          <w:szCs w:val="18"/>
        </w:rPr>
        <w:t>.</w:t>
      </w:r>
    </w:p>
  </w:footnote>
  <w:footnote w:id="207">
    <w:p w:rsidR="00F60A1E" w:rsidRPr="008F4611" w:rsidRDefault="00F60A1E" w:rsidP="00F60A1E">
      <w:pPr>
        <w:pStyle w:val="FootnoteText"/>
        <w:spacing w:after="0"/>
        <w:jc w:val="both"/>
        <w:rPr>
          <w:rFonts w:cs="Arial"/>
          <w:szCs w:val="18"/>
        </w:rPr>
      </w:pPr>
      <w:r w:rsidRPr="008F4611">
        <w:rPr>
          <w:rStyle w:val="FootnoteReference"/>
          <w:rFonts w:cs="Arial"/>
          <w:szCs w:val="18"/>
        </w:rPr>
        <w:footnoteRef/>
      </w:r>
      <w:r w:rsidRPr="008F4611">
        <w:rPr>
          <w:rFonts w:cs="Arial"/>
          <w:szCs w:val="18"/>
        </w:rPr>
        <w:t xml:space="preserve"> Article 433bis of the </w:t>
      </w:r>
      <w:hyperlink r:id="rId214" w:history="1">
        <w:r w:rsidRPr="008F4611">
          <w:rPr>
            <w:rStyle w:val="Hyperlink"/>
            <w:rFonts w:cs="Arial"/>
            <w:szCs w:val="18"/>
          </w:rPr>
          <w:t>Criminal Code</w:t>
        </w:r>
      </w:hyperlink>
      <w:r w:rsidRPr="008F4611">
        <w:rPr>
          <w:rFonts w:cs="Arial"/>
          <w:szCs w:val="18"/>
        </w:rPr>
        <w:t>.</w:t>
      </w:r>
    </w:p>
  </w:footnote>
  <w:footnote w:id="208">
    <w:p w:rsidR="00F60A1E" w:rsidRPr="008F4611" w:rsidRDefault="00F60A1E" w:rsidP="00F60A1E">
      <w:pPr>
        <w:pStyle w:val="FootnoteText"/>
        <w:spacing w:after="0"/>
        <w:jc w:val="both"/>
        <w:rPr>
          <w:rFonts w:cs="Arial"/>
          <w:szCs w:val="18"/>
        </w:rPr>
      </w:pPr>
      <w:r w:rsidRPr="008F4611">
        <w:rPr>
          <w:rStyle w:val="FootnoteReference"/>
          <w:rFonts w:cs="Arial"/>
          <w:szCs w:val="18"/>
        </w:rPr>
        <w:footnoteRef/>
      </w:r>
      <w:r w:rsidRPr="008F4611">
        <w:rPr>
          <w:rFonts w:cs="Arial"/>
          <w:szCs w:val="18"/>
        </w:rPr>
        <w:t xml:space="preserve"> </w:t>
      </w:r>
      <w:r w:rsidRPr="008F4611">
        <w:rPr>
          <w:rFonts w:cs="Arial"/>
          <w:bCs/>
          <w:szCs w:val="18"/>
        </w:rPr>
        <w:t xml:space="preserve">Article 378 of the </w:t>
      </w:r>
      <w:hyperlink r:id="rId215" w:history="1">
        <w:r w:rsidRPr="008F4611">
          <w:rPr>
            <w:rStyle w:val="Hyperlink"/>
            <w:rFonts w:cs="Arial"/>
            <w:szCs w:val="18"/>
          </w:rPr>
          <w:t>Civil Code</w:t>
        </w:r>
      </w:hyperlink>
      <w:r w:rsidRPr="008F4611">
        <w:rPr>
          <w:rFonts w:cs="Arial"/>
          <w:bCs/>
          <w:szCs w:val="18"/>
        </w:rPr>
        <w:t>.</w:t>
      </w:r>
    </w:p>
  </w:footnote>
  <w:footnote w:id="209">
    <w:p w:rsidR="00F60A1E" w:rsidRPr="008F4611" w:rsidRDefault="00F60A1E" w:rsidP="00F60A1E">
      <w:pPr>
        <w:pStyle w:val="FootnoteText"/>
        <w:spacing w:after="0"/>
        <w:jc w:val="both"/>
        <w:rPr>
          <w:rFonts w:cs="Arial"/>
          <w:szCs w:val="18"/>
        </w:rPr>
      </w:pPr>
      <w:r w:rsidRPr="008F4611">
        <w:rPr>
          <w:rStyle w:val="FootnoteReference"/>
          <w:rFonts w:cs="Arial"/>
          <w:szCs w:val="18"/>
        </w:rPr>
        <w:footnoteRef/>
      </w:r>
      <w:r w:rsidRPr="008F4611">
        <w:rPr>
          <w:rFonts w:cs="Arial"/>
          <w:szCs w:val="18"/>
        </w:rPr>
        <w:t xml:space="preserve"> Thierry Moreau, ‘</w:t>
      </w:r>
      <w:r w:rsidRPr="008F4611">
        <w:rPr>
          <w:rFonts w:cs="Arial"/>
          <w:i/>
          <w:szCs w:val="18"/>
        </w:rPr>
        <w:t>The autonomy of the minor in justice’</w:t>
      </w:r>
      <w:r w:rsidRPr="008F4611">
        <w:rPr>
          <w:rFonts w:cs="Arial"/>
          <w:szCs w:val="18"/>
        </w:rPr>
        <w:t xml:space="preserve"> (L’autonomie du mineur en justice)’, in </w:t>
      </w:r>
      <w:r w:rsidRPr="008F4611">
        <w:rPr>
          <w:rFonts w:cs="Arial"/>
          <w:i/>
          <w:szCs w:val="18"/>
        </w:rPr>
        <w:t>L’autonomie du mineur</w:t>
      </w:r>
      <w:r w:rsidRPr="008F4611">
        <w:rPr>
          <w:rFonts w:cs="Arial"/>
          <w:szCs w:val="18"/>
        </w:rPr>
        <w:t>, eds P. Jadoul, J. Sambon and B. Van Keirsblick, p.170.</w:t>
      </w:r>
    </w:p>
  </w:footnote>
  <w:footnote w:id="210">
    <w:p w:rsidR="00F60A1E" w:rsidRPr="008F4611" w:rsidRDefault="00F60A1E" w:rsidP="00F60A1E">
      <w:pPr>
        <w:pStyle w:val="FootnoteText"/>
        <w:spacing w:after="0"/>
        <w:jc w:val="both"/>
        <w:rPr>
          <w:rFonts w:cs="Arial"/>
          <w:szCs w:val="18"/>
        </w:rPr>
      </w:pPr>
      <w:r w:rsidRPr="008F4611">
        <w:rPr>
          <w:rStyle w:val="FootnoteReference"/>
          <w:rFonts w:cs="Arial"/>
          <w:szCs w:val="18"/>
        </w:rPr>
        <w:footnoteRef/>
      </w:r>
      <w:r w:rsidRPr="008F4611">
        <w:rPr>
          <w:rFonts w:cs="Arial"/>
          <w:szCs w:val="18"/>
        </w:rPr>
        <w:t xml:space="preserve"> Article 931 of the </w:t>
      </w:r>
      <w:hyperlink r:id="rId216" w:history="1">
        <w:r w:rsidRPr="008F4611">
          <w:rPr>
            <w:rStyle w:val="Hyperlink"/>
            <w:rFonts w:cs="Arial"/>
            <w:szCs w:val="18"/>
          </w:rPr>
          <w:t>Judicial Code</w:t>
        </w:r>
      </w:hyperlink>
      <w:r w:rsidRPr="008F4611">
        <w:rPr>
          <w:rFonts w:cs="Arial"/>
          <w:szCs w:val="18"/>
        </w:rPr>
        <w:t>.</w:t>
      </w:r>
    </w:p>
  </w:footnote>
  <w:footnote w:id="211">
    <w:p w:rsidR="00F60A1E" w:rsidRPr="008F4611" w:rsidRDefault="00F60A1E" w:rsidP="00F60A1E">
      <w:pPr>
        <w:pStyle w:val="FootnoteText"/>
        <w:spacing w:after="0"/>
        <w:jc w:val="both"/>
        <w:rPr>
          <w:rFonts w:cs="Arial"/>
          <w:szCs w:val="18"/>
        </w:rPr>
      </w:pPr>
      <w:r w:rsidRPr="008F4611">
        <w:rPr>
          <w:rStyle w:val="FootnoteReference"/>
          <w:rFonts w:cs="Arial"/>
          <w:szCs w:val="18"/>
        </w:rPr>
        <w:footnoteRef/>
      </w:r>
      <w:r w:rsidRPr="008F4611">
        <w:rPr>
          <w:rFonts w:cs="Arial"/>
          <w:szCs w:val="18"/>
        </w:rPr>
        <w:t xml:space="preserve"> Information collected via stakeholder consultation with a Children’s Rights authority.</w:t>
      </w:r>
    </w:p>
  </w:footnote>
  <w:footnote w:id="212">
    <w:p w:rsidR="00F60A1E" w:rsidRPr="008F4611" w:rsidRDefault="00F60A1E" w:rsidP="00F60A1E">
      <w:pPr>
        <w:pStyle w:val="FootnoteText"/>
        <w:spacing w:after="0"/>
        <w:jc w:val="both"/>
        <w:rPr>
          <w:rFonts w:cs="Arial"/>
          <w:szCs w:val="18"/>
        </w:rPr>
      </w:pPr>
      <w:r w:rsidRPr="008F4611">
        <w:rPr>
          <w:rStyle w:val="FootnoteReference"/>
          <w:rFonts w:cs="Arial"/>
          <w:szCs w:val="18"/>
        </w:rPr>
        <w:footnoteRef/>
      </w:r>
      <w:r w:rsidRPr="008F4611">
        <w:rPr>
          <w:rFonts w:cs="Arial"/>
          <w:szCs w:val="18"/>
        </w:rPr>
        <w:t xml:space="preserve"> ibid.</w:t>
      </w:r>
    </w:p>
  </w:footnote>
  <w:footnote w:id="213">
    <w:p w:rsidR="00F60A1E" w:rsidRPr="008F4611" w:rsidRDefault="00F60A1E" w:rsidP="00F60A1E">
      <w:pPr>
        <w:pStyle w:val="FootnoteText"/>
        <w:spacing w:after="0"/>
        <w:jc w:val="both"/>
        <w:rPr>
          <w:rFonts w:cs="Arial"/>
          <w:szCs w:val="18"/>
        </w:rPr>
      </w:pPr>
      <w:r w:rsidRPr="008F4611">
        <w:rPr>
          <w:rStyle w:val="FootnoteReference"/>
          <w:rFonts w:cs="Arial"/>
          <w:szCs w:val="18"/>
        </w:rPr>
        <w:footnoteRef/>
      </w:r>
      <w:r w:rsidRPr="008F4611">
        <w:rPr>
          <w:rFonts w:cs="Arial"/>
          <w:szCs w:val="18"/>
        </w:rPr>
        <w:t xml:space="preserve"> Article 725 of the </w:t>
      </w:r>
      <w:hyperlink r:id="rId217" w:history="1">
        <w:r w:rsidRPr="008F4611">
          <w:rPr>
            <w:rStyle w:val="Hyperlink"/>
            <w:rFonts w:cs="Arial"/>
            <w:szCs w:val="18"/>
          </w:rPr>
          <w:t>Judicial Code</w:t>
        </w:r>
      </w:hyperlink>
      <w:r w:rsidRPr="008F4611">
        <w:rPr>
          <w:rFonts w:cs="Arial"/>
          <w:szCs w:val="18"/>
        </w:rPr>
        <w:t>.</w:t>
      </w:r>
    </w:p>
  </w:footnote>
  <w:footnote w:id="214">
    <w:p w:rsidR="00F60A1E" w:rsidRPr="008F4611" w:rsidRDefault="00F60A1E" w:rsidP="00F60A1E">
      <w:pPr>
        <w:pStyle w:val="FootnoteText"/>
        <w:spacing w:after="0"/>
        <w:jc w:val="both"/>
        <w:rPr>
          <w:rFonts w:cs="Arial"/>
          <w:szCs w:val="18"/>
        </w:rPr>
      </w:pPr>
      <w:r w:rsidRPr="008F4611">
        <w:rPr>
          <w:rStyle w:val="FootnoteReference"/>
          <w:rFonts w:cs="Arial"/>
          <w:szCs w:val="18"/>
        </w:rPr>
        <w:footnoteRef/>
      </w:r>
      <w:r w:rsidRPr="008F4611">
        <w:rPr>
          <w:rFonts w:cs="Arial"/>
          <w:szCs w:val="18"/>
        </w:rPr>
        <w:t xml:space="preserve"> Article 446ter of the </w:t>
      </w:r>
      <w:hyperlink r:id="rId218" w:history="1">
        <w:r w:rsidRPr="008F4611">
          <w:rPr>
            <w:rStyle w:val="Hyperlink"/>
            <w:rFonts w:cs="Arial"/>
            <w:szCs w:val="18"/>
          </w:rPr>
          <w:t>Judicial Code</w:t>
        </w:r>
      </w:hyperlink>
      <w:r w:rsidRPr="008F4611">
        <w:rPr>
          <w:rFonts w:cs="Arial"/>
          <w:szCs w:val="18"/>
        </w:rPr>
        <w:t>.</w:t>
      </w:r>
    </w:p>
  </w:footnote>
  <w:footnote w:id="215">
    <w:p w:rsidR="00F60A1E" w:rsidRPr="008F4611" w:rsidRDefault="00F60A1E" w:rsidP="00F60A1E">
      <w:pPr>
        <w:pStyle w:val="FootnoteText"/>
        <w:spacing w:after="0"/>
        <w:rPr>
          <w:szCs w:val="18"/>
          <w:lang w:val="en-US"/>
        </w:rPr>
      </w:pPr>
      <w:r w:rsidRPr="008F4611">
        <w:rPr>
          <w:rStyle w:val="FootnoteReference"/>
          <w:szCs w:val="18"/>
        </w:rPr>
        <w:footnoteRef/>
      </w:r>
      <w:r w:rsidRPr="008F4611">
        <w:rPr>
          <w:szCs w:val="18"/>
        </w:rPr>
        <w:t xml:space="preserve"> </w:t>
      </w:r>
      <w:r w:rsidRPr="008F4611">
        <w:rPr>
          <w:szCs w:val="18"/>
          <w:lang w:val="en-US"/>
        </w:rPr>
        <w:t xml:space="preserve">Article 18 of the </w:t>
      </w:r>
      <w:hyperlink r:id="rId219" w:history="1">
        <w:r w:rsidRPr="008F4611">
          <w:rPr>
            <w:rStyle w:val="Hyperlink"/>
            <w:rFonts w:cs="Arial"/>
            <w:szCs w:val="18"/>
          </w:rPr>
          <w:t>Act of 22 August 2002 on patient right</w:t>
        </w:r>
        <w:r w:rsidRPr="008F4611">
          <w:rPr>
            <w:rStyle w:val="Hyperlink"/>
            <w:rFonts w:cs="Arial"/>
            <w:szCs w:val="18"/>
            <w:lang w:val="en-US"/>
          </w:rPr>
          <w:t>s</w:t>
        </w:r>
      </w:hyperlink>
      <w:r w:rsidRPr="008F4611">
        <w:rPr>
          <w:rFonts w:cs="Arial"/>
          <w:szCs w:val="18"/>
          <w:lang w:val="en-US"/>
        </w:rPr>
        <w:t>.</w:t>
      </w:r>
    </w:p>
  </w:footnote>
  <w:footnote w:id="216">
    <w:p w:rsidR="00F60A1E" w:rsidRPr="000616FD" w:rsidRDefault="00F60A1E" w:rsidP="00F60A1E">
      <w:pPr>
        <w:pStyle w:val="FootnoteText"/>
        <w:spacing w:after="0"/>
        <w:rPr>
          <w:rFonts w:cs="Arial"/>
          <w:sz w:val="16"/>
          <w:szCs w:val="16"/>
        </w:rPr>
      </w:pPr>
      <w:r w:rsidRPr="008F4611">
        <w:rPr>
          <w:rStyle w:val="FootnoteReference"/>
          <w:rFonts w:cs="Arial"/>
          <w:szCs w:val="18"/>
        </w:rPr>
        <w:footnoteRef/>
      </w:r>
      <w:r w:rsidRPr="008F4611">
        <w:rPr>
          <w:rFonts w:cs="Arial"/>
          <w:szCs w:val="18"/>
        </w:rPr>
        <w:t xml:space="preserve"> Article 2 of the </w:t>
      </w:r>
      <w:hyperlink r:id="rId220" w:history="1">
        <w:r w:rsidRPr="008F4611">
          <w:rPr>
            <w:rStyle w:val="Hyperlink"/>
            <w:rFonts w:cs="Arial"/>
            <w:szCs w:val="18"/>
          </w:rPr>
          <w:t>Act of 26 June 1990 on the protection of mentally ill persons</w:t>
        </w:r>
      </w:hyperlink>
      <w:r w:rsidRPr="008F4611">
        <w:rPr>
          <w:rFonts w:cs="Arial"/>
          <w:szCs w:val="18"/>
        </w:rPr>
        <w:t>.</w:t>
      </w:r>
    </w:p>
  </w:footnote>
  <w:footnote w:id="217">
    <w:p w:rsidR="00F60A1E" w:rsidRPr="008F4611" w:rsidRDefault="00F60A1E" w:rsidP="00F60A1E">
      <w:pPr>
        <w:pStyle w:val="FootnoteText"/>
        <w:jc w:val="both"/>
        <w:rPr>
          <w:rFonts w:cs="Arial"/>
          <w:szCs w:val="18"/>
        </w:rPr>
      </w:pPr>
      <w:r w:rsidRPr="008F4611">
        <w:rPr>
          <w:rStyle w:val="FootnoteReference"/>
          <w:rFonts w:cs="Arial"/>
          <w:szCs w:val="18"/>
        </w:rPr>
        <w:footnoteRef/>
      </w:r>
      <w:r w:rsidRPr="008F4611">
        <w:rPr>
          <w:rFonts w:cs="Arial"/>
          <w:szCs w:val="18"/>
        </w:rPr>
        <w:t xml:space="preserve"> Information collected through interview carried out for the criminal proceedings report.</w:t>
      </w:r>
    </w:p>
  </w:footnote>
  <w:footnote w:id="218">
    <w:p w:rsidR="00F60A1E" w:rsidRPr="008F4611" w:rsidRDefault="00F60A1E" w:rsidP="00F60A1E">
      <w:pPr>
        <w:pStyle w:val="FootnoteText"/>
        <w:jc w:val="both"/>
        <w:rPr>
          <w:rFonts w:cs="Arial"/>
          <w:szCs w:val="18"/>
        </w:rPr>
      </w:pPr>
      <w:r w:rsidRPr="008F4611">
        <w:rPr>
          <w:rStyle w:val="FootnoteReference"/>
          <w:rFonts w:cs="Arial"/>
          <w:szCs w:val="18"/>
        </w:rPr>
        <w:footnoteRef/>
      </w:r>
      <w:r w:rsidRPr="008F4611">
        <w:rPr>
          <w:rFonts w:cs="Arial"/>
          <w:szCs w:val="18"/>
        </w:rPr>
        <w:t xml:space="preserve"> Decision of Brussels First Instance Court, Civil Court, of 15 October 2009, J.T., 2010/12, p. 195. The claim of the parties will be based on Articles 1382 and 1383 of the </w:t>
      </w:r>
      <w:hyperlink r:id="rId221" w:history="1">
        <w:r w:rsidRPr="008F4611">
          <w:rPr>
            <w:rStyle w:val="Hyperlink"/>
            <w:rFonts w:cs="Arial"/>
            <w:szCs w:val="18"/>
          </w:rPr>
          <w:t>Civil Code</w:t>
        </w:r>
      </w:hyperlink>
      <w:r w:rsidRPr="008F4611">
        <w:rPr>
          <w:rFonts w:cs="Arial"/>
          <w:szCs w:val="18"/>
        </w:rPr>
        <w:t xml:space="preserve"> without the need to establish negligence.</w:t>
      </w:r>
    </w:p>
  </w:footnote>
  <w:footnote w:id="219">
    <w:p w:rsidR="00F60A1E" w:rsidRPr="008F4611" w:rsidRDefault="00F60A1E" w:rsidP="00F60A1E">
      <w:pPr>
        <w:pStyle w:val="FootnoteText"/>
        <w:spacing w:after="0"/>
        <w:rPr>
          <w:rFonts w:cs="Arial"/>
          <w:szCs w:val="18"/>
          <w:lang w:val="en-US"/>
        </w:rPr>
      </w:pPr>
      <w:r w:rsidRPr="008F4611">
        <w:rPr>
          <w:rStyle w:val="FootnoteReference"/>
          <w:rFonts w:cs="Arial"/>
          <w:szCs w:val="18"/>
        </w:rPr>
        <w:footnoteRef/>
      </w:r>
      <w:r w:rsidRPr="008F4611">
        <w:rPr>
          <w:rFonts w:cs="Arial"/>
          <w:szCs w:val="18"/>
        </w:rPr>
        <w:t xml:space="preserve"> </w:t>
      </w:r>
      <w:r w:rsidRPr="008F4611">
        <w:rPr>
          <w:rFonts w:cs="Arial"/>
          <w:szCs w:val="18"/>
          <w:lang w:val="en-US"/>
        </w:rPr>
        <w:t>Articles 17 and 18 of the</w:t>
      </w:r>
      <w:r w:rsidRPr="008F4611">
        <w:rPr>
          <w:rFonts w:cs="Arial"/>
          <w:szCs w:val="18"/>
        </w:rPr>
        <w:t xml:space="preserve"> </w:t>
      </w:r>
      <w:hyperlink r:id="rId222" w:history="1">
        <w:r w:rsidRPr="008F4611">
          <w:rPr>
            <w:rStyle w:val="Hyperlink"/>
            <w:rFonts w:cs="Arial"/>
            <w:bCs/>
            <w:szCs w:val="18"/>
          </w:rPr>
          <w:t>Coordinated Laws of 12 January 1973 on the Council of State</w:t>
        </w:r>
      </w:hyperlink>
      <w:r w:rsidRPr="008F4611">
        <w:rPr>
          <w:rFonts w:cs="Arial"/>
          <w:bCs/>
          <w:szCs w:val="18"/>
          <w:lang w:val="en-US"/>
        </w:rPr>
        <w:t>.</w:t>
      </w:r>
    </w:p>
  </w:footnote>
  <w:footnote w:id="220">
    <w:p w:rsidR="00F60A1E" w:rsidRPr="008F4611" w:rsidRDefault="00F60A1E" w:rsidP="00F60A1E">
      <w:pPr>
        <w:pStyle w:val="FootnoteText"/>
        <w:spacing w:after="0"/>
        <w:jc w:val="both"/>
        <w:rPr>
          <w:rFonts w:cs="Arial"/>
          <w:szCs w:val="18"/>
        </w:rPr>
      </w:pPr>
      <w:r w:rsidRPr="008F4611">
        <w:rPr>
          <w:rStyle w:val="FootnoteReference"/>
          <w:rFonts w:cs="Arial"/>
          <w:szCs w:val="18"/>
        </w:rPr>
        <w:footnoteRef/>
      </w:r>
      <w:r w:rsidRPr="008F4611">
        <w:rPr>
          <w:rFonts w:cs="Arial"/>
          <w:szCs w:val="18"/>
        </w:rPr>
        <w:t xml:space="preserve"> Article 584 of the </w:t>
      </w:r>
      <w:hyperlink r:id="rId223" w:history="1">
        <w:r w:rsidRPr="008F4611">
          <w:rPr>
            <w:rStyle w:val="Hyperlink"/>
            <w:rFonts w:cs="Arial"/>
            <w:szCs w:val="18"/>
          </w:rPr>
          <w:t>Judicial Code</w:t>
        </w:r>
      </w:hyperlink>
      <w:r w:rsidRPr="008F4611">
        <w:rPr>
          <w:rFonts w:cs="Arial"/>
          <w:szCs w:val="18"/>
        </w:rPr>
        <w:t>.</w:t>
      </w:r>
    </w:p>
  </w:footnote>
  <w:footnote w:id="221">
    <w:p w:rsidR="00F60A1E" w:rsidRPr="008F4611" w:rsidRDefault="00F60A1E" w:rsidP="00F60A1E">
      <w:pPr>
        <w:pStyle w:val="FootnoteText"/>
        <w:spacing w:after="0"/>
        <w:rPr>
          <w:rFonts w:cs="Arial"/>
          <w:szCs w:val="18"/>
          <w:lang w:val="en-US"/>
        </w:rPr>
      </w:pPr>
      <w:r w:rsidRPr="008F4611">
        <w:rPr>
          <w:rStyle w:val="FootnoteReference"/>
          <w:rFonts w:cs="Arial"/>
          <w:szCs w:val="18"/>
        </w:rPr>
        <w:footnoteRef/>
      </w:r>
      <w:r w:rsidRPr="008F4611">
        <w:rPr>
          <w:rFonts w:cs="Arial"/>
          <w:szCs w:val="18"/>
        </w:rPr>
        <w:t xml:space="preserve"> </w:t>
      </w:r>
      <w:r w:rsidRPr="008F4611">
        <w:rPr>
          <w:rFonts w:cs="Arial"/>
          <w:szCs w:val="18"/>
          <w:lang w:val="en-US"/>
        </w:rPr>
        <w:t>Article 144 and 145 of the Constitution and Article 17(3) of the</w:t>
      </w:r>
      <w:r w:rsidRPr="008F4611">
        <w:rPr>
          <w:rFonts w:cs="Arial"/>
          <w:szCs w:val="18"/>
        </w:rPr>
        <w:t xml:space="preserve"> </w:t>
      </w:r>
      <w:hyperlink r:id="rId224" w:history="1">
        <w:r w:rsidRPr="008F4611">
          <w:rPr>
            <w:rStyle w:val="Hyperlink"/>
            <w:rFonts w:cs="Arial"/>
            <w:bCs/>
            <w:szCs w:val="18"/>
          </w:rPr>
          <w:t>Coordinated Laws of 12 January 1973 on the Council of State</w:t>
        </w:r>
      </w:hyperlink>
      <w:r w:rsidRPr="008F4611">
        <w:rPr>
          <w:rFonts w:cs="Arial"/>
          <w:bCs/>
          <w:szCs w:val="18"/>
          <w:lang w:val="en-US"/>
        </w:rPr>
        <w:t>.</w:t>
      </w:r>
    </w:p>
  </w:footnote>
  <w:footnote w:id="222">
    <w:p w:rsidR="00F60A1E" w:rsidRPr="008F4611" w:rsidRDefault="00F60A1E" w:rsidP="00F60A1E">
      <w:pPr>
        <w:pStyle w:val="FootnoteText"/>
        <w:spacing w:after="0"/>
        <w:jc w:val="both"/>
        <w:rPr>
          <w:rFonts w:cs="Arial"/>
          <w:szCs w:val="18"/>
          <w:lang w:val="fr-BE"/>
        </w:rPr>
      </w:pPr>
      <w:r w:rsidRPr="008F4611">
        <w:rPr>
          <w:rStyle w:val="FootnoteReference"/>
          <w:rFonts w:cs="Arial"/>
          <w:szCs w:val="18"/>
        </w:rPr>
        <w:footnoteRef/>
      </w:r>
      <w:r w:rsidRPr="008F4611">
        <w:rPr>
          <w:rFonts w:cs="Arial"/>
          <w:szCs w:val="18"/>
          <w:lang w:val="fr-BE"/>
        </w:rPr>
        <w:t xml:space="preserve"> Belgian Cassation Court, 21 mars 1985, Pas., 1985, I, 908; Jacques Englebert, “</w:t>
      </w:r>
      <w:hyperlink r:id="rId225" w:history="1">
        <w:r w:rsidRPr="008F4611">
          <w:rPr>
            <w:rStyle w:val="Hyperlink"/>
            <w:rFonts w:cs="Arial"/>
            <w:szCs w:val="18"/>
            <w:lang w:val="fr-BE"/>
          </w:rPr>
          <w:t>The judicial interim order: principles and questions of procedure</w:t>
        </w:r>
      </w:hyperlink>
      <w:r w:rsidRPr="008F4611">
        <w:rPr>
          <w:rFonts w:cs="Arial"/>
          <w:szCs w:val="18"/>
          <w:lang w:val="fr-BE"/>
        </w:rPr>
        <w:t>” (</w:t>
      </w:r>
      <w:r w:rsidRPr="008F4611">
        <w:rPr>
          <w:rFonts w:cs="Arial"/>
          <w:i/>
          <w:szCs w:val="18"/>
          <w:lang w:val="fr-BE"/>
        </w:rPr>
        <w:t>Le référé judiciaire : principes et questions de procédure</w:t>
      </w:r>
      <w:r w:rsidRPr="008F4611">
        <w:rPr>
          <w:rFonts w:cs="Arial"/>
          <w:szCs w:val="18"/>
          <w:lang w:val="fr-BE"/>
        </w:rPr>
        <w:t>).</w:t>
      </w:r>
    </w:p>
  </w:footnote>
  <w:footnote w:id="223">
    <w:p w:rsidR="00F60A1E" w:rsidRPr="008F4611" w:rsidRDefault="00F60A1E" w:rsidP="00F60A1E">
      <w:pPr>
        <w:pStyle w:val="FootnoteText"/>
        <w:spacing w:after="0"/>
        <w:jc w:val="both"/>
        <w:rPr>
          <w:rFonts w:cs="Arial"/>
          <w:szCs w:val="18"/>
        </w:rPr>
      </w:pPr>
      <w:r w:rsidRPr="008F4611">
        <w:rPr>
          <w:rStyle w:val="FootnoteReference"/>
          <w:rFonts w:cs="Arial"/>
          <w:szCs w:val="18"/>
        </w:rPr>
        <w:footnoteRef/>
      </w:r>
      <w:r w:rsidRPr="008F4611">
        <w:rPr>
          <w:rFonts w:cs="Arial"/>
          <w:szCs w:val="18"/>
        </w:rPr>
        <w:t xml:space="preserve"> Article 931 of the </w:t>
      </w:r>
      <w:hyperlink r:id="rId226" w:history="1">
        <w:r w:rsidRPr="008F4611">
          <w:rPr>
            <w:rStyle w:val="Hyperlink"/>
            <w:rFonts w:cs="Arial"/>
            <w:szCs w:val="18"/>
          </w:rPr>
          <w:t>Judicial Code</w:t>
        </w:r>
      </w:hyperlink>
      <w:r w:rsidRPr="008F4611">
        <w:rPr>
          <w:rFonts w:cs="Arial"/>
          <w:szCs w:val="18"/>
        </w:rPr>
        <w:t xml:space="preserve">. </w:t>
      </w:r>
    </w:p>
  </w:footnote>
  <w:footnote w:id="224">
    <w:p w:rsidR="00F60A1E" w:rsidRPr="00AF32C2" w:rsidRDefault="00F60A1E" w:rsidP="00F60A1E">
      <w:pPr>
        <w:pStyle w:val="FootnoteText"/>
        <w:spacing w:after="0"/>
        <w:jc w:val="both"/>
        <w:rPr>
          <w:rFonts w:cs="Arial"/>
          <w:sz w:val="16"/>
          <w:szCs w:val="16"/>
        </w:rPr>
      </w:pPr>
      <w:r w:rsidRPr="008F4611">
        <w:rPr>
          <w:rStyle w:val="FootnoteReference"/>
          <w:rFonts w:cs="Arial"/>
          <w:szCs w:val="18"/>
        </w:rPr>
        <w:footnoteRef/>
      </w:r>
      <w:r w:rsidRPr="008F4611">
        <w:rPr>
          <w:rFonts w:cs="Arial"/>
          <w:szCs w:val="18"/>
        </w:rPr>
        <w:t xml:space="preserve"> Information confirmed by stakeholder consultation with a Children’s Rights authority.</w:t>
      </w:r>
    </w:p>
  </w:footnote>
  <w:footnote w:id="225">
    <w:p w:rsidR="00F60A1E" w:rsidRPr="008F4611" w:rsidRDefault="00F60A1E" w:rsidP="00F60A1E">
      <w:pPr>
        <w:pStyle w:val="FootnoteText"/>
        <w:spacing w:after="0"/>
        <w:jc w:val="both"/>
        <w:rPr>
          <w:rFonts w:cs="Arial"/>
          <w:szCs w:val="18"/>
        </w:rPr>
      </w:pPr>
      <w:r w:rsidRPr="008F4611">
        <w:rPr>
          <w:rStyle w:val="FootnoteReference"/>
          <w:rFonts w:cs="Arial"/>
          <w:szCs w:val="18"/>
        </w:rPr>
        <w:footnoteRef/>
      </w:r>
      <w:r w:rsidRPr="008F4611">
        <w:rPr>
          <w:rFonts w:cs="Arial"/>
          <w:szCs w:val="18"/>
        </w:rPr>
        <w:t xml:space="preserve"> </w:t>
      </w:r>
      <w:r w:rsidRPr="008F4611">
        <w:rPr>
          <w:rFonts w:cs="Arial"/>
          <w:bCs/>
          <w:szCs w:val="18"/>
        </w:rPr>
        <w:t xml:space="preserve">Article 378 of the </w:t>
      </w:r>
      <w:hyperlink r:id="rId227" w:history="1">
        <w:r w:rsidRPr="008F4611">
          <w:rPr>
            <w:rStyle w:val="Hyperlink"/>
            <w:rFonts w:cs="Arial"/>
            <w:szCs w:val="18"/>
          </w:rPr>
          <w:t>Civil Code</w:t>
        </w:r>
      </w:hyperlink>
      <w:r w:rsidRPr="008F4611">
        <w:rPr>
          <w:rFonts w:cs="Arial"/>
          <w:bCs/>
          <w:szCs w:val="18"/>
        </w:rPr>
        <w:t>.</w:t>
      </w:r>
    </w:p>
  </w:footnote>
  <w:footnote w:id="226">
    <w:p w:rsidR="00F60A1E" w:rsidRPr="008F4611" w:rsidRDefault="00F60A1E" w:rsidP="00F60A1E">
      <w:pPr>
        <w:pStyle w:val="FootnoteText"/>
        <w:spacing w:after="0"/>
        <w:rPr>
          <w:rFonts w:cs="Arial"/>
          <w:szCs w:val="18"/>
          <w:lang w:val="en-US"/>
        </w:rPr>
      </w:pPr>
      <w:r w:rsidRPr="008F4611">
        <w:rPr>
          <w:rStyle w:val="FootnoteReference"/>
          <w:rFonts w:cs="Arial"/>
          <w:szCs w:val="18"/>
        </w:rPr>
        <w:footnoteRef/>
      </w:r>
      <w:r w:rsidRPr="008F4611">
        <w:rPr>
          <w:rFonts w:cs="Arial"/>
          <w:szCs w:val="18"/>
        </w:rPr>
        <w:t xml:space="preserve"> </w:t>
      </w:r>
      <w:r w:rsidRPr="008F4611">
        <w:rPr>
          <w:rFonts w:cs="Arial"/>
          <w:szCs w:val="18"/>
          <w:lang w:val="en-US"/>
        </w:rPr>
        <w:t>Article 19 of the</w:t>
      </w:r>
      <w:r w:rsidRPr="008F4611">
        <w:rPr>
          <w:rFonts w:cs="Arial"/>
          <w:szCs w:val="18"/>
        </w:rPr>
        <w:t xml:space="preserve"> </w:t>
      </w:r>
      <w:hyperlink r:id="rId228" w:history="1">
        <w:r w:rsidRPr="008F4611">
          <w:rPr>
            <w:rStyle w:val="Hyperlink"/>
            <w:rFonts w:cs="Arial"/>
            <w:bCs/>
            <w:szCs w:val="18"/>
          </w:rPr>
          <w:t>Coordinated Laws of 12 January 1973 on the Council of State</w:t>
        </w:r>
      </w:hyperlink>
      <w:r w:rsidRPr="008F4611">
        <w:rPr>
          <w:rFonts w:cs="Arial"/>
          <w:bCs/>
          <w:szCs w:val="18"/>
          <w:lang w:val="en-US"/>
        </w:rPr>
        <w:t>.</w:t>
      </w:r>
    </w:p>
  </w:footnote>
  <w:footnote w:id="227">
    <w:p w:rsidR="00F60A1E" w:rsidRPr="008F4611" w:rsidRDefault="00F60A1E" w:rsidP="00F60A1E">
      <w:pPr>
        <w:pStyle w:val="FootnoteText"/>
        <w:spacing w:after="0"/>
        <w:rPr>
          <w:rFonts w:cs="Arial"/>
          <w:szCs w:val="18"/>
          <w:lang w:val="en-US"/>
        </w:rPr>
      </w:pPr>
      <w:r w:rsidRPr="008F4611">
        <w:rPr>
          <w:rStyle w:val="FootnoteReference"/>
          <w:rFonts w:cs="Arial"/>
          <w:szCs w:val="18"/>
        </w:rPr>
        <w:footnoteRef/>
      </w:r>
      <w:r w:rsidRPr="008F4611">
        <w:rPr>
          <w:rFonts w:cs="Arial"/>
          <w:szCs w:val="18"/>
        </w:rPr>
        <w:t xml:space="preserve"> </w:t>
      </w:r>
      <w:r w:rsidRPr="008F4611">
        <w:rPr>
          <w:rFonts w:cs="Arial"/>
          <w:szCs w:val="18"/>
          <w:lang w:val="en-US"/>
        </w:rPr>
        <w:t>Article 5 of the Royal Decree of 30 November 2006 on the cassation procedure before the Council of State.</w:t>
      </w:r>
    </w:p>
  </w:footnote>
  <w:footnote w:id="228">
    <w:p w:rsidR="00F60A1E" w:rsidRPr="008F4611" w:rsidRDefault="00F60A1E" w:rsidP="00F60A1E">
      <w:pPr>
        <w:pStyle w:val="FootnoteText"/>
        <w:jc w:val="both"/>
        <w:rPr>
          <w:rFonts w:cs="Arial"/>
          <w:szCs w:val="18"/>
          <w:lang w:val="en-US"/>
        </w:rPr>
      </w:pPr>
      <w:r w:rsidRPr="008F4611">
        <w:rPr>
          <w:rStyle w:val="FootnoteReference"/>
          <w:rFonts w:cs="Arial"/>
          <w:szCs w:val="18"/>
        </w:rPr>
        <w:footnoteRef/>
      </w:r>
      <w:r w:rsidRPr="008F4611">
        <w:rPr>
          <w:rFonts w:cs="Arial"/>
          <w:szCs w:val="18"/>
        </w:rPr>
        <w:t xml:space="preserve"> Information confirmed by stakeholder consultation with a Children’s Rights authority.</w:t>
      </w:r>
    </w:p>
  </w:footnote>
  <w:footnote w:id="229">
    <w:p w:rsidR="00F60A1E" w:rsidRPr="008F4611" w:rsidRDefault="00F60A1E" w:rsidP="00F60A1E">
      <w:pPr>
        <w:pStyle w:val="FootnoteText"/>
        <w:spacing w:after="0"/>
        <w:jc w:val="both"/>
        <w:rPr>
          <w:rFonts w:cs="Arial"/>
          <w:szCs w:val="18"/>
        </w:rPr>
      </w:pPr>
      <w:r w:rsidRPr="008F4611">
        <w:rPr>
          <w:rStyle w:val="FootnoteReference"/>
          <w:rFonts w:cs="Arial"/>
          <w:szCs w:val="18"/>
        </w:rPr>
        <w:footnoteRef/>
      </w:r>
      <w:r w:rsidRPr="008F4611">
        <w:rPr>
          <w:rFonts w:cs="Arial"/>
          <w:szCs w:val="18"/>
        </w:rPr>
        <w:t xml:space="preserve"> Article 931 of the </w:t>
      </w:r>
      <w:hyperlink r:id="rId229" w:history="1">
        <w:r w:rsidRPr="008F4611">
          <w:rPr>
            <w:rStyle w:val="Hyperlink"/>
            <w:rFonts w:cs="Arial"/>
            <w:szCs w:val="18"/>
          </w:rPr>
          <w:t>Judicial Code</w:t>
        </w:r>
      </w:hyperlink>
      <w:r w:rsidRPr="008F4611">
        <w:rPr>
          <w:rFonts w:cs="Arial"/>
          <w:szCs w:val="18"/>
        </w:rPr>
        <w:t xml:space="preserve"> and Cécile De Boe, </w:t>
      </w:r>
      <w:r w:rsidRPr="008F4611">
        <w:rPr>
          <w:rFonts w:cs="Arial"/>
          <w:i/>
          <w:szCs w:val="18"/>
        </w:rPr>
        <w:t>‘The position of the child in civil proceedings’</w:t>
      </w:r>
      <w:r w:rsidRPr="008F4611">
        <w:rPr>
          <w:rFonts w:cs="Arial"/>
          <w:szCs w:val="18"/>
        </w:rPr>
        <w:t xml:space="preserve"> (</w:t>
      </w:r>
      <w:r w:rsidRPr="008F4611">
        <w:rPr>
          <w:rFonts w:cs="Arial"/>
          <w:i/>
          <w:szCs w:val="18"/>
        </w:rPr>
        <w:t>La place de l’enfant dans le procès civil</w:t>
      </w:r>
      <w:r w:rsidRPr="008F4611">
        <w:rPr>
          <w:rFonts w:cs="Arial"/>
          <w:szCs w:val="18"/>
        </w:rPr>
        <w:t xml:space="preserve">)’, 2009, </w:t>
      </w:r>
      <w:r w:rsidRPr="008F4611">
        <w:rPr>
          <w:rFonts w:cs="Arial"/>
          <w:i/>
          <w:szCs w:val="18"/>
        </w:rPr>
        <w:t>Journal des Tribunaux</w:t>
      </w:r>
      <w:r w:rsidRPr="008F4611">
        <w:rPr>
          <w:rFonts w:cs="Arial"/>
          <w:szCs w:val="18"/>
        </w:rPr>
        <w:t>, p. 495.</w:t>
      </w:r>
    </w:p>
  </w:footnote>
  <w:footnote w:id="230">
    <w:p w:rsidR="00F60A1E" w:rsidRPr="008F4611" w:rsidRDefault="00F60A1E" w:rsidP="00F60A1E">
      <w:pPr>
        <w:pStyle w:val="FootnoteText"/>
        <w:spacing w:after="0"/>
        <w:jc w:val="both"/>
        <w:rPr>
          <w:rFonts w:cs="Arial"/>
          <w:szCs w:val="18"/>
        </w:rPr>
      </w:pPr>
      <w:r w:rsidRPr="008F4611">
        <w:rPr>
          <w:rStyle w:val="FootnoteReference"/>
          <w:rFonts w:cs="Arial"/>
          <w:szCs w:val="18"/>
        </w:rPr>
        <w:footnoteRef/>
      </w:r>
      <w:r w:rsidRPr="008F4611">
        <w:rPr>
          <w:rFonts w:cs="Arial"/>
          <w:szCs w:val="18"/>
        </w:rPr>
        <w:t xml:space="preserve"> Article 47 bis of the </w:t>
      </w:r>
      <w:hyperlink r:id="rId230" w:history="1">
        <w:r w:rsidRPr="008F4611">
          <w:rPr>
            <w:rStyle w:val="Hyperlink"/>
            <w:rFonts w:cs="Arial"/>
            <w:szCs w:val="18"/>
          </w:rPr>
          <w:t>Criminal Procedure Cod</w:t>
        </w:r>
      </w:hyperlink>
      <w:r w:rsidRPr="008F4611">
        <w:rPr>
          <w:rFonts w:cs="Arial"/>
          <w:szCs w:val="18"/>
        </w:rPr>
        <w:t>e.</w:t>
      </w:r>
    </w:p>
  </w:footnote>
  <w:footnote w:id="231">
    <w:p w:rsidR="00F60A1E" w:rsidRPr="008F4611" w:rsidRDefault="00F60A1E" w:rsidP="00F60A1E">
      <w:pPr>
        <w:pStyle w:val="FootnoteText"/>
        <w:spacing w:after="0"/>
        <w:rPr>
          <w:rFonts w:cs="Arial"/>
          <w:szCs w:val="18"/>
          <w:lang w:val="fr-BE"/>
        </w:rPr>
      </w:pPr>
      <w:r w:rsidRPr="008F4611">
        <w:rPr>
          <w:rStyle w:val="FootnoteReference"/>
          <w:rFonts w:cs="Arial"/>
          <w:szCs w:val="18"/>
        </w:rPr>
        <w:footnoteRef/>
      </w:r>
      <w:r w:rsidRPr="00FF18BE">
        <w:rPr>
          <w:rFonts w:cs="Arial"/>
          <w:szCs w:val="18"/>
          <w:lang w:val="fr-BE"/>
        </w:rPr>
        <w:t xml:space="preserve"> </w:t>
      </w:r>
      <w:r w:rsidRPr="008F4611">
        <w:rPr>
          <w:rFonts w:cs="Arial"/>
          <w:szCs w:val="18"/>
          <w:lang w:val="fr-BE"/>
        </w:rPr>
        <w:t xml:space="preserve">Michel Leroy, </w:t>
      </w:r>
      <w:r w:rsidRPr="008F4611">
        <w:rPr>
          <w:rFonts w:cs="Arial"/>
          <w:i/>
          <w:szCs w:val="18"/>
          <w:lang w:val="fr-BE"/>
        </w:rPr>
        <w:t>Contentieux administratif</w:t>
      </w:r>
      <w:r w:rsidRPr="008F4611">
        <w:rPr>
          <w:rFonts w:cs="Arial"/>
          <w:szCs w:val="18"/>
          <w:lang w:val="fr-BE"/>
        </w:rPr>
        <w:t>, Anthemis, Brussels, 2011, p. 569.</w:t>
      </w:r>
    </w:p>
  </w:footnote>
  <w:footnote w:id="232">
    <w:p w:rsidR="00F60A1E" w:rsidRPr="008F4611" w:rsidRDefault="00F60A1E" w:rsidP="00F60A1E">
      <w:pPr>
        <w:pStyle w:val="FootnoteText"/>
        <w:spacing w:after="0"/>
        <w:jc w:val="both"/>
        <w:rPr>
          <w:rFonts w:cs="Arial"/>
          <w:szCs w:val="18"/>
          <w:lang w:val="en-US"/>
        </w:rPr>
      </w:pPr>
      <w:r w:rsidRPr="008F4611">
        <w:rPr>
          <w:rStyle w:val="FootnoteReference"/>
          <w:rFonts w:cs="Arial"/>
          <w:szCs w:val="18"/>
        </w:rPr>
        <w:footnoteRef/>
      </w:r>
      <w:r w:rsidRPr="008F4611">
        <w:rPr>
          <w:rFonts w:cs="Arial"/>
          <w:szCs w:val="18"/>
        </w:rPr>
        <w:t xml:space="preserve"> </w:t>
      </w:r>
      <w:r w:rsidRPr="008F4611">
        <w:rPr>
          <w:rFonts w:cs="Arial"/>
          <w:szCs w:val="18"/>
          <w:lang w:val="en-US"/>
        </w:rPr>
        <w:t>Article 30 of the</w:t>
      </w:r>
      <w:r w:rsidRPr="008F4611">
        <w:rPr>
          <w:rFonts w:cs="Arial"/>
          <w:szCs w:val="18"/>
        </w:rPr>
        <w:t xml:space="preserve"> </w:t>
      </w:r>
      <w:hyperlink r:id="rId231" w:history="1">
        <w:r w:rsidRPr="008F4611">
          <w:rPr>
            <w:rStyle w:val="Hyperlink"/>
            <w:rFonts w:cs="Arial"/>
            <w:bCs/>
            <w:szCs w:val="18"/>
          </w:rPr>
          <w:t>Coordinated Laws of 12 January 1973 on the Council of State</w:t>
        </w:r>
      </w:hyperlink>
      <w:r w:rsidRPr="008F4611">
        <w:rPr>
          <w:rFonts w:cs="Arial"/>
          <w:bCs/>
          <w:szCs w:val="18"/>
          <w:lang w:val="en-US"/>
        </w:rPr>
        <w:t xml:space="preserve"> and Article 26 of </w:t>
      </w:r>
      <w:hyperlink r:id="rId232" w:history="1">
        <w:r w:rsidRPr="008F4611">
          <w:rPr>
            <w:rStyle w:val="Hyperlink"/>
            <w:rFonts w:cs="Arial"/>
            <w:szCs w:val="18"/>
            <w:lang w:val="en-US"/>
          </w:rPr>
          <w:t>Decree of the Regent of 23 August 1948 determining the procedure before the section of administrative litigation of the Council of State</w:t>
        </w:r>
      </w:hyperlink>
      <w:r w:rsidRPr="008F4611">
        <w:rPr>
          <w:rFonts w:cs="Arial"/>
          <w:szCs w:val="18"/>
        </w:rPr>
        <w:t>.</w:t>
      </w:r>
    </w:p>
  </w:footnote>
  <w:footnote w:id="233">
    <w:p w:rsidR="00F60A1E" w:rsidRPr="00AF32C2" w:rsidRDefault="00F60A1E" w:rsidP="00F60A1E">
      <w:pPr>
        <w:pStyle w:val="FootnoteText"/>
        <w:spacing w:after="0"/>
        <w:jc w:val="both"/>
        <w:rPr>
          <w:rFonts w:cs="Arial"/>
          <w:sz w:val="16"/>
          <w:szCs w:val="16"/>
        </w:rPr>
      </w:pPr>
      <w:r w:rsidRPr="008F4611">
        <w:rPr>
          <w:rStyle w:val="FootnoteReference"/>
          <w:rFonts w:cs="Arial"/>
          <w:szCs w:val="18"/>
        </w:rPr>
        <w:footnoteRef/>
      </w:r>
      <w:r w:rsidRPr="008F4611">
        <w:rPr>
          <w:rFonts w:cs="Arial"/>
          <w:szCs w:val="18"/>
        </w:rPr>
        <w:t xml:space="preserve"> Information confirmed by stakeholder consultation with a Children’s Rights authority.</w:t>
      </w:r>
    </w:p>
  </w:footnote>
  <w:footnote w:id="234">
    <w:p w:rsidR="00F60A1E" w:rsidRPr="008F4611" w:rsidRDefault="00F60A1E" w:rsidP="00F60A1E">
      <w:pPr>
        <w:pStyle w:val="FootnoteText"/>
        <w:spacing w:after="0"/>
        <w:jc w:val="both"/>
        <w:rPr>
          <w:rFonts w:cs="Arial"/>
          <w:szCs w:val="18"/>
        </w:rPr>
      </w:pPr>
      <w:r w:rsidRPr="008F4611">
        <w:rPr>
          <w:rStyle w:val="FootnoteReference"/>
          <w:rFonts w:cs="Arial"/>
          <w:szCs w:val="18"/>
        </w:rPr>
        <w:footnoteRef/>
      </w:r>
      <w:r w:rsidRPr="008F4611">
        <w:rPr>
          <w:rFonts w:cs="Arial"/>
          <w:szCs w:val="18"/>
        </w:rPr>
        <w:t xml:space="preserve"> Information confirmed by stakeholder consultation with a Children’s Rights authority.</w:t>
      </w:r>
    </w:p>
  </w:footnote>
  <w:footnote w:id="235">
    <w:p w:rsidR="00F60A1E" w:rsidRPr="008F4611" w:rsidRDefault="00F60A1E" w:rsidP="00F60A1E">
      <w:pPr>
        <w:pStyle w:val="FootnoteText"/>
        <w:spacing w:after="0"/>
        <w:jc w:val="both"/>
        <w:rPr>
          <w:rFonts w:cs="Arial"/>
          <w:szCs w:val="18"/>
        </w:rPr>
      </w:pPr>
      <w:r w:rsidRPr="008F4611">
        <w:rPr>
          <w:rStyle w:val="FootnoteReference"/>
          <w:rFonts w:cs="Arial"/>
          <w:szCs w:val="18"/>
        </w:rPr>
        <w:footnoteRef/>
      </w:r>
      <w:r w:rsidRPr="008F4611">
        <w:rPr>
          <w:rFonts w:cs="Arial"/>
          <w:szCs w:val="18"/>
        </w:rPr>
        <w:t xml:space="preserve"> Information collected via a consultation with the Ministry of Justice.</w:t>
      </w:r>
    </w:p>
  </w:footnote>
  <w:footnote w:id="236">
    <w:p w:rsidR="00F60A1E" w:rsidRPr="008F4611" w:rsidRDefault="00F60A1E" w:rsidP="00F60A1E">
      <w:pPr>
        <w:pStyle w:val="FootnoteText"/>
        <w:spacing w:after="0"/>
        <w:rPr>
          <w:rFonts w:cs="Arial"/>
          <w:szCs w:val="18"/>
          <w:lang w:val="en-US"/>
        </w:rPr>
      </w:pPr>
      <w:r w:rsidRPr="008F4611">
        <w:rPr>
          <w:rStyle w:val="FootnoteReference"/>
          <w:rFonts w:cs="Arial"/>
          <w:szCs w:val="18"/>
        </w:rPr>
        <w:footnoteRef/>
      </w:r>
      <w:r w:rsidRPr="008F4611">
        <w:rPr>
          <w:rFonts w:cs="Arial"/>
          <w:szCs w:val="18"/>
        </w:rPr>
        <w:t xml:space="preserve"> Article 931 of the </w:t>
      </w:r>
      <w:hyperlink r:id="rId233" w:history="1">
        <w:r w:rsidRPr="008F4611">
          <w:rPr>
            <w:rStyle w:val="Hyperlink"/>
            <w:rFonts w:cs="Arial"/>
            <w:szCs w:val="18"/>
          </w:rPr>
          <w:t>Judicial Code</w:t>
        </w:r>
      </w:hyperlink>
      <w:r w:rsidRPr="008F4611">
        <w:rPr>
          <w:rFonts w:cs="Arial"/>
          <w:szCs w:val="18"/>
        </w:rPr>
        <w:t>.</w:t>
      </w:r>
    </w:p>
  </w:footnote>
  <w:footnote w:id="237">
    <w:p w:rsidR="00F60A1E" w:rsidRPr="008F4611" w:rsidRDefault="00F60A1E" w:rsidP="00F60A1E">
      <w:pPr>
        <w:pStyle w:val="FootnoteText"/>
        <w:spacing w:after="0"/>
        <w:jc w:val="both"/>
        <w:rPr>
          <w:rFonts w:cs="Arial"/>
          <w:szCs w:val="18"/>
        </w:rPr>
      </w:pPr>
      <w:r w:rsidRPr="008F4611">
        <w:rPr>
          <w:rStyle w:val="FootnoteReference"/>
          <w:rFonts w:cs="Arial"/>
          <w:szCs w:val="18"/>
        </w:rPr>
        <w:footnoteRef/>
      </w:r>
      <w:r w:rsidRPr="008F4611">
        <w:rPr>
          <w:rFonts w:cs="Arial"/>
          <w:szCs w:val="18"/>
        </w:rPr>
        <w:t xml:space="preserve"> Article 931 of the </w:t>
      </w:r>
      <w:hyperlink r:id="rId234" w:history="1">
        <w:r w:rsidRPr="008F4611">
          <w:rPr>
            <w:rStyle w:val="Hyperlink"/>
            <w:rFonts w:cs="Arial"/>
            <w:szCs w:val="18"/>
          </w:rPr>
          <w:t>Judicial Code</w:t>
        </w:r>
      </w:hyperlink>
      <w:r w:rsidRPr="008F4611">
        <w:rPr>
          <w:rFonts w:cs="Arial"/>
          <w:szCs w:val="18"/>
        </w:rPr>
        <w:t>.</w:t>
      </w:r>
    </w:p>
  </w:footnote>
  <w:footnote w:id="238">
    <w:p w:rsidR="00F60A1E" w:rsidRPr="008F4611" w:rsidRDefault="00F60A1E" w:rsidP="00F60A1E">
      <w:pPr>
        <w:pStyle w:val="FootnoteText"/>
        <w:spacing w:after="0"/>
        <w:jc w:val="both"/>
        <w:rPr>
          <w:rFonts w:cs="Arial"/>
          <w:szCs w:val="18"/>
        </w:rPr>
      </w:pPr>
      <w:r w:rsidRPr="008F4611">
        <w:rPr>
          <w:rStyle w:val="FootnoteReference"/>
          <w:rFonts w:cs="Arial"/>
          <w:szCs w:val="18"/>
        </w:rPr>
        <w:footnoteRef/>
      </w:r>
      <w:r w:rsidRPr="008F4611">
        <w:rPr>
          <w:rFonts w:cs="Arial"/>
          <w:szCs w:val="18"/>
        </w:rPr>
        <w:t xml:space="preserve"> The adversarial principle (</w:t>
      </w:r>
      <w:r w:rsidRPr="008F4611">
        <w:rPr>
          <w:rFonts w:cs="Arial"/>
          <w:i/>
          <w:szCs w:val="18"/>
        </w:rPr>
        <w:t>het beginsel van hoor en wederhoor – principe du contradictoire</w:t>
      </w:r>
      <w:r w:rsidRPr="008F4611">
        <w:rPr>
          <w:rFonts w:cs="Arial"/>
          <w:szCs w:val="18"/>
        </w:rPr>
        <w:t>) requires that both parties have the possibility to discuss the facts of the cases, the evidences put forward and the legal arguments made. In this case, if a party cannot access the interview report and therefore did not have the opportunity to see and discuss the report, the interview report cannot be used as a basis for the judge’s decision.</w:t>
      </w:r>
    </w:p>
  </w:footnote>
  <w:footnote w:id="239">
    <w:p w:rsidR="00F60A1E" w:rsidRPr="008F4611" w:rsidRDefault="00F60A1E" w:rsidP="00F60A1E">
      <w:pPr>
        <w:pStyle w:val="FootnoteText"/>
        <w:spacing w:after="0"/>
        <w:jc w:val="both"/>
        <w:rPr>
          <w:rFonts w:cs="Arial"/>
          <w:szCs w:val="18"/>
          <w:lang w:val="en-US"/>
        </w:rPr>
      </w:pPr>
      <w:r w:rsidRPr="008F4611">
        <w:rPr>
          <w:rStyle w:val="FootnoteReference"/>
          <w:rFonts w:cs="Arial"/>
          <w:szCs w:val="18"/>
        </w:rPr>
        <w:footnoteRef/>
      </w:r>
      <w:r w:rsidRPr="008F4611">
        <w:rPr>
          <w:rFonts w:cs="Arial"/>
          <w:szCs w:val="18"/>
        </w:rPr>
        <w:t xml:space="preserve"> Article 931 of the </w:t>
      </w:r>
      <w:hyperlink r:id="rId235" w:history="1">
        <w:r w:rsidRPr="008F4611">
          <w:rPr>
            <w:rStyle w:val="Hyperlink"/>
            <w:rFonts w:cs="Arial"/>
            <w:szCs w:val="18"/>
          </w:rPr>
          <w:t>Judicial Code</w:t>
        </w:r>
      </w:hyperlink>
      <w:r w:rsidRPr="008F4611">
        <w:rPr>
          <w:rFonts w:cs="Arial"/>
          <w:szCs w:val="18"/>
        </w:rPr>
        <w:t xml:space="preserve"> and Cécile De Boe, </w:t>
      </w:r>
      <w:r w:rsidRPr="008F4611">
        <w:rPr>
          <w:rFonts w:cs="Arial"/>
          <w:i/>
          <w:szCs w:val="18"/>
        </w:rPr>
        <w:t>‘The position of the child in civil proceedings’</w:t>
      </w:r>
      <w:r w:rsidRPr="008F4611">
        <w:rPr>
          <w:rFonts w:cs="Arial"/>
          <w:szCs w:val="18"/>
        </w:rPr>
        <w:t xml:space="preserve"> (</w:t>
      </w:r>
      <w:r w:rsidRPr="008F4611">
        <w:rPr>
          <w:rFonts w:cs="Arial"/>
          <w:i/>
          <w:szCs w:val="18"/>
        </w:rPr>
        <w:t>La place de l’enfant dans le procès civil</w:t>
      </w:r>
      <w:r w:rsidRPr="008F4611">
        <w:rPr>
          <w:rFonts w:cs="Arial"/>
          <w:szCs w:val="18"/>
        </w:rPr>
        <w:t xml:space="preserve">)’, 2009, </w:t>
      </w:r>
      <w:r w:rsidRPr="008F4611">
        <w:rPr>
          <w:rFonts w:cs="Arial"/>
          <w:i/>
          <w:szCs w:val="18"/>
        </w:rPr>
        <w:t>Journal des Tribunaux</w:t>
      </w:r>
      <w:r w:rsidRPr="008F4611">
        <w:rPr>
          <w:rFonts w:cs="Arial"/>
          <w:szCs w:val="18"/>
        </w:rPr>
        <w:t>, p. 496.</w:t>
      </w:r>
      <w:r w:rsidRPr="00FF18BE">
        <w:rPr>
          <w:rFonts w:cs="Arial"/>
          <w:szCs w:val="18"/>
        </w:rPr>
        <w:t xml:space="preserve"> </w:t>
      </w:r>
      <w:r w:rsidRPr="008F4611">
        <w:rPr>
          <w:rFonts w:cs="Arial"/>
          <w:szCs w:val="18"/>
          <w:lang w:val="en-US"/>
        </w:rPr>
        <w:t>The new Act foresees that if the child has already been heard during the proceedings, then the child can only be heard again if new elements justify it. The new Act also requires the opinion of the child to be considered, taking into account his/her age and maturity and that the written record of the child’s interview must be read to the child and included in the case file.</w:t>
      </w:r>
    </w:p>
  </w:footnote>
  <w:footnote w:id="240">
    <w:p w:rsidR="00F60A1E" w:rsidRPr="008F4611" w:rsidRDefault="00F60A1E" w:rsidP="00F60A1E">
      <w:pPr>
        <w:pStyle w:val="FootnoteText"/>
        <w:spacing w:after="0"/>
        <w:rPr>
          <w:rFonts w:cs="Arial"/>
          <w:szCs w:val="18"/>
          <w:lang w:val="en-US"/>
        </w:rPr>
      </w:pPr>
      <w:r w:rsidRPr="008F4611">
        <w:rPr>
          <w:rStyle w:val="FootnoteReference"/>
          <w:rFonts w:cs="Arial"/>
          <w:szCs w:val="18"/>
        </w:rPr>
        <w:footnoteRef/>
      </w:r>
      <w:r w:rsidRPr="008F4611">
        <w:rPr>
          <w:rFonts w:cs="Arial"/>
          <w:szCs w:val="18"/>
        </w:rPr>
        <w:t xml:space="preserve"> </w:t>
      </w:r>
      <w:r w:rsidRPr="008F4611">
        <w:rPr>
          <w:rFonts w:cs="Arial"/>
          <w:szCs w:val="18"/>
          <w:lang w:val="en-US"/>
        </w:rPr>
        <w:t>Act of 10 May 2007 combatting certain forms of discrimination.</w:t>
      </w:r>
    </w:p>
  </w:footnote>
  <w:footnote w:id="241">
    <w:p w:rsidR="00F60A1E" w:rsidRPr="008F4611" w:rsidRDefault="00F60A1E" w:rsidP="00F60A1E">
      <w:pPr>
        <w:pStyle w:val="FootnoteText"/>
        <w:spacing w:after="0"/>
        <w:jc w:val="both"/>
        <w:rPr>
          <w:rFonts w:cs="Arial"/>
          <w:szCs w:val="18"/>
        </w:rPr>
      </w:pPr>
      <w:r w:rsidRPr="008F4611">
        <w:rPr>
          <w:rStyle w:val="FootnoteReference"/>
          <w:rFonts w:cs="Arial"/>
          <w:szCs w:val="18"/>
        </w:rPr>
        <w:footnoteRef/>
      </w:r>
      <w:r w:rsidRPr="008F4611">
        <w:rPr>
          <w:rFonts w:cs="Arial"/>
          <w:szCs w:val="18"/>
        </w:rPr>
        <w:t xml:space="preserve"> </w:t>
      </w:r>
      <w:hyperlink r:id="rId236" w:history="1">
        <w:r w:rsidRPr="008F4611">
          <w:rPr>
            <w:rStyle w:val="Hyperlink"/>
            <w:rFonts w:cs="Arial"/>
            <w:szCs w:val="18"/>
          </w:rPr>
          <w:t>UNICEF-Belgium</w:t>
        </w:r>
      </w:hyperlink>
      <w:r w:rsidRPr="008F4611">
        <w:rPr>
          <w:rFonts w:cs="Arial"/>
          <w:szCs w:val="18"/>
        </w:rPr>
        <w:t xml:space="preserve">; </w:t>
      </w:r>
      <w:hyperlink r:id="rId237" w:history="1">
        <w:r w:rsidRPr="008F4611">
          <w:rPr>
            <w:rStyle w:val="Hyperlink"/>
            <w:rFonts w:cs="Arial"/>
            <w:szCs w:val="18"/>
          </w:rPr>
          <w:t>General Delegate for Children’s Rights</w:t>
        </w:r>
      </w:hyperlink>
      <w:r w:rsidRPr="008F4611">
        <w:rPr>
          <w:rFonts w:cs="Arial"/>
          <w:szCs w:val="18"/>
        </w:rPr>
        <w:t xml:space="preserve">; </w:t>
      </w:r>
      <w:hyperlink r:id="rId238" w:history="1">
        <w:r w:rsidRPr="008F4611">
          <w:rPr>
            <w:rStyle w:val="Hyperlink"/>
            <w:rFonts w:cs="Arial"/>
            <w:szCs w:val="18"/>
          </w:rPr>
          <w:t>Kinderrechtswinkel</w:t>
        </w:r>
      </w:hyperlink>
      <w:r w:rsidRPr="008F4611">
        <w:rPr>
          <w:rFonts w:cs="Arial"/>
          <w:szCs w:val="18"/>
        </w:rPr>
        <w:t xml:space="preserve">; </w:t>
      </w:r>
      <w:hyperlink r:id="rId239" w:history="1">
        <w:r w:rsidRPr="008F4611">
          <w:rPr>
            <w:rStyle w:val="Hyperlink"/>
            <w:rFonts w:cs="Arial"/>
            <w:szCs w:val="18"/>
          </w:rPr>
          <w:t>Commissariat for Children’s Rights</w:t>
        </w:r>
      </w:hyperlink>
      <w:r w:rsidRPr="008F4611">
        <w:rPr>
          <w:rFonts w:cs="Arial"/>
          <w:szCs w:val="18"/>
        </w:rPr>
        <w:t xml:space="preserve">; </w:t>
      </w:r>
      <w:hyperlink r:id="rId240" w:history="1">
        <w:r w:rsidRPr="008F4611">
          <w:rPr>
            <w:rStyle w:val="Hyperlink"/>
            <w:rFonts w:cs="Arial"/>
            <w:szCs w:val="18"/>
          </w:rPr>
          <w:t>Children’s Rights Collective</w:t>
        </w:r>
      </w:hyperlink>
      <w:r w:rsidRPr="008F4611">
        <w:rPr>
          <w:rFonts w:cs="Arial"/>
          <w:szCs w:val="18"/>
        </w:rPr>
        <w:t xml:space="preserve">. </w:t>
      </w:r>
    </w:p>
  </w:footnote>
  <w:footnote w:id="242">
    <w:p w:rsidR="00F60A1E" w:rsidRPr="00AF32C2" w:rsidRDefault="00F60A1E" w:rsidP="00F60A1E">
      <w:pPr>
        <w:pStyle w:val="FootnoteText"/>
        <w:spacing w:after="0"/>
        <w:jc w:val="both"/>
        <w:rPr>
          <w:rFonts w:cs="Arial"/>
          <w:sz w:val="16"/>
          <w:szCs w:val="16"/>
        </w:rPr>
      </w:pPr>
      <w:r w:rsidRPr="008F4611">
        <w:rPr>
          <w:rStyle w:val="FootnoteReference"/>
          <w:rFonts w:cs="Arial"/>
          <w:szCs w:val="18"/>
        </w:rPr>
        <w:footnoteRef/>
      </w:r>
      <w:r w:rsidRPr="008F4611">
        <w:rPr>
          <w:rFonts w:cs="Arial"/>
          <w:szCs w:val="18"/>
        </w:rPr>
        <w:t xml:space="preserve"> Information confirmed by stakeholder consultation with a Children’s Rights authority.</w:t>
      </w:r>
    </w:p>
  </w:footnote>
  <w:footnote w:id="243">
    <w:p w:rsidR="00F60A1E" w:rsidRPr="008F4611" w:rsidRDefault="00F60A1E" w:rsidP="00F60A1E">
      <w:pPr>
        <w:pStyle w:val="FootnoteText"/>
        <w:spacing w:after="0"/>
        <w:rPr>
          <w:szCs w:val="18"/>
          <w:lang w:val="en-US"/>
        </w:rPr>
      </w:pPr>
      <w:r w:rsidRPr="008F4611">
        <w:rPr>
          <w:rStyle w:val="FootnoteReference"/>
          <w:szCs w:val="18"/>
        </w:rPr>
        <w:footnoteRef/>
      </w:r>
      <w:r w:rsidRPr="008F4611">
        <w:rPr>
          <w:szCs w:val="18"/>
        </w:rPr>
        <w:t xml:space="preserve"> </w:t>
      </w:r>
      <w:r w:rsidRPr="008F4611">
        <w:rPr>
          <w:szCs w:val="18"/>
          <w:lang w:val="en-US"/>
        </w:rPr>
        <w:t xml:space="preserve">Articles 39/77 and 39/82 to 39/85 of </w:t>
      </w:r>
      <w:hyperlink r:id="rId241" w:history="1">
        <w:r w:rsidRPr="008F4611">
          <w:rPr>
            <w:rStyle w:val="Hyperlink"/>
            <w:szCs w:val="18"/>
            <w:lang w:val="en-US"/>
          </w:rPr>
          <w:t>the Act of 15 December 1980 on access to the territory, stay, residence and deportation of foreigners</w:t>
        </w:r>
      </w:hyperlink>
      <w:r w:rsidRPr="008F4611">
        <w:rPr>
          <w:szCs w:val="18"/>
          <w:lang w:val="en-US"/>
        </w:rPr>
        <w:t>.</w:t>
      </w:r>
    </w:p>
  </w:footnote>
  <w:footnote w:id="244">
    <w:p w:rsidR="00F60A1E" w:rsidRPr="008F4611" w:rsidRDefault="00F60A1E" w:rsidP="00F60A1E">
      <w:pPr>
        <w:pStyle w:val="FootnoteText"/>
        <w:spacing w:after="0"/>
        <w:jc w:val="both"/>
        <w:rPr>
          <w:rFonts w:cs="Arial"/>
          <w:szCs w:val="18"/>
        </w:rPr>
      </w:pPr>
      <w:r w:rsidRPr="008F4611">
        <w:rPr>
          <w:rStyle w:val="FootnoteReference"/>
          <w:rFonts w:cs="Arial"/>
          <w:szCs w:val="18"/>
        </w:rPr>
        <w:footnoteRef/>
      </w:r>
      <w:r w:rsidRPr="008F4611">
        <w:rPr>
          <w:rFonts w:cs="Arial"/>
          <w:szCs w:val="18"/>
        </w:rPr>
        <w:t xml:space="preserve"> </w:t>
      </w:r>
      <w:r w:rsidRPr="008F4611">
        <w:rPr>
          <w:rFonts w:cs="Arial"/>
          <w:szCs w:val="18"/>
          <w:lang w:val="en-US"/>
        </w:rPr>
        <w:t xml:space="preserve">Articles 3, 10 and 11 of the </w:t>
      </w:r>
      <w:hyperlink r:id="rId242" w:history="1">
        <w:r w:rsidRPr="008F4611">
          <w:rPr>
            <w:rStyle w:val="Hyperlink"/>
            <w:rFonts w:cs="Arial"/>
            <w:szCs w:val="18"/>
          </w:rPr>
          <w:t>Law-Programme of 24 December 200</w:t>
        </w:r>
        <w:r w:rsidRPr="008F4611">
          <w:rPr>
            <w:rStyle w:val="Hyperlink"/>
            <w:rFonts w:cs="Arial"/>
            <w:szCs w:val="18"/>
            <w:lang w:val="en-US"/>
          </w:rPr>
          <w:t>2 on the guardianship of unaccompanied children</w:t>
        </w:r>
      </w:hyperlink>
      <w:r w:rsidRPr="008F4611">
        <w:rPr>
          <w:rFonts w:cs="Arial"/>
          <w:szCs w:val="18"/>
        </w:rPr>
        <w:t>.</w:t>
      </w:r>
    </w:p>
  </w:footnote>
  <w:footnote w:id="245">
    <w:p w:rsidR="00F60A1E" w:rsidRPr="008F4611" w:rsidRDefault="00F60A1E" w:rsidP="00F60A1E">
      <w:pPr>
        <w:pStyle w:val="FootnoteText"/>
        <w:spacing w:after="0"/>
        <w:jc w:val="both"/>
        <w:rPr>
          <w:rFonts w:cs="Arial"/>
          <w:szCs w:val="18"/>
        </w:rPr>
      </w:pPr>
      <w:r w:rsidRPr="008F4611">
        <w:rPr>
          <w:rStyle w:val="FootnoteReference"/>
          <w:rFonts w:cs="Arial"/>
          <w:szCs w:val="18"/>
        </w:rPr>
        <w:footnoteRef/>
      </w:r>
      <w:r w:rsidRPr="008F4611">
        <w:rPr>
          <w:rFonts w:cs="Arial"/>
          <w:szCs w:val="18"/>
        </w:rPr>
        <w:t xml:space="preserve"> Information collected by stakeholder consultation with a Children’s Rights authority.</w:t>
      </w:r>
    </w:p>
  </w:footnote>
  <w:footnote w:id="246">
    <w:p w:rsidR="00F60A1E" w:rsidRPr="008F4611" w:rsidRDefault="00F60A1E" w:rsidP="00F60A1E">
      <w:pPr>
        <w:pStyle w:val="FootnoteText"/>
        <w:spacing w:after="0"/>
        <w:jc w:val="both"/>
        <w:rPr>
          <w:rFonts w:cs="Arial"/>
          <w:szCs w:val="18"/>
          <w:lang w:val="fr-BE"/>
        </w:rPr>
      </w:pPr>
      <w:r w:rsidRPr="008F4611">
        <w:rPr>
          <w:rStyle w:val="FootnoteReference"/>
          <w:rFonts w:cs="Arial"/>
          <w:szCs w:val="18"/>
        </w:rPr>
        <w:footnoteRef/>
      </w:r>
      <w:r w:rsidRPr="008F4611">
        <w:rPr>
          <w:rFonts w:cs="Arial"/>
          <w:szCs w:val="18"/>
          <w:lang w:val="fr-BE"/>
        </w:rPr>
        <w:t xml:space="preserve"> Cécile De Boe, </w:t>
      </w:r>
      <w:r w:rsidRPr="008F4611">
        <w:rPr>
          <w:rFonts w:cs="Arial"/>
          <w:i/>
          <w:szCs w:val="18"/>
          <w:lang w:val="fr-BE"/>
        </w:rPr>
        <w:t>‘The position of the child in civil proceedings’</w:t>
      </w:r>
      <w:r w:rsidRPr="008F4611">
        <w:rPr>
          <w:rFonts w:cs="Arial"/>
          <w:szCs w:val="18"/>
          <w:lang w:val="fr-BE"/>
        </w:rPr>
        <w:t xml:space="preserve"> (</w:t>
      </w:r>
      <w:r w:rsidRPr="008F4611">
        <w:rPr>
          <w:rFonts w:cs="Arial"/>
          <w:i/>
          <w:szCs w:val="18"/>
          <w:lang w:val="fr-BE"/>
        </w:rPr>
        <w:t>La place de l’enfant dans le procès civil</w:t>
      </w:r>
      <w:r w:rsidRPr="008F4611">
        <w:rPr>
          <w:rFonts w:cs="Arial"/>
          <w:szCs w:val="18"/>
          <w:lang w:val="fr-BE"/>
        </w:rPr>
        <w:t xml:space="preserve">)’, 2009, </w:t>
      </w:r>
      <w:r w:rsidRPr="008F4611">
        <w:rPr>
          <w:rFonts w:cs="Arial"/>
          <w:i/>
          <w:szCs w:val="18"/>
          <w:lang w:val="fr-BE"/>
        </w:rPr>
        <w:t>Journal des Tribunaux</w:t>
      </w:r>
      <w:r w:rsidRPr="008F4611">
        <w:rPr>
          <w:rFonts w:cs="Arial"/>
          <w:szCs w:val="18"/>
          <w:lang w:val="fr-BE"/>
        </w:rPr>
        <w:t>, p. 497.</w:t>
      </w:r>
    </w:p>
  </w:footnote>
  <w:footnote w:id="247">
    <w:p w:rsidR="00F60A1E" w:rsidRPr="008F4611" w:rsidRDefault="00F60A1E" w:rsidP="00F60A1E">
      <w:pPr>
        <w:pStyle w:val="FootnoteText"/>
        <w:spacing w:after="0"/>
        <w:jc w:val="both"/>
        <w:rPr>
          <w:rFonts w:cs="Arial"/>
          <w:szCs w:val="18"/>
        </w:rPr>
      </w:pPr>
      <w:r w:rsidRPr="008F4611">
        <w:rPr>
          <w:rStyle w:val="FootnoteReference"/>
          <w:rFonts w:cs="Arial"/>
          <w:szCs w:val="18"/>
        </w:rPr>
        <w:footnoteRef/>
      </w:r>
      <w:r w:rsidRPr="008F4611">
        <w:rPr>
          <w:rFonts w:cs="Arial"/>
          <w:szCs w:val="18"/>
        </w:rPr>
        <w:t xml:space="preserve"> Articles 244 and 158 of the </w:t>
      </w:r>
      <w:hyperlink r:id="rId243" w:history="1">
        <w:r w:rsidRPr="008F4611">
          <w:rPr>
            <w:rStyle w:val="Hyperlink"/>
            <w:rFonts w:cs="Arial"/>
            <w:bCs/>
            <w:szCs w:val="18"/>
          </w:rPr>
          <w:t>new Act of 30 July 2013 for the creation of the Family and Youth Tribunal</w:t>
        </w:r>
      </w:hyperlink>
      <w:r w:rsidRPr="008F4611">
        <w:rPr>
          <w:rFonts w:cs="Arial"/>
          <w:bCs/>
          <w:szCs w:val="18"/>
        </w:rPr>
        <w:t xml:space="preserve"> (to enter into force on 1 September 2014).</w:t>
      </w:r>
    </w:p>
  </w:footnote>
  <w:footnote w:id="248">
    <w:p w:rsidR="00F60A1E" w:rsidRPr="008F4611" w:rsidRDefault="00F60A1E" w:rsidP="00F60A1E">
      <w:pPr>
        <w:pStyle w:val="FootnoteText"/>
        <w:spacing w:after="0"/>
        <w:jc w:val="both"/>
        <w:rPr>
          <w:rFonts w:cs="Arial"/>
          <w:szCs w:val="18"/>
        </w:rPr>
      </w:pPr>
      <w:r w:rsidRPr="008F4611">
        <w:rPr>
          <w:rStyle w:val="FootnoteReference"/>
          <w:rFonts w:cs="Arial"/>
          <w:szCs w:val="18"/>
        </w:rPr>
        <w:footnoteRef/>
      </w:r>
      <w:r w:rsidRPr="008F4611">
        <w:rPr>
          <w:rFonts w:cs="Arial"/>
          <w:szCs w:val="18"/>
        </w:rPr>
        <w:t xml:space="preserve"> Article 158 of the </w:t>
      </w:r>
      <w:hyperlink r:id="rId244" w:history="1">
        <w:r w:rsidRPr="008F4611">
          <w:rPr>
            <w:rStyle w:val="Hyperlink"/>
            <w:rFonts w:cs="Arial"/>
            <w:bCs/>
            <w:szCs w:val="18"/>
          </w:rPr>
          <w:t>new Act of 30 July 2013 for the creation of the Family and Youth Tribunal</w:t>
        </w:r>
      </w:hyperlink>
      <w:r w:rsidRPr="008F4611">
        <w:rPr>
          <w:rFonts w:cs="Arial"/>
          <w:bCs/>
          <w:szCs w:val="18"/>
        </w:rPr>
        <w:t xml:space="preserve"> (to enter into force on 1 September 2014).</w:t>
      </w:r>
    </w:p>
  </w:footnote>
  <w:footnote w:id="249">
    <w:p w:rsidR="00F60A1E" w:rsidRPr="008F4611" w:rsidRDefault="00F60A1E" w:rsidP="00F60A1E">
      <w:pPr>
        <w:pStyle w:val="FootnoteText"/>
        <w:spacing w:after="0"/>
        <w:jc w:val="both"/>
        <w:rPr>
          <w:rFonts w:cs="Arial"/>
          <w:szCs w:val="18"/>
        </w:rPr>
      </w:pPr>
      <w:r w:rsidRPr="008F4611">
        <w:rPr>
          <w:rStyle w:val="FootnoteReference"/>
          <w:rFonts w:cs="Arial"/>
          <w:szCs w:val="18"/>
        </w:rPr>
        <w:footnoteRef/>
      </w:r>
      <w:r w:rsidRPr="008F4611">
        <w:rPr>
          <w:rFonts w:cs="Arial"/>
          <w:szCs w:val="18"/>
        </w:rPr>
        <w:t xml:space="preserve"> </w:t>
      </w:r>
      <w:hyperlink r:id="rId245" w:history="1">
        <w:r w:rsidRPr="008F4611">
          <w:rPr>
            <w:rStyle w:val="Hyperlink"/>
            <w:rFonts w:cs="Arial"/>
            <w:bCs/>
            <w:szCs w:val="18"/>
          </w:rPr>
          <w:t>Act of 30 July 2013 for the creation of the Family and Youth Tribunal</w:t>
        </w:r>
      </w:hyperlink>
      <w:r w:rsidRPr="008F4611">
        <w:rPr>
          <w:rFonts w:cs="Arial"/>
          <w:bCs/>
          <w:szCs w:val="18"/>
        </w:rPr>
        <w:t xml:space="preserve"> (to enter into force on 1 September 2014)</w:t>
      </w:r>
      <w:r w:rsidRPr="008F4611">
        <w:rPr>
          <w:rFonts w:cs="Arial"/>
          <w:szCs w:val="18"/>
        </w:rPr>
        <w:t xml:space="preserve">. </w:t>
      </w:r>
    </w:p>
  </w:footnote>
  <w:footnote w:id="250">
    <w:p w:rsidR="00F60A1E" w:rsidRPr="008F4611" w:rsidRDefault="00F60A1E" w:rsidP="00F60A1E">
      <w:pPr>
        <w:pStyle w:val="FootnoteText"/>
        <w:spacing w:after="0"/>
        <w:jc w:val="both"/>
        <w:rPr>
          <w:rFonts w:cs="Arial"/>
          <w:szCs w:val="18"/>
        </w:rPr>
      </w:pPr>
      <w:r w:rsidRPr="008F4611">
        <w:rPr>
          <w:rStyle w:val="FootnoteReference"/>
          <w:rFonts w:cs="Arial"/>
          <w:szCs w:val="18"/>
        </w:rPr>
        <w:footnoteRef/>
      </w:r>
      <w:r w:rsidRPr="008F4611">
        <w:rPr>
          <w:rFonts w:cs="Arial"/>
          <w:szCs w:val="18"/>
        </w:rPr>
        <w:t xml:space="preserve"> Article 36 (2°) of the </w:t>
      </w:r>
      <w:hyperlink r:id="rId246" w:history="1">
        <w:r w:rsidRPr="008F4611">
          <w:rPr>
            <w:rStyle w:val="Hyperlink"/>
            <w:rFonts w:cs="Arial"/>
            <w:szCs w:val="18"/>
          </w:rPr>
          <w:t>Youth Protection Act</w:t>
        </w:r>
      </w:hyperlink>
      <w:r w:rsidRPr="008F4611">
        <w:rPr>
          <w:rStyle w:val="Hyperlink"/>
          <w:rFonts w:cs="Arial"/>
          <w:szCs w:val="18"/>
        </w:rPr>
        <w:t>,</w:t>
      </w:r>
      <w:r w:rsidRPr="008F4611">
        <w:rPr>
          <w:rStyle w:val="Hyperlink"/>
          <w:rFonts w:cs="Arial"/>
          <w:szCs w:val="18"/>
          <w:lang w:val="en-US"/>
        </w:rPr>
        <w:t xml:space="preserve"> </w:t>
      </w:r>
      <w:r w:rsidRPr="008F4611">
        <w:rPr>
          <w:rStyle w:val="Hyperlink"/>
          <w:rFonts w:cs="Arial"/>
          <w:szCs w:val="18"/>
        </w:rPr>
        <w:t xml:space="preserve"> Article 39 </w:t>
      </w:r>
      <w:r w:rsidRPr="008F4611">
        <w:rPr>
          <w:rFonts w:cs="Arial"/>
          <w:szCs w:val="18"/>
        </w:rPr>
        <w:t xml:space="preserve">of the </w:t>
      </w:r>
      <w:hyperlink r:id="rId247" w:history="1">
        <w:r w:rsidRPr="008F4611">
          <w:rPr>
            <w:rStyle w:val="Hyperlink"/>
            <w:rFonts w:cs="Arial"/>
            <w:szCs w:val="18"/>
          </w:rPr>
          <w:t>French Community Decree of 4 March 1991 on Youth Assistance</w:t>
        </w:r>
      </w:hyperlink>
      <w:r w:rsidRPr="008F4611">
        <w:rPr>
          <w:rFonts w:cs="Arial"/>
          <w:szCs w:val="18"/>
        </w:rPr>
        <w:t xml:space="preserve"> and Article 53 of the Decree of the Flemish Community of 12 July on Integrated Youth Welfare Services.</w:t>
      </w:r>
    </w:p>
  </w:footnote>
  <w:footnote w:id="251">
    <w:p w:rsidR="00F60A1E" w:rsidRPr="008F4611" w:rsidRDefault="00F60A1E" w:rsidP="00F60A1E">
      <w:pPr>
        <w:pStyle w:val="FootnoteText"/>
        <w:spacing w:after="0"/>
        <w:jc w:val="both"/>
        <w:rPr>
          <w:rFonts w:cs="Arial"/>
          <w:szCs w:val="18"/>
        </w:rPr>
      </w:pPr>
      <w:r w:rsidRPr="008F4611">
        <w:rPr>
          <w:rStyle w:val="FootnoteReference"/>
          <w:rFonts w:cs="Arial"/>
          <w:szCs w:val="18"/>
        </w:rPr>
        <w:footnoteRef/>
      </w:r>
      <w:r w:rsidRPr="008F4611">
        <w:rPr>
          <w:rFonts w:cs="Arial"/>
          <w:szCs w:val="18"/>
        </w:rPr>
        <w:t xml:space="preserve"> </w:t>
      </w:r>
      <w:hyperlink r:id="rId248" w:history="1">
        <w:r w:rsidRPr="008F4611">
          <w:rPr>
            <w:rStyle w:val="Hyperlink"/>
            <w:rFonts w:cs="Arial"/>
            <w:szCs w:val="18"/>
          </w:rPr>
          <w:t>Act of 15 May 2012 on temporary prohibition of residence in cases of domestic violence</w:t>
        </w:r>
      </w:hyperlink>
      <w:r w:rsidRPr="008F4611">
        <w:rPr>
          <w:rFonts w:cs="Arial"/>
          <w:szCs w:val="18"/>
        </w:rPr>
        <w:t>.</w:t>
      </w:r>
    </w:p>
  </w:footnote>
  <w:footnote w:id="252">
    <w:p w:rsidR="00F60A1E" w:rsidRPr="008F4611" w:rsidRDefault="00F60A1E" w:rsidP="00F60A1E">
      <w:pPr>
        <w:pStyle w:val="FootnoteText"/>
        <w:spacing w:after="0"/>
        <w:jc w:val="both"/>
        <w:rPr>
          <w:rFonts w:cs="Arial"/>
          <w:szCs w:val="18"/>
        </w:rPr>
      </w:pPr>
      <w:r w:rsidRPr="008F4611">
        <w:rPr>
          <w:rStyle w:val="FootnoteReference"/>
          <w:rFonts w:cs="Arial"/>
          <w:szCs w:val="18"/>
        </w:rPr>
        <w:footnoteRef/>
      </w:r>
      <w:r w:rsidRPr="008F4611">
        <w:rPr>
          <w:rFonts w:cs="Arial"/>
          <w:szCs w:val="18"/>
        </w:rPr>
        <w:t xml:space="preserve"> </w:t>
      </w:r>
      <w:r w:rsidRPr="008F4611">
        <w:rPr>
          <w:rFonts w:cs="Arial"/>
          <w:bCs/>
          <w:szCs w:val="18"/>
        </w:rPr>
        <w:t>While there is no clear statutory basis for filing such a request and it is disputed by the case-law, the Court of Cassation has approved such an order.</w:t>
      </w:r>
      <w:r w:rsidRPr="008F4611">
        <w:rPr>
          <w:rFonts w:cs="Arial"/>
          <w:szCs w:val="18"/>
        </w:rPr>
        <w:t xml:space="preserve"> Article 375bis of the </w:t>
      </w:r>
      <w:hyperlink r:id="rId249" w:history="1">
        <w:r w:rsidRPr="008F4611">
          <w:rPr>
            <w:rStyle w:val="Hyperlink"/>
            <w:rFonts w:cs="Arial"/>
            <w:szCs w:val="18"/>
          </w:rPr>
          <w:t>Civil Code</w:t>
        </w:r>
      </w:hyperlink>
      <w:r w:rsidRPr="008F4611">
        <w:rPr>
          <w:rFonts w:cs="Arial"/>
          <w:szCs w:val="18"/>
        </w:rPr>
        <w:t xml:space="preserve">, Court of Cassation Decision of 19 December 1975 and Marta Pertegás and Frederik Swennen, </w:t>
      </w:r>
      <w:r w:rsidRPr="008F4611">
        <w:rPr>
          <w:rFonts w:cs="Arial"/>
          <w:i/>
          <w:szCs w:val="18"/>
        </w:rPr>
        <w:t xml:space="preserve">Study on the Enforcement of Family Law JudgementJudgementJudgements – National Report of Belgium, </w:t>
      </w:r>
      <w:r w:rsidRPr="008F4611">
        <w:rPr>
          <w:rFonts w:cs="Arial"/>
          <w:szCs w:val="18"/>
        </w:rPr>
        <w:t>T.M.C. Asser Instituut, 2005-2006, pp.3-4.</w:t>
      </w:r>
    </w:p>
  </w:footnote>
  <w:footnote w:id="253">
    <w:p w:rsidR="00F60A1E" w:rsidRPr="008F4611" w:rsidRDefault="00F60A1E" w:rsidP="00F60A1E">
      <w:pPr>
        <w:pStyle w:val="FootnoteText"/>
        <w:spacing w:after="0"/>
        <w:jc w:val="both"/>
        <w:rPr>
          <w:rFonts w:cs="Arial"/>
          <w:szCs w:val="18"/>
        </w:rPr>
      </w:pPr>
      <w:r w:rsidRPr="008F4611">
        <w:rPr>
          <w:rStyle w:val="FootnoteReference"/>
          <w:rFonts w:cs="Arial"/>
          <w:szCs w:val="18"/>
        </w:rPr>
        <w:footnoteRef/>
      </w:r>
      <w:r w:rsidRPr="008F4611">
        <w:rPr>
          <w:rFonts w:cs="Arial"/>
          <w:szCs w:val="18"/>
        </w:rPr>
        <w:t xml:space="preserve"> </w:t>
      </w:r>
      <w:r w:rsidRPr="008F4611">
        <w:rPr>
          <w:rFonts w:cs="Arial"/>
          <w:bCs/>
          <w:szCs w:val="18"/>
        </w:rPr>
        <w:t xml:space="preserve">Article 764 of the </w:t>
      </w:r>
      <w:hyperlink r:id="rId250" w:history="1">
        <w:r w:rsidRPr="008F4611">
          <w:rPr>
            <w:rStyle w:val="Hyperlink"/>
            <w:rFonts w:cs="Arial"/>
            <w:szCs w:val="18"/>
          </w:rPr>
          <w:t>Judicial Code</w:t>
        </w:r>
      </w:hyperlink>
      <w:r w:rsidRPr="008F4611">
        <w:rPr>
          <w:rFonts w:cs="Arial"/>
          <w:bCs/>
          <w:szCs w:val="18"/>
        </w:rPr>
        <w:t>.</w:t>
      </w:r>
    </w:p>
  </w:footnote>
  <w:footnote w:id="254">
    <w:p w:rsidR="00F60A1E" w:rsidRPr="000616FD" w:rsidRDefault="00F60A1E" w:rsidP="00F60A1E">
      <w:pPr>
        <w:pStyle w:val="FootnoteText"/>
        <w:spacing w:after="0"/>
        <w:jc w:val="both"/>
        <w:rPr>
          <w:rFonts w:cs="Arial"/>
          <w:sz w:val="16"/>
          <w:szCs w:val="16"/>
        </w:rPr>
      </w:pPr>
      <w:r w:rsidRPr="008F4611">
        <w:rPr>
          <w:rStyle w:val="FootnoteReference"/>
          <w:rFonts w:cs="Arial"/>
          <w:szCs w:val="18"/>
        </w:rPr>
        <w:footnoteRef/>
      </w:r>
      <w:r w:rsidRPr="008F4611">
        <w:rPr>
          <w:rFonts w:cs="Arial"/>
          <w:szCs w:val="18"/>
        </w:rPr>
        <w:t xml:space="preserve"> Information confirmed by stakeholder consultation with a Children’s Rights authority.</w:t>
      </w:r>
    </w:p>
  </w:footnote>
  <w:footnote w:id="255">
    <w:p w:rsidR="00F60A1E" w:rsidRPr="008F4611" w:rsidRDefault="00F60A1E" w:rsidP="00F60A1E">
      <w:pPr>
        <w:pStyle w:val="FootnoteText"/>
        <w:spacing w:after="0"/>
        <w:jc w:val="both"/>
        <w:rPr>
          <w:rFonts w:cs="Arial"/>
          <w:szCs w:val="18"/>
        </w:rPr>
      </w:pPr>
      <w:r w:rsidRPr="008F4611">
        <w:rPr>
          <w:rStyle w:val="FootnoteReference"/>
          <w:rFonts w:cs="Arial"/>
          <w:szCs w:val="18"/>
        </w:rPr>
        <w:footnoteRef/>
      </w:r>
      <w:r w:rsidRPr="008F4611">
        <w:rPr>
          <w:rFonts w:cs="Arial"/>
          <w:szCs w:val="18"/>
        </w:rPr>
        <w:t xml:space="preserve"> Information collected by stakeholder consultation with a Children’s Rights authority.</w:t>
      </w:r>
    </w:p>
  </w:footnote>
  <w:footnote w:id="256">
    <w:p w:rsidR="00F60A1E" w:rsidRPr="008F4611" w:rsidRDefault="00F60A1E" w:rsidP="00F60A1E">
      <w:pPr>
        <w:pStyle w:val="FootnoteText"/>
        <w:spacing w:after="0"/>
        <w:jc w:val="both"/>
        <w:rPr>
          <w:rFonts w:cs="Arial"/>
          <w:szCs w:val="18"/>
          <w:lang w:val="fr-BE"/>
        </w:rPr>
      </w:pPr>
      <w:r w:rsidRPr="008F4611">
        <w:rPr>
          <w:rStyle w:val="FootnoteReference"/>
          <w:rFonts w:cs="Arial"/>
          <w:szCs w:val="18"/>
        </w:rPr>
        <w:footnoteRef/>
      </w:r>
      <w:r w:rsidRPr="008F4611">
        <w:rPr>
          <w:rFonts w:cs="Arial"/>
          <w:szCs w:val="18"/>
          <w:lang w:val="fr-BE"/>
        </w:rPr>
        <w:t xml:space="preserve"> Cécile De Boe, </w:t>
      </w:r>
      <w:r w:rsidRPr="008F4611">
        <w:rPr>
          <w:rFonts w:cs="Arial"/>
          <w:i/>
          <w:szCs w:val="18"/>
          <w:lang w:val="fr-BE"/>
        </w:rPr>
        <w:t>‘The position of the child in civil proceedings’</w:t>
      </w:r>
      <w:r w:rsidRPr="008F4611">
        <w:rPr>
          <w:rFonts w:cs="Arial"/>
          <w:szCs w:val="18"/>
          <w:lang w:val="fr-BE"/>
        </w:rPr>
        <w:t xml:space="preserve"> (</w:t>
      </w:r>
      <w:r w:rsidRPr="008F4611">
        <w:rPr>
          <w:rFonts w:cs="Arial"/>
          <w:i/>
          <w:szCs w:val="18"/>
          <w:lang w:val="fr-BE"/>
        </w:rPr>
        <w:t>La place de l’enfant dans le procès civil</w:t>
      </w:r>
      <w:r w:rsidRPr="008F4611">
        <w:rPr>
          <w:rFonts w:cs="Arial"/>
          <w:szCs w:val="18"/>
          <w:lang w:val="fr-BE"/>
        </w:rPr>
        <w:t xml:space="preserve">)’, 2009, </w:t>
      </w:r>
      <w:r w:rsidRPr="008F4611">
        <w:rPr>
          <w:rFonts w:cs="Arial"/>
          <w:i/>
          <w:szCs w:val="18"/>
          <w:lang w:val="fr-BE"/>
        </w:rPr>
        <w:t>Journal des Tribunaux</w:t>
      </w:r>
      <w:r w:rsidRPr="008F4611">
        <w:rPr>
          <w:rFonts w:cs="Arial"/>
          <w:szCs w:val="18"/>
          <w:lang w:val="fr-BE"/>
        </w:rPr>
        <w:t>, p. 497.</w:t>
      </w:r>
    </w:p>
  </w:footnote>
  <w:footnote w:id="257">
    <w:p w:rsidR="00F60A1E" w:rsidRPr="008F4611" w:rsidRDefault="00F60A1E" w:rsidP="00F60A1E">
      <w:pPr>
        <w:pStyle w:val="FootnoteText"/>
        <w:spacing w:after="0"/>
        <w:jc w:val="both"/>
        <w:rPr>
          <w:rFonts w:cs="Arial"/>
          <w:szCs w:val="18"/>
        </w:rPr>
      </w:pPr>
      <w:r w:rsidRPr="008F4611">
        <w:rPr>
          <w:rStyle w:val="FootnoteReference"/>
          <w:rFonts w:cs="Arial"/>
          <w:szCs w:val="18"/>
        </w:rPr>
        <w:footnoteRef/>
      </w:r>
      <w:r w:rsidRPr="008F4611">
        <w:rPr>
          <w:rFonts w:cs="Arial"/>
          <w:szCs w:val="18"/>
        </w:rPr>
        <w:t xml:space="preserve"> Articles 244 and 158 of the </w:t>
      </w:r>
      <w:hyperlink r:id="rId251" w:history="1">
        <w:r w:rsidRPr="008F4611">
          <w:rPr>
            <w:rStyle w:val="Hyperlink"/>
            <w:rFonts w:cs="Arial"/>
            <w:bCs/>
            <w:szCs w:val="18"/>
          </w:rPr>
          <w:t>new Act of 30 July 2013 for the creation of the Family and Youth Tribunal</w:t>
        </w:r>
      </w:hyperlink>
      <w:r w:rsidRPr="008F4611">
        <w:rPr>
          <w:rFonts w:cs="Arial"/>
          <w:bCs/>
          <w:szCs w:val="18"/>
        </w:rPr>
        <w:t xml:space="preserve"> (to enter into force on 1 September 2014).</w:t>
      </w:r>
    </w:p>
  </w:footnote>
  <w:footnote w:id="258">
    <w:p w:rsidR="00F60A1E" w:rsidRPr="008F4611" w:rsidRDefault="00F60A1E" w:rsidP="00F60A1E">
      <w:pPr>
        <w:pStyle w:val="FootnoteText"/>
        <w:spacing w:after="0"/>
        <w:jc w:val="both"/>
        <w:rPr>
          <w:rFonts w:cs="Arial"/>
          <w:szCs w:val="18"/>
        </w:rPr>
      </w:pPr>
      <w:r w:rsidRPr="008F4611">
        <w:rPr>
          <w:rStyle w:val="FootnoteReference"/>
          <w:rFonts w:cs="Arial"/>
          <w:szCs w:val="18"/>
        </w:rPr>
        <w:footnoteRef/>
      </w:r>
      <w:r w:rsidRPr="008F4611">
        <w:rPr>
          <w:rFonts w:cs="Arial"/>
          <w:szCs w:val="18"/>
        </w:rPr>
        <w:t xml:space="preserve"> Article 158 of the </w:t>
      </w:r>
      <w:hyperlink r:id="rId252" w:history="1">
        <w:r w:rsidRPr="008F4611">
          <w:rPr>
            <w:rStyle w:val="Hyperlink"/>
            <w:rFonts w:cs="Arial"/>
            <w:bCs/>
            <w:szCs w:val="18"/>
          </w:rPr>
          <w:t>new Act of 30 July 2013 for the creation of the Family and Youth Tribunal</w:t>
        </w:r>
      </w:hyperlink>
      <w:r w:rsidRPr="008F4611">
        <w:rPr>
          <w:rFonts w:cs="Arial"/>
          <w:bCs/>
          <w:szCs w:val="18"/>
        </w:rPr>
        <w:t xml:space="preserve"> (to enter into force on 1 September 2014).</w:t>
      </w:r>
    </w:p>
  </w:footnote>
  <w:footnote w:id="259">
    <w:p w:rsidR="00F60A1E" w:rsidRPr="008F4611" w:rsidRDefault="00F60A1E" w:rsidP="00F60A1E">
      <w:pPr>
        <w:pStyle w:val="FootnoteText"/>
        <w:spacing w:after="0"/>
        <w:jc w:val="both"/>
        <w:rPr>
          <w:rFonts w:cs="Arial"/>
          <w:szCs w:val="18"/>
        </w:rPr>
      </w:pPr>
      <w:r w:rsidRPr="008F4611">
        <w:rPr>
          <w:rStyle w:val="FootnoteReference"/>
          <w:rFonts w:cs="Arial"/>
          <w:szCs w:val="18"/>
        </w:rPr>
        <w:footnoteRef/>
      </w:r>
      <w:r w:rsidRPr="008F4611">
        <w:rPr>
          <w:rFonts w:cs="Arial"/>
          <w:szCs w:val="18"/>
        </w:rPr>
        <w:t xml:space="preserve"> </w:t>
      </w:r>
      <w:hyperlink r:id="rId253" w:history="1">
        <w:r w:rsidRPr="008F4611">
          <w:rPr>
            <w:rStyle w:val="Hyperlink"/>
            <w:rFonts w:cs="Arial"/>
            <w:bCs/>
            <w:szCs w:val="18"/>
          </w:rPr>
          <w:t>Act of 30 July 2013 for the creation of the Family and Youth Tribunal</w:t>
        </w:r>
      </w:hyperlink>
      <w:r w:rsidRPr="008F4611">
        <w:rPr>
          <w:rFonts w:cs="Arial"/>
          <w:bCs/>
          <w:szCs w:val="18"/>
        </w:rPr>
        <w:t xml:space="preserve"> (to enter into force on 1 September 2014)</w:t>
      </w:r>
      <w:r w:rsidRPr="008F4611">
        <w:rPr>
          <w:rFonts w:cs="Arial"/>
          <w:szCs w:val="18"/>
        </w:rPr>
        <w:t xml:space="preserve">. </w:t>
      </w:r>
    </w:p>
  </w:footnote>
  <w:footnote w:id="260">
    <w:p w:rsidR="00F60A1E" w:rsidRPr="008F4611" w:rsidRDefault="00F60A1E" w:rsidP="00F60A1E">
      <w:pPr>
        <w:pStyle w:val="FootnoteText"/>
        <w:spacing w:after="0"/>
        <w:jc w:val="both"/>
        <w:rPr>
          <w:rFonts w:cs="Arial"/>
          <w:szCs w:val="18"/>
        </w:rPr>
      </w:pPr>
      <w:r w:rsidRPr="008F4611">
        <w:rPr>
          <w:rStyle w:val="FootnoteReference"/>
          <w:rFonts w:cs="Arial"/>
          <w:szCs w:val="18"/>
        </w:rPr>
        <w:footnoteRef/>
      </w:r>
      <w:r w:rsidRPr="008F4611">
        <w:rPr>
          <w:rFonts w:cs="Arial"/>
          <w:szCs w:val="18"/>
        </w:rPr>
        <w:t xml:space="preserve"> Information collected by stakeholder consultation with a Children’s Rights authority.</w:t>
      </w:r>
    </w:p>
  </w:footnote>
  <w:footnote w:id="261">
    <w:p w:rsidR="00F60A1E" w:rsidRPr="00D3341F" w:rsidRDefault="00F60A1E" w:rsidP="00F60A1E">
      <w:pPr>
        <w:pStyle w:val="FootnoteText"/>
        <w:spacing w:after="0"/>
        <w:rPr>
          <w:rFonts w:cs="Arial"/>
          <w:sz w:val="16"/>
          <w:szCs w:val="16"/>
        </w:rPr>
      </w:pPr>
      <w:r w:rsidRPr="008F4611">
        <w:rPr>
          <w:rStyle w:val="FootnoteReference"/>
          <w:rFonts w:cs="Arial"/>
          <w:szCs w:val="18"/>
        </w:rPr>
        <w:footnoteRef/>
      </w:r>
      <w:r w:rsidRPr="008F4611">
        <w:rPr>
          <w:rFonts w:cs="Arial"/>
          <w:szCs w:val="18"/>
        </w:rPr>
        <w:t xml:space="preserve"> Article 2 of the </w:t>
      </w:r>
      <w:hyperlink r:id="rId254" w:history="1">
        <w:r w:rsidRPr="008F4611">
          <w:rPr>
            <w:rStyle w:val="Hyperlink"/>
            <w:rFonts w:cs="Arial"/>
            <w:szCs w:val="18"/>
          </w:rPr>
          <w:t>Act of 26 June 1990 on the protection of mentally ill persons</w:t>
        </w:r>
      </w:hyperlink>
      <w:r w:rsidRPr="008F4611">
        <w:rPr>
          <w:rFonts w:cs="Arial"/>
          <w:szCs w:val="18"/>
        </w:rPr>
        <w:t>.</w:t>
      </w:r>
    </w:p>
  </w:footnote>
  <w:footnote w:id="262">
    <w:p w:rsidR="00F60A1E" w:rsidRPr="008F4611" w:rsidRDefault="00F60A1E" w:rsidP="00F60A1E">
      <w:pPr>
        <w:pStyle w:val="FootnoteText"/>
        <w:spacing w:after="0"/>
        <w:rPr>
          <w:szCs w:val="18"/>
          <w:lang w:val="en-US"/>
        </w:rPr>
      </w:pPr>
      <w:r w:rsidRPr="008F4611">
        <w:rPr>
          <w:rStyle w:val="FootnoteReference"/>
          <w:szCs w:val="18"/>
        </w:rPr>
        <w:footnoteRef/>
      </w:r>
      <w:r w:rsidRPr="008F4611">
        <w:rPr>
          <w:szCs w:val="18"/>
        </w:rPr>
        <w:t xml:space="preserve"> </w:t>
      </w:r>
      <w:r w:rsidRPr="008F4611">
        <w:rPr>
          <w:szCs w:val="18"/>
          <w:lang w:val="en-US"/>
        </w:rPr>
        <w:t xml:space="preserve">Articles 7 and 9 </w:t>
      </w:r>
      <w:r w:rsidRPr="008F4611">
        <w:rPr>
          <w:rFonts w:cs="Arial"/>
          <w:szCs w:val="18"/>
        </w:rPr>
        <w:t xml:space="preserve">of the </w:t>
      </w:r>
      <w:hyperlink r:id="rId255" w:history="1">
        <w:r w:rsidRPr="008F4611">
          <w:rPr>
            <w:rStyle w:val="Hyperlink"/>
            <w:rFonts w:cs="Arial"/>
            <w:szCs w:val="18"/>
          </w:rPr>
          <w:t>Act of 26 June 1990 on the protection of mentally ill persons</w:t>
        </w:r>
      </w:hyperlink>
      <w:r w:rsidRPr="008F4611">
        <w:rPr>
          <w:rFonts w:cs="Arial"/>
          <w:szCs w:val="18"/>
        </w:rPr>
        <w:t>.</w:t>
      </w:r>
    </w:p>
  </w:footnote>
  <w:footnote w:id="263">
    <w:p w:rsidR="00F60A1E" w:rsidRPr="008F4611" w:rsidRDefault="00F60A1E" w:rsidP="00F60A1E">
      <w:pPr>
        <w:pStyle w:val="FootnoteText"/>
        <w:spacing w:after="0"/>
        <w:jc w:val="both"/>
        <w:rPr>
          <w:szCs w:val="18"/>
        </w:rPr>
      </w:pPr>
      <w:r w:rsidRPr="008F4611">
        <w:rPr>
          <w:rStyle w:val="FootnoteReference"/>
          <w:rFonts w:cs="Arial"/>
          <w:szCs w:val="18"/>
        </w:rPr>
        <w:footnoteRef/>
      </w:r>
      <w:r w:rsidRPr="008F4611">
        <w:rPr>
          <w:szCs w:val="18"/>
        </w:rPr>
        <w:t xml:space="preserve"> Article 22bis of the </w:t>
      </w:r>
      <w:hyperlink r:id="rId256" w:history="1">
        <w:r w:rsidRPr="008F4611">
          <w:rPr>
            <w:rStyle w:val="Hyperlink"/>
            <w:rFonts w:cs="Arial"/>
            <w:szCs w:val="18"/>
          </w:rPr>
          <w:t>Constitution</w:t>
        </w:r>
      </w:hyperlink>
      <w:r w:rsidRPr="008F4611">
        <w:rPr>
          <w:szCs w:val="18"/>
        </w:rPr>
        <w:t>.</w:t>
      </w:r>
    </w:p>
  </w:footnote>
  <w:footnote w:id="264">
    <w:p w:rsidR="00F60A1E" w:rsidRPr="00227001" w:rsidRDefault="00F60A1E" w:rsidP="00F60A1E">
      <w:pPr>
        <w:pStyle w:val="FootnoteText"/>
        <w:spacing w:after="0"/>
        <w:jc w:val="both"/>
        <w:rPr>
          <w:szCs w:val="18"/>
        </w:rPr>
      </w:pPr>
      <w:r w:rsidRPr="008F4611">
        <w:rPr>
          <w:rStyle w:val="FootnoteReference"/>
          <w:rFonts w:cs="Arial"/>
          <w:szCs w:val="18"/>
        </w:rPr>
        <w:footnoteRef/>
      </w:r>
      <w:r w:rsidRPr="008F4611">
        <w:rPr>
          <w:szCs w:val="18"/>
          <w:lang w:val="en-US"/>
        </w:rPr>
        <w:t xml:space="preserve"> </w:t>
      </w:r>
      <w:r w:rsidRPr="008F4611">
        <w:rPr>
          <w:bCs/>
          <w:szCs w:val="18"/>
        </w:rPr>
        <w:t xml:space="preserve">Since no specific rules exist regarding the hearing of a child before the Council of State, the general rules of the </w:t>
      </w:r>
      <w:hyperlink r:id="rId257" w:history="1">
        <w:r w:rsidRPr="008F4611">
          <w:rPr>
            <w:rStyle w:val="Hyperlink"/>
            <w:bCs/>
            <w:szCs w:val="18"/>
          </w:rPr>
          <w:t>Judicial Code</w:t>
        </w:r>
      </w:hyperlink>
      <w:r w:rsidRPr="008F4611">
        <w:rPr>
          <w:bCs/>
          <w:szCs w:val="18"/>
        </w:rPr>
        <w:t xml:space="preserve"> apply. </w:t>
      </w:r>
      <w:r w:rsidRPr="00227001">
        <w:rPr>
          <w:bCs/>
          <w:szCs w:val="18"/>
        </w:rPr>
        <w:t xml:space="preserve">Article 931 of the </w:t>
      </w:r>
      <w:hyperlink r:id="rId258" w:history="1">
        <w:r w:rsidRPr="00227001">
          <w:rPr>
            <w:rStyle w:val="Hyperlink"/>
            <w:rFonts w:cs="Arial"/>
            <w:szCs w:val="18"/>
          </w:rPr>
          <w:t>Judicial Code</w:t>
        </w:r>
      </w:hyperlink>
      <w:r w:rsidRPr="00227001">
        <w:rPr>
          <w:bCs/>
          <w:szCs w:val="18"/>
        </w:rPr>
        <w:t xml:space="preserve"> and </w:t>
      </w:r>
      <w:r w:rsidRPr="00227001">
        <w:rPr>
          <w:szCs w:val="18"/>
        </w:rPr>
        <w:t xml:space="preserve">Kinderrechtswinkels, Services droit des jeunes and Infor Jeunes Bruxelles, </w:t>
      </w:r>
      <w:r w:rsidRPr="00227001">
        <w:rPr>
          <w:i/>
          <w:szCs w:val="18"/>
        </w:rPr>
        <w:t>The legal position of the minor in practice (La position juridique du mineur dans la pratique)</w:t>
      </w:r>
      <w:r w:rsidRPr="00227001">
        <w:rPr>
          <w:szCs w:val="18"/>
        </w:rPr>
        <w:t>, 2006, UGA, p.203.</w:t>
      </w:r>
    </w:p>
  </w:footnote>
  <w:footnote w:id="265">
    <w:p w:rsidR="00F60A1E" w:rsidRPr="00AF32C2" w:rsidRDefault="00F60A1E" w:rsidP="00F60A1E">
      <w:pPr>
        <w:pStyle w:val="FootnoteText"/>
        <w:spacing w:after="0"/>
        <w:jc w:val="both"/>
        <w:rPr>
          <w:sz w:val="16"/>
          <w:szCs w:val="16"/>
        </w:rPr>
      </w:pPr>
      <w:r w:rsidRPr="008F4611">
        <w:rPr>
          <w:rStyle w:val="FootnoteReference"/>
          <w:rFonts w:cs="Arial"/>
          <w:szCs w:val="18"/>
        </w:rPr>
        <w:footnoteRef/>
      </w:r>
      <w:r w:rsidRPr="008F4611">
        <w:rPr>
          <w:szCs w:val="18"/>
        </w:rPr>
        <w:t xml:space="preserve"> Article 22bis of the </w:t>
      </w:r>
      <w:hyperlink r:id="rId259" w:history="1">
        <w:r w:rsidRPr="008F4611">
          <w:rPr>
            <w:rStyle w:val="Hyperlink"/>
            <w:rFonts w:cs="Arial"/>
            <w:szCs w:val="18"/>
          </w:rPr>
          <w:t>Constitution</w:t>
        </w:r>
      </w:hyperlink>
      <w:r w:rsidRPr="008F4611">
        <w:rPr>
          <w:szCs w:val="18"/>
        </w:rPr>
        <w:t>.</w:t>
      </w:r>
    </w:p>
  </w:footnote>
  <w:footnote w:id="266">
    <w:p w:rsidR="00F60A1E" w:rsidRPr="008F4611" w:rsidRDefault="00F60A1E" w:rsidP="00F60A1E">
      <w:pPr>
        <w:pStyle w:val="FootnoteText"/>
        <w:spacing w:after="0"/>
        <w:rPr>
          <w:rFonts w:cs="Arial"/>
          <w:szCs w:val="18"/>
          <w:lang w:val="en-US"/>
        </w:rPr>
      </w:pPr>
      <w:r w:rsidRPr="008F4611">
        <w:rPr>
          <w:rStyle w:val="FootnoteReference"/>
          <w:rFonts w:cs="Arial"/>
          <w:szCs w:val="18"/>
        </w:rPr>
        <w:footnoteRef/>
      </w:r>
      <w:r w:rsidRPr="008F4611">
        <w:rPr>
          <w:rFonts w:cs="Arial"/>
          <w:szCs w:val="18"/>
        </w:rPr>
        <w:t xml:space="preserve"> </w:t>
      </w:r>
      <w:r w:rsidRPr="008F4611">
        <w:rPr>
          <w:rFonts w:cs="Arial"/>
          <w:szCs w:val="18"/>
          <w:lang w:val="en-US"/>
        </w:rPr>
        <w:t>Article 19 of the</w:t>
      </w:r>
      <w:r w:rsidRPr="008F4611">
        <w:rPr>
          <w:rFonts w:cs="Arial"/>
          <w:szCs w:val="18"/>
        </w:rPr>
        <w:t xml:space="preserve"> </w:t>
      </w:r>
      <w:hyperlink r:id="rId260" w:history="1">
        <w:r w:rsidRPr="008F4611">
          <w:rPr>
            <w:rStyle w:val="Hyperlink"/>
            <w:rFonts w:cs="Arial"/>
            <w:bCs/>
            <w:szCs w:val="18"/>
          </w:rPr>
          <w:t>Coordinated Laws of 12 January 1973 on the Council of State</w:t>
        </w:r>
      </w:hyperlink>
      <w:r w:rsidRPr="008F4611">
        <w:rPr>
          <w:rFonts w:cs="Arial"/>
          <w:bCs/>
          <w:szCs w:val="18"/>
          <w:lang w:val="en-US"/>
        </w:rPr>
        <w:t>.</w:t>
      </w:r>
    </w:p>
  </w:footnote>
  <w:footnote w:id="267">
    <w:p w:rsidR="00F60A1E" w:rsidRPr="008F4611" w:rsidRDefault="00F60A1E" w:rsidP="00F60A1E">
      <w:pPr>
        <w:pStyle w:val="FootnoteText"/>
        <w:spacing w:after="0"/>
        <w:jc w:val="both"/>
        <w:rPr>
          <w:rFonts w:cs="Arial"/>
          <w:szCs w:val="18"/>
          <w:lang w:val="en-US"/>
        </w:rPr>
      </w:pPr>
      <w:r w:rsidRPr="008F4611">
        <w:rPr>
          <w:rStyle w:val="FootnoteReference"/>
          <w:rFonts w:cs="Arial"/>
          <w:szCs w:val="18"/>
        </w:rPr>
        <w:footnoteRef/>
      </w:r>
      <w:r w:rsidRPr="008F4611">
        <w:rPr>
          <w:rFonts w:cs="Arial"/>
          <w:szCs w:val="18"/>
        </w:rPr>
        <w:t xml:space="preserve"> Information confirmed by stakeholder consultation with a Children’s Rights authority.</w:t>
      </w:r>
    </w:p>
  </w:footnote>
  <w:footnote w:id="268">
    <w:p w:rsidR="00F60A1E" w:rsidRPr="008F4611" w:rsidRDefault="00F60A1E" w:rsidP="00F60A1E">
      <w:pPr>
        <w:pStyle w:val="FootnoteText"/>
        <w:spacing w:after="0"/>
        <w:rPr>
          <w:rFonts w:cs="Arial"/>
          <w:szCs w:val="18"/>
          <w:lang w:val="en-US"/>
        </w:rPr>
      </w:pPr>
      <w:r w:rsidRPr="008F4611">
        <w:rPr>
          <w:rStyle w:val="FootnoteReference"/>
          <w:rFonts w:cs="Arial"/>
          <w:szCs w:val="18"/>
        </w:rPr>
        <w:footnoteRef/>
      </w:r>
      <w:r w:rsidRPr="008F4611">
        <w:rPr>
          <w:rFonts w:cs="Arial"/>
          <w:szCs w:val="18"/>
        </w:rPr>
        <w:t xml:space="preserve"> </w:t>
      </w:r>
      <w:r w:rsidRPr="008F4611">
        <w:rPr>
          <w:rFonts w:cs="Arial"/>
          <w:szCs w:val="18"/>
          <w:lang w:val="en-US"/>
        </w:rPr>
        <w:t xml:space="preserve">Article 5 of the </w:t>
      </w:r>
      <w:hyperlink r:id="rId261" w:history="1">
        <w:r w:rsidRPr="008F4611">
          <w:rPr>
            <w:rStyle w:val="Hyperlink"/>
            <w:rFonts w:cs="Arial"/>
            <w:szCs w:val="18"/>
            <w:lang w:val="en-US"/>
          </w:rPr>
          <w:t>Royal Decree of 30 November 2006 on the cassation procedure before the Council of State</w:t>
        </w:r>
      </w:hyperlink>
      <w:r w:rsidRPr="008F4611">
        <w:rPr>
          <w:rFonts w:cs="Arial"/>
          <w:szCs w:val="18"/>
          <w:lang w:val="en-US"/>
        </w:rPr>
        <w:t>.</w:t>
      </w:r>
    </w:p>
  </w:footnote>
  <w:footnote w:id="269">
    <w:p w:rsidR="00F60A1E" w:rsidRPr="008F4611" w:rsidRDefault="00F60A1E" w:rsidP="00F60A1E">
      <w:pPr>
        <w:pStyle w:val="FootnoteText"/>
        <w:spacing w:after="0"/>
        <w:jc w:val="both"/>
        <w:rPr>
          <w:szCs w:val="18"/>
        </w:rPr>
      </w:pPr>
      <w:r w:rsidRPr="008F4611">
        <w:rPr>
          <w:rStyle w:val="FootnoteReference"/>
          <w:rFonts w:cs="Arial"/>
          <w:szCs w:val="18"/>
        </w:rPr>
        <w:footnoteRef/>
      </w:r>
      <w:r w:rsidRPr="008F4611">
        <w:rPr>
          <w:szCs w:val="18"/>
        </w:rPr>
        <w:t xml:space="preserve"> Article 508/23 of the </w:t>
      </w:r>
      <w:hyperlink r:id="rId262" w:history="1">
        <w:r w:rsidRPr="008F4611">
          <w:rPr>
            <w:rStyle w:val="Hyperlink"/>
            <w:rFonts w:cs="Arial"/>
            <w:szCs w:val="18"/>
          </w:rPr>
          <w:t>Judicial Code</w:t>
        </w:r>
      </w:hyperlink>
      <w:r w:rsidRPr="008F4611">
        <w:rPr>
          <w:szCs w:val="18"/>
        </w:rPr>
        <w:t>.</w:t>
      </w:r>
    </w:p>
  </w:footnote>
  <w:footnote w:id="270">
    <w:p w:rsidR="00F60A1E" w:rsidRPr="008F4611" w:rsidRDefault="00F60A1E" w:rsidP="00F60A1E">
      <w:pPr>
        <w:pStyle w:val="FootnoteText"/>
        <w:spacing w:after="0"/>
        <w:jc w:val="both"/>
        <w:rPr>
          <w:szCs w:val="18"/>
        </w:rPr>
      </w:pPr>
      <w:r w:rsidRPr="008F4611">
        <w:rPr>
          <w:rStyle w:val="FootnoteReference"/>
          <w:rFonts w:cs="Arial"/>
          <w:szCs w:val="18"/>
        </w:rPr>
        <w:footnoteRef/>
      </w:r>
      <w:r w:rsidRPr="008F4611">
        <w:rPr>
          <w:szCs w:val="18"/>
        </w:rPr>
        <w:t xml:space="preserve"> Article 691 of the </w:t>
      </w:r>
      <w:hyperlink r:id="rId263" w:history="1">
        <w:r w:rsidRPr="008F4611">
          <w:rPr>
            <w:rStyle w:val="Hyperlink"/>
            <w:rFonts w:cs="Arial"/>
            <w:szCs w:val="18"/>
          </w:rPr>
          <w:t>Judicial Code</w:t>
        </w:r>
      </w:hyperlink>
      <w:r w:rsidRPr="008F4611">
        <w:rPr>
          <w:szCs w:val="18"/>
        </w:rPr>
        <w:t>.</w:t>
      </w:r>
    </w:p>
  </w:footnote>
  <w:footnote w:id="271">
    <w:p w:rsidR="00F60A1E" w:rsidRPr="00AF32C2" w:rsidRDefault="00F60A1E" w:rsidP="00F60A1E">
      <w:pPr>
        <w:pStyle w:val="FootnoteText"/>
        <w:spacing w:after="0"/>
        <w:rPr>
          <w:rFonts w:cs="Arial"/>
          <w:sz w:val="16"/>
          <w:szCs w:val="16"/>
          <w:lang w:val="en-US"/>
        </w:rPr>
      </w:pPr>
      <w:r w:rsidRPr="008F4611">
        <w:rPr>
          <w:rStyle w:val="FootnoteReference"/>
          <w:rFonts w:cs="Arial"/>
          <w:szCs w:val="18"/>
        </w:rPr>
        <w:footnoteRef/>
      </w:r>
      <w:r w:rsidRPr="008F4611">
        <w:rPr>
          <w:rFonts w:cs="Arial"/>
          <w:szCs w:val="18"/>
        </w:rPr>
        <w:t xml:space="preserve"> </w:t>
      </w:r>
      <w:hyperlink r:id="rId264" w:history="1">
        <w:r w:rsidRPr="008F4611">
          <w:rPr>
            <w:rStyle w:val="Hyperlink"/>
            <w:rFonts w:cs="Arial"/>
            <w:szCs w:val="18"/>
            <w:lang w:val="en-US"/>
          </w:rPr>
          <w:t>Council of State Decision of 28 December 1998</w:t>
        </w:r>
      </w:hyperlink>
      <w:r w:rsidRPr="008F4611">
        <w:rPr>
          <w:rFonts w:cs="Arial"/>
          <w:szCs w:val="18"/>
          <w:lang w:val="en-US"/>
        </w:rPr>
        <w:t>, No 77.847.</w:t>
      </w:r>
    </w:p>
  </w:footnote>
  <w:footnote w:id="272">
    <w:p w:rsidR="00F60A1E" w:rsidRPr="008F4611" w:rsidRDefault="00F60A1E" w:rsidP="00F60A1E">
      <w:pPr>
        <w:pStyle w:val="FootnoteText"/>
        <w:spacing w:after="0"/>
        <w:rPr>
          <w:rFonts w:cs="Arial"/>
          <w:szCs w:val="18"/>
          <w:lang w:val="en-US"/>
        </w:rPr>
      </w:pPr>
      <w:r w:rsidRPr="008F4611">
        <w:rPr>
          <w:rStyle w:val="FootnoteReference"/>
          <w:rFonts w:cs="Arial"/>
          <w:szCs w:val="18"/>
        </w:rPr>
        <w:footnoteRef/>
      </w:r>
      <w:r w:rsidRPr="008F4611">
        <w:rPr>
          <w:rFonts w:cs="Arial"/>
          <w:szCs w:val="18"/>
        </w:rPr>
        <w:t xml:space="preserve"> </w:t>
      </w:r>
      <w:r w:rsidRPr="008F4611">
        <w:rPr>
          <w:rFonts w:cs="Arial"/>
          <w:szCs w:val="18"/>
          <w:lang w:val="en-US"/>
        </w:rPr>
        <w:t xml:space="preserve">Article 6 of the </w:t>
      </w:r>
      <w:hyperlink r:id="rId265" w:history="1">
        <w:r w:rsidRPr="008F4611">
          <w:rPr>
            <w:rStyle w:val="Hyperlink"/>
            <w:rFonts w:cs="Arial"/>
            <w:szCs w:val="18"/>
            <w:lang w:val="en-US"/>
          </w:rPr>
          <w:t>Programme Law of 24 December 2002 on the guardianship of unaccompanied foreign minors</w:t>
        </w:r>
      </w:hyperlink>
      <w:r w:rsidRPr="008F4611">
        <w:rPr>
          <w:rFonts w:cs="Arial"/>
          <w:szCs w:val="18"/>
          <w:lang w:val="en-US"/>
        </w:rPr>
        <w:t>.</w:t>
      </w:r>
    </w:p>
  </w:footnote>
  <w:footnote w:id="273">
    <w:p w:rsidR="00F60A1E" w:rsidRPr="008F4611" w:rsidRDefault="00F60A1E" w:rsidP="00F60A1E">
      <w:pPr>
        <w:pStyle w:val="FootnoteText"/>
        <w:spacing w:after="0"/>
        <w:rPr>
          <w:rFonts w:cs="Arial"/>
          <w:szCs w:val="18"/>
          <w:lang w:val="en-US"/>
        </w:rPr>
      </w:pPr>
      <w:r w:rsidRPr="008F4611">
        <w:rPr>
          <w:rStyle w:val="FootnoteReference"/>
          <w:rFonts w:cs="Arial"/>
          <w:szCs w:val="18"/>
        </w:rPr>
        <w:footnoteRef/>
      </w:r>
      <w:r w:rsidRPr="008F4611">
        <w:rPr>
          <w:rFonts w:cs="Arial"/>
          <w:szCs w:val="18"/>
        </w:rPr>
        <w:t xml:space="preserve"> </w:t>
      </w:r>
      <w:r w:rsidRPr="008F4611">
        <w:rPr>
          <w:rFonts w:cs="Arial"/>
          <w:szCs w:val="18"/>
          <w:lang w:val="en-US"/>
        </w:rPr>
        <w:t xml:space="preserve">Article 41 of the </w:t>
      </w:r>
      <w:hyperlink r:id="rId266" w:history="1">
        <w:r w:rsidRPr="008F4611">
          <w:rPr>
            <w:rStyle w:val="Hyperlink"/>
            <w:rFonts w:cs="Arial"/>
            <w:szCs w:val="18"/>
            <w:lang w:val="en-US"/>
          </w:rPr>
          <w:t>Act of 12 January 2007 on the reception of asylum-seekers and other categories of non-nationals</w:t>
        </w:r>
      </w:hyperlink>
      <w:r w:rsidRPr="008F4611">
        <w:rPr>
          <w:rFonts w:cs="Arial"/>
          <w:szCs w:val="18"/>
          <w:lang w:val="en-US"/>
        </w:rPr>
        <w:t>.</w:t>
      </w:r>
    </w:p>
  </w:footnote>
  <w:footnote w:id="274">
    <w:p w:rsidR="00F60A1E" w:rsidRPr="008F4611" w:rsidRDefault="00F60A1E" w:rsidP="00F60A1E">
      <w:pPr>
        <w:pStyle w:val="FootnoteText"/>
        <w:spacing w:after="0"/>
        <w:rPr>
          <w:rFonts w:cs="Arial"/>
          <w:szCs w:val="18"/>
          <w:lang w:val="en-US"/>
        </w:rPr>
      </w:pPr>
      <w:r w:rsidRPr="008F4611">
        <w:rPr>
          <w:rStyle w:val="FootnoteReference"/>
          <w:rFonts w:cs="Arial"/>
          <w:szCs w:val="18"/>
        </w:rPr>
        <w:footnoteRef/>
      </w:r>
      <w:r w:rsidRPr="008F4611">
        <w:rPr>
          <w:rFonts w:cs="Arial"/>
          <w:szCs w:val="18"/>
        </w:rPr>
        <w:t xml:space="preserve"> </w:t>
      </w:r>
      <w:hyperlink r:id="rId267" w:history="1">
        <w:r w:rsidRPr="008F4611">
          <w:rPr>
            <w:rStyle w:val="Hyperlink"/>
            <w:rFonts w:cs="Arial"/>
            <w:szCs w:val="18"/>
            <w:lang w:val="en-US"/>
          </w:rPr>
          <w:t>Royal Decree of 22 December 2003 implementing Title XIII, Chapter 6 of the Law Programme of 24 December 2002 on the guardianship of unaccompanied foreign minors</w:t>
        </w:r>
      </w:hyperlink>
      <w:r w:rsidRPr="008F4611">
        <w:rPr>
          <w:rFonts w:cs="Arial"/>
          <w:szCs w:val="18"/>
          <w:lang w:val="en-US"/>
        </w:rPr>
        <w:t>.</w:t>
      </w:r>
    </w:p>
  </w:footnote>
  <w:footnote w:id="275">
    <w:p w:rsidR="00F60A1E" w:rsidRPr="008F4611" w:rsidRDefault="00F60A1E" w:rsidP="00F60A1E">
      <w:pPr>
        <w:pStyle w:val="FootnoteText"/>
        <w:spacing w:after="0"/>
        <w:rPr>
          <w:rFonts w:cs="Arial"/>
          <w:szCs w:val="18"/>
          <w:lang w:val="en-US"/>
        </w:rPr>
      </w:pPr>
      <w:r w:rsidRPr="008F4611">
        <w:rPr>
          <w:rStyle w:val="FootnoteReference"/>
          <w:rFonts w:cs="Arial"/>
          <w:szCs w:val="18"/>
        </w:rPr>
        <w:footnoteRef/>
      </w:r>
      <w:r w:rsidRPr="008F4611">
        <w:rPr>
          <w:rFonts w:cs="Arial"/>
          <w:szCs w:val="18"/>
        </w:rPr>
        <w:t xml:space="preserve"> </w:t>
      </w:r>
      <w:r w:rsidRPr="008F4611">
        <w:rPr>
          <w:rFonts w:cs="Arial"/>
          <w:szCs w:val="18"/>
          <w:lang w:val="en-US"/>
        </w:rPr>
        <w:t xml:space="preserve">Article 20 of the </w:t>
      </w:r>
      <w:hyperlink r:id="rId268" w:history="1">
        <w:r w:rsidRPr="008F4611">
          <w:rPr>
            <w:rStyle w:val="Hyperlink"/>
            <w:rFonts w:cs="Arial"/>
            <w:szCs w:val="18"/>
            <w:lang w:val="en-US"/>
          </w:rPr>
          <w:t>Programme Law of 24 December 2002 on the guardianship of unaccompanied foreign minors</w:t>
        </w:r>
      </w:hyperlink>
      <w:r w:rsidRPr="008F4611">
        <w:rPr>
          <w:rFonts w:cs="Arial"/>
          <w:szCs w:val="18"/>
          <w:lang w:val="en-US"/>
        </w:rPr>
        <w:t>.</w:t>
      </w:r>
    </w:p>
  </w:footnote>
  <w:footnote w:id="276">
    <w:p w:rsidR="00F60A1E" w:rsidRPr="008F4611" w:rsidRDefault="00F60A1E" w:rsidP="00F60A1E">
      <w:pPr>
        <w:pStyle w:val="FootnoteText"/>
        <w:spacing w:after="0"/>
        <w:jc w:val="both"/>
        <w:rPr>
          <w:rFonts w:cs="Arial"/>
          <w:szCs w:val="18"/>
          <w:lang w:val="en-US"/>
        </w:rPr>
      </w:pPr>
      <w:r w:rsidRPr="008F4611">
        <w:rPr>
          <w:rStyle w:val="FootnoteReference"/>
          <w:rFonts w:cs="Arial"/>
          <w:szCs w:val="18"/>
        </w:rPr>
        <w:footnoteRef/>
      </w:r>
      <w:r w:rsidRPr="008F4611">
        <w:rPr>
          <w:rFonts w:cs="Arial"/>
          <w:szCs w:val="18"/>
        </w:rPr>
        <w:t xml:space="preserve"> </w:t>
      </w:r>
      <w:r w:rsidRPr="008F4611">
        <w:rPr>
          <w:rFonts w:cs="Arial"/>
          <w:szCs w:val="18"/>
          <w:lang w:val="en-US"/>
        </w:rPr>
        <w:t xml:space="preserve">A bill has been adopted to establish a system of guardianship for unaccompanied EEA children and repeal the Circular which regulated the issue up to now. The bill is waiting for royal sanction at the time of the finalisation of this report and is not yet into force. </w:t>
      </w:r>
      <w:hyperlink r:id="rId269" w:history="1">
        <w:r w:rsidRPr="008F4611">
          <w:rPr>
            <w:rStyle w:val="Hyperlink"/>
            <w:rFonts w:cs="Arial"/>
            <w:szCs w:val="18"/>
            <w:lang w:val="en-US"/>
          </w:rPr>
          <w:t>Law proposal (Doc. 53 3469/001) modifying the title XIII, Chapter VI of the Law Programme of 24 December 2002 on guardianship of unaccompanied foreign minors</w:t>
        </w:r>
      </w:hyperlink>
      <w:r w:rsidRPr="008F4611">
        <w:rPr>
          <w:rFonts w:cs="Arial"/>
          <w:szCs w:val="18"/>
          <w:lang w:val="en-US"/>
        </w:rPr>
        <w:t xml:space="preserve">. </w:t>
      </w:r>
    </w:p>
  </w:footnote>
  <w:footnote w:id="277">
    <w:p w:rsidR="00F60A1E" w:rsidRPr="008F4611" w:rsidRDefault="00F60A1E" w:rsidP="00F60A1E">
      <w:pPr>
        <w:pStyle w:val="FootnoteText"/>
        <w:spacing w:after="0"/>
        <w:rPr>
          <w:szCs w:val="18"/>
        </w:rPr>
      </w:pPr>
      <w:r w:rsidRPr="008F4611">
        <w:rPr>
          <w:rStyle w:val="FootnoteReference"/>
          <w:szCs w:val="18"/>
        </w:rPr>
        <w:footnoteRef/>
      </w:r>
      <w:r w:rsidRPr="008F4611">
        <w:rPr>
          <w:szCs w:val="18"/>
        </w:rPr>
        <w:t xml:space="preserve"> </w:t>
      </w:r>
      <w:hyperlink r:id="rId270" w:history="1">
        <w:r w:rsidRPr="008F4611">
          <w:rPr>
            <w:rStyle w:val="Hyperlink"/>
            <w:rFonts w:cs="Arial"/>
            <w:szCs w:val="18"/>
            <w:lang w:val="en-US"/>
          </w:rPr>
          <w:t>Circular of 2 August 2007 on the unaccompanied European child</w:t>
        </w:r>
      </w:hyperlink>
      <w:r w:rsidRPr="008F4611">
        <w:rPr>
          <w:rFonts w:cs="Arial"/>
          <w:szCs w:val="18"/>
          <w:lang w:val="en-US"/>
        </w:rPr>
        <w:t>.</w:t>
      </w:r>
    </w:p>
  </w:footnote>
  <w:footnote w:id="278">
    <w:p w:rsidR="00F60A1E" w:rsidRPr="008F4611" w:rsidRDefault="00F60A1E" w:rsidP="00F60A1E">
      <w:pPr>
        <w:pStyle w:val="FootnoteText"/>
        <w:spacing w:after="0"/>
        <w:rPr>
          <w:szCs w:val="18"/>
        </w:rPr>
      </w:pPr>
      <w:r w:rsidRPr="008F4611">
        <w:rPr>
          <w:rStyle w:val="FootnoteReference"/>
          <w:szCs w:val="18"/>
        </w:rPr>
        <w:footnoteRef/>
      </w:r>
      <w:r w:rsidRPr="008F4611">
        <w:rPr>
          <w:szCs w:val="18"/>
        </w:rPr>
        <w:t xml:space="preserve"> Article 52ter of the </w:t>
      </w:r>
      <w:hyperlink r:id="rId271" w:history="1">
        <w:r w:rsidRPr="008F4611">
          <w:rPr>
            <w:rStyle w:val="Hyperlink"/>
            <w:szCs w:val="18"/>
          </w:rPr>
          <w:t>Youth Protection Act</w:t>
        </w:r>
      </w:hyperlink>
      <w:r w:rsidRPr="008F4611">
        <w:rPr>
          <w:szCs w:val="18"/>
        </w:rPr>
        <w:t>.</w:t>
      </w:r>
    </w:p>
  </w:footnote>
  <w:footnote w:id="279">
    <w:p w:rsidR="00F60A1E" w:rsidRPr="008F4611" w:rsidRDefault="00F60A1E" w:rsidP="00F60A1E">
      <w:pPr>
        <w:pStyle w:val="FootnoteText"/>
        <w:spacing w:after="0"/>
        <w:rPr>
          <w:szCs w:val="18"/>
        </w:rPr>
      </w:pPr>
      <w:r w:rsidRPr="008F4611">
        <w:rPr>
          <w:rStyle w:val="FootnoteReference"/>
          <w:szCs w:val="18"/>
        </w:rPr>
        <w:footnoteRef/>
      </w:r>
      <w:r w:rsidRPr="008F4611">
        <w:rPr>
          <w:szCs w:val="18"/>
        </w:rPr>
        <w:t xml:space="preserve"> ibid.</w:t>
      </w:r>
    </w:p>
  </w:footnote>
  <w:footnote w:id="280">
    <w:p w:rsidR="00F60A1E" w:rsidRPr="008F4611" w:rsidRDefault="00F60A1E" w:rsidP="00F60A1E">
      <w:pPr>
        <w:pStyle w:val="FootnoteText"/>
        <w:spacing w:after="0"/>
        <w:jc w:val="both"/>
        <w:rPr>
          <w:szCs w:val="18"/>
        </w:rPr>
      </w:pPr>
      <w:r w:rsidRPr="008F4611">
        <w:rPr>
          <w:rStyle w:val="FootnoteReference"/>
          <w:rFonts w:cs="Arial"/>
          <w:szCs w:val="18"/>
        </w:rPr>
        <w:footnoteRef/>
      </w:r>
      <w:r w:rsidRPr="008F4611">
        <w:rPr>
          <w:szCs w:val="18"/>
        </w:rPr>
        <w:t xml:space="preserve"> Article 54bis of the </w:t>
      </w:r>
      <w:hyperlink r:id="rId272" w:history="1">
        <w:r w:rsidRPr="008F4611">
          <w:rPr>
            <w:rStyle w:val="Hyperlink"/>
            <w:rFonts w:cs="Arial"/>
            <w:szCs w:val="18"/>
          </w:rPr>
          <w:t>Youth Protection Act</w:t>
        </w:r>
      </w:hyperlink>
      <w:r w:rsidRPr="008F4611">
        <w:rPr>
          <w:szCs w:val="18"/>
        </w:rPr>
        <w:t xml:space="preserve"> of 8 April 1965.</w:t>
      </w:r>
    </w:p>
  </w:footnote>
  <w:footnote w:id="281">
    <w:p w:rsidR="00F60A1E" w:rsidRPr="008F4611" w:rsidRDefault="00F60A1E" w:rsidP="00F60A1E">
      <w:pPr>
        <w:pStyle w:val="FootnoteText"/>
        <w:spacing w:after="0"/>
        <w:rPr>
          <w:rFonts w:cs="Arial"/>
          <w:szCs w:val="18"/>
        </w:rPr>
      </w:pPr>
      <w:r w:rsidRPr="008F4611">
        <w:rPr>
          <w:rStyle w:val="FootnoteReference"/>
          <w:rFonts w:cs="Arial"/>
          <w:szCs w:val="18"/>
        </w:rPr>
        <w:footnoteRef/>
      </w:r>
      <w:r w:rsidRPr="008F4611">
        <w:rPr>
          <w:rFonts w:cs="Arial"/>
          <w:szCs w:val="18"/>
        </w:rPr>
        <w:t xml:space="preserve"> Article 2 of the </w:t>
      </w:r>
      <w:hyperlink r:id="rId273" w:history="1">
        <w:r w:rsidRPr="008F4611">
          <w:rPr>
            <w:rStyle w:val="Hyperlink"/>
            <w:rFonts w:cs="Arial"/>
            <w:szCs w:val="18"/>
          </w:rPr>
          <w:t>Act of 26 June 1990 on the protection of mentally ill persons</w:t>
        </w:r>
      </w:hyperlink>
      <w:r w:rsidRPr="008F4611">
        <w:rPr>
          <w:rFonts w:cs="Arial"/>
          <w:szCs w:val="18"/>
        </w:rPr>
        <w:t>.</w:t>
      </w:r>
    </w:p>
  </w:footnote>
  <w:footnote w:id="282">
    <w:p w:rsidR="00F60A1E" w:rsidRPr="00A36DEB" w:rsidRDefault="00F60A1E" w:rsidP="00F60A1E">
      <w:pPr>
        <w:pStyle w:val="FootnoteText"/>
        <w:spacing w:after="0"/>
        <w:rPr>
          <w:lang w:val="en-US"/>
        </w:rPr>
      </w:pPr>
      <w:r w:rsidRPr="008F4611">
        <w:rPr>
          <w:rStyle w:val="FootnoteReference"/>
          <w:szCs w:val="18"/>
        </w:rPr>
        <w:footnoteRef/>
      </w:r>
      <w:r w:rsidRPr="008F4611">
        <w:rPr>
          <w:szCs w:val="18"/>
        </w:rPr>
        <w:t xml:space="preserve"> </w:t>
      </w:r>
      <w:r w:rsidRPr="008F4611">
        <w:rPr>
          <w:szCs w:val="18"/>
          <w:lang w:val="en-US"/>
        </w:rPr>
        <w:t xml:space="preserve">Articles 7 and 8 </w:t>
      </w:r>
      <w:r w:rsidRPr="008F4611">
        <w:rPr>
          <w:rFonts w:cs="Arial"/>
          <w:szCs w:val="18"/>
        </w:rPr>
        <w:t xml:space="preserve">of the </w:t>
      </w:r>
      <w:hyperlink r:id="rId274" w:history="1">
        <w:r w:rsidRPr="008F4611">
          <w:rPr>
            <w:rStyle w:val="Hyperlink"/>
            <w:rFonts w:cs="Arial"/>
            <w:szCs w:val="18"/>
          </w:rPr>
          <w:t>Act of 26 June 1990 on the protection of mentally ill persons</w:t>
        </w:r>
      </w:hyperlink>
      <w:r w:rsidRPr="008F4611">
        <w:rPr>
          <w:rFonts w:cs="Arial"/>
          <w:szCs w:val="18"/>
        </w:rPr>
        <w:t>.</w:t>
      </w:r>
    </w:p>
  </w:footnote>
  <w:footnote w:id="283">
    <w:p w:rsidR="00F60A1E" w:rsidRPr="008F4611" w:rsidRDefault="00F60A1E" w:rsidP="00F60A1E">
      <w:pPr>
        <w:pStyle w:val="FootnoteText"/>
        <w:spacing w:after="0"/>
        <w:jc w:val="both"/>
        <w:rPr>
          <w:rFonts w:cs="Arial"/>
          <w:szCs w:val="18"/>
        </w:rPr>
      </w:pPr>
      <w:r w:rsidRPr="008F4611">
        <w:rPr>
          <w:rStyle w:val="FootnoteReference"/>
          <w:rFonts w:cs="Arial"/>
          <w:szCs w:val="18"/>
        </w:rPr>
        <w:footnoteRef/>
      </w:r>
      <w:r w:rsidRPr="008F4611">
        <w:rPr>
          <w:rFonts w:cs="Arial"/>
          <w:szCs w:val="18"/>
        </w:rPr>
        <w:t xml:space="preserve"> Article 23, second indent, 2° of the </w:t>
      </w:r>
      <w:hyperlink r:id="rId275" w:history="1">
        <w:r w:rsidRPr="008F4611">
          <w:rPr>
            <w:rStyle w:val="Hyperlink"/>
            <w:rFonts w:cs="Arial"/>
            <w:szCs w:val="18"/>
          </w:rPr>
          <w:t>Constitution</w:t>
        </w:r>
      </w:hyperlink>
      <w:r w:rsidRPr="008F4611">
        <w:rPr>
          <w:rFonts w:cs="Arial"/>
          <w:szCs w:val="18"/>
        </w:rPr>
        <w:t>.</w:t>
      </w:r>
    </w:p>
  </w:footnote>
  <w:footnote w:id="284">
    <w:p w:rsidR="00F60A1E" w:rsidRPr="008F4611" w:rsidRDefault="00F60A1E" w:rsidP="00F60A1E">
      <w:pPr>
        <w:pStyle w:val="FootnoteText"/>
        <w:spacing w:after="0"/>
        <w:rPr>
          <w:rFonts w:cs="Arial"/>
          <w:szCs w:val="18"/>
          <w:lang w:val="en-US"/>
        </w:rPr>
      </w:pPr>
      <w:r w:rsidRPr="008F4611">
        <w:rPr>
          <w:rStyle w:val="FootnoteReference"/>
          <w:rFonts w:cs="Arial"/>
          <w:szCs w:val="18"/>
        </w:rPr>
        <w:footnoteRef/>
      </w:r>
      <w:r w:rsidRPr="008F4611">
        <w:rPr>
          <w:rFonts w:cs="Arial"/>
          <w:szCs w:val="18"/>
        </w:rPr>
        <w:t xml:space="preserve"> </w:t>
      </w:r>
      <w:r w:rsidRPr="008F4611">
        <w:rPr>
          <w:rFonts w:cs="Arial"/>
          <w:szCs w:val="18"/>
          <w:lang w:val="en-US"/>
        </w:rPr>
        <w:t>Article 19 of the</w:t>
      </w:r>
      <w:r w:rsidRPr="008F4611">
        <w:rPr>
          <w:rFonts w:cs="Arial"/>
          <w:szCs w:val="18"/>
        </w:rPr>
        <w:t xml:space="preserve"> </w:t>
      </w:r>
      <w:hyperlink r:id="rId276" w:history="1">
        <w:r w:rsidRPr="008F4611">
          <w:rPr>
            <w:rStyle w:val="Hyperlink"/>
            <w:rFonts w:cs="Arial"/>
            <w:bCs/>
            <w:szCs w:val="18"/>
          </w:rPr>
          <w:t>Coordinated Laws of 12 January 1973 on the Council of State</w:t>
        </w:r>
      </w:hyperlink>
      <w:r w:rsidRPr="008F4611">
        <w:rPr>
          <w:rFonts w:cs="Arial"/>
          <w:bCs/>
          <w:szCs w:val="18"/>
          <w:lang w:val="en-US"/>
        </w:rPr>
        <w:t>.</w:t>
      </w:r>
    </w:p>
  </w:footnote>
  <w:footnote w:id="285">
    <w:p w:rsidR="00F60A1E" w:rsidRPr="008F4611" w:rsidRDefault="00F60A1E" w:rsidP="00F60A1E">
      <w:pPr>
        <w:pStyle w:val="FootnoteText"/>
        <w:spacing w:after="0"/>
        <w:jc w:val="both"/>
        <w:rPr>
          <w:rFonts w:cs="Arial"/>
          <w:szCs w:val="18"/>
          <w:lang w:val="en-US"/>
        </w:rPr>
      </w:pPr>
      <w:r w:rsidRPr="008F4611">
        <w:rPr>
          <w:rStyle w:val="FootnoteReference"/>
          <w:rFonts w:cs="Arial"/>
          <w:szCs w:val="18"/>
        </w:rPr>
        <w:footnoteRef/>
      </w:r>
      <w:r w:rsidRPr="008F4611">
        <w:rPr>
          <w:rFonts w:cs="Arial"/>
          <w:szCs w:val="18"/>
        </w:rPr>
        <w:t xml:space="preserve"> Information confirmed by stakeholder consultation with a Children’s Rights authority.</w:t>
      </w:r>
    </w:p>
  </w:footnote>
  <w:footnote w:id="286">
    <w:p w:rsidR="00F60A1E" w:rsidRPr="008F4611" w:rsidRDefault="00F60A1E" w:rsidP="00F60A1E">
      <w:pPr>
        <w:pStyle w:val="FootnoteText"/>
        <w:spacing w:after="0"/>
        <w:rPr>
          <w:rFonts w:cs="Arial"/>
          <w:szCs w:val="18"/>
          <w:lang w:val="en-US"/>
        </w:rPr>
      </w:pPr>
      <w:r w:rsidRPr="008F4611">
        <w:rPr>
          <w:rStyle w:val="FootnoteReference"/>
          <w:rFonts w:cs="Arial"/>
          <w:szCs w:val="18"/>
        </w:rPr>
        <w:footnoteRef/>
      </w:r>
      <w:r w:rsidRPr="008F4611">
        <w:rPr>
          <w:rFonts w:cs="Arial"/>
          <w:szCs w:val="18"/>
        </w:rPr>
        <w:t xml:space="preserve"> </w:t>
      </w:r>
      <w:r w:rsidRPr="008F4611">
        <w:rPr>
          <w:rFonts w:cs="Arial"/>
          <w:szCs w:val="18"/>
          <w:lang w:val="en-US"/>
        </w:rPr>
        <w:t xml:space="preserve">Article 5 of the </w:t>
      </w:r>
      <w:hyperlink r:id="rId277" w:history="1">
        <w:r w:rsidRPr="008F4611">
          <w:rPr>
            <w:rStyle w:val="Hyperlink"/>
            <w:rFonts w:cs="Arial"/>
            <w:szCs w:val="18"/>
            <w:lang w:val="en-US"/>
          </w:rPr>
          <w:t>Royal Decree of 30 November 2006 on the cassation procedure before the Council of State</w:t>
        </w:r>
      </w:hyperlink>
      <w:r w:rsidRPr="008F4611">
        <w:rPr>
          <w:rFonts w:cs="Arial"/>
          <w:szCs w:val="18"/>
          <w:lang w:val="en-US"/>
        </w:rPr>
        <w:t>.</w:t>
      </w:r>
    </w:p>
  </w:footnote>
  <w:footnote w:id="287">
    <w:p w:rsidR="00F60A1E" w:rsidRPr="008F4611" w:rsidRDefault="00F60A1E" w:rsidP="00F60A1E">
      <w:pPr>
        <w:pStyle w:val="FootnoteText"/>
        <w:spacing w:after="0"/>
        <w:jc w:val="both"/>
        <w:rPr>
          <w:rFonts w:cs="Arial"/>
          <w:szCs w:val="18"/>
        </w:rPr>
      </w:pPr>
      <w:r w:rsidRPr="008F4611">
        <w:rPr>
          <w:rStyle w:val="FootnoteReference"/>
          <w:rFonts w:cs="Arial"/>
          <w:szCs w:val="18"/>
        </w:rPr>
        <w:footnoteRef/>
      </w:r>
      <w:r w:rsidRPr="008F4611">
        <w:rPr>
          <w:rFonts w:cs="Arial"/>
          <w:szCs w:val="18"/>
        </w:rPr>
        <w:t xml:space="preserve"> Article 508/23 of the </w:t>
      </w:r>
      <w:hyperlink r:id="rId278" w:history="1">
        <w:r w:rsidRPr="008F4611">
          <w:rPr>
            <w:rStyle w:val="Hyperlink"/>
            <w:rFonts w:cs="Arial"/>
            <w:szCs w:val="18"/>
          </w:rPr>
          <w:t>Judicial Code</w:t>
        </w:r>
      </w:hyperlink>
      <w:r w:rsidRPr="008F4611">
        <w:rPr>
          <w:rFonts w:cs="Arial"/>
          <w:szCs w:val="18"/>
        </w:rPr>
        <w:t>.</w:t>
      </w:r>
    </w:p>
  </w:footnote>
  <w:footnote w:id="288">
    <w:p w:rsidR="00F60A1E" w:rsidRPr="008F4611" w:rsidRDefault="00F60A1E" w:rsidP="00F60A1E">
      <w:pPr>
        <w:pStyle w:val="FootnoteText"/>
        <w:spacing w:after="0"/>
        <w:rPr>
          <w:szCs w:val="18"/>
        </w:rPr>
      </w:pPr>
      <w:r w:rsidRPr="008F4611">
        <w:rPr>
          <w:rStyle w:val="FootnoteReference"/>
          <w:szCs w:val="18"/>
        </w:rPr>
        <w:footnoteRef/>
      </w:r>
      <w:r w:rsidRPr="008F4611">
        <w:rPr>
          <w:szCs w:val="18"/>
        </w:rPr>
        <w:t xml:space="preserve"> </w:t>
      </w:r>
      <w:r w:rsidRPr="008F4611">
        <w:rPr>
          <w:szCs w:val="18"/>
          <w:lang w:val="en-US"/>
        </w:rPr>
        <w:t xml:space="preserve">Article 2.21 of the </w:t>
      </w:r>
      <w:hyperlink r:id="rId279" w:history="1">
        <w:r w:rsidRPr="008F4611">
          <w:rPr>
            <w:rStyle w:val="Hyperlink"/>
            <w:szCs w:val="18"/>
            <w:lang w:val="en-US"/>
          </w:rPr>
          <w:t>Deontology Code of the Lawyer of the French and German Speaking Bars of Belgium</w:t>
        </w:r>
      </w:hyperlink>
      <w:r w:rsidRPr="008F4611">
        <w:rPr>
          <w:szCs w:val="18"/>
          <w:lang w:val="en-US"/>
        </w:rPr>
        <w:t>.</w:t>
      </w:r>
    </w:p>
  </w:footnote>
  <w:footnote w:id="289">
    <w:p w:rsidR="00F60A1E" w:rsidRPr="008F4611" w:rsidRDefault="00F60A1E" w:rsidP="00F60A1E">
      <w:pPr>
        <w:pStyle w:val="FootnoteText"/>
        <w:spacing w:after="0"/>
        <w:jc w:val="both"/>
        <w:rPr>
          <w:rFonts w:cs="Arial"/>
          <w:szCs w:val="18"/>
        </w:rPr>
      </w:pPr>
      <w:r w:rsidRPr="008F4611">
        <w:rPr>
          <w:rStyle w:val="FootnoteReference"/>
          <w:rFonts w:cs="Arial"/>
          <w:szCs w:val="18"/>
        </w:rPr>
        <w:footnoteRef/>
      </w:r>
      <w:r w:rsidRPr="008F4611">
        <w:rPr>
          <w:rFonts w:cs="Arial"/>
          <w:szCs w:val="18"/>
        </w:rPr>
        <w:t xml:space="preserve"> Information collected through interview with Defence for children.</w:t>
      </w:r>
    </w:p>
  </w:footnote>
  <w:footnote w:id="290">
    <w:p w:rsidR="00F60A1E" w:rsidRPr="008F4611" w:rsidRDefault="00F60A1E" w:rsidP="00F60A1E">
      <w:pPr>
        <w:pStyle w:val="FootnoteText"/>
        <w:spacing w:after="0"/>
        <w:rPr>
          <w:szCs w:val="18"/>
          <w:lang w:val="en-US"/>
        </w:rPr>
      </w:pPr>
      <w:r w:rsidRPr="008F4611">
        <w:rPr>
          <w:rStyle w:val="FootnoteReference"/>
          <w:szCs w:val="18"/>
        </w:rPr>
        <w:footnoteRef/>
      </w:r>
      <w:r w:rsidRPr="008F4611">
        <w:rPr>
          <w:szCs w:val="18"/>
        </w:rPr>
        <w:t xml:space="preserve"> </w:t>
      </w:r>
      <w:r w:rsidRPr="008F4611">
        <w:rPr>
          <w:szCs w:val="18"/>
          <w:lang w:val="en-US"/>
        </w:rPr>
        <w:t xml:space="preserve">Article 2.20 of the </w:t>
      </w:r>
      <w:hyperlink r:id="rId280" w:history="1">
        <w:r w:rsidRPr="008F4611">
          <w:rPr>
            <w:rStyle w:val="Hyperlink"/>
            <w:szCs w:val="18"/>
            <w:lang w:val="en-US"/>
          </w:rPr>
          <w:t>Deontology Code of the Lawyer of the French and German Speaking Bars of Belgium</w:t>
        </w:r>
      </w:hyperlink>
      <w:r w:rsidRPr="008F4611">
        <w:rPr>
          <w:szCs w:val="18"/>
          <w:lang w:val="en-US"/>
        </w:rPr>
        <w:t>.</w:t>
      </w:r>
    </w:p>
  </w:footnote>
  <w:footnote w:id="291">
    <w:p w:rsidR="00F60A1E" w:rsidRPr="00A36DEB" w:rsidRDefault="00F60A1E" w:rsidP="00F60A1E">
      <w:pPr>
        <w:pStyle w:val="FootnoteText"/>
        <w:spacing w:after="0"/>
        <w:rPr>
          <w:lang w:val="en-US"/>
        </w:rPr>
      </w:pPr>
      <w:r w:rsidRPr="008F4611">
        <w:rPr>
          <w:rStyle w:val="FootnoteReference"/>
          <w:szCs w:val="18"/>
        </w:rPr>
        <w:footnoteRef/>
      </w:r>
      <w:r w:rsidRPr="008F4611">
        <w:rPr>
          <w:szCs w:val="18"/>
        </w:rPr>
        <w:t xml:space="preserve"> </w:t>
      </w:r>
      <w:r w:rsidRPr="008F4611">
        <w:rPr>
          <w:szCs w:val="18"/>
          <w:lang w:val="en-US"/>
        </w:rPr>
        <w:t xml:space="preserve">See </w:t>
      </w:r>
      <w:hyperlink r:id="rId281" w:history="1">
        <w:r w:rsidRPr="008F4611">
          <w:rPr>
            <w:rStyle w:val="Hyperlink"/>
            <w:szCs w:val="18"/>
            <w:lang w:val="en-US"/>
          </w:rPr>
          <w:t>Flemish Bar Rules of Deontology</w:t>
        </w:r>
      </w:hyperlink>
      <w:r w:rsidRPr="008F4611">
        <w:rPr>
          <w:szCs w:val="18"/>
          <w:lang w:val="en-US"/>
        </w:rPr>
        <w:t>.</w:t>
      </w:r>
    </w:p>
  </w:footnote>
  <w:footnote w:id="292">
    <w:p w:rsidR="00F60A1E" w:rsidRPr="008F4611" w:rsidRDefault="00F60A1E" w:rsidP="00F60A1E">
      <w:pPr>
        <w:pStyle w:val="FootnoteText"/>
        <w:spacing w:after="0"/>
        <w:jc w:val="both"/>
        <w:rPr>
          <w:rFonts w:cs="Arial"/>
          <w:szCs w:val="18"/>
        </w:rPr>
      </w:pPr>
      <w:r w:rsidRPr="008F4611">
        <w:rPr>
          <w:rStyle w:val="FootnoteReference"/>
          <w:rFonts w:cs="Arial"/>
          <w:szCs w:val="18"/>
        </w:rPr>
        <w:footnoteRef/>
      </w:r>
      <w:r w:rsidRPr="008F4611">
        <w:rPr>
          <w:rFonts w:cs="Arial"/>
          <w:szCs w:val="18"/>
        </w:rPr>
        <w:t xml:space="preserve"> Article 665 of the </w:t>
      </w:r>
      <w:hyperlink r:id="rId282" w:history="1">
        <w:r w:rsidRPr="008F4611">
          <w:rPr>
            <w:rStyle w:val="Hyperlink"/>
            <w:rFonts w:cs="Arial"/>
            <w:szCs w:val="18"/>
          </w:rPr>
          <w:t>Judicial Code</w:t>
        </w:r>
      </w:hyperlink>
      <w:r w:rsidRPr="008F4611">
        <w:rPr>
          <w:rFonts w:cs="Arial"/>
          <w:szCs w:val="18"/>
        </w:rPr>
        <w:t>.</w:t>
      </w:r>
    </w:p>
  </w:footnote>
  <w:footnote w:id="293">
    <w:p w:rsidR="00F60A1E" w:rsidRPr="008F4611" w:rsidRDefault="00F60A1E" w:rsidP="00F60A1E">
      <w:pPr>
        <w:pStyle w:val="FootnoteText"/>
        <w:spacing w:after="0"/>
        <w:jc w:val="both"/>
        <w:rPr>
          <w:rFonts w:cs="Arial"/>
          <w:szCs w:val="18"/>
        </w:rPr>
      </w:pPr>
      <w:r w:rsidRPr="008F4611">
        <w:rPr>
          <w:rStyle w:val="FootnoteReference"/>
          <w:rFonts w:cs="Arial"/>
          <w:szCs w:val="18"/>
        </w:rPr>
        <w:footnoteRef/>
      </w:r>
      <w:r w:rsidRPr="008F4611">
        <w:rPr>
          <w:rFonts w:cs="Arial"/>
          <w:szCs w:val="18"/>
        </w:rPr>
        <w:t xml:space="preserve"> </w:t>
      </w:r>
      <w:r w:rsidRPr="008F4611">
        <w:rPr>
          <w:szCs w:val="18"/>
          <w:lang w:val="en-US"/>
        </w:rPr>
        <w:t xml:space="preserve">Article 1 of the </w:t>
      </w:r>
      <w:hyperlink r:id="rId283" w:history="1">
        <w:r w:rsidRPr="008F4611">
          <w:rPr>
            <w:rStyle w:val="Hyperlink"/>
            <w:szCs w:val="18"/>
            <w:lang w:val="en-US"/>
          </w:rPr>
          <w:t>Royal Decree of 18 December 2003 on the conditions for full or partial free secondary legal aid</w:t>
        </w:r>
      </w:hyperlink>
      <w:r w:rsidRPr="008F4611">
        <w:rPr>
          <w:rFonts w:cs="Arial"/>
          <w:szCs w:val="18"/>
        </w:rPr>
        <w:t>.</w:t>
      </w:r>
    </w:p>
  </w:footnote>
  <w:footnote w:id="294">
    <w:p w:rsidR="00F60A1E" w:rsidRPr="008F4611" w:rsidRDefault="00F60A1E" w:rsidP="00F60A1E">
      <w:pPr>
        <w:pStyle w:val="FootnoteText"/>
        <w:spacing w:after="0"/>
        <w:jc w:val="both"/>
        <w:rPr>
          <w:rFonts w:cs="Arial"/>
          <w:szCs w:val="18"/>
        </w:rPr>
      </w:pPr>
      <w:r w:rsidRPr="008F4611">
        <w:rPr>
          <w:rStyle w:val="FootnoteReference"/>
          <w:rFonts w:cs="Arial"/>
          <w:szCs w:val="18"/>
        </w:rPr>
        <w:footnoteRef/>
      </w:r>
      <w:r w:rsidRPr="008F4611">
        <w:rPr>
          <w:rFonts w:cs="Arial"/>
          <w:szCs w:val="18"/>
        </w:rPr>
        <w:t xml:space="preserve"> </w:t>
      </w:r>
      <w:r w:rsidRPr="008F4611">
        <w:rPr>
          <w:rFonts w:cs="Arial"/>
          <w:bCs/>
          <w:szCs w:val="18"/>
        </w:rPr>
        <w:t xml:space="preserve">Article 378 of the </w:t>
      </w:r>
      <w:hyperlink r:id="rId284" w:history="1">
        <w:r w:rsidRPr="008F4611">
          <w:rPr>
            <w:rStyle w:val="Hyperlink"/>
            <w:rFonts w:cs="Arial"/>
            <w:szCs w:val="18"/>
          </w:rPr>
          <w:t>Civil Code</w:t>
        </w:r>
      </w:hyperlink>
      <w:r w:rsidRPr="008F4611">
        <w:rPr>
          <w:rFonts w:cs="Arial"/>
          <w:bCs/>
          <w:szCs w:val="18"/>
        </w:rPr>
        <w:t>.</w:t>
      </w:r>
    </w:p>
  </w:footnote>
  <w:footnote w:id="295">
    <w:p w:rsidR="00F60A1E" w:rsidRPr="008F4611" w:rsidRDefault="00F60A1E" w:rsidP="00F60A1E">
      <w:pPr>
        <w:pStyle w:val="FootnoteText"/>
        <w:spacing w:after="0"/>
        <w:jc w:val="both"/>
        <w:rPr>
          <w:rFonts w:cs="Arial"/>
          <w:szCs w:val="18"/>
        </w:rPr>
      </w:pPr>
      <w:r w:rsidRPr="008F4611">
        <w:rPr>
          <w:rStyle w:val="FootnoteReference"/>
          <w:rFonts w:cs="Arial"/>
          <w:szCs w:val="18"/>
        </w:rPr>
        <w:footnoteRef/>
      </w:r>
      <w:r w:rsidRPr="008F4611">
        <w:rPr>
          <w:rFonts w:cs="Arial"/>
          <w:szCs w:val="18"/>
        </w:rPr>
        <w:t xml:space="preserve"> Thierry Moreau, ‘</w:t>
      </w:r>
      <w:r w:rsidRPr="008F4611">
        <w:rPr>
          <w:rFonts w:cs="Arial"/>
          <w:i/>
          <w:szCs w:val="18"/>
        </w:rPr>
        <w:t>The autonomy of the minor in justice’</w:t>
      </w:r>
      <w:r w:rsidRPr="008F4611">
        <w:rPr>
          <w:rFonts w:cs="Arial"/>
          <w:szCs w:val="18"/>
        </w:rPr>
        <w:t xml:space="preserve"> (L’autonomie du mineur en justice)’, in </w:t>
      </w:r>
      <w:r w:rsidRPr="008F4611">
        <w:rPr>
          <w:rFonts w:cs="Arial"/>
          <w:i/>
          <w:szCs w:val="18"/>
        </w:rPr>
        <w:t>L’autonomie du mineur</w:t>
      </w:r>
      <w:r w:rsidRPr="008F4611">
        <w:rPr>
          <w:rFonts w:cs="Arial"/>
          <w:szCs w:val="18"/>
        </w:rPr>
        <w:t>, eds P. Jadoul, J. Sambon and B. Van Keirsblick, p.170.</w:t>
      </w:r>
    </w:p>
  </w:footnote>
  <w:footnote w:id="296">
    <w:p w:rsidR="00F60A1E" w:rsidRPr="008F4611" w:rsidRDefault="00F60A1E" w:rsidP="00F60A1E">
      <w:pPr>
        <w:pStyle w:val="FootnoteText"/>
        <w:spacing w:after="0"/>
        <w:rPr>
          <w:szCs w:val="18"/>
        </w:rPr>
      </w:pPr>
      <w:r w:rsidRPr="008F4611">
        <w:rPr>
          <w:rStyle w:val="FootnoteReference"/>
          <w:szCs w:val="18"/>
        </w:rPr>
        <w:footnoteRef/>
      </w:r>
      <w:r w:rsidRPr="008F4611">
        <w:rPr>
          <w:szCs w:val="18"/>
        </w:rPr>
        <w:t xml:space="preserve"> </w:t>
      </w:r>
      <w:r w:rsidRPr="008F4611">
        <w:rPr>
          <w:szCs w:val="18"/>
          <w:lang w:val="en-US"/>
        </w:rPr>
        <w:t xml:space="preserve">Article 2.22 of the </w:t>
      </w:r>
      <w:hyperlink r:id="rId285" w:history="1">
        <w:r w:rsidRPr="008F4611">
          <w:rPr>
            <w:rStyle w:val="Hyperlink"/>
            <w:szCs w:val="18"/>
            <w:lang w:val="en-US"/>
          </w:rPr>
          <w:t>Deontology Code of the Lawyer of the French and German Speaking Bars of Belgium</w:t>
        </w:r>
      </w:hyperlink>
      <w:r w:rsidRPr="008F4611">
        <w:rPr>
          <w:szCs w:val="18"/>
          <w:lang w:val="en-US"/>
        </w:rPr>
        <w:t>.</w:t>
      </w:r>
    </w:p>
  </w:footnote>
  <w:footnote w:id="297">
    <w:p w:rsidR="00F60A1E" w:rsidRPr="00A36DEB" w:rsidRDefault="00F60A1E" w:rsidP="00F60A1E">
      <w:pPr>
        <w:pStyle w:val="FootnoteText"/>
        <w:spacing w:after="0"/>
        <w:rPr>
          <w:lang w:val="en-US"/>
        </w:rPr>
      </w:pPr>
      <w:r w:rsidRPr="008F4611">
        <w:rPr>
          <w:rStyle w:val="FootnoteReference"/>
          <w:szCs w:val="18"/>
        </w:rPr>
        <w:footnoteRef/>
      </w:r>
      <w:r w:rsidRPr="008F4611">
        <w:rPr>
          <w:szCs w:val="18"/>
        </w:rPr>
        <w:t xml:space="preserve"> </w:t>
      </w:r>
      <w:r w:rsidRPr="008F4611">
        <w:rPr>
          <w:szCs w:val="18"/>
          <w:lang w:val="en-US"/>
        </w:rPr>
        <w:t xml:space="preserve">Title X, Chapter II of the </w:t>
      </w:r>
      <w:hyperlink r:id="rId286" w:history="1">
        <w:r w:rsidRPr="008F4611">
          <w:rPr>
            <w:rStyle w:val="Hyperlink"/>
            <w:rFonts w:cs="Arial"/>
            <w:szCs w:val="18"/>
          </w:rPr>
          <w:t>Civil Code</w:t>
        </w:r>
      </w:hyperlink>
      <w:r w:rsidRPr="008F4611">
        <w:rPr>
          <w:rFonts w:cs="Arial"/>
          <w:bCs/>
          <w:szCs w:val="18"/>
        </w:rPr>
        <w:t>.</w:t>
      </w:r>
    </w:p>
  </w:footnote>
  <w:footnote w:id="298">
    <w:p w:rsidR="00F60A1E" w:rsidRPr="008F4611" w:rsidRDefault="00F60A1E" w:rsidP="00F60A1E">
      <w:pPr>
        <w:pStyle w:val="FootnoteText"/>
        <w:spacing w:after="0"/>
        <w:rPr>
          <w:rFonts w:cs="Arial"/>
          <w:szCs w:val="18"/>
          <w:lang w:val="en-US"/>
        </w:rPr>
      </w:pPr>
      <w:r w:rsidRPr="008F4611">
        <w:rPr>
          <w:rStyle w:val="FootnoteReference"/>
          <w:rFonts w:cs="Arial"/>
          <w:szCs w:val="18"/>
        </w:rPr>
        <w:footnoteRef/>
      </w:r>
      <w:r w:rsidRPr="008F4611">
        <w:rPr>
          <w:rFonts w:cs="Arial"/>
          <w:szCs w:val="18"/>
        </w:rPr>
        <w:t xml:space="preserve"> </w:t>
      </w:r>
      <w:r w:rsidRPr="008F4611">
        <w:rPr>
          <w:rFonts w:cs="Arial"/>
          <w:szCs w:val="18"/>
          <w:lang w:val="en-US"/>
        </w:rPr>
        <w:t xml:space="preserve">The </w:t>
      </w:r>
      <w:hyperlink r:id="rId287" w:history="1">
        <w:r w:rsidRPr="008F4611">
          <w:rPr>
            <w:rStyle w:val="Hyperlink"/>
            <w:rFonts w:cs="Arial"/>
            <w:szCs w:val="18"/>
            <w:lang w:val="en-US"/>
          </w:rPr>
          <w:t>Council of Foreigners Litigation</w:t>
        </w:r>
      </w:hyperlink>
      <w:r w:rsidRPr="008F4611">
        <w:rPr>
          <w:rFonts w:cs="Arial"/>
          <w:szCs w:val="18"/>
          <w:lang w:val="en-US"/>
        </w:rPr>
        <w:t xml:space="preserve"> (</w:t>
      </w:r>
      <w:r w:rsidRPr="008F4611">
        <w:rPr>
          <w:rFonts w:cs="Arial"/>
          <w:i/>
          <w:szCs w:val="18"/>
          <w:lang w:val="en-US"/>
        </w:rPr>
        <w:t>Raad voor Vreemdelingenbetwistingen</w:t>
      </w:r>
      <w:r w:rsidRPr="008F4611">
        <w:rPr>
          <w:rFonts w:cs="Arial"/>
          <w:szCs w:val="18"/>
          <w:lang w:val="en-US"/>
        </w:rPr>
        <w:t xml:space="preserve"> – </w:t>
      </w:r>
      <w:r w:rsidRPr="008F4611">
        <w:rPr>
          <w:rFonts w:cs="Arial"/>
          <w:i/>
          <w:szCs w:val="18"/>
          <w:lang w:val="en-US"/>
        </w:rPr>
        <w:t>Conseil du Contentieux des Etrangers</w:t>
      </w:r>
      <w:r w:rsidRPr="008F4611">
        <w:rPr>
          <w:rFonts w:cs="Arial"/>
          <w:szCs w:val="18"/>
          <w:lang w:val="en-US"/>
        </w:rPr>
        <w:t xml:space="preserve">); </w:t>
      </w:r>
      <w:hyperlink r:id="rId288" w:history="1">
        <w:r w:rsidRPr="008F4611">
          <w:rPr>
            <w:rStyle w:val="Hyperlink"/>
            <w:rFonts w:cs="Arial"/>
            <w:szCs w:val="18"/>
            <w:lang w:val="en-US"/>
          </w:rPr>
          <w:t>Act of 15 December 1980 on access to the territory, stay, establishment and expulsion of foreigners</w:t>
        </w:r>
      </w:hyperlink>
      <w:r w:rsidRPr="008F4611">
        <w:rPr>
          <w:rFonts w:cs="Arial"/>
          <w:szCs w:val="18"/>
          <w:lang w:val="en-US"/>
        </w:rPr>
        <w:t xml:space="preserve">; </w:t>
      </w:r>
      <w:hyperlink r:id="rId289" w:history="1">
        <w:r w:rsidRPr="008F4611">
          <w:rPr>
            <w:rStyle w:val="Hyperlink"/>
            <w:rFonts w:cs="Arial"/>
            <w:szCs w:val="18"/>
            <w:lang w:val="en-US"/>
          </w:rPr>
          <w:t>Royal Decree of 21 December 2006 on the procedure before the Council of Foreigners Litigation</w:t>
        </w:r>
      </w:hyperlink>
      <w:r w:rsidRPr="008F4611">
        <w:rPr>
          <w:rFonts w:cs="Arial"/>
          <w:szCs w:val="18"/>
          <w:lang w:val="en-US"/>
        </w:rPr>
        <w:t>.</w:t>
      </w:r>
    </w:p>
  </w:footnote>
  <w:footnote w:id="299">
    <w:p w:rsidR="00F60A1E" w:rsidRPr="008F4611" w:rsidRDefault="00F60A1E" w:rsidP="00F60A1E">
      <w:pPr>
        <w:pStyle w:val="FootnoteText"/>
        <w:spacing w:after="0"/>
        <w:rPr>
          <w:szCs w:val="18"/>
          <w:lang w:val="en-US"/>
        </w:rPr>
      </w:pPr>
      <w:r w:rsidRPr="008F4611">
        <w:rPr>
          <w:rStyle w:val="FootnoteReference"/>
          <w:szCs w:val="18"/>
        </w:rPr>
        <w:footnoteRef/>
      </w:r>
      <w:r w:rsidRPr="008F4611">
        <w:rPr>
          <w:szCs w:val="18"/>
        </w:rPr>
        <w:t xml:space="preserve"> </w:t>
      </w:r>
      <w:r w:rsidRPr="008F4611">
        <w:rPr>
          <w:szCs w:val="18"/>
          <w:lang w:val="en-US"/>
        </w:rPr>
        <w:t xml:space="preserve">Article 3 of the </w:t>
      </w:r>
      <w:hyperlink r:id="rId290" w:history="1">
        <w:r w:rsidRPr="008F4611">
          <w:rPr>
            <w:rStyle w:val="Hyperlink"/>
            <w:rFonts w:cs="Arial"/>
            <w:szCs w:val="18"/>
            <w:lang w:val="en-US"/>
          </w:rPr>
          <w:t>Royal Decree of 30 November 2006 on the cassation procedure before the Council of State</w:t>
        </w:r>
      </w:hyperlink>
      <w:r w:rsidRPr="008F4611">
        <w:rPr>
          <w:rFonts w:cs="Arial"/>
          <w:szCs w:val="18"/>
          <w:lang w:val="en-US"/>
        </w:rPr>
        <w:t>.</w:t>
      </w:r>
    </w:p>
  </w:footnote>
  <w:footnote w:id="300">
    <w:p w:rsidR="00F60A1E" w:rsidRPr="008F4611" w:rsidRDefault="00F60A1E" w:rsidP="00F60A1E">
      <w:pPr>
        <w:pStyle w:val="FootnoteText"/>
        <w:spacing w:after="0"/>
        <w:rPr>
          <w:szCs w:val="18"/>
          <w:lang w:val="en-US"/>
        </w:rPr>
      </w:pPr>
      <w:r w:rsidRPr="008F4611">
        <w:rPr>
          <w:rStyle w:val="FootnoteReference"/>
          <w:szCs w:val="18"/>
        </w:rPr>
        <w:footnoteRef/>
      </w:r>
      <w:r w:rsidRPr="008F4611">
        <w:rPr>
          <w:szCs w:val="18"/>
        </w:rPr>
        <w:t xml:space="preserve"> </w:t>
      </w:r>
      <w:r w:rsidRPr="008F4611">
        <w:rPr>
          <w:szCs w:val="18"/>
          <w:lang w:val="en-US"/>
        </w:rPr>
        <w:t xml:space="preserve">Article 1 of the </w:t>
      </w:r>
      <w:hyperlink r:id="rId291" w:history="1">
        <w:r w:rsidRPr="008F4611">
          <w:rPr>
            <w:rStyle w:val="Hyperlink"/>
            <w:szCs w:val="18"/>
            <w:lang w:val="en-US"/>
          </w:rPr>
          <w:t>Royal Decree of 18 December 2003 on the conditions for full or partial free secondary legal aid</w:t>
        </w:r>
      </w:hyperlink>
      <w:r w:rsidRPr="008F4611">
        <w:rPr>
          <w:szCs w:val="18"/>
          <w:lang w:val="en-US"/>
        </w:rPr>
        <w:t>.</w:t>
      </w:r>
    </w:p>
  </w:footnote>
  <w:footnote w:id="301">
    <w:p w:rsidR="00F60A1E" w:rsidRPr="008F4611" w:rsidRDefault="00F60A1E" w:rsidP="00F60A1E">
      <w:pPr>
        <w:pStyle w:val="FootnoteText"/>
        <w:spacing w:after="0"/>
        <w:rPr>
          <w:rFonts w:cs="Arial"/>
          <w:szCs w:val="18"/>
          <w:lang w:val="en-US"/>
        </w:rPr>
      </w:pPr>
      <w:r w:rsidRPr="008F4611">
        <w:rPr>
          <w:rStyle w:val="FootnoteReference"/>
          <w:rFonts w:cs="Arial"/>
          <w:szCs w:val="18"/>
        </w:rPr>
        <w:footnoteRef/>
      </w:r>
      <w:r w:rsidRPr="008F4611">
        <w:rPr>
          <w:rFonts w:cs="Arial"/>
          <w:szCs w:val="18"/>
        </w:rPr>
        <w:t xml:space="preserve"> </w:t>
      </w:r>
      <w:r w:rsidRPr="008F4611">
        <w:rPr>
          <w:rFonts w:cs="Arial"/>
          <w:szCs w:val="18"/>
          <w:lang w:val="en-US"/>
        </w:rPr>
        <w:t xml:space="preserve">Article 41 of the </w:t>
      </w:r>
      <w:hyperlink r:id="rId292" w:history="1">
        <w:r w:rsidRPr="008F4611">
          <w:rPr>
            <w:rStyle w:val="Hyperlink"/>
            <w:rFonts w:cs="Arial"/>
            <w:szCs w:val="18"/>
            <w:lang w:val="en-US"/>
          </w:rPr>
          <w:t>Act of 12 January 2007 on the reception of asylum-seekers and other categories of non-nationals</w:t>
        </w:r>
      </w:hyperlink>
      <w:r w:rsidRPr="008F4611">
        <w:rPr>
          <w:rFonts w:cs="Arial"/>
          <w:szCs w:val="18"/>
          <w:lang w:val="en-US"/>
        </w:rPr>
        <w:t>.</w:t>
      </w:r>
    </w:p>
  </w:footnote>
  <w:footnote w:id="302">
    <w:p w:rsidR="00F60A1E" w:rsidRPr="008F4611" w:rsidRDefault="00F60A1E" w:rsidP="00F60A1E">
      <w:pPr>
        <w:pStyle w:val="FootnoteText"/>
        <w:spacing w:after="0"/>
        <w:rPr>
          <w:rFonts w:cs="Arial"/>
          <w:szCs w:val="18"/>
          <w:lang w:val="en-US"/>
        </w:rPr>
      </w:pPr>
      <w:r w:rsidRPr="008F4611">
        <w:rPr>
          <w:rStyle w:val="FootnoteReference"/>
          <w:rFonts w:cs="Arial"/>
          <w:szCs w:val="18"/>
        </w:rPr>
        <w:footnoteRef/>
      </w:r>
      <w:r w:rsidRPr="008F4611">
        <w:rPr>
          <w:rFonts w:cs="Arial"/>
          <w:szCs w:val="18"/>
        </w:rPr>
        <w:t xml:space="preserve"> </w:t>
      </w:r>
      <w:hyperlink r:id="rId293" w:history="1">
        <w:r w:rsidRPr="008F4611">
          <w:rPr>
            <w:rStyle w:val="Hyperlink"/>
            <w:rFonts w:cs="Arial"/>
            <w:szCs w:val="18"/>
            <w:lang w:val="en-US"/>
          </w:rPr>
          <w:t>Royal Decree of 22 December 2003 implementing Title XIII, Chapter 6 of the Law Programme of 24 December 2002 on the guardianship of unaccompanied foreign minors</w:t>
        </w:r>
      </w:hyperlink>
      <w:r w:rsidRPr="008F4611">
        <w:rPr>
          <w:rFonts w:cs="Arial"/>
          <w:szCs w:val="18"/>
          <w:lang w:val="en-US"/>
        </w:rPr>
        <w:t>.</w:t>
      </w:r>
    </w:p>
  </w:footnote>
  <w:footnote w:id="303">
    <w:p w:rsidR="00F60A1E" w:rsidRPr="008F4611" w:rsidRDefault="00F60A1E" w:rsidP="00F60A1E">
      <w:pPr>
        <w:pStyle w:val="FootnoteText"/>
        <w:spacing w:after="0"/>
        <w:rPr>
          <w:rFonts w:cs="Arial"/>
          <w:szCs w:val="18"/>
          <w:lang w:val="en-US"/>
        </w:rPr>
      </w:pPr>
      <w:r w:rsidRPr="008F4611">
        <w:rPr>
          <w:rStyle w:val="FootnoteReference"/>
          <w:rFonts w:cs="Arial"/>
          <w:szCs w:val="18"/>
        </w:rPr>
        <w:footnoteRef/>
      </w:r>
      <w:r w:rsidRPr="008F4611">
        <w:rPr>
          <w:rFonts w:cs="Arial"/>
          <w:szCs w:val="18"/>
        </w:rPr>
        <w:t xml:space="preserve"> </w:t>
      </w:r>
      <w:r w:rsidRPr="008F4611">
        <w:rPr>
          <w:rFonts w:cs="Arial"/>
          <w:szCs w:val="18"/>
          <w:lang w:val="en-US"/>
        </w:rPr>
        <w:t xml:space="preserve">Article 20 of the </w:t>
      </w:r>
      <w:hyperlink r:id="rId294" w:history="1">
        <w:r w:rsidRPr="008F4611">
          <w:rPr>
            <w:rStyle w:val="Hyperlink"/>
            <w:rFonts w:cs="Arial"/>
            <w:szCs w:val="18"/>
            <w:lang w:val="en-US"/>
          </w:rPr>
          <w:t>Programme Law of 24 December 2002 on guardianship of unaccompanied foreign minors</w:t>
        </w:r>
      </w:hyperlink>
      <w:r w:rsidRPr="008F4611">
        <w:rPr>
          <w:rFonts w:cs="Arial"/>
          <w:szCs w:val="18"/>
          <w:lang w:val="en-US"/>
        </w:rPr>
        <w:t>.</w:t>
      </w:r>
    </w:p>
  </w:footnote>
  <w:footnote w:id="304">
    <w:p w:rsidR="00F60A1E" w:rsidRPr="008F4611" w:rsidRDefault="00F60A1E" w:rsidP="00F60A1E">
      <w:pPr>
        <w:pStyle w:val="FootnoteText"/>
        <w:spacing w:after="0"/>
        <w:rPr>
          <w:szCs w:val="18"/>
          <w:lang w:val="en-US"/>
        </w:rPr>
      </w:pPr>
      <w:r w:rsidRPr="008F4611">
        <w:rPr>
          <w:rStyle w:val="FootnoteReference"/>
          <w:szCs w:val="18"/>
        </w:rPr>
        <w:footnoteRef/>
      </w:r>
      <w:r w:rsidRPr="008F4611">
        <w:rPr>
          <w:szCs w:val="18"/>
        </w:rPr>
        <w:t xml:space="preserve"> </w:t>
      </w:r>
      <w:r w:rsidRPr="008F4611">
        <w:rPr>
          <w:rFonts w:cs="Arial"/>
          <w:szCs w:val="18"/>
        </w:rPr>
        <w:t>Article 508/</w:t>
      </w:r>
      <w:r w:rsidRPr="008F4611">
        <w:rPr>
          <w:rFonts w:cs="Arial"/>
          <w:szCs w:val="18"/>
          <w:lang w:val="en-US"/>
        </w:rPr>
        <w:t>13</w:t>
      </w:r>
      <w:r w:rsidRPr="008F4611">
        <w:rPr>
          <w:rFonts w:cs="Arial"/>
          <w:szCs w:val="18"/>
        </w:rPr>
        <w:t xml:space="preserve"> of the </w:t>
      </w:r>
      <w:hyperlink r:id="rId295" w:history="1">
        <w:r w:rsidRPr="008F4611">
          <w:rPr>
            <w:rStyle w:val="Hyperlink"/>
            <w:rFonts w:cs="Arial"/>
            <w:szCs w:val="18"/>
          </w:rPr>
          <w:t>Judicial Code</w:t>
        </w:r>
      </w:hyperlink>
      <w:r w:rsidRPr="008F4611">
        <w:rPr>
          <w:szCs w:val="18"/>
          <w:lang w:val="en-US"/>
        </w:rPr>
        <w:t>.</w:t>
      </w:r>
    </w:p>
  </w:footnote>
  <w:footnote w:id="305">
    <w:p w:rsidR="00F60A1E" w:rsidRPr="00A36DEB" w:rsidRDefault="00F60A1E" w:rsidP="00F60A1E">
      <w:pPr>
        <w:pStyle w:val="FootnoteText"/>
        <w:spacing w:after="0"/>
        <w:jc w:val="both"/>
        <w:rPr>
          <w:rFonts w:cs="Arial"/>
          <w:lang w:val="en-US"/>
        </w:rPr>
      </w:pPr>
      <w:r w:rsidRPr="008F4611">
        <w:rPr>
          <w:rStyle w:val="FootnoteReference"/>
          <w:rFonts w:cs="Arial"/>
          <w:szCs w:val="18"/>
        </w:rPr>
        <w:footnoteRef/>
      </w:r>
      <w:r w:rsidRPr="008F4611">
        <w:rPr>
          <w:rFonts w:cs="Arial"/>
          <w:szCs w:val="18"/>
        </w:rPr>
        <w:t xml:space="preserve"> </w:t>
      </w:r>
      <w:hyperlink r:id="rId296" w:history="1">
        <w:r w:rsidRPr="008F4611">
          <w:rPr>
            <w:rStyle w:val="Hyperlink"/>
            <w:rFonts w:cs="Arial"/>
            <w:szCs w:val="18"/>
            <w:lang w:val="en-US"/>
          </w:rPr>
          <w:t>Circular of 2 August 2007 on the unaccompanied European child</w:t>
        </w:r>
      </w:hyperlink>
      <w:r w:rsidRPr="008F4611">
        <w:rPr>
          <w:rFonts w:cs="Arial"/>
          <w:szCs w:val="18"/>
          <w:lang w:val="en-US"/>
        </w:rPr>
        <w:t xml:space="preserve">. A bill has been adopted to establish a system of guardianship for unaccompanied EEA children and repeal the Circular which regulated the issue up to now. The bill is waiting for royal sanction at the time of the finalisation of this report and is not yet into force. </w:t>
      </w:r>
      <w:hyperlink r:id="rId297" w:history="1">
        <w:r w:rsidRPr="008F4611">
          <w:rPr>
            <w:rStyle w:val="Hyperlink"/>
            <w:rFonts w:cs="Arial"/>
            <w:szCs w:val="18"/>
            <w:lang w:val="en-US"/>
          </w:rPr>
          <w:t>Law proposal (Doc. 53 3469/001) modifying the title XIII, Chapter VI of the Law Programme of 24 December 2002 on guardianship of unaccompanied foreign minors</w:t>
        </w:r>
      </w:hyperlink>
      <w:r w:rsidRPr="008F4611">
        <w:rPr>
          <w:rFonts w:cs="Arial"/>
          <w:szCs w:val="18"/>
          <w:lang w:val="en-US"/>
        </w:rPr>
        <w:t>.</w:t>
      </w:r>
    </w:p>
  </w:footnote>
  <w:footnote w:id="306">
    <w:p w:rsidR="00F60A1E" w:rsidRPr="008F4611" w:rsidRDefault="00F60A1E" w:rsidP="00F60A1E">
      <w:pPr>
        <w:pStyle w:val="FootnoteText"/>
        <w:spacing w:after="0"/>
        <w:jc w:val="both"/>
        <w:rPr>
          <w:rFonts w:cs="Arial"/>
          <w:szCs w:val="18"/>
        </w:rPr>
      </w:pPr>
      <w:r w:rsidRPr="008F4611">
        <w:rPr>
          <w:rStyle w:val="FootnoteReference"/>
          <w:rFonts w:cs="Arial"/>
          <w:szCs w:val="18"/>
        </w:rPr>
        <w:footnoteRef/>
      </w:r>
      <w:r w:rsidRPr="008F4611">
        <w:rPr>
          <w:rFonts w:cs="Arial"/>
          <w:szCs w:val="18"/>
        </w:rPr>
        <w:t xml:space="preserve"> Article 54bis of the </w:t>
      </w:r>
      <w:hyperlink r:id="rId298" w:history="1">
        <w:r w:rsidRPr="008F4611">
          <w:rPr>
            <w:rStyle w:val="Hyperlink"/>
            <w:rFonts w:cs="Arial"/>
            <w:szCs w:val="18"/>
          </w:rPr>
          <w:t>Youth Protection Act</w:t>
        </w:r>
      </w:hyperlink>
      <w:r w:rsidRPr="008F4611">
        <w:rPr>
          <w:rFonts w:cs="Arial"/>
          <w:szCs w:val="18"/>
        </w:rPr>
        <w:t xml:space="preserve"> of 8 April 1965.</w:t>
      </w:r>
    </w:p>
  </w:footnote>
  <w:footnote w:id="307">
    <w:p w:rsidR="00F60A1E" w:rsidRPr="008F4611" w:rsidRDefault="00F60A1E" w:rsidP="00F60A1E">
      <w:pPr>
        <w:pStyle w:val="FootnoteText"/>
        <w:spacing w:after="0"/>
        <w:rPr>
          <w:rFonts w:cs="Arial"/>
          <w:szCs w:val="18"/>
          <w:lang w:val="fr-BE"/>
        </w:rPr>
      </w:pPr>
      <w:r w:rsidRPr="008F4611">
        <w:rPr>
          <w:rStyle w:val="FootnoteReference"/>
          <w:rFonts w:cs="Arial"/>
          <w:szCs w:val="18"/>
        </w:rPr>
        <w:footnoteRef/>
      </w:r>
      <w:r w:rsidRPr="00FF18BE">
        <w:rPr>
          <w:rFonts w:cs="Arial"/>
          <w:szCs w:val="18"/>
          <w:lang w:val="fr-BE"/>
        </w:rPr>
        <w:t xml:space="preserve"> </w:t>
      </w:r>
      <w:r w:rsidRPr="008F4611">
        <w:rPr>
          <w:rFonts w:cs="Arial"/>
          <w:szCs w:val="18"/>
          <w:lang w:val="fr-BE"/>
        </w:rPr>
        <w:t xml:space="preserve">Thierry Moreau, </w:t>
      </w:r>
      <w:r w:rsidRPr="008F4611">
        <w:rPr>
          <w:rFonts w:cs="Arial"/>
          <w:i/>
          <w:szCs w:val="18"/>
          <w:lang w:val="fr-BE"/>
        </w:rPr>
        <w:t>Juvenile Law (Droit de la Jeunesse)</w:t>
      </w:r>
      <w:r w:rsidRPr="008F4611">
        <w:rPr>
          <w:rFonts w:cs="Arial"/>
          <w:szCs w:val="18"/>
          <w:lang w:val="fr-BE"/>
        </w:rPr>
        <w:t>, Larcier, Brussels, 2000, p. 727.</w:t>
      </w:r>
    </w:p>
  </w:footnote>
  <w:footnote w:id="308">
    <w:p w:rsidR="00F60A1E" w:rsidRPr="008F4611" w:rsidRDefault="00F60A1E" w:rsidP="00F60A1E">
      <w:pPr>
        <w:pStyle w:val="FootnoteText"/>
        <w:spacing w:after="0"/>
        <w:rPr>
          <w:szCs w:val="18"/>
          <w:lang w:val="en-US"/>
        </w:rPr>
      </w:pPr>
      <w:r w:rsidRPr="008F4611">
        <w:rPr>
          <w:rStyle w:val="FootnoteReference"/>
          <w:szCs w:val="18"/>
        </w:rPr>
        <w:footnoteRef/>
      </w:r>
      <w:r w:rsidRPr="008F4611">
        <w:rPr>
          <w:szCs w:val="18"/>
        </w:rPr>
        <w:t xml:space="preserve"> </w:t>
      </w:r>
      <w:r w:rsidRPr="008F4611">
        <w:rPr>
          <w:szCs w:val="18"/>
          <w:lang w:val="en-US"/>
        </w:rPr>
        <w:t xml:space="preserve">Article 16 of the </w:t>
      </w:r>
      <w:hyperlink r:id="rId299" w:history="1">
        <w:r w:rsidRPr="008F4611">
          <w:rPr>
            <w:rStyle w:val="Hyperlink"/>
            <w:rFonts w:cs="Arial"/>
            <w:szCs w:val="18"/>
            <w:lang w:val="en-US"/>
          </w:rPr>
          <w:t>Act of 24 June 2013 on municipal administrative sanctions</w:t>
        </w:r>
      </w:hyperlink>
      <w:r w:rsidRPr="008F4611">
        <w:rPr>
          <w:szCs w:val="18"/>
          <w:lang w:val="en-US"/>
        </w:rPr>
        <w:t>.</w:t>
      </w:r>
    </w:p>
  </w:footnote>
  <w:footnote w:id="309">
    <w:p w:rsidR="00F60A1E" w:rsidRPr="00D3341F" w:rsidRDefault="00F60A1E" w:rsidP="00F60A1E">
      <w:pPr>
        <w:pStyle w:val="FootnoteText"/>
        <w:spacing w:after="0"/>
        <w:rPr>
          <w:rFonts w:cs="Arial"/>
          <w:sz w:val="16"/>
          <w:szCs w:val="16"/>
        </w:rPr>
      </w:pPr>
      <w:r w:rsidRPr="008F4611">
        <w:rPr>
          <w:rStyle w:val="FootnoteReference"/>
          <w:rFonts w:cs="Arial"/>
          <w:szCs w:val="18"/>
        </w:rPr>
        <w:footnoteRef/>
      </w:r>
      <w:r w:rsidRPr="008F4611">
        <w:rPr>
          <w:rFonts w:cs="Arial"/>
          <w:szCs w:val="18"/>
        </w:rPr>
        <w:t xml:space="preserve"> Article 2 of the </w:t>
      </w:r>
      <w:hyperlink r:id="rId300" w:history="1">
        <w:r w:rsidRPr="008F4611">
          <w:rPr>
            <w:rStyle w:val="Hyperlink"/>
            <w:rFonts w:cs="Arial"/>
            <w:szCs w:val="18"/>
          </w:rPr>
          <w:t>Act of 26 June 1990 on the protection of mentally ill persons</w:t>
        </w:r>
      </w:hyperlink>
      <w:r w:rsidRPr="008F4611">
        <w:rPr>
          <w:rFonts w:cs="Arial"/>
          <w:szCs w:val="18"/>
        </w:rPr>
        <w:t>.</w:t>
      </w:r>
    </w:p>
  </w:footnote>
  <w:footnote w:id="310">
    <w:p w:rsidR="00F60A1E" w:rsidRPr="008F4611" w:rsidRDefault="00F60A1E" w:rsidP="00F60A1E">
      <w:pPr>
        <w:pStyle w:val="FootnoteText"/>
        <w:spacing w:after="0"/>
        <w:rPr>
          <w:szCs w:val="18"/>
          <w:lang w:val="en-US"/>
        </w:rPr>
      </w:pPr>
      <w:r w:rsidRPr="008F4611">
        <w:rPr>
          <w:rStyle w:val="FootnoteReference"/>
          <w:szCs w:val="18"/>
        </w:rPr>
        <w:footnoteRef/>
      </w:r>
      <w:r w:rsidRPr="008F4611">
        <w:rPr>
          <w:szCs w:val="18"/>
        </w:rPr>
        <w:t xml:space="preserve"> </w:t>
      </w:r>
      <w:r w:rsidRPr="008F4611">
        <w:rPr>
          <w:szCs w:val="18"/>
          <w:lang w:val="en-US"/>
        </w:rPr>
        <w:t xml:space="preserve">Article 7 </w:t>
      </w:r>
      <w:r w:rsidRPr="008F4611">
        <w:rPr>
          <w:rFonts w:cs="Arial"/>
          <w:szCs w:val="18"/>
        </w:rPr>
        <w:t xml:space="preserve">of the </w:t>
      </w:r>
      <w:hyperlink r:id="rId301" w:history="1">
        <w:r w:rsidRPr="008F4611">
          <w:rPr>
            <w:rStyle w:val="Hyperlink"/>
            <w:rFonts w:cs="Arial"/>
            <w:szCs w:val="18"/>
          </w:rPr>
          <w:t>Act of 26 June 1990 on the protection of mentally ill persons</w:t>
        </w:r>
      </w:hyperlink>
      <w:r w:rsidRPr="008F4611">
        <w:rPr>
          <w:rFonts w:cs="Arial"/>
          <w:szCs w:val="18"/>
        </w:rPr>
        <w:t>.</w:t>
      </w:r>
    </w:p>
  </w:footnote>
  <w:footnote w:id="311">
    <w:p w:rsidR="00F60A1E" w:rsidRPr="008F4611" w:rsidRDefault="00F60A1E" w:rsidP="00F60A1E">
      <w:pPr>
        <w:pStyle w:val="FootnoteText"/>
        <w:spacing w:after="0"/>
        <w:rPr>
          <w:szCs w:val="18"/>
          <w:lang w:val="en-US"/>
        </w:rPr>
      </w:pPr>
      <w:r w:rsidRPr="008F4611">
        <w:rPr>
          <w:rStyle w:val="FootnoteReference"/>
          <w:szCs w:val="18"/>
        </w:rPr>
        <w:footnoteRef/>
      </w:r>
      <w:r w:rsidRPr="008F4611">
        <w:rPr>
          <w:szCs w:val="18"/>
        </w:rPr>
        <w:t xml:space="preserve"> Preliminary Title of the </w:t>
      </w:r>
      <w:hyperlink r:id="rId302" w:history="1">
        <w:r w:rsidRPr="008F4611">
          <w:rPr>
            <w:rStyle w:val="Hyperlink"/>
            <w:rFonts w:cs="Arial"/>
            <w:szCs w:val="18"/>
          </w:rPr>
          <w:t>Youth Protection Act</w:t>
        </w:r>
      </w:hyperlink>
      <w:r w:rsidRPr="008F4611">
        <w:rPr>
          <w:rStyle w:val="Hyperlink"/>
          <w:rFonts w:cs="Arial"/>
          <w:szCs w:val="18"/>
          <w:lang w:val="en-US"/>
        </w:rPr>
        <w:t xml:space="preserve"> of 8 April 1965.</w:t>
      </w:r>
    </w:p>
  </w:footnote>
  <w:footnote w:id="312">
    <w:p w:rsidR="00F60A1E" w:rsidRPr="008F4611" w:rsidRDefault="00F60A1E" w:rsidP="00F60A1E">
      <w:pPr>
        <w:pStyle w:val="FootnoteText"/>
        <w:spacing w:after="0"/>
        <w:rPr>
          <w:szCs w:val="18"/>
        </w:rPr>
      </w:pPr>
      <w:r w:rsidRPr="008F4611">
        <w:rPr>
          <w:rStyle w:val="FootnoteReference"/>
          <w:szCs w:val="18"/>
        </w:rPr>
        <w:footnoteRef/>
      </w:r>
      <w:r w:rsidRPr="008F4611">
        <w:rPr>
          <w:szCs w:val="18"/>
        </w:rPr>
        <w:t xml:space="preserve"> Circular of the Prosecutors General of the Courts of Appeal </w:t>
      </w:r>
      <w:hyperlink r:id="rId303" w:history="1">
        <w:r w:rsidRPr="008F4611">
          <w:rPr>
            <w:rStyle w:val="Hyperlink"/>
            <w:rFonts w:cs="Arial"/>
            <w:szCs w:val="18"/>
          </w:rPr>
          <w:t>COL 12/2011</w:t>
        </w:r>
      </w:hyperlink>
      <w:r w:rsidRPr="008F4611">
        <w:rPr>
          <w:szCs w:val="18"/>
        </w:rPr>
        <w:t xml:space="preserve"> of 23 November 2011.</w:t>
      </w:r>
    </w:p>
  </w:footnote>
  <w:footnote w:id="313">
    <w:p w:rsidR="00F60A1E" w:rsidRPr="008F4611" w:rsidRDefault="00F60A1E" w:rsidP="00F60A1E">
      <w:pPr>
        <w:pStyle w:val="FootnoteText"/>
        <w:spacing w:after="0"/>
        <w:rPr>
          <w:szCs w:val="18"/>
          <w:lang w:val="en-US"/>
        </w:rPr>
      </w:pPr>
      <w:r w:rsidRPr="008F4611">
        <w:rPr>
          <w:rStyle w:val="FootnoteReference"/>
          <w:szCs w:val="18"/>
        </w:rPr>
        <w:footnoteRef/>
      </w:r>
      <w:r w:rsidRPr="008F4611">
        <w:rPr>
          <w:szCs w:val="18"/>
        </w:rPr>
        <w:t xml:space="preserve"> </w:t>
      </w:r>
      <w:r w:rsidRPr="008F4611">
        <w:rPr>
          <w:szCs w:val="18"/>
          <w:lang w:val="en-US"/>
        </w:rPr>
        <w:t xml:space="preserve">Article 37 of the </w:t>
      </w:r>
      <w:hyperlink r:id="rId304" w:history="1">
        <w:r w:rsidRPr="008F4611">
          <w:rPr>
            <w:rStyle w:val="Hyperlink"/>
            <w:rFonts w:cs="Arial"/>
            <w:szCs w:val="18"/>
            <w:lang w:val="en-US"/>
          </w:rPr>
          <w:t>Act of 12 January 2007 on the reception of asylum-seekers and other categories of foreigners</w:t>
        </w:r>
      </w:hyperlink>
      <w:r w:rsidRPr="008F4611">
        <w:rPr>
          <w:rFonts w:cs="Arial"/>
          <w:szCs w:val="18"/>
          <w:lang w:val="en-US"/>
        </w:rPr>
        <w:t>.</w:t>
      </w:r>
    </w:p>
  </w:footnote>
  <w:footnote w:id="314">
    <w:p w:rsidR="00F60A1E" w:rsidRPr="008F4611" w:rsidRDefault="00F60A1E" w:rsidP="00F60A1E">
      <w:pPr>
        <w:pStyle w:val="FootnoteText"/>
        <w:spacing w:after="0"/>
        <w:rPr>
          <w:szCs w:val="18"/>
          <w:lang w:val="en-US"/>
        </w:rPr>
      </w:pPr>
      <w:r w:rsidRPr="008F4611">
        <w:rPr>
          <w:rStyle w:val="FootnoteReference"/>
          <w:szCs w:val="18"/>
        </w:rPr>
        <w:footnoteRef/>
      </w:r>
      <w:r w:rsidRPr="008F4611">
        <w:rPr>
          <w:szCs w:val="18"/>
        </w:rPr>
        <w:t xml:space="preserve"> </w:t>
      </w:r>
      <w:r w:rsidRPr="008F4611">
        <w:rPr>
          <w:szCs w:val="18"/>
          <w:lang w:val="en-US"/>
        </w:rPr>
        <w:t xml:space="preserve">Article 38 of the </w:t>
      </w:r>
      <w:hyperlink r:id="rId305" w:history="1">
        <w:r w:rsidRPr="008F4611">
          <w:rPr>
            <w:rStyle w:val="Hyperlink"/>
            <w:rFonts w:cs="Arial"/>
            <w:szCs w:val="18"/>
            <w:lang w:val="en-US"/>
          </w:rPr>
          <w:t>Act of 12 January 2007 on the reception of asylum-seekers and other categories of foreigners</w:t>
        </w:r>
      </w:hyperlink>
      <w:r w:rsidRPr="008F4611">
        <w:rPr>
          <w:rFonts w:cs="Arial"/>
          <w:szCs w:val="18"/>
          <w:lang w:val="en-US"/>
        </w:rPr>
        <w:t>.</w:t>
      </w:r>
    </w:p>
  </w:footnote>
  <w:footnote w:id="315">
    <w:p w:rsidR="00F60A1E" w:rsidRPr="008F4611" w:rsidRDefault="00F60A1E" w:rsidP="00F60A1E">
      <w:pPr>
        <w:pStyle w:val="FootnoteText"/>
        <w:spacing w:after="0"/>
        <w:rPr>
          <w:szCs w:val="18"/>
          <w:lang w:val="en-US"/>
        </w:rPr>
      </w:pPr>
      <w:r w:rsidRPr="008F4611">
        <w:rPr>
          <w:rStyle w:val="FootnoteReference"/>
          <w:szCs w:val="18"/>
        </w:rPr>
        <w:footnoteRef/>
      </w:r>
      <w:r w:rsidRPr="008F4611">
        <w:rPr>
          <w:szCs w:val="18"/>
        </w:rPr>
        <w:t xml:space="preserve"> </w:t>
      </w:r>
      <w:r w:rsidRPr="008F4611">
        <w:rPr>
          <w:szCs w:val="18"/>
          <w:lang w:val="en-US"/>
        </w:rPr>
        <w:t xml:space="preserve">Article 74/9 of the </w:t>
      </w:r>
      <w:hyperlink r:id="rId306" w:history="1">
        <w:r w:rsidRPr="008F4611">
          <w:rPr>
            <w:rStyle w:val="Hyperlink"/>
            <w:rFonts w:cs="Arial"/>
            <w:szCs w:val="18"/>
            <w:lang w:val="en-US"/>
          </w:rPr>
          <w:t>Act of 15 December 1980 on access to the territory, stay, establishment and expulsion of foreigners</w:t>
        </w:r>
      </w:hyperlink>
      <w:r w:rsidRPr="008F4611">
        <w:rPr>
          <w:rFonts w:cs="Arial"/>
          <w:szCs w:val="18"/>
          <w:lang w:val="en-US"/>
        </w:rPr>
        <w:t xml:space="preserve"> and information provided by stakeholder consultation with a Children’s Rights authority</w:t>
      </w:r>
      <w:r w:rsidRPr="008F4611">
        <w:rPr>
          <w:szCs w:val="18"/>
          <w:lang w:val="en-US"/>
        </w:rPr>
        <w:t>.</w:t>
      </w:r>
    </w:p>
  </w:footnote>
  <w:footnote w:id="316">
    <w:p w:rsidR="00F60A1E" w:rsidRPr="008F4611" w:rsidRDefault="00F60A1E" w:rsidP="00F60A1E">
      <w:pPr>
        <w:pStyle w:val="FootnoteText"/>
        <w:spacing w:after="0"/>
        <w:rPr>
          <w:szCs w:val="18"/>
          <w:lang w:val="en-US"/>
        </w:rPr>
      </w:pPr>
      <w:r w:rsidRPr="008F4611">
        <w:rPr>
          <w:rStyle w:val="FootnoteReference"/>
          <w:szCs w:val="18"/>
        </w:rPr>
        <w:footnoteRef/>
      </w:r>
      <w:r w:rsidRPr="008F4611">
        <w:rPr>
          <w:szCs w:val="18"/>
        </w:rPr>
        <w:t xml:space="preserve"> </w:t>
      </w:r>
      <w:r w:rsidRPr="008F4611">
        <w:rPr>
          <w:szCs w:val="18"/>
          <w:lang w:val="en-US"/>
        </w:rPr>
        <w:t xml:space="preserve">Article 72 of the </w:t>
      </w:r>
      <w:hyperlink r:id="rId307" w:history="1">
        <w:r w:rsidRPr="008F4611">
          <w:rPr>
            <w:rStyle w:val="Hyperlink"/>
            <w:rFonts w:cs="Arial"/>
            <w:szCs w:val="18"/>
            <w:lang w:val="en-US"/>
          </w:rPr>
          <w:t>Act of 15 December 1980 on access to the territory, stay, establishment and expulsion of foreigners</w:t>
        </w:r>
      </w:hyperlink>
      <w:r w:rsidRPr="008F4611">
        <w:rPr>
          <w:rFonts w:cs="Arial"/>
          <w:szCs w:val="18"/>
          <w:lang w:val="en-US"/>
        </w:rPr>
        <w:t>.</w:t>
      </w:r>
    </w:p>
  </w:footnote>
  <w:footnote w:id="317">
    <w:p w:rsidR="00F60A1E" w:rsidRPr="008F4611" w:rsidRDefault="00F60A1E" w:rsidP="00F60A1E">
      <w:pPr>
        <w:pStyle w:val="FootnoteText"/>
        <w:spacing w:after="0"/>
        <w:rPr>
          <w:szCs w:val="18"/>
        </w:rPr>
      </w:pPr>
      <w:r w:rsidRPr="008F4611">
        <w:rPr>
          <w:rStyle w:val="FootnoteReference"/>
          <w:szCs w:val="18"/>
        </w:rPr>
        <w:footnoteRef/>
      </w:r>
      <w:r w:rsidRPr="008F4611">
        <w:rPr>
          <w:szCs w:val="18"/>
        </w:rPr>
        <w:t xml:space="preserve"> </w:t>
      </w:r>
      <w:r w:rsidRPr="008F4611">
        <w:rPr>
          <w:szCs w:val="18"/>
          <w:lang w:val="en-US"/>
        </w:rPr>
        <w:t xml:space="preserve">Article 41 of the </w:t>
      </w:r>
      <w:hyperlink r:id="rId308" w:history="1">
        <w:r w:rsidRPr="008F4611">
          <w:rPr>
            <w:rStyle w:val="Hyperlink"/>
            <w:rFonts w:cs="Arial"/>
            <w:szCs w:val="18"/>
            <w:lang w:val="en-US"/>
          </w:rPr>
          <w:t>Act of 12 January 2007 on the reception of asylum-seekers and other categories of foreigners</w:t>
        </w:r>
      </w:hyperlink>
      <w:r w:rsidRPr="008F4611">
        <w:rPr>
          <w:rFonts w:cs="Arial"/>
          <w:szCs w:val="18"/>
          <w:lang w:val="en-US"/>
        </w:rPr>
        <w:t>.</w:t>
      </w:r>
    </w:p>
  </w:footnote>
  <w:footnote w:id="318">
    <w:p w:rsidR="00F60A1E" w:rsidRPr="008F4611" w:rsidRDefault="00F60A1E" w:rsidP="00F60A1E">
      <w:pPr>
        <w:pStyle w:val="FootnoteText"/>
        <w:spacing w:after="0"/>
        <w:rPr>
          <w:szCs w:val="18"/>
          <w:lang w:val="en-US"/>
        </w:rPr>
      </w:pPr>
      <w:r w:rsidRPr="008F4611">
        <w:rPr>
          <w:rStyle w:val="FootnoteReference"/>
          <w:szCs w:val="18"/>
        </w:rPr>
        <w:footnoteRef/>
      </w:r>
      <w:r w:rsidRPr="008F4611">
        <w:rPr>
          <w:szCs w:val="18"/>
        </w:rPr>
        <w:t xml:space="preserve"> </w:t>
      </w:r>
      <w:hyperlink r:id="rId309" w:history="1">
        <w:r w:rsidRPr="008F4611">
          <w:rPr>
            <w:rStyle w:val="Hyperlink"/>
            <w:szCs w:val="18"/>
            <w:lang w:val="en-US"/>
          </w:rPr>
          <w:t>ADDE webpage on unaccompanied foreign minors</w:t>
        </w:r>
      </w:hyperlink>
      <w:r w:rsidRPr="008F4611">
        <w:rPr>
          <w:szCs w:val="18"/>
          <w:lang w:val="en-US"/>
        </w:rPr>
        <w:t>.</w:t>
      </w:r>
    </w:p>
  </w:footnote>
  <w:footnote w:id="319">
    <w:p w:rsidR="00F60A1E" w:rsidRPr="008F4611" w:rsidRDefault="00F60A1E" w:rsidP="00F60A1E">
      <w:pPr>
        <w:pStyle w:val="FootnoteText"/>
        <w:spacing w:after="0"/>
        <w:rPr>
          <w:szCs w:val="18"/>
          <w:lang w:val="en-US"/>
        </w:rPr>
      </w:pPr>
      <w:r w:rsidRPr="008F4611">
        <w:rPr>
          <w:rStyle w:val="FootnoteReference"/>
          <w:szCs w:val="18"/>
        </w:rPr>
        <w:footnoteRef/>
      </w:r>
      <w:r w:rsidRPr="008F4611">
        <w:rPr>
          <w:szCs w:val="18"/>
        </w:rPr>
        <w:t xml:space="preserve"> </w:t>
      </w:r>
      <w:r w:rsidRPr="008F4611">
        <w:rPr>
          <w:szCs w:val="18"/>
          <w:lang w:val="en-US"/>
        </w:rPr>
        <w:t xml:space="preserve">Article 41 of the </w:t>
      </w:r>
      <w:hyperlink r:id="rId310" w:history="1">
        <w:r w:rsidRPr="008F4611">
          <w:rPr>
            <w:rStyle w:val="Hyperlink"/>
            <w:rFonts w:cs="Arial"/>
            <w:szCs w:val="18"/>
            <w:lang w:val="en-US"/>
          </w:rPr>
          <w:t>Act of 12 January 2007 on the reception of asylum-seekers and other categories of foreigners</w:t>
        </w:r>
      </w:hyperlink>
      <w:r w:rsidRPr="008F4611">
        <w:rPr>
          <w:rFonts w:cs="Arial"/>
          <w:szCs w:val="18"/>
          <w:lang w:val="en-US"/>
        </w:rPr>
        <w:t>.</w:t>
      </w:r>
    </w:p>
  </w:footnote>
  <w:footnote w:id="320">
    <w:p w:rsidR="00F60A1E" w:rsidRPr="00A36DEB" w:rsidRDefault="00F60A1E" w:rsidP="00F60A1E">
      <w:pPr>
        <w:pStyle w:val="FootnoteText"/>
        <w:spacing w:after="0"/>
        <w:rPr>
          <w:lang w:val="en-US"/>
        </w:rPr>
      </w:pPr>
      <w:r w:rsidRPr="008F4611">
        <w:rPr>
          <w:rStyle w:val="FootnoteReference"/>
          <w:szCs w:val="18"/>
        </w:rPr>
        <w:footnoteRef/>
      </w:r>
      <w:r w:rsidRPr="008F4611">
        <w:rPr>
          <w:szCs w:val="18"/>
        </w:rPr>
        <w:t xml:space="preserve"> </w:t>
      </w:r>
      <w:r w:rsidRPr="008F4611">
        <w:rPr>
          <w:szCs w:val="18"/>
          <w:lang w:val="en-US"/>
        </w:rPr>
        <w:t xml:space="preserve">Article 74/16 of the </w:t>
      </w:r>
      <w:hyperlink r:id="rId311" w:history="1">
        <w:r w:rsidRPr="008F4611">
          <w:rPr>
            <w:rStyle w:val="Hyperlink"/>
            <w:rFonts w:cs="Arial"/>
            <w:szCs w:val="18"/>
            <w:lang w:val="en-US"/>
          </w:rPr>
          <w:t>Act of 15 December 1980 on access to the territory, stay, establishment and expulsion of foreigners</w:t>
        </w:r>
      </w:hyperlink>
      <w:r w:rsidRPr="008F4611">
        <w:rPr>
          <w:rFonts w:cs="Arial"/>
          <w:szCs w:val="18"/>
          <w:lang w:val="en-US"/>
        </w:rPr>
        <w:t>.</w:t>
      </w:r>
    </w:p>
  </w:footnote>
  <w:footnote w:id="321">
    <w:p w:rsidR="00F60A1E" w:rsidRPr="008F4611" w:rsidRDefault="00F60A1E" w:rsidP="00F60A1E">
      <w:pPr>
        <w:pStyle w:val="FootnoteText"/>
        <w:spacing w:after="0"/>
        <w:rPr>
          <w:szCs w:val="18"/>
          <w:lang w:val="en-US"/>
        </w:rPr>
      </w:pPr>
      <w:r w:rsidRPr="008F4611">
        <w:rPr>
          <w:rStyle w:val="FootnoteReference"/>
          <w:szCs w:val="18"/>
        </w:rPr>
        <w:footnoteRef/>
      </w:r>
      <w:r w:rsidRPr="008F4611">
        <w:rPr>
          <w:szCs w:val="18"/>
        </w:rPr>
        <w:t xml:space="preserve"> Article </w:t>
      </w:r>
      <w:r w:rsidRPr="008F4611">
        <w:rPr>
          <w:szCs w:val="18"/>
          <w:lang w:val="en-US"/>
        </w:rPr>
        <w:t>37</w:t>
      </w:r>
      <w:r w:rsidRPr="008F4611">
        <w:rPr>
          <w:szCs w:val="18"/>
        </w:rPr>
        <w:t xml:space="preserve"> of the </w:t>
      </w:r>
      <w:hyperlink r:id="rId312" w:history="1">
        <w:r w:rsidRPr="008F4611">
          <w:rPr>
            <w:rStyle w:val="Hyperlink"/>
            <w:rFonts w:cs="Arial"/>
            <w:szCs w:val="18"/>
          </w:rPr>
          <w:t>Youth Protection Act</w:t>
        </w:r>
      </w:hyperlink>
      <w:r w:rsidRPr="008F4611">
        <w:rPr>
          <w:rStyle w:val="Hyperlink"/>
          <w:rFonts w:cs="Arial"/>
          <w:szCs w:val="18"/>
          <w:lang w:val="en-US"/>
        </w:rPr>
        <w:t xml:space="preserve"> of 8 April 1965</w:t>
      </w:r>
      <w:r w:rsidRPr="008F4611">
        <w:rPr>
          <w:szCs w:val="18"/>
          <w:lang w:val="en-US"/>
        </w:rPr>
        <w:t xml:space="preserve">; Article 38 of the </w:t>
      </w:r>
      <w:hyperlink r:id="rId313" w:history="1">
        <w:r w:rsidRPr="008F4611">
          <w:rPr>
            <w:rStyle w:val="Hyperlink"/>
            <w:rFonts w:cs="Arial"/>
            <w:szCs w:val="18"/>
          </w:rPr>
          <w:t>French Community Decree of 4 March 1991 on youth care</w:t>
        </w:r>
      </w:hyperlink>
      <w:r w:rsidRPr="008F4611">
        <w:rPr>
          <w:rStyle w:val="Hyperlink"/>
          <w:rFonts w:cs="Arial"/>
          <w:szCs w:val="18"/>
          <w:lang w:val="en-US"/>
        </w:rPr>
        <w:t xml:space="preserve">; Article 48 of the </w:t>
      </w:r>
      <w:hyperlink r:id="rId314" w:history="1">
        <w:r w:rsidRPr="008F4611">
          <w:rPr>
            <w:rStyle w:val="Hyperlink"/>
            <w:rFonts w:cs="Arial"/>
            <w:szCs w:val="18"/>
          </w:rPr>
          <w:t xml:space="preserve">Flemish Community Decree of 12 July 2013 on integrated youth </w:t>
        </w:r>
        <w:r w:rsidRPr="008F4611">
          <w:rPr>
            <w:rStyle w:val="Hyperlink"/>
            <w:rFonts w:cs="Arial"/>
            <w:szCs w:val="18"/>
            <w:lang w:val="en-US"/>
          </w:rPr>
          <w:t>welfare</w:t>
        </w:r>
      </w:hyperlink>
      <w:r w:rsidRPr="008F4611">
        <w:rPr>
          <w:rStyle w:val="Hyperlink"/>
          <w:rFonts w:cs="Arial"/>
          <w:szCs w:val="18"/>
          <w:lang w:val="en-US"/>
        </w:rPr>
        <w:t>.</w:t>
      </w:r>
    </w:p>
  </w:footnote>
  <w:footnote w:id="322">
    <w:p w:rsidR="00F60A1E" w:rsidRPr="008F4611" w:rsidRDefault="00F60A1E" w:rsidP="00F60A1E">
      <w:pPr>
        <w:pStyle w:val="FootnoteText"/>
        <w:spacing w:after="0"/>
        <w:rPr>
          <w:szCs w:val="18"/>
          <w:lang w:val="en-US"/>
        </w:rPr>
      </w:pPr>
      <w:r w:rsidRPr="008F4611">
        <w:rPr>
          <w:rStyle w:val="FootnoteReference"/>
          <w:szCs w:val="18"/>
        </w:rPr>
        <w:footnoteRef/>
      </w:r>
      <w:r w:rsidRPr="008F4611">
        <w:rPr>
          <w:szCs w:val="18"/>
        </w:rPr>
        <w:t xml:space="preserve"> </w:t>
      </w:r>
      <w:r w:rsidRPr="008F4611">
        <w:rPr>
          <w:szCs w:val="18"/>
          <w:lang w:val="en-US"/>
        </w:rPr>
        <w:t xml:space="preserve">Preliminary Title and Article 37 of the </w:t>
      </w:r>
      <w:hyperlink r:id="rId315" w:history="1">
        <w:r w:rsidRPr="008F4611">
          <w:rPr>
            <w:rStyle w:val="Hyperlink"/>
            <w:rFonts w:cs="Arial"/>
            <w:szCs w:val="18"/>
          </w:rPr>
          <w:t>Youth Protection Act</w:t>
        </w:r>
      </w:hyperlink>
      <w:r w:rsidRPr="008F4611">
        <w:rPr>
          <w:rStyle w:val="Hyperlink"/>
          <w:rFonts w:cs="Arial"/>
          <w:szCs w:val="18"/>
          <w:lang w:val="en-US"/>
        </w:rPr>
        <w:t xml:space="preserve"> of 8 April 1965</w:t>
      </w:r>
      <w:r w:rsidRPr="008F4611">
        <w:rPr>
          <w:szCs w:val="18"/>
        </w:rPr>
        <w:t>.</w:t>
      </w:r>
    </w:p>
  </w:footnote>
  <w:footnote w:id="323">
    <w:p w:rsidR="00F60A1E" w:rsidRPr="008F4611" w:rsidRDefault="00F60A1E" w:rsidP="00F60A1E">
      <w:pPr>
        <w:pStyle w:val="FootnoteText"/>
        <w:spacing w:after="0"/>
        <w:rPr>
          <w:szCs w:val="18"/>
          <w:lang w:val="en-US"/>
        </w:rPr>
      </w:pPr>
      <w:r w:rsidRPr="008F4611">
        <w:rPr>
          <w:rStyle w:val="FootnoteReference"/>
          <w:szCs w:val="18"/>
        </w:rPr>
        <w:footnoteRef/>
      </w:r>
      <w:r w:rsidRPr="008F4611">
        <w:rPr>
          <w:szCs w:val="18"/>
        </w:rPr>
        <w:t xml:space="preserve"> </w:t>
      </w:r>
      <w:r w:rsidRPr="008F4611">
        <w:rPr>
          <w:szCs w:val="18"/>
          <w:lang w:val="en-US"/>
        </w:rPr>
        <w:t>Information provided by the national authorities.</w:t>
      </w:r>
    </w:p>
  </w:footnote>
  <w:footnote w:id="324">
    <w:p w:rsidR="00F60A1E" w:rsidRPr="008F4611" w:rsidRDefault="00F60A1E" w:rsidP="00F60A1E">
      <w:pPr>
        <w:pStyle w:val="FootnoteText"/>
        <w:spacing w:after="0"/>
        <w:rPr>
          <w:szCs w:val="18"/>
          <w:lang w:val="en-US"/>
        </w:rPr>
      </w:pPr>
      <w:r w:rsidRPr="008F4611">
        <w:rPr>
          <w:rStyle w:val="FootnoteReference"/>
          <w:szCs w:val="18"/>
        </w:rPr>
        <w:footnoteRef/>
      </w:r>
      <w:r w:rsidRPr="008F4611">
        <w:rPr>
          <w:szCs w:val="18"/>
        </w:rPr>
        <w:t xml:space="preserve"> </w:t>
      </w:r>
      <w:r w:rsidRPr="008F4611">
        <w:rPr>
          <w:szCs w:val="18"/>
          <w:lang w:val="en-US"/>
        </w:rPr>
        <w:t xml:space="preserve">Article 74 of the </w:t>
      </w:r>
      <w:hyperlink r:id="rId316" w:history="1">
        <w:r w:rsidRPr="008F4611">
          <w:rPr>
            <w:rStyle w:val="Hyperlink"/>
            <w:rFonts w:cs="Arial"/>
            <w:szCs w:val="18"/>
          </w:rPr>
          <w:t>Youth Protection Act</w:t>
        </w:r>
      </w:hyperlink>
      <w:r w:rsidRPr="008F4611">
        <w:rPr>
          <w:rStyle w:val="Hyperlink"/>
          <w:rFonts w:cs="Arial"/>
          <w:szCs w:val="18"/>
          <w:lang w:val="en-US"/>
        </w:rPr>
        <w:t xml:space="preserve"> of 8 April 1965</w:t>
      </w:r>
      <w:r w:rsidRPr="008F4611">
        <w:rPr>
          <w:szCs w:val="18"/>
        </w:rPr>
        <w:t>.</w:t>
      </w:r>
    </w:p>
  </w:footnote>
  <w:footnote w:id="325">
    <w:p w:rsidR="00F60A1E" w:rsidRPr="00AF32C2" w:rsidRDefault="00F60A1E" w:rsidP="00F60A1E">
      <w:pPr>
        <w:pStyle w:val="FootnoteText"/>
        <w:spacing w:after="0"/>
        <w:rPr>
          <w:rFonts w:cs="Arial"/>
          <w:sz w:val="16"/>
          <w:szCs w:val="16"/>
          <w:lang w:val="en-US"/>
        </w:rPr>
      </w:pPr>
      <w:r w:rsidRPr="008F4611">
        <w:rPr>
          <w:rStyle w:val="FootnoteReference"/>
          <w:rFonts w:cs="Arial"/>
          <w:szCs w:val="18"/>
        </w:rPr>
        <w:footnoteRef/>
      </w:r>
      <w:r w:rsidRPr="008F4611">
        <w:rPr>
          <w:rFonts w:cs="Arial"/>
          <w:szCs w:val="18"/>
        </w:rPr>
        <w:t xml:space="preserve"> </w:t>
      </w:r>
      <w:r w:rsidRPr="008F4611">
        <w:rPr>
          <w:rFonts w:cs="Arial"/>
          <w:szCs w:val="18"/>
          <w:lang w:val="en-US"/>
        </w:rPr>
        <w:t>The MACR is at 18 years old. However, under specific conditions a child of at least 16 years may be referred to the adult criminal system and, as a result, be held criminally liable for the offence committed. There are two situations where a child of at least 16 years old may be held criminally liable: 1) the Youth Tribunal declines jurisdiction and transfers the child to an adult criminal jurisdiction or, 2)for road traffic offences.</w:t>
      </w:r>
    </w:p>
  </w:footnote>
  <w:footnote w:id="326">
    <w:p w:rsidR="00F60A1E" w:rsidRPr="008F4611" w:rsidRDefault="00F60A1E" w:rsidP="00F60A1E">
      <w:pPr>
        <w:pStyle w:val="FootnoteText"/>
        <w:spacing w:after="0"/>
        <w:rPr>
          <w:szCs w:val="18"/>
        </w:rPr>
      </w:pPr>
      <w:r w:rsidRPr="008F4611">
        <w:rPr>
          <w:rStyle w:val="FootnoteReference"/>
          <w:szCs w:val="18"/>
        </w:rPr>
        <w:footnoteRef/>
      </w:r>
      <w:r w:rsidRPr="008F4611">
        <w:rPr>
          <w:szCs w:val="18"/>
        </w:rPr>
        <w:t xml:space="preserve"> </w:t>
      </w:r>
      <w:r w:rsidRPr="008F4611">
        <w:rPr>
          <w:szCs w:val="18"/>
          <w:lang w:val="en-US"/>
        </w:rPr>
        <w:t xml:space="preserve">Article 37 of the </w:t>
      </w:r>
      <w:hyperlink r:id="rId317" w:history="1">
        <w:r w:rsidRPr="008F4611">
          <w:rPr>
            <w:rStyle w:val="Hyperlink"/>
            <w:rFonts w:cs="Arial"/>
            <w:szCs w:val="18"/>
          </w:rPr>
          <w:t>Youth Protection Act</w:t>
        </w:r>
      </w:hyperlink>
      <w:r w:rsidRPr="008F4611">
        <w:rPr>
          <w:rStyle w:val="Hyperlink"/>
          <w:rFonts w:cs="Arial"/>
          <w:szCs w:val="18"/>
          <w:lang w:val="en-US"/>
        </w:rPr>
        <w:t xml:space="preserve"> of 8 April 1965</w:t>
      </w:r>
      <w:r w:rsidRPr="008F4611">
        <w:rPr>
          <w:szCs w:val="18"/>
        </w:rPr>
        <w:t>.</w:t>
      </w:r>
    </w:p>
  </w:footnote>
  <w:footnote w:id="327">
    <w:p w:rsidR="00F60A1E" w:rsidRPr="008F4611" w:rsidRDefault="00F60A1E" w:rsidP="00F60A1E">
      <w:pPr>
        <w:pStyle w:val="FootnoteText"/>
        <w:spacing w:after="0"/>
        <w:rPr>
          <w:szCs w:val="18"/>
        </w:rPr>
      </w:pPr>
      <w:r w:rsidRPr="008F4611">
        <w:rPr>
          <w:rStyle w:val="FootnoteReference"/>
          <w:szCs w:val="18"/>
        </w:rPr>
        <w:footnoteRef/>
      </w:r>
      <w:r w:rsidRPr="008F4611">
        <w:rPr>
          <w:szCs w:val="18"/>
        </w:rPr>
        <w:t xml:space="preserve"> Preliminary </w:t>
      </w:r>
      <w:r w:rsidRPr="008F4611">
        <w:rPr>
          <w:szCs w:val="18"/>
          <w:lang w:val="en-US"/>
        </w:rPr>
        <w:t>T</w:t>
      </w:r>
      <w:r w:rsidRPr="008F4611">
        <w:rPr>
          <w:szCs w:val="18"/>
        </w:rPr>
        <w:t xml:space="preserve">itle of the </w:t>
      </w:r>
      <w:hyperlink r:id="rId318" w:history="1">
        <w:r w:rsidRPr="008F4611">
          <w:rPr>
            <w:rStyle w:val="Hyperlink"/>
            <w:rFonts w:cs="Arial"/>
            <w:szCs w:val="18"/>
          </w:rPr>
          <w:t>Youth Protection Act</w:t>
        </w:r>
      </w:hyperlink>
      <w:r w:rsidRPr="008F4611">
        <w:rPr>
          <w:rStyle w:val="Hyperlink"/>
          <w:rFonts w:cs="Arial"/>
          <w:szCs w:val="18"/>
          <w:lang w:val="en-US"/>
        </w:rPr>
        <w:t xml:space="preserve"> of 8 April 1965</w:t>
      </w:r>
      <w:r w:rsidRPr="008F4611">
        <w:rPr>
          <w:szCs w:val="18"/>
        </w:rPr>
        <w:t>.</w:t>
      </w:r>
    </w:p>
  </w:footnote>
  <w:footnote w:id="328">
    <w:p w:rsidR="00F60A1E" w:rsidRPr="008F4611" w:rsidRDefault="00F60A1E" w:rsidP="00F60A1E">
      <w:pPr>
        <w:pStyle w:val="FootnoteText"/>
        <w:spacing w:after="0"/>
        <w:rPr>
          <w:szCs w:val="18"/>
          <w:lang w:val="en-US"/>
        </w:rPr>
      </w:pPr>
      <w:r w:rsidRPr="008F4611">
        <w:rPr>
          <w:rStyle w:val="FootnoteReference"/>
          <w:szCs w:val="18"/>
        </w:rPr>
        <w:footnoteRef/>
      </w:r>
      <w:r w:rsidRPr="008F4611">
        <w:rPr>
          <w:szCs w:val="18"/>
        </w:rPr>
        <w:t xml:space="preserve"> </w:t>
      </w:r>
      <w:r w:rsidRPr="008F4611">
        <w:rPr>
          <w:szCs w:val="18"/>
          <w:lang w:val="en-US"/>
        </w:rPr>
        <w:t xml:space="preserve">Article 37 of the </w:t>
      </w:r>
      <w:hyperlink r:id="rId319" w:history="1">
        <w:r w:rsidRPr="008F4611">
          <w:rPr>
            <w:rStyle w:val="Hyperlink"/>
            <w:rFonts w:cs="Arial"/>
            <w:szCs w:val="18"/>
          </w:rPr>
          <w:t>Youth Protection Act</w:t>
        </w:r>
      </w:hyperlink>
      <w:r w:rsidRPr="008F4611">
        <w:rPr>
          <w:rStyle w:val="Hyperlink"/>
          <w:rFonts w:cs="Arial"/>
          <w:szCs w:val="18"/>
          <w:lang w:val="en-US"/>
        </w:rPr>
        <w:t xml:space="preserve"> of 8 April 1965</w:t>
      </w:r>
      <w:r w:rsidRPr="008F4611">
        <w:rPr>
          <w:szCs w:val="18"/>
        </w:rPr>
        <w:t>.</w:t>
      </w:r>
    </w:p>
  </w:footnote>
  <w:footnote w:id="329">
    <w:p w:rsidR="00F60A1E" w:rsidRPr="008F4611" w:rsidRDefault="00F60A1E" w:rsidP="00F60A1E">
      <w:pPr>
        <w:pStyle w:val="FootnoteText"/>
        <w:spacing w:after="0"/>
        <w:rPr>
          <w:szCs w:val="18"/>
        </w:rPr>
      </w:pPr>
      <w:r w:rsidRPr="008F4611">
        <w:rPr>
          <w:rStyle w:val="FootnoteReference"/>
          <w:szCs w:val="18"/>
        </w:rPr>
        <w:footnoteRef/>
      </w:r>
      <w:r w:rsidRPr="008F4611">
        <w:rPr>
          <w:szCs w:val="18"/>
        </w:rPr>
        <w:t xml:space="preserve"> </w:t>
      </w:r>
      <w:r w:rsidRPr="008F4611">
        <w:rPr>
          <w:szCs w:val="18"/>
          <w:lang w:val="en-US"/>
        </w:rPr>
        <w:t xml:space="preserve">Article 52 of the </w:t>
      </w:r>
      <w:hyperlink r:id="rId320" w:history="1">
        <w:r w:rsidRPr="008F4611">
          <w:rPr>
            <w:rStyle w:val="Hyperlink"/>
            <w:rFonts w:cs="Arial"/>
            <w:szCs w:val="18"/>
          </w:rPr>
          <w:t>Youth Protection Act</w:t>
        </w:r>
      </w:hyperlink>
      <w:r w:rsidRPr="008F4611">
        <w:rPr>
          <w:rStyle w:val="Hyperlink"/>
          <w:rFonts w:cs="Arial"/>
          <w:szCs w:val="18"/>
          <w:lang w:val="en-US"/>
        </w:rPr>
        <w:t xml:space="preserve"> of 8 April 1965</w:t>
      </w:r>
      <w:r w:rsidRPr="008F4611">
        <w:rPr>
          <w:szCs w:val="18"/>
        </w:rPr>
        <w:t>.</w:t>
      </w:r>
    </w:p>
  </w:footnote>
  <w:footnote w:id="330">
    <w:p w:rsidR="00F60A1E" w:rsidRPr="008F4611" w:rsidRDefault="00F60A1E" w:rsidP="00F60A1E">
      <w:pPr>
        <w:pStyle w:val="FootnoteText"/>
        <w:spacing w:after="0"/>
        <w:rPr>
          <w:szCs w:val="18"/>
          <w:lang w:val="en-US"/>
        </w:rPr>
      </w:pPr>
      <w:r w:rsidRPr="008F4611">
        <w:rPr>
          <w:rStyle w:val="FootnoteReference"/>
          <w:szCs w:val="18"/>
        </w:rPr>
        <w:footnoteRef/>
      </w:r>
      <w:r w:rsidRPr="008F4611">
        <w:rPr>
          <w:szCs w:val="18"/>
        </w:rPr>
        <w:t xml:space="preserve"> </w:t>
      </w:r>
      <w:r w:rsidRPr="008F4611">
        <w:rPr>
          <w:szCs w:val="18"/>
          <w:lang w:val="en-US"/>
        </w:rPr>
        <w:t xml:space="preserve">Article 74 of the </w:t>
      </w:r>
      <w:hyperlink r:id="rId321" w:history="1">
        <w:r w:rsidRPr="008F4611">
          <w:rPr>
            <w:rStyle w:val="Hyperlink"/>
            <w:rFonts w:cs="Arial"/>
            <w:szCs w:val="18"/>
          </w:rPr>
          <w:t>Youth Protection Act</w:t>
        </w:r>
      </w:hyperlink>
      <w:r w:rsidRPr="008F4611">
        <w:rPr>
          <w:rStyle w:val="Hyperlink"/>
          <w:rFonts w:cs="Arial"/>
          <w:szCs w:val="18"/>
          <w:lang w:val="en-US"/>
        </w:rPr>
        <w:t xml:space="preserve"> of 8 April 1965</w:t>
      </w:r>
      <w:r w:rsidRPr="008F4611">
        <w:rPr>
          <w:szCs w:val="18"/>
        </w:rPr>
        <w:t>.</w:t>
      </w:r>
    </w:p>
  </w:footnote>
  <w:footnote w:id="331">
    <w:p w:rsidR="00F60A1E" w:rsidRPr="008F4611" w:rsidRDefault="00F60A1E" w:rsidP="00F60A1E">
      <w:pPr>
        <w:pStyle w:val="FootnoteText"/>
        <w:spacing w:after="0"/>
        <w:rPr>
          <w:szCs w:val="18"/>
          <w:lang w:val="en-US"/>
        </w:rPr>
      </w:pPr>
      <w:r w:rsidRPr="008F4611">
        <w:rPr>
          <w:rStyle w:val="FootnoteReference"/>
          <w:szCs w:val="18"/>
        </w:rPr>
        <w:footnoteRef/>
      </w:r>
      <w:r w:rsidRPr="008F4611">
        <w:rPr>
          <w:szCs w:val="18"/>
        </w:rPr>
        <w:t xml:space="preserve"> </w:t>
      </w:r>
      <w:r w:rsidRPr="008F4611">
        <w:rPr>
          <w:szCs w:val="18"/>
          <w:lang w:val="en-US"/>
        </w:rPr>
        <w:t xml:space="preserve">Article 31 of the </w:t>
      </w:r>
      <w:hyperlink r:id="rId322" w:history="1">
        <w:r w:rsidRPr="008F4611">
          <w:rPr>
            <w:rStyle w:val="Hyperlink"/>
            <w:szCs w:val="18"/>
            <w:lang w:val="en-US"/>
          </w:rPr>
          <w:t>Act of 5 August 1992 on the functions of the police</w:t>
        </w:r>
      </w:hyperlink>
      <w:r w:rsidRPr="008F4611">
        <w:rPr>
          <w:szCs w:val="18"/>
          <w:lang w:val="en-US"/>
        </w:rPr>
        <w:t>.</w:t>
      </w:r>
    </w:p>
  </w:footnote>
  <w:footnote w:id="332">
    <w:p w:rsidR="00F60A1E" w:rsidRPr="008F4611" w:rsidRDefault="00F60A1E" w:rsidP="00F60A1E">
      <w:pPr>
        <w:pStyle w:val="FootnoteText"/>
        <w:spacing w:after="0"/>
        <w:rPr>
          <w:szCs w:val="18"/>
        </w:rPr>
      </w:pPr>
      <w:r w:rsidRPr="008F4611">
        <w:rPr>
          <w:rStyle w:val="FootnoteReference"/>
          <w:szCs w:val="18"/>
        </w:rPr>
        <w:footnoteRef/>
      </w:r>
      <w:r w:rsidRPr="008F4611">
        <w:rPr>
          <w:szCs w:val="18"/>
        </w:rPr>
        <w:t xml:space="preserve"> Information collected through interview with Defence for children.</w:t>
      </w:r>
    </w:p>
  </w:footnote>
  <w:footnote w:id="333">
    <w:p w:rsidR="00F60A1E" w:rsidRPr="008F4611" w:rsidRDefault="00F60A1E" w:rsidP="00F60A1E">
      <w:pPr>
        <w:pStyle w:val="FootnoteText"/>
        <w:spacing w:after="0"/>
        <w:rPr>
          <w:szCs w:val="18"/>
          <w:lang w:val="en-US"/>
        </w:rPr>
      </w:pPr>
      <w:r w:rsidRPr="008F4611">
        <w:rPr>
          <w:rStyle w:val="FootnoteReference"/>
          <w:szCs w:val="18"/>
        </w:rPr>
        <w:footnoteRef/>
      </w:r>
      <w:r w:rsidRPr="008F4611">
        <w:rPr>
          <w:szCs w:val="18"/>
        </w:rPr>
        <w:t xml:space="preserve"> </w:t>
      </w:r>
      <w:hyperlink r:id="rId323" w:history="1">
        <w:r w:rsidRPr="008F4611">
          <w:rPr>
            <w:rStyle w:val="Hyperlink"/>
            <w:szCs w:val="18"/>
            <w:lang w:val="en-US"/>
          </w:rPr>
          <w:t>The Committee P website</w:t>
        </w:r>
      </w:hyperlink>
      <w:r w:rsidRPr="008F4611">
        <w:rPr>
          <w:szCs w:val="18"/>
          <w:lang w:val="en-US"/>
        </w:rPr>
        <w:t>. The Committee P is competent to monitor the police. It may receive complaints from any person regarding the police activities.</w:t>
      </w:r>
    </w:p>
  </w:footnote>
  <w:footnote w:id="334">
    <w:p w:rsidR="00F60A1E" w:rsidRPr="00AF32C2" w:rsidRDefault="00F60A1E" w:rsidP="00F60A1E">
      <w:pPr>
        <w:pStyle w:val="FootnoteText"/>
        <w:spacing w:after="0"/>
        <w:rPr>
          <w:sz w:val="16"/>
          <w:szCs w:val="16"/>
          <w:lang w:val="en-US"/>
        </w:rPr>
      </w:pPr>
      <w:r w:rsidRPr="008F4611">
        <w:rPr>
          <w:rStyle w:val="FootnoteReference"/>
          <w:szCs w:val="18"/>
        </w:rPr>
        <w:footnoteRef/>
      </w:r>
      <w:r w:rsidRPr="008F4611">
        <w:rPr>
          <w:szCs w:val="18"/>
        </w:rPr>
        <w:t xml:space="preserve"> </w:t>
      </w:r>
      <w:r w:rsidRPr="008F4611">
        <w:rPr>
          <w:szCs w:val="18"/>
          <w:lang w:val="en-US"/>
        </w:rPr>
        <w:t xml:space="preserve">Chapter V of the </w:t>
      </w:r>
      <w:hyperlink r:id="rId324" w:history="1">
        <w:r w:rsidRPr="008F4611">
          <w:rPr>
            <w:rStyle w:val="Hyperlink"/>
            <w:szCs w:val="18"/>
            <w:lang w:val="en-US"/>
          </w:rPr>
          <w:t>Act of 5 August 1992 on the functions of the police</w:t>
        </w:r>
      </w:hyperlink>
      <w:r w:rsidRPr="008F4611">
        <w:rPr>
          <w:szCs w:val="18"/>
          <w:lang w:val="en-US"/>
        </w:rPr>
        <w:t>.</w:t>
      </w:r>
    </w:p>
  </w:footnote>
  <w:footnote w:id="335">
    <w:p w:rsidR="00F60A1E" w:rsidRPr="008F4611" w:rsidRDefault="00F60A1E" w:rsidP="00F60A1E">
      <w:pPr>
        <w:pStyle w:val="FootnoteText"/>
        <w:spacing w:after="0"/>
        <w:rPr>
          <w:rFonts w:cs="Arial"/>
          <w:szCs w:val="18"/>
        </w:rPr>
      </w:pPr>
      <w:r w:rsidRPr="008F4611">
        <w:rPr>
          <w:rStyle w:val="FootnoteReference"/>
          <w:rFonts w:cs="Arial"/>
          <w:szCs w:val="18"/>
        </w:rPr>
        <w:footnoteRef/>
      </w:r>
      <w:r w:rsidRPr="008F4611">
        <w:rPr>
          <w:rFonts w:cs="Arial"/>
          <w:szCs w:val="18"/>
        </w:rPr>
        <w:t xml:space="preserve"> Article 2 of the </w:t>
      </w:r>
      <w:hyperlink r:id="rId325" w:history="1">
        <w:r w:rsidRPr="008F4611">
          <w:rPr>
            <w:rStyle w:val="Hyperlink"/>
            <w:rFonts w:cs="Arial"/>
            <w:szCs w:val="18"/>
          </w:rPr>
          <w:t>Act of 26 June 1990 on the protection of mentally ill persons</w:t>
        </w:r>
      </w:hyperlink>
      <w:r w:rsidRPr="008F4611">
        <w:rPr>
          <w:rFonts w:cs="Arial"/>
          <w:szCs w:val="18"/>
        </w:rPr>
        <w:t>.</w:t>
      </w:r>
    </w:p>
  </w:footnote>
  <w:footnote w:id="336">
    <w:p w:rsidR="00F60A1E" w:rsidRPr="008F4611" w:rsidRDefault="00F60A1E" w:rsidP="00F60A1E">
      <w:pPr>
        <w:pStyle w:val="FootnoteText"/>
        <w:spacing w:after="0"/>
        <w:rPr>
          <w:szCs w:val="18"/>
          <w:lang w:val="en-US"/>
        </w:rPr>
      </w:pPr>
      <w:r w:rsidRPr="008F4611">
        <w:rPr>
          <w:rStyle w:val="FootnoteReference"/>
          <w:szCs w:val="18"/>
        </w:rPr>
        <w:footnoteRef/>
      </w:r>
      <w:r w:rsidRPr="008F4611">
        <w:rPr>
          <w:szCs w:val="18"/>
        </w:rPr>
        <w:t xml:space="preserve"> </w:t>
      </w:r>
      <w:r w:rsidRPr="008F4611">
        <w:rPr>
          <w:szCs w:val="18"/>
          <w:lang w:val="en-US"/>
        </w:rPr>
        <w:t xml:space="preserve">Article 2 and 9 </w:t>
      </w:r>
      <w:r w:rsidRPr="008F4611">
        <w:rPr>
          <w:rFonts w:cs="Arial"/>
          <w:szCs w:val="18"/>
        </w:rPr>
        <w:t xml:space="preserve">of the </w:t>
      </w:r>
      <w:hyperlink r:id="rId326" w:history="1">
        <w:r w:rsidRPr="008F4611">
          <w:rPr>
            <w:rStyle w:val="Hyperlink"/>
            <w:rFonts w:cs="Arial"/>
            <w:szCs w:val="18"/>
          </w:rPr>
          <w:t>Act of 26 June 1990 on the protection of mentally ill persons</w:t>
        </w:r>
      </w:hyperlink>
      <w:r w:rsidRPr="008F4611">
        <w:rPr>
          <w:rFonts w:cs="Arial"/>
          <w:szCs w:val="18"/>
        </w:rPr>
        <w:t xml:space="preserve"> and Isabelle Dogné, </w:t>
      </w:r>
      <w:r w:rsidRPr="008F4611">
        <w:rPr>
          <w:rFonts w:cs="Arial"/>
          <w:i/>
          <w:szCs w:val="18"/>
        </w:rPr>
        <w:t>The Reform of Juvenile Law. Special Questions</w:t>
      </w:r>
      <w:r w:rsidRPr="008F4611">
        <w:rPr>
          <w:rFonts w:cs="Arial"/>
          <w:szCs w:val="18"/>
        </w:rPr>
        <w:t>, ed. Thierry Moreau and Sandra Berbuto, 2007, Anthemis, Brussels, p.17.</w:t>
      </w:r>
    </w:p>
  </w:footnote>
  <w:footnote w:id="337">
    <w:p w:rsidR="00F60A1E" w:rsidRPr="008F4611" w:rsidRDefault="00F60A1E" w:rsidP="00F60A1E">
      <w:pPr>
        <w:pStyle w:val="FootnoteText"/>
        <w:spacing w:after="0"/>
        <w:rPr>
          <w:szCs w:val="18"/>
          <w:lang w:val="en-US"/>
        </w:rPr>
      </w:pPr>
      <w:r w:rsidRPr="008F4611">
        <w:rPr>
          <w:rStyle w:val="FootnoteReference"/>
          <w:szCs w:val="18"/>
        </w:rPr>
        <w:footnoteRef/>
      </w:r>
      <w:r w:rsidRPr="008F4611">
        <w:rPr>
          <w:szCs w:val="18"/>
        </w:rPr>
        <w:t xml:space="preserve"> </w:t>
      </w:r>
      <w:r w:rsidRPr="008F4611">
        <w:rPr>
          <w:szCs w:val="18"/>
          <w:lang w:val="en-US"/>
        </w:rPr>
        <w:t xml:space="preserve">Article 5 </w:t>
      </w:r>
      <w:r w:rsidRPr="008F4611">
        <w:rPr>
          <w:rFonts w:cs="Arial"/>
          <w:szCs w:val="18"/>
        </w:rPr>
        <w:t xml:space="preserve">of the </w:t>
      </w:r>
      <w:hyperlink r:id="rId327" w:history="1">
        <w:r w:rsidRPr="008F4611">
          <w:rPr>
            <w:rStyle w:val="Hyperlink"/>
            <w:rFonts w:cs="Arial"/>
            <w:szCs w:val="18"/>
          </w:rPr>
          <w:t>Act of 26 June 1990 on the protection of mentally ill persons</w:t>
        </w:r>
      </w:hyperlink>
      <w:r w:rsidRPr="008F4611">
        <w:rPr>
          <w:rFonts w:cs="Arial"/>
          <w:szCs w:val="18"/>
        </w:rPr>
        <w:t>.</w:t>
      </w:r>
    </w:p>
  </w:footnote>
  <w:footnote w:id="338">
    <w:p w:rsidR="00F60A1E" w:rsidRPr="008F4611" w:rsidRDefault="00F60A1E" w:rsidP="00F60A1E">
      <w:pPr>
        <w:pStyle w:val="FootnoteText"/>
        <w:spacing w:after="0"/>
        <w:rPr>
          <w:szCs w:val="18"/>
          <w:lang w:val="en-US"/>
        </w:rPr>
      </w:pPr>
      <w:r w:rsidRPr="008F4611">
        <w:rPr>
          <w:rStyle w:val="FootnoteReference"/>
          <w:szCs w:val="18"/>
        </w:rPr>
        <w:footnoteRef/>
      </w:r>
      <w:r w:rsidRPr="008F4611">
        <w:rPr>
          <w:szCs w:val="18"/>
        </w:rPr>
        <w:t xml:space="preserve"> </w:t>
      </w:r>
      <w:r w:rsidRPr="008F4611">
        <w:rPr>
          <w:szCs w:val="18"/>
          <w:lang w:val="en-US"/>
        </w:rPr>
        <w:t>Articles 7, 8, 9 and 11</w:t>
      </w:r>
      <w:r w:rsidRPr="008F4611">
        <w:rPr>
          <w:rFonts w:cs="Arial"/>
          <w:szCs w:val="18"/>
        </w:rPr>
        <w:t xml:space="preserve"> of the </w:t>
      </w:r>
      <w:hyperlink r:id="rId328" w:history="1">
        <w:r w:rsidRPr="008F4611">
          <w:rPr>
            <w:rStyle w:val="Hyperlink"/>
            <w:rFonts w:cs="Arial"/>
            <w:szCs w:val="18"/>
          </w:rPr>
          <w:t>Act of 26 June 1990 on the protection of mentally ill persons</w:t>
        </w:r>
      </w:hyperlink>
      <w:r w:rsidRPr="008F4611">
        <w:rPr>
          <w:rFonts w:cs="Arial"/>
          <w:szCs w:val="18"/>
        </w:rPr>
        <w:t>.</w:t>
      </w:r>
    </w:p>
  </w:footnote>
  <w:footnote w:id="339">
    <w:p w:rsidR="00F60A1E" w:rsidRPr="00AF32C2" w:rsidRDefault="00F60A1E" w:rsidP="00F60A1E">
      <w:pPr>
        <w:pStyle w:val="FootnoteText"/>
        <w:spacing w:after="0"/>
        <w:rPr>
          <w:sz w:val="16"/>
          <w:szCs w:val="16"/>
          <w:lang w:val="en-US"/>
        </w:rPr>
      </w:pPr>
      <w:r w:rsidRPr="008F4611">
        <w:rPr>
          <w:rStyle w:val="FootnoteReference"/>
          <w:szCs w:val="18"/>
        </w:rPr>
        <w:footnoteRef/>
      </w:r>
      <w:r w:rsidRPr="008F4611">
        <w:rPr>
          <w:szCs w:val="18"/>
        </w:rPr>
        <w:t xml:space="preserve"> </w:t>
      </w:r>
      <w:r w:rsidRPr="008F4611">
        <w:rPr>
          <w:szCs w:val="18"/>
          <w:lang w:val="en-US"/>
        </w:rPr>
        <w:t>Articles 11, 12, 13, 14 and 22</w:t>
      </w:r>
      <w:r w:rsidRPr="008F4611">
        <w:rPr>
          <w:rFonts w:cs="Arial"/>
          <w:szCs w:val="18"/>
        </w:rPr>
        <w:t xml:space="preserve"> of the </w:t>
      </w:r>
      <w:hyperlink r:id="rId329" w:history="1">
        <w:r w:rsidRPr="008F4611">
          <w:rPr>
            <w:rStyle w:val="Hyperlink"/>
            <w:rFonts w:cs="Arial"/>
            <w:szCs w:val="18"/>
          </w:rPr>
          <w:t>Act of 26 June 1990 on the protection of the mentally ill persons</w:t>
        </w:r>
      </w:hyperlink>
      <w:r w:rsidRPr="008F4611">
        <w:rPr>
          <w:rFonts w:cs="Arial"/>
          <w:szCs w:val="18"/>
        </w:rPr>
        <w:t>.</w:t>
      </w:r>
    </w:p>
  </w:footnote>
  <w:footnote w:id="340">
    <w:p w:rsidR="00F60A1E" w:rsidRPr="008F4611" w:rsidRDefault="00F60A1E" w:rsidP="00F60A1E">
      <w:pPr>
        <w:pStyle w:val="FootnoteText"/>
        <w:spacing w:after="0"/>
        <w:rPr>
          <w:rFonts w:cs="Arial"/>
          <w:szCs w:val="18"/>
        </w:rPr>
      </w:pPr>
      <w:r w:rsidRPr="008F4611">
        <w:rPr>
          <w:rStyle w:val="FootnoteReference"/>
          <w:rFonts w:cs="Arial"/>
          <w:szCs w:val="18"/>
        </w:rPr>
        <w:footnoteRef/>
      </w:r>
      <w:r w:rsidRPr="008F4611">
        <w:rPr>
          <w:rFonts w:cs="Arial"/>
          <w:szCs w:val="18"/>
        </w:rPr>
        <w:t xml:space="preserve"> Articles </w:t>
      </w:r>
      <w:r w:rsidRPr="008F4611">
        <w:rPr>
          <w:rFonts w:cs="Arial"/>
          <w:szCs w:val="18"/>
          <w:lang w:val="en-US"/>
        </w:rPr>
        <w:t>37</w:t>
      </w:r>
      <w:r w:rsidRPr="008F4611">
        <w:rPr>
          <w:rFonts w:cs="Arial"/>
          <w:szCs w:val="18"/>
        </w:rPr>
        <w:t xml:space="preserve"> of the </w:t>
      </w:r>
      <w:hyperlink r:id="rId330" w:history="1">
        <w:r w:rsidRPr="008F4611">
          <w:rPr>
            <w:rStyle w:val="Hyperlink"/>
            <w:rFonts w:cs="Arial"/>
            <w:szCs w:val="18"/>
          </w:rPr>
          <w:t xml:space="preserve">Youth Protection Act </w:t>
        </w:r>
        <w:r w:rsidRPr="008F4611">
          <w:rPr>
            <w:rStyle w:val="Hyperlink"/>
            <w:rFonts w:cs="Arial"/>
            <w:szCs w:val="18"/>
            <w:lang w:val="en-US"/>
          </w:rPr>
          <w:t>of 8 April 1965</w:t>
        </w:r>
      </w:hyperlink>
      <w:r w:rsidRPr="008F4611">
        <w:rPr>
          <w:rFonts w:cs="Arial"/>
          <w:szCs w:val="18"/>
          <w:lang w:val="en-US"/>
        </w:rPr>
        <w:t xml:space="preserve"> </w:t>
      </w:r>
      <w:r w:rsidRPr="008F4611">
        <w:rPr>
          <w:rFonts w:cs="Arial"/>
          <w:szCs w:val="18"/>
        </w:rPr>
        <w:t xml:space="preserve">and Article 1 of the </w:t>
      </w:r>
      <w:hyperlink r:id="rId331" w:history="1">
        <w:r w:rsidRPr="008F4611">
          <w:rPr>
            <w:rStyle w:val="Hyperlink"/>
            <w:rFonts w:cs="Arial"/>
            <w:szCs w:val="18"/>
          </w:rPr>
          <w:t>Act of 26 June 1990 on the protection of the mentally ill persons</w:t>
        </w:r>
      </w:hyperlink>
      <w:r w:rsidRPr="008F4611">
        <w:rPr>
          <w:rFonts w:cs="Arial"/>
          <w:szCs w:val="18"/>
        </w:rPr>
        <w:t>.</w:t>
      </w:r>
    </w:p>
  </w:footnote>
  <w:footnote w:id="341">
    <w:p w:rsidR="00F60A1E" w:rsidRPr="008F4611" w:rsidRDefault="00F60A1E" w:rsidP="00F60A1E">
      <w:pPr>
        <w:pStyle w:val="FootnoteText"/>
        <w:spacing w:after="0"/>
        <w:rPr>
          <w:szCs w:val="18"/>
          <w:lang w:val="en-US"/>
        </w:rPr>
      </w:pPr>
      <w:r w:rsidRPr="008F4611">
        <w:rPr>
          <w:rStyle w:val="FootnoteReference"/>
          <w:szCs w:val="18"/>
        </w:rPr>
        <w:footnoteRef/>
      </w:r>
      <w:r w:rsidRPr="008F4611">
        <w:rPr>
          <w:szCs w:val="18"/>
        </w:rPr>
        <w:t xml:space="preserve"> </w:t>
      </w:r>
      <w:r w:rsidRPr="008F4611">
        <w:rPr>
          <w:szCs w:val="18"/>
          <w:lang w:val="en-US"/>
        </w:rPr>
        <w:t xml:space="preserve">Article 33 </w:t>
      </w:r>
      <w:r w:rsidRPr="008F4611">
        <w:rPr>
          <w:rFonts w:cs="Arial"/>
          <w:szCs w:val="18"/>
          <w:lang w:val="en-US"/>
        </w:rPr>
        <w:t xml:space="preserve">of the </w:t>
      </w:r>
      <w:hyperlink r:id="rId332" w:history="1">
        <w:r w:rsidRPr="008F4611">
          <w:rPr>
            <w:rStyle w:val="Hyperlink"/>
            <w:rFonts w:cs="Arial"/>
            <w:bCs/>
            <w:szCs w:val="18"/>
          </w:rPr>
          <w:t>Coordinated Laws of 12 January 1973 on the Council of State</w:t>
        </w:r>
      </w:hyperlink>
      <w:r w:rsidRPr="008F4611">
        <w:rPr>
          <w:rFonts w:cs="Arial"/>
          <w:bCs/>
          <w:szCs w:val="18"/>
          <w:lang w:val="en-US"/>
        </w:rPr>
        <w:t>.</w:t>
      </w:r>
    </w:p>
  </w:footnote>
  <w:footnote w:id="342">
    <w:p w:rsidR="00F60A1E" w:rsidRPr="008F4611" w:rsidRDefault="00F60A1E" w:rsidP="00F60A1E">
      <w:pPr>
        <w:pStyle w:val="FootnoteText"/>
        <w:spacing w:after="0"/>
        <w:rPr>
          <w:rFonts w:cs="Arial"/>
          <w:szCs w:val="18"/>
        </w:rPr>
      </w:pPr>
      <w:r w:rsidRPr="008F4611">
        <w:rPr>
          <w:rStyle w:val="FootnoteReference"/>
          <w:rFonts w:cs="Arial"/>
          <w:szCs w:val="18"/>
        </w:rPr>
        <w:footnoteRef/>
      </w:r>
      <w:r w:rsidRPr="008F4611">
        <w:rPr>
          <w:rFonts w:cs="Arial"/>
          <w:szCs w:val="18"/>
        </w:rPr>
        <w:t xml:space="preserve"> </w:t>
      </w:r>
      <w:r w:rsidRPr="008F4611">
        <w:rPr>
          <w:rFonts w:cs="Arial"/>
          <w:szCs w:val="18"/>
          <w:lang w:val="en-US"/>
        </w:rPr>
        <w:t xml:space="preserve">Only 80 decisions were appealed to the Court of Cassation (out of 214 000 decisions) between 1948 and 2011. </w:t>
      </w:r>
      <w:r w:rsidRPr="008F4611">
        <w:rPr>
          <w:rFonts w:cs="Arial"/>
          <w:szCs w:val="18"/>
        </w:rPr>
        <w:t xml:space="preserve">Michel Leroy, </w:t>
      </w:r>
      <w:r w:rsidRPr="008F4611">
        <w:rPr>
          <w:rFonts w:cs="Arial"/>
          <w:i/>
          <w:szCs w:val="18"/>
        </w:rPr>
        <w:t>Contentieux administratif</w:t>
      </w:r>
      <w:r w:rsidRPr="008F4611">
        <w:rPr>
          <w:rFonts w:cs="Arial"/>
          <w:szCs w:val="18"/>
        </w:rPr>
        <w:t>, Anthemis, Brussels, 2011, p. 961.</w:t>
      </w:r>
    </w:p>
  </w:footnote>
  <w:footnote w:id="343">
    <w:p w:rsidR="00F60A1E" w:rsidRPr="00AF32C2" w:rsidRDefault="00F60A1E" w:rsidP="00F60A1E">
      <w:pPr>
        <w:pStyle w:val="FootnoteText"/>
        <w:spacing w:after="0"/>
        <w:rPr>
          <w:sz w:val="16"/>
          <w:szCs w:val="16"/>
          <w:lang w:val="en-US"/>
        </w:rPr>
      </w:pPr>
      <w:r w:rsidRPr="008F4611">
        <w:rPr>
          <w:rStyle w:val="FootnoteReference"/>
          <w:szCs w:val="18"/>
        </w:rPr>
        <w:footnoteRef/>
      </w:r>
      <w:r w:rsidRPr="008F4611">
        <w:rPr>
          <w:szCs w:val="18"/>
        </w:rPr>
        <w:t xml:space="preserve"> </w:t>
      </w:r>
      <w:r w:rsidRPr="008F4611">
        <w:rPr>
          <w:szCs w:val="18"/>
          <w:lang w:val="en-US"/>
        </w:rPr>
        <w:t xml:space="preserve">Article 35 and 30 </w:t>
      </w:r>
      <w:r w:rsidRPr="008F4611">
        <w:rPr>
          <w:rFonts w:cs="Arial"/>
          <w:szCs w:val="18"/>
          <w:lang w:val="en-US"/>
        </w:rPr>
        <w:t xml:space="preserve">of the </w:t>
      </w:r>
      <w:hyperlink r:id="rId333" w:history="1">
        <w:r w:rsidRPr="008F4611">
          <w:rPr>
            <w:rStyle w:val="Hyperlink"/>
            <w:rFonts w:cs="Arial"/>
            <w:bCs/>
            <w:szCs w:val="18"/>
          </w:rPr>
          <w:t>Coordinated Laws of 12 January 1973 on the Council of State</w:t>
        </w:r>
      </w:hyperlink>
      <w:r w:rsidRPr="008F4611">
        <w:rPr>
          <w:rFonts w:cs="Arial"/>
          <w:bCs/>
          <w:szCs w:val="18"/>
          <w:lang w:val="en-US"/>
        </w:rPr>
        <w:t>.</w:t>
      </w:r>
    </w:p>
  </w:footnote>
  <w:footnote w:id="344">
    <w:p w:rsidR="00F60A1E" w:rsidRPr="008F4611" w:rsidRDefault="00F60A1E" w:rsidP="00F60A1E">
      <w:pPr>
        <w:pStyle w:val="FootnoteText"/>
        <w:spacing w:after="0"/>
        <w:rPr>
          <w:szCs w:val="18"/>
          <w:lang w:val="en-US"/>
        </w:rPr>
      </w:pPr>
      <w:r w:rsidRPr="008F4611">
        <w:rPr>
          <w:rStyle w:val="FootnoteReference"/>
          <w:szCs w:val="18"/>
        </w:rPr>
        <w:footnoteRef/>
      </w:r>
      <w:r w:rsidRPr="008F4611">
        <w:rPr>
          <w:szCs w:val="18"/>
        </w:rPr>
        <w:t xml:space="preserve"> </w:t>
      </w:r>
      <w:r w:rsidRPr="008F4611">
        <w:rPr>
          <w:szCs w:val="18"/>
          <w:lang w:val="en-US"/>
        </w:rPr>
        <w:t xml:space="preserve">Article 90 of the </w:t>
      </w:r>
      <w:hyperlink r:id="rId334" w:history="1">
        <w:r w:rsidRPr="008F4611">
          <w:rPr>
            <w:rStyle w:val="Hyperlink"/>
            <w:rFonts w:cs="Arial"/>
            <w:szCs w:val="18"/>
            <w:lang w:val="en-US"/>
          </w:rPr>
          <w:t>Decree the regent of 23 August 1948 determining the procedure before the section of administrative litigation of the Council of State</w:t>
        </w:r>
      </w:hyperlink>
      <w:r w:rsidRPr="008F4611">
        <w:rPr>
          <w:rFonts w:cs="Arial"/>
          <w:bCs/>
          <w:szCs w:val="18"/>
          <w:lang w:val="en-US"/>
        </w:rPr>
        <w:t>.</w:t>
      </w:r>
    </w:p>
  </w:footnote>
  <w:footnote w:id="345">
    <w:p w:rsidR="00F60A1E" w:rsidRPr="008F4611" w:rsidRDefault="00F60A1E" w:rsidP="00F60A1E">
      <w:pPr>
        <w:pStyle w:val="FootnoteText"/>
        <w:spacing w:after="0"/>
        <w:jc w:val="both"/>
        <w:rPr>
          <w:rFonts w:cs="Arial"/>
          <w:szCs w:val="18"/>
        </w:rPr>
      </w:pPr>
      <w:r w:rsidRPr="008F4611">
        <w:rPr>
          <w:rStyle w:val="FootnoteReference"/>
          <w:rFonts w:cs="Arial"/>
          <w:szCs w:val="18"/>
        </w:rPr>
        <w:footnoteRef/>
      </w:r>
      <w:r w:rsidRPr="008F4611">
        <w:rPr>
          <w:rFonts w:cs="Arial"/>
          <w:szCs w:val="18"/>
        </w:rPr>
        <w:t xml:space="preserve"> </w:t>
      </w:r>
      <w:r w:rsidRPr="008F4611">
        <w:rPr>
          <w:rFonts w:cs="Arial"/>
          <w:bCs/>
          <w:szCs w:val="18"/>
        </w:rPr>
        <w:t xml:space="preserve">Article 378 of the </w:t>
      </w:r>
      <w:hyperlink r:id="rId335" w:history="1">
        <w:r w:rsidRPr="008F4611">
          <w:rPr>
            <w:rStyle w:val="Hyperlink"/>
            <w:rFonts w:cs="Arial"/>
            <w:szCs w:val="18"/>
          </w:rPr>
          <w:t>Civil Code</w:t>
        </w:r>
      </w:hyperlink>
      <w:r w:rsidRPr="008F4611">
        <w:rPr>
          <w:rFonts w:cs="Arial"/>
          <w:bCs/>
          <w:szCs w:val="18"/>
        </w:rPr>
        <w:t>.</w:t>
      </w:r>
    </w:p>
  </w:footnote>
  <w:footnote w:id="346">
    <w:p w:rsidR="00F60A1E" w:rsidRPr="00A36DEB" w:rsidRDefault="00F60A1E" w:rsidP="00F60A1E">
      <w:pPr>
        <w:pStyle w:val="FootnoteText"/>
        <w:spacing w:after="0"/>
        <w:jc w:val="both"/>
        <w:rPr>
          <w:rFonts w:cs="Arial"/>
        </w:rPr>
      </w:pPr>
      <w:r w:rsidRPr="008F4611">
        <w:rPr>
          <w:rStyle w:val="FootnoteReference"/>
          <w:rFonts w:cs="Arial"/>
          <w:szCs w:val="18"/>
        </w:rPr>
        <w:footnoteRef/>
      </w:r>
      <w:r w:rsidRPr="008F4611">
        <w:rPr>
          <w:rFonts w:cs="Arial"/>
          <w:szCs w:val="18"/>
        </w:rPr>
        <w:t xml:space="preserve"> Thierry Moreau, ‘</w:t>
      </w:r>
      <w:r w:rsidRPr="008F4611">
        <w:rPr>
          <w:rFonts w:cs="Arial"/>
          <w:i/>
          <w:szCs w:val="18"/>
        </w:rPr>
        <w:t>The autonomy of the minor in justice’</w:t>
      </w:r>
      <w:r w:rsidRPr="008F4611">
        <w:rPr>
          <w:rFonts w:cs="Arial"/>
          <w:szCs w:val="18"/>
        </w:rPr>
        <w:t xml:space="preserve"> (L’autonomie du mineur en justice)’, in </w:t>
      </w:r>
      <w:r w:rsidRPr="008F4611">
        <w:rPr>
          <w:rFonts w:cs="Arial"/>
          <w:i/>
          <w:szCs w:val="18"/>
        </w:rPr>
        <w:t>L’autonomie du mineur</w:t>
      </w:r>
      <w:r w:rsidRPr="008F4611">
        <w:rPr>
          <w:rFonts w:cs="Arial"/>
          <w:szCs w:val="18"/>
        </w:rPr>
        <w:t>, eds P. Jadoul, J. Sambon and B. Van Keirsblick, p.170.</w:t>
      </w:r>
    </w:p>
  </w:footnote>
  <w:footnote w:id="347">
    <w:p w:rsidR="00F60A1E" w:rsidRPr="00A36DEB" w:rsidRDefault="00F60A1E" w:rsidP="00F60A1E">
      <w:pPr>
        <w:pStyle w:val="FootnoteText"/>
        <w:spacing w:after="0"/>
      </w:pPr>
      <w:r w:rsidRPr="00A36DEB">
        <w:rPr>
          <w:rStyle w:val="FootnoteReference"/>
        </w:rPr>
        <w:footnoteRef/>
      </w:r>
      <w:r w:rsidRPr="00A36DEB">
        <w:t xml:space="preserve"> </w:t>
      </w:r>
      <w:r w:rsidRPr="00A36DEB">
        <w:rPr>
          <w:lang w:val="en-US"/>
        </w:rPr>
        <w:t xml:space="preserve">Article 14 of the </w:t>
      </w:r>
      <w:hyperlink r:id="rId336" w:history="1">
        <w:r w:rsidRPr="00A36DEB">
          <w:rPr>
            <w:rStyle w:val="Hyperlink"/>
          </w:rPr>
          <w:t>Coordinated Laws of 12 January 1973 on the Council of State</w:t>
        </w:r>
      </w:hyperlink>
      <w:r w:rsidRPr="00A36DEB">
        <w:rPr>
          <w:lang w:val="en-US"/>
        </w:rPr>
        <w:t xml:space="preserve"> and </w:t>
      </w:r>
      <w:r w:rsidRPr="00A36DEB">
        <w:rPr>
          <w:rFonts w:cs="Arial"/>
          <w:lang w:val="en-US"/>
        </w:rPr>
        <w:t xml:space="preserve">Michel Leroy, </w:t>
      </w:r>
      <w:r w:rsidRPr="00A36DEB">
        <w:rPr>
          <w:rFonts w:cs="Arial"/>
          <w:i/>
          <w:lang w:val="en-US"/>
        </w:rPr>
        <w:t>Contentieux administratif</w:t>
      </w:r>
      <w:r w:rsidRPr="00A36DEB">
        <w:rPr>
          <w:rFonts w:cs="Arial"/>
          <w:lang w:val="en-US"/>
        </w:rPr>
        <w:t>, Anthemis, Brussels, 2011, p. 836.</w:t>
      </w:r>
    </w:p>
  </w:footnote>
  <w:footnote w:id="348">
    <w:p w:rsidR="00F60A1E" w:rsidRPr="00A36DEB" w:rsidRDefault="00F60A1E" w:rsidP="00F60A1E">
      <w:pPr>
        <w:pStyle w:val="FootnoteText"/>
        <w:spacing w:after="0"/>
        <w:jc w:val="both"/>
      </w:pPr>
      <w:r w:rsidRPr="00A36DEB">
        <w:rPr>
          <w:rStyle w:val="FootnoteReference"/>
          <w:rFonts w:cs="Arial"/>
        </w:rPr>
        <w:footnoteRef/>
      </w:r>
      <w:r w:rsidRPr="00A36DEB">
        <w:t xml:space="preserve"> </w:t>
      </w:r>
      <w:r w:rsidRPr="00A36DEB">
        <w:rPr>
          <w:bCs/>
        </w:rPr>
        <w:t xml:space="preserve">Article 764 of the </w:t>
      </w:r>
      <w:hyperlink r:id="rId337" w:history="1">
        <w:r w:rsidRPr="00A36DEB">
          <w:rPr>
            <w:rStyle w:val="Hyperlink"/>
            <w:rFonts w:cs="Arial"/>
          </w:rPr>
          <w:t>Judicial Code</w:t>
        </w:r>
      </w:hyperlink>
      <w:r w:rsidRPr="00A36DEB">
        <w:rPr>
          <w:bCs/>
        </w:rPr>
        <w:t>.</w:t>
      </w:r>
    </w:p>
  </w:footnote>
  <w:footnote w:id="349">
    <w:p w:rsidR="00F60A1E" w:rsidRPr="00A36DEB" w:rsidRDefault="00F60A1E" w:rsidP="00F60A1E">
      <w:pPr>
        <w:pStyle w:val="FootnoteText"/>
        <w:spacing w:after="0"/>
      </w:pPr>
      <w:r w:rsidRPr="00182DA5">
        <w:rPr>
          <w:rStyle w:val="FootnoteReference"/>
        </w:rPr>
        <w:footnoteRef/>
      </w:r>
      <w:r w:rsidRPr="00A36DEB">
        <w:t xml:space="preserve"> Article 21bis of the Preliminary Title of the </w:t>
      </w:r>
      <w:hyperlink r:id="rId338" w:history="1">
        <w:r w:rsidRPr="00A36DEB">
          <w:rPr>
            <w:rStyle w:val="Hyperlink"/>
          </w:rPr>
          <w:t>C</w:t>
        </w:r>
        <w:r w:rsidRPr="00A36DEB">
          <w:rPr>
            <w:rStyle w:val="Hyperlink"/>
            <w:lang w:val="en-US"/>
          </w:rPr>
          <w:t xml:space="preserve">ode of </w:t>
        </w:r>
        <w:r w:rsidRPr="00A36DEB">
          <w:rPr>
            <w:rStyle w:val="Hyperlink"/>
          </w:rPr>
          <w:t>C</w:t>
        </w:r>
        <w:r w:rsidRPr="00A36DEB">
          <w:rPr>
            <w:rStyle w:val="Hyperlink"/>
            <w:lang w:val="en-US"/>
          </w:rPr>
          <w:t xml:space="preserve">riminal </w:t>
        </w:r>
        <w:r w:rsidRPr="00A36DEB">
          <w:rPr>
            <w:rStyle w:val="Hyperlink"/>
          </w:rPr>
          <w:t>P</w:t>
        </w:r>
        <w:r w:rsidRPr="00A36DEB">
          <w:rPr>
            <w:rStyle w:val="Hyperlink"/>
            <w:lang w:val="en-US"/>
          </w:rPr>
          <w:t>rocedure</w:t>
        </w:r>
      </w:hyperlink>
      <w:r w:rsidRPr="00A36DEB">
        <w:t>.</w:t>
      </w:r>
    </w:p>
  </w:footnote>
  <w:footnote w:id="350">
    <w:p w:rsidR="00F60A1E" w:rsidRPr="008F4611" w:rsidRDefault="00F60A1E" w:rsidP="00F60A1E">
      <w:pPr>
        <w:pStyle w:val="FootnoteText"/>
        <w:spacing w:after="0"/>
        <w:rPr>
          <w:szCs w:val="18"/>
          <w:lang w:val="en-US"/>
        </w:rPr>
      </w:pPr>
      <w:r w:rsidRPr="008F4611">
        <w:rPr>
          <w:rStyle w:val="FootnoteReference"/>
          <w:szCs w:val="18"/>
        </w:rPr>
        <w:footnoteRef/>
      </w:r>
      <w:r w:rsidRPr="008F4611">
        <w:rPr>
          <w:szCs w:val="18"/>
        </w:rPr>
        <w:t xml:space="preserve"> </w:t>
      </w:r>
      <w:r w:rsidRPr="008F4611">
        <w:rPr>
          <w:szCs w:val="18"/>
          <w:lang w:val="en-US"/>
        </w:rPr>
        <w:t xml:space="preserve">Article 31 of the </w:t>
      </w:r>
      <w:hyperlink r:id="rId339" w:history="1">
        <w:r w:rsidRPr="008F4611">
          <w:rPr>
            <w:rStyle w:val="Hyperlink"/>
            <w:szCs w:val="18"/>
            <w:lang w:val="en-US"/>
          </w:rPr>
          <w:t>Act of 24 June 2013 on municipalities’ administrative sanctions</w:t>
        </w:r>
      </w:hyperlink>
      <w:r w:rsidRPr="008F4611">
        <w:rPr>
          <w:szCs w:val="18"/>
          <w:lang w:val="en-US"/>
        </w:rPr>
        <w:t>.</w:t>
      </w:r>
    </w:p>
  </w:footnote>
  <w:footnote w:id="351">
    <w:p w:rsidR="00F60A1E" w:rsidRPr="008F4611" w:rsidRDefault="00F60A1E" w:rsidP="00F60A1E">
      <w:pPr>
        <w:pStyle w:val="FootnoteText"/>
        <w:spacing w:after="0"/>
        <w:rPr>
          <w:szCs w:val="18"/>
        </w:rPr>
      </w:pPr>
      <w:r w:rsidRPr="008F4611">
        <w:rPr>
          <w:rStyle w:val="FootnoteReference"/>
          <w:szCs w:val="18"/>
        </w:rPr>
        <w:footnoteRef/>
      </w:r>
      <w:r w:rsidRPr="008F4611">
        <w:rPr>
          <w:szCs w:val="18"/>
        </w:rPr>
        <w:t xml:space="preserve"> </w:t>
      </w:r>
      <w:r w:rsidRPr="008F4611">
        <w:rPr>
          <w:szCs w:val="18"/>
          <w:lang w:val="en-US"/>
        </w:rPr>
        <w:t xml:space="preserve">Article 31 </w:t>
      </w:r>
      <w:r w:rsidRPr="008F4611">
        <w:rPr>
          <w:rFonts w:cs="Arial"/>
          <w:szCs w:val="18"/>
          <w:lang w:val="en-US"/>
        </w:rPr>
        <w:t xml:space="preserve">of the </w:t>
      </w:r>
      <w:hyperlink r:id="rId340" w:history="1">
        <w:r w:rsidRPr="008F4611">
          <w:rPr>
            <w:rStyle w:val="Hyperlink"/>
            <w:rFonts w:cs="Arial"/>
            <w:szCs w:val="18"/>
            <w:lang w:val="en-US"/>
          </w:rPr>
          <w:t>Act of 21 December 1998 on safety during football matches</w:t>
        </w:r>
      </w:hyperlink>
      <w:r w:rsidRPr="008F4611">
        <w:rPr>
          <w:rFonts w:cs="Arial"/>
          <w:szCs w:val="18"/>
          <w:lang w:val="en-US"/>
        </w:rPr>
        <w:t>.</w:t>
      </w:r>
    </w:p>
  </w:footnote>
  <w:footnote w:id="352">
    <w:p w:rsidR="00F60A1E" w:rsidRPr="008F4611" w:rsidRDefault="00F60A1E" w:rsidP="00F60A1E">
      <w:pPr>
        <w:pStyle w:val="FootnoteText"/>
        <w:spacing w:after="0"/>
        <w:rPr>
          <w:szCs w:val="18"/>
          <w:lang w:val="en-US"/>
        </w:rPr>
      </w:pPr>
      <w:r w:rsidRPr="008F4611">
        <w:rPr>
          <w:rStyle w:val="FootnoteReference"/>
          <w:szCs w:val="18"/>
        </w:rPr>
        <w:footnoteRef/>
      </w:r>
      <w:r w:rsidRPr="008F4611">
        <w:rPr>
          <w:szCs w:val="18"/>
        </w:rPr>
        <w:t xml:space="preserve"> </w:t>
      </w:r>
      <w:hyperlink r:id="rId341" w:history="1">
        <w:r w:rsidRPr="008F4611">
          <w:rPr>
            <w:rStyle w:val="Hyperlink"/>
            <w:szCs w:val="18"/>
            <w:lang w:val="en-US"/>
          </w:rPr>
          <w:t>Court of Cassation, 11 January 2013, C.11.0323.N</w:t>
        </w:r>
      </w:hyperlink>
      <w:r w:rsidRPr="008F4611">
        <w:rPr>
          <w:szCs w:val="18"/>
          <w:lang w:val="en-US"/>
        </w:rPr>
        <w:t>.</w:t>
      </w:r>
    </w:p>
  </w:footnote>
  <w:footnote w:id="353">
    <w:p w:rsidR="00F60A1E" w:rsidRPr="00AF32C2" w:rsidRDefault="00F60A1E" w:rsidP="00F60A1E">
      <w:pPr>
        <w:pStyle w:val="FootnoteText"/>
        <w:spacing w:after="0"/>
        <w:jc w:val="both"/>
        <w:rPr>
          <w:sz w:val="16"/>
          <w:szCs w:val="16"/>
        </w:rPr>
      </w:pPr>
      <w:r w:rsidRPr="008F4611">
        <w:rPr>
          <w:rStyle w:val="FootnoteReference"/>
          <w:rFonts w:cs="Arial"/>
          <w:szCs w:val="18"/>
        </w:rPr>
        <w:footnoteRef/>
      </w:r>
      <w:r w:rsidRPr="008F4611">
        <w:rPr>
          <w:szCs w:val="18"/>
        </w:rPr>
        <w:t xml:space="preserve"> </w:t>
      </w:r>
      <w:r w:rsidRPr="008F4611">
        <w:rPr>
          <w:bCs/>
          <w:szCs w:val="18"/>
        </w:rPr>
        <w:t xml:space="preserve">Article 764 of the </w:t>
      </w:r>
      <w:hyperlink r:id="rId342" w:history="1">
        <w:r w:rsidRPr="008F4611">
          <w:rPr>
            <w:rStyle w:val="Hyperlink"/>
            <w:rFonts w:cs="Arial"/>
            <w:szCs w:val="18"/>
          </w:rPr>
          <w:t>Judicial Code</w:t>
        </w:r>
      </w:hyperlink>
      <w:r w:rsidRPr="008F4611">
        <w:rPr>
          <w:bCs/>
          <w:szCs w:val="18"/>
        </w:rPr>
        <w:t>.</w:t>
      </w:r>
    </w:p>
  </w:footnote>
  <w:footnote w:id="354">
    <w:p w:rsidR="00F60A1E" w:rsidRPr="008F4611" w:rsidRDefault="00F60A1E" w:rsidP="00F60A1E">
      <w:pPr>
        <w:pStyle w:val="FootnoteText"/>
        <w:spacing w:after="0"/>
        <w:rPr>
          <w:rFonts w:cs="Arial"/>
          <w:szCs w:val="18"/>
        </w:rPr>
      </w:pPr>
      <w:r w:rsidRPr="008F4611">
        <w:rPr>
          <w:rStyle w:val="FootnoteReference"/>
          <w:rFonts w:cs="Arial"/>
          <w:szCs w:val="18"/>
        </w:rPr>
        <w:footnoteRef/>
      </w:r>
      <w:r w:rsidRPr="008F4611">
        <w:rPr>
          <w:rFonts w:cs="Arial"/>
          <w:szCs w:val="18"/>
        </w:rPr>
        <w:t xml:space="preserve"> Article 2 of the </w:t>
      </w:r>
      <w:hyperlink r:id="rId343" w:history="1">
        <w:r w:rsidRPr="008F4611">
          <w:rPr>
            <w:rStyle w:val="Hyperlink"/>
            <w:rFonts w:cs="Arial"/>
            <w:szCs w:val="18"/>
          </w:rPr>
          <w:t>Act of 26 June 1990 on the protection of mentally ill persons</w:t>
        </w:r>
      </w:hyperlink>
      <w:r w:rsidRPr="008F4611">
        <w:rPr>
          <w:rFonts w:cs="Arial"/>
          <w:szCs w:val="18"/>
        </w:rPr>
        <w:t>.</w:t>
      </w:r>
    </w:p>
  </w:footnote>
  <w:footnote w:id="355">
    <w:p w:rsidR="00F60A1E" w:rsidRPr="008F4611" w:rsidRDefault="00F60A1E" w:rsidP="00F60A1E">
      <w:pPr>
        <w:pStyle w:val="FootnoteText"/>
        <w:spacing w:after="0"/>
        <w:rPr>
          <w:szCs w:val="18"/>
          <w:lang w:val="en-US"/>
        </w:rPr>
      </w:pPr>
      <w:r w:rsidRPr="008F4611">
        <w:rPr>
          <w:rStyle w:val="FootnoteReference"/>
          <w:szCs w:val="18"/>
        </w:rPr>
        <w:footnoteRef/>
      </w:r>
      <w:r w:rsidRPr="008F4611">
        <w:rPr>
          <w:szCs w:val="18"/>
        </w:rPr>
        <w:t xml:space="preserve"> </w:t>
      </w:r>
      <w:r w:rsidRPr="008F4611">
        <w:rPr>
          <w:szCs w:val="18"/>
          <w:lang w:val="en-US"/>
        </w:rPr>
        <w:t xml:space="preserve">Article 12 of the </w:t>
      </w:r>
      <w:hyperlink r:id="rId344" w:history="1">
        <w:r w:rsidRPr="008F4611">
          <w:rPr>
            <w:rStyle w:val="Hyperlink"/>
            <w:rFonts w:cs="Arial"/>
            <w:szCs w:val="18"/>
          </w:rPr>
          <w:t>Act of 26 June 1990 on the protection of mentally ill persons</w:t>
        </w:r>
      </w:hyperlink>
      <w:r w:rsidRPr="008F4611">
        <w:rPr>
          <w:rFonts w:cs="Arial"/>
          <w:szCs w:val="18"/>
        </w:rPr>
        <w:t>.</w:t>
      </w:r>
    </w:p>
  </w:footnote>
  <w:footnote w:id="356">
    <w:p w:rsidR="00F60A1E" w:rsidRPr="008F4611" w:rsidRDefault="00F60A1E" w:rsidP="00F60A1E">
      <w:pPr>
        <w:pStyle w:val="FootnoteText"/>
        <w:spacing w:after="0"/>
        <w:rPr>
          <w:szCs w:val="18"/>
          <w:lang w:val="en-US"/>
        </w:rPr>
      </w:pPr>
      <w:r w:rsidRPr="008F4611">
        <w:rPr>
          <w:rStyle w:val="FootnoteReference"/>
          <w:szCs w:val="18"/>
        </w:rPr>
        <w:footnoteRef/>
      </w:r>
      <w:r w:rsidRPr="008F4611">
        <w:rPr>
          <w:szCs w:val="18"/>
        </w:rPr>
        <w:t xml:space="preserve"> </w:t>
      </w:r>
      <w:r w:rsidRPr="008F4611">
        <w:rPr>
          <w:szCs w:val="18"/>
          <w:lang w:val="en-US"/>
        </w:rPr>
        <w:t xml:space="preserve">Article 30 of the </w:t>
      </w:r>
      <w:hyperlink r:id="rId345" w:history="1">
        <w:r w:rsidRPr="008F4611">
          <w:rPr>
            <w:rStyle w:val="Hyperlink"/>
            <w:rFonts w:cs="Arial"/>
            <w:szCs w:val="18"/>
          </w:rPr>
          <w:t>Act of 26 June 1990 on the protection of mentally ill persons</w:t>
        </w:r>
      </w:hyperlink>
      <w:r w:rsidRPr="008F4611">
        <w:rPr>
          <w:rFonts w:cs="Arial"/>
          <w:szCs w:val="18"/>
        </w:rPr>
        <w:t>.</w:t>
      </w:r>
    </w:p>
  </w:footnote>
  <w:footnote w:id="357">
    <w:p w:rsidR="00F60A1E" w:rsidRPr="008F4611" w:rsidRDefault="00F60A1E" w:rsidP="00F60A1E">
      <w:pPr>
        <w:pStyle w:val="FootnoteText"/>
        <w:spacing w:after="0"/>
        <w:jc w:val="both"/>
        <w:rPr>
          <w:rFonts w:cs="Arial"/>
          <w:szCs w:val="18"/>
        </w:rPr>
      </w:pPr>
      <w:r w:rsidRPr="008F4611">
        <w:rPr>
          <w:rStyle w:val="FootnoteReference"/>
          <w:rFonts w:cs="Arial"/>
          <w:szCs w:val="18"/>
        </w:rPr>
        <w:footnoteRef/>
      </w:r>
      <w:r w:rsidRPr="008F4611">
        <w:rPr>
          <w:rFonts w:cs="Arial"/>
          <w:szCs w:val="18"/>
        </w:rPr>
        <w:t xml:space="preserve"> Article 665 of the </w:t>
      </w:r>
      <w:hyperlink r:id="rId346" w:history="1">
        <w:r w:rsidRPr="008F4611">
          <w:rPr>
            <w:rStyle w:val="Hyperlink"/>
            <w:rFonts w:cs="Arial"/>
            <w:szCs w:val="18"/>
          </w:rPr>
          <w:t>Judicial Code</w:t>
        </w:r>
      </w:hyperlink>
      <w:r w:rsidRPr="008F4611">
        <w:rPr>
          <w:rFonts w:cs="Arial"/>
          <w:szCs w:val="18"/>
        </w:rPr>
        <w:t>.</w:t>
      </w:r>
    </w:p>
  </w:footnote>
  <w:footnote w:id="358">
    <w:p w:rsidR="00F60A1E" w:rsidRPr="00AF32C2" w:rsidRDefault="00F60A1E" w:rsidP="00F60A1E">
      <w:pPr>
        <w:pStyle w:val="FootnoteText"/>
        <w:spacing w:after="0"/>
        <w:rPr>
          <w:sz w:val="16"/>
          <w:szCs w:val="16"/>
          <w:lang w:val="en-US"/>
        </w:rPr>
      </w:pPr>
      <w:r w:rsidRPr="008F4611">
        <w:rPr>
          <w:rStyle w:val="FootnoteReference"/>
          <w:szCs w:val="18"/>
        </w:rPr>
        <w:footnoteRef/>
      </w:r>
      <w:r w:rsidRPr="008F4611">
        <w:rPr>
          <w:szCs w:val="18"/>
        </w:rPr>
        <w:t xml:space="preserve"> </w:t>
      </w:r>
      <w:r w:rsidRPr="008F4611">
        <w:rPr>
          <w:szCs w:val="18"/>
          <w:lang w:val="en-US"/>
        </w:rPr>
        <w:t xml:space="preserve">Article 54 </w:t>
      </w:r>
      <w:r w:rsidRPr="008F4611">
        <w:rPr>
          <w:rFonts w:cs="Arial"/>
          <w:szCs w:val="18"/>
          <w:lang w:val="en-US"/>
        </w:rPr>
        <w:t>of the</w:t>
      </w:r>
      <w:r w:rsidRPr="008F4611">
        <w:rPr>
          <w:rFonts w:cs="Arial"/>
          <w:szCs w:val="18"/>
        </w:rPr>
        <w:t xml:space="preserve"> </w:t>
      </w:r>
      <w:hyperlink r:id="rId347" w:history="1">
        <w:r w:rsidRPr="008F4611">
          <w:rPr>
            <w:rStyle w:val="Hyperlink"/>
            <w:rFonts w:cs="Arial"/>
            <w:bCs/>
            <w:szCs w:val="18"/>
          </w:rPr>
          <w:t>Coordinated Laws of 12 January 1973 on the Council of State</w:t>
        </w:r>
      </w:hyperlink>
      <w:r w:rsidRPr="008F4611">
        <w:rPr>
          <w:rFonts w:cs="Arial"/>
          <w:bCs/>
          <w:szCs w:val="18"/>
          <w:lang w:val="en-US"/>
        </w:rPr>
        <w:t xml:space="preserve"> and </w:t>
      </w:r>
      <w:r w:rsidRPr="008F4611">
        <w:rPr>
          <w:szCs w:val="18"/>
          <w:lang w:val="en-US"/>
        </w:rPr>
        <w:t xml:space="preserve">Article 1 of the </w:t>
      </w:r>
      <w:hyperlink r:id="rId348" w:history="1">
        <w:r w:rsidRPr="008F4611">
          <w:rPr>
            <w:rStyle w:val="Hyperlink"/>
            <w:szCs w:val="18"/>
            <w:lang w:val="en-US"/>
          </w:rPr>
          <w:t>Royal Decree of 18 December 2003 on the conditions for full or partial free secondary legal aid</w:t>
        </w:r>
      </w:hyperlink>
      <w:r w:rsidRPr="008F4611">
        <w:rPr>
          <w:rFonts w:cs="Arial"/>
          <w:bCs/>
          <w:szCs w:val="18"/>
          <w:lang w:val="en-US"/>
        </w:rPr>
        <w:t>.</w:t>
      </w:r>
    </w:p>
  </w:footnote>
  <w:footnote w:id="359">
    <w:p w:rsidR="00F60A1E" w:rsidRPr="008F4611" w:rsidRDefault="00F60A1E" w:rsidP="00F60A1E">
      <w:pPr>
        <w:pStyle w:val="FootnoteText"/>
        <w:spacing w:after="0"/>
        <w:rPr>
          <w:szCs w:val="18"/>
          <w:lang w:val="en-US"/>
        </w:rPr>
      </w:pPr>
      <w:r w:rsidRPr="008F4611">
        <w:rPr>
          <w:rStyle w:val="FootnoteReference"/>
          <w:szCs w:val="18"/>
        </w:rPr>
        <w:footnoteRef/>
      </w:r>
      <w:r w:rsidRPr="008F4611">
        <w:rPr>
          <w:szCs w:val="18"/>
        </w:rPr>
        <w:t xml:space="preserve"> </w:t>
      </w:r>
      <w:r w:rsidRPr="008F4611">
        <w:rPr>
          <w:szCs w:val="18"/>
          <w:lang w:val="en-US"/>
        </w:rPr>
        <w:t xml:space="preserve">Article 30 </w:t>
      </w:r>
      <w:r w:rsidRPr="008F4611">
        <w:rPr>
          <w:rFonts w:cs="Arial"/>
          <w:szCs w:val="18"/>
          <w:lang w:val="en-US"/>
        </w:rPr>
        <w:t>of the</w:t>
      </w:r>
      <w:r w:rsidRPr="008F4611">
        <w:rPr>
          <w:rFonts w:cs="Arial"/>
          <w:szCs w:val="18"/>
        </w:rPr>
        <w:t xml:space="preserve"> </w:t>
      </w:r>
      <w:hyperlink r:id="rId349" w:history="1">
        <w:r w:rsidRPr="008F4611">
          <w:rPr>
            <w:rStyle w:val="Hyperlink"/>
            <w:rFonts w:cs="Arial"/>
            <w:bCs/>
            <w:szCs w:val="18"/>
          </w:rPr>
          <w:t>Coordinated Laws of 12 January 1973 on the Council of State</w:t>
        </w:r>
      </w:hyperlink>
      <w:r w:rsidRPr="008F4611">
        <w:rPr>
          <w:rFonts w:cs="Arial"/>
          <w:bCs/>
          <w:szCs w:val="18"/>
          <w:lang w:val="en-US"/>
        </w:rPr>
        <w:t>.</w:t>
      </w:r>
    </w:p>
  </w:footnote>
  <w:footnote w:id="360">
    <w:p w:rsidR="00F60A1E" w:rsidRPr="008F4611" w:rsidRDefault="00F60A1E" w:rsidP="00F60A1E">
      <w:pPr>
        <w:pStyle w:val="FootnoteText"/>
        <w:spacing w:after="0"/>
        <w:rPr>
          <w:szCs w:val="18"/>
          <w:lang w:val="en-US"/>
        </w:rPr>
      </w:pPr>
      <w:r w:rsidRPr="008F4611">
        <w:rPr>
          <w:rStyle w:val="FootnoteReference"/>
          <w:rFonts w:cs="Arial"/>
          <w:szCs w:val="18"/>
        </w:rPr>
        <w:footnoteRef/>
      </w:r>
      <w:r w:rsidRPr="008F4611">
        <w:rPr>
          <w:rFonts w:cs="Arial"/>
          <w:szCs w:val="18"/>
        </w:rPr>
        <w:t xml:space="preserve"> Article</w:t>
      </w:r>
      <w:r w:rsidRPr="008F4611">
        <w:rPr>
          <w:rFonts w:cs="Arial"/>
          <w:szCs w:val="18"/>
          <w:lang w:val="en-US"/>
        </w:rPr>
        <w:t>s</w:t>
      </w:r>
      <w:r w:rsidRPr="008F4611">
        <w:rPr>
          <w:rFonts w:cs="Arial"/>
          <w:szCs w:val="18"/>
        </w:rPr>
        <w:t xml:space="preserve"> </w:t>
      </w:r>
      <w:r w:rsidRPr="008F4611">
        <w:rPr>
          <w:rFonts w:cs="Arial"/>
          <w:szCs w:val="18"/>
          <w:lang w:val="en-US"/>
        </w:rPr>
        <w:t>66 and 68</w:t>
      </w:r>
      <w:r w:rsidRPr="008F4611">
        <w:rPr>
          <w:rFonts w:cs="Arial"/>
          <w:szCs w:val="18"/>
        </w:rPr>
        <w:t xml:space="preserve"> of the </w:t>
      </w:r>
      <w:hyperlink r:id="rId350" w:history="1">
        <w:r w:rsidRPr="008F4611">
          <w:rPr>
            <w:rStyle w:val="Hyperlink"/>
            <w:rFonts w:cs="Arial"/>
            <w:szCs w:val="18"/>
            <w:lang w:val="en-US"/>
          </w:rPr>
          <w:t>Decree the regent of 23 August 1948 determining the procedure before the section of administrative litigation of the Council of State</w:t>
        </w:r>
      </w:hyperlink>
      <w:r w:rsidRPr="008F4611">
        <w:rPr>
          <w:rFonts w:cs="Arial"/>
          <w:szCs w:val="18"/>
        </w:rPr>
        <w:t>.</w:t>
      </w:r>
    </w:p>
  </w:footnote>
  <w:footnote w:id="361">
    <w:p w:rsidR="00F60A1E" w:rsidRPr="008F4611" w:rsidRDefault="00F60A1E" w:rsidP="00F60A1E">
      <w:pPr>
        <w:pStyle w:val="FootnoteText"/>
        <w:spacing w:after="0"/>
        <w:jc w:val="both"/>
        <w:rPr>
          <w:rFonts w:cs="Arial"/>
          <w:szCs w:val="18"/>
        </w:rPr>
      </w:pPr>
      <w:r w:rsidRPr="008F4611">
        <w:rPr>
          <w:rStyle w:val="FootnoteReference"/>
          <w:rFonts w:cs="Arial"/>
          <w:szCs w:val="18"/>
        </w:rPr>
        <w:footnoteRef/>
      </w:r>
      <w:r w:rsidRPr="008F4611">
        <w:rPr>
          <w:rFonts w:cs="Arial"/>
          <w:szCs w:val="18"/>
        </w:rPr>
        <w:t xml:space="preserve"> </w:t>
      </w:r>
      <w:hyperlink r:id="rId351" w:history="1">
        <w:r w:rsidRPr="008F4611">
          <w:rPr>
            <w:rStyle w:val="Hyperlink"/>
            <w:rFonts w:cs="Arial"/>
            <w:szCs w:val="18"/>
          </w:rPr>
          <w:t>Royal Decree of 26 October 2007 establishing the proceedings fees</w:t>
        </w:r>
      </w:hyperlink>
      <w:r w:rsidRPr="008F4611">
        <w:rPr>
          <w:rFonts w:cs="Arial"/>
          <w:szCs w:val="18"/>
        </w:rPr>
        <w:t xml:space="preserve"> mentioned in Article 1022 of the </w:t>
      </w:r>
      <w:hyperlink r:id="rId352" w:history="1">
        <w:r w:rsidRPr="008F4611">
          <w:rPr>
            <w:rStyle w:val="Hyperlink"/>
            <w:rFonts w:cs="Arial"/>
            <w:szCs w:val="18"/>
          </w:rPr>
          <w:t>Judicial Code</w:t>
        </w:r>
      </w:hyperlink>
      <w:r w:rsidRPr="008F4611">
        <w:rPr>
          <w:rFonts w:cs="Arial"/>
          <w:szCs w:val="18"/>
        </w:rPr>
        <w:t>.</w:t>
      </w:r>
    </w:p>
  </w:footnote>
  <w:footnote w:id="362">
    <w:p w:rsidR="00F60A1E" w:rsidRPr="008F4611" w:rsidRDefault="00F60A1E" w:rsidP="00F60A1E">
      <w:pPr>
        <w:pStyle w:val="FootnoteText"/>
        <w:spacing w:after="0"/>
        <w:jc w:val="both"/>
        <w:rPr>
          <w:rFonts w:cs="Arial"/>
          <w:szCs w:val="18"/>
        </w:rPr>
      </w:pPr>
      <w:r w:rsidRPr="008F4611">
        <w:rPr>
          <w:rStyle w:val="FootnoteReference"/>
          <w:rFonts w:cs="Arial"/>
          <w:szCs w:val="18"/>
        </w:rPr>
        <w:footnoteRef/>
      </w:r>
      <w:r w:rsidRPr="008F4611">
        <w:rPr>
          <w:rFonts w:cs="Arial"/>
          <w:szCs w:val="18"/>
        </w:rPr>
        <w:t xml:space="preserve"> Article 1017 of the </w:t>
      </w:r>
      <w:hyperlink r:id="rId353" w:history="1">
        <w:r w:rsidRPr="008F4611">
          <w:rPr>
            <w:rStyle w:val="Hyperlink"/>
            <w:rFonts w:cs="Arial"/>
            <w:szCs w:val="18"/>
          </w:rPr>
          <w:t>Judicial Code</w:t>
        </w:r>
      </w:hyperlink>
      <w:r w:rsidRPr="008F4611">
        <w:rPr>
          <w:rFonts w:cs="Arial"/>
          <w:szCs w:val="18"/>
        </w:rPr>
        <w:t>.</w:t>
      </w:r>
    </w:p>
  </w:footnote>
  <w:footnote w:id="363">
    <w:p w:rsidR="00F60A1E" w:rsidRPr="008F4611" w:rsidRDefault="00F60A1E" w:rsidP="00F60A1E">
      <w:pPr>
        <w:pStyle w:val="FootnoteText"/>
        <w:spacing w:after="0"/>
        <w:rPr>
          <w:szCs w:val="18"/>
          <w:lang w:val="en-US"/>
        </w:rPr>
      </w:pPr>
      <w:r w:rsidRPr="008F4611">
        <w:rPr>
          <w:rStyle w:val="FootnoteReference"/>
          <w:szCs w:val="18"/>
        </w:rPr>
        <w:footnoteRef/>
      </w:r>
      <w:r w:rsidRPr="008F4611">
        <w:rPr>
          <w:szCs w:val="18"/>
        </w:rPr>
        <w:t xml:space="preserve"> </w:t>
      </w:r>
      <w:r w:rsidRPr="008F4611">
        <w:rPr>
          <w:szCs w:val="18"/>
          <w:lang w:val="en-US"/>
        </w:rPr>
        <w:t xml:space="preserve">Article 30 </w:t>
      </w:r>
      <w:r w:rsidRPr="008F4611">
        <w:rPr>
          <w:rFonts w:cs="Arial"/>
          <w:szCs w:val="18"/>
          <w:lang w:val="en-US"/>
        </w:rPr>
        <w:t>of the</w:t>
      </w:r>
      <w:r w:rsidRPr="008F4611">
        <w:rPr>
          <w:rFonts w:cs="Arial"/>
          <w:szCs w:val="18"/>
        </w:rPr>
        <w:t xml:space="preserve"> </w:t>
      </w:r>
      <w:hyperlink r:id="rId354" w:history="1">
        <w:r w:rsidRPr="008F4611">
          <w:rPr>
            <w:rStyle w:val="Hyperlink"/>
            <w:rFonts w:cs="Arial"/>
            <w:bCs/>
            <w:szCs w:val="18"/>
          </w:rPr>
          <w:t>Coordinated Laws of 12 January 1973 on the Council of State</w:t>
        </w:r>
      </w:hyperlink>
      <w:r w:rsidRPr="008F4611">
        <w:rPr>
          <w:rFonts w:cs="Arial"/>
          <w:bCs/>
          <w:szCs w:val="18"/>
          <w:lang w:val="en-US"/>
        </w:rPr>
        <w:t>.</w:t>
      </w:r>
    </w:p>
  </w:footnote>
  <w:footnote w:id="364">
    <w:p w:rsidR="00F60A1E" w:rsidRPr="00A36DEB" w:rsidRDefault="00F60A1E" w:rsidP="00F60A1E">
      <w:pPr>
        <w:pStyle w:val="FootnoteText"/>
        <w:spacing w:after="0"/>
        <w:rPr>
          <w:lang w:val="en-US"/>
        </w:rPr>
      </w:pPr>
      <w:r w:rsidRPr="008F4611">
        <w:rPr>
          <w:rStyle w:val="FootnoteReference"/>
          <w:szCs w:val="18"/>
        </w:rPr>
        <w:footnoteRef/>
      </w:r>
      <w:r w:rsidRPr="008F4611">
        <w:rPr>
          <w:szCs w:val="18"/>
        </w:rPr>
        <w:t xml:space="preserve"> </w:t>
      </w:r>
      <w:r w:rsidRPr="008F4611">
        <w:rPr>
          <w:szCs w:val="18"/>
          <w:lang w:val="en-US"/>
        </w:rPr>
        <w:t xml:space="preserve">Article 54 </w:t>
      </w:r>
      <w:r w:rsidRPr="008F4611">
        <w:rPr>
          <w:rFonts w:cs="Arial"/>
          <w:szCs w:val="18"/>
          <w:lang w:val="en-US"/>
        </w:rPr>
        <w:t>of the</w:t>
      </w:r>
      <w:r w:rsidRPr="008F4611">
        <w:rPr>
          <w:rFonts w:cs="Arial"/>
          <w:szCs w:val="18"/>
        </w:rPr>
        <w:t xml:space="preserve"> </w:t>
      </w:r>
      <w:hyperlink r:id="rId355" w:history="1">
        <w:r w:rsidRPr="008F4611">
          <w:rPr>
            <w:rStyle w:val="Hyperlink"/>
            <w:rFonts w:cs="Arial"/>
            <w:bCs/>
            <w:szCs w:val="18"/>
          </w:rPr>
          <w:t>Coordinated Laws of 12 January 1973 on the Council of State</w:t>
        </w:r>
      </w:hyperlink>
      <w:r w:rsidRPr="008F4611">
        <w:rPr>
          <w:rFonts w:cs="Arial"/>
          <w:bCs/>
          <w:szCs w:val="18"/>
          <w:lang w:val="en-US"/>
        </w:rPr>
        <w:t xml:space="preserve"> and </w:t>
      </w:r>
      <w:r w:rsidRPr="008F4611">
        <w:rPr>
          <w:szCs w:val="18"/>
          <w:lang w:val="en-US"/>
        </w:rPr>
        <w:t xml:space="preserve">Article 1 of the </w:t>
      </w:r>
      <w:hyperlink r:id="rId356" w:history="1">
        <w:r w:rsidRPr="008F4611">
          <w:rPr>
            <w:rStyle w:val="Hyperlink"/>
            <w:szCs w:val="18"/>
            <w:lang w:val="en-US"/>
          </w:rPr>
          <w:t>Royal Decree of 18 December 2003 on the conditions for full or partial free secondary legal aid</w:t>
        </w:r>
      </w:hyperlink>
      <w:r w:rsidRPr="008F4611">
        <w:rPr>
          <w:rFonts w:cs="Arial"/>
          <w:bCs/>
          <w:szCs w:val="18"/>
          <w:lang w:val="en-US"/>
        </w:rPr>
        <w:t>.</w:t>
      </w:r>
    </w:p>
  </w:footnote>
  <w:footnote w:id="365">
    <w:p w:rsidR="00F60A1E" w:rsidRPr="00E800DA" w:rsidRDefault="00F60A1E" w:rsidP="00F60A1E">
      <w:pPr>
        <w:pStyle w:val="FootnoteText"/>
        <w:spacing w:after="0"/>
        <w:jc w:val="both"/>
        <w:rPr>
          <w:szCs w:val="18"/>
        </w:rPr>
      </w:pPr>
      <w:r w:rsidRPr="00E800DA">
        <w:rPr>
          <w:rStyle w:val="FootnoteReference"/>
          <w:rFonts w:cs="Arial"/>
          <w:szCs w:val="18"/>
        </w:rPr>
        <w:footnoteRef/>
      </w:r>
      <w:r w:rsidRPr="00E800DA">
        <w:rPr>
          <w:szCs w:val="18"/>
        </w:rPr>
        <w:t xml:space="preserve"> Articles 1017, 1018 and 1022 of the </w:t>
      </w:r>
      <w:hyperlink r:id="rId357" w:history="1">
        <w:r w:rsidRPr="00E800DA">
          <w:rPr>
            <w:rStyle w:val="Hyperlink"/>
            <w:rFonts w:cs="Arial"/>
            <w:szCs w:val="18"/>
          </w:rPr>
          <w:t>Judicial Code</w:t>
        </w:r>
      </w:hyperlink>
      <w:r w:rsidRPr="00E800DA">
        <w:rPr>
          <w:szCs w:val="18"/>
        </w:rPr>
        <w:t>.</w:t>
      </w:r>
    </w:p>
  </w:footnote>
  <w:footnote w:id="366">
    <w:p w:rsidR="00F60A1E" w:rsidRPr="00E800DA" w:rsidRDefault="00F60A1E" w:rsidP="00F60A1E">
      <w:pPr>
        <w:pStyle w:val="FootnoteText"/>
        <w:spacing w:after="0"/>
        <w:jc w:val="both"/>
        <w:rPr>
          <w:szCs w:val="18"/>
        </w:rPr>
      </w:pPr>
      <w:r w:rsidRPr="00E800DA">
        <w:rPr>
          <w:rStyle w:val="FootnoteReference"/>
          <w:rFonts w:cs="Arial"/>
          <w:szCs w:val="18"/>
        </w:rPr>
        <w:footnoteRef/>
      </w:r>
      <w:r w:rsidRPr="00E800DA">
        <w:rPr>
          <w:szCs w:val="18"/>
        </w:rPr>
        <w:t xml:space="preserve"> Article 1020 of the </w:t>
      </w:r>
      <w:hyperlink r:id="rId358" w:history="1">
        <w:r w:rsidRPr="00E800DA">
          <w:rPr>
            <w:rStyle w:val="Hyperlink"/>
            <w:rFonts w:cs="Arial"/>
            <w:szCs w:val="18"/>
          </w:rPr>
          <w:t>Judicial Code</w:t>
        </w:r>
      </w:hyperlink>
      <w:r w:rsidRPr="00E800DA">
        <w:rPr>
          <w:szCs w:val="18"/>
        </w:rPr>
        <w:t>.</w:t>
      </w:r>
    </w:p>
  </w:footnote>
  <w:footnote w:id="367">
    <w:p w:rsidR="00F60A1E" w:rsidRPr="00E800DA" w:rsidRDefault="00F60A1E" w:rsidP="00F60A1E">
      <w:pPr>
        <w:pStyle w:val="FootnoteText"/>
        <w:spacing w:after="0"/>
        <w:jc w:val="both"/>
        <w:rPr>
          <w:szCs w:val="18"/>
        </w:rPr>
      </w:pPr>
      <w:r w:rsidRPr="00E800DA">
        <w:rPr>
          <w:rStyle w:val="FootnoteReference"/>
          <w:rFonts w:cs="Arial"/>
          <w:szCs w:val="18"/>
        </w:rPr>
        <w:footnoteRef/>
      </w:r>
      <w:r w:rsidRPr="00E800DA">
        <w:rPr>
          <w:szCs w:val="18"/>
        </w:rPr>
        <w:t xml:space="preserve"> Article 1017 of the </w:t>
      </w:r>
      <w:hyperlink r:id="rId359" w:history="1">
        <w:r w:rsidRPr="00E800DA">
          <w:rPr>
            <w:rStyle w:val="Hyperlink"/>
            <w:rFonts w:cs="Arial"/>
            <w:szCs w:val="18"/>
          </w:rPr>
          <w:t>Judicial Code</w:t>
        </w:r>
      </w:hyperlink>
      <w:r w:rsidRPr="00E800DA">
        <w:rPr>
          <w:szCs w:val="18"/>
        </w:rPr>
        <w:t>.</w:t>
      </w:r>
    </w:p>
  </w:footnote>
  <w:footnote w:id="368">
    <w:p w:rsidR="00F60A1E" w:rsidRPr="00E800DA" w:rsidRDefault="00F60A1E" w:rsidP="00F60A1E">
      <w:pPr>
        <w:pStyle w:val="FootnoteText"/>
        <w:spacing w:after="0"/>
        <w:rPr>
          <w:szCs w:val="18"/>
          <w:lang w:val="en-US"/>
        </w:rPr>
      </w:pPr>
      <w:r w:rsidRPr="00E800DA">
        <w:rPr>
          <w:rStyle w:val="FootnoteReference"/>
          <w:szCs w:val="18"/>
        </w:rPr>
        <w:footnoteRef/>
      </w:r>
      <w:r w:rsidRPr="00E800DA">
        <w:rPr>
          <w:szCs w:val="18"/>
        </w:rPr>
        <w:t xml:space="preserve"> </w:t>
      </w:r>
      <w:r w:rsidRPr="00E800DA">
        <w:rPr>
          <w:szCs w:val="18"/>
          <w:lang w:val="en-US"/>
        </w:rPr>
        <w:t xml:space="preserve">Article 15 </w:t>
      </w:r>
      <w:r w:rsidRPr="00E800DA">
        <w:rPr>
          <w:rFonts w:cs="Arial"/>
          <w:szCs w:val="18"/>
          <w:lang w:val="en-US"/>
        </w:rPr>
        <w:t>of the</w:t>
      </w:r>
      <w:r w:rsidRPr="00E800DA">
        <w:rPr>
          <w:rFonts w:cs="Arial"/>
          <w:szCs w:val="18"/>
        </w:rPr>
        <w:t xml:space="preserve"> </w:t>
      </w:r>
      <w:hyperlink r:id="rId360" w:history="1">
        <w:r w:rsidRPr="00E800DA">
          <w:rPr>
            <w:rStyle w:val="Hyperlink"/>
            <w:rFonts w:cs="Arial"/>
            <w:bCs/>
            <w:szCs w:val="18"/>
          </w:rPr>
          <w:t>Coordinated Laws of 12 January 1973 on the Council of State</w:t>
        </w:r>
      </w:hyperlink>
      <w:r w:rsidRPr="00E800DA">
        <w:rPr>
          <w:rFonts w:cs="Arial"/>
          <w:bCs/>
          <w:szCs w:val="18"/>
          <w:lang w:val="en-US"/>
        </w:rPr>
        <w:t>.</w:t>
      </w:r>
    </w:p>
  </w:footnote>
  <w:footnote w:id="369">
    <w:p w:rsidR="00F60A1E" w:rsidRPr="00E800DA" w:rsidRDefault="00F60A1E" w:rsidP="00F60A1E">
      <w:pPr>
        <w:pStyle w:val="FootnoteText"/>
        <w:spacing w:after="0"/>
        <w:rPr>
          <w:szCs w:val="18"/>
          <w:lang w:val="en-US"/>
        </w:rPr>
      </w:pPr>
      <w:r w:rsidRPr="00E800DA">
        <w:rPr>
          <w:rStyle w:val="FootnoteReference"/>
          <w:szCs w:val="18"/>
        </w:rPr>
        <w:footnoteRef/>
      </w:r>
      <w:r w:rsidRPr="00E800DA">
        <w:rPr>
          <w:szCs w:val="18"/>
        </w:rPr>
        <w:t xml:space="preserve"> </w:t>
      </w:r>
      <w:r w:rsidRPr="00E800DA">
        <w:rPr>
          <w:szCs w:val="18"/>
          <w:lang w:val="en-US"/>
        </w:rPr>
        <w:t xml:space="preserve">Article 36 </w:t>
      </w:r>
      <w:r w:rsidRPr="00E800DA">
        <w:rPr>
          <w:rFonts w:cs="Arial"/>
          <w:szCs w:val="18"/>
          <w:lang w:val="en-US"/>
        </w:rPr>
        <w:t>of the</w:t>
      </w:r>
      <w:r w:rsidRPr="00E800DA">
        <w:rPr>
          <w:rFonts w:cs="Arial"/>
          <w:szCs w:val="18"/>
        </w:rPr>
        <w:t xml:space="preserve"> </w:t>
      </w:r>
      <w:hyperlink r:id="rId361" w:history="1">
        <w:r w:rsidRPr="00E800DA">
          <w:rPr>
            <w:rStyle w:val="Hyperlink"/>
            <w:rFonts w:cs="Arial"/>
            <w:bCs/>
            <w:szCs w:val="18"/>
          </w:rPr>
          <w:t>Coordinated Laws of 12 January 1973 on the Council of State</w:t>
        </w:r>
      </w:hyperlink>
      <w:r w:rsidRPr="00E800DA">
        <w:rPr>
          <w:rFonts w:cs="Arial"/>
          <w:bCs/>
          <w:szCs w:val="18"/>
          <w:lang w:val="en-US"/>
        </w:rPr>
        <w:t>.</w:t>
      </w:r>
    </w:p>
  </w:footnote>
  <w:footnote w:id="370">
    <w:p w:rsidR="00F60A1E" w:rsidRPr="00E800DA" w:rsidRDefault="00F60A1E" w:rsidP="00F60A1E">
      <w:pPr>
        <w:pStyle w:val="FootnoteText"/>
        <w:spacing w:after="0"/>
        <w:rPr>
          <w:szCs w:val="18"/>
          <w:lang w:val="fr-BE"/>
        </w:rPr>
      </w:pPr>
      <w:r w:rsidRPr="00E800DA">
        <w:rPr>
          <w:rStyle w:val="FootnoteReference"/>
          <w:szCs w:val="18"/>
        </w:rPr>
        <w:footnoteRef/>
      </w:r>
      <w:r w:rsidRPr="00FF18BE">
        <w:rPr>
          <w:szCs w:val="18"/>
          <w:lang w:val="fr-BE"/>
        </w:rPr>
        <w:t xml:space="preserve"> </w:t>
      </w:r>
      <w:r w:rsidRPr="00E800DA">
        <w:rPr>
          <w:rFonts w:cs="Arial"/>
          <w:szCs w:val="18"/>
          <w:lang w:val="fr-BE"/>
        </w:rPr>
        <w:t xml:space="preserve">Michel Leroy, </w:t>
      </w:r>
      <w:r w:rsidRPr="00E800DA">
        <w:rPr>
          <w:rFonts w:cs="Arial"/>
          <w:i/>
          <w:szCs w:val="18"/>
          <w:lang w:val="fr-BE"/>
        </w:rPr>
        <w:t>Contentieux administratif</w:t>
      </w:r>
      <w:r w:rsidRPr="00E800DA">
        <w:rPr>
          <w:rFonts w:cs="Arial"/>
          <w:szCs w:val="18"/>
          <w:lang w:val="fr-BE"/>
        </w:rPr>
        <w:t>, Anthemis, Brussels, 2011, p. 846.</w:t>
      </w:r>
    </w:p>
  </w:footnote>
  <w:footnote w:id="371">
    <w:p w:rsidR="00F60A1E" w:rsidRPr="00E800DA" w:rsidRDefault="00F60A1E" w:rsidP="00F60A1E">
      <w:pPr>
        <w:pStyle w:val="FootnoteText"/>
        <w:spacing w:after="0"/>
        <w:rPr>
          <w:szCs w:val="18"/>
          <w:lang w:val="en-US"/>
        </w:rPr>
      </w:pPr>
      <w:r w:rsidRPr="00E800DA">
        <w:rPr>
          <w:rStyle w:val="FootnoteReference"/>
          <w:szCs w:val="18"/>
        </w:rPr>
        <w:footnoteRef/>
      </w:r>
      <w:r w:rsidRPr="00E800DA">
        <w:rPr>
          <w:szCs w:val="18"/>
        </w:rPr>
        <w:t xml:space="preserve"> </w:t>
      </w:r>
      <w:r w:rsidRPr="00E800DA">
        <w:rPr>
          <w:szCs w:val="18"/>
          <w:lang w:val="en-US"/>
        </w:rPr>
        <w:t xml:space="preserve">Article 14 </w:t>
      </w:r>
      <w:r w:rsidRPr="00E800DA">
        <w:rPr>
          <w:rFonts w:cs="Arial"/>
          <w:szCs w:val="18"/>
          <w:lang w:val="en-US"/>
        </w:rPr>
        <w:t>of the</w:t>
      </w:r>
      <w:r w:rsidRPr="00E800DA">
        <w:rPr>
          <w:rFonts w:cs="Arial"/>
          <w:szCs w:val="18"/>
        </w:rPr>
        <w:t xml:space="preserve"> </w:t>
      </w:r>
      <w:hyperlink r:id="rId362" w:history="1">
        <w:r w:rsidRPr="00E800DA">
          <w:rPr>
            <w:rStyle w:val="Hyperlink"/>
            <w:rFonts w:cs="Arial"/>
            <w:bCs/>
            <w:szCs w:val="18"/>
          </w:rPr>
          <w:t>Coordinated Laws of 12 January 1973 on the Council of State</w:t>
        </w:r>
      </w:hyperlink>
      <w:r w:rsidRPr="00E800DA">
        <w:rPr>
          <w:rFonts w:cs="Arial"/>
          <w:bCs/>
          <w:szCs w:val="18"/>
          <w:lang w:val="en-US"/>
        </w:rPr>
        <w:t>.</w:t>
      </w:r>
    </w:p>
  </w:footnote>
  <w:footnote w:id="372">
    <w:p w:rsidR="00F60A1E" w:rsidRPr="00E800DA" w:rsidRDefault="00F60A1E" w:rsidP="00F60A1E">
      <w:pPr>
        <w:pStyle w:val="FootnoteText"/>
        <w:spacing w:after="0"/>
        <w:jc w:val="both"/>
        <w:rPr>
          <w:rFonts w:cs="Arial"/>
          <w:szCs w:val="18"/>
        </w:rPr>
      </w:pPr>
      <w:r w:rsidRPr="00E800DA">
        <w:rPr>
          <w:rStyle w:val="FootnoteReference"/>
          <w:rFonts w:cs="Arial"/>
          <w:szCs w:val="18"/>
        </w:rPr>
        <w:footnoteRef/>
      </w:r>
      <w:r w:rsidRPr="00E800DA">
        <w:rPr>
          <w:rFonts w:cs="Arial"/>
          <w:szCs w:val="18"/>
        </w:rPr>
        <w:t xml:space="preserve"> Article </w:t>
      </w:r>
      <w:r w:rsidRPr="00E800DA">
        <w:rPr>
          <w:rFonts w:cs="Arial"/>
          <w:szCs w:val="18"/>
          <w:lang w:val="en-US"/>
        </w:rPr>
        <w:t>34</w:t>
      </w:r>
      <w:r w:rsidRPr="00E800DA">
        <w:rPr>
          <w:rFonts w:cs="Arial"/>
          <w:szCs w:val="18"/>
        </w:rPr>
        <w:t xml:space="preserve"> of the</w:t>
      </w:r>
      <w:r w:rsidRPr="00E800DA">
        <w:rPr>
          <w:rFonts w:cs="Arial"/>
          <w:szCs w:val="18"/>
          <w:lang w:val="en-US"/>
        </w:rPr>
        <w:t xml:space="preserve"> </w:t>
      </w:r>
      <w:hyperlink r:id="rId363" w:history="1">
        <w:r w:rsidRPr="00E800DA">
          <w:rPr>
            <w:rStyle w:val="Hyperlink"/>
            <w:rFonts w:cs="Arial"/>
            <w:szCs w:val="18"/>
            <w:lang w:val="en-US"/>
          </w:rPr>
          <w:t>Decree the regent of 23 August 1948 determining the procedure before the section of administrative litigation of the Council of State</w:t>
        </w:r>
      </w:hyperlink>
      <w:r w:rsidRPr="00E800DA">
        <w:rPr>
          <w:rFonts w:cs="Arial"/>
          <w:szCs w:val="18"/>
        </w:rPr>
        <w:t>.</w:t>
      </w:r>
    </w:p>
  </w:footnote>
  <w:footnote w:id="373">
    <w:p w:rsidR="00F60A1E" w:rsidRPr="00E800DA" w:rsidRDefault="00F60A1E" w:rsidP="00F60A1E">
      <w:pPr>
        <w:pStyle w:val="FootnoteText"/>
        <w:spacing w:after="0"/>
        <w:rPr>
          <w:rFonts w:cs="Arial"/>
          <w:szCs w:val="18"/>
          <w:lang w:val="en-US"/>
        </w:rPr>
      </w:pPr>
      <w:r w:rsidRPr="00E800DA">
        <w:rPr>
          <w:rStyle w:val="FootnoteReference"/>
          <w:rFonts w:cs="Arial"/>
          <w:szCs w:val="18"/>
        </w:rPr>
        <w:footnoteRef/>
      </w:r>
      <w:r w:rsidRPr="00E800DA">
        <w:rPr>
          <w:rFonts w:cs="Arial"/>
          <w:szCs w:val="18"/>
        </w:rPr>
        <w:t xml:space="preserve"> </w:t>
      </w:r>
      <w:r w:rsidRPr="00E800DA">
        <w:rPr>
          <w:rFonts w:cs="Arial"/>
          <w:szCs w:val="18"/>
          <w:lang w:val="en-US"/>
        </w:rPr>
        <w:t xml:space="preserve">Article 28 of the </w:t>
      </w:r>
      <w:hyperlink r:id="rId364" w:history="1">
        <w:r w:rsidRPr="00E800DA">
          <w:rPr>
            <w:rStyle w:val="Hyperlink"/>
            <w:rFonts w:cs="Arial"/>
            <w:bCs/>
            <w:szCs w:val="18"/>
          </w:rPr>
          <w:t>Coordinated Laws of 12 January 1973 on the Council of State</w:t>
        </w:r>
      </w:hyperlink>
      <w:r w:rsidRPr="00E800DA">
        <w:rPr>
          <w:rFonts w:cs="Arial"/>
          <w:bCs/>
          <w:szCs w:val="18"/>
          <w:lang w:val="en-US"/>
        </w:rPr>
        <w:t xml:space="preserve"> and</w:t>
      </w:r>
      <w:r w:rsidRPr="00E800DA">
        <w:rPr>
          <w:rFonts w:cs="Arial"/>
          <w:szCs w:val="18"/>
          <w:lang w:val="en-US"/>
        </w:rPr>
        <w:t xml:space="preserve"> Articles 36 and 39 of the </w:t>
      </w:r>
      <w:hyperlink r:id="rId365" w:history="1">
        <w:r w:rsidRPr="00E800DA">
          <w:rPr>
            <w:rStyle w:val="Hyperlink"/>
            <w:rFonts w:cs="Arial"/>
            <w:szCs w:val="18"/>
            <w:lang w:val="en-US"/>
          </w:rPr>
          <w:t>Decree of the Regent of 23 August 1948 determining the procedure before the section of administrative litigation of the Council of State</w:t>
        </w:r>
      </w:hyperlink>
      <w:r w:rsidRPr="00E800DA">
        <w:rPr>
          <w:rFonts w:cs="Arial"/>
          <w:szCs w:val="18"/>
        </w:rPr>
        <w:t>.</w:t>
      </w:r>
    </w:p>
  </w:footnote>
  <w:footnote w:id="374">
    <w:p w:rsidR="00F60A1E" w:rsidRPr="00AF32C2" w:rsidRDefault="00F60A1E" w:rsidP="00F60A1E">
      <w:pPr>
        <w:pStyle w:val="FootnoteText"/>
        <w:spacing w:after="0"/>
        <w:jc w:val="both"/>
        <w:rPr>
          <w:rFonts w:cs="Arial"/>
          <w:sz w:val="16"/>
          <w:szCs w:val="16"/>
        </w:rPr>
      </w:pPr>
      <w:r w:rsidRPr="00E800DA">
        <w:rPr>
          <w:rStyle w:val="FootnoteReference"/>
          <w:rFonts w:cs="Arial"/>
          <w:szCs w:val="18"/>
        </w:rPr>
        <w:footnoteRef/>
      </w:r>
      <w:r w:rsidRPr="00E800DA">
        <w:rPr>
          <w:rFonts w:cs="Arial"/>
          <w:szCs w:val="18"/>
        </w:rPr>
        <w:t xml:space="preserve"> </w:t>
      </w:r>
      <w:r w:rsidRPr="00E800DA">
        <w:rPr>
          <w:rFonts w:cs="Arial"/>
          <w:bCs/>
          <w:szCs w:val="18"/>
        </w:rPr>
        <w:t xml:space="preserve">Article 35 of the </w:t>
      </w:r>
      <w:hyperlink r:id="rId366" w:history="1">
        <w:r w:rsidRPr="00E800DA">
          <w:rPr>
            <w:rStyle w:val="Hyperlink"/>
            <w:rFonts w:cs="Arial"/>
            <w:szCs w:val="18"/>
          </w:rPr>
          <w:t>Judicial Code</w:t>
        </w:r>
      </w:hyperlink>
      <w:r w:rsidRPr="00E800DA">
        <w:rPr>
          <w:rFonts w:cs="Arial"/>
          <w:bCs/>
          <w:szCs w:val="18"/>
        </w:rPr>
        <w:t>.</w:t>
      </w:r>
    </w:p>
  </w:footnote>
  <w:footnote w:id="375">
    <w:p w:rsidR="00F60A1E" w:rsidRPr="00E800DA" w:rsidRDefault="00F60A1E" w:rsidP="00F60A1E">
      <w:pPr>
        <w:pStyle w:val="FootnoteText"/>
        <w:spacing w:after="0"/>
        <w:jc w:val="both"/>
        <w:rPr>
          <w:rFonts w:cs="Arial"/>
          <w:szCs w:val="18"/>
        </w:rPr>
      </w:pPr>
      <w:r w:rsidRPr="00E800DA">
        <w:rPr>
          <w:rStyle w:val="FootnoteReference"/>
          <w:rFonts w:cs="Arial"/>
          <w:szCs w:val="18"/>
        </w:rPr>
        <w:footnoteRef/>
      </w:r>
      <w:r w:rsidRPr="00E800DA">
        <w:rPr>
          <w:rFonts w:cs="Arial"/>
          <w:szCs w:val="18"/>
        </w:rPr>
        <w:t xml:space="preserve"> Article 792 of the </w:t>
      </w:r>
      <w:hyperlink r:id="rId367" w:history="1">
        <w:r w:rsidRPr="00E800DA">
          <w:rPr>
            <w:rStyle w:val="Hyperlink"/>
            <w:rFonts w:cs="Arial"/>
            <w:szCs w:val="18"/>
          </w:rPr>
          <w:t>Judicial Code</w:t>
        </w:r>
      </w:hyperlink>
      <w:r w:rsidRPr="00E800DA">
        <w:rPr>
          <w:rFonts w:cs="Arial"/>
          <w:szCs w:val="18"/>
        </w:rPr>
        <w:t>.</w:t>
      </w:r>
    </w:p>
  </w:footnote>
  <w:footnote w:id="376">
    <w:p w:rsidR="00F60A1E" w:rsidRPr="00E800DA" w:rsidRDefault="00F60A1E" w:rsidP="00F60A1E">
      <w:pPr>
        <w:pStyle w:val="FootnoteText"/>
        <w:spacing w:after="0"/>
        <w:rPr>
          <w:szCs w:val="18"/>
          <w:lang w:val="en-US"/>
        </w:rPr>
      </w:pPr>
      <w:r w:rsidRPr="00E800DA">
        <w:rPr>
          <w:rStyle w:val="FootnoteReference"/>
          <w:szCs w:val="18"/>
        </w:rPr>
        <w:footnoteRef/>
      </w:r>
      <w:r w:rsidRPr="00E800DA">
        <w:rPr>
          <w:szCs w:val="18"/>
        </w:rPr>
        <w:t xml:space="preserve"> </w:t>
      </w:r>
      <w:r w:rsidRPr="00E800DA">
        <w:rPr>
          <w:szCs w:val="18"/>
          <w:lang w:val="en-US"/>
        </w:rPr>
        <w:t xml:space="preserve">Article 2.20 of the </w:t>
      </w:r>
      <w:hyperlink r:id="rId368" w:history="1">
        <w:r w:rsidRPr="00E800DA">
          <w:rPr>
            <w:rStyle w:val="Hyperlink"/>
            <w:szCs w:val="18"/>
            <w:lang w:val="en-US"/>
          </w:rPr>
          <w:t>Deontology Code of the Lawyer of the French and German Speaking Bars of Belgium</w:t>
        </w:r>
      </w:hyperlink>
      <w:r w:rsidRPr="00E800DA">
        <w:rPr>
          <w:szCs w:val="18"/>
          <w:lang w:val="en-US"/>
        </w:rPr>
        <w:t>.</w:t>
      </w:r>
    </w:p>
  </w:footnote>
  <w:footnote w:id="377">
    <w:p w:rsidR="00F60A1E" w:rsidRPr="00E800DA" w:rsidRDefault="00F60A1E" w:rsidP="00F60A1E">
      <w:pPr>
        <w:pStyle w:val="FootnoteText"/>
        <w:spacing w:after="0"/>
        <w:rPr>
          <w:szCs w:val="18"/>
          <w:lang w:val="en-US"/>
        </w:rPr>
      </w:pPr>
      <w:r w:rsidRPr="00E800DA">
        <w:rPr>
          <w:rStyle w:val="FootnoteReference"/>
          <w:szCs w:val="18"/>
        </w:rPr>
        <w:footnoteRef/>
      </w:r>
      <w:r w:rsidRPr="00E800DA">
        <w:rPr>
          <w:szCs w:val="18"/>
        </w:rPr>
        <w:t xml:space="preserve"> </w:t>
      </w:r>
      <w:r w:rsidRPr="00E800DA">
        <w:rPr>
          <w:szCs w:val="18"/>
          <w:lang w:val="en-US"/>
        </w:rPr>
        <w:t xml:space="preserve">See </w:t>
      </w:r>
      <w:hyperlink r:id="rId369" w:history="1">
        <w:r w:rsidRPr="00E800DA">
          <w:rPr>
            <w:rStyle w:val="Hyperlink"/>
            <w:szCs w:val="18"/>
            <w:lang w:val="en-US"/>
          </w:rPr>
          <w:t>Flemish Bar Rules of Deontology</w:t>
        </w:r>
      </w:hyperlink>
      <w:r w:rsidRPr="00E800DA">
        <w:rPr>
          <w:szCs w:val="18"/>
          <w:lang w:val="en-US"/>
        </w:rPr>
        <w:t>.</w:t>
      </w:r>
    </w:p>
  </w:footnote>
  <w:footnote w:id="378">
    <w:p w:rsidR="00F60A1E" w:rsidRPr="00E800DA" w:rsidRDefault="00F60A1E" w:rsidP="00F60A1E">
      <w:pPr>
        <w:pStyle w:val="FootnoteText"/>
        <w:spacing w:after="0"/>
        <w:jc w:val="both"/>
        <w:rPr>
          <w:szCs w:val="18"/>
        </w:rPr>
      </w:pPr>
      <w:r w:rsidRPr="00E800DA">
        <w:rPr>
          <w:rStyle w:val="FootnoteReference"/>
          <w:rFonts w:cs="Arial"/>
          <w:szCs w:val="18"/>
        </w:rPr>
        <w:footnoteRef/>
      </w:r>
      <w:r w:rsidRPr="00E800DA">
        <w:rPr>
          <w:szCs w:val="18"/>
        </w:rPr>
        <w:t xml:space="preserve"> Article 3 of the </w:t>
      </w:r>
      <w:hyperlink r:id="rId370" w:history="1">
        <w:r w:rsidRPr="00E800DA">
          <w:rPr>
            <w:rStyle w:val="Hyperlink"/>
            <w:rFonts w:cs="Arial"/>
            <w:szCs w:val="18"/>
          </w:rPr>
          <w:t>Act of 15 May 2012 on temporary prohibition of residence in cases of domestic violence</w:t>
        </w:r>
      </w:hyperlink>
      <w:r w:rsidRPr="00E800DA">
        <w:rPr>
          <w:szCs w:val="18"/>
        </w:rPr>
        <w:t>.</w:t>
      </w:r>
    </w:p>
  </w:footnote>
  <w:footnote w:id="379">
    <w:p w:rsidR="00F60A1E" w:rsidRPr="00AF32C2" w:rsidRDefault="00F60A1E" w:rsidP="00F60A1E">
      <w:pPr>
        <w:pStyle w:val="FootnoteText"/>
        <w:spacing w:after="0"/>
        <w:jc w:val="both"/>
        <w:rPr>
          <w:sz w:val="16"/>
          <w:szCs w:val="16"/>
        </w:rPr>
      </w:pPr>
      <w:r w:rsidRPr="00E800DA">
        <w:rPr>
          <w:rStyle w:val="FootnoteReference"/>
          <w:rFonts w:cs="Arial"/>
          <w:szCs w:val="18"/>
        </w:rPr>
        <w:footnoteRef/>
      </w:r>
      <w:r w:rsidRPr="00E800DA">
        <w:rPr>
          <w:szCs w:val="18"/>
        </w:rPr>
        <w:t xml:space="preserve"> </w:t>
      </w:r>
      <w:r w:rsidRPr="00E800DA">
        <w:rPr>
          <w:bCs/>
          <w:szCs w:val="18"/>
        </w:rPr>
        <w:t xml:space="preserve">Article 35 of the </w:t>
      </w:r>
      <w:hyperlink r:id="rId371" w:history="1">
        <w:r w:rsidRPr="00E800DA">
          <w:rPr>
            <w:rStyle w:val="Hyperlink"/>
            <w:rFonts w:cs="Arial"/>
            <w:szCs w:val="18"/>
          </w:rPr>
          <w:t>Judicial Code</w:t>
        </w:r>
      </w:hyperlink>
      <w:r w:rsidRPr="00E800DA">
        <w:rPr>
          <w:bCs/>
          <w:szCs w:val="18"/>
        </w:rPr>
        <w:t>.</w:t>
      </w:r>
    </w:p>
  </w:footnote>
  <w:footnote w:id="380">
    <w:p w:rsidR="00F60A1E" w:rsidRPr="00E800DA" w:rsidRDefault="00F60A1E" w:rsidP="00F60A1E">
      <w:pPr>
        <w:pStyle w:val="FootnoteText"/>
        <w:spacing w:after="0"/>
        <w:jc w:val="both"/>
        <w:rPr>
          <w:szCs w:val="18"/>
        </w:rPr>
      </w:pPr>
      <w:r w:rsidRPr="00E800DA">
        <w:rPr>
          <w:rStyle w:val="FootnoteReference"/>
          <w:rFonts w:cs="Arial"/>
          <w:szCs w:val="18"/>
        </w:rPr>
        <w:footnoteRef/>
      </w:r>
      <w:r w:rsidRPr="00E800DA">
        <w:rPr>
          <w:szCs w:val="18"/>
        </w:rPr>
        <w:t xml:space="preserve"> Article 780 of the </w:t>
      </w:r>
      <w:hyperlink r:id="rId372" w:history="1">
        <w:r w:rsidRPr="00E800DA">
          <w:rPr>
            <w:rStyle w:val="Hyperlink"/>
            <w:rFonts w:cs="Arial"/>
            <w:szCs w:val="18"/>
          </w:rPr>
          <w:t>Judicial Code</w:t>
        </w:r>
      </w:hyperlink>
      <w:r w:rsidRPr="00E800DA">
        <w:rPr>
          <w:szCs w:val="18"/>
        </w:rPr>
        <w:t>.</w:t>
      </w:r>
    </w:p>
  </w:footnote>
  <w:footnote w:id="381">
    <w:p w:rsidR="00F60A1E" w:rsidRPr="00E800DA" w:rsidRDefault="00F60A1E" w:rsidP="00F60A1E">
      <w:pPr>
        <w:pStyle w:val="FootnoteText"/>
        <w:spacing w:after="0"/>
        <w:jc w:val="both"/>
        <w:rPr>
          <w:szCs w:val="18"/>
        </w:rPr>
      </w:pPr>
      <w:r w:rsidRPr="00E800DA">
        <w:rPr>
          <w:rStyle w:val="FootnoteReference"/>
          <w:rFonts w:cs="Arial"/>
          <w:szCs w:val="18"/>
        </w:rPr>
        <w:footnoteRef/>
      </w:r>
      <w:r w:rsidRPr="00E800DA">
        <w:rPr>
          <w:szCs w:val="18"/>
        </w:rPr>
        <w:t xml:space="preserve"> Article 792 of the </w:t>
      </w:r>
      <w:hyperlink r:id="rId373" w:history="1">
        <w:r w:rsidRPr="00E800DA">
          <w:rPr>
            <w:rStyle w:val="Hyperlink"/>
            <w:rFonts w:cs="Arial"/>
            <w:szCs w:val="18"/>
          </w:rPr>
          <w:t>Judicial Code</w:t>
        </w:r>
      </w:hyperlink>
      <w:r w:rsidRPr="00E800DA">
        <w:rPr>
          <w:szCs w:val="18"/>
        </w:rPr>
        <w:t>.</w:t>
      </w:r>
    </w:p>
  </w:footnote>
  <w:footnote w:id="382">
    <w:p w:rsidR="00F60A1E" w:rsidRPr="00E800DA" w:rsidRDefault="00F60A1E" w:rsidP="00F60A1E">
      <w:pPr>
        <w:pStyle w:val="FootnoteText"/>
        <w:spacing w:after="0"/>
        <w:jc w:val="both"/>
        <w:rPr>
          <w:szCs w:val="18"/>
        </w:rPr>
      </w:pPr>
      <w:r w:rsidRPr="00E800DA">
        <w:rPr>
          <w:rStyle w:val="FootnoteReference"/>
          <w:rFonts w:cs="Arial"/>
          <w:szCs w:val="18"/>
        </w:rPr>
        <w:footnoteRef/>
      </w:r>
      <w:r w:rsidRPr="00E800DA">
        <w:rPr>
          <w:szCs w:val="18"/>
        </w:rPr>
        <w:t xml:space="preserve"> Article 1386 of the </w:t>
      </w:r>
      <w:hyperlink r:id="rId374" w:history="1">
        <w:r w:rsidRPr="00E800DA">
          <w:rPr>
            <w:rStyle w:val="Hyperlink"/>
            <w:rFonts w:cs="Arial"/>
            <w:szCs w:val="18"/>
          </w:rPr>
          <w:t>Judicial Code</w:t>
        </w:r>
      </w:hyperlink>
      <w:r w:rsidRPr="00E800DA">
        <w:rPr>
          <w:szCs w:val="18"/>
        </w:rPr>
        <w:t>.</w:t>
      </w:r>
    </w:p>
  </w:footnote>
  <w:footnote w:id="383">
    <w:p w:rsidR="00F60A1E" w:rsidRPr="00E800DA" w:rsidRDefault="00F60A1E" w:rsidP="00F60A1E">
      <w:pPr>
        <w:pStyle w:val="FootnoteText"/>
        <w:spacing w:after="0"/>
        <w:jc w:val="both"/>
        <w:rPr>
          <w:szCs w:val="18"/>
        </w:rPr>
      </w:pPr>
      <w:r w:rsidRPr="00E800DA">
        <w:rPr>
          <w:rStyle w:val="FootnoteReference"/>
          <w:rFonts w:cs="Arial"/>
          <w:szCs w:val="18"/>
        </w:rPr>
        <w:footnoteRef/>
      </w:r>
      <w:r w:rsidRPr="00E800DA">
        <w:rPr>
          <w:szCs w:val="18"/>
        </w:rPr>
        <w:t xml:space="preserve"> Article 1495 of the </w:t>
      </w:r>
      <w:hyperlink r:id="rId375" w:history="1">
        <w:r w:rsidRPr="00E800DA">
          <w:rPr>
            <w:rStyle w:val="Hyperlink"/>
            <w:rFonts w:cs="Arial"/>
            <w:szCs w:val="18"/>
          </w:rPr>
          <w:t>Judicial Code</w:t>
        </w:r>
      </w:hyperlink>
      <w:r w:rsidRPr="00E800DA">
        <w:rPr>
          <w:szCs w:val="18"/>
        </w:rPr>
        <w:t>.</w:t>
      </w:r>
    </w:p>
  </w:footnote>
  <w:footnote w:id="384">
    <w:p w:rsidR="00F60A1E" w:rsidRPr="00E800DA" w:rsidRDefault="00F60A1E" w:rsidP="00F60A1E">
      <w:pPr>
        <w:pStyle w:val="FootnoteText"/>
        <w:spacing w:after="0"/>
        <w:jc w:val="both"/>
        <w:rPr>
          <w:szCs w:val="18"/>
        </w:rPr>
      </w:pPr>
      <w:r w:rsidRPr="00E800DA">
        <w:rPr>
          <w:rStyle w:val="FootnoteReference"/>
          <w:rFonts w:cs="Arial"/>
          <w:szCs w:val="18"/>
        </w:rPr>
        <w:footnoteRef/>
      </w:r>
      <w:r w:rsidRPr="00E800DA">
        <w:rPr>
          <w:szCs w:val="18"/>
        </w:rPr>
        <w:t xml:space="preserve"> Articles 1388 and 1495 of the </w:t>
      </w:r>
      <w:hyperlink r:id="rId376" w:history="1">
        <w:r w:rsidRPr="00E800DA">
          <w:rPr>
            <w:rStyle w:val="Hyperlink"/>
            <w:rFonts w:cs="Arial"/>
            <w:szCs w:val="18"/>
          </w:rPr>
          <w:t>Judicial Code</w:t>
        </w:r>
      </w:hyperlink>
      <w:r w:rsidRPr="00E800DA">
        <w:rPr>
          <w:szCs w:val="18"/>
        </w:rPr>
        <w:t>.</w:t>
      </w:r>
    </w:p>
  </w:footnote>
  <w:footnote w:id="385">
    <w:p w:rsidR="00F60A1E" w:rsidRPr="00E800DA" w:rsidRDefault="00F60A1E" w:rsidP="00F60A1E">
      <w:pPr>
        <w:pStyle w:val="FootnoteText"/>
        <w:spacing w:after="0"/>
        <w:jc w:val="both"/>
        <w:rPr>
          <w:szCs w:val="18"/>
        </w:rPr>
      </w:pPr>
      <w:r w:rsidRPr="00E800DA">
        <w:rPr>
          <w:rStyle w:val="FootnoteReference"/>
          <w:rFonts w:cs="Arial"/>
          <w:szCs w:val="18"/>
        </w:rPr>
        <w:footnoteRef/>
      </w:r>
      <w:r w:rsidRPr="00E800DA">
        <w:rPr>
          <w:szCs w:val="18"/>
        </w:rPr>
        <w:t xml:space="preserve"> For the Youth Judge, see Article 58 of the </w:t>
      </w:r>
      <w:hyperlink r:id="rId377" w:history="1">
        <w:r w:rsidRPr="00E800DA">
          <w:rPr>
            <w:rStyle w:val="Hyperlink"/>
            <w:rFonts w:cs="Arial"/>
            <w:szCs w:val="18"/>
          </w:rPr>
          <w:t>Youth Protection Act</w:t>
        </w:r>
      </w:hyperlink>
      <w:r w:rsidRPr="00E800DA">
        <w:rPr>
          <w:szCs w:val="18"/>
        </w:rPr>
        <w:t>.</w:t>
      </w:r>
    </w:p>
  </w:footnote>
  <w:footnote w:id="386">
    <w:p w:rsidR="00F60A1E" w:rsidRPr="00E800DA" w:rsidRDefault="00F60A1E" w:rsidP="00F60A1E">
      <w:pPr>
        <w:pStyle w:val="FootnoteText"/>
        <w:spacing w:after="0"/>
        <w:jc w:val="both"/>
        <w:rPr>
          <w:szCs w:val="18"/>
        </w:rPr>
      </w:pPr>
      <w:r w:rsidRPr="00E800DA">
        <w:rPr>
          <w:rStyle w:val="FootnoteReference"/>
          <w:rFonts w:cs="Arial"/>
          <w:szCs w:val="18"/>
        </w:rPr>
        <w:footnoteRef/>
      </w:r>
      <w:r w:rsidRPr="00E800DA">
        <w:rPr>
          <w:szCs w:val="18"/>
        </w:rPr>
        <w:t xml:space="preserve"> Article 139 of the </w:t>
      </w:r>
      <w:hyperlink r:id="rId378" w:history="1">
        <w:r w:rsidRPr="00E800DA">
          <w:rPr>
            <w:rStyle w:val="Hyperlink"/>
            <w:rFonts w:cs="Arial"/>
            <w:szCs w:val="18"/>
          </w:rPr>
          <w:t>Judicial Code</w:t>
        </w:r>
      </w:hyperlink>
      <w:r w:rsidRPr="00E800DA">
        <w:rPr>
          <w:szCs w:val="18"/>
        </w:rPr>
        <w:t xml:space="preserve">. Marta Pertegás and Frederik Swennen, </w:t>
      </w:r>
      <w:r w:rsidRPr="00E800DA">
        <w:rPr>
          <w:i/>
          <w:szCs w:val="18"/>
        </w:rPr>
        <w:t xml:space="preserve">Study on the Enforcement of Family Law JudgementJudgementJudgements – National Report of Belgium, </w:t>
      </w:r>
      <w:r w:rsidRPr="00E800DA">
        <w:rPr>
          <w:szCs w:val="18"/>
        </w:rPr>
        <w:t>T.M.C. Asser Instituut, 2005-2006, p.7.</w:t>
      </w:r>
    </w:p>
  </w:footnote>
  <w:footnote w:id="387">
    <w:p w:rsidR="00F60A1E" w:rsidRPr="00E800DA" w:rsidRDefault="00F60A1E" w:rsidP="00F60A1E">
      <w:pPr>
        <w:pStyle w:val="FootnoteText"/>
        <w:spacing w:after="0"/>
        <w:jc w:val="both"/>
        <w:rPr>
          <w:szCs w:val="18"/>
        </w:rPr>
      </w:pPr>
      <w:r w:rsidRPr="00E800DA">
        <w:rPr>
          <w:rStyle w:val="FootnoteReference"/>
          <w:rFonts w:cs="Arial"/>
          <w:szCs w:val="18"/>
        </w:rPr>
        <w:footnoteRef/>
      </w:r>
      <w:r w:rsidRPr="00E800DA">
        <w:rPr>
          <w:szCs w:val="18"/>
        </w:rPr>
        <w:t xml:space="preserve"> </w:t>
      </w:r>
      <w:hyperlink r:id="rId379" w:history="1">
        <w:r w:rsidRPr="00E800DA">
          <w:rPr>
            <w:rStyle w:val="Hyperlink"/>
            <w:rFonts w:cs="Arial"/>
            <w:szCs w:val="18"/>
          </w:rPr>
          <w:t>Court of Cassation Decision</w:t>
        </w:r>
      </w:hyperlink>
      <w:r w:rsidRPr="00E800DA">
        <w:rPr>
          <w:szCs w:val="18"/>
        </w:rPr>
        <w:t xml:space="preserve"> of 11 March 1994.</w:t>
      </w:r>
    </w:p>
  </w:footnote>
  <w:footnote w:id="388">
    <w:p w:rsidR="00F60A1E" w:rsidRPr="00A36DEB" w:rsidRDefault="00F60A1E" w:rsidP="00F60A1E">
      <w:pPr>
        <w:pStyle w:val="FootnoteText"/>
        <w:spacing w:after="0"/>
        <w:jc w:val="both"/>
      </w:pPr>
      <w:r w:rsidRPr="00E800DA">
        <w:rPr>
          <w:rStyle w:val="FootnoteReference"/>
          <w:rFonts w:cs="Arial"/>
          <w:szCs w:val="18"/>
        </w:rPr>
        <w:footnoteRef/>
      </w:r>
      <w:r w:rsidRPr="00E800DA">
        <w:rPr>
          <w:szCs w:val="18"/>
        </w:rPr>
        <w:t xml:space="preserve"> Article 516 of the </w:t>
      </w:r>
      <w:hyperlink r:id="rId380" w:history="1">
        <w:r w:rsidRPr="00E800DA">
          <w:rPr>
            <w:rStyle w:val="Hyperlink"/>
            <w:rFonts w:cs="Arial"/>
            <w:szCs w:val="18"/>
          </w:rPr>
          <w:t>Judicial Code</w:t>
        </w:r>
      </w:hyperlink>
      <w:r w:rsidRPr="00E800DA">
        <w:rPr>
          <w:szCs w:val="18"/>
        </w:rPr>
        <w:t>.</w:t>
      </w:r>
    </w:p>
  </w:footnote>
  <w:footnote w:id="389">
    <w:p w:rsidR="00F60A1E" w:rsidRPr="00E800DA" w:rsidRDefault="00F60A1E" w:rsidP="00F60A1E">
      <w:pPr>
        <w:pStyle w:val="FootnoteText"/>
        <w:spacing w:after="0"/>
        <w:rPr>
          <w:szCs w:val="18"/>
        </w:rPr>
      </w:pPr>
      <w:r w:rsidRPr="00E800DA">
        <w:rPr>
          <w:rStyle w:val="FootnoteReference"/>
          <w:szCs w:val="18"/>
        </w:rPr>
        <w:footnoteRef/>
      </w:r>
      <w:r w:rsidRPr="00E800DA">
        <w:rPr>
          <w:szCs w:val="18"/>
        </w:rPr>
        <w:t xml:space="preserve"> Article 30 of the </w:t>
      </w:r>
      <w:hyperlink r:id="rId381" w:history="1">
        <w:r w:rsidRPr="00E800DA">
          <w:rPr>
            <w:rStyle w:val="Hyperlink"/>
            <w:rFonts w:cs="Arial"/>
            <w:szCs w:val="18"/>
          </w:rPr>
          <w:t>Act of 26 June 1990 on the protection of mentally ill persons</w:t>
        </w:r>
      </w:hyperlink>
      <w:r w:rsidRPr="00E800DA">
        <w:rPr>
          <w:rFonts w:cs="Arial"/>
          <w:szCs w:val="18"/>
        </w:rPr>
        <w:t>.</w:t>
      </w:r>
    </w:p>
  </w:footnote>
  <w:footnote w:id="390">
    <w:p w:rsidR="00F60A1E" w:rsidRPr="00E800DA" w:rsidRDefault="00F60A1E" w:rsidP="00F60A1E">
      <w:pPr>
        <w:pStyle w:val="FootnoteText"/>
        <w:spacing w:after="0"/>
        <w:jc w:val="both"/>
        <w:rPr>
          <w:szCs w:val="18"/>
        </w:rPr>
      </w:pPr>
      <w:r w:rsidRPr="00E800DA">
        <w:rPr>
          <w:rStyle w:val="FootnoteReference"/>
          <w:rFonts w:cs="Arial"/>
          <w:szCs w:val="18"/>
        </w:rPr>
        <w:footnoteRef/>
      </w:r>
      <w:r w:rsidRPr="00E800DA">
        <w:rPr>
          <w:szCs w:val="18"/>
        </w:rPr>
        <w:t xml:space="preserve"> Article 10 of the </w:t>
      </w:r>
      <w:hyperlink r:id="rId382" w:history="1">
        <w:r w:rsidRPr="00E800DA">
          <w:rPr>
            <w:rStyle w:val="Hyperlink"/>
            <w:rFonts w:cs="Arial"/>
            <w:szCs w:val="18"/>
          </w:rPr>
          <w:t>Youth Protection Act</w:t>
        </w:r>
      </w:hyperlink>
      <w:r w:rsidRPr="00E800DA">
        <w:rPr>
          <w:szCs w:val="18"/>
        </w:rPr>
        <w:t>.</w:t>
      </w:r>
    </w:p>
  </w:footnote>
  <w:footnote w:id="391">
    <w:p w:rsidR="00F60A1E" w:rsidRPr="00E800DA" w:rsidRDefault="00F60A1E" w:rsidP="00F60A1E">
      <w:pPr>
        <w:pStyle w:val="FootnoteText"/>
        <w:spacing w:after="0"/>
        <w:rPr>
          <w:szCs w:val="18"/>
        </w:rPr>
      </w:pPr>
      <w:r w:rsidRPr="00E800DA">
        <w:rPr>
          <w:rStyle w:val="FootnoteReference"/>
          <w:szCs w:val="18"/>
        </w:rPr>
        <w:footnoteRef/>
      </w:r>
      <w:r w:rsidRPr="00E800DA">
        <w:rPr>
          <w:szCs w:val="18"/>
        </w:rPr>
        <w:t xml:space="preserve"> Article 58 of the </w:t>
      </w:r>
      <w:hyperlink r:id="rId383" w:history="1">
        <w:r w:rsidRPr="00E800DA">
          <w:rPr>
            <w:rStyle w:val="Hyperlink"/>
            <w:rFonts w:cs="Arial"/>
            <w:szCs w:val="18"/>
          </w:rPr>
          <w:t>Youth Protection Act</w:t>
        </w:r>
      </w:hyperlink>
      <w:r w:rsidRPr="00E800DA">
        <w:rPr>
          <w:szCs w:val="18"/>
        </w:rPr>
        <w:t>.</w:t>
      </w:r>
    </w:p>
  </w:footnote>
  <w:footnote w:id="392">
    <w:p w:rsidR="00F60A1E" w:rsidRPr="00E800DA" w:rsidRDefault="00F60A1E" w:rsidP="00F60A1E">
      <w:pPr>
        <w:pStyle w:val="FootnoteText"/>
        <w:spacing w:after="0"/>
        <w:jc w:val="both"/>
        <w:rPr>
          <w:rFonts w:cs="Arial"/>
          <w:szCs w:val="18"/>
        </w:rPr>
      </w:pPr>
      <w:r w:rsidRPr="00E800DA">
        <w:rPr>
          <w:rStyle w:val="FootnoteReference"/>
          <w:rFonts w:cs="Arial"/>
          <w:szCs w:val="18"/>
        </w:rPr>
        <w:footnoteRef/>
      </w:r>
      <w:r w:rsidRPr="00E800DA">
        <w:rPr>
          <w:rFonts w:cs="Arial"/>
          <w:szCs w:val="18"/>
        </w:rPr>
        <w:t xml:space="preserve"> </w:t>
      </w:r>
      <w:r w:rsidRPr="00E800DA">
        <w:rPr>
          <w:rFonts w:cs="Arial"/>
          <w:szCs w:val="18"/>
          <w:lang w:val="en-US"/>
        </w:rPr>
        <w:t xml:space="preserve">Article 29 </w:t>
      </w:r>
      <w:r w:rsidRPr="00E800DA">
        <w:rPr>
          <w:rFonts w:cs="Arial"/>
          <w:szCs w:val="18"/>
        </w:rPr>
        <w:t xml:space="preserve">of the </w:t>
      </w:r>
      <w:hyperlink r:id="rId384" w:history="1">
        <w:r w:rsidRPr="00E800DA">
          <w:rPr>
            <w:rStyle w:val="Hyperlink"/>
            <w:rFonts w:cs="Arial"/>
            <w:szCs w:val="18"/>
          </w:rPr>
          <w:t>Flemish Decree of 7 May 2004 on minors’</w:t>
        </w:r>
        <w:r w:rsidRPr="00E800DA">
          <w:rPr>
            <w:rStyle w:val="Hyperlink"/>
            <w:rFonts w:cs="Arial"/>
            <w:szCs w:val="18"/>
            <w:lang w:val="en-US"/>
          </w:rPr>
          <w:t xml:space="preserve"> legal</w:t>
        </w:r>
        <w:r w:rsidRPr="00E800DA">
          <w:rPr>
            <w:rStyle w:val="Hyperlink"/>
            <w:rFonts w:cs="Arial"/>
            <w:szCs w:val="18"/>
          </w:rPr>
          <w:t xml:space="preserve"> status </w:t>
        </w:r>
        <w:r w:rsidRPr="00E800DA">
          <w:rPr>
            <w:rStyle w:val="Hyperlink"/>
            <w:rFonts w:cs="Arial"/>
            <w:szCs w:val="18"/>
            <w:lang w:val="en-US"/>
          </w:rPr>
          <w:t>on</w:t>
        </w:r>
        <w:r w:rsidRPr="00E800DA">
          <w:rPr>
            <w:rStyle w:val="Hyperlink"/>
            <w:rFonts w:cs="Arial"/>
            <w:szCs w:val="18"/>
          </w:rPr>
          <w:t xml:space="preserve"> integrated youth </w:t>
        </w:r>
        <w:r w:rsidRPr="00E800DA">
          <w:rPr>
            <w:rStyle w:val="Hyperlink"/>
            <w:rFonts w:cs="Arial"/>
            <w:szCs w:val="18"/>
            <w:lang w:val="en-US"/>
          </w:rPr>
          <w:t xml:space="preserve">services </w:t>
        </w:r>
      </w:hyperlink>
      <w:r w:rsidRPr="00E800DA">
        <w:rPr>
          <w:rFonts w:cs="Arial"/>
          <w:szCs w:val="18"/>
          <w:lang w:val="en-US"/>
        </w:rPr>
        <w:t xml:space="preserve"> and Articles 4 and 36(5) </w:t>
      </w:r>
      <w:r w:rsidRPr="00E800DA">
        <w:rPr>
          <w:rFonts w:cs="Arial"/>
          <w:szCs w:val="18"/>
        </w:rPr>
        <w:t xml:space="preserve">of the </w:t>
      </w:r>
      <w:hyperlink r:id="rId385" w:history="1">
        <w:r w:rsidRPr="00E800DA">
          <w:rPr>
            <w:rStyle w:val="Hyperlink"/>
            <w:rFonts w:cs="Arial"/>
            <w:szCs w:val="18"/>
          </w:rPr>
          <w:t>French Community Decree of 4 March 1991 on youth welfare</w:t>
        </w:r>
      </w:hyperlink>
      <w:r w:rsidRPr="00E800DA">
        <w:rPr>
          <w:rFonts w:cs="Arial"/>
          <w:szCs w:val="18"/>
        </w:rPr>
        <w:t>.</w:t>
      </w:r>
    </w:p>
  </w:footnote>
  <w:footnote w:id="393">
    <w:p w:rsidR="00F60A1E" w:rsidRPr="00A36DEB" w:rsidRDefault="00F60A1E" w:rsidP="00F60A1E">
      <w:pPr>
        <w:pStyle w:val="FootnoteText"/>
        <w:spacing w:after="0"/>
        <w:rPr>
          <w:rFonts w:cs="Arial"/>
          <w:lang w:val="en-US"/>
        </w:rPr>
      </w:pPr>
      <w:r w:rsidRPr="00E800DA">
        <w:rPr>
          <w:rStyle w:val="FootnoteReference"/>
          <w:rFonts w:cs="Arial"/>
          <w:szCs w:val="18"/>
        </w:rPr>
        <w:footnoteRef/>
      </w:r>
      <w:r w:rsidRPr="00E800DA">
        <w:rPr>
          <w:rFonts w:cs="Arial"/>
          <w:szCs w:val="18"/>
        </w:rPr>
        <w:t xml:space="preserve"> </w:t>
      </w:r>
      <w:r w:rsidRPr="00E800DA">
        <w:rPr>
          <w:rFonts w:cs="Arial"/>
          <w:szCs w:val="18"/>
          <w:lang w:val="en-US"/>
        </w:rPr>
        <w:t xml:space="preserve">Article 51 of the </w:t>
      </w:r>
      <w:hyperlink r:id="rId386" w:history="1">
        <w:r w:rsidRPr="00E800DA">
          <w:rPr>
            <w:rStyle w:val="Hyperlink"/>
            <w:rFonts w:cs="Arial"/>
            <w:szCs w:val="18"/>
          </w:rPr>
          <w:t xml:space="preserve">Flemish </w:t>
        </w:r>
        <w:r w:rsidRPr="00E800DA">
          <w:rPr>
            <w:rStyle w:val="Hyperlink"/>
            <w:rFonts w:cs="Arial"/>
            <w:szCs w:val="18"/>
            <w:lang w:val="en-US"/>
          </w:rPr>
          <w:t xml:space="preserve">Community </w:t>
        </w:r>
        <w:r w:rsidRPr="00E800DA">
          <w:rPr>
            <w:rStyle w:val="Hyperlink"/>
            <w:rFonts w:cs="Arial"/>
            <w:szCs w:val="18"/>
          </w:rPr>
          <w:t xml:space="preserve">Decree of </w:t>
        </w:r>
        <w:r w:rsidRPr="00E800DA">
          <w:rPr>
            <w:rStyle w:val="Hyperlink"/>
            <w:rFonts w:cs="Arial"/>
            <w:szCs w:val="18"/>
            <w:lang w:val="en-US"/>
          </w:rPr>
          <w:t xml:space="preserve">12 July 2013 </w:t>
        </w:r>
        <w:r w:rsidRPr="00E800DA">
          <w:rPr>
            <w:rStyle w:val="Hyperlink"/>
            <w:rFonts w:cs="Arial"/>
            <w:szCs w:val="18"/>
          </w:rPr>
          <w:t>on</w:t>
        </w:r>
        <w:r w:rsidRPr="00E800DA">
          <w:rPr>
            <w:rStyle w:val="Hyperlink"/>
            <w:rFonts w:cs="Arial"/>
            <w:szCs w:val="18"/>
            <w:lang w:val="en-US"/>
          </w:rPr>
          <w:t xml:space="preserve"> i</w:t>
        </w:r>
        <w:r w:rsidRPr="00E800DA">
          <w:rPr>
            <w:rStyle w:val="Hyperlink"/>
            <w:rFonts w:cs="Arial"/>
            <w:szCs w:val="18"/>
          </w:rPr>
          <w:t xml:space="preserve">ntegrated youth </w:t>
        </w:r>
        <w:r w:rsidRPr="00E800DA">
          <w:rPr>
            <w:rStyle w:val="Hyperlink"/>
            <w:rFonts w:cs="Arial"/>
            <w:szCs w:val="18"/>
            <w:lang w:val="en-US"/>
          </w:rPr>
          <w:t>welfare</w:t>
        </w:r>
      </w:hyperlink>
      <w:r w:rsidRPr="00E800DA">
        <w:rPr>
          <w:rFonts w:cs="Arial"/>
          <w:szCs w:val="18"/>
          <w:lang w:val="en-US"/>
        </w:rPr>
        <w:t xml:space="preserve"> and Article 37 of </w:t>
      </w:r>
      <w:r w:rsidRPr="00E800DA">
        <w:rPr>
          <w:rFonts w:cs="Arial"/>
          <w:szCs w:val="18"/>
        </w:rPr>
        <w:t xml:space="preserve">the </w:t>
      </w:r>
      <w:hyperlink r:id="rId387" w:history="1">
        <w:r w:rsidRPr="00E800DA">
          <w:rPr>
            <w:rStyle w:val="Hyperlink"/>
            <w:rFonts w:cs="Arial"/>
            <w:szCs w:val="18"/>
          </w:rPr>
          <w:t>French Community Decree of 4 March 1991 on youth welfare</w:t>
        </w:r>
      </w:hyperlink>
      <w:r w:rsidRPr="00E800DA">
        <w:rPr>
          <w:rFonts w:cs="Arial"/>
          <w:szCs w:val="18"/>
          <w:lang w:val="en-US"/>
        </w:rPr>
        <w:t>.</w:t>
      </w:r>
    </w:p>
  </w:footnote>
  <w:footnote w:id="394">
    <w:p w:rsidR="00F60A1E" w:rsidRPr="00E800DA" w:rsidRDefault="00F60A1E" w:rsidP="00F60A1E">
      <w:pPr>
        <w:pStyle w:val="FootnoteText"/>
        <w:rPr>
          <w:szCs w:val="18"/>
        </w:rPr>
      </w:pPr>
      <w:r w:rsidRPr="00E800DA">
        <w:rPr>
          <w:rStyle w:val="FootnoteReference"/>
          <w:szCs w:val="18"/>
        </w:rPr>
        <w:footnoteRef/>
      </w:r>
      <w:r w:rsidRPr="00E800DA">
        <w:rPr>
          <w:szCs w:val="18"/>
        </w:rPr>
        <w:t xml:space="preserve"> Article 23 of the </w:t>
      </w:r>
      <w:hyperlink r:id="rId388" w:history="1">
        <w:r w:rsidRPr="00E800DA">
          <w:rPr>
            <w:rStyle w:val="Hyperlink"/>
            <w:szCs w:val="18"/>
            <w:lang w:val="en-US"/>
          </w:rPr>
          <w:t>Act of 24 June 2013 on municipalities’ administrative sanctions</w:t>
        </w:r>
      </w:hyperlink>
      <w:r w:rsidRPr="00E800DA">
        <w:rPr>
          <w:szCs w:val="18"/>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5"/>
      <w:gridCol w:w="1447"/>
    </w:tblGrid>
    <w:tr w:rsidR="00F60A1E" w:rsidTr="00B67E25">
      <w:trPr>
        <w:trHeight w:hRule="exact" w:val="794"/>
      </w:trPr>
      <w:tc>
        <w:tcPr>
          <w:tcW w:w="7797" w:type="dxa"/>
        </w:tcPr>
        <w:p w:rsidR="00F60A1E" w:rsidRDefault="00F60A1E" w:rsidP="00457F5F">
          <w:pPr>
            <w:pStyle w:val="Header"/>
          </w:pPr>
        </w:p>
      </w:tc>
      <w:tc>
        <w:tcPr>
          <w:tcW w:w="1275" w:type="dxa"/>
        </w:tcPr>
        <w:p w:rsidR="00F60A1E" w:rsidRDefault="00F60A1E" w:rsidP="00457F5F">
          <w:pPr>
            <w:pStyle w:val="Header"/>
            <w:jc w:val="right"/>
          </w:pPr>
          <w:r>
            <w:rPr>
              <w:noProof/>
              <w:lang w:val="en-US"/>
            </w:rPr>
            <w:drawing>
              <wp:inline distT="0" distB="0" distL="0" distR="0" wp14:anchorId="7A047442" wp14:editId="17ED0F26">
                <wp:extent cx="900000" cy="440816"/>
                <wp:effectExtent l="19050" t="0" r="0" b="0"/>
                <wp:docPr id="5" name="Picture 4" descr="colour logo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ur logo small.jpg"/>
                        <pic:cNvPicPr/>
                      </pic:nvPicPr>
                      <pic:blipFill>
                        <a:blip r:embed="rId1"/>
                        <a:stretch>
                          <a:fillRect/>
                        </a:stretch>
                      </pic:blipFill>
                      <pic:spPr>
                        <a:xfrm>
                          <a:off x="0" y="0"/>
                          <a:ext cx="900000" cy="440816"/>
                        </a:xfrm>
                        <a:prstGeom prst="rect">
                          <a:avLst/>
                        </a:prstGeom>
                      </pic:spPr>
                    </pic:pic>
                  </a:graphicData>
                </a:graphic>
              </wp:inline>
            </w:drawing>
          </w:r>
        </w:p>
      </w:tc>
    </w:tr>
  </w:tbl>
  <w:p w:rsidR="00F60A1E" w:rsidRDefault="00F60A1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0A1E" w:rsidRDefault="00F60A1E" w:rsidP="00F971ED">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0A1E" w:rsidRDefault="00227001" w:rsidP="00F971ED">
    <w:pPr>
      <w:pStyle w:val="Header"/>
    </w:pPr>
    <w:fldSimple w:instr=" DOCVARIABLE  HeaderText  \* MERGEFORMAT ">
      <w:r w:rsidR="00F60A1E">
        <w:t xml:space="preserve"> </w:t>
      </w:r>
    </w:fldSimple>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0A1E" w:rsidRDefault="00F60A1E" w:rsidP="004F517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0A1E" w:rsidRDefault="00F60A1E" w:rsidP="00F971E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4005" w:type="dxa"/>
      <w:tblLayout w:type="fixed"/>
      <w:tblCellMar>
        <w:left w:w="0" w:type="dxa"/>
        <w:right w:w="0" w:type="dxa"/>
      </w:tblCellMar>
      <w:tblLook w:val="04A0" w:firstRow="1" w:lastRow="0" w:firstColumn="1" w:lastColumn="0" w:noHBand="0" w:noVBand="1"/>
    </w:tblPr>
    <w:tblGrid>
      <w:gridCol w:w="9639"/>
      <w:gridCol w:w="4366"/>
    </w:tblGrid>
    <w:tr w:rsidR="00F60A1E" w:rsidRPr="00A75E46" w:rsidTr="00AC7914">
      <w:trPr>
        <w:trHeight w:hRule="exact" w:val="1077"/>
      </w:trPr>
      <w:tc>
        <w:tcPr>
          <w:tcW w:w="9639" w:type="dxa"/>
        </w:tcPr>
        <w:p w:rsidR="00F60A1E" w:rsidRPr="00A75E46" w:rsidRDefault="00227001" w:rsidP="0074120F">
          <w:pPr>
            <w:pStyle w:val="Header"/>
          </w:pPr>
          <w:fldSimple w:instr=" DOCVARIABLE  HeaderText  \* MERGEFORMAT ">
            <w:r w:rsidR="00F60A1E">
              <w:t xml:space="preserve"> </w:t>
            </w:r>
          </w:fldSimple>
        </w:p>
      </w:tc>
      <w:tc>
        <w:tcPr>
          <w:tcW w:w="4366" w:type="dxa"/>
        </w:tcPr>
        <w:p w:rsidR="00F60A1E" w:rsidRPr="00A75E46" w:rsidRDefault="00F60A1E" w:rsidP="0074120F">
          <w:pPr>
            <w:pStyle w:val="Header"/>
            <w:jc w:val="right"/>
          </w:pPr>
        </w:p>
      </w:tc>
    </w:tr>
  </w:tbl>
  <w:p w:rsidR="00F60A1E" w:rsidRDefault="00F60A1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1"/>
    <w:multiLevelType w:val="singleLevel"/>
    <w:tmpl w:val="3DD47B08"/>
    <w:lvl w:ilvl="0">
      <w:start w:val="1"/>
      <w:numFmt w:val="bullet"/>
      <w:pStyle w:val="ListBullet4"/>
      <w:lvlText w:val=""/>
      <w:lvlJc w:val="left"/>
      <w:pPr>
        <w:tabs>
          <w:tab w:val="num" w:pos="1209"/>
        </w:tabs>
        <w:ind w:left="1209" w:hanging="360"/>
      </w:pPr>
      <w:rPr>
        <w:rFonts w:ascii="Symbol" w:hAnsi="Symbol" w:hint="default"/>
      </w:rPr>
    </w:lvl>
  </w:abstractNum>
  <w:abstractNum w:abstractNumId="1">
    <w:nsid w:val="FFFFFF82"/>
    <w:multiLevelType w:val="singleLevel"/>
    <w:tmpl w:val="9500C166"/>
    <w:lvl w:ilvl="0">
      <w:start w:val="1"/>
      <w:numFmt w:val="bullet"/>
      <w:pStyle w:val="ListBullet3"/>
      <w:lvlText w:val=""/>
      <w:lvlJc w:val="left"/>
      <w:pPr>
        <w:tabs>
          <w:tab w:val="num" w:pos="926"/>
        </w:tabs>
        <w:ind w:left="926" w:hanging="360"/>
      </w:pPr>
      <w:rPr>
        <w:rFonts w:ascii="Symbol" w:hAnsi="Symbol" w:hint="default"/>
      </w:rPr>
    </w:lvl>
  </w:abstractNum>
  <w:abstractNum w:abstractNumId="2">
    <w:nsid w:val="FFFFFF83"/>
    <w:multiLevelType w:val="singleLevel"/>
    <w:tmpl w:val="9BBE71E6"/>
    <w:lvl w:ilvl="0">
      <w:start w:val="1"/>
      <w:numFmt w:val="bullet"/>
      <w:pStyle w:val="ListBullet2"/>
      <w:lvlText w:val=""/>
      <w:lvlJc w:val="left"/>
      <w:pPr>
        <w:tabs>
          <w:tab w:val="num" w:pos="643"/>
        </w:tabs>
        <w:ind w:left="643" w:hanging="360"/>
      </w:pPr>
      <w:rPr>
        <w:rFonts w:ascii="Symbol" w:hAnsi="Symbol" w:hint="default"/>
      </w:rPr>
    </w:lvl>
  </w:abstractNum>
  <w:abstractNum w:abstractNumId="3">
    <w:nsid w:val="FFFFFF89"/>
    <w:multiLevelType w:val="singleLevel"/>
    <w:tmpl w:val="8C3077E8"/>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0000004"/>
    <w:multiLevelType w:val="singleLevel"/>
    <w:tmpl w:val="00000004"/>
    <w:name w:val="WW8Num4"/>
    <w:lvl w:ilvl="0">
      <w:start w:val="1"/>
      <w:numFmt w:val="bullet"/>
      <w:lvlText w:val=""/>
      <w:lvlJc w:val="left"/>
      <w:pPr>
        <w:tabs>
          <w:tab w:val="num" w:pos="643"/>
        </w:tabs>
        <w:ind w:left="643" w:hanging="360"/>
      </w:pPr>
      <w:rPr>
        <w:rFonts w:ascii="Symbol" w:hAnsi="Symbol" w:cs="Times New Roman"/>
      </w:rPr>
    </w:lvl>
  </w:abstractNum>
  <w:abstractNum w:abstractNumId="5">
    <w:nsid w:val="00000005"/>
    <w:multiLevelType w:val="multilevel"/>
    <w:tmpl w:val="00000005"/>
    <w:name w:val="WW8Num5"/>
    <w:lvl w:ilvl="0">
      <w:start w:val="1"/>
      <w:numFmt w:val="decimal"/>
      <w:lvlText w:val="%1."/>
      <w:lvlJc w:val="left"/>
      <w:pPr>
        <w:tabs>
          <w:tab w:val="num" w:pos="340"/>
        </w:tabs>
        <w:ind w:left="340" w:hanging="340"/>
      </w:pPr>
      <w:rPr>
        <w:rFonts w:ascii="Arial" w:hAnsi="Arial" w:cs="Symbol"/>
        <w:sz w:val="18"/>
        <w:szCs w:val="18"/>
      </w:rPr>
    </w:lvl>
    <w:lvl w:ilvl="1">
      <w:start w:val="1"/>
      <w:numFmt w:val="lowerLetter"/>
      <w:lvlText w:val="%2."/>
      <w:lvlJc w:val="left"/>
      <w:pPr>
        <w:tabs>
          <w:tab w:val="num" w:pos="680"/>
        </w:tabs>
        <w:ind w:left="680" w:hanging="340"/>
      </w:pPr>
      <w:rPr>
        <w:rFonts w:cs="Times New Roman"/>
      </w:rPr>
    </w:lvl>
    <w:lvl w:ilvl="2">
      <w:start w:val="1"/>
      <w:numFmt w:val="lowerRoman"/>
      <w:lvlText w:val="%3."/>
      <w:lvlJc w:val="left"/>
      <w:pPr>
        <w:tabs>
          <w:tab w:val="num" w:pos="1021"/>
        </w:tabs>
        <w:ind w:left="1021" w:hanging="341"/>
      </w:pPr>
      <w:rPr>
        <w:rFonts w:cs="Times New Roman"/>
      </w:rPr>
    </w:lvl>
    <w:lvl w:ilvl="3">
      <w:start w:val="1"/>
      <w:numFmt w:val="none"/>
      <w:suff w:val="nothing"/>
      <w:lvlText w:val=""/>
      <w:lvlJc w:val="left"/>
      <w:pPr>
        <w:tabs>
          <w:tab w:val="num" w:pos="0"/>
        </w:tabs>
        <w:ind w:left="1021" w:firstLine="0"/>
      </w:pPr>
      <w:rPr>
        <w:rFonts w:cs="Times New Roman"/>
      </w:rPr>
    </w:lvl>
    <w:lvl w:ilvl="4">
      <w:start w:val="1"/>
      <w:numFmt w:val="none"/>
      <w:suff w:val="nothing"/>
      <w:lvlText w:val=""/>
      <w:lvlJc w:val="left"/>
      <w:pPr>
        <w:tabs>
          <w:tab w:val="num" w:pos="0"/>
        </w:tabs>
        <w:ind w:left="1021" w:firstLine="0"/>
      </w:pPr>
      <w:rPr>
        <w:rFonts w:cs="Times New Roman"/>
      </w:rPr>
    </w:lvl>
    <w:lvl w:ilvl="5">
      <w:start w:val="1"/>
      <w:numFmt w:val="none"/>
      <w:suff w:val="nothing"/>
      <w:lvlText w:val=""/>
      <w:lvlJc w:val="left"/>
      <w:pPr>
        <w:tabs>
          <w:tab w:val="num" w:pos="0"/>
        </w:tabs>
        <w:ind w:left="1021" w:firstLine="0"/>
      </w:pPr>
      <w:rPr>
        <w:rFonts w:cs="Times New Roman"/>
      </w:rPr>
    </w:lvl>
    <w:lvl w:ilvl="6">
      <w:start w:val="1"/>
      <w:numFmt w:val="none"/>
      <w:suff w:val="nothing"/>
      <w:lvlText w:val=""/>
      <w:lvlJc w:val="left"/>
      <w:pPr>
        <w:tabs>
          <w:tab w:val="num" w:pos="0"/>
        </w:tabs>
        <w:ind w:left="1021" w:firstLine="0"/>
      </w:pPr>
      <w:rPr>
        <w:rFonts w:cs="Times New Roman"/>
      </w:rPr>
    </w:lvl>
    <w:lvl w:ilvl="7">
      <w:start w:val="1"/>
      <w:numFmt w:val="none"/>
      <w:suff w:val="nothing"/>
      <w:lvlText w:val=""/>
      <w:lvlJc w:val="left"/>
      <w:pPr>
        <w:tabs>
          <w:tab w:val="num" w:pos="0"/>
        </w:tabs>
        <w:ind w:left="1021" w:firstLine="0"/>
      </w:pPr>
      <w:rPr>
        <w:rFonts w:cs="Times New Roman"/>
      </w:rPr>
    </w:lvl>
    <w:lvl w:ilvl="8">
      <w:start w:val="1"/>
      <w:numFmt w:val="none"/>
      <w:suff w:val="nothing"/>
      <w:lvlText w:val=""/>
      <w:lvlJc w:val="left"/>
      <w:pPr>
        <w:tabs>
          <w:tab w:val="num" w:pos="0"/>
        </w:tabs>
        <w:ind w:left="1021" w:firstLine="0"/>
      </w:pPr>
      <w:rPr>
        <w:rFonts w:cs="Times New Roman"/>
      </w:rPr>
    </w:lvl>
  </w:abstractNum>
  <w:abstractNum w:abstractNumId="6">
    <w:nsid w:val="00515EFB"/>
    <w:multiLevelType w:val="multilevel"/>
    <w:tmpl w:val="22266CAE"/>
    <w:styleLink w:val="NumbLstMain"/>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851" w:hanging="851"/>
      </w:pPr>
      <w:rPr>
        <w:rFonts w:hint="default"/>
      </w:rPr>
    </w:lvl>
    <w:lvl w:ilvl="3">
      <w:start w:val="1"/>
      <w:numFmt w:val="decimal"/>
      <w:pStyle w:val="Heading4"/>
      <w:lvlText w:val="%1.%2.%3.%4"/>
      <w:lvlJc w:val="left"/>
      <w:pPr>
        <w:ind w:left="851" w:hanging="851"/>
      </w:pPr>
      <w:rPr>
        <w:rFonts w:hint="default"/>
        <w:b/>
        <w:i/>
        <w:color w:val="0067AC"/>
        <w:sz w:val="20"/>
      </w:rPr>
    </w:lvl>
    <w:lvl w:ilvl="4">
      <w:start w:val="1"/>
      <w:numFmt w:val="decimal"/>
      <w:pStyle w:val="Heading5"/>
      <w:lvlText w:val="%1.%2.%3.%4.%5"/>
      <w:lvlJc w:val="left"/>
      <w:pPr>
        <w:ind w:left="851" w:hanging="851"/>
      </w:pPr>
      <w:rPr>
        <w:rFonts w:ascii="Calibri" w:hAnsi="Calibri" w:hint="default"/>
        <w:b/>
        <w:i/>
        <w:color w:val="0067AC"/>
        <w:sz w:val="20"/>
      </w:rPr>
    </w:lvl>
    <w:lvl w:ilvl="5">
      <w:start w:val="1"/>
      <w:numFmt w:val="decimal"/>
      <w:lvlRestart w:val="1"/>
      <w:pStyle w:val="Figure"/>
      <w:lvlText w:val="Figure %1.%6"/>
      <w:lvlJc w:val="left"/>
      <w:pPr>
        <w:tabs>
          <w:tab w:val="num" w:pos="851"/>
        </w:tabs>
        <w:ind w:left="1928" w:hanging="1077"/>
      </w:pPr>
      <w:rPr>
        <w:rFonts w:ascii="Calibri" w:hAnsi="Calibri" w:hint="default"/>
        <w:color w:val="0067AC"/>
      </w:rPr>
    </w:lvl>
    <w:lvl w:ilvl="6">
      <w:start w:val="1"/>
      <w:numFmt w:val="decimal"/>
      <w:lvlRestart w:val="1"/>
      <w:pStyle w:val="Table"/>
      <w:lvlText w:val="Table %1.%7"/>
      <w:lvlJc w:val="left"/>
      <w:pPr>
        <w:tabs>
          <w:tab w:val="num" w:pos="851"/>
        </w:tabs>
        <w:ind w:left="1928" w:hanging="1077"/>
      </w:pPr>
      <w:rPr>
        <w:rFonts w:ascii="Calibri" w:hAnsi="Calibri" w:hint="default"/>
      </w:rPr>
    </w:lvl>
    <w:lvl w:ilvl="7">
      <w:start w:val="1"/>
      <w:numFmt w:val="decimal"/>
      <w:lvlRestart w:val="1"/>
      <w:pStyle w:val="Box"/>
      <w:lvlText w:val="Box %1.%8"/>
      <w:lvlJc w:val="left"/>
      <w:pPr>
        <w:ind w:left="1928" w:hanging="1077"/>
      </w:pPr>
      <w:rPr>
        <w:rFonts w:ascii="Calibri" w:hAnsi="Calibri" w:hint="default"/>
        <w:color w:val="0067AC"/>
      </w:rPr>
    </w:lvl>
    <w:lvl w:ilvl="8">
      <w:start w:val="1"/>
      <w:numFmt w:val="none"/>
      <w:lvlText w:val=""/>
      <w:lvlJc w:val="left"/>
      <w:pPr>
        <w:ind w:left="425" w:hanging="425"/>
      </w:pPr>
      <w:rPr>
        <w:rFonts w:ascii="Georgia" w:hAnsi="Georgia" w:hint="default"/>
        <w:color w:val="0067AC" w:themeColor="text2"/>
      </w:rPr>
    </w:lvl>
  </w:abstractNum>
  <w:abstractNum w:abstractNumId="7">
    <w:nsid w:val="02A06EB0"/>
    <w:multiLevelType w:val="hybridMultilevel"/>
    <w:tmpl w:val="40AC87C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nsid w:val="0AEC3580"/>
    <w:multiLevelType w:val="multilevel"/>
    <w:tmpl w:val="DF12587C"/>
    <w:styleLink w:val="NumbLstTableNumb"/>
    <w:lvl w:ilvl="0">
      <w:start w:val="1"/>
      <w:numFmt w:val="decimal"/>
      <w:pStyle w:val="TableNumbList"/>
      <w:lvlText w:val="%1."/>
      <w:lvlJc w:val="left"/>
      <w:pPr>
        <w:tabs>
          <w:tab w:val="num" w:pos="340"/>
        </w:tabs>
        <w:ind w:left="340" w:hanging="340"/>
      </w:pPr>
      <w:rPr>
        <w:rFonts w:ascii="Arial" w:hAnsi="Arial" w:hint="default"/>
        <w:sz w:val="18"/>
      </w:rPr>
    </w:lvl>
    <w:lvl w:ilvl="1">
      <w:start w:val="1"/>
      <w:numFmt w:val="lowerLetter"/>
      <w:lvlText w:val="%2."/>
      <w:lvlJc w:val="left"/>
      <w:pPr>
        <w:tabs>
          <w:tab w:val="num" w:pos="680"/>
        </w:tabs>
        <w:ind w:left="680" w:hanging="340"/>
      </w:pPr>
      <w:rPr>
        <w:rFonts w:hint="default"/>
      </w:rPr>
    </w:lvl>
    <w:lvl w:ilvl="2">
      <w:start w:val="1"/>
      <w:numFmt w:val="lowerRoman"/>
      <w:lvlRestart w:val="0"/>
      <w:lvlText w:val="%3."/>
      <w:lvlJc w:val="left"/>
      <w:pPr>
        <w:tabs>
          <w:tab w:val="num" w:pos="1021"/>
        </w:tabs>
        <w:ind w:left="1021" w:hanging="341"/>
      </w:pPr>
      <w:rPr>
        <w:rFonts w:hint="default"/>
      </w:rPr>
    </w:lvl>
    <w:lvl w:ilvl="3">
      <w:start w:val="1"/>
      <w:numFmt w:val="none"/>
      <w:suff w:val="nothing"/>
      <w:lvlText w:val=""/>
      <w:lvlJc w:val="left"/>
      <w:pPr>
        <w:ind w:left="1021" w:firstLine="0"/>
      </w:pPr>
      <w:rPr>
        <w:rFonts w:hint="default"/>
      </w:rPr>
    </w:lvl>
    <w:lvl w:ilvl="4">
      <w:start w:val="1"/>
      <w:numFmt w:val="none"/>
      <w:lvlRestart w:val="0"/>
      <w:suff w:val="nothing"/>
      <w:lvlText w:val=""/>
      <w:lvlJc w:val="left"/>
      <w:pPr>
        <w:ind w:left="1021" w:firstLine="0"/>
      </w:pPr>
      <w:rPr>
        <w:rFonts w:hint="default"/>
      </w:rPr>
    </w:lvl>
    <w:lvl w:ilvl="5">
      <w:start w:val="1"/>
      <w:numFmt w:val="none"/>
      <w:suff w:val="nothing"/>
      <w:lvlText w:val=""/>
      <w:lvlJc w:val="righ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right"/>
      <w:pPr>
        <w:ind w:left="1021" w:firstLine="0"/>
      </w:pPr>
      <w:rPr>
        <w:rFonts w:hint="default"/>
      </w:rPr>
    </w:lvl>
  </w:abstractNum>
  <w:abstractNum w:abstractNumId="9">
    <w:nsid w:val="0BE16066"/>
    <w:multiLevelType w:val="multilevel"/>
    <w:tmpl w:val="6412989C"/>
    <w:lvl w:ilvl="0">
      <w:start w:val="1"/>
      <w:numFmt w:val="decimal"/>
      <w:pStyle w:val="BTNumbList"/>
      <w:lvlText w:val="%1."/>
      <w:lvlJc w:val="left"/>
      <w:pPr>
        <w:tabs>
          <w:tab w:val="num" w:pos="1191"/>
        </w:tabs>
        <w:ind w:left="1191" w:hanging="340"/>
      </w:pPr>
      <w:rPr>
        <w:rFonts w:hint="default"/>
      </w:rPr>
    </w:lvl>
    <w:lvl w:ilvl="1">
      <w:start w:val="1"/>
      <w:numFmt w:val="lowerLetter"/>
      <w:pStyle w:val="BTNumbList2"/>
      <w:lvlText w:val="%2."/>
      <w:lvlJc w:val="left"/>
      <w:pPr>
        <w:tabs>
          <w:tab w:val="num" w:pos="1531"/>
        </w:tabs>
        <w:ind w:left="1531" w:hanging="340"/>
      </w:pPr>
      <w:rPr>
        <w:rFonts w:hint="default"/>
      </w:rPr>
    </w:lvl>
    <w:lvl w:ilvl="2">
      <w:start w:val="1"/>
      <w:numFmt w:val="lowerRoman"/>
      <w:lvlRestart w:val="0"/>
      <w:pStyle w:val="BTNumbList3"/>
      <w:lvlText w:val="%3."/>
      <w:lvlJc w:val="left"/>
      <w:pPr>
        <w:tabs>
          <w:tab w:val="num" w:pos="1871"/>
        </w:tabs>
        <w:ind w:left="1871" w:hanging="340"/>
      </w:pPr>
      <w:rPr>
        <w:rFonts w:hint="default"/>
      </w:rPr>
    </w:lvl>
    <w:lvl w:ilvl="3">
      <w:start w:val="1"/>
      <w:numFmt w:val="none"/>
      <w:suff w:val="nothing"/>
      <w:lvlText w:val=""/>
      <w:lvlJc w:val="left"/>
      <w:pPr>
        <w:ind w:left="1871" w:firstLine="0"/>
      </w:pPr>
      <w:rPr>
        <w:rFonts w:hint="default"/>
      </w:rPr>
    </w:lvl>
    <w:lvl w:ilvl="4">
      <w:start w:val="1"/>
      <w:numFmt w:val="none"/>
      <w:lvlRestart w:val="0"/>
      <w:suff w:val="nothing"/>
      <w:lvlText w:val=""/>
      <w:lvlJc w:val="left"/>
      <w:pPr>
        <w:ind w:left="1871" w:firstLine="0"/>
      </w:pPr>
      <w:rPr>
        <w:rFonts w:hint="default"/>
      </w:rPr>
    </w:lvl>
    <w:lvl w:ilvl="5">
      <w:start w:val="1"/>
      <w:numFmt w:val="none"/>
      <w:suff w:val="nothing"/>
      <w:lvlText w:val=""/>
      <w:lvlJc w:val="right"/>
      <w:pPr>
        <w:ind w:left="1871" w:firstLine="0"/>
      </w:pPr>
      <w:rPr>
        <w:rFonts w:hint="default"/>
      </w:rPr>
    </w:lvl>
    <w:lvl w:ilvl="6">
      <w:start w:val="1"/>
      <w:numFmt w:val="none"/>
      <w:suff w:val="nothing"/>
      <w:lvlText w:val=""/>
      <w:lvlJc w:val="left"/>
      <w:pPr>
        <w:ind w:left="1871" w:firstLine="0"/>
      </w:pPr>
      <w:rPr>
        <w:rFonts w:hint="default"/>
      </w:rPr>
    </w:lvl>
    <w:lvl w:ilvl="7">
      <w:start w:val="1"/>
      <w:numFmt w:val="none"/>
      <w:suff w:val="nothing"/>
      <w:lvlText w:val=""/>
      <w:lvlJc w:val="left"/>
      <w:pPr>
        <w:ind w:left="1871" w:firstLine="0"/>
      </w:pPr>
      <w:rPr>
        <w:rFonts w:hint="default"/>
      </w:rPr>
    </w:lvl>
    <w:lvl w:ilvl="8">
      <w:start w:val="1"/>
      <w:numFmt w:val="none"/>
      <w:suff w:val="nothing"/>
      <w:lvlText w:val=""/>
      <w:lvlJc w:val="right"/>
      <w:pPr>
        <w:ind w:left="1871" w:firstLine="0"/>
      </w:pPr>
      <w:rPr>
        <w:rFonts w:hint="default"/>
      </w:rPr>
    </w:lvl>
  </w:abstractNum>
  <w:abstractNum w:abstractNumId="10">
    <w:nsid w:val="0D495BAE"/>
    <w:multiLevelType w:val="multilevel"/>
    <w:tmpl w:val="6412989C"/>
    <w:styleLink w:val="NumbLstBTNumbList"/>
    <w:lvl w:ilvl="0">
      <w:start w:val="1"/>
      <w:numFmt w:val="decimal"/>
      <w:lvlText w:val="%1."/>
      <w:lvlJc w:val="left"/>
      <w:pPr>
        <w:tabs>
          <w:tab w:val="num" w:pos="1191"/>
        </w:tabs>
        <w:ind w:left="1191" w:hanging="340"/>
      </w:pPr>
      <w:rPr>
        <w:rFonts w:ascii="Arial" w:eastAsia="Times New Roman" w:hAnsi="Arial" w:cs="Times New Roman"/>
      </w:rPr>
    </w:lvl>
    <w:lvl w:ilvl="1">
      <w:start w:val="1"/>
      <w:numFmt w:val="lowerLetter"/>
      <w:lvlText w:val="%2."/>
      <w:lvlJc w:val="left"/>
      <w:pPr>
        <w:tabs>
          <w:tab w:val="num" w:pos="1531"/>
        </w:tabs>
        <w:ind w:left="1531" w:hanging="340"/>
      </w:pPr>
      <w:rPr>
        <w:rFonts w:cs="Times New Roman" w:hint="default"/>
      </w:rPr>
    </w:lvl>
    <w:lvl w:ilvl="2">
      <w:start w:val="1"/>
      <w:numFmt w:val="lowerRoman"/>
      <w:lvlRestart w:val="0"/>
      <w:lvlText w:val="%3."/>
      <w:lvlJc w:val="left"/>
      <w:pPr>
        <w:tabs>
          <w:tab w:val="num" w:pos="1871"/>
        </w:tabs>
        <w:ind w:left="1871" w:hanging="340"/>
      </w:pPr>
      <w:rPr>
        <w:rFonts w:cs="Times New Roman" w:hint="default"/>
      </w:rPr>
    </w:lvl>
    <w:lvl w:ilvl="3">
      <w:start w:val="1"/>
      <w:numFmt w:val="none"/>
      <w:suff w:val="nothing"/>
      <w:lvlText w:val=""/>
      <w:lvlJc w:val="left"/>
      <w:pPr>
        <w:ind w:left="1871"/>
      </w:pPr>
      <w:rPr>
        <w:rFonts w:cs="Times New Roman" w:hint="default"/>
      </w:rPr>
    </w:lvl>
    <w:lvl w:ilvl="4">
      <w:start w:val="1"/>
      <w:numFmt w:val="none"/>
      <w:lvlRestart w:val="0"/>
      <w:suff w:val="nothing"/>
      <w:lvlText w:val=""/>
      <w:lvlJc w:val="left"/>
      <w:pPr>
        <w:ind w:left="1871"/>
      </w:pPr>
      <w:rPr>
        <w:rFonts w:cs="Times New Roman" w:hint="default"/>
      </w:rPr>
    </w:lvl>
    <w:lvl w:ilvl="5">
      <w:start w:val="1"/>
      <w:numFmt w:val="none"/>
      <w:suff w:val="nothing"/>
      <w:lvlText w:val=""/>
      <w:lvlJc w:val="right"/>
      <w:pPr>
        <w:ind w:left="1871"/>
      </w:pPr>
      <w:rPr>
        <w:rFonts w:cs="Times New Roman" w:hint="default"/>
      </w:rPr>
    </w:lvl>
    <w:lvl w:ilvl="6">
      <w:start w:val="1"/>
      <w:numFmt w:val="none"/>
      <w:suff w:val="nothing"/>
      <w:lvlText w:val=""/>
      <w:lvlJc w:val="left"/>
      <w:pPr>
        <w:ind w:left="1871"/>
      </w:pPr>
      <w:rPr>
        <w:rFonts w:cs="Times New Roman" w:hint="default"/>
      </w:rPr>
    </w:lvl>
    <w:lvl w:ilvl="7">
      <w:start w:val="1"/>
      <w:numFmt w:val="none"/>
      <w:suff w:val="nothing"/>
      <w:lvlText w:val=""/>
      <w:lvlJc w:val="left"/>
      <w:pPr>
        <w:ind w:left="1871"/>
      </w:pPr>
      <w:rPr>
        <w:rFonts w:cs="Times New Roman" w:hint="default"/>
      </w:rPr>
    </w:lvl>
    <w:lvl w:ilvl="8">
      <w:start w:val="1"/>
      <w:numFmt w:val="none"/>
      <w:suff w:val="nothing"/>
      <w:lvlText w:val=""/>
      <w:lvlJc w:val="right"/>
      <w:pPr>
        <w:ind w:left="1871"/>
      </w:pPr>
      <w:rPr>
        <w:rFonts w:cs="Times New Roman" w:hint="default"/>
      </w:rPr>
    </w:lvl>
  </w:abstractNum>
  <w:abstractNum w:abstractNumId="11">
    <w:nsid w:val="0F572937"/>
    <w:multiLevelType w:val="multilevel"/>
    <w:tmpl w:val="2AF08B76"/>
    <w:name w:val="Bullet"/>
    <w:lvl w:ilvl="0">
      <w:start w:val="1"/>
      <w:numFmt w:val="bullet"/>
      <w:lvlText w:val="▪"/>
      <w:lvlJc w:val="left"/>
      <w:pPr>
        <w:ind w:left="340" w:hanging="340"/>
      </w:pPr>
      <w:rPr>
        <w:rFonts w:ascii="Arial" w:hAnsi="Arial" w:hint="default"/>
        <w:color w:val="0067AC" w:themeColor="text2"/>
        <w:sz w:val="24"/>
      </w:rPr>
    </w:lvl>
    <w:lvl w:ilvl="1">
      <w:start w:val="1"/>
      <w:numFmt w:val="bullet"/>
      <w:lvlText w:val="−"/>
      <w:lvlJc w:val="left"/>
      <w:pPr>
        <w:ind w:left="680" w:hanging="340"/>
      </w:pPr>
      <w:rPr>
        <w:rFonts w:ascii="Calibri" w:hAnsi="Calibri" w:hint="default"/>
        <w:color w:val="0067AC" w:themeColor="text2"/>
      </w:rPr>
    </w:lvl>
    <w:lvl w:ilvl="2">
      <w:start w:val="1"/>
      <w:numFmt w:val="bullet"/>
      <w:lvlText w:val="◦"/>
      <w:lvlJc w:val="left"/>
      <w:pPr>
        <w:ind w:left="1021" w:hanging="341"/>
      </w:pPr>
      <w:rPr>
        <w:rFonts w:ascii="Arial" w:hAnsi="Arial" w:hint="default"/>
        <w:color w:val="0067AC" w:themeColor="text2"/>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100D7D88"/>
    <w:multiLevelType w:val="multilevel"/>
    <w:tmpl w:val="75B63B8C"/>
    <w:styleLink w:val="NumbLstStage"/>
    <w:lvl w:ilvl="0">
      <w:start w:val="1"/>
      <w:numFmt w:val="decimal"/>
      <w:pStyle w:val="Stage"/>
      <w:lvlText w:val="Stage %1"/>
      <w:lvlJc w:val="left"/>
      <w:pPr>
        <w:tabs>
          <w:tab w:val="num" w:pos="1814"/>
        </w:tabs>
        <w:ind w:left="1814" w:hanging="963"/>
      </w:pPr>
      <w:rPr>
        <w:rFonts w:hint="default"/>
      </w:rPr>
    </w:lvl>
    <w:lvl w:ilvl="1">
      <w:start w:val="1"/>
      <w:numFmt w:val="decimal"/>
      <w:pStyle w:val="Task"/>
      <w:lvlText w:val="Task %1.%2"/>
      <w:lvlJc w:val="left"/>
      <w:pPr>
        <w:tabs>
          <w:tab w:val="num" w:pos="1814"/>
        </w:tabs>
        <w:ind w:left="1814" w:hanging="96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102C26B6"/>
    <w:multiLevelType w:val="multilevel"/>
    <w:tmpl w:val="1E32C318"/>
    <w:styleLink w:val="NumbLstTableBullet1"/>
    <w:lvl w:ilvl="0">
      <w:start w:val="1"/>
      <w:numFmt w:val="decimal"/>
      <w:pStyle w:val="NumbList"/>
      <w:lvlText w:val="%1."/>
      <w:lvlJc w:val="left"/>
      <w:pPr>
        <w:ind w:left="340" w:hanging="340"/>
      </w:pPr>
      <w:rPr>
        <w:rFonts w:hint="default"/>
      </w:rPr>
    </w:lvl>
    <w:lvl w:ilvl="1">
      <w:start w:val="1"/>
      <w:numFmt w:val="lowerLetter"/>
      <w:pStyle w:val="NumbList2"/>
      <w:lvlText w:val="%2."/>
      <w:lvlJc w:val="left"/>
      <w:pPr>
        <w:ind w:left="680" w:hanging="340"/>
      </w:pPr>
      <w:rPr>
        <w:rFonts w:hint="default"/>
      </w:rPr>
    </w:lvl>
    <w:lvl w:ilvl="2">
      <w:start w:val="1"/>
      <w:numFmt w:val="lowerRoman"/>
      <w:pStyle w:val="NumbList3"/>
      <w:lvlText w:val="%3."/>
      <w:lvlJc w:val="left"/>
      <w:pPr>
        <w:tabs>
          <w:tab w:val="num" w:pos="851"/>
        </w:tabs>
        <w:ind w:left="1021" w:hanging="341"/>
      </w:pPr>
      <w:rPr>
        <w:rFonts w:hint="default"/>
      </w:rPr>
    </w:lvl>
    <w:lvl w:ilvl="3">
      <w:start w:val="1"/>
      <w:numFmt w:val="none"/>
      <w:suff w:val="nothing"/>
      <w:lvlText w:val=""/>
      <w:lvlJc w:val="left"/>
      <w:pPr>
        <w:ind w:left="1021" w:firstLine="0"/>
      </w:pPr>
      <w:rPr>
        <w:rFonts w:hint="default"/>
      </w:rPr>
    </w:lvl>
    <w:lvl w:ilvl="4">
      <w:start w:val="1"/>
      <w:numFmt w:val="none"/>
      <w:lvlRestart w:val="0"/>
      <w:suff w:val="nothing"/>
      <w:lvlText w:val=""/>
      <w:lvlJc w:val="left"/>
      <w:pPr>
        <w:ind w:left="1021" w:firstLine="0"/>
      </w:pPr>
      <w:rPr>
        <w:rFonts w:hint="default"/>
      </w:rPr>
    </w:lvl>
    <w:lvl w:ilvl="5">
      <w:start w:val="1"/>
      <w:numFmt w:val="none"/>
      <w:suff w:val="nothing"/>
      <w:lvlText w:val=""/>
      <w:lvlJc w:val="righ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right"/>
      <w:pPr>
        <w:ind w:left="1021" w:firstLine="0"/>
      </w:pPr>
      <w:rPr>
        <w:rFonts w:hint="default"/>
      </w:rPr>
    </w:lvl>
  </w:abstractNum>
  <w:abstractNum w:abstractNumId="14">
    <w:nsid w:val="13264F5E"/>
    <w:multiLevelType w:val="multilevel"/>
    <w:tmpl w:val="89BC52E8"/>
    <w:numStyleLink w:val="NumbLstBoxes"/>
  </w:abstractNum>
  <w:abstractNum w:abstractNumId="15">
    <w:nsid w:val="13CB0134"/>
    <w:multiLevelType w:val="multilevel"/>
    <w:tmpl w:val="1E32C318"/>
    <w:styleLink w:val="NumbLstNumb"/>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tabs>
          <w:tab w:val="num" w:pos="851"/>
        </w:tabs>
        <w:ind w:left="1021" w:hanging="341"/>
      </w:pPr>
      <w:rPr>
        <w:rFonts w:hint="default"/>
      </w:rPr>
    </w:lvl>
    <w:lvl w:ilvl="3">
      <w:start w:val="1"/>
      <w:numFmt w:val="none"/>
      <w:suff w:val="nothing"/>
      <w:lvlText w:val=""/>
      <w:lvlJc w:val="left"/>
      <w:pPr>
        <w:ind w:left="1021" w:firstLine="0"/>
      </w:pPr>
      <w:rPr>
        <w:rFonts w:hint="default"/>
      </w:rPr>
    </w:lvl>
    <w:lvl w:ilvl="4">
      <w:start w:val="1"/>
      <w:numFmt w:val="none"/>
      <w:lvlRestart w:val="0"/>
      <w:suff w:val="nothing"/>
      <w:lvlText w:val=""/>
      <w:lvlJc w:val="left"/>
      <w:pPr>
        <w:ind w:left="1021" w:firstLine="0"/>
      </w:pPr>
      <w:rPr>
        <w:rFonts w:hint="default"/>
      </w:rPr>
    </w:lvl>
    <w:lvl w:ilvl="5">
      <w:start w:val="1"/>
      <w:numFmt w:val="none"/>
      <w:suff w:val="nothing"/>
      <w:lvlText w:val=""/>
      <w:lvlJc w:val="righ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right"/>
      <w:pPr>
        <w:ind w:left="1021" w:firstLine="0"/>
      </w:pPr>
      <w:rPr>
        <w:rFonts w:hint="default"/>
      </w:rPr>
    </w:lvl>
  </w:abstractNum>
  <w:abstractNum w:abstractNumId="16">
    <w:nsid w:val="167705D6"/>
    <w:multiLevelType w:val="hybridMultilevel"/>
    <w:tmpl w:val="FCE444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83010F3"/>
    <w:multiLevelType w:val="multilevel"/>
    <w:tmpl w:val="E20ED5C8"/>
    <w:styleLink w:val="Style1"/>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Restart w:val="1"/>
      <w:lvlText w:val="%1.%2.%3.%4"/>
      <w:lvlJc w:val="left"/>
      <w:pPr>
        <w:ind w:left="851" w:hanging="851"/>
      </w:pPr>
      <w:rPr>
        <w:rFonts w:hint="default"/>
        <w:color w:val="auto"/>
        <w:sz w:val="20"/>
      </w:rPr>
    </w:lvl>
    <w:lvl w:ilvl="4">
      <w:start w:val="1"/>
      <w:numFmt w:val="decimal"/>
      <w:lvlRestart w:val="1"/>
      <w:lvlText w:val="Figure %1.%5"/>
      <w:lvlJc w:val="left"/>
      <w:pPr>
        <w:ind w:left="1928" w:hanging="1077"/>
      </w:pPr>
      <w:rPr>
        <w:rFonts w:ascii="Georgia" w:hAnsi="Georgia" w:hint="default"/>
        <w:color w:val="0067AC" w:themeColor="text2"/>
      </w:rPr>
    </w:lvl>
    <w:lvl w:ilvl="5">
      <w:start w:val="1"/>
      <w:numFmt w:val="decimal"/>
      <w:lvlRestart w:val="3"/>
      <w:lvlText w:val="Table %1.%6"/>
      <w:lvlJc w:val="left"/>
      <w:pPr>
        <w:tabs>
          <w:tab w:val="num" w:pos="851"/>
        </w:tabs>
        <w:ind w:left="1928" w:hanging="1077"/>
      </w:pPr>
      <w:rPr>
        <w:rFonts w:ascii="Georgia" w:hAnsi="Georgia" w:hint="default"/>
        <w:color w:val="0067AC" w:themeColor="text2"/>
      </w:rPr>
    </w:lvl>
    <w:lvl w:ilvl="6">
      <w:start w:val="1"/>
      <w:numFmt w:val="decimal"/>
      <w:lvlRestart w:val="5"/>
      <w:lvlText w:val="%7"/>
      <w:lvlJc w:val="left"/>
      <w:pPr>
        <w:ind w:left="425" w:hanging="425"/>
      </w:pPr>
      <w:rPr>
        <w:rFonts w:hint="default"/>
      </w:rPr>
    </w:lvl>
    <w:lvl w:ilvl="7">
      <w:start w:val="1"/>
      <w:numFmt w:val="lowerLetter"/>
      <w:lvlRestart w:val="0"/>
      <w:lvlText w:val="%8."/>
      <w:lvlJc w:val="left"/>
      <w:pPr>
        <w:ind w:left="425" w:hanging="425"/>
      </w:pPr>
      <w:rPr>
        <w:rFonts w:hint="default"/>
        <w:color w:val="auto"/>
      </w:rPr>
    </w:lvl>
    <w:lvl w:ilvl="8">
      <w:start w:val="1"/>
      <w:numFmt w:val="decimal"/>
      <w:lvlText w:val="Case study %9"/>
      <w:lvlJc w:val="left"/>
      <w:pPr>
        <w:ind w:left="1701" w:hanging="1701"/>
      </w:pPr>
      <w:rPr>
        <w:rFonts w:ascii="Georgia" w:hAnsi="Georgia" w:hint="default"/>
        <w:color w:val="0067AC" w:themeColor="text2"/>
      </w:rPr>
    </w:lvl>
  </w:abstractNum>
  <w:abstractNum w:abstractNumId="18">
    <w:nsid w:val="1F37420E"/>
    <w:multiLevelType w:val="multilevel"/>
    <w:tmpl w:val="A8C2921C"/>
    <w:styleLink w:val="NumbLstAnnex"/>
    <w:lvl w:ilvl="0">
      <w:start w:val="1"/>
      <w:numFmt w:val="decimal"/>
      <w:pStyle w:val="AnnexHeading"/>
      <w:lvlText w:val="Annex %1"/>
      <w:lvlJc w:val="left"/>
      <w:pPr>
        <w:tabs>
          <w:tab w:val="num" w:pos="1304"/>
        </w:tabs>
        <w:ind w:left="1304" w:hanging="1304"/>
      </w:pPr>
      <w:rPr>
        <w:rFonts w:hint="default"/>
      </w:rPr>
    </w:lvl>
    <w:lvl w:ilvl="1">
      <w:start w:val="1"/>
      <w:numFmt w:val="decimal"/>
      <w:pStyle w:val="AnnexH2"/>
      <w:lvlText w:val="A%1.%2"/>
      <w:lvlJc w:val="left"/>
      <w:pPr>
        <w:tabs>
          <w:tab w:val="num" w:pos="851"/>
        </w:tabs>
        <w:ind w:left="851" w:hanging="851"/>
      </w:pPr>
      <w:rPr>
        <w:rFonts w:hint="default"/>
      </w:rPr>
    </w:lvl>
    <w:lvl w:ilvl="2">
      <w:start w:val="1"/>
      <w:numFmt w:val="decimal"/>
      <w:pStyle w:val="AnnexH3"/>
      <w:lvlText w:val="A%1.%2.%3"/>
      <w:lvlJc w:val="left"/>
      <w:pPr>
        <w:tabs>
          <w:tab w:val="num" w:pos="851"/>
        </w:tabs>
        <w:ind w:left="851" w:hanging="851"/>
      </w:pPr>
      <w:rPr>
        <w:rFonts w:hint="default"/>
      </w:rPr>
    </w:lvl>
    <w:lvl w:ilvl="3">
      <w:start w:val="1"/>
      <w:numFmt w:val="decimal"/>
      <w:pStyle w:val="AnnexH4"/>
      <w:lvlText w:val="A%1.%2.%3.%4"/>
      <w:lvlJc w:val="left"/>
      <w:pPr>
        <w:tabs>
          <w:tab w:val="num" w:pos="851"/>
        </w:tabs>
        <w:ind w:left="851" w:hanging="851"/>
      </w:pPr>
      <w:rPr>
        <w:rFonts w:hint="default"/>
      </w:rPr>
    </w:lvl>
    <w:lvl w:ilvl="4">
      <w:start w:val="1"/>
      <w:numFmt w:val="decimal"/>
      <w:lvlRestart w:val="1"/>
      <w:pStyle w:val="AnnexTable"/>
      <w:lvlText w:val="Table A%1.%5"/>
      <w:lvlJc w:val="left"/>
      <w:pPr>
        <w:tabs>
          <w:tab w:val="num" w:pos="1247"/>
        </w:tabs>
        <w:ind w:left="1247" w:hanging="1247"/>
      </w:pPr>
      <w:rPr>
        <w:rFonts w:hint="default"/>
      </w:rPr>
    </w:lvl>
    <w:lvl w:ilvl="5">
      <w:start w:val="1"/>
      <w:numFmt w:val="decimal"/>
      <w:lvlRestart w:val="1"/>
      <w:pStyle w:val="AnnexFigure"/>
      <w:lvlText w:val="Figure A%1.%6"/>
      <w:lvlJc w:val="left"/>
      <w:pPr>
        <w:tabs>
          <w:tab w:val="num" w:pos="1247"/>
        </w:tabs>
        <w:ind w:left="1247" w:hanging="1247"/>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19">
    <w:nsid w:val="20B62EF9"/>
    <w:multiLevelType w:val="hybridMultilevel"/>
    <w:tmpl w:val="7310CD3A"/>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13056DA"/>
    <w:multiLevelType w:val="multilevel"/>
    <w:tmpl w:val="89BC52E8"/>
    <w:styleLink w:val="NumbLstBoxes"/>
    <w:lvl w:ilvl="0">
      <w:start w:val="1"/>
      <w:numFmt w:val="decimal"/>
      <w:pStyle w:val="CaseStudy"/>
      <w:suff w:val="space"/>
      <w:lvlText w:val="Case Study %1"/>
      <w:lvlJc w:val="left"/>
      <w:pPr>
        <w:ind w:left="0" w:firstLine="0"/>
      </w:pPr>
      <w:rPr>
        <w:rFonts w:hint="default"/>
      </w:rPr>
    </w:lvl>
    <w:lvl w:ilvl="1">
      <w:start w:val="1"/>
      <w:numFmt w:val="decimal"/>
      <w:lvlRestart w:val="0"/>
      <w:pStyle w:val="Evidence"/>
      <w:suff w:val="space"/>
      <w:lvlText w:val="Evidence %2"/>
      <w:lvlJc w:val="left"/>
      <w:pPr>
        <w:ind w:left="0" w:firstLine="0"/>
      </w:pPr>
      <w:rPr>
        <w:rFonts w:hint="default"/>
      </w:rPr>
    </w:lvl>
    <w:lvl w:ilvl="2">
      <w:start w:val="1"/>
      <w:numFmt w:val="decimal"/>
      <w:lvlRestart w:val="0"/>
      <w:pStyle w:val="Conclusion"/>
      <w:suff w:val="space"/>
      <w:lvlText w:val="Conclusion %3"/>
      <w:lvlJc w:val="left"/>
      <w:pPr>
        <w:ind w:left="0" w:firstLine="0"/>
      </w:pPr>
      <w:rPr>
        <w:rFonts w:hint="default"/>
      </w:rPr>
    </w:lvl>
    <w:lvl w:ilvl="3">
      <w:start w:val="1"/>
      <w:numFmt w:val="decimal"/>
      <w:lvlRestart w:val="0"/>
      <w:pStyle w:val="Recommendation"/>
      <w:suff w:val="space"/>
      <w:lvlText w:val="Recommendation %4"/>
      <w:lvlJc w:val="left"/>
      <w:pPr>
        <w:ind w:left="0" w:firstLine="0"/>
      </w:pPr>
      <w:rPr>
        <w:rFonts w:hint="default"/>
        <w:b/>
        <w:i w:val="0"/>
        <w:color w:val="0067AC"/>
        <w:sz w:val="28"/>
      </w:rPr>
    </w:lvl>
    <w:lvl w:ilvl="4">
      <w:start w:val="1"/>
      <w:numFmt w:val="decimal"/>
      <w:lvlRestart w:val="0"/>
      <w:pStyle w:val="BoxNumb"/>
      <w:suff w:val="space"/>
      <w:lvlText w:val="Box %5"/>
      <w:lvlJc w:val="left"/>
      <w:pPr>
        <w:ind w:left="0" w:firstLine="0"/>
      </w:pPr>
      <w:rPr>
        <w:rFonts w:hint="default"/>
        <w:color w:val="0067AC"/>
      </w:rPr>
    </w:lvl>
    <w:lvl w:ilvl="5">
      <w:start w:val="1"/>
      <w:numFmt w:val="none"/>
      <w:lvlRestart w:val="3"/>
      <w:lvlText w:val=""/>
      <w:lvlJc w:val="left"/>
      <w:pPr>
        <w:tabs>
          <w:tab w:val="num" w:pos="851"/>
        </w:tabs>
        <w:ind w:left="0" w:firstLine="0"/>
      </w:pPr>
      <w:rPr>
        <w:rFonts w:ascii="Georgia" w:hAnsi="Georgia" w:hint="default"/>
        <w:color w:val="336633"/>
      </w:rPr>
    </w:lvl>
    <w:lvl w:ilvl="6">
      <w:start w:val="1"/>
      <w:numFmt w:val="none"/>
      <w:lvlRestart w:val="5"/>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color w:val="auto"/>
      </w:rPr>
    </w:lvl>
    <w:lvl w:ilvl="8">
      <w:start w:val="1"/>
      <w:numFmt w:val="none"/>
      <w:suff w:val="nothing"/>
      <w:lvlText w:val=""/>
      <w:lvlJc w:val="left"/>
      <w:pPr>
        <w:ind w:left="0" w:firstLine="0"/>
      </w:pPr>
      <w:rPr>
        <w:rFonts w:ascii="Georgia" w:hAnsi="Georgia" w:hint="default"/>
        <w:color w:val="0067AC" w:themeColor="text2"/>
      </w:rPr>
    </w:lvl>
  </w:abstractNum>
  <w:abstractNum w:abstractNumId="21">
    <w:nsid w:val="2C4C1930"/>
    <w:multiLevelType w:val="hybridMultilevel"/>
    <w:tmpl w:val="792C21D6"/>
    <w:lvl w:ilvl="0" w:tplc="080C0003">
      <w:start w:val="1"/>
      <w:numFmt w:val="bullet"/>
      <w:lvlText w:val="o"/>
      <w:lvlJc w:val="left"/>
      <w:pPr>
        <w:ind w:left="1211" w:hanging="360"/>
      </w:pPr>
      <w:rPr>
        <w:rFonts w:ascii="Courier New" w:hAnsi="Courier New" w:cs="Courier New" w:hint="default"/>
      </w:rPr>
    </w:lvl>
    <w:lvl w:ilvl="1" w:tplc="080C0003">
      <w:start w:val="1"/>
      <w:numFmt w:val="bullet"/>
      <w:lvlText w:val="o"/>
      <w:lvlJc w:val="left"/>
      <w:pPr>
        <w:ind w:left="1931" w:hanging="360"/>
      </w:pPr>
      <w:rPr>
        <w:rFonts w:ascii="Courier New" w:hAnsi="Courier New" w:cs="Courier New" w:hint="default"/>
      </w:rPr>
    </w:lvl>
    <w:lvl w:ilvl="2" w:tplc="080C0005">
      <w:start w:val="1"/>
      <w:numFmt w:val="bullet"/>
      <w:lvlText w:val=""/>
      <w:lvlJc w:val="left"/>
      <w:pPr>
        <w:ind w:left="2651" w:hanging="360"/>
      </w:pPr>
      <w:rPr>
        <w:rFonts w:ascii="Wingdings" w:hAnsi="Wingdings" w:hint="default"/>
      </w:rPr>
    </w:lvl>
    <w:lvl w:ilvl="3" w:tplc="080C0001">
      <w:start w:val="1"/>
      <w:numFmt w:val="bullet"/>
      <w:lvlText w:val=""/>
      <w:lvlJc w:val="left"/>
      <w:pPr>
        <w:ind w:left="3371" w:hanging="360"/>
      </w:pPr>
      <w:rPr>
        <w:rFonts w:ascii="Symbol" w:hAnsi="Symbol" w:hint="default"/>
      </w:rPr>
    </w:lvl>
    <w:lvl w:ilvl="4" w:tplc="080C0003">
      <w:start w:val="1"/>
      <w:numFmt w:val="bullet"/>
      <w:lvlText w:val="o"/>
      <w:lvlJc w:val="left"/>
      <w:pPr>
        <w:ind w:left="4091" w:hanging="360"/>
      </w:pPr>
      <w:rPr>
        <w:rFonts w:ascii="Courier New" w:hAnsi="Courier New" w:cs="Courier New" w:hint="default"/>
      </w:rPr>
    </w:lvl>
    <w:lvl w:ilvl="5" w:tplc="080C0005">
      <w:start w:val="1"/>
      <w:numFmt w:val="bullet"/>
      <w:lvlText w:val=""/>
      <w:lvlJc w:val="left"/>
      <w:pPr>
        <w:ind w:left="4811" w:hanging="360"/>
      </w:pPr>
      <w:rPr>
        <w:rFonts w:ascii="Wingdings" w:hAnsi="Wingdings" w:hint="default"/>
      </w:rPr>
    </w:lvl>
    <w:lvl w:ilvl="6" w:tplc="080C0001">
      <w:start w:val="1"/>
      <w:numFmt w:val="bullet"/>
      <w:lvlText w:val=""/>
      <w:lvlJc w:val="left"/>
      <w:pPr>
        <w:ind w:left="5531" w:hanging="360"/>
      </w:pPr>
      <w:rPr>
        <w:rFonts w:ascii="Symbol" w:hAnsi="Symbol" w:hint="default"/>
      </w:rPr>
    </w:lvl>
    <w:lvl w:ilvl="7" w:tplc="080C0003">
      <w:start w:val="1"/>
      <w:numFmt w:val="bullet"/>
      <w:lvlText w:val="o"/>
      <w:lvlJc w:val="left"/>
      <w:pPr>
        <w:ind w:left="6251" w:hanging="360"/>
      </w:pPr>
      <w:rPr>
        <w:rFonts w:ascii="Courier New" w:hAnsi="Courier New" w:cs="Courier New" w:hint="default"/>
      </w:rPr>
    </w:lvl>
    <w:lvl w:ilvl="8" w:tplc="080C0005">
      <w:start w:val="1"/>
      <w:numFmt w:val="bullet"/>
      <w:lvlText w:val=""/>
      <w:lvlJc w:val="left"/>
      <w:pPr>
        <w:ind w:left="6971" w:hanging="360"/>
      </w:pPr>
      <w:rPr>
        <w:rFonts w:ascii="Wingdings" w:hAnsi="Wingdings" w:hint="default"/>
      </w:rPr>
    </w:lvl>
  </w:abstractNum>
  <w:abstractNum w:abstractNumId="22">
    <w:nsid w:val="2F981024"/>
    <w:multiLevelType w:val="hybridMultilevel"/>
    <w:tmpl w:val="C1F4425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23">
    <w:nsid w:val="30EF07D9"/>
    <w:multiLevelType w:val="hybridMultilevel"/>
    <w:tmpl w:val="CDC2375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39801475"/>
    <w:multiLevelType w:val="multilevel"/>
    <w:tmpl w:val="9F9A5336"/>
    <w:styleLink w:val="NumbLstBTBullet"/>
    <w:lvl w:ilvl="0">
      <w:start w:val="1"/>
      <w:numFmt w:val="bullet"/>
      <w:pStyle w:val="BTBullet1"/>
      <w:lvlText w:val="■"/>
      <w:lvlJc w:val="left"/>
      <w:pPr>
        <w:tabs>
          <w:tab w:val="num" w:pos="1191"/>
        </w:tabs>
        <w:ind w:left="1191" w:hanging="340"/>
      </w:pPr>
      <w:rPr>
        <w:rFonts w:ascii="Arial" w:hAnsi="Arial" w:hint="default"/>
        <w:color w:val="0067AC"/>
      </w:rPr>
    </w:lvl>
    <w:lvl w:ilvl="1">
      <w:start w:val="1"/>
      <w:numFmt w:val="bullet"/>
      <w:pStyle w:val="BTBullet2"/>
      <w:lvlText w:val="–"/>
      <w:lvlJc w:val="left"/>
      <w:pPr>
        <w:tabs>
          <w:tab w:val="num" w:pos="1531"/>
        </w:tabs>
        <w:ind w:left="1531" w:hanging="340"/>
      </w:pPr>
      <w:rPr>
        <w:rFonts w:ascii="Arial" w:hAnsi="Arial" w:hint="default"/>
        <w:color w:val="0067AC"/>
      </w:rPr>
    </w:lvl>
    <w:lvl w:ilvl="2">
      <w:start w:val="1"/>
      <w:numFmt w:val="bullet"/>
      <w:pStyle w:val="BTBullet3"/>
      <w:lvlText w:val="○"/>
      <w:lvlJc w:val="left"/>
      <w:pPr>
        <w:tabs>
          <w:tab w:val="num" w:pos="1871"/>
        </w:tabs>
        <w:ind w:left="1871" w:hanging="340"/>
      </w:pPr>
      <w:rPr>
        <w:rFonts w:ascii="Arial" w:hAnsi="Arial" w:hint="default"/>
        <w:color w:val="0067AC"/>
      </w:rPr>
    </w:lvl>
    <w:lvl w:ilvl="3">
      <w:start w:val="1"/>
      <w:numFmt w:val="none"/>
      <w:suff w:val="nothing"/>
      <w:lvlText w:val=""/>
      <w:lvlJc w:val="left"/>
      <w:pPr>
        <w:ind w:left="1871" w:firstLine="0"/>
      </w:pPr>
      <w:rPr>
        <w:rFonts w:hint="default"/>
      </w:rPr>
    </w:lvl>
    <w:lvl w:ilvl="4">
      <w:start w:val="1"/>
      <w:numFmt w:val="none"/>
      <w:suff w:val="nothing"/>
      <w:lvlText w:val=""/>
      <w:lvlJc w:val="left"/>
      <w:pPr>
        <w:ind w:left="1871" w:firstLine="0"/>
      </w:pPr>
      <w:rPr>
        <w:rFonts w:hint="default"/>
      </w:rPr>
    </w:lvl>
    <w:lvl w:ilvl="5">
      <w:start w:val="1"/>
      <w:numFmt w:val="none"/>
      <w:suff w:val="nothing"/>
      <w:lvlText w:val=""/>
      <w:lvlJc w:val="left"/>
      <w:pPr>
        <w:ind w:left="1871" w:firstLine="0"/>
      </w:pPr>
      <w:rPr>
        <w:rFonts w:hint="default"/>
      </w:rPr>
    </w:lvl>
    <w:lvl w:ilvl="6">
      <w:start w:val="1"/>
      <w:numFmt w:val="none"/>
      <w:suff w:val="nothing"/>
      <w:lvlText w:val=""/>
      <w:lvlJc w:val="left"/>
      <w:pPr>
        <w:ind w:left="1871" w:firstLine="0"/>
      </w:pPr>
      <w:rPr>
        <w:rFonts w:hint="default"/>
      </w:rPr>
    </w:lvl>
    <w:lvl w:ilvl="7">
      <w:start w:val="1"/>
      <w:numFmt w:val="none"/>
      <w:suff w:val="nothing"/>
      <w:lvlText w:val=""/>
      <w:lvlJc w:val="left"/>
      <w:pPr>
        <w:ind w:left="1871" w:firstLine="0"/>
      </w:pPr>
      <w:rPr>
        <w:rFonts w:hint="default"/>
      </w:rPr>
    </w:lvl>
    <w:lvl w:ilvl="8">
      <w:start w:val="1"/>
      <w:numFmt w:val="none"/>
      <w:lvlText w:val=""/>
      <w:lvlJc w:val="left"/>
      <w:pPr>
        <w:ind w:left="3240" w:hanging="360"/>
      </w:pPr>
      <w:rPr>
        <w:rFonts w:hint="default"/>
      </w:rPr>
    </w:lvl>
  </w:abstractNum>
  <w:abstractNum w:abstractNumId="25">
    <w:nsid w:val="3A9931C5"/>
    <w:multiLevelType w:val="hybridMultilevel"/>
    <w:tmpl w:val="33082522"/>
    <w:lvl w:ilvl="0" w:tplc="080C0003">
      <w:start w:val="1"/>
      <w:numFmt w:val="bullet"/>
      <w:lvlText w:val="o"/>
      <w:lvlJc w:val="left"/>
      <w:pPr>
        <w:ind w:left="1931" w:hanging="360"/>
      </w:pPr>
      <w:rPr>
        <w:rFonts w:ascii="Courier New" w:hAnsi="Courier New" w:cs="Courier New" w:hint="default"/>
      </w:rPr>
    </w:lvl>
    <w:lvl w:ilvl="1" w:tplc="080C0003">
      <w:start w:val="1"/>
      <w:numFmt w:val="bullet"/>
      <w:lvlText w:val="o"/>
      <w:lvlJc w:val="left"/>
      <w:pPr>
        <w:ind w:left="2651" w:hanging="360"/>
      </w:pPr>
      <w:rPr>
        <w:rFonts w:ascii="Courier New" w:hAnsi="Courier New" w:cs="Courier New" w:hint="default"/>
      </w:rPr>
    </w:lvl>
    <w:lvl w:ilvl="2" w:tplc="080C0005">
      <w:start w:val="1"/>
      <w:numFmt w:val="bullet"/>
      <w:lvlText w:val=""/>
      <w:lvlJc w:val="left"/>
      <w:pPr>
        <w:ind w:left="3371" w:hanging="360"/>
      </w:pPr>
      <w:rPr>
        <w:rFonts w:ascii="Wingdings" w:hAnsi="Wingdings" w:hint="default"/>
      </w:rPr>
    </w:lvl>
    <w:lvl w:ilvl="3" w:tplc="080C0001">
      <w:start w:val="1"/>
      <w:numFmt w:val="bullet"/>
      <w:lvlText w:val=""/>
      <w:lvlJc w:val="left"/>
      <w:pPr>
        <w:ind w:left="4091" w:hanging="360"/>
      </w:pPr>
      <w:rPr>
        <w:rFonts w:ascii="Symbol" w:hAnsi="Symbol" w:hint="default"/>
      </w:rPr>
    </w:lvl>
    <w:lvl w:ilvl="4" w:tplc="080C0003">
      <w:start w:val="1"/>
      <w:numFmt w:val="bullet"/>
      <w:lvlText w:val="o"/>
      <w:lvlJc w:val="left"/>
      <w:pPr>
        <w:ind w:left="4811" w:hanging="360"/>
      </w:pPr>
      <w:rPr>
        <w:rFonts w:ascii="Courier New" w:hAnsi="Courier New" w:cs="Courier New" w:hint="default"/>
      </w:rPr>
    </w:lvl>
    <w:lvl w:ilvl="5" w:tplc="080C0005">
      <w:start w:val="1"/>
      <w:numFmt w:val="bullet"/>
      <w:lvlText w:val=""/>
      <w:lvlJc w:val="left"/>
      <w:pPr>
        <w:ind w:left="5531" w:hanging="360"/>
      </w:pPr>
      <w:rPr>
        <w:rFonts w:ascii="Wingdings" w:hAnsi="Wingdings" w:hint="default"/>
      </w:rPr>
    </w:lvl>
    <w:lvl w:ilvl="6" w:tplc="080C0001">
      <w:start w:val="1"/>
      <w:numFmt w:val="bullet"/>
      <w:lvlText w:val=""/>
      <w:lvlJc w:val="left"/>
      <w:pPr>
        <w:ind w:left="6251" w:hanging="360"/>
      </w:pPr>
      <w:rPr>
        <w:rFonts w:ascii="Symbol" w:hAnsi="Symbol" w:hint="default"/>
      </w:rPr>
    </w:lvl>
    <w:lvl w:ilvl="7" w:tplc="080C0003">
      <w:start w:val="1"/>
      <w:numFmt w:val="bullet"/>
      <w:lvlText w:val="o"/>
      <w:lvlJc w:val="left"/>
      <w:pPr>
        <w:ind w:left="6971" w:hanging="360"/>
      </w:pPr>
      <w:rPr>
        <w:rFonts w:ascii="Courier New" w:hAnsi="Courier New" w:cs="Courier New" w:hint="default"/>
      </w:rPr>
    </w:lvl>
    <w:lvl w:ilvl="8" w:tplc="080C0005">
      <w:start w:val="1"/>
      <w:numFmt w:val="bullet"/>
      <w:lvlText w:val=""/>
      <w:lvlJc w:val="left"/>
      <w:pPr>
        <w:ind w:left="7691" w:hanging="360"/>
      </w:pPr>
      <w:rPr>
        <w:rFonts w:ascii="Wingdings" w:hAnsi="Wingdings" w:hint="default"/>
      </w:rPr>
    </w:lvl>
  </w:abstractNum>
  <w:abstractNum w:abstractNumId="26">
    <w:nsid w:val="3D425EAD"/>
    <w:multiLevelType w:val="hybridMultilevel"/>
    <w:tmpl w:val="D6A411C2"/>
    <w:lvl w:ilvl="0" w:tplc="0409000D">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E144406"/>
    <w:multiLevelType w:val="multilevel"/>
    <w:tmpl w:val="85BCEBDA"/>
    <w:styleLink w:val="NumbLstBullet"/>
    <w:lvl w:ilvl="0">
      <w:start w:val="1"/>
      <w:numFmt w:val="bullet"/>
      <w:pStyle w:val="Bullet1"/>
      <w:lvlText w:val="■"/>
      <w:lvlJc w:val="left"/>
      <w:pPr>
        <w:tabs>
          <w:tab w:val="num" w:pos="340"/>
        </w:tabs>
        <w:ind w:left="340" w:hanging="340"/>
      </w:pPr>
      <w:rPr>
        <w:rFonts w:ascii="Arial" w:hAnsi="Arial" w:hint="default"/>
        <w:color w:val="0067AC"/>
        <w:sz w:val="18"/>
      </w:rPr>
    </w:lvl>
    <w:lvl w:ilvl="1">
      <w:start w:val="1"/>
      <w:numFmt w:val="bullet"/>
      <w:pStyle w:val="Bullet2"/>
      <w:lvlText w:val="–"/>
      <w:lvlJc w:val="left"/>
      <w:pPr>
        <w:tabs>
          <w:tab w:val="num" w:pos="680"/>
        </w:tabs>
        <w:ind w:left="680" w:hanging="340"/>
      </w:pPr>
      <w:rPr>
        <w:rFonts w:ascii="Arial" w:hAnsi="Arial" w:hint="default"/>
        <w:color w:val="0067AC"/>
      </w:rPr>
    </w:lvl>
    <w:lvl w:ilvl="2">
      <w:start w:val="1"/>
      <w:numFmt w:val="bullet"/>
      <w:pStyle w:val="Bullet3"/>
      <w:lvlText w:val="○"/>
      <w:lvlJc w:val="left"/>
      <w:pPr>
        <w:tabs>
          <w:tab w:val="num" w:pos="1021"/>
        </w:tabs>
        <w:ind w:left="1021" w:hanging="341"/>
      </w:pPr>
      <w:rPr>
        <w:rFonts w:ascii="Arial" w:hAnsi="Arial" w:hint="default"/>
        <w:color w:val="0067AC"/>
      </w:rPr>
    </w:lvl>
    <w:lvl w:ilvl="3">
      <w:start w:val="1"/>
      <w:numFmt w:val="none"/>
      <w:suff w:val="nothing"/>
      <w:lvlText w:val=""/>
      <w:lvlJc w:val="left"/>
      <w:pPr>
        <w:ind w:left="1021" w:firstLine="0"/>
      </w:pPr>
      <w:rPr>
        <w:rFonts w:hint="default"/>
      </w:rPr>
    </w:lvl>
    <w:lvl w:ilvl="4">
      <w:start w:val="1"/>
      <w:numFmt w:val="none"/>
      <w:suff w:val="nothing"/>
      <w:lvlText w:val=""/>
      <w:lvlJc w:val="left"/>
      <w:pPr>
        <w:ind w:left="1021" w:firstLine="0"/>
      </w:pPr>
      <w:rPr>
        <w:rFonts w:hint="default"/>
      </w:rPr>
    </w:lvl>
    <w:lvl w:ilvl="5">
      <w:start w:val="1"/>
      <w:numFmt w:val="none"/>
      <w:suff w:val="nothing"/>
      <w:lvlText w:val=""/>
      <w:lvlJc w:val="lef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left"/>
      <w:pPr>
        <w:ind w:left="1021" w:firstLine="0"/>
      </w:pPr>
      <w:rPr>
        <w:rFonts w:hint="default"/>
      </w:rPr>
    </w:lvl>
  </w:abstractNum>
  <w:abstractNum w:abstractNumId="28">
    <w:nsid w:val="40D90BC0"/>
    <w:multiLevelType w:val="hybridMultilevel"/>
    <w:tmpl w:val="E438FDDC"/>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9271712"/>
    <w:multiLevelType w:val="multilevel"/>
    <w:tmpl w:val="1C228E2C"/>
    <w:name w:val="BTBulletList"/>
    <w:lvl w:ilvl="0">
      <w:start w:val="1"/>
      <w:numFmt w:val="bullet"/>
      <w:lvlText w:val="▪"/>
      <w:lvlJc w:val="left"/>
      <w:pPr>
        <w:ind w:left="1191" w:hanging="340"/>
      </w:pPr>
      <w:rPr>
        <w:rFonts w:ascii="Arial" w:hAnsi="Arial" w:hint="default"/>
        <w:color w:val="0067AC" w:themeColor="text2"/>
        <w:sz w:val="24"/>
      </w:rPr>
    </w:lvl>
    <w:lvl w:ilvl="1">
      <w:start w:val="1"/>
      <w:numFmt w:val="bullet"/>
      <w:lvlText w:val="–"/>
      <w:lvlJc w:val="left"/>
      <w:pPr>
        <w:tabs>
          <w:tab w:val="num" w:pos="1990"/>
        </w:tabs>
        <w:ind w:left="1531" w:hanging="340"/>
      </w:pPr>
      <w:rPr>
        <w:rFonts w:ascii="Arial" w:hAnsi="Arial" w:hint="default"/>
        <w:color w:val="0067AC" w:themeColor="text2"/>
      </w:rPr>
    </w:lvl>
    <w:lvl w:ilvl="2">
      <w:start w:val="1"/>
      <w:numFmt w:val="bullet"/>
      <w:lvlText w:val="◦"/>
      <w:lvlJc w:val="left"/>
      <w:pPr>
        <w:ind w:left="1871" w:hanging="340"/>
      </w:pPr>
      <w:rPr>
        <w:rFonts w:ascii="Arial" w:hAnsi="Arial" w:hint="default"/>
        <w:color w:val="0067AC" w:themeColor="text2"/>
      </w:rPr>
    </w:lvl>
    <w:lvl w:ilvl="3">
      <w:start w:val="1"/>
      <w:numFmt w:val="bullet"/>
      <w:lvlText w:val=""/>
      <w:lvlJc w:val="left"/>
      <w:pPr>
        <w:ind w:left="3788" w:hanging="360"/>
      </w:pPr>
      <w:rPr>
        <w:rFonts w:ascii="Symbol" w:hAnsi="Symbol" w:hint="default"/>
      </w:rPr>
    </w:lvl>
    <w:lvl w:ilvl="4">
      <w:start w:val="1"/>
      <w:numFmt w:val="bullet"/>
      <w:lvlText w:val="o"/>
      <w:lvlJc w:val="left"/>
      <w:pPr>
        <w:ind w:left="4508" w:hanging="360"/>
      </w:pPr>
      <w:rPr>
        <w:rFonts w:ascii="Courier New" w:hAnsi="Courier New" w:cs="Courier New" w:hint="default"/>
      </w:rPr>
    </w:lvl>
    <w:lvl w:ilvl="5">
      <w:start w:val="1"/>
      <w:numFmt w:val="bullet"/>
      <w:lvlText w:val=""/>
      <w:lvlJc w:val="left"/>
      <w:pPr>
        <w:ind w:left="5228" w:hanging="360"/>
      </w:pPr>
      <w:rPr>
        <w:rFonts w:ascii="Wingdings" w:hAnsi="Wingdings" w:hint="default"/>
      </w:rPr>
    </w:lvl>
    <w:lvl w:ilvl="6">
      <w:start w:val="1"/>
      <w:numFmt w:val="bullet"/>
      <w:lvlText w:val=""/>
      <w:lvlJc w:val="left"/>
      <w:pPr>
        <w:ind w:left="5948" w:hanging="360"/>
      </w:pPr>
      <w:rPr>
        <w:rFonts w:ascii="Symbol" w:hAnsi="Symbol" w:hint="default"/>
      </w:rPr>
    </w:lvl>
    <w:lvl w:ilvl="7">
      <w:start w:val="1"/>
      <w:numFmt w:val="bullet"/>
      <w:lvlText w:val="o"/>
      <w:lvlJc w:val="left"/>
      <w:pPr>
        <w:ind w:left="6668" w:hanging="360"/>
      </w:pPr>
      <w:rPr>
        <w:rFonts w:ascii="Courier New" w:hAnsi="Courier New" w:cs="Courier New" w:hint="default"/>
      </w:rPr>
    </w:lvl>
    <w:lvl w:ilvl="8">
      <w:start w:val="1"/>
      <w:numFmt w:val="bullet"/>
      <w:lvlText w:val=""/>
      <w:lvlJc w:val="left"/>
      <w:pPr>
        <w:ind w:left="7388" w:hanging="360"/>
      </w:pPr>
      <w:rPr>
        <w:rFonts w:ascii="Wingdings" w:hAnsi="Wingdings" w:hint="default"/>
      </w:rPr>
    </w:lvl>
  </w:abstractNum>
  <w:abstractNum w:abstractNumId="30">
    <w:nsid w:val="497C5E09"/>
    <w:multiLevelType w:val="multilevel"/>
    <w:tmpl w:val="4B68369A"/>
    <w:styleLink w:val="NumbLstTableBullet"/>
    <w:lvl w:ilvl="0">
      <w:start w:val="1"/>
      <w:numFmt w:val="bullet"/>
      <w:pStyle w:val="TableBullet"/>
      <w:lvlText w:val="■"/>
      <w:lvlJc w:val="left"/>
      <w:pPr>
        <w:tabs>
          <w:tab w:val="num" w:pos="340"/>
        </w:tabs>
        <w:ind w:left="340" w:hanging="340"/>
      </w:pPr>
      <w:rPr>
        <w:rFonts w:ascii="Arial" w:hAnsi="Arial" w:hint="default"/>
        <w:color w:val="0067AC"/>
      </w:rPr>
    </w:lvl>
    <w:lvl w:ilvl="1">
      <w:start w:val="1"/>
      <w:numFmt w:val="bullet"/>
      <w:lvlText w:val="–"/>
      <w:lvlJc w:val="left"/>
      <w:pPr>
        <w:tabs>
          <w:tab w:val="num" w:pos="680"/>
        </w:tabs>
        <w:ind w:left="680" w:hanging="340"/>
      </w:pPr>
      <w:rPr>
        <w:rFonts w:ascii="Arial" w:hAnsi="Arial" w:hint="default"/>
        <w:color w:val="0067AC" w:themeColor="text2"/>
      </w:rPr>
    </w:lvl>
    <w:lvl w:ilvl="2">
      <w:start w:val="1"/>
      <w:numFmt w:val="bullet"/>
      <w:lvlText w:val="○"/>
      <w:lvlJc w:val="left"/>
      <w:pPr>
        <w:tabs>
          <w:tab w:val="num" w:pos="1021"/>
        </w:tabs>
        <w:ind w:left="1021" w:hanging="341"/>
      </w:pPr>
      <w:rPr>
        <w:rFonts w:ascii="Arial" w:hAnsi="Arial" w:hint="default"/>
        <w:color w:val="0067AC" w:themeColor="text2"/>
      </w:rPr>
    </w:lvl>
    <w:lvl w:ilvl="3">
      <w:start w:val="1"/>
      <w:numFmt w:val="none"/>
      <w:suff w:val="nothing"/>
      <w:lvlText w:val=""/>
      <w:lvlJc w:val="left"/>
      <w:pPr>
        <w:ind w:left="1021" w:firstLine="0"/>
      </w:pPr>
      <w:rPr>
        <w:rFonts w:hint="default"/>
      </w:rPr>
    </w:lvl>
    <w:lvl w:ilvl="4">
      <w:start w:val="1"/>
      <w:numFmt w:val="none"/>
      <w:suff w:val="nothing"/>
      <w:lvlText w:val=""/>
      <w:lvlJc w:val="left"/>
      <w:pPr>
        <w:ind w:left="1021" w:firstLine="0"/>
      </w:pPr>
      <w:rPr>
        <w:rFonts w:hint="default"/>
      </w:rPr>
    </w:lvl>
    <w:lvl w:ilvl="5">
      <w:start w:val="1"/>
      <w:numFmt w:val="none"/>
      <w:suff w:val="nothing"/>
      <w:lvlText w:val=""/>
      <w:lvlJc w:val="lef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left"/>
      <w:pPr>
        <w:ind w:left="1021" w:firstLine="0"/>
      </w:pPr>
      <w:rPr>
        <w:rFonts w:hint="default"/>
      </w:rPr>
    </w:lvl>
  </w:abstractNum>
  <w:abstractNum w:abstractNumId="31">
    <w:nsid w:val="4D4F1CD9"/>
    <w:multiLevelType w:val="hybridMultilevel"/>
    <w:tmpl w:val="23E6863E"/>
    <w:lvl w:ilvl="0" w:tplc="F9B8B0BA">
      <w:start w:val="1"/>
      <w:numFmt w:val="bullet"/>
      <w:pStyle w:val="F6ListBullet"/>
      <w:lvlText w:val=""/>
      <w:lvlJc w:val="left"/>
      <w:pPr>
        <w:tabs>
          <w:tab w:val="num" w:pos="1494"/>
        </w:tabs>
        <w:ind w:left="1474" w:hanging="340"/>
      </w:pPr>
      <w:rPr>
        <w:rFonts w:ascii="Wingdings" w:hAnsi="Wingdings" w:hint="default"/>
      </w:rPr>
    </w:lvl>
    <w:lvl w:ilvl="1" w:tplc="04090003">
      <w:start w:val="1"/>
      <w:numFmt w:val="bullet"/>
      <w:lvlText w:val="o"/>
      <w:lvlJc w:val="left"/>
      <w:pPr>
        <w:tabs>
          <w:tab w:val="num" w:pos="2347"/>
        </w:tabs>
        <w:ind w:left="2347" w:hanging="360"/>
      </w:pPr>
      <w:rPr>
        <w:rFonts w:ascii="Courier New" w:hAnsi="Courier New" w:hint="default"/>
      </w:rPr>
    </w:lvl>
    <w:lvl w:ilvl="2" w:tplc="04090005">
      <w:start w:val="1"/>
      <w:numFmt w:val="bullet"/>
      <w:lvlText w:val=""/>
      <w:lvlJc w:val="left"/>
      <w:pPr>
        <w:tabs>
          <w:tab w:val="num" w:pos="3067"/>
        </w:tabs>
        <w:ind w:left="3067" w:hanging="360"/>
      </w:pPr>
      <w:rPr>
        <w:rFonts w:ascii="Wingdings" w:hAnsi="Wingdings" w:hint="default"/>
      </w:rPr>
    </w:lvl>
    <w:lvl w:ilvl="3" w:tplc="04090001">
      <w:start w:val="1"/>
      <w:numFmt w:val="bullet"/>
      <w:lvlText w:val=""/>
      <w:lvlJc w:val="left"/>
      <w:pPr>
        <w:tabs>
          <w:tab w:val="num" w:pos="3787"/>
        </w:tabs>
        <w:ind w:left="3787" w:hanging="360"/>
      </w:pPr>
      <w:rPr>
        <w:rFonts w:ascii="Symbol" w:hAnsi="Symbol" w:hint="default"/>
      </w:rPr>
    </w:lvl>
    <w:lvl w:ilvl="4" w:tplc="04090003">
      <w:start w:val="1"/>
      <w:numFmt w:val="bullet"/>
      <w:lvlText w:val="o"/>
      <w:lvlJc w:val="left"/>
      <w:pPr>
        <w:tabs>
          <w:tab w:val="num" w:pos="4507"/>
        </w:tabs>
        <w:ind w:left="4507" w:hanging="360"/>
      </w:pPr>
      <w:rPr>
        <w:rFonts w:ascii="Courier New" w:hAnsi="Courier New" w:hint="default"/>
      </w:rPr>
    </w:lvl>
    <w:lvl w:ilvl="5" w:tplc="04090005">
      <w:start w:val="1"/>
      <w:numFmt w:val="bullet"/>
      <w:lvlText w:val=""/>
      <w:lvlJc w:val="left"/>
      <w:pPr>
        <w:tabs>
          <w:tab w:val="num" w:pos="5227"/>
        </w:tabs>
        <w:ind w:left="5227" w:hanging="360"/>
      </w:pPr>
      <w:rPr>
        <w:rFonts w:ascii="Wingdings" w:hAnsi="Wingdings" w:hint="default"/>
      </w:rPr>
    </w:lvl>
    <w:lvl w:ilvl="6" w:tplc="04090001">
      <w:start w:val="1"/>
      <w:numFmt w:val="bullet"/>
      <w:lvlText w:val=""/>
      <w:lvlJc w:val="left"/>
      <w:pPr>
        <w:tabs>
          <w:tab w:val="num" w:pos="5947"/>
        </w:tabs>
        <w:ind w:left="5947" w:hanging="360"/>
      </w:pPr>
      <w:rPr>
        <w:rFonts w:ascii="Symbol" w:hAnsi="Symbol" w:hint="default"/>
      </w:rPr>
    </w:lvl>
    <w:lvl w:ilvl="7" w:tplc="04090003">
      <w:start w:val="1"/>
      <w:numFmt w:val="bullet"/>
      <w:lvlText w:val="o"/>
      <w:lvlJc w:val="left"/>
      <w:pPr>
        <w:tabs>
          <w:tab w:val="num" w:pos="6667"/>
        </w:tabs>
        <w:ind w:left="6667" w:hanging="360"/>
      </w:pPr>
      <w:rPr>
        <w:rFonts w:ascii="Courier New" w:hAnsi="Courier New" w:hint="default"/>
      </w:rPr>
    </w:lvl>
    <w:lvl w:ilvl="8" w:tplc="04090005">
      <w:start w:val="1"/>
      <w:numFmt w:val="bullet"/>
      <w:lvlText w:val=""/>
      <w:lvlJc w:val="left"/>
      <w:pPr>
        <w:tabs>
          <w:tab w:val="num" w:pos="7387"/>
        </w:tabs>
        <w:ind w:left="7387" w:hanging="360"/>
      </w:pPr>
      <w:rPr>
        <w:rFonts w:ascii="Wingdings" w:hAnsi="Wingdings" w:hint="default"/>
      </w:rPr>
    </w:lvl>
  </w:abstractNum>
  <w:abstractNum w:abstractNumId="32">
    <w:nsid w:val="4F2C235B"/>
    <w:multiLevelType w:val="hybridMultilevel"/>
    <w:tmpl w:val="2D8017BA"/>
    <w:lvl w:ilvl="0" w:tplc="04090001">
      <w:start w:val="1"/>
      <w:numFmt w:val="bullet"/>
      <w:lvlText w:val=""/>
      <w:lvlJc w:val="left"/>
      <w:pPr>
        <w:tabs>
          <w:tab w:val="num" w:pos="1211"/>
        </w:tabs>
        <w:ind w:left="1211"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3">
    <w:nsid w:val="504936E5"/>
    <w:multiLevelType w:val="multilevel"/>
    <w:tmpl w:val="9F9A5336"/>
    <w:numStyleLink w:val="NumbLstBTBullet"/>
  </w:abstractNum>
  <w:abstractNum w:abstractNumId="34">
    <w:nsid w:val="507A1ADD"/>
    <w:multiLevelType w:val="hybridMultilevel"/>
    <w:tmpl w:val="8946BA38"/>
    <w:lvl w:ilvl="0" w:tplc="FFFFFFFF">
      <w:start w:val="1"/>
      <w:numFmt w:val="lowerRoman"/>
      <w:lvlText w:val="%1."/>
      <w:lvlJc w:val="left"/>
      <w:pPr>
        <w:tabs>
          <w:tab w:val="num" w:pos="1134"/>
        </w:tabs>
        <w:ind w:left="1134" w:hanging="567"/>
      </w:pPr>
      <w:rPr>
        <w:rFonts w:ascii="Arial" w:hAnsi="Arial" w:cs="Symbol" w:hint="default"/>
        <w:b w:val="0"/>
        <w:bCs w:val="0"/>
        <w:i/>
        <w:iCs/>
        <w:sz w:val="20"/>
        <w:szCs w:val="20"/>
      </w:rPr>
    </w:lvl>
    <w:lvl w:ilvl="1" w:tplc="FFFFFFFF">
      <w:start w:val="1"/>
      <w:numFmt w:val="lowerLetter"/>
      <w:pStyle w:val="SecondTierList"/>
      <w:lvlText w:val="%2)"/>
      <w:lvlJc w:val="left"/>
      <w:pPr>
        <w:tabs>
          <w:tab w:val="num" w:pos="2098"/>
        </w:tabs>
        <w:ind w:left="2098" w:hanging="680"/>
      </w:pPr>
      <w:rPr>
        <w:rFonts w:cs="Times New Roman" w:hint="default"/>
      </w:rPr>
    </w:lvl>
    <w:lvl w:ilvl="2" w:tplc="FFFFFFFF">
      <w:start w:val="1"/>
      <w:numFmt w:val="lowerRoman"/>
      <w:lvlText w:val="%3."/>
      <w:lvlJc w:val="left"/>
      <w:pPr>
        <w:tabs>
          <w:tab w:val="num" w:pos="1134"/>
        </w:tabs>
        <w:ind w:left="1134" w:hanging="567"/>
      </w:pPr>
      <w:rPr>
        <w:rFonts w:ascii="Arial" w:hAnsi="Arial" w:cs="Symbol" w:hint="default"/>
        <w:b w:val="0"/>
        <w:bCs w:val="0"/>
        <w:i/>
        <w:iCs/>
        <w:sz w:val="20"/>
        <w:szCs w:val="20"/>
      </w:rPr>
    </w:lvl>
    <w:lvl w:ilvl="3" w:tplc="FFFFFFFF">
      <w:start w:val="1"/>
      <w:numFmt w:val="lowerLetter"/>
      <w:lvlText w:val="%4)"/>
      <w:lvlJc w:val="left"/>
      <w:pPr>
        <w:tabs>
          <w:tab w:val="num" w:pos="1211"/>
        </w:tabs>
        <w:ind w:left="1191" w:hanging="340"/>
      </w:pPr>
      <w:rPr>
        <w:rFonts w:cs="Times New Roman" w:hint="default"/>
      </w:rPr>
    </w:lvl>
    <w:lvl w:ilvl="4" w:tplc="FFFFFFFF">
      <w:start w:val="1"/>
      <w:numFmt w:val="lowerRoman"/>
      <w:lvlText w:val="%5."/>
      <w:lvlJc w:val="left"/>
      <w:pPr>
        <w:tabs>
          <w:tab w:val="num" w:pos="1134"/>
        </w:tabs>
        <w:ind w:left="1134" w:hanging="567"/>
      </w:pPr>
      <w:rPr>
        <w:rFonts w:ascii="Arial" w:hAnsi="Arial" w:cs="Symbol" w:hint="default"/>
        <w:b w:val="0"/>
        <w:bCs w:val="0"/>
        <w:i/>
        <w:iCs/>
        <w:sz w:val="20"/>
        <w:szCs w:val="20"/>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5">
    <w:nsid w:val="55C656D6"/>
    <w:multiLevelType w:val="hybridMultilevel"/>
    <w:tmpl w:val="3E162A7A"/>
    <w:lvl w:ilvl="0" w:tplc="0809000D">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A611787"/>
    <w:multiLevelType w:val="multilevel"/>
    <w:tmpl w:val="85BCEBDA"/>
    <w:numStyleLink w:val="NumbLstBullet"/>
  </w:abstractNum>
  <w:abstractNum w:abstractNumId="37">
    <w:nsid w:val="60BE17EF"/>
    <w:multiLevelType w:val="multilevel"/>
    <w:tmpl w:val="22266CAE"/>
    <w:numStyleLink w:val="NumbLstMain"/>
  </w:abstractNum>
  <w:abstractNum w:abstractNumId="38">
    <w:nsid w:val="63115E92"/>
    <w:multiLevelType w:val="multilevel"/>
    <w:tmpl w:val="AEDA72E0"/>
    <w:lvl w:ilvl="0">
      <w:start w:val="1"/>
      <w:numFmt w:val="decimal"/>
      <w:lvlText w:val="%1."/>
      <w:lvlJc w:val="left"/>
      <w:pPr>
        <w:tabs>
          <w:tab w:val="num" w:pos="360"/>
        </w:tabs>
        <w:ind w:left="360" w:hanging="360"/>
      </w:pPr>
    </w:lvl>
    <w:lvl w:ilvl="1">
      <w:start w:val="1"/>
      <w:numFmt w:val="decimal"/>
      <w:lvlText w:val="%1.%2"/>
      <w:lvlJc w:val="left"/>
      <w:pPr>
        <w:ind w:left="576" w:hanging="576"/>
      </w:pPr>
      <w:rPr>
        <w:rFonts w:cs="Times New Roman"/>
        <w:color w:val="365F91"/>
      </w:rPr>
    </w:lvl>
    <w:lvl w:ilvl="2">
      <w:start w:val="1"/>
      <w:numFmt w:val="decimal"/>
      <w:lvlText w:val="%1.%2.%3"/>
      <w:lvlJc w:val="left"/>
      <w:pPr>
        <w:ind w:left="157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39">
    <w:nsid w:val="66F10AD0"/>
    <w:multiLevelType w:val="multilevel"/>
    <w:tmpl w:val="A8C2921C"/>
    <w:numStyleLink w:val="NumbLstAnnex"/>
  </w:abstractNum>
  <w:abstractNum w:abstractNumId="40">
    <w:nsid w:val="73AC5DDA"/>
    <w:multiLevelType w:val="hybridMultilevel"/>
    <w:tmpl w:val="6F02014A"/>
    <w:lvl w:ilvl="0" w:tplc="04090001">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CB03DC5"/>
    <w:multiLevelType w:val="multilevel"/>
    <w:tmpl w:val="4B68369A"/>
    <w:numStyleLink w:val="NumbLstTableBullet"/>
  </w:abstractNum>
  <w:abstractNum w:abstractNumId="42">
    <w:nsid w:val="7DC83909"/>
    <w:multiLevelType w:val="hybridMultilevel"/>
    <w:tmpl w:val="40349BF4"/>
    <w:lvl w:ilvl="0" w:tplc="DCDC870A">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E7C2986"/>
    <w:multiLevelType w:val="hybridMultilevel"/>
    <w:tmpl w:val="90D234F2"/>
    <w:lvl w:ilvl="0" w:tplc="04090001">
      <w:start w:val="1"/>
      <w:numFmt w:val="bullet"/>
      <w:lvlText w:val=""/>
      <w:lvlJc w:val="left"/>
      <w:pPr>
        <w:tabs>
          <w:tab w:val="num" w:pos="1211"/>
        </w:tabs>
        <w:ind w:left="1211"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tabs>
          <w:tab w:val="num" w:pos="2651"/>
        </w:tabs>
        <w:ind w:left="2651" w:hanging="360"/>
      </w:pPr>
      <w:rPr>
        <w:rFonts w:ascii="Symbol" w:hAnsi="Symbol"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17"/>
  </w:num>
  <w:num w:numId="6">
    <w:abstractNumId w:val="20"/>
  </w:num>
  <w:num w:numId="7">
    <w:abstractNumId w:val="6"/>
  </w:num>
  <w:num w:numId="8">
    <w:abstractNumId w:val="8"/>
  </w:num>
  <w:num w:numId="9">
    <w:abstractNumId w:val="15"/>
  </w:num>
  <w:num w:numId="10">
    <w:abstractNumId w:val="13"/>
  </w:num>
  <w:num w:numId="11">
    <w:abstractNumId w:val="27"/>
  </w:num>
  <w:num w:numId="12">
    <w:abstractNumId w:val="30"/>
  </w:num>
  <w:num w:numId="13">
    <w:abstractNumId w:val="9"/>
  </w:num>
  <w:num w:numId="14">
    <w:abstractNumId w:val="41"/>
  </w:num>
  <w:num w:numId="15">
    <w:abstractNumId w:val="12"/>
  </w:num>
  <w:num w:numId="16">
    <w:abstractNumId w:val="14"/>
  </w:num>
  <w:num w:numId="17">
    <w:abstractNumId w:val="36"/>
  </w:num>
  <w:num w:numId="18">
    <w:abstractNumId w:val="18"/>
  </w:num>
  <w:num w:numId="19">
    <w:abstractNumId w:val="39"/>
  </w:num>
  <w:num w:numId="20">
    <w:abstractNumId w:val="37"/>
  </w:num>
  <w:num w:numId="21">
    <w:abstractNumId w:val="24"/>
  </w:num>
  <w:num w:numId="22">
    <w:abstractNumId w:val="33"/>
  </w:num>
  <w:num w:numId="23">
    <w:abstractNumId w:val="28"/>
  </w:num>
  <w:num w:numId="24">
    <w:abstractNumId w:val="10"/>
  </w:num>
  <w:num w:numId="25">
    <w:abstractNumId w:val="31"/>
  </w:num>
  <w:num w:numId="26">
    <w:abstractNumId w:val="34"/>
  </w:num>
  <w:num w:numId="27">
    <w:abstractNumId w:val="38"/>
  </w:num>
  <w:num w:numId="28">
    <w:abstractNumId w:val="42"/>
  </w:num>
  <w:num w:numId="29">
    <w:abstractNumId w:val="21"/>
  </w:num>
  <w:num w:numId="30">
    <w:abstractNumId w:val="23"/>
  </w:num>
  <w:num w:numId="31">
    <w:abstractNumId w:val="40"/>
  </w:num>
  <w:num w:numId="32">
    <w:abstractNumId w:val="26"/>
  </w:num>
  <w:num w:numId="33">
    <w:abstractNumId w:val="22"/>
  </w:num>
  <w:num w:numId="34">
    <w:abstractNumId w:val="43"/>
  </w:num>
  <w:num w:numId="35">
    <w:abstractNumId w:val="25"/>
  </w:num>
  <w:num w:numId="36">
    <w:abstractNumId w:val="19"/>
  </w:num>
  <w:num w:numId="37">
    <w:abstractNumId w:val="32"/>
  </w:num>
  <w:num w:numId="38">
    <w:abstractNumId w:val="4"/>
  </w:num>
  <w:num w:numId="39">
    <w:abstractNumId w:val="7"/>
  </w:num>
  <w:num w:numId="40">
    <w:abstractNumId w:val="35"/>
  </w:num>
  <w:num w:numId="41">
    <w:abstractNumId w:val="16"/>
  </w:num>
  <w:num w:numId="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7B04" w:allStyles="0" w:customStyles="0" w:latentStyles="1" w:stylesInUse="0" w:headingStyles="0" w:numberingStyles="0" w:tableStyles="0" w:directFormattingOnRuns="1" w:directFormattingOnParagraphs="1" w:directFormattingOnNumbering="0" w:directFormattingOnTables="1" w:clearFormatting="1" w:top3HeadingStyles="1" w:visibleStyles="1" w:alternateStyleNames="0"/>
  <w:defaultTabStop w:val="851"/>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urrentTemplateVersion" w:val="6.9"/>
    <w:docVar w:name="FooterVersion" w:val=" "/>
    <w:docVar w:name="HeaderText" w:val=" "/>
    <w:docVar w:name="InitialTemplateVersion" w:val="6.9"/>
  </w:docVars>
  <w:rsids>
    <w:rsidRoot w:val="00660C9C"/>
    <w:rsid w:val="00000C93"/>
    <w:rsid w:val="00005A26"/>
    <w:rsid w:val="0000759E"/>
    <w:rsid w:val="00011AAB"/>
    <w:rsid w:val="000142F4"/>
    <w:rsid w:val="000167D6"/>
    <w:rsid w:val="00024986"/>
    <w:rsid w:val="00026E16"/>
    <w:rsid w:val="000576DF"/>
    <w:rsid w:val="00066A93"/>
    <w:rsid w:val="00070C78"/>
    <w:rsid w:val="000715F8"/>
    <w:rsid w:val="000770C0"/>
    <w:rsid w:val="00083B20"/>
    <w:rsid w:val="0008717B"/>
    <w:rsid w:val="00091F04"/>
    <w:rsid w:val="0009599B"/>
    <w:rsid w:val="00095BA6"/>
    <w:rsid w:val="0009675F"/>
    <w:rsid w:val="000A35C8"/>
    <w:rsid w:val="000A5F31"/>
    <w:rsid w:val="000A76DA"/>
    <w:rsid w:val="000B14B1"/>
    <w:rsid w:val="000B24D3"/>
    <w:rsid w:val="000B33DE"/>
    <w:rsid w:val="000B7B34"/>
    <w:rsid w:val="000C43B2"/>
    <w:rsid w:val="000C4B0C"/>
    <w:rsid w:val="000D354F"/>
    <w:rsid w:val="000E1441"/>
    <w:rsid w:val="000E2B5C"/>
    <w:rsid w:val="000E5D1E"/>
    <w:rsid w:val="000F2DA6"/>
    <w:rsid w:val="000F7B8B"/>
    <w:rsid w:val="000F7EC6"/>
    <w:rsid w:val="00103E28"/>
    <w:rsid w:val="0011071D"/>
    <w:rsid w:val="00111107"/>
    <w:rsid w:val="001114E8"/>
    <w:rsid w:val="00123D34"/>
    <w:rsid w:val="00124BD0"/>
    <w:rsid w:val="00130939"/>
    <w:rsid w:val="00136425"/>
    <w:rsid w:val="001368FE"/>
    <w:rsid w:val="00141A81"/>
    <w:rsid w:val="00141AD4"/>
    <w:rsid w:val="00147D47"/>
    <w:rsid w:val="00151369"/>
    <w:rsid w:val="00151F29"/>
    <w:rsid w:val="001578B7"/>
    <w:rsid w:val="001648BF"/>
    <w:rsid w:val="00165091"/>
    <w:rsid w:val="00165CAF"/>
    <w:rsid w:val="00171F24"/>
    <w:rsid w:val="001736E1"/>
    <w:rsid w:val="00174800"/>
    <w:rsid w:val="0017652E"/>
    <w:rsid w:val="00182166"/>
    <w:rsid w:val="001851C5"/>
    <w:rsid w:val="00185721"/>
    <w:rsid w:val="001858FD"/>
    <w:rsid w:val="001869F6"/>
    <w:rsid w:val="00192D1A"/>
    <w:rsid w:val="001943AC"/>
    <w:rsid w:val="001B1C20"/>
    <w:rsid w:val="001B1F0E"/>
    <w:rsid w:val="001B2443"/>
    <w:rsid w:val="001B2612"/>
    <w:rsid w:val="001B5108"/>
    <w:rsid w:val="001B6F36"/>
    <w:rsid w:val="001B7D1E"/>
    <w:rsid w:val="001C24D0"/>
    <w:rsid w:val="001C4E00"/>
    <w:rsid w:val="001C5F8E"/>
    <w:rsid w:val="001C7BA9"/>
    <w:rsid w:val="001D4A64"/>
    <w:rsid w:val="001D4ADD"/>
    <w:rsid w:val="001D69D3"/>
    <w:rsid w:val="001D7DF0"/>
    <w:rsid w:val="001E33FA"/>
    <w:rsid w:val="001E4ED8"/>
    <w:rsid w:val="001E51AE"/>
    <w:rsid w:val="001E6E8A"/>
    <w:rsid w:val="001F133B"/>
    <w:rsid w:val="001F211C"/>
    <w:rsid w:val="002023E5"/>
    <w:rsid w:val="00203D5C"/>
    <w:rsid w:val="00204C13"/>
    <w:rsid w:val="00206851"/>
    <w:rsid w:val="00207D44"/>
    <w:rsid w:val="00211076"/>
    <w:rsid w:val="002119DF"/>
    <w:rsid w:val="00212962"/>
    <w:rsid w:val="00213D1A"/>
    <w:rsid w:val="00215DFA"/>
    <w:rsid w:val="00216E5C"/>
    <w:rsid w:val="002179F1"/>
    <w:rsid w:val="002218E7"/>
    <w:rsid w:val="002248F3"/>
    <w:rsid w:val="00227001"/>
    <w:rsid w:val="00227858"/>
    <w:rsid w:val="00230DE9"/>
    <w:rsid w:val="00234128"/>
    <w:rsid w:val="0024644F"/>
    <w:rsid w:val="0024796D"/>
    <w:rsid w:val="00250907"/>
    <w:rsid w:val="00255570"/>
    <w:rsid w:val="00256B5A"/>
    <w:rsid w:val="00256BC8"/>
    <w:rsid w:val="00263351"/>
    <w:rsid w:val="00264A31"/>
    <w:rsid w:val="002675FB"/>
    <w:rsid w:val="00273225"/>
    <w:rsid w:val="00281FA6"/>
    <w:rsid w:val="00292A18"/>
    <w:rsid w:val="00292C2B"/>
    <w:rsid w:val="002A476C"/>
    <w:rsid w:val="002A4F65"/>
    <w:rsid w:val="002B0C2C"/>
    <w:rsid w:val="002B29C2"/>
    <w:rsid w:val="002B3B7F"/>
    <w:rsid w:val="002B56FB"/>
    <w:rsid w:val="002B7716"/>
    <w:rsid w:val="002C44BC"/>
    <w:rsid w:val="002C4B6F"/>
    <w:rsid w:val="002E5F2F"/>
    <w:rsid w:val="0030062C"/>
    <w:rsid w:val="00303262"/>
    <w:rsid w:val="0030346B"/>
    <w:rsid w:val="00306292"/>
    <w:rsid w:val="0031065A"/>
    <w:rsid w:val="003114F4"/>
    <w:rsid w:val="003150A0"/>
    <w:rsid w:val="0032006A"/>
    <w:rsid w:val="00323685"/>
    <w:rsid w:val="0032396D"/>
    <w:rsid w:val="00323E73"/>
    <w:rsid w:val="0033791B"/>
    <w:rsid w:val="0034310E"/>
    <w:rsid w:val="00343EA0"/>
    <w:rsid w:val="003477AD"/>
    <w:rsid w:val="003503D4"/>
    <w:rsid w:val="00350C79"/>
    <w:rsid w:val="00351252"/>
    <w:rsid w:val="00354098"/>
    <w:rsid w:val="00355A89"/>
    <w:rsid w:val="003615B0"/>
    <w:rsid w:val="00361A03"/>
    <w:rsid w:val="00364C19"/>
    <w:rsid w:val="00370C6A"/>
    <w:rsid w:val="003733D6"/>
    <w:rsid w:val="00374E53"/>
    <w:rsid w:val="003760DC"/>
    <w:rsid w:val="003777D6"/>
    <w:rsid w:val="00381826"/>
    <w:rsid w:val="003835CE"/>
    <w:rsid w:val="00383825"/>
    <w:rsid w:val="00384D14"/>
    <w:rsid w:val="00391BEC"/>
    <w:rsid w:val="003935CF"/>
    <w:rsid w:val="003A00E0"/>
    <w:rsid w:val="003A262C"/>
    <w:rsid w:val="003A4FC4"/>
    <w:rsid w:val="003A73A2"/>
    <w:rsid w:val="003C020A"/>
    <w:rsid w:val="003C04D7"/>
    <w:rsid w:val="003C1601"/>
    <w:rsid w:val="003C25EE"/>
    <w:rsid w:val="003D0514"/>
    <w:rsid w:val="003D2272"/>
    <w:rsid w:val="003D6EBF"/>
    <w:rsid w:val="003E0489"/>
    <w:rsid w:val="003E1E5C"/>
    <w:rsid w:val="003E2615"/>
    <w:rsid w:val="003E4AED"/>
    <w:rsid w:val="003E4B0D"/>
    <w:rsid w:val="003E58A8"/>
    <w:rsid w:val="003F2BEF"/>
    <w:rsid w:val="003F388F"/>
    <w:rsid w:val="003F5007"/>
    <w:rsid w:val="00401698"/>
    <w:rsid w:val="00401E38"/>
    <w:rsid w:val="00404FE4"/>
    <w:rsid w:val="0040659B"/>
    <w:rsid w:val="00410549"/>
    <w:rsid w:val="00410F10"/>
    <w:rsid w:val="00411678"/>
    <w:rsid w:val="004148E4"/>
    <w:rsid w:val="00417E8C"/>
    <w:rsid w:val="00427B8C"/>
    <w:rsid w:val="00430C1F"/>
    <w:rsid w:val="0044073E"/>
    <w:rsid w:val="00441196"/>
    <w:rsid w:val="004478B6"/>
    <w:rsid w:val="004479CE"/>
    <w:rsid w:val="00450CC9"/>
    <w:rsid w:val="00452136"/>
    <w:rsid w:val="004544C4"/>
    <w:rsid w:val="00455360"/>
    <w:rsid w:val="00455B40"/>
    <w:rsid w:val="00455F70"/>
    <w:rsid w:val="00457F5F"/>
    <w:rsid w:val="00464E05"/>
    <w:rsid w:val="00464ED6"/>
    <w:rsid w:val="00471B02"/>
    <w:rsid w:val="0047207A"/>
    <w:rsid w:val="00482F4C"/>
    <w:rsid w:val="004911E8"/>
    <w:rsid w:val="00492BA9"/>
    <w:rsid w:val="00494045"/>
    <w:rsid w:val="00495771"/>
    <w:rsid w:val="00497505"/>
    <w:rsid w:val="00497E94"/>
    <w:rsid w:val="004A1645"/>
    <w:rsid w:val="004A2CB9"/>
    <w:rsid w:val="004B42EF"/>
    <w:rsid w:val="004B437B"/>
    <w:rsid w:val="004B45D1"/>
    <w:rsid w:val="004B7144"/>
    <w:rsid w:val="004B7371"/>
    <w:rsid w:val="004C1F41"/>
    <w:rsid w:val="004C4BFC"/>
    <w:rsid w:val="004C5D38"/>
    <w:rsid w:val="004E7FCA"/>
    <w:rsid w:val="004F5174"/>
    <w:rsid w:val="004F696D"/>
    <w:rsid w:val="004F6A81"/>
    <w:rsid w:val="005001BC"/>
    <w:rsid w:val="0050054A"/>
    <w:rsid w:val="00500DCF"/>
    <w:rsid w:val="0050177B"/>
    <w:rsid w:val="0050437E"/>
    <w:rsid w:val="00512A89"/>
    <w:rsid w:val="00525433"/>
    <w:rsid w:val="005256EB"/>
    <w:rsid w:val="0052581F"/>
    <w:rsid w:val="00526AAE"/>
    <w:rsid w:val="00532B21"/>
    <w:rsid w:val="00537401"/>
    <w:rsid w:val="005406E3"/>
    <w:rsid w:val="00541215"/>
    <w:rsid w:val="005423F1"/>
    <w:rsid w:val="005452A8"/>
    <w:rsid w:val="005462AE"/>
    <w:rsid w:val="00547C20"/>
    <w:rsid w:val="00561B22"/>
    <w:rsid w:val="0057033C"/>
    <w:rsid w:val="00571D3A"/>
    <w:rsid w:val="00577C28"/>
    <w:rsid w:val="005860AC"/>
    <w:rsid w:val="00593AAF"/>
    <w:rsid w:val="00593CD2"/>
    <w:rsid w:val="005A21E6"/>
    <w:rsid w:val="005A74CD"/>
    <w:rsid w:val="005B10E4"/>
    <w:rsid w:val="005B5B2C"/>
    <w:rsid w:val="005C09F2"/>
    <w:rsid w:val="005C13C9"/>
    <w:rsid w:val="005C219F"/>
    <w:rsid w:val="005C3B69"/>
    <w:rsid w:val="005D1643"/>
    <w:rsid w:val="005D3292"/>
    <w:rsid w:val="005E2D29"/>
    <w:rsid w:val="005E5044"/>
    <w:rsid w:val="005E516B"/>
    <w:rsid w:val="005F0456"/>
    <w:rsid w:val="005F359B"/>
    <w:rsid w:val="005F74B7"/>
    <w:rsid w:val="00602884"/>
    <w:rsid w:val="00604B45"/>
    <w:rsid w:val="00606D1D"/>
    <w:rsid w:val="006231F6"/>
    <w:rsid w:val="006378F1"/>
    <w:rsid w:val="00642993"/>
    <w:rsid w:val="00645801"/>
    <w:rsid w:val="006473DC"/>
    <w:rsid w:val="00654DF3"/>
    <w:rsid w:val="00656054"/>
    <w:rsid w:val="00660C9C"/>
    <w:rsid w:val="006641C5"/>
    <w:rsid w:val="00664F15"/>
    <w:rsid w:val="00666378"/>
    <w:rsid w:val="00667E05"/>
    <w:rsid w:val="006736FD"/>
    <w:rsid w:val="0067423C"/>
    <w:rsid w:val="006761D7"/>
    <w:rsid w:val="006813B2"/>
    <w:rsid w:val="00683F2D"/>
    <w:rsid w:val="00693BA0"/>
    <w:rsid w:val="00696F67"/>
    <w:rsid w:val="006A2179"/>
    <w:rsid w:val="006A3C94"/>
    <w:rsid w:val="006A577B"/>
    <w:rsid w:val="006A6862"/>
    <w:rsid w:val="006A7D56"/>
    <w:rsid w:val="006B0413"/>
    <w:rsid w:val="006B055A"/>
    <w:rsid w:val="006B7A1F"/>
    <w:rsid w:val="006D239B"/>
    <w:rsid w:val="006D24E8"/>
    <w:rsid w:val="006D74C3"/>
    <w:rsid w:val="006D75C3"/>
    <w:rsid w:val="006D7D19"/>
    <w:rsid w:val="006E0930"/>
    <w:rsid w:val="006E132C"/>
    <w:rsid w:val="006E1446"/>
    <w:rsid w:val="006E187B"/>
    <w:rsid w:val="006E19C3"/>
    <w:rsid w:val="006E2356"/>
    <w:rsid w:val="006E2A43"/>
    <w:rsid w:val="006E306D"/>
    <w:rsid w:val="006E3373"/>
    <w:rsid w:val="006E4FF5"/>
    <w:rsid w:val="006F11BC"/>
    <w:rsid w:val="006F5998"/>
    <w:rsid w:val="006F7AA0"/>
    <w:rsid w:val="006F7CF1"/>
    <w:rsid w:val="007008D2"/>
    <w:rsid w:val="00700E15"/>
    <w:rsid w:val="00710CD3"/>
    <w:rsid w:val="00712B1D"/>
    <w:rsid w:val="00714D98"/>
    <w:rsid w:val="007253EB"/>
    <w:rsid w:val="00726D9E"/>
    <w:rsid w:val="007301D5"/>
    <w:rsid w:val="007317A6"/>
    <w:rsid w:val="007353F1"/>
    <w:rsid w:val="007358C8"/>
    <w:rsid w:val="007364F4"/>
    <w:rsid w:val="00740B76"/>
    <w:rsid w:val="0074120F"/>
    <w:rsid w:val="007413B1"/>
    <w:rsid w:val="007503EB"/>
    <w:rsid w:val="00757801"/>
    <w:rsid w:val="007579EF"/>
    <w:rsid w:val="00760383"/>
    <w:rsid w:val="0076372F"/>
    <w:rsid w:val="007709DF"/>
    <w:rsid w:val="00771703"/>
    <w:rsid w:val="0077194F"/>
    <w:rsid w:val="007759BC"/>
    <w:rsid w:val="007811BF"/>
    <w:rsid w:val="00783050"/>
    <w:rsid w:val="00790FF3"/>
    <w:rsid w:val="00792D31"/>
    <w:rsid w:val="007940B1"/>
    <w:rsid w:val="007A3C01"/>
    <w:rsid w:val="007A4F61"/>
    <w:rsid w:val="007A5E42"/>
    <w:rsid w:val="007A5FFA"/>
    <w:rsid w:val="007B4457"/>
    <w:rsid w:val="007B47FB"/>
    <w:rsid w:val="007B633F"/>
    <w:rsid w:val="007C0B53"/>
    <w:rsid w:val="007C5C91"/>
    <w:rsid w:val="007E10DF"/>
    <w:rsid w:val="007E2584"/>
    <w:rsid w:val="007E2E3F"/>
    <w:rsid w:val="007F2332"/>
    <w:rsid w:val="007F2EA6"/>
    <w:rsid w:val="007F3870"/>
    <w:rsid w:val="007F571C"/>
    <w:rsid w:val="007F5CF6"/>
    <w:rsid w:val="007F5EEF"/>
    <w:rsid w:val="008016B1"/>
    <w:rsid w:val="0080748C"/>
    <w:rsid w:val="00814231"/>
    <w:rsid w:val="0081612E"/>
    <w:rsid w:val="00820F49"/>
    <w:rsid w:val="0082630D"/>
    <w:rsid w:val="008306C1"/>
    <w:rsid w:val="00830AE1"/>
    <w:rsid w:val="00830E59"/>
    <w:rsid w:val="0083380D"/>
    <w:rsid w:val="008379EE"/>
    <w:rsid w:val="0084051B"/>
    <w:rsid w:val="00841B83"/>
    <w:rsid w:val="00844A98"/>
    <w:rsid w:val="00844B2C"/>
    <w:rsid w:val="0084572E"/>
    <w:rsid w:val="00847FCF"/>
    <w:rsid w:val="008510B2"/>
    <w:rsid w:val="00852752"/>
    <w:rsid w:val="0085593C"/>
    <w:rsid w:val="00855AFA"/>
    <w:rsid w:val="008563EE"/>
    <w:rsid w:val="00864D4F"/>
    <w:rsid w:val="008707A4"/>
    <w:rsid w:val="00871FF1"/>
    <w:rsid w:val="00873695"/>
    <w:rsid w:val="008743B1"/>
    <w:rsid w:val="008826C2"/>
    <w:rsid w:val="008842E3"/>
    <w:rsid w:val="00885560"/>
    <w:rsid w:val="00885E67"/>
    <w:rsid w:val="00891503"/>
    <w:rsid w:val="008A16B3"/>
    <w:rsid w:val="008A7BF2"/>
    <w:rsid w:val="008B17AA"/>
    <w:rsid w:val="008B724F"/>
    <w:rsid w:val="008B7B66"/>
    <w:rsid w:val="008C2FC2"/>
    <w:rsid w:val="008C4AB2"/>
    <w:rsid w:val="008C51A1"/>
    <w:rsid w:val="008C69F4"/>
    <w:rsid w:val="008D1672"/>
    <w:rsid w:val="008D2DA9"/>
    <w:rsid w:val="008D6B32"/>
    <w:rsid w:val="008D6CD8"/>
    <w:rsid w:val="008D7A2B"/>
    <w:rsid w:val="008E20F7"/>
    <w:rsid w:val="008E4380"/>
    <w:rsid w:val="008F1866"/>
    <w:rsid w:val="00901152"/>
    <w:rsid w:val="0091174D"/>
    <w:rsid w:val="00913F0D"/>
    <w:rsid w:val="00915F44"/>
    <w:rsid w:val="009200DD"/>
    <w:rsid w:val="00920460"/>
    <w:rsid w:val="00922A7F"/>
    <w:rsid w:val="00925F37"/>
    <w:rsid w:val="00926A9D"/>
    <w:rsid w:val="00931913"/>
    <w:rsid w:val="009370BE"/>
    <w:rsid w:val="0094009F"/>
    <w:rsid w:val="009414E1"/>
    <w:rsid w:val="00944FBE"/>
    <w:rsid w:val="00954E09"/>
    <w:rsid w:val="00955076"/>
    <w:rsid w:val="0095597A"/>
    <w:rsid w:val="00955F4F"/>
    <w:rsid w:val="00956B5F"/>
    <w:rsid w:val="00957824"/>
    <w:rsid w:val="00960DEA"/>
    <w:rsid w:val="00960EC3"/>
    <w:rsid w:val="00963671"/>
    <w:rsid w:val="009644DD"/>
    <w:rsid w:val="009718E1"/>
    <w:rsid w:val="00972D9E"/>
    <w:rsid w:val="00991455"/>
    <w:rsid w:val="00991E50"/>
    <w:rsid w:val="00991EA0"/>
    <w:rsid w:val="00993A29"/>
    <w:rsid w:val="00996088"/>
    <w:rsid w:val="009A072C"/>
    <w:rsid w:val="009A1256"/>
    <w:rsid w:val="009A1AE0"/>
    <w:rsid w:val="009A75D7"/>
    <w:rsid w:val="009B1E14"/>
    <w:rsid w:val="009B57E5"/>
    <w:rsid w:val="009B660B"/>
    <w:rsid w:val="009B688F"/>
    <w:rsid w:val="009C1DC5"/>
    <w:rsid w:val="009C24B4"/>
    <w:rsid w:val="009C3999"/>
    <w:rsid w:val="009C7C02"/>
    <w:rsid w:val="009D4BB0"/>
    <w:rsid w:val="009D706B"/>
    <w:rsid w:val="009D7497"/>
    <w:rsid w:val="009E57EF"/>
    <w:rsid w:val="009F0478"/>
    <w:rsid w:val="009F3599"/>
    <w:rsid w:val="009F3764"/>
    <w:rsid w:val="009F5875"/>
    <w:rsid w:val="009F7003"/>
    <w:rsid w:val="009F75F8"/>
    <w:rsid w:val="00A0040C"/>
    <w:rsid w:val="00A009FA"/>
    <w:rsid w:val="00A103C5"/>
    <w:rsid w:val="00A11851"/>
    <w:rsid w:val="00A133AB"/>
    <w:rsid w:val="00A17BF9"/>
    <w:rsid w:val="00A21150"/>
    <w:rsid w:val="00A212F2"/>
    <w:rsid w:val="00A2209A"/>
    <w:rsid w:val="00A25DBD"/>
    <w:rsid w:val="00A26555"/>
    <w:rsid w:val="00A2730E"/>
    <w:rsid w:val="00A33A56"/>
    <w:rsid w:val="00A33BEE"/>
    <w:rsid w:val="00A35597"/>
    <w:rsid w:val="00A405B1"/>
    <w:rsid w:val="00A41C86"/>
    <w:rsid w:val="00A4330C"/>
    <w:rsid w:val="00A43447"/>
    <w:rsid w:val="00A43A70"/>
    <w:rsid w:val="00A46769"/>
    <w:rsid w:val="00A50A41"/>
    <w:rsid w:val="00A50FF4"/>
    <w:rsid w:val="00A558FC"/>
    <w:rsid w:val="00A57BA4"/>
    <w:rsid w:val="00A60B9E"/>
    <w:rsid w:val="00A616B8"/>
    <w:rsid w:val="00A619B0"/>
    <w:rsid w:val="00A653C8"/>
    <w:rsid w:val="00A65659"/>
    <w:rsid w:val="00A71C20"/>
    <w:rsid w:val="00A7250A"/>
    <w:rsid w:val="00A72953"/>
    <w:rsid w:val="00A81548"/>
    <w:rsid w:val="00A8190C"/>
    <w:rsid w:val="00A83C81"/>
    <w:rsid w:val="00A83C8A"/>
    <w:rsid w:val="00A86B74"/>
    <w:rsid w:val="00A877B5"/>
    <w:rsid w:val="00A94F1B"/>
    <w:rsid w:val="00A96834"/>
    <w:rsid w:val="00A970A6"/>
    <w:rsid w:val="00AA0198"/>
    <w:rsid w:val="00AA0296"/>
    <w:rsid w:val="00AA4089"/>
    <w:rsid w:val="00AA63C9"/>
    <w:rsid w:val="00AA7264"/>
    <w:rsid w:val="00AB02BF"/>
    <w:rsid w:val="00AB6BC1"/>
    <w:rsid w:val="00AB7D8A"/>
    <w:rsid w:val="00AC7914"/>
    <w:rsid w:val="00AC7A98"/>
    <w:rsid w:val="00AD0752"/>
    <w:rsid w:val="00AD53A7"/>
    <w:rsid w:val="00AD5A0F"/>
    <w:rsid w:val="00AE0928"/>
    <w:rsid w:val="00AE177B"/>
    <w:rsid w:val="00AE74EA"/>
    <w:rsid w:val="00AF2FCB"/>
    <w:rsid w:val="00AF6149"/>
    <w:rsid w:val="00B00021"/>
    <w:rsid w:val="00B00985"/>
    <w:rsid w:val="00B0683A"/>
    <w:rsid w:val="00B10C7F"/>
    <w:rsid w:val="00B13DF3"/>
    <w:rsid w:val="00B15322"/>
    <w:rsid w:val="00B175B9"/>
    <w:rsid w:val="00B2433E"/>
    <w:rsid w:val="00B253F8"/>
    <w:rsid w:val="00B3016F"/>
    <w:rsid w:val="00B31AB8"/>
    <w:rsid w:val="00B32710"/>
    <w:rsid w:val="00B327E7"/>
    <w:rsid w:val="00B335BD"/>
    <w:rsid w:val="00B33D44"/>
    <w:rsid w:val="00B343CB"/>
    <w:rsid w:val="00B35B0A"/>
    <w:rsid w:val="00B3604F"/>
    <w:rsid w:val="00B3705C"/>
    <w:rsid w:val="00B511B8"/>
    <w:rsid w:val="00B53B30"/>
    <w:rsid w:val="00B53E0A"/>
    <w:rsid w:val="00B6090D"/>
    <w:rsid w:val="00B617DE"/>
    <w:rsid w:val="00B61E9C"/>
    <w:rsid w:val="00B6594E"/>
    <w:rsid w:val="00B67513"/>
    <w:rsid w:val="00B67E25"/>
    <w:rsid w:val="00B92142"/>
    <w:rsid w:val="00B94CCE"/>
    <w:rsid w:val="00B96BB6"/>
    <w:rsid w:val="00BA0B53"/>
    <w:rsid w:val="00BA1FC3"/>
    <w:rsid w:val="00BA2854"/>
    <w:rsid w:val="00BA3657"/>
    <w:rsid w:val="00BB1610"/>
    <w:rsid w:val="00BB2E33"/>
    <w:rsid w:val="00BB76EA"/>
    <w:rsid w:val="00BC45DA"/>
    <w:rsid w:val="00BC5830"/>
    <w:rsid w:val="00BC79CC"/>
    <w:rsid w:val="00BC7F0C"/>
    <w:rsid w:val="00BD01CC"/>
    <w:rsid w:val="00BD5FEA"/>
    <w:rsid w:val="00BD622D"/>
    <w:rsid w:val="00BD7CFE"/>
    <w:rsid w:val="00BE3023"/>
    <w:rsid w:val="00BE3FD4"/>
    <w:rsid w:val="00BE4B9C"/>
    <w:rsid w:val="00BE70C8"/>
    <w:rsid w:val="00BE7AC3"/>
    <w:rsid w:val="00BF02A8"/>
    <w:rsid w:val="00BF1F16"/>
    <w:rsid w:val="00BF361E"/>
    <w:rsid w:val="00BF5027"/>
    <w:rsid w:val="00C0140F"/>
    <w:rsid w:val="00C018EC"/>
    <w:rsid w:val="00C0486A"/>
    <w:rsid w:val="00C0584E"/>
    <w:rsid w:val="00C06832"/>
    <w:rsid w:val="00C06A4D"/>
    <w:rsid w:val="00C1097E"/>
    <w:rsid w:val="00C143CC"/>
    <w:rsid w:val="00C1649C"/>
    <w:rsid w:val="00C20887"/>
    <w:rsid w:val="00C219D4"/>
    <w:rsid w:val="00C24A78"/>
    <w:rsid w:val="00C27DE7"/>
    <w:rsid w:val="00C3336B"/>
    <w:rsid w:val="00C35FCF"/>
    <w:rsid w:val="00C40299"/>
    <w:rsid w:val="00C41137"/>
    <w:rsid w:val="00C427BB"/>
    <w:rsid w:val="00C47CDB"/>
    <w:rsid w:val="00C501A4"/>
    <w:rsid w:val="00C510E9"/>
    <w:rsid w:val="00C618D1"/>
    <w:rsid w:val="00C64421"/>
    <w:rsid w:val="00C72142"/>
    <w:rsid w:val="00C7550C"/>
    <w:rsid w:val="00C76230"/>
    <w:rsid w:val="00C852CB"/>
    <w:rsid w:val="00C87D7D"/>
    <w:rsid w:val="00C95BCB"/>
    <w:rsid w:val="00C95D16"/>
    <w:rsid w:val="00C96FBE"/>
    <w:rsid w:val="00C97199"/>
    <w:rsid w:val="00C97660"/>
    <w:rsid w:val="00CA57BD"/>
    <w:rsid w:val="00CB1281"/>
    <w:rsid w:val="00CB19B0"/>
    <w:rsid w:val="00CB3DCB"/>
    <w:rsid w:val="00CC002C"/>
    <w:rsid w:val="00CC2A89"/>
    <w:rsid w:val="00CC6760"/>
    <w:rsid w:val="00CD45A4"/>
    <w:rsid w:val="00CE548F"/>
    <w:rsid w:val="00CF24A1"/>
    <w:rsid w:val="00CF24CB"/>
    <w:rsid w:val="00CF6BC1"/>
    <w:rsid w:val="00CF7F6E"/>
    <w:rsid w:val="00D039DB"/>
    <w:rsid w:val="00D03EC0"/>
    <w:rsid w:val="00D05848"/>
    <w:rsid w:val="00D06733"/>
    <w:rsid w:val="00D10A0B"/>
    <w:rsid w:val="00D10C1D"/>
    <w:rsid w:val="00D1188F"/>
    <w:rsid w:val="00D13046"/>
    <w:rsid w:val="00D134FA"/>
    <w:rsid w:val="00D17D9A"/>
    <w:rsid w:val="00D17DB7"/>
    <w:rsid w:val="00D20A54"/>
    <w:rsid w:val="00D212F3"/>
    <w:rsid w:val="00D238C4"/>
    <w:rsid w:val="00D24E49"/>
    <w:rsid w:val="00D27A8F"/>
    <w:rsid w:val="00D303C2"/>
    <w:rsid w:val="00D35DB2"/>
    <w:rsid w:val="00D37780"/>
    <w:rsid w:val="00D40D91"/>
    <w:rsid w:val="00D41F7E"/>
    <w:rsid w:val="00D41FDF"/>
    <w:rsid w:val="00D46694"/>
    <w:rsid w:val="00D46741"/>
    <w:rsid w:val="00D46D41"/>
    <w:rsid w:val="00D52D08"/>
    <w:rsid w:val="00D54094"/>
    <w:rsid w:val="00D5779A"/>
    <w:rsid w:val="00D626C2"/>
    <w:rsid w:val="00D63DA4"/>
    <w:rsid w:val="00D64982"/>
    <w:rsid w:val="00D652F9"/>
    <w:rsid w:val="00D65937"/>
    <w:rsid w:val="00D72F57"/>
    <w:rsid w:val="00D76235"/>
    <w:rsid w:val="00D802C4"/>
    <w:rsid w:val="00D8062D"/>
    <w:rsid w:val="00D81F02"/>
    <w:rsid w:val="00D82A32"/>
    <w:rsid w:val="00D86C8A"/>
    <w:rsid w:val="00D91CE8"/>
    <w:rsid w:val="00D94659"/>
    <w:rsid w:val="00D97692"/>
    <w:rsid w:val="00DA2657"/>
    <w:rsid w:val="00DB2DB7"/>
    <w:rsid w:val="00DC03DD"/>
    <w:rsid w:val="00DD05B7"/>
    <w:rsid w:val="00DD4557"/>
    <w:rsid w:val="00DD4A3B"/>
    <w:rsid w:val="00DD4E16"/>
    <w:rsid w:val="00DD59C7"/>
    <w:rsid w:val="00DD78CE"/>
    <w:rsid w:val="00DE2645"/>
    <w:rsid w:val="00DF0317"/>
    <w:rsid w:val="00DF25C3"/>
    <w:rsid w:val="00DF4124"/>
    <w:rsid w:val="00DF6955"/>
    <w:rsid w:val="00E0005C"/>
    <w:rsid w:val="00E0486E"/>
    <w:rsid w:val="00E052AF"/>
    <w:rsid w:val="00E07DCC"/>
    <w:rsid w:val="00E15305"/>
    <w:rsid w:val="00E203C2"/>
    <w:rsid w:val="00E20823"/>
    <w:rsid w:val="00E2523D"/>
    <w:rsid w:val="00E316D9"/>
    <w:rsid w:val="00E348DD"/>
    <w:rsid w:val="00E36758"/>
    <w:rsid w:val="00E45E79"/>
    <w:rsid w:val="00E47244"/>
    <w:rsid w:val="00E47752"/>
    <w:rsid w:val="00E541CB"/>
    <w:rsid w:val="00E54DBD"/>
    <w:rsid w:val="00E56AF1"/>
    <w:rsid w:val="00E57C7F"/>
    <w:rsid w:val="00E61B68"/>
    <w:rsid w:val="00E66FC5"/>
    <w:rsid w:val="00E67EC9"/>
    <w:rsid w:val="00E70FE0"/>
    <w:rsid w:val="00E7205A"/>
    <w:rsid w:val="00E741E6"/>
    <w:rsid w:val="00E75958"/>
    <w:rsid w:val="00E770F8"/>
    <w:rsid w:val="00E80AEF"/>
    <w:rsid w:val="00E823A8"/>
    <w:rsid w:val="00E917AF"/>
    <w:rsid w:val="00E95895"/>
    <w:rsid w:val="00E95ECD"/>
    <w:rsid w:val="00EA5625"/>
    <w:rsid w:val="00EA7956"/>
    <w:rsid w:val="00EB024A"/>
    <w:rsid w:val="00EB2E32"/>
    <w:rsid w:val="00EB37D7"/>
    <w:rsid w:val="00EC18C4"/>
    <w:rsid w:val="00EC5A6D"/>
    <w:rsid w:val="00EC7B7F"/>
    <w:rsid w:val="00ED0340"/>
    <w:rsid w:val="00ED1983"/>
    <w:rsid w:val="00ED352A"/>
    <w:rsid w:val="00EF551D"/>
    <w:rsid w:val="00EF601A"/>
    <w:rsid w:val="00EF7B4E"/>
    <w:rsid w:val="00F02969"/>
    <w:rsid w:val="00F02B14"/>
    <w:rsid w:val="00F0405B"/>
    <w:rsid w:val="00F1014E"/>
    <w:rsid w:val="00F12D35"/>
    <w:rsid w:val="00F148E6"/>
    <w:rsid w:val="00F16EA3"/>
    <w:rsid w:val="00F2167E"/>
    <w:rsid w:val="00F22871"/>
    <w:rsid w:val="00F23AA1"/>
    <w:rsid w:val="00F321B4"/>
    <w:rsid w:val="00F36D83"/>
    <w:rsid w:val="00F45C58"/>
    <w:rsid w:val="00F46954"/>
    <w:rsid w:val="00F5083A"/>
    <w:rsid w:val="00F511E5"/>
    <w:rsid w:val="00F53912"/>
    <w:rsid w:val="00F54CEA"/>
    <w:rsid w:val="00F57564"/>
    <w:rsid w:val="00F60499"/>
    <w:rsid w:val="00F60A1E"/>
    <w:rsid w:val="00F621F8"/>
    <w:rsid w:val="00F675DE"/>
    <w:rsid w:val="00F70110"/>
    <w:rsid w:val="00F739E0"/>
    <w:rsid w:val="00F74ED8"/>
    <w:rsid w:val="00F864C4"/>
    <w:rsid w:val="00F93B6A"/>
    <w:rsid w:val="00F93EBE"/>
    <w:rsid w:val="00F971ED"/>
    <w:rsid w:val="00FA0F4A"/>
    <w:rsid w:val="00FA1535"/>
    <w:rsid w:val="00FA1FFF"/>
    <w:rsid w:val="00FA6FA2"/>
    <w:rsid w:val="00FB0DB0"/>
    <w:rsid w:val="00FB7417"/>
    <w:rsid w:val="00FB74DE"/>
    <w:rsid w:val="00FC1E10"/>
    <w:rsid w:val="00FC7DE1"/>
    <w:rsid w:val="00FD1176"/>
    <w:rsid w:val="00FD3E10"/>
    <w:rsid w:val="00FD7C7E"/>
    <w:rsid w:val="00FE09F7"/>
    <w:rsid w:val="00FE34E9"/>
    <w:rsid w:val="00FE405C"/>
    <w:rsid w:val="00FE5667"/>
    <w:rsid w:val="00FE6BAF"/>
    <w:rsid w:val="00FF01EB"/>
    <w:rsid w:val="00FF0610"/>
    <w:rsid w:val="00FF06D9"/>
    <w:rsid w:val="00FF1211"/>
    <w:rsid w:val="00FF301A"/>
    <w:rsid w:val="00FF3242"/>
    <w:rsid w:val="00FF79A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63706136-1D0D-43F5-B3B4-F73B8768E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ar-SA"/>
      </w:rPr>
    </w:rPrDefault>
    <w:pPrDefault/>
  </w:docDefaults>
  <w:latentStyles w:defLockedState="0" w:defUIPriority="29" w:defSemiHidden="0" w:defUnhideWhenUsed="0" w:defQFormat="0" w:count="371">
    <w:lsdException w:name="Normal" w:uiPriority="0"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nhideWhenUsed="1"/>
    <w:lsdException w:name="List Number 2" w:semiHidden="1" w:unhideWhenUsed="1"/>
    <w:lsdException w:name="List Number 3" w:semiHidden="1" w:uiPriority="99"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0"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9"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99"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99" w:unhideWhenUsed="1"/>
    <w:lsdException w:name="Table Grid" w:uiPriority="99"/>
    <w:lsdException w:name="Table Theme" w:semiHidden="1" w:uiPriority="0" w:unhideWhenUsed="1"/>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10"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99"/>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99"/>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99"/>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6"/>
    <w:qFormat/>
    <w:rsid w:val="00095BA6"/>
    <w:pPr>
      <w:spacing w:before="120" w:after="120" w:line="240" w:lineRule="atLeast"/>
    </w:pPr>
    <w:rPr>
      <w:rFonts w:ascii="Arial" w:hAnsi="Arial"/>
      <w:szCs w:val="24"/>
    </w:rPr>
  </w:style>
  <w:style w:type="paragraph" w:styleId="Heading1">
    <w:name w:val="heading 1"/>
    <w:aliases w:val="F3 Heading 1 - Section,(Section),h1,Numbered - 1,Section,Chapter Hdg,CH TITLE 1,Titre 1,1,H1,section head,al,section head1,h11,section head2,h12,section head3,h13,section head4,h14,Chapter Heading,IMPACT STUDY TITLE1,TITLE 1 NR,title 1 nr,1H"/>
    <w:basedOn w:val="NormalLeftAligned"/>
    <w:next w:val="BodyText"/>
    <w:link w:val="Heading1Char"/>
    <w:uiPriority w:val="99"/>
    <w:qFormat/>
    <w:rsid w:val="00A43447"/>
    <w:pPr>
      <w:keepNext/>
      <w:keepLines/>
      <w:pageBreakBefore/>
      <w:numPr>
        <w:numId w:val="20"/>
      </w:numPr>
      <w:spacing w:before="0" w:after="240"/>
      <w:outlineLvl w:val="0"/>
    </w:pPr>
    <w:rPr>
      <w:rFonts w:ascii="Calibri" w:eastAsiaTheme="majorEastAsia" w:hAnsi="Calibri" w:cstheme="majorBidi"/>
      <w:b/>
      <w:bCs/>
      <w:color w:val="0067AC"/>
      <w:sz w:val="32"/>
      <w:szCs w:val="28"/>
    </w:rPr>
  </w:style>
  <w:style w:type="paragraph" w:styleId="Heading2">
    <w:name w:val="heading 2"/>
    <w:aliases w:val="F4 Heading 2 - SubSection,(SubSection),h2,Para Nos,Para,Main Heading,Main Headi,Numbered - 2,(Main Heading),Paragraph,Sub Heading,ignorer2,Oscar Faber 2,Titre 2,2H,2h,2,subhead 1,ah,subhead 11,h21,subhead 12,h22,subhead 13,h23,subhead 14,h24,h"/>
    <w:basedOn w:val="NormalLeftAligned"/>
    <w:next w:val="BodyText"/>
    <w:link w:val="Heading2Char"/>
    <w:uiPriority w:val="99"/>
    <w:qFormat/>
    <w:rsid w:val="00A43447"/>
    <w:pPr>
      <w:keepNext/>
      <w:keepLines/>
      <w:numPr>
        <w:ilvl w:val="1"/>
        <w:numId w:val="20"/>
      </w:numPr>
      <w:spacing w:before="240" w:line="260" w:lineRule="atLeast"/>
      <w:outlineLvl w:val="1"/>
    </w:pPr>
    <w:rPr>
      <w:rFonts w:ascii="Calibri" w:eastAsiaTheme="majorEastAsia" w:hAnsi="Calibri" w:cstheme="majorBidi"/>
      <w:b/>
      <w:bCs/>
      <w:color w:val="0067AC"/>
      <w:sz w:val="26"/>
      <w:szCs w:val="26"/>
    </w:rPr>
  </w:style>
  <w:style w:type="paragraph" w:styleId="Heading3">
    <w:name w:val="heading 3"/>
    <w:aliases w:val="F5 Heading 3,h3,Numbered - 3,Titre 3,H3,Heading 31,uh,subhead 2,subhead 21,h31,subhead 22,h32,subhead 23,h33,IMPACT STUDY TITLE3,Title3,0H,0H1,0H2,0H11,0h,3h,3H,heading 3 + Indent: Left 0.25 in,ariad2-heading3,TITLE 3 NR,H31,Headline 3,Voorwo"/>
    <w:basedOn w:val="NormalLeftAligned"/>
    <w:next w:val="BodyText"/>
    <w:link w:val="Heading3Char"/>
    <w:uiPriority w:val="99"/>
    <w:qFormat/>
    <w:rsid w:val="00A43447"/>
    <w:pPr>
      <w:keepNext/>
      <w:keepLines/>
      <w:numPr>
        <w:ilvl w:val="2"/>
        <w:numId w:val="20"/>
      </w:numPr>
      <w:spacing w:before="200"/>
      <w:outlineLvl w:val="2"/>
    </w:pPr>
    <w:rPr>
      <w:rFonts w:ascii="Calibri" w:eastAsiaTheme="majorEastAsia" w:hAnsi="Calibri" w:cstheme="majorBidi"/>
      <w:b/>
      <w:bCs/>
      <w:color w:val="0067AC"/>
      <w:sz w:val="22"/>
    </w:rPr>
  </w:style>
  <w:style w:type="paragraph" w:styleId="Heading4">
    <w:name w:val="heading 4"/>
    <w:basedOn w:val="NormalLeftAligned"/>
    <w:next w:val="BodyText"/>
    <w:link w:val="Heading4Char"/>
    <w:uiPriority w:val="99"/>
    <w:qFormat/>
    <w:rsid w:val="00A43447"/>
    <w:pPr>
      <w:keepNext/>
      <w:keepLines/>
      <w:numPr>
        <w:ilvl w:val="3"/>
        <w:numId w:val="20"/>
      </w:numPr>
      <w:spacing w:after="0"/>
      <w:outlineLvl w:val="3"/>
    </w:pPr>
    <w:rPr>
      <w:rFonts w:ascii="Calibri" w:eastAsiaTheme="majorEastAsia" w:hAnsi="Calibri" w:cstheme="majorBidi"/>
      <w:b/>
      <w:bCs/>
      <w:i/>
      <w:iCs/>
      <w:color w:val="0067AC"/>
      <w:sz w:val="22"/>
    </w:rPr>
  </w:style>
  <w:style w:type="paragraph" w:styleId="Heading5">
    <w:name w:val="heading 5"/>
    <w:basedOn w:val="Normal"/>
    <w:next w:val="Normal"/>
    <w:link w:val="Heading5Char"/>
    <w:uiPriority w:val="99"/>
    <w:unhideWhenUsed/>
    <w:qFormat/>
    <w:rsid w:val="00A43447"/>
    <w:pPr>
      <w:keepNext/>
      <w:keepLines/>
      <w:numPr>
        <w:ilvl w:val="4"/>
        <w:numId w:val="20"/>
      </w:numPr>
      <w:spacing w:after="0"/>
      <w:outlineLvl w:val="4"/>
    </w:pPr>
    <w:rPr>
      <w:rFonts w:ascii="Calibri" w:eastAsiaTheme="majorEastAsia" w:hAnsi="Calibri" w:cstheme="majorBidi"/>
      <w:b/>
      <w:i/>
      <w:color w:val="0067AC"/>
      <w:sz w:val="22"/>
    </w:rPr>
  </w:style>
  <w:style w:type="paragraph" w:styleId="Heading6">
    <w:name w:val="heading 6"/>
    <w:basedOn w:val="Normal"/>
    <w:next w:val="Normal"/>
    <w:link w:val="Heading6Char"/>
    <w:uiPriority w:val="99"/>
    <w:unhideWhenUsed/>
    <w:qFormat/>
    <w:rsid w:val="002248F3"/>
    <w:pPr>
      <w:keepNext/>
      <w:keepLines/>
      <w:spacing w:before="200" w:after="0"/>
      <w:outlineLvl w:val="5"/>
    </w:pPr>
    <w:rPr>
      <w:rFonts w:ascii="Calibri" w:eastAsiaTheme="majorEastAsia" w:hAnsi="Calibri" w:cstheme="majorBidi"/>
      <w:b/>
      <w:i/>
      <w:iCs/>
      <w:color w:val="0067A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F3 Heading 1 - Section Char,(Section) Char,h1 Char,Numbered - 1 Char,Section Char,Chapter Hdg Char,CH TITLE 1 Char,Titre 1 Char,1 Char,H1 Char,section head Char,al Char,section head1 Char,h11 Char,section head2 Char,h12 Char,h13 Char"/>
    <w:basedOn w:val="DefaultParagraphFont"/>
    <w:link w:val="Heading1"/>
    <w:uiPriority w:val="99"/>
    <w:rsid w:val="00A43447"/>
    <w:rPr>
      <w:rFonts w:ascii="Calibri" w:eastAsiaTheme="majorEastAsia" w:hAnsi="Calibri" w:cstheme="majorBidi"/>
      <w:b/>
      <w:bCs/>
      <w:color w:val="0067AC"/>
      <w:sz w:val="32"/>
      <w:szCs w:val="28"/>
    </w:rPr>
  </w:style>
  <w:style w:type="character" w:customStyle="1" w:styleId="Heading2Char">
    <w:name w:val="Heading 2 Char"/>
    <w:aliases w:val="F4 Heading 2 - SubSection Char,(SubSection) Char,h2 Char,Para Nos Char,Para Char,Main Heading Char,Main Headi Char,Numbered - 2 Char,(Main Heading) Char,Paragraph Char,Sub Heading Char,ignorer2 Char,Oscar Faber 2 Char,Titre 2 Char,2H Char"/>
    <w:basedOn w:val="DefaultParagraphFont"/>
    <w:link w:val="Heading2"/>
    <w:uiPriority w:val="99"/>
    <w:rsid w:val="00A43447"/>
    <w:rPr>
      <w:rFonts w:ascii="Calibri" w:eastAsiaTheme="majorEastAsia" w:hAnsi="Calibri" w:cstheme="majorBidi"/>
      <w:b/>
      <w:bCs/>
      <w:color w:val="0067AC"/>
      <w:sz w:val="26"/>
      <w:szCs w:val="26"/>
    </w:rPr>
  </w:style>
  <w:style w:type="character" w:customStyle="1" w:styleId="Heading3Char">
    <w:name w:val="Heading 3 Char"/>
    <w:aliases w:val="F5 Heading 3 Char,h3 Char,Numbered - 3 Char,Titre 3 Char,H3 Char,Heading 31 Char,uh Char,subhead 2 Char,subhead 21 Char,h31 Char,subhead 22 Char,h32 Char,subhead 23 Char,h33 Char,IMPACT STUDY TITLE3 Char,Title3 Char,0H Char,0H1 Char"/>
    <w:basedOn w:val="DefaultParagraphFont"/>
    <w:link w:val="Heading3"/>
    <w:uiPriority w:val="99"/>
    <w:rsid w:val="00A43447"/>
    <w:rPr>
      <w:rFonts w:ascii="Calibri" w:eastAsiaTheme="majorEastAsia" w:hAnsi="Calibri" w:cstheme="majorBidi"/>
      <w:b/>
      <w:bCs/>
      <w:color w:val="0067AC"/>
      <w:sz w:val="22"/>
      <w:szCs w:val="24"/>
    </w:rPr>
  </w:style>
  <w:style w:type="paragraph" w:styleId="BlockText">
    <w:name w:val="Block Text"/>
    <w:basedOn w:val="Normal"/>
    <w:uiPriority w:val="99"/>
    <w:semiHidden/>
    <w:rsid w:val="002B3B7F"/>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odyText">
    <w:name w:val="Body Text"/>
    <w:aliases w:val="Document,Doc,Body Text2,doc,Standard paragraph,BodyText,(Norm),Body Text 12,bt,gl,uvlaka 2,heading3,Body Text - Level 2,1body,BodText,body text,Body Txt,Body Text-10,Body Text Char2,Text Char1,Τίτλος Μελέτης,- TF,Corps de texte,Text,b"/>
    <w:basedOn w:val="Normal"/>
    <w:link w:val="BodyTextChar"/>
    <w:uiPriority w:val="99"/>
    <w:qFormat/>
    <w:rsid w:val="00561B22"/>
    <w:pPr>
      <w:ind w:left="851"/>
    </w:pPr>
  </w:style>
  <w:style w:type="character" w:customStyle="1" w:styleId="BodyTextChar">
    <w:name w:val="Body Text Char"/>
    <w:aliases w:val="Document Char,Doc Char,Body Text2 Char,doc Char,Standard paragraph Char,BodyText Char,(Norm) Char,Body Text 12 Char,bt Char,gl Char,uvlaka 2 Char,heading3 Char,Body Text - Level 2 Char,1body Char,BodText Char,body text Char,Body Txt Char"/>
    <w:basedOn w:val="DefaultParagraphFont"/>
    <w:link w:val="BodyText"/>
    <w:uiPriority w:val="99"/>
    <w:rsid w:val="009F0478"/>
    <w:rPr>
      <w:rFonts w:ascii="Arial" w:hAnsi="Arial"/>
      <w:szCs w:val="24"/>
    </w:rPr>
  </w:style>
  <w:style w:type="paragraph" w:customStyle="1" w:styleId="Heading1NoNumb">
    <w:name w:val="Heading 1NoNumb"/>
    <w:basedOn w:val="Heading1"/>
    <w:next w:val="Normal"/>
    <w:uiPriority w:val="99"/>
    <w:qFormat/>
    <w:rsid w:val="009D7497"/>
    <w:pPr>
      <w:numPr>
        <w:numId w:val="0"/>
      </w:numPr>
    </w:pPr>
  </w:style>
  <w:style w:type="paragraph" w:customStyle="1" w:styleId="Heading2NoNumb">
    <w:name w:val="Heading 2NoNumb"/>
    <w:basedOn w:val="Heading2"/>
    <w:next w:val="Normal"/>
    <w:uiPriority w:val="99"/>
    <w:qFormat/>
    <w:rsid w:val="005B10E4"/>
    <w:pPr>
      <w:numPr>
        <w:ilvl w:val="0"/>
        <w:numId w:val="0"/>
      </w:numPr>
    </w:pPr>
  </w:style>
  <w:style w:type="paragraph" w:customStyle="1" w:styleId="BTBullet1">
    <w:name w:val="BTBullet1"/>
    <w:basedOn w:val="Normal"/>
    <w:uiPriority w:val="6"/>
    <w:qFormat/>
    <w:rsid w:val="0094009F"/>
    <w:pPr>
      <w:numPr>
        <w:numId w:val="22"/>
      </w:numPr>
      <w:spacing w:before="0" w:after="0"/>
    </w:pPr>
  </w:style>
  <w:style w:type="paragraph" w:customStyle="1" w:styleId="Figure">
    <w:name w:val="Figure"/>
    <w:basedOn w:val="NormalLeftAligned"/>
    <w:next w:val="BodyText"/>
    <w:uiPriority w:val="99"/>
    <w:qFormat/>
    <w:rsid w:val="00A43447"/>
    <w:pPr>
      <w:keepNext/>
      <w:numPr>
        <w:ilvl w:val="5"/>
        <w:numId w:val="20"/>
      </w:numPr>
    </w:pPr>
    <w:rPr>
      <w:rFonts w:ascii="Calibri" w:hAnsi="Calibri"/>
      <w:b/>
      <w:color w:val="0067AC"/>
    </w:rPr>
  </w:style>
  <w:style w:type="paragraph" w:styleId="BalloonText">
    <w:name w:val="Balloon Text"/>
    <w:basedOn w:val="Normal"/>
    <w:link w:val="BalloonTextChar"/>
    <w:uiPriority w:val="99"/>
    <w:semiHidden/>
    <w:rsid w:val="006E2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63C9"/>
    <w:rPr>
      <w:rFonts w:ascii="Tahoma" w:hAnsi="Tahoma" w:cs="Tahoma"/>
      <w:sz w:val="16"/>
      <w:szCs w:val="16"/>
    </w:rPr>
  </w:style>
  <w:style w:type="paragraph" w:styleId="Header">
    <w:name w:val="header"/>
    <w:basedOn w:val="NormalLeftAligned"/>
    <w:link w:val="HeaderChar"/>
    <w:uiPriority w:val="99"/>
    <w:rsid w:val="0074120F"/>
    <w:pPr>
      <w:tabs>
        <w:tab w:val="center" w:pos="4513"/>
        <w:tab w:val="right" w:pos="9026"/>
      </w:tabs>
      <w:spacing w:before="0" w:after="0" w:line="240" w:lineRule="auto"/>
    </w:pPr>
    <w:rPr>
      <w:rFonts w:ascii="Calibri" w:hAnsi="Calibri"/>
      <w:color w:val="0067AC"/>
    </w:rPr>
  </w:style>
  <w:style w:type="character" w:customStyle="1" w:styleId="HeaderChar">
    <w:name w:val="Header Char"/>
    <w:basedOn w:val="DefaultParagraphFont"/>
    <w:link w:val="Header"/>
    <w:uiPriority w:val="99"/>
    <w:rsid w:val="0074120F"/>
    <w:rPr>
      <w:rFonts w:ascii="Calibri" w:hAnsi="Calibri"/>
      <w:color w:val="0067AC"/>
      <w:szCs w:val="24"/>
    </w:rPr>
  </w:style>
  <w:style w:type="paragraph" w:styleId="Footer">
    <w:name w:val="footer"/>
    <w:basedOn w:val="NormalLeftAligned"/>
    <w:link w:val="FooterChar"/>
    <w:uiPriority w:val="99"/>
    <w:rsid w:val="00E917AF"/>
    <w:pPr>
      <w:tabs>
        <w:tab w:val="right" w:pos="9072"/>
      </w:tabs>
      <w:spacing w:before="0" w:after="0" w:line="240" w:lineRule="auto"/>
    </w:pPr>
  </w:style>
  <w:style w:type="character" w:customStyle="1" w:styleId="FooterChar">
    <w:name w:val="Footer Char"/>
    <w:basedOn w:val="DefaultParagraphFont"/>
    <w:link w:val="Footer"/>
    <w:uiPriority w:val="99"/>
    <w:rsid w:val="00FA1FFF"/>
    <w:rPr>
      <w:rFonts w:ascii="Arial" w:hAnsi="Arial"/>
      <w:szCs w:val="24"/>
    </w:rPr>
  </w:style>
  <w:style w:type="table" w:styleId="TableGrid">
    <w:name w:val="Table Grid"/>
    <w:basedOn w:val="TableNormal"/>
    <w:uiPriority w:val="99"/>
    <w:rsid w:val="001E33F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Quote">
    <w:name w:val="Quote"/>
    <w:basedOn w:val="Normal"/>
    <w:next w:val="Normal"/>
    <w:link w:val="QuoteChar"/>
    <w:uiPriority w:val="10"/>
    <w:qFormat/>
    <w:rsid w:val="00E741E6"/>
    <w:pPr>
      <w:ind w:left="851"/>
    </w:pPr>
    <w:rPr>
      <w:i/>
      <w:iCs/>
      <w:color w:val="000000" w:themeColor="text1"/>
    </w:rPr>
  </w:style>
  <w:style w:type="character" w:customStyle="1" w:styleId="QuoteChar">
    <w:name w:val="Quote Char"/>
    <w:basedOn w:val="DefaultParagraphFont"/>
    <w:link w:val="Quote"/>
    <w:uiPriority w:val="10"/>
    <w:rsid w:val="00E741E6"/>
    <w:rPr>
      <w:rFonts w:ascii="Arial" w:hAnsi="Arial"/>
      <w:i/>
      <w:iCs/>
      <w:color w:val="000000" w:themeColor="text1"/>
      <w:szCs w:val="24"/>
    </w:rPr>
  </w:style>
  <w:style w:type="paragraph" w:customStyle="1" w:styleId="Table">
    <w:name w:val="Table"/>
    <w:basedOn w:val="Normal"/>
    <w:next w:val="BodyText"/>
    <w:uiPriority w:val="99"/>
    <w:qFormat/>
    <w:rsid w:val="00A43447"/>
    <w:pPr>
      <w:keepNext/>
      <w:numPr>
        <w:ilvl w:val="6"/>
        <w:numId w:val="20"/>
      </w:numPr>
    </w:pPr>
    <w:rPr>
      <w:rFonts w:ascii="Calibri" w:hAnsi="Calibri"/>
      <w:b/>
      <w:color w:val="0067AC"/>
    </w:rPr>
  </w:style>
  <w:style w:type="paragraph" w:customStyle="1" w:styleId="TableText">
    <w:name w:val="TableText"/>
    <w:basedOn w:val="NormalLeftAligned"/>
    <w:uiPriority w:val="99"/>
    <w:qFormat/>
    <w:rsid w:val="00A86B74"/>
    <w:pPr>
      <w:spacing w:before="0" w:line="220" w:lineRule="atLeast"/>
    </w:pPr>
    <w:rPr>
      <w:sz w:val="18"/>
    </w:rPr>
  </w:style>
  <w:style w:type="paragraph" w:customStyle="1" w:styleId="TableTitle">
    <w:name w:val="TableTitle"/>
    <w:basedOn w:val="TableText"/>
    <w:uiPriority w:val="99"/>
    <w:qFormat/>
    <w:rsid w:val="00211076"/>
    <w:pPr>
      <w:spacing w:after="0"/>
    </w:pPr>
    <w:rPr>
      <w:rFonts w:ascii="Calibri" w:hAnsi="Calibri"/>
      <w:b/>
      <w:color w:val="0067AC"/>
    </w:rPr>
  </w:style>
  <w:style w:type="character" w:customStyle="1" w:styleId="Heading4Char">
    <w:name w:val="Heading 4 Char"/>
    <w:basedOn w:val="DefaultParagraphFont"/>
    <w:link w:val="Heading4"/>
    <w:uiPriority w:val="99"/>
    <w:rsid w:val="00A43447"/>
    <w:rPr>
      <w:rFonts w:ascii="Calibri" w:eastAsiaTheme="majorEastAsia" w:hAnsi="Calibri" w:cstheme="majorBidi"/>
      <w:b/>
      <w:bCs/>
      <w:i/>
      <w:iCs/>
      <w:color w:val="0067AC"/>
      <w:sz w:val="22"/>
      <w:szCs w:val="24"/>
    </w:rPr>
  </w:style>
  <w:style w:type="paragraph" w:customStyle="1" w:styleId="KeyMessage">
    <w:name w:val="KeyMessage"/>
    <w:basedOn w:val="BodyText"/>
    <w:uiPriority w:val="99"/>
    <w:semiHidden/>
    <w:qFormat/>
    <w:rsid w:val="00B94CCE"/>
    <w:pPr>
      <w:pBdr>
        <w:top w:val="single" w:sz="4" w:space="4" w:color="77C8FF" w:themeColor="text2" w:themeTint="66"/>
        <w:left w:val="single" w:sz="4" w:space="4" w:color="77C8FF" w:themeColor="text2" w:themeTint="66"/>
        <w:bottom w:val="single" w:sz="4" w:space="4" w:color="77C8FF" w:themeColor="text2" w:themeTint="66"/>
        <w:right w:val="single" w:sz="4" w:space="4" w:color="77C8FF" w:themeColor="text2" w:themeTint="66"/>
      </w:pBdr>
      <w:shd w:val="clear" w:color="auto" w:fill="77C8FF" w:themeFill="text2" w:themeFillTint="66"/>
      <w:ind w:left="964" w:right="113"/>
    </w:pPr>
  </w:style>
  <w:style w:type="paragraph" w:customStyle="1" w:styleId="TableNumbList">
    <w:name w:val="TableNumbList"/>
    <w:basedOn w:val="TableText"/>
    <w:uiPriority w:val="99"/>
    <w:qFormat/>
    <w:rsid w:val="00CF6BC1"/>
    <w:pPr>
      <w:numPr>
        <w:numId w:val="8"/>
      </w:numPr>
      <w:spacing w:after="0"/>
    </w:pPr>
  </w:style>
  <w:style w:type="paragraph" w:customStyle="1" w:styleId="TableTextNoSpace">
    <w:name w:val="TableTextNoSpace"/>
    <w:basedOn w:val="TableText"/>
    <w:uiPriority w:val="99"/>
    <w:qFormat/>
    <w:rsid w:val="00891503"/>
    <w:pPr>
      <w:spacing w:after="0"/>
    </w:pPr>
  </w:style>
  <w:style w:type="paragraph" w:customStyle="1" w:styleId="BTBullet2">
    <w:name w:val="BTBullet2"/>
    <w:basedOn w:val="Normal"/>
    <w:uiPriority w:val="6"/>
    <w:qFormat/>
    <w:rsid w:val="0094009F"/>
    <w:pPr>
      <w:numPr>
        <w:ilvl w:val="1"/>
        <w:numId w:val="22"/>
      </w:numPr>
      <w:spacing w:before="0" w:after="0"/>
    </w:pPr>
  </w:style>
  <w:style w:type="paragraph" w:customStyle="1" w:styleId="NumbList">
    <w:name w:val="NumbList"/>
    <w:basedOn w:val="Normal"/>
    <w:link w:val="NumbListChar"/>
    <w:uiPriority w:val="99"/>
    <w:qFormat/>
    <w:rsid w:val="00541215"/>
    <w:pPr>
      <w:numPr>
        <w:numId w:val="10"/>
      </w:numPr>
      <w:spacing w:before="0" w:after="0"/>
    </w:pPr>
  </w:style>
  <w:style w:type="paragraph" w:customStyle="1" w:styleId="FooterLand">
    <w:name w:val="FooterLand"/>
    <w:basedOn w:val="Footer"/>
    <w:uiPriority w:val="99"/>
    <w:semiHidden/>
    <w:qFormat/>
    <w:rsid w:val="007C5C91"/>
    <w:pPr>
      <w:tabs>
        <w:tab w:val="clear" w:pos="9072"/>
        <w:tab w:val="right" w:pos="14005"/>
      </w:tabs>
    </w:pPr>
  </w:style>
  <w:style w:type="paragraph" w:customStyle="1" w:styleId="TableHeading">
    <w:name w:val="TableHeading"/>
    <w:basedOn w:val="Normal"/>
    <w:next w:val="TableText"/>
    <w:uiPriority w:val="99"/>
    <w:qFormat/>
    <w:rsid w:val="003D2272"/>
    <w:rPr>
      <w:rFonts w:ascii="Calibri" w:hAnsi="Calibri"/>
      <w:color w:val="0067AC"/>
    </w:rPr>
  </w:style>
  <w:style w:type="paragraph" w:styleId="FootnoteText">
    <w:name w:val="footnote text"/>
    <w:aliases w:val="Footnote,Schriftart: 9 pt,Schriftart: 10 pt,Schriftart: 8 pt,o,Testo nota a piè di pagina Carattere,Footnote text,Fußnote,Char Char Car,Fußnotentextf,Note de bas de page Car Car Car Car Car Car Car Car Car Car,f,ft,fn,Footnote Text Char C"/>
    <w:basedOn w:val="Normal"/>
    <w:link w:val="FootnoteTextChar"/>
    <w:qFormat/>
    <w:rsid w:val="00DD05B7"/>
    <w:pPr>
      <w:spacing w:before="0" w:after="60" w:line="240" w:lineRule="auto"/>
    </w:pPr>
    <w:rPr>
      <w:sz w:val="18"/>
      <w:szCs w:val="20"/>
    </w:rPr>
  </w:style>
  <w:style w:type="character" w:customStyle="1" w:styleId="FootnoteTextChar">
    <w:name w:val="Footnote Text Char"/>
    <w:aliases w:val="Footnote Char,Schriftart: 9 pt Char,Schriftart: 10 pt Char,Schriftart: 8 pt Char,o Char,Testo nota a piè di pagina Carattere Char,Footnote text Char,Fußnote Char,Char Char Car Char,Fußnotentextf Char,f Char,ft Char,fn Char"/>
    <w:basedOn w:val="DefaultParagraphFont"/>
    <w:link w:val="FootnoteText"/>
    <w:rsid w:val="00AA63C9"/>
    <w:rPr>
      <w:rFonts w:ascii="Arial" w:hAnsi="Arial"/>
      <w:sz w:val="18"/>
    </w:rPr>
  </w:style>
  <w:style w:type="character" w:styleId="FootnoteReference">
    <w:name w:val="footnote reference"/>
    <w:aliases w:val="Footnote Reference Superscript,Footnote symbol,Footnote Reference/,richiamo note eggsi,Rimando nota a piè di pagina1,BVI fnr,Footnotes refss,Footnote Reference Number,Numbering - Footnote,nota de rodapé,Voetnootverwijzing,FR,note TESI"/>
    <w:basedOn w:val="DefaultParagraphFont"/>
    <w:rsid w:val="00DD05B7"/>
    <w:rPr>
      <w:vertAlign w:val="superscript"/>
    </w:rPr>
  </w:style>
  <w:style w:type="paragraph" w:customStyle="1" w:styleId="CaseStudy">
    <w:name w:val="CaseStudy"/>
    <w:basedOn w:val="BodyText"/>
    <w:next w:val="TableText"/>
    <w:uiPriority w:val="99"/>
    <w:qFormat/>
    <w:rsid w:val="001C24D0"/>
    <w:pPr>
      <w:numPr>
        <w:numId w:val="16"/>
      </w:numPr>
      <w:tabs>
        <w:tab w:val="left" w:pos="1814"/>
      </w:tabs>
    </w:pPr>
    <w:rPr>
      <w:rFonts w:ascii="Calibri" w:hAnsi="Calibri"/>
      <w:b/>
      <w:color w:val="0067AC"/>
      <w:sz w:val="28"/>
    </w:rPr>
  </w:style>
  <w:style w:type="paragraph" w:customStyle="1" w:styleId="TableLeft">
    <w:name w:val="TableLeft"/>
    <w:basedOn w:val="Table"/>
    <w:uiPriority w:val="99"/>
    <w:semiHidden/>
    <w:qFormat/>
    <w:rsid w:val="002248F3"/>
    <w:pPr>
      <w:ind w:left="1077"/>
    </w:pPr>
  </w:style>
  <w:style w:type="paragraph" w:customStyle="1" w:styleId="Heading1NoTOC">
    <w:name w:val="Heading 1NoTOC"/>
    <w:basedOn w:val="Heading1"/>
    <w:next w:val="Normal"/>
    <w:uiPriority w:val="99"/>
    <w:qFormat/>
    <w:rsid w:val="004B7371"/>
    <w:pPr>
      <w:numPr>
        <w:numId w:val="0"/>
      </w:numPr>
    </w:pPr>
  </w:style>
  <w:style w:type="paragraph" w:styleId="TOC2">
    <w:name w:val="toc 2"/>
    <w:basedOn w:val="NormalLeftAligned"/>
    <w:next w:val="Normal"/>
    <w:autoRedefine/>
    <w:uiPriority w:val="39"/>
    <w:rsid w:val="00BE4B9C"/>
    <w:pPr>
      <w:tabs>
        <w:tab w:val="right" w:leader="dot" w:pos="9061"/>
      </w:tabs>
      <w:spacing w:after="0"/>
      <w:ind w:right="284"/>
    </w:pPr>
    <w:rPr>
      <w:rFonts w:ascii="Calibri" w:hAnsi="Calibri"/>
      <w:b/>
      <w:color w:val="0067AC"/>
      <w:sz w:val="24"/>
    </w:rPr>
  </w:style>
  <w:style w:type="paragraph" w:styleId="TOC1">
    <w:name w:val="toc 1"/>
    <w:basedOn w:val="NormalLeftAligned"/>
    <w:next w:val="Normal"/>
    <w:autoRedefine/>
    <w:uiPriority w:val="39"/>
    <w:rsid w:val="00537401"/>
    <w:pPr>
      <w:tabs>
        <w:tab w:val="left" w:pos="720"/>
        <w:tab w:val="left" w:pos="8787"/>
      </w:tabs>
      <w:spacing w:after="0"/>
      <w:ind w:left="720" w:right="284" w:hanging="720"/>
    </w:pPr>
    <w:rPr>
      <w:rFonts w:ascii="Calibri" w:hAnsi="Calibri"/>
      <w:b/>
      <w:color w:val="0067AC"/>
      <w:sz w:val="24"/>
    </w:rPr>
  </w:style>
  <w:style w:type="paragraph" w:styleId="TOC3">
    <w:name w:val="toc 3"/>
    <w:basedOn w:val="NormalLeftAligned"/>
    <w:next w:val="Normal"/>
    <w:autoRedefine/>
    <w:uiPriority w:val="39"/>
    <w:rsid w:val="00537401"/>
    <w:pPr>
      <w:tabs>
        <w:tab w:val="left" w:pos="1100"/>
        <w:tab w:val="right" w:leader="dot" w:pos="9061"/>
      </w:tabs>
      <w:spacing w:before="0" w:after="0"/>
      <w:ind w:left="720" w:right="284" w:hanging="720"/>
    </w:pPr>
  </w:style>
  <w:style w:type="character" w:styleId="Hyperlink">
    <w:name w:val="Hyperlink"/>
    <w:basedOn w:val="DefaultParagraphFont"/>
    <w:uiPriority w:val="99"/>
    <w:unhideWhenUsed/>
    <w:rsid w:val="00ED0340"/>
    <w:rPr>
      <w:color w:val="0000FF" w:themeColor="hyperlink"/>
      <w:u w:val="single"/>
    </w:rPr>
  </w:style>
  <w:style w:type="paragraph" w:styleId="TOC4">
    <w:name w:val="toc 4"/>
    <w:basedOn w:val="NormalLeftAligned"/>
    <w:next w:val="Normal"/>
    <w:autoRedefine/>
    <w:uiPriority w:val="39"/>
    <w:rsid w:val="00537401"/>
    <w:pPr>
      <w:tabs>
        <w:tab w:val="left" w:pos="1531"/>
        <w:tab w:val="right" w:leader="dot" w:pos="9061"/>
      </w:tabs>
      <w:spacing w:before="0" w:after="0"/>
      <w:ind w:left="720" w:hanging="720"/>
    </w:pPr>
  </w:style>
  <w:style w:type="paragraph" w:customStyle="1" w:styleId="DocTitle">
    <w:name w:val="DocTitle"/>
    <w:basedOn w:val="NormalLeftAligned"/>
    <w:uiPriority w:val="99"/>
    <w:qFormat/>
    <w:rsid w:val="002248F3"/>
    <w:pPr>
      <w:spacing w:before="600"/>
    </w:pPr>
    <w:rPr>
      <w:rFonts w:ascii="Calibri" w:hAnsi="Calibri"/>
      <w:b/>
      <w:color w:val="0067AC"/>
      <w:sz w:val="48"/>
    </w:rPr>
  </w:style>
  <w:style w:type="paragraph" w:customStyle="1" w:styleId="DocSubTitle">
    <w:name w:val="DocSubTitle"/>
    <w:basedOn w:val="NormalLeftAligned"/>
    <w:uiPriority w:val="99"/>
    <w:qFormat/>
    <w:rsid w:val="002248F3"/>
    <w:rPr>
      <w:rFonts w:ascii="Calibri" w:hAnsi="Calibri"/>
      <w:b/>
      <w:color w:val="0067AC"/>
      <w:sz w:val="28"/>
    </w:rPr>
  </w:style>
  <w:style w:type="paragraph" w:customStyle="1" w:styleId="DocPartner">
    <w:name w:val="DocPartner"/>
    <w:basedOn w:val="NormalLeftAligned"/>
    <w:uiPriority w:val="99"/>
    <w:qFormat/>
    <w:rsid w:val="0074120F"/>
    <w:rPr>
      <w:rFonts w:ascii="Calibri" w:hAnsi="Calibri"/>
      <w:color w:val="0067AC"/>
      <w:sz w:val="24"/>
    </w:rPr>
  </w:style>
  <w:style w:type="paragraph" w:customStyle="1" w:styleId="NormalNoSpace">
    <w:name w:val="NormalNoSpace"/>
    <w:basedOn w:val="Normal"/>
    <w:uiPriority w:val="99"/>
    <w:qFormat/>
    <w:rsid w:val="00760383"/>
    <w:pPr>
      <w:spacing w:before="0" w:after="0"/>
    </w:pPr>
  </w:style>
  <w:style w:type="paragraph" w:customStyle="1" w:styleId="Divider">
    <w:name w:val="Divider"/>
    <w:basedOn w:val="NormalLeftAligned"/>
    <w:next w:val="Normal"/>
    <w:uiPriority w:val="99"/>
    <w:semiHidden/>
    <w:qFormat/>
    <w:rsid w:val="002248F3"/>
    <w:pPr>
      <w:pageBreakBefore/>
      <w:spacing w:line="240" w:lineRule="auto"/>
    </w:pPr>
    <w:rPr>
      <w:rFonts w:ascii="Calibri" w:hAnsi="Calibri"/>
      <w:b/>
      <w:color w:val="0067AC"/>
      <w:sz w:val="72"/>
    </w:rPr>
  </w:style>
  <w:style w:type="paragraph" w:customStyle="1" w:styleId="Evidence">
    <w:name w:val="Evidence"/>
    <w:basedOn w:val="TableText"/>
    <w:next w:val="Normal"/>
    <w:uiPriority w:val="99"/>
    <w:qFormat/>
    <w:rsid w:val="001C24D0"/>
    <w:pPr>
      <w:numPr>
        <w:ilvl w:val="1"/>
        <w:numId w:val="16"/>
      </w:numPr>
      <w:spacing w:before="120"/>
    </w:pPr>
    <w:rPr>
      <w:rFonts w:ascii="Calibri" w:hAnsi="Calibri"/>
      <w:b/>
      <w:color w:val="0067AC"/>
      <w:sz w:val="28"/>
    </w:rPr>
  </w:style>
  <w:style w:type="paragraph" w:customStyle="1" w:styleId="GHKContacts">
    <w:name w:val="GHKContacts"/>
    <w:basedOn w:val="NormalLeftAligned"/>
    <w:uiPriority w:val="99"/>
    <w:qFormat/>
    <w:rsid w:val="005E5044"/>
    <w:pPr>
      <w:spacing w:before="0" w:after="60" w:line="180" w:lineRule="atLeast"/>
    </w:pPr>
    <w:rPr>
      <w:sz w:val="16"/>
    </w:rPr>
  </w:style>
  <w:style w:type="paragraph" w:customStyle="1" w:styleId="GHKContactsHeading">
    <w:name w:val="GHKContactsHeading"/>
    <w:basedOn w:val="GHKContacts"/>
    <w:uiPriority w:val="99"/>
    <w:qFormat/>
    <w:rsid w:val="00211076"/>
    <w:pPr>
      <w:spacing w:before="60" w:after="0"/>
    </w:pPr>
    <w:rPr>
      <w:rFonts w:ascii="Calibri" w:hAnsi="Calibri"/>
      <w:color w:val="0067AC"/>
    </w:rPr>
  </w:style>
  <w:style w:type="paragraph" w:customStyle="1" w:styleId="HeaderTitle">
    <w:name w:val="HeaderTitle"/>
    <w:basedOn w:val="Header"/>
    <w:uiPriority w:val="99"/>
    <w:semiHidden/>
    <w:qFormat/>
    <w:rsid w:val="00B67E25"/>
    <w:pPr>
      <w:spacing w:before="80"/>
    </w:pPr>
  </w:style>
  <w:style w:type="paragraph" w:customStyle="1" w:styleId="DocDate">
    <w:name w:val="DocDate"/>
    <w:basedOn w:val="DocSubTitle"/>
    <w:uiPriority w:val="99"/>
    <w:qFormat/>
    <w:rsid w:val="00FF79A5"/>
    <w:rPr>
      <w:color w:val="000000" w:themeColor="text1"/>
    </w:rPr>
  </w:style>
  <w:style w:type="paragraph" w:customStyle="1" w:styleId="Heading3NoNumb">
    <w:name w:val="Heading 3NoNumb"/>
    <w:basedOn w:val="Heading3"/>
    <w:next w:val="Normal"/>
    <w:uiPriority w:val="99"/>
    <w:qFormat/>
    <w:rsid w:val="002248F3"/>
    <w:pPr>
      <w:numPr>
        <w:ilvl w:val="0"/>
        <w:numId w:val="0"/>
      </w:numPr>
    </w:pPr>
  </w:style>
  <w:style w:type="paragraph" w:customStyle="1" w:styleId="Heading4NoNumb">
    <w:name w:val="Heading 4NoNumb"/>
    <w:basedOn w:val="Heading4"/>
    <w:next w:val="Normal"/>
    <w:uiPriority w:val="99"/>
    <w:qFormat/>
    <w:rsid w:val="002248F3"/>
    <w:pPr>
      <w:numPr>
        <w:ilvl w:val="0"/>
        <w:numId w:val="0"/>
      </w:numPr>
    </w:pPr>
  </w:style>
  <w:style w:type="paragraph" w:styleId="TOC5">
    <w:name w:val="toc 5"/>
    <w:basedOn w:val="NormalLeftAligned"/>
    <w:next w:val="Normal"/>
    <w:autoRedefine/>
    <w:uiPriority w:val="39"/>
    <w:rsid w:val="00F12D35"/>
    <w:pPr>
      <w:spacing w:before="0" w:after="0"/>
    </w:pPr>
  </w:style>
  <w:style w:type="paragraph" w:styleId="TOC6">
    <w:name w:val="toc 6"/>
    <w:basedOn w:val="NormalLeftAligned"/>
    <w:next w:val="Normal"/>
    <w:autoRedefine/>
    <w:uiPriority w:val="39"/>
    <w:rsid w:val="00497505"/>
    <w:pPr>
      <w:spacing w:before="0" w:after="0"/>
      <w:ind w:left="680"/>
    </w:pPr>
  </w:style>
  <w:style w:type="numbering" w:customStyle="1" w:styleId="Style1">
    <w:name w:val="Style1"/>
    <w:rsid w:val="004B7371"/>
    <w:pPr>
      <w:numPr>
        <w:numId w:val="5"/>
      </w:numPr>
    </w:pPr>
  </w:style>
  <w:style w:type="paragraph" w:customStyle="1" w:styleId="BodyTextNoSpace">
    <w:name w:val="Body TextNoSpace"/>
    <w:basedOn w:val="BodyText"/>
    <w:uiPriority w:val="99"/>
    <w:qFormat/>
    <w:rsid w:val="009F75F8"/>
    <w:pPr>
      <w:spacing w:before="0" w:after="0"/>
    </w:pPr>
  </w:style>
  <w:style w:type="paragraph" w:customStyle="1" w:styleId="BTBullet3">
    <w:name w:val="BTBullet3"/>
    <w:basedOn w:val="Normal"/>
    <w:uiPriority w:val="6"/>
    <w:qFormat/>
    <w:rsid w:val="0094009F"/>
    <w:pPr>
      <w:numPr>
        <w:ilvl w:val="2"/>
        <w:numId w:val="22"/>
      </w:numPr>
      <w:spacing w:before="0" w:after="0"/>
    </w:pPr>
  </w:style>
  <w:style w:type="paragraph" w:customStyle="1" w:styleId="NumbListLast">
    <w:name w:val="NumbListLast"/>
    <w:basedOn w:val="NumbList"/>
    <w:uiPriority w:val="99"/>
    <w:qFormat/>
    <w:rsid w:val="00D238C4"/>
    <w:pPr>
      <w:spacing w:after="120"/>
    </w:pPr>
  </w:style>
  <w:style w:type="paragraph" w:customStyle="1" w:styleId="BoxText">
    <w:name w:val="BoxText"/>
    <w:basedOn w:val="NormalLeftAligned"/>
    <w:uiPriority w:val="99"/>
    <w:semiHidden/>
    <w:qFormat/>
    <w:rsid w:val="00381826"/>
    <w:pPr>
      <w:spacing w:before="60" w:after="60" w:line="220" w:lineRule="atLeast"/>
    </w:pPr>
    <w:rPr>
      <w:sz w:val="18"/>
    </w:rPr>
  </w:style>
  <w:style w:type="character" w:styleId="PlaceholderText">
    <w:name w:val="Placeholder Text"/>
    <w:basedOn w:val="DefaultParagraphFont"/>
    <w:uiPriority w:val="99"/>
    <w:semiHidden/>
    <w:rsid w:val="00381826"/>
    <w:rPr>
      <w:color w:val="808080"/>
    </w:rPr>
  </w:style>
  <w:style w:type="paragraph" w:customStyle="1" w:styleId="TableNumbListLast">
    <w:name w:val="TableNumbListLast"/>
    <w:basedOn w:val="TableNumbList"/>
    <w:uiPriority w:val="99"/>
    <w:qFormat/>
    <w:rsid w:val="00256BC8"/>
    <w:pPr>
      <w:spacing w:after="120"/>
    </w:pPr>
  </w:style>
  <w:style w:type="paragraph" w:customStyle="1" w:styleId="BoxTitle">
    <w:name w:val="BoxTitle"/>
    <w:basedOn w:val="NormalLeftAligned"/>
    <w:uiPriority w:val="99"/>
    <w:qFormat/>
    <w:rsid w:val="002248F3"/>
    <w:pPr>
      <w:spacing w:line="320" w:lineRule="atLeast"/>
    </w:pPr>
    <w:rPr>
      <w:rFonts w:ascii="Calibri" w:hAnsi="Calibri"/>
      <w:b/>
      <w:color w:val="0067AC"/>
      <w:sz w:val="28"/>
    </w:rPr>
  </w:style>
  <w:style w:type="paragraph" w:customStyle="1" w:styleId="BTNumbList">
    <w:name w:val="BTNumbList"/>
    <w:basedOn w:val="Normal"/>
    <w:link w:val="BTNumbListChar"/>
    <w:uiPriority w:val="99"/>
    <w:qFormat/>
    <w:rsid w:val="00192D1A"/>
    <w:pPr>
      <w:numPr>
        <w:numId w:val="13"/>
      </w:numPr>
      <w:spacing w:before="0" w:after="0"/>
    </w:pPr>
  </w:style>
  <w:style w:type="paragraph" w:customStyle="1" w:styleId="BTNumbListLast">
    <w:name w:val="BTNumbListLast"/>
    <w:basedOn w:val="BTNumbList"/>
    <w:uiPriority w:val="99"/>
    <w:qFormat/>
    <w:rsid w:val="00D46741"/>
    <w:pPr>
      <w:spacing w:after="120"/>
    </w:pPr>
  </w:style>
  <w:style w:type="character" w:customStyle="1" w:styleId="NumbListChar">
    <w:name w:val="NumbList Char"/>
    <w:basedOn w:val="DefaultParagraphFont"/>
    <w:link w:val="NumbList"/>
    <w:uiPriority w:val="99"/>
    <w:rsid w:val="00541215"/>
    <w:rPr>
      <w:rFonts w:ascii="Arial" w:hAnsi="Arial"/>
      <w:szCs w:val="24"/>
    </w:rPr>
  </w:style>
  <w:style w:type="character" w:customStyle="1" w:styleId="BTNumbListChar">
    <w:name w:val="BTNumbList Char"/>
    <w:basedOn w:val="NumbListChar"/>
    <w:link w:val="BTNumbList"/>
    <w:uiPriority w:val="99"/>
    <w:rsid w:val="00192D1A"/>
    <w:rPr>
      <w:rFonts w:ascii="Arial" w:hAnsi="Arial"/>
      <w:szCs w:val="24"/>
    </w:rPr>
  </w:style>
  <w:style w:type="paragraph" w:customStyle="1" w:styleId="BTNumbList2Last">
    <w:name w:val="BTNumbList2Last"/>
    <w:basedOn w:val="BTNumbList2"/>
    <w:uiPriority w:val="99"/>
    <w:qFormat/>
    <w:rsid w:val="00D46741"/>
    <w:pPr>
      <w:spacing w:after="120"/>
    </w:pPr>
  </w:style>
  <w:style w:type="paragraph" w:customStyle="1" w:styleId="NormalIndent">
    <w:name w:val="NormalIndent"/>
    <w:basedOn w:val="Normal"/>
    <w:uiPriority w:val="99"/>
    <w:qFormat/>
    <w:rsid w:val="00F23AA1"/>
    <w:pPr>
      <w:ind w:left="340"/>
    </w:pPr>
  </w:style>
  <w:style w:type="paragraph" w:customStyle="1" w:styleId="BodyTextIndent">
    <w:name w:val="Body TextIndent"/>
    <w:basedOn w:val="BodyText"/>
    <w:uiPriority w:val="99"/>
    <w:qFormat/>
    <w:rsid w:val="00F23AA1"/>
    <w:pPr>
      <w:ind w:left="1191"/>
    </w:pPr>
  </w:style>
  <w:style w:type="paragraph" w:styleId="ListBullet">
    <w:name w:val="List Bullet"/>
    <w:basedOn w:val="Normal"/>
    <w:uiPriority w:val="99"/>
    <w:semiHidden/>
    <w:rsid w:val="00EB37D7"/>
    <w:pPr>
      <w:numPr>
        <w:numId w:val="1"/>
      </w:numPr>
      <w:contextualSpacing/>
    </w:pPr>
  </w:style>
  <w:style w:type="paragraph" w:styleId="ListBullet2">
    <w:name w:val="List Bullet 2"/>
    <w:basedOn w:val="Normal"/>
    <w:uiPriority w:val="99"/>
    <w:semiHidden/>
    <w:rsid w:val="00EB37D7"/>
    <w:pPr>
      <w:numPr>
        <w:numId w:val="2"/>
      </w:numPr>
      <w:contextualSpacing/>
    </w:pPr>
  </w:style>
  <w:style w:type="paragraph" w:styleId="ListBullet3">
    <w:name w:val="List Bullet 3"/>
    <w:basedOn w:val="Normal"/>
    <w:uiPriority w:val="99"/>
    <w:semiHidden/>
    <w:rsid w:val="00EB37D7"/>
    <w:pPr>
      <w:numPr>
        <w:numId w:val="3"/>
      </w:numPr>
      <w:contextualSpacing/>
    </w:pPr>
  </w:style>
  <w:style w:type="paragraph" w:styleId="ListBullet4">
    <w:name w:val="List Bullet 4"/>
    <w:basedOn w:val="Normal"/>
    <w:uiPriority w:val="99"/>
    <w:semiHidden/>
    <w:rsid w:val="00EB37D7"/>
    <w:pPr>
      <w:numPr>
        <w:numId w:val="4"/>
      </w:numPr>
      <w:contextualSpacing/>
    </w:pPr>
  </w:style>
  <w:style w:type="paragraph" w:customStyle="1" w:styleId="BTBullet1Last">
    <w:name w:val="BTBullet1Last"/>
    <w:basedOn w:val="BTBullet1"/>
    <w:uiPriority w:val="6"/>
    <w:qFormat/>
    <w:rsid w:val="009A75D7"/>
    <w:pPr>
      <w:spacing w:after="120"/>
    </w:pPr>
  </w:style>
  <w:style w:type="paragraph" w:customStyle="1" w:styleId="BTBullet2Last">
    <w:name w:val="BTBullet2Last"/>
    <w:basedOn w:val="BTBullet2"/>
    <w:uiPriority w:val="99"/>
    <w:qFormat/>
    <w:rsid w:val="009A75D7"/>
    <w:pPr>
      <w:spacing w:after="120"/>
    </w:pPr>
  </w:style>
  <w:style w:type="paragraph" w:customStyle="1" w:styleId="Stage">
    <w:name w:val="Stage"/>
    <w:basedOn w:val="BodyText"/>
    <w:next w:val="BodyText"/>
    <w:uiPriority w:val="99"/>
    <w:qFormat/>
    <w:rsid w:val="00EF551D"/>
    <w:pPr>
      <w:numPr>
        <w:numId w:val="15"/>
      </w:numPr>
    </w:pPr>
    <w:rPr>
      <w:rFonts w:ascii="Calibri" w:hAnsi="Calibri"/>
      <w:color w:val="0067AC"/>
      <w:sz w:val="24"/>
    </w:rPr>
  </w:style>
  <w:style w:type="paragraph" w:customStyle="1" w:styleId="Task">
    <w:name w:val="Task"/>
    <w:basedOn w:val="BodyText"/>
    <w:next w:val="BodyText"/>
    <w:uiPriority w:val="99"/>
    <w:qFormat/>
    <w:rsid w:val="00EF551D"/>
    <w:pPr>
      <w:numPr>
        <w:ilvl w:val="1"/>
        <w:numId w:val="15"/>
      </w:numPr>
    </w:pPr>
    <w:rPr>
      <w:rFonts w:ascii="Calibri" w:hAnsi="Calibri"/>
      <w:color w:val="0067AC"/>
    </w:rPr>
  </w:style>
  <w:style w:type="paragraph" w:styleId="TOC7">
    <w:name w:val="toc 7"/>
    <w:basedOn w:val="NormalLeftAligned"/>
    <w:next w:val="Normal"/>
    <w:autoRedefine/>
    <w:uiPriority w:val="39"/>
    <w:rsid w:val="0044073E"/>
    <w:pPr>
      <w:tabs>
        <w:tab w:val="right" w:leader="dot" w:pos="9061"/>
      </w:tabs>
      <w:spacing w:before="0" w:after="0"/>
      <w:ind w:left="851" w:hanging="851"/>
    </w:pPr>
  </w:style>
  <w:style w:type="paragraph" w:customStyle="1" w:styleId="Recommendation">
    <w:name w:val="Recommendation"/>
    <w:basedOn w:val="BoxTitle"/>
    <w:next w:val="TableText"/>
    <w:uiPriority w:val="99"/>
    <w:qFormat/>
    <w:rsid w:val="001C24D0"/>
    <w:pPr>
      <w:numPr>
        <w:ilvl w:val="3"/>
        <w:numId w:val="16"/>
      </w:numPr>
    </w:pPr>
  </w:style>
  <w:style w:type="paragraph" w:customStyle="1" w:styleId="Conclusion">
    <w:name w:val="Conclusion"/>
    <w:basedOn w:val="BoxTitle"/>
    <w:next w:val="TableText"/>
    <w:uiPriority w:val="99"/>
    <w:qFormat/>
    <w:rsid w:val="001C24D0"/>
    <w:pPr>
      <w:numPr>
        <w:ilvl w:val="2"/>
        <w:numId w:val="16"/>
      </w:numPr>
    </w:pPr>
  </w:style>
  <w:style w:type="paragraph" w:customStyle="1" w:styleId="Heading1noPg">
    <w:name w:val="Heading 1noPg"/>
    <w:basedOn w:val="Heading1"/>
    <w:uiPriority w:val="99"/>
    <w:qFormat/>
    <w:rsid w:val="008016B1"/>
    <w:pPr>
      <w:pageBreakBefore w:val="0"/>
      <w:spacing w:before="360"/>
    </w:pPr>
  </w:style>
  <w:style w:type="paragraph" w:customStyle="1" w:styleId="NumbList2">
    <w:name w:val="NumbList2"/>
    <w:basedOn w:val="Normal"/>
    <w:uiPriority w:val="99"/>
    <w:qFormat/>
    <w:rsid w:val="00541215"/>
    <w:pPr>
      <w:numPr>
        <w:ilvl w:val="1"/>
        <w:numId w:val="10"/>
      </w:numPr>
      <w:spacing w:before="0" w:after="0"/>
    </w:pPr>
  </w:style>
  <w:style w:type="paragraph" w:customStyle="1" w:styleId="NumbList2Last">
    <w:name w:val="NumbList2Last"/>
    <w:basedOn w:val="NumbList2"/>
    <w:uiPriority w:val="99"/>
    <w:qFormat/>
    <w:rsid w:val="00F60499"/>
    <w:pPr>
      <w:spacing w:after="120"/>
    </w:pPr>
  </w:style>
  <w:style w:type="paragraph" w:customStyle="1" w:styleId="BTNumbList2">
    <w:name w:val="BTNumbList2"/>
    <w:basedOn w:val="Normal"/>
    <w:uiPriority w:val="6"/>
    <w:qFormat/>
    <w:rsid w:val="00192D1A"/>
    <w:pPr>
      <w:numPr>
        <w:ilvl w:val="1"/>
        <w:numId w:val="13"/>
      </w:numPr>
      <w:spacing w:before="0" w:after="0"/>
    </w:pPr>
  </w:style>
  <w:style w:type="paragraph" w:customStyle="1" w:styleId="NormalIndent2">
    <w:name w:val="NormalIndent2"/>
    <w:basedOn w:val="Normal"/>
    <w:uiPriority w:val="99"/>
    <w:qFormat/>
    <w:rsid w:val="00C97199"/>
    <w:pPr>
      <w:ind w:left="680"/>
    </w:pPr>
  </w:style>
  <w:style w:type="paragraph" w:customStyle="1" w:styleId="BodyTextIndent2">
    <w:name w:val="Body TextIndent2"/>
    <w:basedOn w:val="BodyTextIndent"/>
    <w:uiPriority w:val="99"/>
    <w:qFormat/>
    <w:rsid w:val="00656054"/>
    <w:pPr>
      <w:ind w:left="1531"/>
    </w:pPr>
  </w:style>
  <w:style w:type="paragraph" w:customStyle="1" w:styleId="TableSource">
    <w:name w:val="TableSource"/>
    <w:basedOn w:val="BodyText"/>
    <w:uiPriority w:val="99"/>
    <w:qFormat/>
    <w:rsid w:val="001E4ED8"/>
    <w:pPr>
      <w:spacing w:line="200" w:lineRule="atLeast"/>
    </w:pPr>
    <w:rPr>
      <w:i/>
      <w:sz w:val="18"/>
    </w:rPr>
  </w:style>
  <w:style w:type="paragraph" w:customStyle="1" w:styleId="NormalLeftAligned">
    <w:name w:val="NormalLeftAligned"/>
    <w:basedOn w:val="Normal"/>
    <w:uiPriority w:val="99"/>
    <w:qFormat/>
    <w:rsid w:val="00495771"/>
  </w:style>
  <w:style w:type="paragraph" w:styleId="TOC8">
    <w:name w:val="toc 8"/>
    <w:basedOn w:val="NormalLeftAligned"/>
    <w:next w:val="Normal"/>
    <w:autoRedefine/>
    <w:uiPriority w:val="39"/>
    <w:rsid w:val="00F148E6"/>
    <w:pPr>
      <w:spacing w:before="60" w:after="60"/>
      <w:ind w:left="1134" w:hanging="1134"/>
    </w:pPr>
    <w:rPr>
      <w:rFonts w:ascii="Georgia" w:hAnsi="Georgia"/>
    </w:rPr>
  </w:style>
  <w:style w:type="paragraph" w:styleId="TOC9">
    <w:name w:val="toc 9"/>
    <w:basedOn w:val="NormalLeftAligned"/>
    <w:next w:val="Normal"/>
    <w:autoRedefine/>
    <w:uiPriority w:val="39"/>
    <w:rsid w:val="00495771"/>
    <w:pPr>
      <w:spacing w:after="100"/>
      <w:ind w:left="1600"/>
    </w:pPr>
  </w:style>
  <w:style w:type="numbering" w:customStyle="1" w:styleId="NumbLstBoxes">
    <w:name w:val="NumbLstBoxes"/>
    <w:rsid w:val="001C24D0"/>
    <w:pPr>
      <w:numPr>
        <w:numId w:val="6"/>
      </w:numPr>
    </w:pPr>
  </w:style>
  <w:style w:type="paragraph" w:customStyle="1" w:styleId="Heading2NoNumbNoToc">
    <w:name w:val="Heading 2NoNumbNoToc"/>
    <w:basedOn w:val="Heading2NoNumb"/>
    <w:uiPriority w:val="99"/>
    <w:qFormat/>
    <w:rsid w:val="000142F4"/>
    <w:pPr>
      <w:spacing w:before="0"/>
    </w:pPr>
  </w:style>
  <w:style w:type="character" w:customStyle="1" w:styleId="Heading5Char">
    <w:name w:val="Heading 5 Char"/>
    <w:basedOn w:val="DefaultParagraphFont"/>
    <w:link w:val="Heading5"/>
    <w:uiPriority w:val="99"/>
    <w:rsid w:val="00A43447"/>
    <w:rPr>
      <w:rFonts w:ascii="Calibri" w:eastAsiaTheme="majorEastAsia" w:hAnsi="Calibri" w:cstheme="majorBidi"/>
      <w:b/>
      <w:i/>
      <w:color w:val="0067AC"/>
      <w:sz w:val="22"/>
      <w:szCs w:val="24"/>
    </w:rPr>
  </w:style>
  <w:style w:type="numbering" w:customStyle="1" w:styleId="NumbLstMain">
    <w:name w:val="NumbLstMain"/>
    <w:rsid w:val="00A43447"/>
    <w:pPr>
      <w:numPr>
        <w:numId w:val="7"/>
      </w:numPr>
    </w:pPr>
  </w:style>
  <w:style w:type="paragraph" w:customStyle="1" w:styleId="BoxNumb">
    <w:name w:val="BoxNumb"/>
    <w:basedOn w:val="BoxTitle"/>
    <w:next w:val="Normal"/>
    <w:uiPriority w:val="99"/>
    <w:qFormat/>
    <w:rsid w:val="001C24D0"/>
    <w:pPr>
      <w:numPr>
        <w:ilvl w:val="4"/>
        <w:numId w:val="16"/>
      </w:numPr>
    </w:pPr>
  </w:style>
  <w:style w:type="paragraph" w:customStyle="1" w:styleId="TaskManual">
    <w:name w:val="TaskManual"/>
    <w:basedOn w:val="Task"/>
    <w:uiPriority w:val="99"/>
    <w:qFormat/>
    <w:rsid w:val="00EF551D"/>
    <w:pPr>
      <w:numPr>
        <w:ilvl w:val="0"/>
        <w:numId w:val="0"/>
      </w:numPr>
      <w:ind w:left="1815" w:hanging="964"/>
    </w:pPr>
  </w:style>
  <w:style w:type="paragraph" w:customStyle="1" w:styleId="Box">
    <w:name w:val="Box"/>
    <w:basedOn w:val="Normal"/>
    <w:next w:val="BodyText"/>
    <w:uiPriority w:val="99"/>
    <w:qFormat/>
    <w:rsid w:val="00A43447"/>
    <w:pPr>
      <w:numPr>
        <w:ilvl w:val="7"/>
        <w:numId w:val="20"/>
      </w:numPr>
    </w:pPr>
    <w:rPr>
      <w:rFonts w:ascii="Calibri" w:hAnsi="Calibri"/>
      <w:b/>
      <w:color w:val="0067AC"/>
    </w:rPr>
  </w:style>
  <w:style w:type="character" w:customStyle="1" w:styleId="Heading6Char">
    <w:name w:val="Heading 6 Char"/>
    <w:basedOn w:val="DefaultParagraphFont"/>
    <w:link w:val="Heading6"/>
    <w:uiPriority w:val="99"/>
    <w:semiHidden/>
    <w:rsid w:val="002248F3"/>
    <w:rPr>
      <w:rFonts w:ascii="Calibri" w:eastAsiaTheme="majorEastAsia" w:hAnsi="Calibri" w:cstheme="majorBidi"/>
      <w:b/>
      <w:i/>
      <w:iCs/>
      <w:color w:val="0067AC"/>
      <w:szCs w:val="24"/>
    </w:rPr>
  </w:style>
  <w:style w:type="numbering" w:customStyle="1" w:styleId="NumbLstTableNumb">
    <w:name w:val="NumbLstTableNumb"/>
    <w:rsid w:val="00CF6BC1"/>
    <w:pPr>
      <w:numPr>
        <w:numId w:val="8"/>
      </w:numPr>
    </w:pPr>
  </w:style>
  <w:style w:type="numbering" w:customStyle="1" w:styleId="NumbLstNumb">
    <w:name w:val="NumbLstNumb"/>
    <w:rsid w:val="00541215"/>
    <w:pPr>
      <w:numPr>
        <w:numId w:val="9"/>
      </w:numPr>
    </w:pPr>
  </w:style>
  <w:style w:type="paragraph" w:customStyle="1" w:styleId="NumbList3">
    <w:name w:val="NumbList3"/>
    <w:basedOn w:val="Normal"/>
    <w:uiPriority w:val="99"/>
    <w:rsid w:val="00541215"/>
    <w:pPr>
      <w:numPr>
        <w:ilvl w:val="2"/>
        <w:numId w:val="10"/>
      </w:numPr>
      <w:spacing w:before="0" w:after="0"/>
    </w:pPr>
  </w:style>
  <w:style w:type="paragraph" w:customStyle="1" w:styleId="Bullet1">
    <w:name w:val="Bullet1"/>
    <w:basedOn w:val="Normal"/>
    <w:uiPriority w:val="99"/>
    <w:qFormat/>
    <w:rsid w:val="00666378"/>
    <w:pPr>
      <w:numPr>
        <w:numId w:val="17"/>
      </w:numPr>
      <w:spacing w:before="0" w:after="0"/>
    </w:pPr>
  </w:style>
  <w:style w:type="paragraph" w:customStyle="1" w:styleId="Bullet2">
    <w:name w:val="Bullet2"/>
    <w:basedOn w:val="Normal"/>
    <w:uiPriority w:val="99"/>
    <w:qFormat/>
    <w:rsid w:val="00666378"/>
    <w:pPr>
      <w:numPr>
        <w:ilvl w:val="1"/>
        <w:numId w:val="17"/>
      </w:numPr>
      <w:spacing w:before="0" w:after="0"/>
    </w:pPr>
  </w:style>
  <w:style w:type="paragraph" w:customStyle="1" w:styleId="Bullet3">
    <w:name w:val="Bullet3"/>
    <w:basedOn w:val="Normal"/>
    <w:uiPriority w:val="99"/>
    <w:qFormat/>
    <w:rsid w:val="00666378"/>
    <w:pPr>
      <w:numPr>
        <w:ilvl w:val="2"/>
        <w:numId w:val="17"/>
      </w:numPr>
      <w:spacing w:before="0" w:after="0"/>
    </w:pPr>
  </w:style>
  <w:style w:type="numbering" w:customStyle="1" w:styleId="NumbLstBullet">
    <w:name w:val="NumbLstBullet"/>
    <w:rsid w:val="00666378"/>
    <w:pPr>
      <w:numPr>
        <w:numId w:val="11"/>
      </w:numPr>
    </w:pPr>
  </w:style>
  <w:style w:type="paragraph" w:customStyle="1" w:styleId="Bullet1Last">
    <w:name w:val="Bullet1Last"/>
    <w:basedOn w:val="Bullet1"/>
    <w:uiPriority w:val="99"/>
    <w:qFormat/>
    <w:rsid w:val="00D41F7E"/>
    <w:pPr>
      <w:spacing w:after="120"/>
    </w:pPr>
  </w:style>
  <w:style w:type="paragraph" w:customStyle="1" w:styleId="Bullet2Last">
    <w:name w:val="Bullet2Last"/>
    <w:basedOn w:val="Bullet2"/>
    <w:uiPriority w:val="99"/>
    <w:qFormat/>
    <w:rsid w:val="00D41F7E"/>
    <w:pPr>
      <w:spacing w:after="120"/>
    </w:pPr>
  </w:style>
  <w:style w:type="paragraph" w:customStyle="1" w:styleId="Bullet3Last">
    <w:name w:val="Bullet3Last"/>
    <w:basedOn w:val="Bullet3"/>
    <w:uiPriority w:val="99"/>
    <w:qFormat/>
    <w:rsid w:val="00D41F7E"/>
    <w:pPr>
      <w:spacing w:after="120"/>
    </w:pPr>
  </w:style>
  <w:style w:type="paragraph" w:customStyle="1" w:styleId="BTBullet3Last">
    <w:name w:val="BTBullet3Last"/>
    <w:basedOn w:val="BTBullet3"/>
    <w:uiPriority w:val="99"/>
    <w:qFormat/>
    <w:rsid w:val="009A75D7"/>
    <w:pPr>
      <w:spacing w:after="120"/>
    </w:pPr>
  </w:style>
  <w:style w:type="paragraph" w:customStyle="1" w:styleId="TableBullet">
    <w:name w:val="TableBullet"/>
    <w:basedOn w:val="TableText"/>
    <w:uiPriority w:val="99"/>
    <w:qFormat/>
    <w:rsid w:val="00C06A4D"/>
    <w:pPr>
      <w:numPr>
        <w:numId w:val="14"/>
      </w:numPr>
      <w:spacing w:after="0"/>
    </w:pPr>
  </w:style>
  <w:style w:type="numbering" w:customStyle="1" w:styleId="NumbLstTableBullet">
    <w:name w:val="NumbLstTableBullet"/>
    <w:rsid w:val="004B7144"/>
    <w:pPr>
      <w:numPr>
        <w:numId w:val="12"/>
      </w:numPr>
    </w:pPr>
  </w:style>
  <w:style w:type="paragraph" w:customStyle="1" w:styleId="NumbList3Last">
    <w:name w:val="NumbList3Last"/>
    <w:basedOn w:val="NumbList3"/>
    <w:uiPriority w:val="99"/>
    <w:qFormat/>
    <w:rsid w:val="00192D1A"/>
    <w:pPr>
      <w:spacing w:after="120"/>
      <w:ind w:left="1020" w:hanging="340"/>
    </w:pPr>
  </w:style>
  <w:style w:type="paragraph" w:customStyle="1" w:styleId="BTNumbList3">
    <w:name w:val="BTNumbList3"/>
    <w:basedOn w:val="Normal"/>
    <w:uiPriority w:val="6"/>
    <w:qFormat/>
    <w:rsid w:val="003A4FC4"/>
    <w:pPr>
      <w:numPr>
        <w:ilvl w:val="2"/>
        <w:numId w:val="13"/>
      </w:numPr>
      <w:spacing w:before="0" w:after="0"/>
    </w:pPr>
  </w:style>
  <w:style w:type="paragraph" w:customStyle="1" w:styleId="BTNumbList3Last">
    <w:name w:val="BTNumbList3Last"/>
    <w:basedOn w:val="BTNumbList3"/>
    <w:uiPriority w:val="99"/>
    <w:qFormat/>
    <w:rsid w:val="003A4FC4"/>
    <w:pPr>
      <w:spacing w:after="120"/>
    </w:pPr>
  </w:style>
  <w:style w:type="numbering" w:customStyle="1" w:styleId="NumbLstStage">
    <w:name w:val="NumbLstStage"/>
    <w:rsid w:val="00C06A4D"/>
    <w:pPr>
      <w:numPr>
        <w:numId w:val="15"/>
      </w:numPr>
    </w:pPr>
  </w:style>
  <w:style w:type="paragraph" w:customStyle="1" w:styleId="TableBulletLast">
    <w:name w:val="TableBulletLast"/>
    <w:basedOn w:val="TableBullet"/>
    <w:uiPriority w:val="99"/>
    <w:qFormat/>
    <w:rsid w:val="00C06A4D"/>
    <w:pPr>
      <w:spacing w:after="120"/>
    </w:pPr>
  </w:style>
  <w:style w:type="paragraph" w:styleId="Title">
    <w:name w:val="Title"/>
    <w:basedOn w:val="Normal"/>
    <w:next w:val="Normal"/>
    <w:link w:val="TitleChar"/>
    <w:uiPriority w:val="99"/>
    <w:qFormat/>
    <w:rsid w:val="003150A0"/>
    <w:pPr>
      <w:pBdr>
        <w:bottom w:val="single" w:sz="8" w:space="4" w:color="4F81BD" w:themeColor="accent1"/>
      </w:pBdr>
      <w:spacing w:before="0" w:after="300" w:line="240" w:lineRule="auto"/>
      <w:contextualSpacing/>
    </w:pPr>
    <w:rPr>
      <w:rFonts w:asciiTheme="majorHAnsi" w:eastAsiaTheme="majorEastAsia" w:hAnsiTheme="majorHAnsi" w:cstheme="majorBidi"/>
      <w:color w:val="0067AC"/>
      <w:spacing w:val="5"/>
      <w:kern w:val="28"/>
      <w:sz w:val="52"/>
      <w:szCs w:val="52"/>
    </w:rPr>
  </w:style>
  <w:style w:type="character" w:customStyle="1" w:styleId="TitleChar">
    <w:name w:val="Title Char"/>
    <w:basedOn w:val="DefaultParagraphFont"/>
    <w:link w:val="Title"/>
    <w:uiPriority w:val="99"/>
    <w:semiHidden/>
    <w:rsid w:val="003150A0"/>
    <w:rPr>
      <w:rFonts w:asciiTheme="majorHAnsi" w:eastAsiaTheme="majorEastAsia" w:hAnsiTheme="majorHAnsi" w:cstheme="majorBidi"/>
      <w:color w:val="0067AC"/>
      <w:spacing w:val="5"/>
      <w:kern w:val="28"/>
      <w:sz w:val="52"/>
      <w:szCs w:val="52"/>
    </w:rPr>
  </w:style>
  <w:style w:type="paragraph" w:customStyle="1" w:styleId="AnnexHeading">
    <w:name w:val="AnnexHeading"/>
    <w:basedOn w:val="Normal"/>
    <w:next w:val="Normal"/>
    <w:uiPriority w:val="99"/>
    <w:qFormat/>
    <w:rsid w:val="00404FE4"/>
    <w:pPr>
      <w:keepNext/>
      <w:pageBreakBefore/>
      <w:numPr>
        <w:numId w:val="19"/>
      </w:numPr>
      <w:spacing w:before="0" w:after="240"/>
    </w:pPr>
    <w:rPr>
      <w:rFonts w:ascii="Calibri" w:hAnsi="Calibri"/>
      <w:b/>
      <w:color w:val="0067AC"/>
      <w:sz w:val="32"/>
    </w:rPr>
  </w:style>
  <w:style w:type="paragraph" w:customStyle="1" w:styleId="AnnexH2">
    <w:name w:val="AnnexH2"/>
    <w:basedOn w:val="Normal"/>
    <w:next w:val="BodyText"/>
    <w:uiPriority w:val="99"/>
    <w:qFormat/>
    <w:rsid w:val="00404FE4"/>
    <w:pPr>
      <w:keepNext/>
      <w:numPr>
        <w:ilvl w:val="1"/>
        <w:numId w:val="19"/>
      </w:numPr>
      <w:spacing w:before="200"/>
    </w:pPr>
    <w:rPr>
      <w:rFonts w:ascii="Calibri" w:hAnsi="Calibri"/>
      <w:b/>
      <w:color w:val="0067AC"/>
      <w:sz w:val="26"/>
    </w:rPr>
  </w:style>
  <w:style w:type="paragraph" w:customStyle="1" w:styleId="AnnexH3">
    <w:name w:val="AnnexH3"/>
    <w:basedOn w:val="Normal"/>
    <w:next w:val="BodyText"/>
    <w:uiPriority w:val="99"/>
    <w:qFormat/>
    <w:rsid w:val="00404FE4"/>
    <w:pPr>
      <w:keepNext/>
      <w:numPr>
        <w:ilvl w:val="2"/>
        <w:numId w:val="19"/>
      </w:numPr>
      <w:spacing w:before="200"/>
    </w:pPr>
    <w:rPr>
      <w:rFonts w:ascii="Calibri" w:hAnsi="Calibri"/>
      <w:b/>
      <w:color w:val="0067AC"/>
      <w:sz w:val="22"/>
    </w:rPr>
  </w:style>
  <w:style w:type="paragraph" w:customStyle="1" w:styleId="AnnexH4">
    <w:name w:val="AnnexH4"/>
    <w:basedOn w:val="Normal"/>
    <w:next w:val="BodyText"/>
    <w:uiPriority w:val="99"/>
    <w:qFormat/>
    <w:rsid w:val="00404FE4"/>
    <w:pPr>
      <w:keepNext/>
      <w:numPr>
        <w:ilvl w:val="3"/>
        <w:numId w:val="19"/>
      </w:numPr>
    </w:pPr>
    <w:rPr>
      <w:rFonts w:ascii="Calibri" w:hAnsi="Calibri"/>
      <w:b/>
      <w:i/>
      <w:color w:val="0067AC"/>
      <w:sz w:val="22"/>
    </w:rPr>
  </w:style>
  <w:style w:type="paragraph" w:customStyle="1" w:styleId="AnnexTable">
    <w:name w:val="AnnexTable"/>
    <w:basedOn w:val="Normal"/>
    <w:next w:val="BodyText"/>
    <w:uiPriority w:val="99"/>
    <w:qFormat/>
    <w:rsid w:val="00404FE4"/>
    <w:pPr>
      <w:keepNext/>
      <w:numPr>
        <w:ilvl w:val="4"/>
        <w:numId w:val="19"/>
      </w:numPr>
    </w:pPr>
    <w:rPr>
      <w:rFonts w:ascii="Calibri" w:hAnsi="Calibri"/>
      <w:b/>
      <w:color w:val="0067AC"/>
    </w:rPr>
  </w:style>
  <w:style w:type="paragraph" w:customStyle="1" w:styleId="AnnexFigure">
    <w:name w:val="AnnexFigure"/>
    <w:basedOn w:val="Normal"/>
    <w:next w:val="BodyText"/>
    <w:uiPriority w:val="99"/>
    <w:qFormat/>
    <w:rsid w:val="00404FE4"/>
    <w:pPr>
      <w:keepNext/>
      <w:numPr>
        <w:ilvl w:val="5"/>
        <w:numId w:val="19"/>
      </w:numPr>
    </w:pPr>
    <w:rPr>
      <w:rFonts w:ascii="Calibri" w:hAnsi="Calibri"/>
      <w:b/>
      <w:color w:val="0067AC"/>
    </w:rPr>
  </w:style>
  <w:style w:type="numbering" w:customStyle="1" w:styleId="NumbLstAnnex">
    <w:name w:val="NumbLstAnnex"/>
    <w:rsid w:val="00404FE4"/>
    <w:pPr>
      <w:numPr>
        <w:numId w:val="18"/>
      </w:numPr>
    </w:pPr>
  </w:style>
  <w:style w:type="paragraph" w:customStyle="1" w:styleId="AnnexHeadingNoPage">
    <w:name w:val="AnnexHeading NoPage"/>
    <w:basedOn w:val="AnnexHeading"/>
    <w:next w:val="Normal"/>
    <w:uiPriority w:val="99"/>
    <w:qFormat/>
    <w:rsid w:val="00844A98"/>
    <w:pPr>
      <w:pageBreakBefore w:val="0"/>
    </w:pPr>
  </w:style>
  <w:style w:type="paragraph" w:customStyle="1" w:styleId="StyleTableTextNoSpace8pt">
    <w:name w:val="Style TableTextNoSpace + 8 pt"/>
    <w:basedOn w:val="TableTextNoSpace"/>
    <w:rsid w:val="00095BA6"/>
    <w:rPr>
      <w:sz w:val="16"/>
    </w:rPr>
  </w:style>
  <w:style w:type="numbering" w:customStyle="1" w:styleId="NumbLstBTBullet">
    <w:name w:val="NumbLstBTBullet"/>
    <w:uiPriority w:val="99"/>
    <w:rsid w:val="0094009F"/>
    <w:pPr>
      <w:numPr>
        <w:numId w:val="21"/>
      </w:numPr>
    </w:pPr>
  </w:style>
  <w:style w:type="paragraph" w:customStyle="1" w:styleId="Otherheading1">
    <w:name w:val="Other heading 1"/>
    <w:basedOn w:val="Heading1"/>
    <w:uiPriority w:val="99"/>
    <w:rsid w:val="00660C9C"/>
    <w:pPr>
      <w:keepLines w:val="0"/>
      <w:pageBreakBefore w:val="0"/>
      <w:numPr>
        <w:numId w:val="0"/>
      </w:numPr>
      <w:tabs>
        <w:tab w:val="left" w:pos="1021"/>
        <w:tab w:val="left" w:pos="1418"/>
        <w:tab w:val="left" w:pos="1786"/>
        <w:tab w:val="left" w:pos="2381"/>
        <w:tab w:val="left" w:pos="2948"/>
        <w:tab w:val="left" w:pos="3572"/>
        <w:tab w:val="left" w:pos="4139"/>
        <w:tab w:val="left" w:pos="4763"/>
        <w:tab w:val="left" w:pos="5387"/>
        <w:tab w:val="left" w:pos="5954"/>
        <w:tab w:val="left" w:pos="6577"/>
        <w:tab w:val="left" w:pos="7144"/>
      </w:tabs>
      <w:spacing w:before="120" w:after="120" w:line="240" w:lineRule="auto"/>
    </w:pPr>
    <w:rPr>
      <w:rFonts w:ascii="Verdana" w:eastAsia="Calibri" w:hAnsi="Verdana" w:cs="Verdana"/>
      <w:caps/>
      <w:color w:val="000080"/>
      <w:kern w:val="28"/>
      <w:sz w:val="28"/>
      <w:lang w:val="x-none" w:eastAsia="en-GB"/>
    </w:rPr>
  </w:style>
  <w:style w:type="paragraph" w:customStyle="1" w:styleId="ColorfulList-Accent12">
    <w:name w:val="Colorful List - Accent 12"/>
    <w:basedOn w:val="Normal"/>
    <w:uiPriority w:val="34"/>
    <w:qFormat/>
    <w:rsid w:val="00660C9C"/>
    <w:pPr>
      <w:ind w:left="720"/>
    </w:pPr>
    <w:rPr>
      <w:rFonts w:eastAsia="Calibri" w:cs="Arial"/>
      <w:szCs w:val="20"/>
    </w:rPr>
  </w:style>
  <w:style w:type="numbering" w:customStyle="1" w:styleId="NumbLstTableBullet1">
    <w:name w:val="NumbLstTableBullet1"/>
    <w:rsid w:val="00660C9C"/>
    <w:pPr>
      <w:numPr>
        <w:numId w:val="10"/>
      </w:numPr>
    </w:pPr>
  </w:style>
  <w:style w:type="character" w:customStyle="1" w:styleId="newdocreference">
    <w:name w:val="newdocreference"/>
    <w:rsid w:val="00660C9C"/>
  </w:style>
  <w:style w:type="character" w:customStyle="1" w:styleId="a">
    <w:name w:val="Знаци за бележки под линия"/>
    <w:rsid w:val="00660C9C"/>
    <w:rPr>
      <w:vertAlign w:val="superscript"/>
    </w:rPr>
  </w:style>
  <w:style w:type="paragraph" w:customStyle="1" w:styleId="Footnoteuser">
    <w:name w:val="Footnote (user)"/>
    <w:basedOn w:val="Normal"/>
    <w:rsid w:val="00660C9C"/>
    <w:pPr>
      <w:suppressLineNumbers/>
      <w:suppressAutoHyphens/>
      <w:ind w:left="283" w:hanging="283"/>
      <w:textAlignment w:val="baseline"/>
    </w:pPr>
    <w:rPr>
      <w:rFonts w:eastAsia="Calibri" w:cs="Arial"/>
      <w:kern w:val="1"/>
      <w:szCs w:val="20"/>
      <w:lang w:eastAsia="ar-SA"/>
    </w:rPr>
  </w:style>
  <w:style w:type="character" w:customStyle="1" w:styleId="FootnoteCharacters">
    <w:name w:val="Footnote Characters"/>
    <w:rsid w:val="00AC7914"/>
    <w:rPr>
      <w:rFonts w:cs="Times New Roman"/>
      <w:vertAlign w:val="superscript"/>
    </w:rPr>
  </w:style>
  <w:style w:type="paragraph" w:customStyle="1" w:styleId="Standarduser">
    <w:name w:val="Standard (user)"/>
    <w:rsid w:val="00AC7914"/>
    <w:pPr>
      <w:suppressAutoHyphens/>
      <w:spacing w:before="120" w:after="120" w:line="240" w:lineRule="atLeast"/>
      <w:textAlignment w:val="baseline"/>
    </w:pPr>
    <w:rPr>
      <w:rFonts w:ascii="Arial" w:eastAsia="Calibri" w:hAnsi="Arial" w:cs="Arial"/>
      <w:kern w:val="1"/>
      <w:lang w:eastAsia="ar-SA"/>
    </w:rPr>
  </w:style>
  <w:style w:type="paragraph" w:customStyle="1" w:styleId="ColorfulList-Accent11">
    <w:name w:val="Colorful List - Accent 11"/>
    <w:basedOn w:val="Normal"/>
    <w:uiPriority w:val="99"/>
    <w:qFormat/>
    <w:rsid w:val="00AC7914"/>
    <w:pPr>
      <w:spacing w:before="0" w:line="240" w:lineRule="auto"/>
      <w:ind w:left="720"/>
    </w:pPr>
    <w:rPr>
      <w:rFonts w:ascii="Calibri" w:eastAsia="Times New Roman" w:hAnsi="Calibri" w:cs="Calibri"/>
      <w:sz w:val="22"/>
      <w:szCs w:val="22"/>
      <w:lang w:val="en-US"/>
    </w:rPr>
  </w:style>
  <w:style w:type="character" w:customStyle="1" w:styleId="Heading2Char4">
    <w:name w:val="Heading 2 Char4"/>
    <w:aliases w:val="F4 Heading 2 - SubSection Char4,(SubSection) Char4,h2 Char4,Para Nos Char4,Para Char4,Main Heading Char4,Main Headi Char4,Numbered - 2 Char4,(Main Heading) Char4,Paragraph Char4,Sub Heading Char4,ignorer2 Char4,Oscar Faber 2 Char4,2H Cha"/>
    <w:uiPriority w:val="99"/>
    <w:semiHidden/>
    <w:rsid w:val="00AC7914"/>
    <w:rPr>
      <w:rFonts w:ascii="Cambria" w:hAnsi="Cambria" w:cs="Times New Roman"/>
      <w:b/>
      <w:bCs/>
      <w:i/>
      <w:iCs/>
      <w:sz w:val="28"/>
      <w:szCs w:val="28"/>
      <w:lang w:eastAsia="en-US"/>
    </w:rPr>
  </w:style>
  <w:style w:type="character" w:customStyle="1" w:styleId="Heading2Char3">
    <w:name w:val="Heading 2 Char3"/>
    <w:aliases w:val="F4 Heading 2 - SubSection Char3,(SubSection) Char3,h2 Char3,Para Nos Char3,Para Char3,Main Heading Char3,Main Headi Char3,Numbered - 2 Char3,(Main Heading) Char3,Paragraph Char3,Sub Heading Char3,ignorer2 Char3,Oscar Faber 2 Char3,2H Ch"/>
    <w:uiPriority w:val="99"/>
    <w:semiHidden/>
    <w:rsid w:val="00AC7914"/>
    <w:rPr>
      <w:rFonts w:ascii="Cambria" w:hAnsi="Cambria" w:cs="Cambria"/>
      <w:b/>
      <w:bCs/>
      <w:i/>
      <w:iCs/>
      <w:sz w:val="28"/>
      <w:szCs w:val="28"/>
      <w:lang w:eastAsia="en-US"/>
    </w:rPr>
  </w:style>
  <w:style w:type="character" w:customStyle="1" w:styleId="Heading2Char2">
    <w:name w:val="Heading 2 Char2"/>
    <w:aliases w:val="F4 Heading 2 - SubSection Char2,(SubSection) Char2,h2 Char2,Para Nos Char2,Para Char2,Main Heading Char2,Main Headi Char2,Numbered - 2 Char2,(Main Heading) Char2,Paragraph Char2,Sub Heading Char2,ignorer2 Char2,Oscar Faber 2 Char2,2H Ch1"/>
    <w:uiPriority w:val="99"/>
    <w:semiHidden/>
    <w:rsid w:val="00AC7914"/>
    <w:rPr>
      <w:rFonts w:ascii="Cambria" w:hAnsi="Cambria" w:cs="Cambria"/>
      <w:b/>
      <w:bCs/>
      <w:i/>
      <w:iCs/>
      <w:sz w:val="28"/>
      <w:szCs w:val="28"/>
      <w:lang w:eastAsia="en-US"/>
    </w:rPr>
  </w:style>
  <w:style w:type="character" w:customStyle="1" w:styleId="Heading2Char1">
    <w:name w:val="Heading 2 Char1"/>
    <w:aliases w:val="F4 Heading 2 - SubSection Char1,(SubSection) Char1,h2 Char1,Para Nos Char1,Para Char1,Main Heading Char1,Main Headi Char1,Numbered - 2 Char1,(Main Heading) Char1,Paragraph Char1,Sub Heading Char1,ignorer2 Char1,Oscar Faber 2 Char1,2 Char"/>
    <w:uiPriority w:val="99"/>
    <w:locked/>
    <w:rsid w:val="00AC7914"/>
    <w:rPr>
      <w:rFonts w:ascii="Calibri" w:eastAsia="Calibri" w:hAnsi="Calibri"/>
      <w:b/>
      <w:bCs/>
      <w:color w:val="0067AC"/>
      <w:sz w:val="26"/>
      <w:szCs w:val="26"/>
      <w:lang w:val="x-none" w:eastAsia="x-none" w:bidi="ar-SA"/>
    </w:rPr>
  </w:style>
  <w:style w:type="paragraph" w:customStyle="1" w:styleId="ColorfulGrid-Accent11">
    <w:name w:val="Colorful Grid - Accent 11"/>
    <w:basedOn w:val="Normal"/>
    <w:next w:val="Normal"/>
    <w:link w:val="ColorfulGrid-Accent1Char"/>
    <w:uiPriority w:val="99"/>
    <w:qFormat/>
    <w:rsid w:val="00AC7914"/>
    <w:pPr>
      <w:ind w:left="851"/>
    </w:pPr>
    <w:rPr>
      <w:rFonts w:eastAsia="Calibri"/>
      <w:i/>
      <w:iCs/>
      <w:color w:val="000000"/>
      <w:sz w:val="24"/>
      <w:lang w:val="x-none" w:eastAsia="x-none"/>
    </w:rPr>
  </w:style>
  <w:style w:type="character" w:customStyle="1" w:styleId="ColorfulGrid-Accent1Char">
    <w:name w:val="Colorful Grid - Accent 1 Char"/>
    <w:link w:val="ColorfulGrid-Accent11"/>
    <w:uiPriority w:val="99"/>
    <w:locked/>
    <w:rsid w:val="00AC7914"/>
    <w:rPr>
      <w:rFonts w:ascii="Arial" w:eastAsia="Calibri" w:hAnsi="Arial"/>
      <w:i/>
      <w:iCs/>
      <w:color w:val="000000"/>
      <w:sz w:val="24"/>
      <w:szCs w:val="24"/>
      <w:lang w:val="x-none" w:eastAsia="x-none"/>
    </w:rPr>
  </w:style>
  <w:style w:type="character" w:customStyle="1" w:styleId="MediumGrid11">
    <w:name w:val="Medium Grid 11"/>
    <w:uiPriority w:val="99"/>
    <w:semiHidden/>
    <w:rsid w:val="00AC7914"/>
    <w:rPr>
      <w:rFonts w:cs="Times New Roman"/>
      <w:color w:val="808080"/>
    </w:rPr>
  </w:style>
  <w:style w:type="paragraph" w:customStyle="1" w:styleId="F6ListBullet">
    <w:name w:val="F6 List Bullet"/>
    <w:basedOn w:val="Normal"/>
    <w:uiPriority w:val="99"/>
    <w:rsid w:val="00AC7914"/>
    <w:pPr>
      <w:numPr>
        <w:numId w:val="25"/>
      </w:numPr>
      <w:spacing w:before="0" w:line="264" w:lineRule="auto"/>
      <w:jc w:val="both"/>
    </w:pPr>
    <w:rPr>
      <w:rFonts w:eastAsia="Calibri" w:cs="Arial"/>
      <w:szCs w:val="20"/>
    </w:rPr>
  </w:style>
  <w:style w:type="character" w:styleId="CommentReference">
    <w:name w:val="annotation reference"/>
    <w:uiPriority w:val="99"/>
    <w:rsid w:val="00AC7914"/>
    <w:rPr>
      <w:rFonts w:cs="Times New Roman"/>
      <w:sz w:val="16"/>
      <w:szCs w:val="16"/>
    </w:rPr>
  </w:style>
  <w:style w:type="paragraph" w:styleId="CommentText">
    <w:name w:val="annotation text"/>
    <w:basedOn w:val="Normal"/>
    <w:link w:val="CommentTextChar"/>
    <w:uiPriority w:val="99"/>
    <w:rsid w:val="00AC7914"/>
    <w:pPr>
      <w:spacing w:line="240" w:lineRule="auto"/>
    </w:pPr>
    <w:rPr>
      <w:rFonts w:eastAsia="Calibri"/>
      <w:szCs w:val="20"/>
      <w:lang w:val="x-none" w:eastAsia="x-none"/>
    </w:rPr>
  </w:style>
  <w:style w:type="character" w:customStyle="1" w:styleId="CommentTextChar">
    <w:name w:val="Comment Text Char"/>
    <w:basedOn w:val="DefaultParagraphFont"/>
    <w:link w:val="CommentText"/>
    <w:uiPriority w:val="99"/>
    <w:rsid w:val="00AC7914"/>
    <w:rPr>
      <w:rFonts w:ascii="Arial" w:eastAsia="Calibri" w:hAnsi="Arial"/>
      <w:lang w:val="x-none" w:eastAsia="x-none"/>
    </w:rPr>
  </w:style>
  <w:style w:type="paragraph" w:styleId="CommentSubject">
    <w:name w:val="annotation subject"/>
    <w:basedOn w:val="CommentText"/>
    <w:next w:val="CommentText"/>
    <w:link w:val="CommentSubjectChar"/>
    <w:uiPriority w:val="99"/>
    <w:semiHidden/>
    <w:rsid w:val="00AC7914"/>
    <w:rPr>
      <w:b/>
      <w:bCs/>
    </w:rPr>
  </w:style>
  <w:style w:type="character" w:customStyle="1" w:styleId="CommentSubjectChar">
    <w:name w:val="Comment Subject Char"/>
    <w:basedOn w:val="CommentTextChar"/>
    <w:link w:val="CommentSubject"/>
    <w:uiPriority w:val="99"/>
    <w:semiHidden/>
    <w:rsid w:val="00AC7914"/>
    <w:rPr>
      <w:rFonts w:ascii="Arial" w:eastAsia="Calibri" w:hAnsi="Arial"/>
      <w:b/>
      <w:bCs/>
      <w:lang w:val="x-none" w:eastAsia="x-none"/>
    </w:rPr>
  </w:style>
  <w:style w:type="paragraph" w:customStyle="1" w:styleId="Default">
    <w:name w:val="Default"/>
    <w:uiPriority w:val="99"/>
    <w:rsid w:val="00AC7914"/>
    <w:pPr>
      <w:autoSpaceDE w:val="0"/>
      <w:autoSpaceDN w:val="0"/>
      <w:adjustRightInd w:val="0"/>
    </w:pPr>
    <w:rPr>
      <w:rFonts w:ascii="Arial" w:eastAsia="Calibri" w:hAnsi="Arial" w:cs="Arial"/>
      <w:color w:val="000000"/>
      <w:sz w:val="24"/>
      <w:szCs w:val="24"/>
    </w:rPr>
  </w:style>
  <w:style w:type="paragraph" w:customStyle="1" w:styleId="SecondTierList">
    <w:name w:val="Second Tier List"/>
    <w:basedOn w:val="Normal"/>
    <w:uiPriority w:val="99"/>
    <w:rsid w:val="00AC7914"/>
    <w:pPr>
      <w:numPr>
        <w:ilvl w:val="1"/>
        <w:numId w:val="26"/>
      </w:numPr>
      <w:spacing w:before="0" w:line="264" w:lineRule="auto"/>
    </w:pPr>
    <w:rPr>
      <w:rFonts w:eastAsia="Times New Roman" w:cs="Arial"/>
      <w:szCs w:val="20"/>
    </w:rPr>
  </w:style>
  <w:style w:type="paragraph" w:customStyle="1" w:styleId="ListBullet0">
    <w:name w:val="ListBullet"/>
    <w:basedOn w:val="Normal"/>
    <w:uiPriority w:val="99"/>
    <w:rsid w:val="00AC7914"/>
    <w:pPr>
      <w:tabs>
        <w:tab w:val="num" w:pos="1778"/>
      </w:tabs>
      <w:spacing w:before="0" w:line="264" w:lineRule="auto"/>
      <w:ind w:left="1758" w:hanging="340"/>
      <w:jc w:val="both"/>
    </w:pPr>
    <w:rPr>
      <w:rFonts w:eastAsia="Times New Roman" w:cs="Arial"/>
      <w:szCs w:val="20"/>
    </w:rPr>
  </w:style>
  <w:style w:type="paragraph" w:customStyle="1" w:styleId="BodyTextBold">
    <w:name w:val="Body Text Bold"/>
    <w:basedOn w:val="Normal"/>
    <w:uiPriority w:val="99"/>
    <w:rsid w:val="00AC7914"/>
    <w:pPr>
      <w:spacing w:line="264" w:lineRule="auto"/>
      <w:ind w:left="907"/>
      <w:jc w:val="both"/>
    </w:pPr>
    <w:rPr>
      <w:rFonts w:eastAsia="Calibri" w:cs="Arial"/>
      <w:b/>
      <w:bCs/>
      <w:szCs w:val="20"/>
    </w:rPr>
  </w:style>
  <w:style w:type="character" w:customStyle="1" w:styleId="field-content">
    <w:name w:val="field-content"/>
    <w:uiPriority w:val="99"/>
    <w:rsid w:val="00AC7914"/>
    <w:rPr>
      <w:rFonts w:cs="Times New Roman"/>
    </w:rPr>
  </w:style>
  <w:style w:type="character" w:customStyle="1" w:styleId="d3">
    <w:name w:val="d3"/>
    <w:uiPriority w:val="99"/>
    <w:rsid w:val="00AC7914"/>
    <w:rPr>
      <w:rFonts w:cs="Times New Roman"/>
    </w:rPr>
  </w:style>
  <w:style w:type="paragraph" w:styleId="ListNumber3">
    <w:name w:val="List Number 3"/>
    <w:basedOn w:val="Normal"/>
    <w:uiPriority w:val="99"/>
    <w:rsid w:val="00AC7914"/>
    <w:pPr>
      <w:tabs>
        <w:tab w:val="num" w:pos="926"/>
      </w:tabs>
      <w:spacing w:before="0" w:line="264" w:lineRule="auto"/>
      <w:ind w:left="926" w:hanging="360"/>
      <w:jc w:val="both"/>
    </w:pPr>
    <w:rPr>
      <w:rFonts w:eastAsia="Times New Roman" w:cs="Arial"/>
      <w:szCs w:val="20"/>
    </w:rPr>
  </w:style>
  <w:style w:type="character" w:styleId="FollowedHyperlink">
    <w:name w:val="FollowedHyperlink"/>
    <w:uiPriority w:val="99"/>
    <w:semiHidden/>
    <w:rsid w:val="00AC7914"/>
    <w:rPr>
      <w:rFonts w:cs="Times New Roman"/>
      <w:color w:val="800080"/>
      <w:u w:val="single"/>
    </w:rPr>
  </w:style>
  <w:style w:type="paragraph" w:styleId="BodyText3">
    <w:name w:val="Body Text 3"/>
    <w:basedOn w:val="Normal"/>
    <w:link w:val="BodyText3Char"/>
    <w:uiPriority w:val="99"/>
    <w:semiHidden/>
    <w:rsid w:val="00AC7914"/>
    <w:rPr>
      <w:rFonts w:eastAsia="Calibri"/>
      <w:sz w:val="16"/>
      <w:szCs w:val="16"/>
      <w:lang w:val="x-none" w:eastAsia="x-none"/>
    </w:rPr>
  </w:style>
  <w:style w:type="character" w:customStyle="1" w:styleId="BodyText3Char">
    <w:name w:val="Body Text 3 Char"/>
    <w:basedOn w:val="DefaultParagraphFont"/>
    <w:link w:val="BodyText3"/>
    <w:uiPriority w:val="99"/>
    <w:semiHidden/>
    <w:rsid w:val="00AC7914"/>
    <w:rPr>
      <w:rFonts w:ascii="Arial" w:eastAsia="Calibri" w:hAnsi="Arial"/>
      <w:sz w:val="16"/>
      <w:szCs w:val="16"/>
      <w:lang w:val="x-none" w:eastAsia="x-none"/>
    </w:rPr>
  </w:style>
  <w:style w:type="paragraph" w:styleId="Subtitle">
    <w:name w:val="Subtitle"/>
    <w:aliases w:val="Annex"/>
    <w:basedOn w:val="Normal"/>
    <w:next w:val="Normal"/>
    <w:link w:val="SubtitleChar"/>
    <w:uiPriority w:val="99"/>
    <w:qFormat/>
    <w:rsid w:val="00AC7914"/>
    <w:pPr>
      <w:numPr>
        <w:ilvl w:val="1"/>
      </w:numPr>
      <w:spacing w:before="0" w:after="0" w:line="240" w:lineRule="auto"/>
    </w:pPr>
    <w:rPr>
      <w:rFonts w:ascii="Century Gothic" w:eastAsia="Calibri" w:hAnsi="Century Gothic"/>
      <w:b/>
      <w:bCs/>
      <w:spacing w:val="15"/>
      <w:sz w:val="24"/>
      <w:lang w:val="x-none" w:eastAsia="fr-FR"/>
    </w:rPr>
  </w:style>
  <w:style w:type="character" w:customStyle="1" w:styleId="SubtitleChar">
    <w:name w:val="Subtitle Char"/>
    <w:aliases w:val="Annex Char"/>
    <w:basedOn w:val="DefaultParagraphFont"/>
    <w:link w:val="Subtitle"/>
    <w:uiPriority w:val="99"/>
    <w:rsid w:val="00AC7914"/>
    <w:rPr>
      <w:rFonts w:ascii="Century Gothic" w:eastAsia="Calibri" w:hAnsi="Century Gothic"/>
      <w:b/>
      <w:bCs/>
      <w:spacing w:val="15"/>
      <w:sz w:val="24"/>
      <w:szCs w:val="24"/>
      <w:lang w:val="x-none" w:eastAsia="fr-FR"/>
    </w:rPr>
  </w:style>
  <w:style w:type="table" w:styleId="LightGrid-Accent6">
    <w:name w:val="Light Grid Accent 6"/>
    <w:basedOn w:val="TableNormal"/>
    <w:uiPriority w:val="99"/>
    <w:rsid w:val="00AC7914"/>
    <w:rPr>
      <w:rFonts w:ascii="Calibri" w:eastAsia="Calibri" w:hAnsi="Calibri" w:cs="Calibri"/>
      <w:color w:val="000000"/>
      <w:lang w:val="en-US"/>
    </w:rPr>
    <w:tblPr>
      <w:tblStyleRowBandSize w:val="1"/>
      <w:tblStyleColBandSize w:val="1"/>
    </w:tblPr>
    <w:tcPr>
      <w:shd w:val="clear" w:color="auto" w:fill="F2EFF6"/>
    </w:tcPr>
    <w:tblStylePr w:type="firstRow">
      <w:rPr>
        <w:rFonts w:cs="Wingdings"/>
        <w:b/>
        <w:bCs/>
        <w:color w:val="FFFFFF"/>
      </w:rPr>
      <w:tblPr/>
      <w:tcPr>
        <w:tcBorders>
          <w:bottom w:val="single" w:sz="12" w:space="0" w:color="FFFFFF"/>
        </w:tcBorders>
        <w:shd w:val="clear" w:color="auto" w:fill="7E9C40"/>
      </w:tcPr>
    </w:tblStylePr>
    <w:tblStylePr w:type="lastRow">
      <w:rPr>
        <w:rFonts w:cs="Wingdings"/>
        <w:b/>
        <w:bCs/>
        <w:color w:val="7E9C40"/>
      </w:rPr>
      <w:tblPr/>
      <w:tcPr>
        <w:tcBorders>
          <w:top w:val="single" w:sz="12" w:space="0" w:color="000000"/>
        </w:tcBorders>
        <w:shd w:val="clear" w:color="auto" w:fill="FFFFFF"/>
      </w:tcPr>
    </w:tblStylePr>
    <w:tblStylePr w:type="firstCol">
      <w:rPr>
        <w:rFonts w:cs="Wingdings"/>
        <w:b/>
        <w:bCs/>
      </w:rPr>
    </w:tblStylePr>
    <w:tblStylePr w:type="lastCol">
      <w:rPr>
        <w:rFonts w:cs="Wingdings"/>
        <w:b/>
        <w:bCs/>
      </w:rPr>
    </w:tblStylePr>
    <w:tblStylePr w:type="band1Vert">
      <w:rPr>
        <w:rFonts w:cs="Wingdings"/>
      </w:rPr>
      <w:tblPr/>
      <w:tcPr>
        <w:tcBorders>
          <w:top w:val="nil"/>
          <w:left w:val="nil"/>
          <w:bottom w:val="nil"/>
          <w:right w:val="nil"/>
          <w:insideH w:val="nil"/>
          <w:insideV w:val="nil"/>
        </w:tcBorders>
        <w:shd w:val="clear" w:color="auto" w:fill="DFD8E8"/>
      </w:tcPr>
    </w:tblStylePr>
    <w:tblStylePr w:type="band1Horz">
      <w:rPr>
        <w:rFonts w:cs="Wingdings"/>
      </w:rPr>
      <w:tblPr/>
      <w:tcPr>
        <w:shd w:val="clear" w:color="auto" w:fill="E5DFEC"/>
      </w:tcPr>
    </w:tblStylePr>
  </w:style>
  <w:style w:type="table" w:customStyle="1" w:styleId="ColorfulList-Accent61">
    <w:name w:val="Colorful List - Accent 61"/>
    <w:basedOn w:val="TableNormal"/>
    <w:uiPriority w:val="99"/>
    <w:rsid w:val="00AC7914"/>
    <w:rPr>
      <w:rFonts w:ascii="Calibri" w:eastAsia="Calibri" w:hAnsi="Calibri" w:cs="Calibri"/>
      <w:color w:val="000000"/>
      <w:lang w:val="en-US"/>
    </w:rPr>
    <w:tblPr>
      <w:tblStyleRowBandSize w:val="1"/>
      <w:tblStyleColBandSize w:val="1"/>
    </w:tblPr>
    <w:tcPr>
      <w:shd w:val="clear" w:color="auto" w:fill="FEF4EC"/>
    </w:tcPr>
    <w:tblStylePr w:type="firstRow">
      <w:rPr>
        <w:rFonts w:cs="Wingdings"/>
        <w:b/>
        <w:bCs/>
        <w:color w:val="FFFFFF"/>
      </w:rPr>
      <w:tblPr/>
      <w:tcPr>
        <w:tcBorders>
          <w:bottom w:val="single" w:sz="12" w:space="0" w:color="FFFFFF"/>
        </w:tcBorders>
        <w:shd w:val="clear" w:color="auto" w:fill="348DA5"/>
      </w:tcPr>
    </w:tblStylePr>
    <w:tblStylePr w:type="lastRow">
      <w:rPr>
        <w:rFonts w:cs="Wingdings"/>
        <w:b/>
        <w:bCs/>
        <w:color w:val="348DA5"/>
      </w:rPr>
      <w:tblPr/>
      <w:tcPr>
        <w:tcBorders>
          <w:top w:val="single" w:sz="12" w:space="0" w:color="000000"/>
        </w:tcBorders>
        <w:shd w:val="clear" w:color="auto" w:fill="FFFFFF"/>
      </w:tcPr>
    </w:tblStylePr>
    <w:tblStylePr w:type="firstCol">
      <w:rPr>
        <w:rFonts w:cs="Wingdings"/>
        <w:b/>
        <w:bCs/>
      </w:rPr>
    </w:tblStylePr>
    <w:tblStylePr w:type="lastCol">
      <w:rPr>
        <w:rFonts w:cs="Wingdings"/>
        <w:b/>
        <w:bCs/>
      </w:rPr>
    </w:tblStylePr>
    <w:tblStylePr w:type="band1Vert">
      <w:rPr>
        <w:rFonts w:cs="Wingdings"/>
      </w:rPr>
      <w:tblPr/>
      <w:tcPr>
        <w:tcBorders>
          <w:top w:val="nil"/>
          <w:left w:val="nil"/>
          <w:bottom w:val="nil"/>
          <w:right w:val="nil"/>
          <w:insideH w:val="nil"/>
          <w:insideV w:val="nil"/>
        </w:tcBorders>
        <w:shd w:val="clear" w:color="auto" w:fill="FDE4D0"/>
      </w:tcPr>
    </w:tblStylePr>
    <w:tblStylePr w:type="band1Horz">
      <w:rPr>
        <w:rFonts w:cs="Wingdings"/>
      </w:rPr>
      <w:tblPr/>
      <w:tcPr>
        <w:shd w:val="clear" w:color="auto" w:fill="FDE9D9"/>
      </w:tcPr>
    </w:tblStylePr>
  </w:style>
  <w:style w:type="character" w:customStyle="1" w:styleId="apple-converted-space">
    <w:name w:val="apple-converted-space"/>
    <w:rsid w:val="00AC7914"/>
    <w:rPr>
      <w:rFonts w:cs="Times New Roman"/>
    </w:rPr>
  </w:style>
  <w:style w:type="paragraph" w:styleId="NormalWeb">
    <w:name w:val="Normal (Web)"/>
    <w:basedOn w:val="Normal"/>
    <w:uiPriority w:val="99"/>
    <w:rsid w:val="00AC7914"/>
    <w:pPr>
      <w:spacing w:before="100" w:beforeAutospacing="1" w:after="100" w:afterAutospacing="1" w:line="240" w:lineRule="auto"/>
    </w:pPr>
    <w:rPr>
      <w:rFonts w:eastAsia="Calibri" w:cs="Arial"/>
      <w:sz w:val="24"/>
      <w:lang w:eastAsia="en-GB"/>
    </w:rPr>
  </w:style>
  <w:style w:type="paragraph" w:styleId="PlainText">
    <w:name w:val="Plain Text"/>
    <w:basedOn w:val="Normal"/>
    <w:link w:val="PlainTextChar"/>
    <w:uiPriority w:val="99"/>
    <w:semiHidden/>
    <w:rsid w:val="00AC7914"/>
    <w:pPr>
      <w:spacing w:before="0" w:after="0" w:line="240" w:lineRule="auto"/>
    </w:pPr>
    <w:rPr>
      <w:rFonts w:ascii="Calibri" w:eastAsia="Calibri" w:hAnsi="Calibri"/>
      <w:sz w:val="21"/>
      <w:szCs w:val="21"/>
      <w:lang w:val="x-none"/>
    </w:rPr>
  </w:style>
  <w:style w:type="character" w:customStyle="1" w:styleId="PlainTextChar">
    <w:name w:val="Plain Text Char"/>
    <w:basedOn w:val="DefaultParagraphFont"/>
    <w:link w:val="PlainText"/>
    <w:uiPriority w:val="99"/>
    <w:semiHidden/>
    <w:rsid w:val="00AC7914"/>
    <w:rPr>
      <w:rFonts w:ascii="Calibri" w:eastAsia="Calibri" w:hAnsi="Calibri"/>
      <w:sz w:val="21"/>
      <w:szCs w:val="21"/>
      <w:lang w:val="x-none"/>
    </w:rPr>
  </w:style>
  <w:style w:type="paragraph" w:customStyle="1" w:styleId="ColorfulShading-Accent11">
    <w:name w:val="Colorful Shading - Accent 11"/>
    <w:hidden/>
    <w:uiPriority w:val="99"/>
    <w:semiHidden/>
    <w:rsid w:val="00AC7914"/>
    <w:rPr>
      <w:rFonts w:ascii="Arial" w:eastAsia="Calibri" w:hAnsi="Arial" w:cs="Arial"/>
    </w:rPr>
  </w:style>
  <w:style w:type="paragraph" w:customStyle="1" w:styleId="Normaa">
    <w:name w:val="Normaa"/>
    <w:uiPriority w:val="99"/>
    <w:rsid w:val="00AC7914"/>
    <w:pPr>
      <w:spacing w:before="120" w:after="120" w:line="240" w:lineRule="atLeast"/>
    </w:pPr>
    <w:rPr>
      <w:rFonts w:ascii="Arial" w:eastAsia="Calibri" w:hAnsi="Arial" w:cs="Arial"/>
    </w:rPr>
  </w:style>
  <w:style w:type="character" w:customStyle="1" w:styleId="IntenseEmphasis1">
    <w:name w:val="Intense Emphasis1"/>
    <w:uiPriority w:val="99"/>
    <w:qFormat/>
    <w:rsid w:val="00AC7914"/>
    <w:rPr>
      <w:rFonts w:cs="Times New Roman"/>
      <w:b/>
      <w:bCs/>
      <w:i/>
      <w:iCs/>
      <w:color w:val="4F81BD"/>
    </w:rPr>
  </w:style>
  <w:style w:type="numbering" w:customStyle="1" w:styleId="NumbLstBTNumbList">
    <w:name w:val="NumbLstBTNumbList"/>
    <w:rsid w:val="00AC7914"/>
    <w:pPr>
      <w:numPr>
        <w:numId w:val="24"/>
      </w:numPr>
    </w:pPr>
  </w:style>
  <w:style w:type="paragraph" w:customStyle="1" w:styleId="ColorfulShading-Accent12">
    <w:name w:val="Colorful Shading - Accent 12"/>
    <w:hidden/>
    <w:uiPriority w:val="99"/>
    <w:semiHidden/>
    <w:rsid w:val="00AC7914"/>
    <w:rPr>
      <w:rFonts w:ascii="Arial" w:eastAsia="Calibri" w:hAnsi="Arial" w:cs="Arial"/>
    </w:rPr>
  </w:style>
  <w:style w:type="paragraph" w:customStyle="1" w:styleId="Title1">
    <w:name w:val="Title1"/>
    <w:basedOn w:val="Normal"/>
    <w:rsid w:val="00AC7914"/>
    <w:pPr>
      <w:spacing w:before="100" w:beforeAutospacing="1" w:after="100" w:afterAutospacing="1" w:line="240" w:lineRule="auto"/>
    </w:pPr>
    <w:rPr>
      <w:rFonts w:ascii="Times New Roman" w:eastAsia="Times New Roman" w:hAnsi="Times New Roman"/>
      <w:sz w:val="24"/>
      <w:lang w:val="en-US"/>
    </w:rPr>
  </w:style>
  <w:style w:type="character" w:customStyle="1" w:styleId="WW8Num9z0">
    <w:name w:val="WW8Num9z0"/>
    <w:rsid w:val="00AC7914"/>
    <w:rPr>
      <w:rFonts w:cs="Times New Roman"/>
    </w:rPr>
  </w:style>
  <w:style w:type="character" w:customStyle="1" w:styleId="WW8Num32z3">
    <w:name w:val="WW8Num32z3"/>
    <w:rsid w:val="00AC7914"/>
    <w:rPr>
      <w:rFonts w:ascii="Symbol" w:hAnsi="Symbol"/>
    </w:rPr>
  </w:style>
  <w:style w:type="character" w:customStyle="1" w:styleId="FootnoteSymboluser">
    <w:name w:val="Footnote Symbol (user)"/>
    <w:rsid w:val="00AC7914"/>
  </w:style>
  <w:style w:type="character" w:customStyle="1" w:styleId="Footnoteanchoruser">
    <w:name w:val="Footnote anchor (user)"/>
    <w:rsid w:val="00AC7914"/>
    <w:rPr>
      <w:vertAlign w:val="superscript"/>
    </w:rPr>
  </w:style>
  <w:style w:type="character" w:customStyle="1" w:styleId="CommentTextChar1">
    <w:name w:val="Comment Text Char1"/>
    <w:rsid w:val="00AC7914"/>
    <w:rPr>
      <w:rFonts w:ascii="Arial" w:eastAsia="Calibri" w:hAnsi="Arial"/>
      <w:lang w:eastAsia="ar-SA"/>
    </w:rPr>
  </w:style>
  <w:style w:type="paragraph" w:customStyle="1" w:styleId="Textbodyuser">
    <w:name w:val="Text body (user)"/>
    <w:basedOn w:val="Normal"/>
    <w:rsid w:val="00AC7914"/>
    <w:pPr>
      <w:suppressAutoHyphens/>
      <w:ind w:left="851"/>
      <w:textAlignment w:val="baseline"/>
    </w:pPr>
    <w:rPr>
      <w:rFonts w:eastAsia="Calibri" w:cs="Arial"/>
      <w:kern w:val="1"/>
      <w:szCs w:val="20"/>
      <w:lang w:eastAsia="ar-SA"/>
    </w:rPr>
  </w:style>
  <w:style w:type="character" w:customStyle="1" w:styleId="Internetlink">
    <w:name w:val="Internet link"/>
    <w:rsid w:val="00AC7914"/>
    <w:rPr>
      <w:color w:val="0000FF"/>
      <w:u w:val="single"/>
    </w:rPr>
  </w:style>
  <w:style w:type="paragraph" w:customStyle="1" w:styleId="a0">
    <w:name w:val="Заглавие"/>
    <w:basedOn w:val="Normal"/>
    <w:next w:val="BodyText"/>
    <w:rsid w:val="00AC7914"/>
    <w:pPr>
      <w:keepNext/>
      <w:suppressAutoHyphens/>
      <w:spacing w:before="240"/>
    </w:pPr>
    <w:rPr>
      <w:rFonts w:ascii="Liberation Sans" w:eastAsia="DejaVu Sans" w:hAnsi="Liberation Sans" w:cs="Lohit Hindi"/>
      <w:sz w:val="28"/>
      <w:szCs w:val="28"/>
      <w:lang w:eastAsia="ar-SA"/>
    </w:rPr>
  </w:style>
  <w:style w:type="paragraph" w:customStyle="1" w:styleId="Standard">
    <w:name w:val="Standard"/>
    <w:rsid w:val="00AC7914"/>
    <w:pPr>
      <w:suppressAutoHyphens/>
      <w:spacing w:before="120" w:after="120" w:line="240" w:lineRule="atLeast"/>
      <w:textAlignment w:val="baseline"/>
    </w:pPr>
    <w:rPr>
      <w:rFonts w:ascii="Arial" w:eastAsia="Calibri" w:hAnsi="Arial" w:cs="Arial"/>
      <w:kern w:val="1"/>
      <w:lang w:eastAsia="ar-SA"/>
    </w:rPr>
  </w:style>
  <w:style w:type="paragraph" w:customStyle="1" w:styleId="WW-Textbody">
    <w:name w:val="WW-Text body"/>
    <w:basedOn w:val="Standard"/>
    <w:rsid w:val="00AC7914"/>
    <w:pPr>
      <w:ind w:left="851"/>
    </w:pPr>
  </w:style>
  <w:style w:type="character" w:customStyle="1" w:styleId="FootnoteSymbol">
    <w:name w:val="Footnote Symbol"/>
    <w:rsid w:val="00AC7914"/>
  </w:style>
  <w:style w:type="character" w:customStyle="1" w:styleId="BookTitle1">
    <w:name w:val="Book Title1"/>
    <w:uiPriority w:val="33"/>
    <w:qFormat/>
    <w:rsid w:val="00AC7914"/>
    <w:rPr>
      <w:b/>
      <w:bCs/>
      <w:smallCaps/>
      <w:spacing w:val="5"/>
    </w:rPr>
  </w:style>
  <w:style w:type="paragraph" w:styleId="EndnoteText">
    <w:name w:val="endnote text"/>
    <w:basedOn w:val="Normal"/>
    <w:link w:val="EndnoteTextChar"/>
    <w:uiPriority w:val="99"/>
    <w:semiHidden/>
    <w:unhideWhenUsed/>
    <w:rsid w:val="00AC7914"/>
    <w:rPr>
      <w:rFonts w:eastAsia="Calibri"/>
      <w:szCs w:val="20"/>
      <w:lang w:eastAsia="x-none"/>
    </w:rPr>
  </w:style>
  <w:style w:type="character" w:customStyle="1" w:styleId="EndnoteTextChar">
    <w:name w:val="Endnote Text Char"/>
    <w:basedOn w:val="DefaultParagraphFont"/>
    <w:link w:val="EndnoteText"/>
    <w:uiPriority w:val="99"/>
    <w:semiHidden/>
    <w:rsid w:val="00AC7914"/>
    <w:rPr>
      <w:rFonts w:ascii="Arial" w:eastAsia="Calibri" w:hAnsi="Arial"/>
      <w:lang w:eastAsia="x-none"/>
    </w:rPr>
  </w:style>
  <w:style w:type="character" w:styleId="EndnoteReference">
    <w:name w:val="endnote reference"/>
    <w:uiPriority w:val="99"/>
    <w:semiHidden/>
    <w:unhideWhenUsed/>
    <w:rsid w:val="00AC7914"/>
    <w:rPr>
      <w:vertAlign w:val="superscript"/>
    </w:rPr>
  </w:style>
  <w:style w:type="character" w:customStyle="1" w:styleId="hw">
    <w:name w:val="hw"/>
    <w:basedOn w:val="DefaultParagraphFont"/>
    <w:rsid w:val="00AC7914"/>
  </w:style>
  <w:style w:type="character" w:customStyle="1" w:styleId="sb">
    <w:name w:val="sb"/>
    <w:semiHidden/>
    <w:rsid w:val="00AC7914"/>
    <w:rPr>
      <w:rFonts w:ascii="Arial" w:hAnsi="Arial" w:cs="Arial"/>
      <w:color w:val="auto"/>
      <w:sz w:val="20"/>
      <w:szCs w:val="20"/>
    </w:rPr>
  </w:style>
  <w:style w:type="character" w:customStyle="1" w:styleId="emailstyle17">
    <w:name w:val="emailstyle17"/>
    <w:semiHidden/>
    <w:rsid w:val="00AC7914"/>
    <w:rPr>
      <w:rFonts w:ascii="Arial" w:hAnsi="Arial" w:cs="Arial" w:hint="default"/>
      <w:color w:val="auto"/>
      <w:sz w:val="20"/>
      <w:szCs w:val="20"/>
    </w:rPr>
  </w:style>
  <w:style w:type="paragraph" w:customStyle="1" w:styleId="msolistparagraph0">
    <w:name w:val="msolistparagraph"/>
    <w:basedOn w:val="Normal"/>
    <w:rsid w:val="00AC7914"/>
    <w:pPr>
      <w:spacing w:before="0" w:after="0" w:line="240" w:lineRule="auto"/>
      <w:ind w:left="720"/>
    </w:pPr>
    <w:rPr>
      <w:rFonts w:ascii="Times New Roman" w:eastAsia="Times New Roman" w:hAnsi="Times New Roman"/>
      <w:sz w:val="24"/>
      <w:lang w:val="en-US"/>
    </w:rPr>
  </w:style>
  <w:style w:type="character" w:customStyle="1" w:styleId="WW-FootnoteReference">
    <w:name w:val="WW-Footnote Reference"/>
    <w:rsid w:val="00AC7914"/>
    <w:rPr>
      <w:vertAlign w:val="superscript"/>
    </w:rPr>
  </w:style>
  <w:style w:type="paragraph" w:styleId="ListParagraph">
    <w:name w:val="List Paragraph"/>
    <w:basedOn w:val="Normal"/>
    <w:uiPriority w:val="34"/>
    <w:qFormat/>
    <w:rsid w:val="00AC7914"/>
    <w:pPr>
      <w:ind w:left="720"/>
    </w:pPr>
    <w:rPr>
      <w:rFonts w:eastAsia="Calibri" w:cs="Arial"/>
      <w:szCs w:val="20"/>
    </w:rPr>
  </w:style>
  <w:style w:type="paragraph" w:styleId="Revision">
    <w:name w:val="Revision"/>
    <w:hidden/>
    <w:uiPriority w:val="99"/>
    <w:semiHidden/>
    <w:rsid w:val="00AC7914"/>
    <w:rPr>
      <w:rFonts w:ascii="Arial" w:eastAsia="Calibri" w:hAnsi="Arial" w:cs="Arial"/>
    </w:rPr>
  </w:style>
  <w:style w:type="table" w:styleId="MediumGrid1-Accent5">
    <w:name w:val="Medium Grid 1 Accent 5"/>
    <w:basedOn w:val="TableNormal"/>
    <w:uiPriority w:val="99"/>
    <w:rsid w:val="00F60A1E"/>
    <w:rPr>
      <w:rFonts w:ascii="Calibri" w:eastAsia="Calibri" w:hAnsi="Calibri" w:cs="Calibri"/>
      <w:color w:val="000000"/>
      <w:lang w:val="en-US" w:eastAsia="de-DE"/>
    </w:rPr>
    <w:tblPr>
      <w:tblStyleRowBandSize w:val="1"/>
      <w:tblStyleColBandSize w:val="1"/>
    </w:tblPr>
    <w:tcPr>
      <w:shd w:val="clear" w:color="auto" w:fill="F2EFF6"/>
    </w:tcPr>
    <w:tblStylePr w:type="firstRow">
      <w:rPr>
        <w:rFonts w:cs="Wingdings"/>
        <w:b/>
        <w:bCs/>
        <w:color w:val="FFFFFF"/>
      </w:rPr>
      <w:tblPr/>
      <w:tcPr>
        <w:tcBorders>
          <w:bottom w:val="single" w:sz="12" w:space="0" w:color="FFFFFF"/>
        </w:tcBorders>
        <w:shd w:val="clear" w:color="auto" w:fill="7E9C40"/>
      </w:tcPr>
    </w:tblStylePr>
    <w:tblStylePr w:type="lastRow">
      <w:rPr>
        <w:rFonts w:cs="Wingdings"/>
        <w:b/>
        <w:bCs/>
        <w:color w:val="7E9C40"/>
      </w:rPr>
      <w:tblPr/>
      <w:tcPr>
        <w:tcBorders>
          <w:top w:val="single" w:sz="12" w:space="0" w:color="000000"/>
        </w:tcBorders>
        <w:shd w:val="clear" w:color="auto" w:fill="FFFFFF"/>
      </w:tcPr>
    </w:tblStylePr>
    <w:tblStylePr w:type="firstCol">
      <w:rPr>
        <w:rFonts w:cs="Wingdings"/>
        <w:b/>
        <w:bCs/>
      </w:rPr>
    </w:tblStylePr>
    <w:tblStylePr w:type="lastCol">
      <w:rPr>
        <w:rFonts w:cs="Wingdings"/>
        <w:b/>
        <w:bCs/>
      </w:rPr>
    </w:tblStylePr>
    <w:tblStylePr w:type="band1Vert">
      <w:rPr>
        <w:rFonts w:cs="Wingdings"/>
      </w:rPr>
      <w:tblPr/>
      <w:tcPr>
        <w:tcBorders>
          <w:top w:val="nil"/>
          <w:left w:val="nil"/>
          <w:bottom w:val="nil"/>
          <w:right w:val="nil"/>
          <w:insideH w:val="nil"/>
          <w:insideV w:val="nil"/>
        </w:tcBorders>
        <w:shd w:val="clear" w:color="auto" w:fill="DFD8E8"/>
      </w:tcPr>
    </w:tblStylePr>
    <w:tblStylePr w:type="band1Horz">
      <w:rPr>
        <w:rFonts w:cs="Wingdings"/>
      </w:rPr>
      <w:tblPr/>
      <w:tcPr>
        <w:shd w:val="clear" w:color="auto" w:fill="E5DFEC"/>
      </w:tcPr>
    </w:tblStylePr>
  </w:style>
  <w:style w:type="numbering" w:customStyle="1" w:styleId="NumbLstBTNumbList1">
    <w:name w:val="NumbLstBTNumbList1"/>
    <w:rsid w:val="00F60A1E"/>
  </w:style>
  <w:style w:type="paragraph" w:customStyle="1" w:styleId="EPbodytext">
    <w:name w:val="EP body text"/>
    <w:basedOn w:val="Normal"/>
    <w:link w:val="EPbodytextChar"/>
    <w:uiPriority w:val="99"/>
    <w:rsid w:val="00F60A1E"/>
    <w:pPr>
      <w:tabs>
        <w:tab w:val="left" w:pos="1021"/>
        <w:tab w:val="left" w:pos="1418"/>
        <w:tab w:val="left" w:pos="1786"/>
        <w:tab w:val="left" w:pos="2381"/>
        <w:tab w:val="left" w:pos="2948"/>
        <w:tab w:val="left" w:pos="3572"/>
        <w:tab w:val="left" w:pos="4139"/>
        <w:tab w:val="left" w:pos="4763"/>
        <w:tab w:val="left" w:pos="5387"/>
        <w:tab w:val="left" w:pos="5954"/>
        <w:tab w:val="left" w:pos="6577"/>
        <w:tab w:val="left" w:pos="7144"/>
      </w:tabs>
      <w:spacing w:before="0" w:after="0" w:line="264" w:lineRule="auto"/>
      <w:jc w:val="both"/>
    </w:pPr>
    <w:rPr>
      <w:rFonts w:ascii="Verdana" w:eastAsia="Times New Roman" w:hAnsi="Verdana" w:cs="Arial"/>
      <w:bCs/>
      <w:color w:val="000000"/>
      <w:szCs w:val="20"/>
      <w:lang w:eastAsia="en-GB"/>
    </w:rPr>
  </w:style>
  <w:style w:type="character" w:customStyle="1" w:styleId="EPbodytextChar">
    <w:name w:val="EP body text Char"/>
    <w:basedOn w:val="DefaultParagraphFont"/>
    <w:link w:val="EPbodytext"/>
    <w:uiPriority w:val="99"/>
    <w:locked/>
    <w:rsid w:val="00F60A1E"/>
    <w:rPr>
      <w:rFonts w:ascii="Verdana" w:eastAsia="Times New Roman" w:hAnsi="Verdana" w:cs="Arial"/>
      <w:bCs/>
      <w:color w:val="000000"/>
      <w:lang w:eastAsia="en-GB"/>
    </w:rPr>
  </w:style>
  <w:style w:type="paragraph" w:customStyle="1" w:styleId="FarbigeListe-Akzent11">
    <w:name w:val="Farbige Liste - Akzent 11"/>
    <w:basedOn w:val="Normal"/>
    <w:uiPriority w:val="99"/>
    <w:qFormat/>
    <w:rsid w:val="00F60A1E"/>
    <w:pPr>
      <w:spacing w:before="0" w:line="240" w:lineRule="auto"/>
      <w:ind w:left="720"/>
    </w:pPr>
    <w:rPr>
      <w:rFonts w:ascii="Calibri" w:eastAsia="Times New Roman" w:hAnsi="Calibri" w:cs="Calibri"/>
      <w:sz w:val="22"/>
      <w:szCs w:val="22"/>
      <w:lang w:val="en-US"/>
    </w:rPr>
  </w:style>
  <w:style w:type="character" w:styleId="IntenseEmphasis">
    <w:name w:val="Intense Emphasis"/>
    <w:basedOn w:val="DefaultParagraphFont"/>
    <w:uiPriority w:val="21"/>
    <w:qFormat/>
    <w:rsid w:val="00F60A1E"/>
    <w:rPr>
      <w:b/>
      <w:bCs/>
      <w:i/>
      <w:iCs/>
      <w:color w:val="4F81BD" w:themeColor="accent1"/>
    </w:rPr>
  </w:style>
  <w:style w:type="paragraph" w:styleId="DocumentMap">
    <w:name w:val="Document Map"/>
    <w:basedOn w:val="Normal"/>
    <w:link w:val="DocumentMapChar"/>
    <w:uiPriority w:val="99"/>
    <w:semiHidden/>
    <w:unhideWhenUsed/>
    <w:rsid w:val="00F60A1E"/>
    <w:pPr>
      <w:spacing w:before="0" w:after="0" w:line="240" w:lineRule="auto"/>
    </w:pPr>
    <w:rPr>
      <w:rFonts w:ascii="Lucida Grande" w:eastAsia="Calibri" w:hAnsi="Lucida Grande" w:cs="Lucida Grande"/>
      <w:sz w:val="24"/>
    </w:rPr>
  </w:style>
  <w:style w:type="character" w:customStyle="1" w:styleId="DocumentMapChar">
    <w:name w:val="Document Map Char"/>
    <w:basedOn w:val="DefaultParagraphFont"/>
    <w:link w:val="DocumentMap"/>
    <w:uiPriority w:val="99"/>
    <w:semiHidden/>
    <w:rsid w:val="00F60A1E"/>
    <w:rPr>
      <w:rFonts w:ascii="Lucida Grande" w:eastAsia="Calibri" w:hAnsi="Lucida Grande" w:cs="Lucida Grande"/>
      <w:sz w:val="24"/>
      <w:szCs w:val="24"/>
    </w:rPr>
  </w:style>
  <w:style w:type="character" w:styleId="Emphasis">
    <w:name w:val="Emphasis"/>
    <w:basedOn w:val="DefaultParagraphFont"/>
    <w:uiPriority w:val="20"/>
    <w:qFormat/>
    <w:rsid w:val="00F60A1E"/>
    <w:rPr>
      <w:b/>
      <w:bCs/>
      <w:i w:val="0"/>
      <w:iCs w:val="0"/>
    </w:rPr>
  </w:style>
  <w:style w:type="character" w:customStyle="1" w:styleId="st1">
    <w:name w:val="st1"/>
    <w:basedOn w:val="DefaultParagraphFont"/>
    <w:rsid w:val="00F60A1E"/>
  </w:style>
  <w:style w:type="paragraph" w:styleId="TOCHeading">
    <w:name w:val="TOC Heading"/>
    <w:basedOn w:val="Heading1"/>
    <w:next w:val="Normal"/>
    <w:uiPriority w:val="39"/>
    <w:unhideWhenUsed/>
    <w:qFormat/>
    <w:rsid w:val="00F60A1E"/>
    <w:pPr>
      <w:pageBreakBefore w:val="0"/>
      <w:numPr>
        <w:numId w:val="0"/>
      </w:numPr>
      <w:spacing w:before="240" w:after="0" w:line="259" w:lineRule="auto"/>
      <w:outlineLvl w:val="9"/>
    </w:pPr>
    <w:rPr>
      <w:rFonts w:asciiTheme="majorHAnsi" w:hAnsiTheme="majorHAnsi"/>
      <w:b w:val="0"/>
      <w:bCs w:val="0"/>
      <w:color w:val="365F91" w:themeColor="accent1" w:themeShade="BF"/>
      <w:szCs w:val="32"/>
      <w:lang w:val="en-US"/>
    </w:rPr>
  </w:style>
  <w:style w:type="table" w:styleId="ColorfulShading-Accent6">
    <w:name w:val="Colorful Shading Accent 6"/>
    <w:basedOn w:val="TableNormal"/>
    <w:uiPriority w:val="99"/>
    <w:rsid w:val="00F60A1E"/>
    <w:rPr>
      <w:rFonts w:ascii="Calibri" w:eastAsia="Calibri" w:hAnsi="Calibri" w:cs="Calibri"/>
      <w:color w:val="000000"/>
      <w:lang w:val="en-US"/>
    </w:rPr>
    <w:tblPr>
      <w:tblStyleRowBandSize w:val="1"/>
      <w:tblStyleColBandSize w:val="1"/>
    </w:tblPr>
    <w:tcPr>
      <w:shd w:val="clear" w:color="auto" w:fill="F2EFF6"/>
    </w:tcPr>
    <w:tblStylePr w:type="firstRow">
      <w:rPr>
        <w:rFonts w:cs="MS Mincho"/>
        <w:b/>
        <w:bCs/>
        <w:color w:val="FFFFFF"/>
      </w:rPr>
      <w:tblPr/>
      <w:tcPr>
        <w:tcBorders>
          <w:bottom w:val="single" w:sz="12" w:space="0" w:color="FFFFFF"/>
        </w:tcBorders>
        <w:shd w:val="clear" w:color="auto" w:fill="7E9C40"/>
      </w:tcPr>
    </w:tblStylePr>
    <w:tblStylePr w:type="lastRow">
      <w:rPr>
        <w:rFonts w:cs="MS Mincho"/>
        <w:b/>
        <w:bCs/>
        <w:color w:val="7E9C40"/>
      </w:rPr>
      <w:tblPr/>
      <w:tcPr>
        <w:tcBorders>
          <w:top w:val="single" w:sz="12" w:space="0" w:color="000000"/>
        </w:tcBorders>
        <w:shd w:val="clear" w:color="auto" w:fill="FFFFFF"/>
      </w:tcPr>
    </w:tblStylePr>
    <w:tblStylePr w:type="firstCol">
      <w:rPr>
        <w:rFonts w:cs="MS Mincho"/>
        <w:b/>
        <w:bCs/>
      </w:rPr>
    </w:tblStylePr>
    <w:tblStylePr w:type="lastCol">
      <w:rPr>
        <w:rFonts w:cs="MS Mincho"/>
        <w:b/>
        <w:bCs/>
      </w:rPr>
    </w:tblStylePr>
    <w:tblStylePr w:type="band1Vert">
      <w:rPr>
        <w:rFonts w:cs="MS Mincho"/>
      </w:rPr>
      <w:tblPr/>
      <w:tcPr>
        <w:tcBorders>
          <w:top w:val="nil"/>
          <w:left w:val="nil"/>
          <w:bottom w:val="nil"/>
          <w:right w:val="nil"/>
          <w:insideH w:val="nil"/>
          <w:insideV w:val="nil"/>
        </w:tcBorders>
        <w:shd w:val="clear" w:color="auto" w:fill="DFD8E8"/>
      </w:tcPr>
    </w:tblStylePr>
    <w:tblStylePr w:type="band1Horz">
      <w:rPr>
        <w:rFonts w:cs="MS Mincho"/>
      </w:rPr>
      <w:tblPr/>
      <w:tcPr>
        <w:shd w:val="clear" w:color="auto" w:fill="E5DFEC"/>
      </w:tcPr>
    </w:tblStylePr>
  </w:style>
  <w:style w:type="paragraph" w:customStyle="1" w:styleId="MediumList2-Accent21">
    <w:name w:val="Medium List 2 - Accent 21"/>
    <w:hidden/>
    <w:uiPriority w:val="99"/>
    <w:semiHidden/>
    <w:rsid w:val="00F60A1E"/>
    <w:rPr>
      <w:rFonts w:ascii="Arial" w:eastAsia="Calibri" w:hAnsi="Arial" w:cs="Arial"/>
    </w:rPr>
  </w:style>
  <w:style w:type="paragraph" w:customStyle="1" w:styleId="MediumGrid1-Accent21">
    <w:name w:val="Medium Grid 1 - Accent 21"/>
    <w:basedOn w:val="Normal"/>
    <w:uiPriority w:val="99"/>
    <w:qFormat/>
    <w:rsid w:val="00F60A1E"/>
    <w:pPr>
      <w:ind w:left="720"/>
    </w:pPr>
    <w:rPr>
      <w:rFonts w:eastAsia="Calibri" w:cs="Arial"/>
      <w:szCs w:val="20"/>
    </w:rPr>
  </w:style>
  <w:style w:type="character" w:styleId="Strong">
    <w:name w:val="Strong"/>
    <w:uiPriority w:val="22"/>
    <w:qFormat/>
    <w:rsid w:val="00F60A1E"/>
    <w:rPr>
      <w:b/>
      <w:bCs/>
    </w:rPr>
  </w:style>
  <w:style w:type="paragraph" w:customStyle="1" w:styleId="bodytext0">
    <w:name w:val="bodytext"/>
    <w:basedOn w:val="Normal"/>
    <w:rsid w:val="00F60A1E"/>
    <w:pPr>
      <w:spacing w:before="100" w:beforeAutospacing="1" w:after="100" w:afterAutospacing="1" w:line="240" w:lineRule="auto"/>
    </w:pPr>
    <w:rPr>
      <w:rFonts w:ascii="Times New Roman" w:eastAsia="Times New Roman" w:hAnsi="Times New Roman"/>
      <w:sz w:val="24"/>
      <w:lang w:val="fr-BE" w:eastAsia="fr-BE"/>
    </w:rPr>
  </w:style>
  <w:style w:type="character" w:customStyle="1" w:styleId="shorttext">
    <w:name w:val="short_text"/>
    <w:rsid w:val="00F60A1E"/>
  </w:style>
  <w:style w:type="character" w:customStyle="1" w:styleId="hps">
    <w:name w:val="hps"/>
    <w:rsid w:val="00F60A1E"/>
  </w:style>
  <w:style w:type="paragraph" w:customStyle="1" w:styleId="Heading4NoNumber">
    <w:name w:val="Heading4NoNumber"/>
    <w:basedOn w:val="Normal"/>
    <w:rsid w:val="00F60A1E"/>
    <w:pPr>
      <w:widowControl w:val="0"/>
      <w:spacing w:before="0" w:after="0" w:line="240" w:lineRule="auto"/>
    </w:pPr>
    <w:rPr>
      <w:rFonts w:eastAsia="Calibri" w:cs="Arial"/>
      <w:b/>
      <w:i/>
      <w:szCs w:val="20"/>
    </w:rPr>
  </w:style>
  <w:style w:type="numbering" w:customStyle="1" w:styleId="NumbLstBTNumbList2">
    <w:name w:val="NumbLstBTNumbList2"/>
    <w:rsid w:val="00F60A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061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ejustice.just.fgov.be/wet/wet.htm" TargetMode="External"/><Relationship Id="rId117" Type="http://schemas.openxmlformats.org/officeDocument/2006/relationships/hyperlink" Target="http://www.dekamer.be/kvvcr/pdf_sections/publications/constitution/grondwetEN.pdf" TargetMode="External"/><Relationship Id="rId21" Type="http://schemas.openxmlformats.org/officeDocument/2006/relationships/footer" Target="footer4.xml"/><Relationship Id="rId42" Type="http://schemas.openxmlformats.org/officeDocument/2006/relationships/hyperlink" Target="http://www.ejustice.just.fgov.be/wet/wet.htm" TargetMode="External"/><Relationship Id="rId47" Type="http://schemas.openxmlformats.org/officeDocument/2006/relationships/hyperlink" Target="http://www.kinderrechtencommissariaat.be/" TargetMode="External"/><Relationship Id="rId63" Type="http://schemas.openxmlformats.org/officeDocument/2006/relationships/hyperlink" Target="http://www.ejustice.just.fgov.be/cgi_loi/change_lg.pl?language=fr&amp;la=F&amp;table_name=loi&amp;cn=1965040803" TargetMode="External"/><Relationship Id="rId68" Type="http://schemas.openxmlformats.org/officeDocument/2006/relationships/hyperlink" Target="http://www.dekamer.be/kvvcr/pdf_sections/publications/constitution/grondwetEN.pdf" TargetMode="External"/><Relationship Id="rId84" Type="http://schemas.openxmlformats.org/officeDocument/2006/relationships/hyperlink" Target="http://justice.belgium.be/fr/themes_et_dossiers/" TargetMode="External"/><Relationship Id="rId89" Type="http://schemas.openxmlformats.org/officeDocument/2006/relationships/hyperlink" Target="http://www.ejustice.just.fgov.be/wet/wet.htm" TargetMode="External"/><Relationship Id="rId112" Type="http://schemas.openxmlformats.org/officeDocument/2006/relationships/hyperlink" Target="https://wcd.coe.int/ViewDoc.jsp?Ref=CM/Del/Dec(2010)1098/10.2abc&amp;Language=lanEnglish&amp;Ver=app6&amp;Site=CM&amp;BackColorInternet=C3C3C3&amp;BackColorIntranet=EDB021&amp;BackColorLogged=F5D383" TargetMode="External"/><Relationship Id="rId133" Type="http://schemas.openxmlformats.org/officeDocument/2006/relationships/hyperlink" Target="http://www.ejustice.just.fgov.be/wet/wet.htm" TargetMode="External"/><Relationship Id="rId138" Type="http://schemas.openxmlformats.org/officeDocument/2006/relationships/hyperlink" Target="http://www.ejustice.just.fgov.be/wet/wet.htm" TargetMode="External"/><Relationship Id="rId154" Type="http://schemas.openxmlformats.org/officeDocument/2006/relationships/hyperlink" Target="http://www.ejustice.just.fgov.be/wet/wet.htm" TargetMode="External"/><Relationship Id="rId159" Type="http://schemas.openxmlformats.org/officeDocument/2006/relationships/hyperlink" Target="http://www.ejustice.just.fgov.be/wet/wet.htm" TargetMode="External"/><Relationship Id="rId175" Type="http://schemas.openxmlformats.org/officeDocument/2006/relationships/footer" Target="footer6.xml"/><Relationship Id="rId170" Type="http://schemas.openxmlformats.org/officeDocument/2006/relationships/hyperlink" Target="http://www.dekamer.be/kvvcr/pdf_sections/publications/constitution/grondwetEN.pdf" TargetMode="External"/><Relationship Id="rId16" Type="http://schemas.openxmlformats.org/officeDocument/2006/relationships/footer" Target="footer3.xml"/><Relationship Id="rId107" Type="http://schemas.openxmlformats.org/officeDocument/2006/relationships/hyperlink" Target="http://www.deontologiejournalistique.be/?english" TargetMode="External"/><Relationship Id="rId11" Type="http://schemas.openxmlformats.org/officeDocument/2006/relationships/image" Target="media/image2.png"/><Relationship Id="rId32" Type="http://schemas.openxmlformats.org/officeDocument/2006/relationships/hyperlink" Target="http://www.ejustice.just.fgov.be/wet/wet.htm" TargetMode="External"/><Relationship Id="rId37" Type="http://schemas.openxmlformats.org/officeDocument/2006/relationships/hyperlink" Target="http://www.ohchr.org/en/professionalinterest/pages/crc.aspx" TargetMode="External"/><Relationship Id="rId53" Type="http://schemas.openxmlformats.org/officeDocument/2006/relationships/hyperlink" Target="http://www.ejustice.just.fgov.be/cgi_loi/change_lg.pl?language=fr&amp;la=F&amp;table_name=loi&amp;cn=1965040803" TargetMode="External"/><Relationship Id="rId58" Type="http://schemas.openxmlformats.org/officeDocument/2006/relationships/hyperlink" Target="http://www.ejustice.just.fgov.be/cgi_loi/change_lg.pl?language=fr&amp;la=F&amp;cn=2013062404&amp;table_name=loi" TargetMode="External"/><Relationship Id="rId74" Type="http://schemas.openxmlformats.org/officeDocument/2006/relationships/hyperlink" Target="http://www.raadvanstate.be/?page=proc_admin_law&amp;lang=fr" TargetMode="External"/><Relationship Id="rId79" Type="http://schemas.openxmlformats.org/officeDocument/2006/relationships/hyperlink" Target="http://www.ejustice.just.fgov.be/cgi_loi/change_lg.pl?language=fr&amp;la=F&amp;table_name=loi&amp;cn=1965040803" TargetMode="External"/><Relationship Id="rId102" Type="http://schemas.openxmlformats.org/officeDocument/2006/relationships/hyperlink" Target="http://www.echr.coe.int/Documents/Convention_ENG.pdf" TargetMode="External"/><Relationship Id="rId123" Type="http://schemas.openxmlformats.org/officeDocument/2006/relationships/hyperlink" Target="http://www.lachambre.be/FLWB/pdf/53/0682/53K0682019.pdf" TargetMode="External"/><Relationship Id="rId128" Type="http://schemas.openxmlformats.org/officeDocument/2006/relationships/hyperlink" Target="http://www.dekamer.be/kvvcr/pdf_sections/publications/constitution/grondwetEN.pdf" TargetMode="External"/><Relationship Id="rId144" Type="http://schemas.openxmlformats.org/officeDocument/2006/relationships/hyperlink" Target="http://www.ejustice.just.fgov.be/wet/wet.htm" TargetMode="External"/><Relationship Id="rId149" Type="http://schemas.openxmlformats.org/officeDocument/2006/relationships/hyperlink" Target="http://www.ejustice.just.fgov.be/wet/wet.htm" TargetMode="External"/><Relationship Id="rId5" Type="http://schemas.openxmlformats.org/officeDocument/2006/relationships/webSettings" Target="webSettings.xml"/><Relationship Id="rId90" Type="http://schemas.openxmlformats.org/officeDocument/2006/relationships/hyperlink" Target="http://www.ejustice.just.fgov.be/wet/wet.htm" TargetMode="External"/><Relationship Id="rId95" Type="http://schemas.openxmlformats.org/officeDocument/2006/relationships/hyperlink" Target="http://www.ejustice.just.fgov.be/wet/wet.htm" TargetMode="External"/><Relationship Id="rId160" Type="http://schemas.openxmlformats.org/officeDocument/2006/relationships/hyperlink" Target="http://www.dekamer.be/kvvcr/pdf_sections/publications/constitution/grondwetEN.pdf" TargetMode="External"/><Relationship Id="rId165" Type="http://schemas.openxmlformats.org/officeDocument/2006/relationships/hyperlink" Target="http://www.ohchr.org/en/professionalinterest/pages/crc.aspx" TargetMode="External"/><Relationship Id="rId22" Type="http://schemas.openxmlformats.org/officeDocument/2006/relationships/header" Target="header6.xml"/><Relationship Id="rId27" Type="http://schemas.openxmlformats.org/officeDocument/2006/relationships/hyperlink" Target="http://www.ejustice.just.fgov.be/wet/wet.htm" TargetMode="External"/><Relationship Id="rId43" Type="http://schemas.openxmlformats.org/officeDocument/2006/relationships/hyperlink" Target="http://www.dekamer.be/kvvcr/pdf_sections/publications/constitution/grondwetEN.pdf" TargetMode="External"/><Relationship Id="rId48" Type="http://schemas.openxmlformats.org/officeDocument/2006/relationships/hyperlink" Target="http://www.dekamer.be/kvvcr/pdf_sections/publications/constitution/grondwetEN.pdf" TargetMode="External"/><Relationship Id="rId64" Type="http://schemas.openxmlformats.org/officeDocument/2006/relationships/hyperlink" Target="http://www.dekamer.be/kvvcr/pdf_sections/publications/constitution/grondwetEN.pdf" TargetMode="External"/><Relationship Id="rId69" Type="http://schemas.openxmlformats.org/officeDocument/2006/relationships/hyperlink" Target="http://www.ejustice.just.fgov.be/wet/wet.htm" TargetMode="External"/><Relationship Id="rId113" Type="http://schemas.openxmlformats.org/officeDocument/2006/relationships/hyperlink" Target="http://www.ejustice.just.fgov.be/cgi_loi/change_lg.pl?language=fr&amp;la=F&amp;table_name=loi&amp;cn=1965040803" TargetMode="External"/><Relationship Id="rId118" Type="http://schemas.openxmlformats.org/officeDocument/2006/relationships/hyperlink" Target="http://www.dekamer.be/kvvcr/pdf_sections/publications/constitution/grondwetEN.pdf" TargetMode="External"/><Relationship Id="rId134" Type="http://schemas.openxmlformats.org/officeDocument/2006/relationships/hyperlink" Target="http://www.ejustice.just.fgov.be/wet/wet.htm" TargetMode="External"/><Relationship Id="rId139" Type="http://schemas.openxmlformats.org/officeDocument/2006/relationships/hyperlink" Target="http://www.ejustice.just.fgov.be/cgi_loi/change_lg.pl?language=fr&amp;la=F&amp;table_name=loi&amp;cn=1965040803" TargetMode="External"/><Relationship Id="rId80" Type="http://schemas.openxmlformats.org/officeDocument/2006/relationships/hyperlink" Target="http://www.ejustice.just.fgov.be/wet/wet.htm" TargetMode="External"/><Relationship Id="rId85" Type="http://schemas.openxmlformats.org/officeDocument/2006/relationships/hyperlink" Target="http://www.belgium.be/en/justice/" TargetMode="External"/><Relationship Id="rId150" Type="http://schemas.openxmlformats.org/officeDocument/2006/relationships/hyperlink" Target="http://www.ejustice.just.fgov.be/wet/wet.htm" TargetMode="External"/><Relationship Id="rId155" Type="http://schemas.openxmlformats.org/officeDocument/2006/relationships/hyperlink" Target="http://www.ejustice.just.fgov.be/wet/wet.htm" TargetMode="External"/><Relationship Id="rId171" Type="http://schemas.openxmlformats.org/officeDocument/2006/relationships/hyperlink" Target="https://wcd.coe.int/ViewDoc.jsp?Ref=CM/Del/Dec(2010)1098/10.2abc&amp;Language=lanEnglish&amp;Ver=app6&amp;Site=CM&amp;BackColorInternet=C3C3C3&amp;BackColorIntranet=EDB021&amp;BackColorLogged=F5D383" TargetMode="External"/><Relationship Id="rId176" Type="http://schemas.openxmlformats.org/officeDocument/2006/relationships/fontTable" Target="fontTable.xml"/><Relationship Id="rId12" Type="http://schemas.openxmlformats.org/officeDocument/2006/relationships/image" Target="media/image3.png"/><Relationship Id="rId17" Type="http://schemas.openxmlformats.org/officeDocument/2006/relationships/hyperlink" Target="http://ec.europa.eu/justice/fundamental-rights/rights-child/eu-agenda/index_en.htm" TargetMode="External"/><Relationship Id="rId33" Type="http://schemas.openxmlformats.org/officeDocument/2006/relationships/hyperlink" Target="http://www.ejustice.just.fgov.be/wet/wet.htm" TargetMode="External"/><Relationship Id="rId38" Type="http://schemas.openxmlformats.org/officeDocument/2006/relationships/hyperlink" Target="http://www.echr.coe.int/Documents/Convention_ENG.pdf" TargetMode="External"/><Relationship Id="rId59" Type="http://schemas.openxmlformats.org/officeDocument/2006/relationships/hyperlink" Target="http://www.ejustice.just.fgov.be/wet/wet.htm" TargetMode="External"/><Relationship Id="rId103" Type="http://schemas.openxmlformats.org/officeDocument/2006/relationships/hyperlink" Target="http://www.ohchr.org/en/professionalinterest/pages/crc.aspx" TargetMode="External"/><Relationship Id="rId108" Type="http://schemas.openxmlformats.org/officeDocument/2006/relationships/hyperlink" Target="http://www.ejustice.just.fgov.be/wet/wet.htm" TargetMode="External"/><Relationship Id="rId124" Type="http://schemas.openxmlformats.org/officeDocument/2006/relationships/hyperlink" Target="http://www.lachambre.be/FLWB/pdf/53/0682/53K0682019.pdf" TargetMode="External"/><Relationship Id="rId129" Type="http://schemas.openxmlformats.org/officeDocument/2006/relationships/hyperlink" Target="http://www.dekamer.be/kvvcr/pdf_sections/publications/constitution/grondwetEN.pdf" TargetMode="External"/><Relationship Id="rId54" Type="http://schemas.openxmlformats.org/officeDocument/2006/relationships/hyperlink" Target="http://www.ejustice.just.fgov.be/wet/wet.htm" TargetMode="External"/><Relationship Id="rId70" Type="http://schemas.openxmlformats.org/officeDocument/2006/relationships/hyperlink" Target="http://www.diversiteit.be/" TargetMode="External"/><Relationship Id="rId75" Type="http://schemas.openxmlformats.org/officeDocument/2006/relationships/hyperlink" Target="http://www.ejustice.just.fgov.be/wet/wet.htm" TargetMode="External"/><Relationship Id="rId91" Type="http://schemas.openxmlformats.org/officeDocument/2006/relationships/hyperlink" Target="http://www.ejustice.just.fgov.be/cgi_loi/change_lg.pl?language=fr&amp;la=F&amp;table_name=loi&amp;cn=1965040803" TargetMode="External"/><Relationship Id="rId96" Type="http://schemas.openxmlformats.org/officeDocument/2006/relationships/hyperlink" Target="http://www.dekamer.be/kvvcr/pdf_sections/publications/constitution/grondwetEN.pdf" TargetMode="External"/><Relationship Id="rId140" Type="http://schemas.openxmlformats.org/officeDocument/2006/relationships/hyperlink" Target="http://www.ejustice.just.fgov.be/wet/wet.htm" TargetMode="External"/><Relationship Id="rId145" Type="http://schemas.openxmlformats.org/officeDocument/2006/relationships/hyperlink" Target="http://www.ejustice.just.fgov.be/wet/wet.htm" TargetMode="External"/><Relationship Id="rId161" Type="http://schemas.openxmlformats.org/officeDocument/2006/relationships/hyperlink" Target="http://www.raadvst-consetat.be/" TargetMode="External"/><Relationship Id="rId166" Type="http://schemas.openxmlformats.org/officeDocument/2006/relationships/hyperlink" Target="http://www.ejustice.just.fgov.be/cgi_loi/change_lg.pl?language=fr&amp;la=F&amp;table_name=loi&amp;cn=1965040803"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5.xml"/><Relationship Id="rId28" Type="http://schemas.openxmlformats.org/officeDocument/2006/relationships/hyperlink" Target="http://www.ejustice.just.fgov.be/wet/wet.htm" TargetMode="External"/><Relationship Id="rId49" Type="http://schemas.openxmlformats.org/officeDocument/2006/relationships/hyperlink" Target="http://www.ejustice.just.fgov.be/cgi_loi/change_lg.pl?language=fr&amp;la=F&amp;table_name=loi&amp;cn=1965040803" TargetMode="External"/><Relationship Id="rId114" Type="http://schemas.openxmlformats.org/officeDocument/2006/relationships/hyperlink" Target="http://www.ejustice.just.fgov.be/wet/wet.htm" TargetMode="External"/><Relationship Id="rId119" Type="http://schemas.openxmlformats.org/officeDocument/2006/relationships/hyperlink" Target="http://www.ejustice.just.fgov.be/wet/wet.htm" TargetMode="External"/><Relationship Id="rId10" Type="http://schemas.openxmlformats.org/officeDocument/2006/relationships/footer" Target="footer1.xml"/><Relationship Id="rId31" Type="http://schemas.openxmlformats.org/officeDocument/2006/relationships/hyperlink" Target="http://www.ejustice.just.fgov.be/wet/wet.htm" TargetMode="External"/><Relationship Id="rId44" Type="http://schemas.openxmlformats.org/officeDocument/2006/relationships/hyperlink" Target="http://www.dekamer.be/kvvcr/pdf_sections/publications/constitution/grondwetEN.pdf" TargetMode="External"/><Relationship Id="rId52" Type="http://schemas.openxmlformats.org/officeDocument/2006/relationships/hyperlink" Target="http://www.ejustice.just.fgov.be/wet/wet.htm" TargetMode="External"/><Relationship Id="rId60" Type="http://schemas.openxmlformats.org/officeDocument/2006/relationships/hyperlink" Target="http://www.ejustice.just.fgov.be/wet/wet.htm" TargetMode="External"/><Relationship Id="rId65" Type="http://schemas.openxmlformats.org/officeDocument/2006/relationships/hyperlink" Target="http://www.dekamer.be/kvvcr/pdf_sections/publications/constitution/grondwetEN.pdf" TargetMode="External"/><Relationship Id="rId73" Type="http://schemas.openxmlformats.org/officeDocument/2006/relationships/hyperlink" Target="http://www.ejustice.just.fgov.be/wet/wet.htm" TargetMode="External"/><Relationship Id="rId78" Type="http://schemas.openxmlformats.org/officeDocument/2006/relationships/hyperlink" Target="http://www.ejustice.just.fgov.be/wet/wet.htm" TargetMode="External"/><Relationship Id="rId81" Type="http://schemas.openxmlformats.org/officeDocument/2006/relationships/hyperlink" Target="http://www.ejustice.just.fgov.be/wet/wet.htm" TargetMode="External"/><Relationship Id="rId86" Type="http://schemas.openxmlformats.org/officeDocument/2006/relationships/hyperlink" Target="https://wcd.coe.int/ViewDoc.jsp?Ref=CM/Del/Dec(2010)1098/10.2abc&amp;Language=lanEnglish&amp;Ver=app6&amp;Site=CM&amp;BackColorInternet=C3C3C3&amp;BackColorIntranet=EDB021&amp;BackColorLogged=F5D383" TargetMode="External"/><Relationship Id="rId94" Type="http://schemas.openxmlformats.org/officeDocument/2006/relationships/hyperlink" Target="http://www.ejustice.just.fgov.be/wet/wet.htm" TargetMode="External"/><Relationship Id="rId99" Type="http://schemas.openxmlformats.org/officeDocument/2006/relationships/hyperlink" Target="http://www.ejustice.just.fgov.be/wet/wet.htm" TargetMode="External"/><Relationship Id="rId101" Type="http://schemas.openxmlformats.org/officeDocument/2006/relationships/hyperlink" Target="http://www.dekamer.be/kvvcr/pdf_sections/publications/constitution/grondwetEN.pdf" TargetMode="External"/><Relationship Id="rId122" Type="http://schemas.openxmlformats.org/officeDocument/2006/relationships/hyperlink" Target="http://www.ejustice.just.fgov.be/wet/wet.htm" TargetMode="External"/><Relationship Id="rId130" Type="http://schemas.openxmlformats.org/officeDocument/2006/relationships/hyperlink" Target="http://www.ejustice.just.fgov.be/wet/wet.htm" TargetMode="External"/><Relationship Id="rId135" Type="http://schemas.openxmlformats.org/officeDocument/2006/relationships/hyperlink" Target="https://wcd.coe.int/ViewDoc.jsp?Ref=CM/Del/Dec(2010)1098/10.2abc&amp;Language=lanEnglish&amp;Ver=app6&amp;Site=CM&amp;BackColorInternet=C3C3C3&amp;BackColorIntranet=EDB021&amp;BackColorLogged=F5D383" TargetMode="External"/><Relationship Id="rId143" Type="http://schemas.openxmlformats.org/officeDocument/2006/relationships/hyperlink" Target="http://www.ejustice.just.fgov.be/wet/wet.htm" TargetMode="External"/><Relationship Id="rId148" Type="http://schemas.openxmlformats.org/officeDocument/2006/relationships/hyperlink" Target="http://www.ejustice.just.fgov.be/wet/wet.htm" TargetMode="External"/><Relationship Id="rId151" Type="http://schemas.openxmlformats.org/officeDocument/2006/relationships/hyperlink" Target="http://www.ejustice.just.fgov.be/wet/wet.htm" TargetMode="External"/><Relationship Id="rId156" Type="http://schemas.openxmlformats.org/officeDocument/2006/relationships/hyperlink" Target="https://wcd.coe.int/ViewDoc.jsp?Ref=CM/Del/Dec(2010)1098/10.2abc&amp;Language=lanEnglish&amp;Ver=app6&amp;Site=CM&amp;BackColorInternet=C3C3C3&amp;BackColorIntranet=EDB021&amp;BackColorLogged=F5D383" TargetMode="External"/><Relationship Id="rId164" Type="http://schemas.openxmlformats.org/officeDocument/2006/relationships/hyperlink" Target="http://www.ejustice.just.fgov.be/wet/wet.htm" TargetMode="External"/><Relationship Id="rId169" Type="http://schemas.openxmlformats.org/officeDocument/2006/relationships/hyperlink" Target="https://wcd.coe.int/ViewDoc.jsp?Ref=CM/Del/Dec(2010)1098/10.2abc&amp;Language=lanEnglish&amp;Ver=app6&amp;Site=CM&amp;BackColorInternet=C3C3C3&amp;BackColorIntranet=EDB021&amp;BackColorLogged=F5D383" TargetMode="External"/><Relationship Id="rId177"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72" Type="http://schemas.openxmlformats.org/officeDocument/2006/relationships/hyperlink" Target="http://www.dekamer.be/kvvcr/pdf_sections/publications/constitution/grondwetEN.pdf" TargetMode="External"/><Relationship Id="rId13" Type="http://schemas.openxmlformats.org/officeDocument/2006/relationships/header" Target="header3.xml"/><Relationship Id="rId18" Type="http://schemas.openxmlformats.org/officeDocument/2006/relationships/hyperlink" Target="http://www.coe.int/t/dghl/standardsetting/childjustice/publicationsavailable_en.asp" TargetMode="External"/><Relationship Id="rId39" Type="http://schemas.openxmlformats.org/officeDocument/2006/relationships/hyperlink" Target="http://www.coe.int/t/dg3/children/keyLegalTexts/CFJGuidelines_en.asp" TargetMode="External"/><Relationship Id="rId109" Type="http://schemas.openxmlformats.org/officeDocument/2006/relationships/hyperlink" Target="http://www.ejustice.just.fgov.be/wet/wet.htm" TargetMode="External"/><Relationship Id="rId34" Type="http://schemas.openxmlformats.org/officeDocument/2006/relationships/hyperlink" Target="http://www.ejustice.just.fgov.be/loi/loi.htm" TargetMode="External"/><Relationship Id="rId50" Type="http://schemas.openxmlformats.org/officeDocument/2006/relationships/hyperlink" Target="http://www.ejustice.just.fgov.be/wet/wet.htm" TargetMode="External"/><Relationship Id="rId55" Type="http://schemas.openxmlformats.org/officeDocument/2006/relationships/hyperlink" Target="http://www.ibz.be/code/fr/loc/secuprev.shtml" TargetMode="External"/><Relationship Id="rId76" Type="http://schemas.openxmlformats.org/officeDocument/2006/relationships/hyperlink" Target="http://www.ejustice.just.fgov.be/wet/wet.htm" TargetMode="External"/><Relationship Id="rId97" Type="http://schemas.openxmlformats.org/officeDocument/2006/relationships/hyperlink" Target="http://www.ohchr.org/en/professionalinterest/pages/crc.aspx" TargetMode="External"/><Relationship Id="rId104" Type="http://schemas.openxmlformats.org/officeDocument/2006/relationships/hyperlink" Target="http://www.privacycommission.be/en" TargetMode="External"/><Relationship Id="rId120" Type="http://schemas.openxmlformats.org/officeDocument/2006/relationships/hyperlink" Target="https://wcd.coe.int/ViewDoc.jsp?Ref=CM/Del/Dec(2010)1098/10.2abc&amp;Language=lanEnglish&amp;Ver=app6&amp;Site=CM&amp;BackColorInternet=C3C3C3&amp;BackColorIntranet=EDB021&amp;BackColorLogged=F5D383" TargetMode="External"/><Relationship Id="rId125" Type="http://schemas.openxmlformats.org/officeDocument/2006/relationships/hyperlink" Target="http://www.ejustice.just.fgov.be/cgi_loi/change_lg.pl?language=fr&amp;la=F&amp;table_name=loi&amp;cn=1965040803" TargetMode="External"/><Relationship Id="rId141" Type="http://schemas.openxmlformats.org/officeDocument/2006/relationships/hyperlink" Target="http://www.ejustice.just.fgov.be/wet/wet.htm" TargetMode="External"/><Relationship Id="rId146" Type="http://schemas.openxmlformats.org/officeDocument/2006/relationships/hyperlink" Target="http://www.ejustice.just.fgov.be/wet/wet.htm" TargetMode="External"/><Relationship Id="rId167" Type="http://schemas.openxmlformats.org/officeDocument/2006/relationships/hyperlink" Target="http://www.ejustice.just.fgov.be/wet/wet.htm" TargetMode="External"/><Relationship Id="rId7" Type="http://schemas.openxmlformats.org/officeDocument/2006/relationships/endnotes" Target="endnotes.xml"/><Relationship Id="rId71" Type="http://schemas.openxmlformats.org/officeDocument/2006/relationships/hyperlink" Target="http://www.dgde.cfwb.be/" TargetMode="External"/><Relationship Id="rId92" Type="http://schemas.openxmlformats.org/officeDocument/2006/relationships/hyperlink" Target="http://www.ejustice.just.fgov.be/wet/wet.htm" TargetMode="External"/><Relationship Id="rId162" Type="http://schemas.openxmlformats.org/officeDocument/2006/relationships/hyperlink" Target="http://www.ejustice.just.fgov.be/wet/wet.htm" TargetMode="External"/><Relationship Id="rId2" Type="http://schemas.openxmlformats.org/officeDocument/2006/relationships/numbering" Target="numbering.xml"/><Relationship Id="rId29" Type="http://schemas.openxmlformats.org/officeDocument/2006/relationships/hyperlink" Target="http://www.lachambre.be/FLWB/pdf/53/0682/53K0682019.pdf" TargetMode="External"/><Relationship Id="rId24" Type="http://schemas.openxmlformats.org/officeDocument/2006/relationships/hyperlink" Target="http://www.dekamer.be/kvvcr/pdf_sections/publications/constitution/grondwetEN.pdf" TargetMode="External"/><Relationship Id="rId40" Type="http://schemas.openxmlformats.org/officeDocument/2006/relationships/hyperlink" Target="http://www.ejustice.just.fgov.be/wet/wet.htm" TargetMode="External"/><Relationship Id="rId45" Type="http://schemas.openxmlformats.org/officeDocument/2006/relationships/hyperlink" Target="http://www.raadvst-consetat.be/" TargetMode="External"/><Relationship Id="rId66" Type="http://schemas.openxmlformats.org/officeDocument/2006/relationships/hyperlink" Target="http://www.ejustice.just.fgov.be/cgi_loi/change_lg.pl?language=fr&amp;la=F&amp;table_name=loi&amp;cn=1965040803" TargetMode="External"/><Relationship Id="rId87" Type="http://schemas.openxmlformats.org/officeDocument/2006/relationships/hyperlink" Target="http://www.ejustice.just.fgov.be/wet/wet.htm" TargetMode="External"/><Relationship Id="rId110" Type="http://schemas.openxmlformats.org/officeDocument/2006/relationships/hyperlink" Target="http://www.ejustice.just.fgov.be/cgi_loi/change_lg.pl?language=fr&amp;la=F&amp;table_name=loi&amp;cn=1965040803" TargetMode="External"/><Relationship Id="rId115" Type="http://schemas.openxmlformats.org/officeDocument/2006/relationships/hyperlink" Target="http://www.ejustice.just.fgov.be/wet/wet.htm" TargetMode="External"/><Relationship Id="rId131" Type="http://schemas.openxmlformats.org/officeDocument/2006/relationships/hyperlink" Target="http://www.ejustice.just.fgov.be/wet/wet.htm" TargetMode="External"/><Relationship Id="rId136" Type="http://schemas.openxmlformats.org/officeDocument/2006/relationships/hyperlink" Target="http://www.barreaudebruxelles.be/images/Bar_pdf/code_deonto_2013.pdf" TargetMode="External"/><Relationship Id="rId157" Type="http://schemas.openxmlformats.org/officeDocument/2006/relationships/hyperlink" Target="http://www.barreaudebruxelles.be/images/Bar_pdf/code_deonto_2013.pdf" TargetMode="External"/><Relationship Id="rId61" Type="http://schemas.openxmlformats.org/officeDocument/2006/relationships/hyperlink" Target="http://www.ejustice.just.fgov.be/wet/wet.htm" TargetMode="External"/><Relationship Id="rId82" Type="http://schemas.openxmlformats.org/officeDocument/2006/relationships/hyperlink" Target="http://www.kinderrechtswinkel.be/" TargetMode="External"/><Relationship Id="rId152" Type="http://schemas.openxmlformats.org/officeDocument/2006/relationships/hyperlink" Target="http://www.ejustice.just.fgov.be/cgi_loi/change_lg.pl?language=fr&amp;la=F&amp;table_name=loi&amp;cn=1965040803" TargetMode="External"/><Relationship Id="rId173" Type="http://schemas.openxmlformats.org/officeDocument/2006/relationships/hyperlink" Target="http://www.barreaudebruxelles.be/images/Bar_pdf/code_deonto_2013.pdf" TargetMode="External"/><Relationship Id="rId19" Type="http://schemas.openxmlformats.org/officeDocument/2006/relationships/hyperlink" Target="http://bookshop.europa.eu/children-in-civil-judicial-proceedings" TargetMode="External"/><Relationship Id="rId14" Type="http://schemas.openxmlformats.org/officeDocument/2006/relationships/footer" Target="footer2.xml"/><Relationship Id="rId30" Type="http://schemas.openxmlformats.org/officeDocument/2006/relationships/hyperlink" Target="http://www.ejustice.just.fgov.be/cgi_loi/change_lg.pl?language=fr&amp;la=F&amp;cn=2013062404&amp;table_name=loi" TargetMode="External"/><Relationship Id="rId35" Type="http://schemas.openxmlformats.org/officeDocument/2006/relationships/hyperlink" Target="http://www.ejustice.just.fgov.be/wet/wet.htm" TargetMode="External"/><Relationship Id="rId56" Type="http://schemas.openxmlformats.org/officeDocument/2006/relationships/hyperlink" Target="http://www.ejustice.just.fgov.be/wet/wet.htm" TargetMode="External"/><Relationship Id="rId77" Type="http://schemas.openxmlformats.org/officeDocument/2006/relationships/hyperlink" Target="http://www.ejustice.just.fgov.be/wet/wet.htm" TargetMode="External"/><Relationship Id="rId100" Type="http://schemas.openxmlformats.org/officeDocument/2006/relationships/hyperlink" Target="http://www.ejustice.just.fgov.be/wet/wet.htm" TargetMode="External"/><Relationship Id="rId105" Type="http://schemas.openxmlformats.org/officeDocument/2006/relationships/hyperlink" Target="http://www.ejustice.just.fgov.be/loi/loi.htm" TargetMode="External"/><Relationship Id="rId126" Type="http://schemas.openxmlformats.org/officeDocument/2006/relationships/hyperlink" Target="http://www.ejustice.just.fgov.be/wet/wet.htm" TargetMode="External"/><Relationship Id="rId147" Type="http://schemas.openxmlformats.org/officeDocument/2006/relationships/hyperlink" Target="http://www.ejustice.just.fgov.be/cgi_loi/change_lg.pl?language=fr&amp;la=F&amp;table_name=loi&amp;cn=1965040803" TargetMode="External"/><Relationship Id="rId168" Type="http://schemas.openxmlformats.org/officeDocument/2006/relationships/hyperlink" Target="http://www.ejustice.just.fgov.be/wet/wet.htm" TargetMode="External"/><Relationship Id="rId8" Type="http://schemas.openxmlformats.org/officeDocument/2006/relationships/header" Target="header1.xml"/><Relationship Id="rId51" Type="http://schemas.openxmlformats.org/officeDocument/2006/relationships/hyperlink" Target="http://www.ejustice.just.fgov.be/cgi_loi/change_lg.pl?language=fr&amp;la=F&amp;table_name=loi&amp;cn=1965040803" TargetMode="External"/><Relationship Id="rId72" Type="http://schemas.openxmlformats.org/officeDocument/2006/relationships/hyperlink" Target="http://www.kinderrechtencommissariaat.be/" TargetMode="External"/><Relationship Id="rId93" Type="http://schemas.openxmlformats.org/officeDocument/2006/relationships/hyperlink" Target="http://www.ejustice.just.fgov.be/wet/wet.htm" TargetMode="External"/><Relationship Id="rId98" Type="http://schemas.openxmlformats.org/officeDocument/2006/relationships/hyperlink" Target="http://www.ejustice.just.fgov.be/wet/wet.htm" TargetMode="External"/><Relationship Id="rId121" Type="http://schemas.openxmlformats.org/officeDocument/2006/relationships/hyperlink" Target="http://www.ejustice.just.fgov.be/cgi_loi/change_lg.pl?language=fr&amp;la=F&amp;table_name=loi&amp;cn=1965040803" TargetMode="External"/><Relationship Id="rId142" Type="http://schemas.openxmlformats.org/officeDocument/2006/relationships/hyperlink" Target="http://www.ohchr.org/en/professionalinterest/pages/crc.aspx" TargetMode="External"/><Relationship Id="rId163" Type="http://schemas.openxmlformats.org/officeDocument/2006/relationships/hyperlink" Target="http://www.raadvanstate.be/?page=proc_admin_law&amp;lang=fr" TargetMode="External"/><Relationship Id="rId3" Type="http://schemas.openxmlformats.org/officeDocument/2006/relationships/styles" Target="styles.xml"/><Relationship Id="rId25" Type="http://schemas.openxmlformats.org/officeDocument/2006/relationships/hyperlink" Target="http://www.ejustice.just.fgov.be/wet/wet.htm" TargetMode="External"/><Relationship Id="rId46" Type="http://schemas.openxmlformats.org/officeDocument/2006/relationships/hyperlink" Target="http://www.dgde.cfwb.be/" TargetMode="External"/><Relationship Id="rId67" Type="http://schemas.openxmlformats.org/officeDocument/2006/relationships/hyperlink" Target="http://www.ohchr.org/en/professionalinterest/pages/crc.aspx" TargetMode="External"/><Relationship Id="rId116" Type="http://schemas.openxmlformats.org/officeDocument/2006/relationships/hyperlink" Target="http://www.ejustice.just.fgov.be/wet/wet.htm" TargetMode="External"/><Relationship Id="rId137" Type="http://schemas.openxmlformats.org/officeDocument/2006/relationships/hyperlink" Target="http://www.ejustice.just.fgov.be/wet/wet.htm" TargetMode="External"/><Relationship Id="rId158" Type="http://schemas.openxmlformats.org/officeDocument/2006/relationships/hyperlink" Target="http://www.ejustice.just.fgov.be/wet/wet.htm" TargetMode="External"/><Relationship Id="rId20" Type="http://schemas.openxmlformats.org/officeDocument/2006/relationships/header" Target="header5.xml"/><Relationship Id="rId41" Type="http://schemas.openxmlformats.org/officeDocument/2006/relationships/hyperlink" Target="http://www.raadvanstate.be/?page=proc_admin_law&amp;lang=fr" TargetMode="External"/><Relationship Id="rId62" Type="http://schemas.openxmlformats.org/officeDocument/2006/relationships/hyperlink" Target="http://www.ohchr.org/en/professionalinterest/pages/crc.aspx" TargetMode="External"/><Relationship Id="rId83" Type="http://schemas.openxmlformats.org/officeDocument/2006/relationships/hyperlink" Target="http://www.sdj.be/" TargetMode="External"/><Relationship Id="rId88" Type="http://schemas.openxmlformats.org/officeDocument/2006/relationships/hyperlink" Target="http://www.ejustice.just.fgov.be/wet/wet.htm" TargetMode="External"/><Relationship Id="rId111" Type="http://schemas.openxmlformats.org/officeDocument/2006/relationships/hyperlink" Target="http://www.ejustice.just.fgov.be/loi/loi.htm" TargetMode="External"/><Relationship Id="rId132" Type="http://schemas.openxmlformats.org/officeDocument/2006/relationships/hyperlink" Target="http://www.ejustice.just.fgov.be/cgi_loi/change_lg.pl?language=fr&amp;la=F&amp;table_name=loi&amp;cn=1965040803" TargetMode="External"/><Relationship Id="rId153" Type="http://schemas.openxmlformats.org/officeDocument/2006/relationships/hyperlink" Target="http://www.ejustice.just.fgov.be/wet/wet.htm" TargetMode="External"/><Relationship Id="rId174" Type="http://schemas.openxmlformats.org/officeDocument/2006/relationships/hyperlink" Target="http://www.ejustice.just.fgov.be/wet/wet.htm" TargetMode="External"/><Relationship Id="rId15" Type="http://schemas.openxmlformats.org/officeDocument/2006/relationships/header" Target="header4.xml"/><Relationship Id="rId36" Type="http://schemas.openxmlformats.org/officeDocument/2006/relationships/hyperlink" Target="http://www.ejustice.just.fgov.be/loi/loi.htm" TargetMode="External"/><Relationship Id="rId57" Type="http://schemas.openxmlformats.org/officeDocument/2006/relationships/hyperlink" Target="http://www.ejustice.just.fgov.be/wet/wet.htm" TargetMode="External"/><Relationship Id="rId106" Type="http://schemas.openxmlformats.org/officeDocument/2006/relationships/hyperlink" Target="http://www.rvdj.be/node/210" TargetMode="External"/><Relationship Id="rId127" Type="http://schemas.openxmlformats.org/officeDocument/2006/relationships/hyperlink" Target="http://www.ejustice.just.fgov.be/wet/wet.htm" TargetMode="External"/></Relationships>
</file>

<file path=word/_rels/footnotes.xml.rels><?xml version="1.0" encoding="UTF-8" standalone="yes"?>
<Relationships xmlns="http://schemas.openxmlformats.org/package/2006/relationships"><Relationship Id="rId117" Type="http://schemas.openxmlformats.org/officeDocument/2006/relationships/hyperlink" Target="http://www.ejustice.just.fgov.be/wet/wet.htm" TargetMode="External"/><Relationship Id="rId299" Type="http://schemas.openxmlformats.org/officeDocument/2006/relationships/hyperlink" Target="http://www.ejustice.just.fgov.be/loi/loi.htm" TargetMode="External"/><Relationship Id="rId21" Type="http://schemas.openxmlformats.org/officeDocument/2006/relationships/hyperlink" Target="http://www.vlaamseombudsdienst.be/ombs/index.html" TargetMode="External"/><Relationship Id="rId42" Type="http://schemas.openxmlformats.org/officeDocument/2006/relationships/hyperlink" Target="http://www.ejustice.just.fgov.be/wet/wet.htm" TargetMode="External"/><Relationship Id="rId63" Type="http://schemas.openxmlformats.org/officeDocument/2006/relationships/hyperlink" Target="http://www.ejustice.just.fgov.be/cgi_loi/change_lg.pl?language=fr&amp;la=F&amp;cn=2013062404&amp;table_name=loi" TargetMode="External"/><Relationship Id="rId84" Type="http://schemas.openxmlformats.org/officeDocument/2006/relationships/hyperlink" Target="http://www.ncrk.be/" TargetMode="External"/><Relationship Id="rId138" Type="http://schemas.openxmlformats.org/officeDocument/2006/relationships/hyperlink" Target="http://www.ejustice.just.fgov.be/wet/wet.htm" TargetMode="External"/><Relationship Id="rId159" Type="http://schemas.openxmlformats.org/officeDocument/2006/relationships/hyperlink" Target="http://www.ejustice.just.fgov.be/wet/wet.htm" TargetMode="External"/><Relationship Id="rId324" Type="http://schemas.openxmlformats.org/officeDocument/2006/relationships/hyperlink" Target="http://www.ejustice.just.fgov.be/wet/wet.htm" TargetMode="External"/><Relationship Id="rId345" Type="http://schemas.openxmlformats.org/officeDocument/2006/relationships/hyperlink" Target="http://www.ejustice.just.fgov.be/wet/wet.htm" TargetMode="External"/><Relationship Id="rId366" Type="http://schemas.openxmlformats.org/officeDocument/2006/relationships/hyperlink" Target="http://www.ejustice.just.fgov.be/wet/wet.htm" TargetMode="External"/><Relationship Id="rId387" Type="http://schemas.openxmlformats.org/officeDocument/2006/relationships/hyperlink" Target="http://www.ejustice.just.fgov.be/loi/loi.htm" TargetMode="External"/><Relationship Id="rId170" Type="http://schemas.openxmlformats.org/officeDocument/2006/relationships/hyperlink" Target="http://www.ejustice.just.fgov.be/wet/wet.htm" TargetMode="External"/><Relationship Id="rId191" Type="http://schemas.openxmlformats.org/officeDocument/2006/relationships/hyperlink" Target="http://www.ejustice.just.fgov.be/cgi_loi/change_lg.pl?language=fr&amp;la=F&amp;table_name=loi&amp;cn=1965040803" TargetMode="External"/><Relationship Id="rId205" Type="http://schemas.openxmlformats.org/officeDocument/2006/relationships/hyperlink" Target="http://www.juridat.be/tribunal_commerce/verviers/images/guide_magistrats.pdf" TargetMode="External"/><Relationship Id="rId226" Type="http://schemas.openxmlformats.org/officeDocument/2006/relationships/hyperlink" Target="http://www.ejustice.just.fgov.be/wet/wet.htm" TargetMode="External"/><Relationship Id="rId247" Type="http://schemas.openxmlformats.org/officeDocument/2006/relationships/hyperlink" Target="http://www.ejustice.just.fgov.be/loi/loi.htm" TargetMode="External"/><Relationship Id="rId107" Type="http://schemas.openxmlformats.org/officeDocument/2006/relationships/hyperlink" Target="http://www.ejustice.just.fgov.be/wet/wet.htm" TargetMode="External"/><Relationship Id="rId268" Type="http://schemas.openxmlformats.org/officeDocument/2006/relationships/hyperlink" Target="http://www.ejustice.just.fgov.be/wet/wet.htm" TargetMode="External"/><Relationship Id="rId289" Type="http://schemas.openxmlformats.org/officeDocument/2006/relationships/hyperlink" Target="http://www.ejustice.just.fgov.be/loi/loi.htm" TargetMode="External"/><Relationship Id="rId11" Type="http://schemas.openxmlformats.org/officeDocument/2006/relationships/hyperlink" Target="http://www.ejustice.just.fgov.be/loi/loi.htm" TargetMode="External"/><Relationship Id="rId32" Type="http://schemas.openxmlformats.org/officeDocument/2006/relationships/hyperlink" Target="http://www.cce-rvv.be/rvv/index.php/fr/home" TargetMode="External"/><Relationship Id="rId53" Type="http://schemas.openxmlformats.org/officeDocument/2006/relationships/hyperlink" Target="http://www.const-court.be/" TargetMode="External"/><Relationship Id="rId74" Type="http://schemas.openxmlformats.org/officeDocument/2006/relationships/hyperlink" Target="http://www.dekamer.be/kvvcr/pdf_sections/publications/constitution/grondwetEN.pdf" TargetMode="External"/><Relationship Id="rId128" Type="http://schemas.openxmlformats.org/officeDocument/2006/relationships/hyperlink" Target="http://www.ejustice.just.fgov.be/wet/wet.htm" TargetMode="External"/><Relationship Id="rId149" Type="http://schemas.openxmlformats.org/officeDocument/2006/relationships/hyperlink" Target="http://www.ejustice.just.fgov.be/loi/loi.htm" TargetMode="External"/><Relationship Id="rId314" Type="http://schemas.openxmlformats.org/officeDocument/2006/relationships/hyperlink" Target="http://www.ejustice.just.fgov.be/wet/wet.htm" TargetMode="External"/><Relationship Id="rId335" Type="http://schemas.openxmlformats.org/officeDocument/2006/relationships/hyperlink" Target="http://www.ejustice.just.fgov.be/wet/wet.htm" TargetMode="External"/><Relationship Id="rId356" Type="http://schemas.openxmlformats.org/officeDocument/2006/relationships/hyperlink" Target="http://www.ejustice.just.fgov.be/wet/wet.htm" TargetMode="External"/><Relationship Id="rId377" Type="http://schemas.openxmlformats.org/officeDocument/2006/relationships/hyperlink" Target="http://www.ejustice.just.fgov.be/cgi_loi/change_lg.pl?language=fr&amp;la=F&amp;table_name=loi&amp;cn=1965040803" TargetMode="External"/><Relationship Id="rId5" Type="http://schemas.openxmlformats.org/officeDocument/2006/relationships/hyperlink" Target="http://www.dekamer.be/kvvcr/pdf_sections/publications/constitution/grondwetEN.pdf" TargetMode="External"/><Relationship Id="rId95" Type="http://schemas.openxmlformats.org/officeDocument/2006/relationships/hyperlink" Target="http://liege.obfg.be/deo/r%C3%A8glement%20particulier%20droit%20jeunesse.pdf" TargetMode="External"/><Relationship Id="rId160" Type="http://schemas.openxmlformats.org/officeDocument/2006/relationships/hyperlink" Target="http://www.ejustice.just.fgov.be/loi/loi.htm" TargetMode="External"/><Relationship Id="rId181" Type="http://schemas.openxmlformats.org/officeDocument/2006/relationships/hyperlink" Target="http://www.ejustice.just.fgov.be/wet/wet.htm" TargetMode="External"/><Relationship Id="rId216" Type="http://schemas.openxmlformats.org/officeDocument/2006/relationships/hyperlink" Target="http://www.ejustice.just.fgov.be/wet/wet.htm" TargetMode="External"/><Relationship Id="rId237" Type="http://schemas.openxmlformats.org/officeDocument/2006/relationships/hyperlink" Target="http://www.dgde.cfwb.be/index.php?id=2630" TargetMode="External"/><Relationship Id="rId258" Type="http://schemas.openxmlformats.org/officeDocument/2006/relationships/hyperlink" Target="http://www.ejustice.just.fgov.be/wet/wet.htm" TargetMode="External"/><Relationship Id="rId279" Type="http://schemas.openxmlformats.org/officeDocument/2006/relationships/hyperlink" Target="http://www.barreaudebruxelles.be/images/Bar_pdf/code_deonto_2013.pdf" TargetMode="External"/><Relationship Id="rId22" Type="http://schemas.openxmlformats.org/officeDocument/2006/relationships/hyperlink" Target="http://www.ombudsman.be/nl" TargetMode="External"/><Relationship Id="rId43" Type="http://schemas.openxmlformats.org/officeDocument/2006/relationships/hyperlink" Target="http://www.ejustice.just.fgov.be/wet/wet.htm" TargetMode="External"/><Relationship Id="rId64" Type="http://schemas.openxmlformats.org/officeDocument/2006/relationships/hyperlink" Target="http://www.ejustice.just.fgov.be/cgi_loi/change_lg.pl?language=fr&amp;la=F&amp;cn=2013062404&amp;table_name=loi" TargetMode="External"/><Relationship Id="rId118" Type="http://schemas.openxmlformats.org/officeDocument/2006/relationships/hyperlink" Target="http://www.ejustice.just.fgov.be/loi/loi.htm" TargetMode="External"/><Relationship Id="rId139" Type="http://schemas.openxmlformats.org/officeDocument/2006/relationships/hyperlink" Target="http://www.ejustice.just.fgov.be/loi/loi.htm" TargetMode="External"/><Relationship Id="rId290" Type="http://schemas.openxmlformats.org/officeDocument/2006/relationships/hyperlink" Target="http://www.ejustice.just.fgov.be/loi/loi.htm" TargetMode="External"/><Relationship Id="rId304" Type="http://schemas.openxmlformats.org/officeDocument/2006/relationships/hyperlink" Target="http://www.ejustice.just.fgov.be/loi/loi.htm" TargetMode="External"/><Relationship Id="rId325" Type="http://schemas.openxmlformats.org/officeDocument/2006/relationships/hyperlink" Target="http://www.ejustice.just.fgov.be/wet/wet.htm" TargetMode="External"/><Relationship Id="rId346" Type="http://schemas.openxmlformats.org/officeDocument/2006/relationships/hyperlink" Target="http://www.ejustice.just.fgov.be/wet/wet.htm" TargetMode="External"/><Relationship Id="rId367" Type="http://schemas.openxmlformats.org/officeDocument/2006/relationships/hyperlink" Target="http://www.ejustice.just.fgov.be/wet/wet.htm" TargetMode="External"/><Relationship Id="rId388" Type="http://schemas.openxmlformats.org/officeDocument/2006/relationships/hyperlink" Target="http://www.ejustice.just.fgov.be/wet/wet.htm" TargetMode="External"/><Relationship Id="rId85" Type="http://schemas.openxmlformats.org/officeDocument/2006/relationships/hyperlink" Target="http://www.federalombudsman.be/homepage" TargetMode="External"/><Relationship Id="rId150" Type="http://schemas.openxmlformats.org/officeDocument/2006/relationships/hyperlink" Target="http://www.ejustice.just.fgov.be/wet/wet.htm" TargetMode="External"/><Relationship Id="rId171" Type="http://schemas.openxmlformats.org/officeDocument/2006/relationships/hyperlink" Target="http://www.ejustice.just.fgov.be/wet/wet.htm" TargetMode="External"/><Relationship Id="rId192" Type="http://schemas.openxmlformats.org/officeDocument/2006/relationships/hyperlink" Target="http://www.ejustice.just.fgov.be/cgi_loi/change_lg.pl?language=fr&amp;la=F&amp;table_name=loi&amp;cn=1965040803" TargetMode="External"/><Relationship Id="rId206" Type="http://schemas.openxmlformats.org/officeDocument/2006/relationships/hyperlink" Target="http://www.barreaudebruxelles.be/images/Bar_pdf/code_deonto_2013.pdf" TargetMode="External"/><Relationship Id="rId227" Type="http://schemas.openxmlformats.org/officeDocument/2006/relationships/hyperlink" Target="http://www.ejustice.just.fgov.be/wet/wet.htm" TargetMode="External"/><Relationship Id="rId248" Type="http://schemas.openxmlformats.org/officeDocument/2006/relationships/hyperlink" Target="http://www.ejustice.just.fgov.be/wet/wet.htm" TargetMode="External"/><Relationship Id="rId269" Type="http://schemas.openxmlformats.org/officeDocument/2006/relationships/hyperlink" Target="http://www.dekamer.be/FLWB/PDF/53/3469/53K3469001.pdf" TargetMode="External"/><Relationship Id="rId12" Type="http://schemas.openxmlformats.org/officeDocument/2006/relationships/hyperlink" Target="http://www.ejustice.just.fgov.be/wet/wet.htm" TargetMode="External"/><Relationship Id="rId33" Type="http://schemas.openxmlformats.org/officeDocument/2006/relationships/hyperlink" Target="http://www.ejustice.just.fgov.be/loi/loi.htm" TargetMode="External"/><Relationship Id="rId108" Type="http://schemas.openxmlformats.org/officeDocument/2006/relationships/hyperlink" Target="http://www.ejustice.just.fgov.be/wet/wet.htm" TargetMode="External"/><Relationship Id="rId129" Type="http://schemas.openxmlformats.org/officeDocument/2006/relationships/hyperlink" Target="http://www.ejustice.just.fgov.be/cgi_loi/change_lg.pl?language=fr&amp;la=F&amp;table_name=loi&amp;cn=1965040803" TargetMode="External"/><Relationship Id="rId280" Type="http://schemas.openxmlformats.org/officeDocument/2006/relationships/hyperlink" Target="http://www.barreaudebruxelles.be/images/Bar_pdf/code_deonto_2013.pdf" TargetMode="External"/><Relationship Id="rId315" Type="http://schemas.openxmlformats.org/officeDocument/2006/relationships/hyperlink" Target="http://www.ejustice.just.fgov.be/cgi_loi/change_lg.pl?language=fr&amp;la=F&amp;table_name=loi&amp;cn=1965040803" TargetMode="External"/><Relationship Id="rId336" Type="http://schemas.openxmlformats.org/officeDocument/2006/relationships/hyperlink" Target="http://www.ejustice.just.fgov.be/wet/wet.htm" TargetMode="External"/><Relationship Id="rId357" Type="http://schemas.openxmlformats.org/officeDocument/2006/relationships/hyperlink" Target="http://www.ejustice.just.fgov.be/wet/wet.htm" TargetMode="External"/><Relationship Id="rId54" Type="http://schemas.openxmlformats.org/officeDocument/2006/relationships/hyperlink" Target="http://www.ejustice.just.fgov.be/cgi_loi/change_lg.pl?language=fr&amp;la=F&amp;cn=2013062404&amp;table_name=loi" TargetMode="External"/><Relationship Id="rId75" Type="http://schemas.openxmlformats.org/officeDocument/2006/relationships/hyperlink" Target="http://www.ejustice.just.fgov.be/wet/wet.htm" TargetMode="External"/><Relationship Id="rId96" Type="http://schemas.openxmlformats.org/officeDocument/2006/relationships/hyperlink" Target="http://www.advocaat.be/page.aspx?genericid=86&amp;textpageid=32" TargetMode="External"/><Relationship Id="rId140" Type="http://schemas.openxmlformats.org/officeDocument/2006/relationships/hyperlink" Target="http://www.ejustice.just.fgov.be/loi/loi.htm" TargetMode="External"/><Relationship Id="rId161" Type="http://schemas.openxmlformats.org/officeDocument/2006/relationships/hyperlink" Target="http://wallex.wallonie.be/index.php?mod=accueil" TargetMode="External"/><Relationship Id="rId182" Type="http://schemas.openxmlformats.org/officeDocument/2006/relationships/hyperlink" Target="http://www.ejustice.just.fgov.be/loi/loi.htm" TargetMode="External"/><Relationship Id="rId217" Type="http://schemas.openxmlformats.org/officeDocument/2006/relationships/hyperlink" Target="http://www.ejustice.just.fgov.be/wet/wet.htm" TargetMode="External"/><Relationship Id="rId378" Type="http://schemas.openxmlformats.org/officeDocument/2006/relationships/hyperlink" Target="http://www.ejustice.just.fgov.be/wet/wet.htm" TargetMode="External"/><Relationship Id="rId6" Type="http://schemas.openxmlformats.org/officeDocument/2006/relationships/hyperlink" Target="http://www.const-court.be/en/common/home.html" TargetMode="External"/><Relationship Id="rId238" Type="http://schemas.openxmlformats.org/officeDocument/2006/relationships/hyperlink" Target="http://www.kinderrechtswinkel.be/" TargetMode="External"/><Relationship Id="rId259" Type="http://schemas.openxmlformats.org/officeDocument/2006/relationships/hyperlink" Target="http://www.dekamer.be/kvvcr/pdf_sections/publications/constitution/grondwetEN.pdf" TargetMode="External"/><Relationship Id="rId23" Type="http://schemas.openxmlformats.org/officeDocument/2006/relationships/hyperlink" Target="http://www.diversiteit.be/" TargetMode="External"/><Relationship Id="rId119" Type="http://schemas.openxmlformats.org/officeDocument/2006/relationships/hyperlink" Target="http://www.ejustice.just.fgov.be/wet/wet.htm" TargetMode="External"/><Relationship Id="rId270" Type="http://schemas.openxmlformats.org/officeDocument/2006/relationships/hyperlink" Target="http://www.ejustice.just.fgov.be/wet/wet.htm" TargetMode="External"/><Relationship Id="rId291" Type="http://schemas.openxmlformats.org/officeDocument/2006/relationships/hyperlink" Target="http://www.ejustice.just.fgov.be/wet/wet.htm" TargetMode="External"/><Relationship Id="rId305" Type="http://schemas.openxmlformats.org/officeDocument/2006/relationships/hyperlink" Target="http://www.ejustice.just.fgov.be/loi/loi.htm" TargetMode="External"/><Relationship Id="rId326" Type="http://schemas.openxmlformats.org/officeDocument/2006/relationships/hyperlink" Target="http://www.ejustice.just.fgov.be/wet/wet.htm" TargetMode="External"/><Relationship Id="rId347" Type="http://schemas.openxmlformats.org/officeDocument/2006/relationships/hyperlink" Target="http://www.ejustice.just.fgov.be/wet/wet.htm" TargetMode="External"/><Relationship Id="rId44" Type="http://schemas.openxmlformats.org/officeDocument/2006/relationships/hyperlink" Target="http://www.ejustice.just.fgov.be/loi/loi.htm" TargetMode="External"/><Relationship Id="rId65" Type="http://schemas.openxmlformats.org/officeDocument/2006/relationships/hyperlink" Target="http://www.ejustice.just.fgov.be/cgi_loi/change_lg.pl?language=fr&amp;la=F&amp;table_name=loi&amp;cn=1965040803" TargetMode="External"/><Relationship Id="rId86" Type="http://schemas.openxmlformats.org/officeDocument/2006/relationships/hyperlink" Target="http://www.aidealajeunesse.cfwb.be/index.php?eID=tx_nawsecuredl&amp;u=0&amp;file=fileadmin/sites/ajss/upload/ajss_super_editor/DGAJ/Documents/Protocoles/protocole-intervention-sphere_medico-psy_et_judiciaire.pdf&amp;t=1400836291&amp;hash=a2a7aaffda1a67dbb2f3f108b965d09030888b88" TargetMode="External"/><Relationship Id="rId130" Type="http://schemas.openxmlformats.org/officeDocument/2006/relationships/hyperlink" Target="http://www.ejustice.just.fgov.be/loi/loi.htm" TargetMode="External"/><Relationship Id="rId151" Type="http://schemas.openxmlformats.org/officeDocument/2006/relationships/hyperlink" Target="http://www.senate.be/www/?MIval=/dossier&amp;LEG=1&amp;NR=270&amp;LANG=fr" TargetMode="External"/><Relationship Id="rId368" Type="http://schemas.openxmlformats.org/officeDocument/2006/relationships/hyperlink" Target="http://www.barreaudebruxelles.be/images/Bar_pdf/code_deonto_2013.pdf" TargetMode="External"/><Relationship Id="rId172" Type="http://schemas.openxmlformats.org/officeDocument/2006/relationships/hyperlink" Target="http://www.ejustice.just.fgov.be/wet/wet.htm" TargetMode="External"/><Relationship Id="rId193" Type="http://schemas.openxmlformats.org/officeDocument/2006/relationships/hyperlink" Target="http://www.dekamer.be/kvvcr/pdf_sections/publications/constitution/grondwetEN.pdf" TargetMode="External"/><Relationship Id="rId207" Type="http://schemas.openxmlformats.org/officeDocument/2006/relationships/hyperlink" Target="https://www.google.be/url?sa=t&amp;rct=j&amp;q=&amp;esrc=s&amp;source=web&amp;cd=4&amp;ved=0CE4QFjAD&amp;url=http%3A%2F%2Fwww.baliebrussel.be%2Fnl%2Fdownload%2Fmedia%2F112&amp;ei=J7UpUpfQJoq60wXj-oGoDQ&amp;usg=AFQjCNEMvrn3hkZz2Qg9tL9oq7A4TL8s5Q&amp;sig2=iAE4MW1PnNHUQtGFxqhTgg&amp;bvm=bv.51773540,d.d2k&amp;cad=rja" TargetMode="External"/><Relationship Id="rId228" Type="http://schemas.openxmlformats.org/officeDocument/2006/relationships/hyperlink" Target="http://www.ejustice.just.fgov.be/wet/wet.htm" TargetMode="External"/><Relationship Id="rId249" Type="http://schemas.openxmlformats.org/officeDocument/2006/relationships/hyperlink" Target="http://www.ejustice.just.fgov.be/wet/wet.htm" TargetMode="External"/><Relationship Id="rId13" Type="http://schemas.openxmlformats.org/officeDocument/2006/relationships/hyperlink" Target="http://www.ejustice.just.fgov.be/cgi_loi/change_lg.pl?language=fr&amp;la=F&amp;table_name=loi&amp;cn=1965040803" TargetMode="External"/><Relationship Id="rId109" Type="http://schemas.openxmlformats.org/officeDocument/2006/relationships/hyperlink" Target="http://www.ejustice.just.fgov.be/wet/wet.htm" TargetMode="External"/><Relationship Id="rId260" Type="http://schemas.openxmlformats.org/officeDocument/2006/relationships/hyperlink" Target="http://www.ejustice.just.fgov.be/wet/wet.htm" TargetMode="External"/><Relationship Id="rId281" Type="http://schemas.openxmlformats.org/officeDocument/2006/relationships/hyperlink" Target="http://www.advocaat.be/EnglishPage.aspx?genericid=97" TargetMode="External"/><Relationship Id="rId316" Type="http://schemas.openxmlformats.org/officeDocument/2006/relationships/hyperlink" Target="http://www.ejustice.just.fgov.be/cgi_loi/change_lg.pl?language=fr&amp;la=F&amp;table_name=loi&amp;cn=1965040803" TargetMode="External"/><Relationship Id="rId337" Type="http://schemas.openxmlformats.org/officeDocument/2006/relationships/hyperlink" Target="http://www.ejustice.just.fgov.be/wet/wet.htm" TargetMode="External"/><Relationship Id="rId34" Type="http://schemas.openxmlformats.org/officeDocument/2006/relationships/hyperlink" Target="http://www.ejustice.just.fgov.be/loi/loi.htm" TargetMode="External"/><Relationship Id="rId55" Type="http://schemas.openxmlformats.org/officeDocument/2006/relationships/hyperlink" Target="http://www.ejustice.just.fgov.be/wet/wet.htm" TargetMode="External"/><Relationship Id="rId76" Type="http://schemas.openxmlformats.org/officeDocument/2006/relationships/hyperlink" Target="http://www.ejustice.just.fgov.be/loi/loi.htm" TargetMode="External"/><Relationship Id="rId97" Type="http://schemas.openxmlformats.org/officeDocument/2006/relationships/hyperlink" Target="http://www.ejustice.just.fgov.be/loi/loi.htm" TargetMode="External"/><Relationship Id="rId120" Type="http://schemas.openxmlformats.org/officeDocument/2006/relationships/hyperlink" Target="http://www.ejustice.just.fgov.be/loi/loi.htm" TargetMode="External"/><Relationship Id="rId141" Type="http://schemas.openxmlformats.org/officeDocument/2006/relationships/hyperlink" Target="http://www.ejustice.just.fgov.be/loi/loi.htm" TargetMode="External"/><Relationship Id="rId358" Type="http://schemas.openxmlformats.org/officeDocument/2006/relationships/hyperlink" Target="http://www.ejustice.just.fgov.be/wet/wet.htm" TargetMode="External"/><Relationship Id="rId379" Type="http://schemas.openxmlformats.org/officeDocument/2006/relationships/hyperlink" Target="http://jure.juridat.just.fgov.be/?lang=fr" TargetMode="External"/><Relationship Id="rId7" Type="http://schemas.openxmlformats.org/officeDocument/2006/relationships/hyperlink" Target="http://www.dekamer.be/kvvcr/pdf_sections/publications/constitution/grondwetEN.pdf" TargetMode="External"/><Relationship Id="rId162" Type="http://schemas.openxmlformats.org/officeDocument/2006/relationships/hyperlink" Target="http://www.ejustice.just.fgov.be/wet/wet.htm" TargetMode="External"/><Relationship Id="rId183" Type="http://schemas.openxmlformats.org/officeDocument/2006/relationships/hyperlink" Target="http://www.ejustice.just.fgov.be/loi/loi.htm" TargetMode="External"/><Relationship Id="rId218" Type="http://schemas.openxmlformats.org/officeDocument/2006/relationships/hyperlink" Target="http://www.ejustice.just.fgov.be/wet/wet.htm" TargetMode="External"/><Relationship Id="rId239" Type="http://schemas.openxmlformats.org/officeDocument/2006/relationships/hyperlink" Target="http://www.kinderrechten.be/" TargetMode="External"/><Relationship Id="rId250" Type="http://schemas.openxmlformats.org/officeDocument/2006/relationships/hyperlink" Target="http://www.ejustice.just.fgov.be/wet/wet.htm" TargetMode="External"/><Relationship Id="rId271" Type="http://schemas.openxmlformats.org/officeDocument/2006/relationships/hyperlink" Target="http://www.ejustice.just.fgov.be/cgi_loi/change_lg.pl?language=fr&amp;la=F&amp;table_name=loi&amp;cn=1965040803" TargetMode="External"/><Relationship Id="rId292" Type="http://schemas.openxmlformats.org/officeDocument/2006/relationships/hyperlink" Target="http://www.ejustice.just.fgov.be/wet/wet.htm" TargetMode="External"/><Relationship Id="rId306" Type="http://schemas.openxmlformats.org/officeDocument/2006/relationships/hyperlink" Target="http://www.ejustice.just.fgov.be/loi/loi.htm" TargetMode="External"/><Relationship Id="rId24" Type="http://schemas.openxmlformats.org/officeDocument/2006/relationships/hyperlink" Target="http://www.ejustice.just.fgov.be/wet/wet.htm" TargetMode="External"/><Relationship Id="rId45" Type="http://schemas.openxmlformats.org/officeDocument/2006/relationships/hyperlink" Target="http://www.ejustice.just.fgov.be/wet/wet.htm" TargetMode="External"/><Relationship Id="rId66" Type="http://schemas.openxmlformats.org/officeDocument/2006/relationships/hyperlink" Target="http://www.ejustice.just.fgov.be/cgi_loi/change_lg.pl?language=fr&amp;la=F&amp;cn=2013062404&amp;table_name=loi" TargetMode="External"/><Relationship Id="rId87" Type="http://schemas.openxmlformats.org/officeDocument/2006/relationships/hyperlink" Target="http://www.dsb-spc.be/web/index.php?option=com_content&amp;task=view&amp;id=148&amp;Itemid=217&amp;lang=dutch" TargetMode="External"/><Relationship Id="rId110" Type="http://schemas.openxmlformats.org/officeDocument/2006/relationships/hyperlink" Target="http://www.raadvst-consetat.be/?lang=fr&amp;page=proc_admin_annul_page1" TargetMode="External"/><Relationship Id="rId131" Type="http://schemas.openxmlformats.org/officeDocument/2006/relationships/hyperlink" Target="http://www.ejustice.just.fgov.be/wet/wet.htm" TargetMode="External"/><Relationship Id="rId327" Type="http://schemas.openxmlformats.org/officeDocument/2006/relationships/hyperlink" Target="http://www.ejustice.just.fgov.be/wet/wet.htm" TargetMode="External"/><Relationship Id="rId348" Type="http://schemas.openxmlformats.org/officeDocument/2006/relationships/hyperlink" Target="http://www.ejustice.just.fgov.be/wet/wet.htm" TargetMode="External"/><Relationship Id="rId369" Type="http://schemas.openxmlformats.org/officeDocument/2006/relationships/hyperlink" Target="http://www.advocaat.be/EnglishPage.aspx?genericid=97" TargetMode="External"/><Relationship Id="rId152" Type="http://schemas.openxmlformats.org/officeDocument/2006/relationships/hyperlink" Target="http://www.ejustice.just.fgov.be/wet/wet.htm" TargetMode="External"/><Relationship Id="rId173" Type="http://schemas.openxmlformats.org/officeDocument/2006/relationships/hyperlink" Target="http://www.ejustice.just.fgov.be/wet/wet.htm" TargetMode="External"/><Relationship Id="rId194" Type="http://schemas.openxmlformats.org/officeDocument/2006/relationships/hyperlink" Target="http://www.ejustice.just.fgov.be/wet/wet.htm" TargetMode="External"/><Relationship Id="rId208" Type="http://schemas.openxmlformats.org/officeDocument/2006/relationships/hyperlink" Target="http://www.ejustice.just.fgov.be/wet/wet.htm" TargetMode="External"/><Relationship Id="rId229" Type="http://schemas.openxmlformats.org/officeDocument/2006/relationships/hyperlink" Target="http://www.ejustice.just.fgov.be/wet/wet.htm" TargetMode="External"/><Relationship Id="rId380" Type="http://schemas.openxmlformats.org/officeDocument/2006/relationships/hyperlink" Target="http://www.ejustice.just.fgov.be/wet/wet.htm" TargetMode="External"/><Relationship Id="rId240" Type="http://schemas.openxmlformats.org/officeDocument/2006/relationships/hyperlink" Target="http://www.kinderrechten.nl/p/1/70/" TargetMode="External"/><Relationship Id="rId261" Type="http://schemas.openxmlformats.org/officeDocument/2006/relationships/hyperlink" Target="http://www.ejustice.just.fgov.be/wet/wet.htm" TargetMode="External"/><Relationship Id="rId14" Type="http://schemas.openxmlformats.org/officeDocument/2006/relationships/hyperlink" Target="http://www.lemondejudiciaire.be/maisons.htm" TargetMode="External"/><Relationship Id="rId35" Type="http://schemas.openxmlformats.org/officeDocument/2006/relationships/hyperlink" Target="http://www.ejustice.just.fgov.be/wet/wet.htm" TargetMode="External"/><Relationship Id="rId56" Type="http://schemas.openxmlformats.org/officeDocument/2006/relationships/hyperlink" Target="http://www.ejustice.just.fgov.be/wet/wet.htm" TargetMode="External"/><Relationship Id="rId77" Type="http://schemas.openxmlformats.org/officeDocument/2006/relationships/hyperlink" Target="http://www.ejustice.just.fgov.be/wet/wet.htm" TargetMode="External"/><Relationship Id="rId100" Type="http://schemas.openxmlformats.org/officeDocument/2006/relationships/hyperlink" Target="http://www.ejustice.just.fgov.be/wet/wet.htm" TargetMode="External"/><Relationship Id="rId282" Type="http://schemas.openxmlformats.org/officeDocument/2006/relationships/hyperlink" Target="http://www.ejustice.just.fgov.be/wet/wet.htm" TargetMode="External"/><Relationship Id="rId317" Type="http://schemas.openxmlformats.org/officeDocument/2006/relationships/hyperlink" Target="http://www.ejustice.just.fgov.be/cgi_loi/change_lg.pl?language=fr&amp;la=F&amp;table_name=loi&amp;cn=1965040803" TargetMode="External"/><Relationship Id="rId338" Type="http://schemas.openxmlformats.org/officeDocument/2006/relationships/hyperlink" Target="http://www.ejustice.just.fgov.be/wet/wet.htm" TargetMode="External"/><Relationship Id="rId359" Type="http://schemas.openxmlformats.org/officeDocument/2006/relationships/hyperlink" Target="http://www.ejustice.just.fgov.be/wet/wet.htm" TargetMode="External"/><Relationship Id="rId8" Type="http://schemas.openxmlformats.org/officeDocument/2006/relationships/hyperlink" Target="http://www.raadvst-consetat.be/?page=about_competent&amp;lang=en" TargetMode="External"/><Relationship Id="rId98" Type="http://schemas.openxmlformats.org/officeDocument/2006/relationships/hyperlink" Target="http://www.ejustice.just.fgov.be/wet/wet.htm" TargetMode="External"/><Relationship Id="rId121" Type="http://schemas.openxmlformats.org/officeDocument/2006/relationships/hyperlink" Target="http://www.dekamer.be/FLWB/PDF/53/3469/53K3469001.pdf" TargetMode="External"/><Relationship Id="rId142" Type="http://schemas.openxmlformats.org/officeDocument/2006/relationships/hyperlink" Target="http://www.ejustice.just.fgov.be/wet/wet.htm" TargetMode="External"/><Relationship Id="rId163" Type="http://schemas.openxmlformats.org/officeDocument/2006/relationships/hyperlink" Target="http://www.ejustice.just.fgov.be/wet/wet.htm" TargetMode="External"/><Relationship Id="rId184" Type="http://schemas.openxmlformats.org/officeDocument/2006/relationships/hyperlink" Target="http://www.ejustice.just.fgov.be/loi/loi.htm" TargetMode="External"/><Relationship Id="rId219" Type="http://schemas.openxmlformats.org/officeDocument/2006/relationships/hyperlink" Target="http://www.ejustice.just.fgov.be/wet/wet.htm" TargetMode="External"/><Relationship Id="rId370" Type="http://schemas.openxmlformats.org/officeDocument/2006/relationships/hyperlink" Target="http://www.ejustice.just.fgov.be/wet/wet.htm" TargetMode="External"/><Relationship Id="rId230" Type="http://schemas.openxmlformats.org/officeDocument/2006/relationships/hyperlink" Target="http://www.ejustice.just.fgov.be/wet/wet.htm" TargetMode="External"/><Relationship Id="rId251" Type="http://schemas.openxmlformats.org/officeDocument/2006/relationships/hyperlink" Target="http://www.lachambre.be/FLWB/pdf/53/0682/53K0682019.pdf" TargetMode="External"/><Relationship Id="rId25" Type="http://schemas.openxmlformats.org/officeDocument/2006/relationships/hyperlink" Target="http://www.dekamer.be/kvvcr/pdf_sections/publications/constitution/grondwetEN.pdf" TargetMode="External"/><Relationship Id="rId46" Type="http://schemas.openxmlformats.org/officeDocument/2006/relationships/hyperlink" Target="http://www.ejustice.just.fgov.be/loi/loi.htm" TargetMode="External"/><Relationship Id="rId67" Type="http://schemas.openxmlformats.org/officeDocument/2006/relationships/hyperlink" Target="http://www.ohchr.org/en/professionalinterest/pages/crc.aspx" TargetMode="External"/><Relationship Id="rId272" Type="http://schemas.openxmlformats.org/officeDocument/2006/relationships/hyperlink" Target="http://www.ejustice.just.fgov.be/cgi_loi/change_lg.pl?language=fr&amp;la=F&amp;table_name=loi&amp;cn=1965040803" TargetMode="External"/><Relationship Id="rId293" Type="http://schemas.openxmlformats.org/officeDocument/2006/relationships/hyperlink" Target="http://www.ejustice.just.fgov.be/wet/wet.htm" TargetMode="External"/><Relationship Id="rId307" Type="http://schemas.openxmlformats.org/officeDocument/2006/relationships/hyperlink" Target="http://www.ejustice.just.fgov.be/loi/loi.htm" TargetMode="External"/><Relationship Id="rId328" Type="http://schemas.openxmlformats.org/officeDocument/2006/relationships/hyperlink" Target="http://www.ejustice.just.fgov.be/wet/wet.htm" TargetMode="External"/><Relationship Id="rId349" Type="http://schemas.openxmlformats.org/officeDocument/2006/relationships/hyperlink" Target="http://www.ejustice.just.fgov.be/wet/wet.htm" TargetMode="External"/><Relationship Id="rId88" Type="http://schemas.openxmlformats.org/officeDocument/2006/relationships/hyperlink" Target="http://www.oejaj.cfwb.be" TargetMode="External"/><Relationship Id="rId111" Type="http://schemas.openxmlformats.org/officeDocument/2006/relationships/hyperlink" Target="http://www.ejustice.just.fgov.be/wet/wet.htm" TargetMode="External"/><Relationship Id="rId132" Type="http://schemas.openxmlformats.org/officeDocument/2006/relationships/hyperlink" Target="http://www.ejustice.just.fgov.be/wet/wet.htm" TargetMode="External"/><Relationship Id="rId153" Type="http://schemas.openxmlformats.org/officeDocument/2006/relationships/hyperlink" Target="http://www.unicef.be/kids/?lang=fr" TargetMode="External"/><Relationship Id="rId174" Type="http://schemas.openxmlformats.org/officeDocument/2006/relationships/hyperlink" Target="http://www.ejustice.just.fgov.be/wet/wet.htm" TargetMode="External"/><Relationship Id="rId195" Type="http://schemas.openxmlformats.org/officeDocument/2006/relationships/hyperlink" Target="http://www.ejustice.just.fgov.be/wet/wet.htm" TargetMode="External"/><Relationship Id="rId209" Type="http://schemas.openxmlformats.org/officeDocument/2006/relationships/hyperlink" Target="http://www.ejustice.just.fgov.be/loi/loi.htm" TargetMode="External"/><Relationship Id="rId360" Type="http://schemas.openxmlformats.org/officeDocument/2006/relationships/hyperlink" Target="http://www.ejustice.just.fgov.be/wet/wet.htm" TargetMode="External"/><Relationship Id="rId381" Type="http://schemas.openxmlformats.org/officeDocument/2006/relationships/hyperlink" Target="http://www.ejustice.just.fgov.be/wet/wet.htm" TargetMode="External"/><Relationship Id="rId220" Type="http://schemas.openxmlformats.org/officeDocument/2006/relationships/hyperlink" Target="http://www.ejustice.just.fgov.be/wet/wet.htm" TargetMode="External"/><Relationship Id="rId241" Type="http://schemas.openxmlformats.org/officeDocument/2006/relationships/hyperlink" Target="http://www.ejustice.just.fgov.be/wet/wet.htm" TargetMode="External"/><Relationship Id="rId15" Type="http://schemas.openxmlformats.org/officeDocument/2006/relationships/hyperlink" Target="http://justice.belgium.be/fr/publications/etude_sociale_civile_mjh_.jsp" TargetMode="External"/><Relationship Id="rId36" Type="http://schemas.openxmlformats.org/officeDocument/2006/relationships/hyperlink" Target="http://www.ejustice.just.fgov.be/loi/loi.htm" TargetMode="External"/><Relationship Id="rId57" Type="http://schemas.openxmlformats.org/officeDocument/2006/relationships/hyperlink" Target="http://www.ejustice.just.fgov.be/wet/wet.htm" TargetMode="External"/><Relationship Id="rId262" Type="http://schemas.openxmlformats.org/officeDocument/2006/relationships/hyperlink" Target="http://www.ejustice.just.fgov.be/wet/wet.htm" TargetMode="External"/><Relationship Id="rId283" Type="http://schemas.openxmlformats.org/officeDocument/2006/relationships/hyperlink" Target="http://www.ejustice.just.fgov.be/wet/wet.htm" TargetMode="External"/><Relationship Id="rId318" Type="http://schemas.openxmlformats.org/officeDocument/2006/relationships/hyperlink" Target="http://www.ejustice.just.fgov.be/cgi_loi/change_lg.pl?language=fr&amp;la=F&amp;table_name=loi&amp;cn=1965040803" TargetMode="External"/><Relationship Id="rId339" Type="http://schemas.openxmlformats.org/officeDocument/2006/relationships/hyperlink" Target="http://www.ejustice.just.fgov.be/wet/wet.htm" TargetMode="External"/><Relationship Id="rId78" Type="http://schemas.openxmlformats.org/officeDocument/2006/relationships/hyperlink" Target="http://www.diversiteit.be/?action=onderdeel&amp;onderdeel=63&amp;titel=De+antidiscriminatiewet+van+10+mei+2007&amp;setLanguage=3" TargetMode="External"/><Relationship Id="rId99" Type="http://schemas.openxmlformats.org/officeDocument/2006/relationships/hyperlink" Target="http://www.ejustice.just.fgov.be/wet/wet.htm" TargetMode="External"/><Relationship Id="rId101" Type="http://schemas.openxmlformats.org/officeDocument/2006/relationships/hyperlink" Target="http://www.ejustice.just.fgov.be/wet/wet.htm" TargetMode="External"/><Relationship Id="rId122" Type="http://schemas.openxmlformats.org/officeDocument/2006/relationships/hyperlink" Target="http://www.ejustice.just.fgov.be/loi/loi.htm" TargetMode="External"/><Relationship Id="rId143" Type="http://schemas.openxmlformats.org/officeDocument/2006/relationships/hyperlink" Target="http://www.ejustice.just.fgov.be/wet/wet.htm" TargetMode="External"/><Relationship Id="rId164" Type="http://schemas.openxmlformats.org/officeDocument/2006/relationships/hyperlink" Target="http://www.ejustice.just.fgov.be/wet/wet.htm" TargetMode="External"/><Relationship Id="rId185" Type="http://schemas.openxmlformats.org/officeDocument/2006/relationships/hyperlink" Target="http://www.ejustice.just.fgov.be/loi/loi.htm" TargetMode="External"/><Relationship Id="rId350" Type="http://schemas.openxmlformats.org/officeDocument/2006/relationships/hyperlink" Target="http://www.raadvst-consetat.be/?lang=fr&amp;page=proc_admin_annul_page1" TargetMode="External"/><Relationship Id="rId371" Type="http://schemas.openxmlformats.org/officeDocument/2006/relationships/hyperlink" Target="http://www.ejustice.just.fgov.be/wet/wet.htm" TargetMode="External"/><Relationship Id="rId9" Type="http://schemas.openxmlformats.org/officeDocument/2006/relationships/hyperlink" Target="http://www.ejustice.just.fgov.be/wet/wet.htm" TargetMode="External"/><Relationship Id="rId210" Type="http://schemas.openxmlformats.org/officeDocument/2006/relationships/hyperlink" Target="http://www.privacycommission.be/sites/privacycommission/files/documents/avis_38_2002_0.pdf" TargetMode="External"/><Relationship Id="rId26" Type="http://schemas.openxmlformats.org/officeDocument/2006/relationships/hyperlink" Target="http://www.dekamer.be/kvvcr/pdf_sections/publications/constitution/grondwetEN.pdf" TargetMode="External"/><Relationship Id="rId231" Type="http://schemas.openxmlformats.org/officeDocument/2006/relationships/hyperlink" Target="http://www.ejustice.just.fgov.be/wet/wet.htm" TargetMode="External"/><Relationship Id="rId252" Type="http://schemas.openxmlformats.org/officeDocument/2006/relationships/hyperlink" Target="http://www.lachambre.be/FLWB/pdf/53/0682/53K0682019.pdf" TargetMode="External"/><Relationship Id="rId273" Type="http://schemas.openxmlformats.org/officeDocument/2006/relationships/hyperlink" Target="http://www.ejustice.just.fgov.be/wet/wet.htm" TargetMode="External"/><Relationship Id="rId294" Type="http://schemas.openxmlformats.org/officeDocument/2006/relationships/hyperlink" Target="http://www.ejustice.just.fgov.be/cgi_loi/change_lg.pl?language=fr&amp;la=F&amp;cn=2002122445&amp;table_name=loi" TargetMode="External"/><Relationship Id="rId308" Type="http://schemas.openxmlformats.org/officeDocument/2006/relationships/hyperlink" Target="http://www.ejustice.just.fgov.be/loi/loi.htm" TargetMode="External"/><Relationship Id="rId329" Type="http://schemas.openxmlformats.org/officeDocument/2006/relationships/hyperlink" Target="http://www.ejustice.just.fgov.be/wet/wet.htm" TargetMode="External"/><Relationship Id="rId47" Type="http://schemas.openxmlformats.org/officeDocument/2006/relationships/hyperlink" Target="http://www.ejustice.just.fgov.be/wet/wet.htm" TargetMode="External"/><Relationship Id="rId68" Type="http://schemas.openxmlformats.org/officeDocument/2006/relationships/hyperlink" Target="http://www.ejustice.just.fgov.be/cgi_loi/change_lg.pl?language=fr&amp;la=F&amp;table_name=loi&amp;cn=1965040803" TargetMode="External"/><Relationship Id="rId89" Type="http://schemas.openxmlformats.org/officeDocument/2006/relationships/hyperlink" Target="http://wvg.vlaanderen.be/jeugdhulp/" TargetMode="External"/><Relationship Id="rId112" Type="http://schemas.openxmlformats.org/officeDocument/2006/relationships/hyperlink" Target="http://www.sdj.be/admin/docs/CE_28-12-98_fiabilite_test_osseux_mena.pdf" TargetMode="External"/><Relationship Id="rId133" Type="http://schemas.openxmlformats.org/officeDocument/2006/relationships/hyperlink" Target="http://www.ejustice.just.fgov.be/wet/wet.htm" TargetMode="External"/><Relationship Id="rId154" Type="http://schemas.openxmlformats.org/officeDocument/2006/relationships/hyperlink" Target="http://www.dgde.cfwb.be/index.php?id=2630" TargetMode="External"/><Relationship Id="rId175" Type="http://schemas.openxmlformats.org/officeDocument/2006/relationships/hyperlink" Target="http://www.ejustice.just.fgov.be/wet/wet.htm" TargetMode="External"/><Relationship Id="rId340" Type="http://schemas.openxmlformats.org/officeDocument/2006/relationships/hyperlink" Target="http://www.ejustice.just.fgov.be/wet/wet.htm" TargetMode="External"/><Relationship Id="rId361" Type="http://schemas.openxmlformats.org/officeDocument/2006/relationships/hyperlink" Target="http://www.ejustice.just.fgov.be/wet/wet.htm" TargetMode="External"/><Relationship Id="rId196" Type="http://schemas.openxmlformats.org/officeDocument/2006/relationships/hyperlink" Target="http://www.ejustice.just.fgov.be/wet/wet.htm" TargetMode="External"/><Relationship Id="rId200" Type="http://schemas.openxmlformats.org/officeDocument/2006/relationships/hyperlink" Target="http://www.ejustice.just.fgov.be/wet/wet.htm" TargetMode="External"/><Relationship Id="rId382" Type="http://schemas.openxmlformats.org/officeDocument/2006/relationships/hyperlink" Target="http://www.ejustice.just.fgov.be/cgi_loi/change_lg.pl?language=fr&amp;la=F&amp;table_name=loi&amp;cn=1965040803" TargetMode="External"/><Relationship Id="rId16" Type="http://schemas.openxmlformats.org/officeDocument/2006/relationships/hyperlink" Target="http://www.ejustice.just.fgov.be/wet/wet.htm" TargetMode="External"/><Relationship Id="rId221" Type="http://schemas.openxmlformats.org/officeDocument/2006/relationships/hyperlink" Target="http://www.ejustice.just.fgov.be/wet/wet.htm" TargetMode="External"/><Relationship Id="rId242" Type="http://schemas.openxmlformats.org/officeDocument/2006/relationships/hyperlink" Target="http://www.ejustice.just.fgov.be/cgi_loi/change_lg.pl?language=fr&amp;la=F&amp;table_name=loi&amp;cn=2002122445" TargetMode="External"/><Relationship Id="rId263" Type="http://schemas.openxmlformats.org/officeDocument/2006/relationships/hyperlink" Target="http://www.ejustice.just.fgov.be/wet/wet.htm" TargetMode="External"/><Relationship Id="rId284" Type="http://schemas.openxmlformats.org/officeDocument/2006/relationships/hyperlink" Target="http://www.ejustice.just.fgov.be/wet/wet.htm" TargetMode="External"/><Relationship Id="rId319" Type="http://schemas.openxmlformats.org/officeDocument/2006/relationships/hyperlink" Target="http://www.ejustice.just.fgov.be/cgi_loi/change_lg.pl?language=fr&amp;la=F&amp;table_name=loi&amp;cn=1965040803" TargetMode="External"/><Relationship Id="rId37" Type="http://schemas.openxmlformats.org/officeDocument/2006/relationships/hyperlink" Target="http://www.ejustice.just.fgov.be/wet/wet.htm" TargetMode="External"/><Relationship Id="rId58" Type="http://schemas.openxmlformats.org/officeDocument/2006/relationships/hyperlink" Target="http://www.ejustice.just.fgov.be/wet/wet.htm" TargetMode="External"/><Relationship Id="rId79" Type="http://schemas.openxmlformats.org/officeDocument/2006/relationships/hyperlink" Target="http://www.ejustice.just.fgov.be/loi/loi.htm" TargetMode="External"/><Relationship Id="rId102" Type="http://schemas.openxmlformats.org/officeDocument/2006/relationships/hyperlink" Target="http://www.ejustice.just.fgov.be/wet/wet.htm" TargetMode="External"/><Relationship Id="rId123" Type="http://schemas.openxmlformats.org/officeDocument/2006/relationships/hyperlink" Target="http://www.ejustice.just.fgov.be/wet/wet.htm" TargetMode="External"/><Relationship Id="rId144" Type="http://schemas.openxmlformats.org/officeDocument/2006/relationships/hyperlink" Target="http://www.ejustice.just.fgov.be/cgi_loi/change_lg.pl?language=fr&amp;la=F&amp;table_name=loi&amp;cn=1965040803" TargetMode="External"/><Relationship Id="rId330" Type="http://schemas.openxmlformats.org/officeDocument/2006/relationships/hyperlink" Target="http://www.ejustice.just.fgov.be/wet/wet.htm" TargetMode="External"/><Relationship Id="rId90" Type="http://schemas.openxmlformats.org/officeDocument/2006/relationships/hyperlink" Target="http://www.ejustice.just.fgov.be/wet/wet.htm" TargetMode="External"/><Relationship Id="rId165" Type="http://schemas.openxmlformats.org/officeDocument/2006/relationships/hyperlink" Target="http://www.raadvst-consetat.be/?lang=fr&amp;page=proc_admin_annul_page1" TargetMode="External"/><Relationship Id="rId186" Type="http://schemas.openxmlformats.org/officeDocument/2006/relationships/hyperlink" Target="http://www.ejustice.just.fgov.be/cgi_loi/change_lg.pl?language=fr&amp;la=F&amp;table_name=loi&amp;cn=1965040803" TargetMode="External"/><Relationship Id="rId351" Type="http://schemas.openxmlformats.org/officeDocument/2006/relationships/hyperlink" Target="http://www.ejustice.just.fgov.be/loi/loi.htm" TargetMode="External"/><Relationship Id="rId372" Type="http://schemas.openxmlformats.org/officeDocument/2006/relationships/hyperlink" Target="http://www.ejustice.just.fgov.be/wet/wet.htm" TargetMode="External"/><Relationship Id="rId211" Type="http://schemas.openxmlformats.org/officeDocument/2006/relationships/hyperlink" Target="http://www.ejustice.just.fgov.be/wet/wet.htm" TargetMode="External"/><Relationship Id="rId232" Type="http://schemas.openxmlformats.org/officeDocument/2006/relationships/hyperlink" Target="http://www.raadvst-consetat.be/?lang=fr&amp;page=proc_admin_annul_page1" TargetMode="External"/><Relationship Id="rId253" Type="http://schemas.openxmlformats.org/officeDocument/2006/relationships/hyperlink" Target="http://www.lachambre.be/FLWB/pdf/53/0682/53K0682019.pdf" TargetMode="External"/><Relationship Id="rId274" Type="http://schemas.openxmlformats.org/officeDocument/2006/relationships/hyperlink" Target="http://www.ejustice.just.fgov.be/wet/wet.htm" TargetMode="External"/><Relationship Id="rId295" Type="http://schemas.openxmlformats.org/officeDocument/2006/relationships/hyperlink" Target="http://www.ejustice.just.fgov.be/wet/wet.htm" TargetMode="External"/><Relationship Id="rId309" Type="http://schemas.openxmlformats.org/officeDocument/2006/relationships/hyperlink" Target="http://www.adde.be/J_15/index.php?option=com_content&amp;task=view&amp;id=86" TargetMode="External"/><Relationship Id="rId27" Type="http://schemas.openxmlformats.org/officeDocument/2006/relationships/hyperlink" Target="http://www.dekamer.be/kvvcr/pdf_sections/publications/constitution/grondwetEN.pdf" TargetMode="External"/><Relationship Id="rId48" Type="http://schemas.openxmlformats.org/officeDocument/2006/relationships/hyperlink" Target="http://www.ejustice.just.fgov.be/loi/loi.htm" TargetMode="External"/><Relationship Id="rId69" Type="http://schemas.openxmlformats.org/officeDocument/2006/relationships/hyperlink" Target="http://www.dekamer.be/kvvcr/pdf_sections/publications/constitution/grondwetEN.pdf" TargetMode="External"/><Relationship Id="rId113" Type="http://schemas.openxmlformats.org/officeDocument/2006/relationships/hyperlink" Target="http://www.efta.int/legal-texts/eea" TargetMode="External"/><Relationship Id="rId134" Type="http://schemas.openxmlformats.org/officeDocument/2006/relationships/hyperlink" Target="http://www.ejustice.just.fgov.be/loi/loi.htm" TargetMode="External"/><Relationship Id="rId320" Type="http://schemas.openxmlformats.org/officeDocument/2006/relationships/hyperlink" Target="http://www.ejustice.just.fgov.be/cgi_loi/change_lg.pl?language=fr&amp;la=F&amp;table_name=loi&amp;cn=1965040803" TargetMode="External"/><Relationship Id="rId80" Type="http://schemas.openxmlformats.org/officeDocument/2006/relationships/hyperlink" Target="http://www.ejustice.just.fgov.be/wet/wet.htm" TargetMode="External"/><Relationship Id="rId155" Type="http://schemas.openxmlformats.org/officeDocument/2006/relationships/hyperlink" Target="http://www.kinderrechtswinkel.be/" TargetMode="External"/><Relationship Id="rId176" Type="http://schemas.openxmlformats.org/officeDocument/2006/relationships/hyperlink" Target="http://www.ejustice.just.fgov.be/wet/wet.htm" TargetMode="External"/><Relationship Id="rId197" Type="http://schemas.openxmlformats.org/officeDocument/2006/relationships/hyperlink" Target="http://www.raadvst-consetat.be/?lang=fr&amp;page=proc_admin_annul_page1" TargetMode="External"/><Relationship Id="rId341" Type="http://schemas.openxmlformats.org/officeDocument/2006/relationships/hyperlink" Target="http://www.juricaf.org/arret/BELGIQUE-COURDECASSATION-20130111-C110323N" TargetMode="External"/><Relationship Id="rId362" Type="http://schemas.openxmlformats.org/officeDocument/2006/relationships/hyperlink" Target="http://www.ejustice.just.fgov.be/wet/wet.htm" TargetMode="External"/><Relationship Id="rId383" Type="http://schemas.openxmlformats.org/officeDocument/2006/relationships/hyperlink" Target="http://www.ejustice.just.fgov.be/cgi_loi/change_lg.pl?language=fr&amp;la=F&amp;table_name=loi&amp;cn=1965040803" TargetMode="External"/><Relationship Id="rId201" Type="http://schemas.openxmlformats.org/officeDocument/2006/relationships/hyperlink" Target="http://www.ejustice.just.fgov.be/wet/wet.htm" TargetMode="External"/><Relationship Id="rId222" Type="http://schemas.openxmlformats.org/officeDocument/2006/relationships/hyperlink" Target="http://www.ejustice.just.fgov.be/wet/wet.htm" TargetMode="External"/><Relationship Id="rId243" Type="http://schemas.openxmlformats.org/officeDocument/2006/relationships/hyperlink" Target="http://www.lachambre.be/FLWB/pdf/53/0682/53K0682019.pdf" TargetMode="External"/><Relationship Id="rId264" Type="http://schemas.openxmlformats.org/officeDocument/2006/relationships/hyperlink" Target="http://www.sdj.be/admin/docs/CE_28-12-98_fiabilite_test_osseux_mena.pdf" TargetMode="External"/><Relationship Id="rId285" Type="http://schemas.openxmlformats.org/officeDocument/2006/relationships/hyperlink" Target="http://www.barreaudebruxelles.be/images/Bar_pdf/code_deonto_2013.pdf" TargetMode="External"/><Relationship Id="rId17" Type="http://schemas.openxmlformats.org/officeDocument/2006/relationships/hyperlink" Target="http://www.ejustice.just.fgov.be/wet/wet.htm" TargetMode="External"/><Relationship Id="rId38" Type="http://schemas.openxmlformats.org/officeDocument/2006/relationships/hyperlink" Target="http://www.ejustice.just.fgov.be/wet/wet.htm" TargetMode="External"/><Relationship Id="rId59" Type="http://schemas.openxmlformats.org/officeDocument/2006/relationships/hyperlink" Target="http://www.ejustice.just.fgov.be/cgi_loi/change_lg.pl?language=fr&amp;la=F&amp;cn=2013062404&amp;table_name=loi" TargetMode="External"/><Relationship Id="rId103" Type="http://schemas.openxmlformats.org/officeDocument/2006/relationships/hyperlink" Target="http://www.ejustice.just.fgov.be/wet/wet.htm" TargetMode="External"/><Relationship Id="rId124" Type="http://schemas.openxmlformats.org/officeDocument/2006/relationships/hyperlink" Target="http://www.cbar-bchv.be/LinkClick.aspx?fileticket=Hm3H5vbHVRY%3D&amp;tabid=123&amp;mid=586&amp;language=fr-FR" TargetMode="External"/><Relationship Id="rId310" Type="http://schemas.openxmlformats.org/officeDocument/2006/relationships/hyperlink" Target="http://www.ejustice.just.fgov.be/loi/loi.htm" TargetMode="External"/><Relationship Id="rId70" Type="http://schemas.openxmlformats.org/officeDocument/2006/relationships/hyperlink" Target="http://www.dekamer.be/kvvcr/pdf_sections/publications/constitution/grondwetEN.pdf" TargetMode="External"/><Relationship Id="rId91" Type="http://schemas.openxmlformats.org/officeDocument/2006/relationships/hyperlink" Target="http://www.ejustice.just.fgov.be/wet/wet.htm" TargetMode="External"/><Relationship Id="rId145" Type="http://schemas.openxmlformats.org/officeDocument/2006/relationships/hyperlink" Target="http://www.ejustice.just.fgov.be/wet/wet.htm" TargetMode="External"/><Relationship Id="rId166" Type="http://schemas.openxmlformats.org/officeDocument/2006/relationships/hyperlink" Target="http://www.ejustice.just.fgov.be/wet/wet.htm" TargetMode="External"/><Relationship Id="rId187" Type="http://schemas.openxmlformats.org/officeDocument/2006/relationships/hyperlink" Target="http://www.ejustice.just.fgov.be/cgi_loi/change_lg.pl?language=fr&amp;la=F&amp;table_name=loi&amp;cn=1965040803" TargetMode="External"/><Relationship Id="rId331" Type="http://schemas.openxmlformats.org/officeDocument/2006/relationships/hyperlink" Target="http://www.ejustice.just.fgov.be/wet/wet.htm" TargetMode="External"/><Relationship Id="rId352" Type="http://schemas.openxmlformats.org/officeDocument/2006/relationships/hyperlink" Target="http://www.ejustice.just.fgov.be/wet/wet.htm" TargetMode="External"/><Relationship Id="rId373" Type="http://schemas.openxmlformats.org/officeDocument/2006/relationships/hyperlink" Target="http://www.ejustice.just.fgov.be/wet/wet.htm" TargetMode="External"/><Relationship Id="rId1" Type="http://schemas.openxmlformats.org/officeDocument/2006/relationships/hyperlink" Target="http://bookshop.europa.eu/en/summary-of-contextual-overviews-on-children-s-involvement-in-criminal-judicial-proceedings-in-the-28-member-states-of-the-european-union-pbDS0313659/related/?PublicationKey=DS0313659&amp;CatalogCategoryID=WTQKABsteF0AAAEjKpEY4e5L" TargetMode="External"/><Relationship Id="rId212" Type="http://schemas.openxmlformats.org/officeDocument/2006/relationships/hyperlink" Target="http://www.ejustice.just.fgov.be/wet/wet.htm" TargetMode="External"/><Relationship Id="rId233" Type="http://schemas.openxmlformats.org/officeDocument/2006/relationships/hyperlink" Target="http://www.ejustice.just.fgov.be/wet/wet.htm" TargetMode="External"/><Relationship Id="rId254" Type="http://schemas.openxmlformats.org/officeDocument/2006/relationships/hyperlink" Target="http://www.ejustice.just.fgov.be/wet/wet.htm" TargetMode="External"/><Relationship Id="rId28" Type="http://schemas.openxmlformats.org/officeDocument/2006/relationships/hyperlink" Target="http://www.ejustice.just.fgov.be/wet/wet.htm" TargetMode="External"/><Relationship Id="rId49" Type="http://schemas.openxmlformats.org/officeDocument/2006/relationships/hyperlink" Target="http://www.ejustice.just.fgov.be/loi/loi.htm" TargetMode="External"/><Relationship Id="rId114" Type="http://schemas.openxmlformats.org/officeDocument/2006/relationships/hyperlink" Target="http://www.ejustice.just.fgov.be/wet/wet.htm" TargetMode="External"/><Relationship Id="rId275" Type="http://schemas.openxmlformats.org/officeDocument/2006/relationships/hyperlink" Target="http://www.dekamer.be/kvvcr/pdf_sections/publications/constitution/grondwetEN.pdf" TargetMode="External"/><Relationship Id="rId296" Type="http://schemas.openxmlformats.org/officeDocument/2006/relationships/hyperlink" Target="http://www.ejustice.just.fgov.be/wet/wet.htm" TargetMode="External"/><Relationship Id="rId300" Type="http://schemas.openxmlformats.org/officeDocument/2006/relationships/hyperlink" Target="http://www.ejustice.just.fgov.be/wet/wet.htm" TargetMode="External"/><Relationship Id="rId60" Type="http://schemas.openxmlformats.org/officeDocument/2006/relationships/hyperlink" Target="http://www.ejustice.just.fgov.be/wet/wet.htm" TargetMode="External"/><Relationship Id="rId81" Type="http://schemas.openxmlformats.org/officeDocument/2006/relationships/hyperlink" Target="http://www.ejustice.just.fgov.be/cgi_loi/change_lg.pl?language=fr&amp;la=F&amp;table_name=loi&amp;cn=2002122445" TargetMode="External"/><Relationship Id="rId135" Type="http://schemas.openxmlformats.org/officeDocument/2006/relationships/hyperlink" Target="http://www.ejustice.just.fgov.be/loi/loi.htm" TargetMode="External"/><Relationship Id="rId156" Type="http://schemas.openxmlformats.org/officeDocument/2006/relationships/hyperlink" Target="http://www.kinderrechten.be/" TargetMode="External"/><Relationship Id="rId177" Type="http://schemas.openxmlformats.org/officeDocument/2006/relationships/hyperlink" Target="http://www.ejustice.just.fgov.be/cgi_loi/change_lg.pl?language=fr&amp;la=F&amp;table_name=loi&amp;cn=1965040803" TargetMode="External"/><Relationship Id="rId198" Type="http://schemas.openxmlformats.org/officeDocument/2006/relationships/hyperlink" Target="http://www.ejustice.just.fgov.be/wet/wet.htm" TargetMode="External"/><Relationship Id="rId321" Type="http://schemas.openxmlformats.org/officeDocument/2006/relationships/hyperlink" Target="http://www.ejustice.just.fgov.be/cgi_loi/change_lg.pl?language=fr&amp;la=F&amp;table_name=loi&amp;cn=1965040803" TargetMode="External"/><Relationship Id="rId342" Type="http://schemas.openxmlformats.org/officeDocument/2006/relationships/hyperlink" Target="http://www.ejustice.just.fgov.be/wet/wet.htm" TargetMode="External"/><Relationship Id="rId363" Type="http://schemas.openxmlformats.org/officeDocument/2006/relationships/hyperlink" Target="http://www.raadvst-consetat.be/?lang=fr&amp;page=proc_admin_annul_page1" TargetMode="External"/><Relationship Id="rId384" Type="http://schemas.openxmlformats.org/officeDocument/2006/relationships/hyperlink" Target="http://www.ejustice.just.fgov.be/wet/wet.htm" TargetMode="External"/><Relationship Id="rId202" Type="http://schemas.openxmlformats.org/officeDocument/2006/relationships/hyperlink" Target="http://www.ejustice.just.fgov.be/loi/loi.htm" TargetMode="External"/><Relationship Id="rId223" Type="http://schemas.openxmlformats.org/officeDocument/2006/relationships/hyperlink" Target="http://www.ejustice.just.fgov.be/wet/wet.htm" TargetMode="External"/><Relationship Id="rId244" Type="http://schemas.openxmlformats.org/officeDocument/2006/relationships/hyperlink" Target="http://www.lachambre.be/FLWB/pdf/53/0682/53K0682019.pdf" TargetMode="External"/><Relationship Id="rId18" Type="http://schemas.openxmlformats.org/officeDocument/2006/relationships/hyperlink" Target="http://www.federaalombudsman.be/homepage" TargetMode="External"/><Relationship Id="rId39" Type="http://schemas.openxmlformats.org/officeDocument/2006/relationships/hyperlink" Target="http://www.ejustice.just.fgov.be/wet/wet.htm" TargetMode="External"/><Relationship Id="rId265" Type="http://schemas.openxmlformats.org/officeDocument/2006/relationships/hyperlink" Target="http://www.ejustice.just.fgov.be/wet/wet.htm" TargetMode="External"/><Relationship Id="rId286" Type="http://schemas.openxmlformats.org/officeDocument/2006/relationships/hyperlink" Target="http://www.ejustice.just.fgov.be/wet/wet.htm" TargetMode="External"/><Relationship Id="rId50" Type="http://schemas.openxmlformats.org/officeDocument/2006/relationships/hyperlink" Target="http://www.ejustice.just.fgov.be/wet/wet.htm" TargetMode="External"/><Relationship Id="rId104" Type="http://schemas.openxmlformats.org/officeDocument/2006/relationships/hyperlink" Target="http://www.ejustice.just.fgov.be/wet/wet.htm" TargetMode="External"/><Relationship Id="rId125" Type="http://schemas.openxmlformats.org/officeDocument/2006/relationships/hyperlink" Target="http://www.ejustice.just.fgov.be/loi/loi.htm" TargetMode="External"/><Relationship Id="rId146" Type="http://schemas.openxmlformats.org/officeDocument/2006/relationships/hyperlink" Target="http://www.ejustice.just.fgov.be/wet/wet.htm" TargetMode="External"/><Relationship Id="rId167" Type="http://schemas.openxmlformats.org/officeDocument/2006/relationships/hyperlink" Target="http://www.cgra.be/fr/binaries/2011-02-08_Brochure_Charte-d%27audition_FR_tcm126-116782.pdf" TargetMode="External"/><Relationship Id="rId188" Type="http://schemas.openxmlformats.org/officeDocument/2006/relationships/hyperlink" Target="http://www.ejustice.just.fgov.be/loi/loi.htm" TargetMode="External"/><Relationship Id="rId311" Type="http://schemas.openxmlformats.org/officeDocument/2006/relationships/hyperlink" Target="http://www.ejustice.just.fgov.be/loi/loi.htm" TargetMode="External"/><Relationship Id="rId332" Type="http://schemas.openxmlformats.org/officeDocument/2006/relationships/hyperlink" Target="http://www.ejustice.just.fgov.be/wet/wet.htm" TargetMode="External"/><Relationship Id="rId353" Type="http://schemas.openxmlformats.org/officeDocument/2006/relationships/hyperlink" Target="http://www.ejustice.just.fgov.be/wet/wet.htm" TargetMode="External"/><Relationship Id="rId374" Type="http://schemas.openxmlformats.org/officeDocument/2006/relationships/hyperlink" Target="http://www.ejustice.just.fgov.be/wet/wet.htm" TargetMode="External"/><Relationship Id="rId71" Type="http://schemas.openxmlformats.org/officeDocument/2006/relationships/hyperlink" Target="http://www.ejustice.just.fgov.be/cgi_loi/change_lg.pl?language=fr&amp;la=F&amp;table_name=loi&amp;cn=1965040803" TargetMode="External"/><Relationship Id="rId92" Type="http://schemas.openxmlformats.org/officeDocument/2006/relationships/hyperlink" Target="http://www.csj.be/sites/5023.b.fedimbo.belgium.be/files/press_publications/o0019f_3.pdf" TargetMode="External"/><Relationship Id="rId213" Type="http://schemas.openxmlformats.org/officeDocument/2006/relationships/hyperlink" Target="http://www.ejustice.just.fgov.be/cgi_loi/change_lg.pl?language=fr&amp;la=F&amp;table_name=loi&amp;cn=1965040803" TargetMode="External"/><Relationship Id="rId234" Type="http://schemas.openxmlformats.org/officeDocument/2006/relationships/hyperlink" Target="http://www.ejustice.just.fgov.be/wet/wet.htm" TargetMode="External"/><Relationship Id="rId2" Type="http://schemas.openxmlformats.org/officeDocument/2006/relationships/hyperlink" Target="http://www.ejustice.just.fgov.be/wet/wet.htm" TargetMode="External"/><Relationship Id="rId29" Type="http://schemas.openxmlformats.org/officeDocument/2006/relationships/hyperlink" Target="http://www.ejustice.just.fgov.be/wet/wet.htm" TargetMode="External"/><Relationship Id="rId255" Type="http://schemas.openxmlformats.org/officeDocument/2006/relationships/hyperlink" Target="http://www.ejustice.just.fgov.be/wet/wet.htm" TargetMode="External"/><Relationship Id="rId276" Type="http://schemas.openxmlformats.org/officeDocument/2006/relationships/hyperlink" Target="http://www.ejustice.just.fgov.be/wet/wet.htm" TargetMode="External"/><Relationship Id="rId297" Type="http://schemas.openxmlformats.org/officeDocument/2006/relationships/hyperlink" Target="http://www.dekamer.be/FLWB/PDF/53/3469/53K3469001.pdf" TargetMode="External"/><Relationship Id="rId40" Type="http://schemas.openxmlformats.org/officeDocument/2006/relationships/hyperlink" Target="http://www.ejustice.just.fgov.be/cgi_loi/change_lg.pl?language=fr&amp;la=F&amp;table_name=loi&amp;cn=1965040803" TargetMode="External"/><Relationship Id="rId115" Type="http://schemas.openxmlformats.org/officeDocument/2006/relationships/hyperlink" Target="http://www.ejustice.just.fgov.be/loi/loi.htm" TargetMode="External"/><Relationship Id="rId136" Type="http://schemas.openxmlformats.org/officeDocument/2006/relationships/hyperlink" Target="http://www.ejustice.just.fgov.be/wet/wet.htm" TargetMode="External"/><Relationship Id="rId157" Type="http://schemas.openxmlformats.org/officeDocument/2006/relationships/hyperlink" Target="http://www.kinderrechten.nl/p/1/70/" TargetMode="External"/><Relationship Id="rId178" Type="http://schemas.openxmlformats.org/officeDocument/2006/relationships/hyperlink" Target="http://www.ejustice.just.fgov.be/wet/wet.htm" TargetMode="External"/><Relationship Id="rId301" Type="http://schemas.openxmlformats.org/officeDocument/2006/relationships/hyperlink" Target="http://www.ejustice.just.fgov.be/wet/wet.htm" TargetMode="External"/><Relationship Id="rId322" Type="http://schemas.openxmlformats.org/officeDocument/2006/relationships/hyperlink" Target="http://www.ejustice.just.fgov.be/wet/wet.htm" TargetMode="External"/><Relationship Id="rId343" Type="http://schemas.openxmlformats.org/officeDocument/2006/relationships/hyperlink" Target="http://www.ejustice.just.fgov.be/wet/wet.htm" TargetMode="External"/><Relationship Id="rId364" Type="http://schemas.openxmlformats.org/officeDocument/2006/relationships/hyperlink" Target="http://www.ejustice.just.fgov.be/wet/wet.htm" TargetMode="External"/><Relationship Id="rId61" Type="http://schemas.openxmlformats.org/officeDocument/2006/relationships/hyperlink" Target="http://www.ejustice.just.fgov.be/cgi_loi/change_lg.pl?language=fr&amp;la=F&amp;cn=2013062404&amp;table_name=loi" TargetMode="External"/><Relationship Id="rId82" Type="http://schemas.openxmlformats.org/officeDocument/2006/relationships/hyperlink" Target="http://www.ejustice.just.fgov.be/wet/wet.htm" TargetMode="External"/><Relationship Id="rId199" Type="http://schemas.openxmlformats.org/officeDocument/2006/relationships/hyperlink" Target="http://www.dekamer.be/kvvcr/pdf_sections/publications/constitution/grondwetEN.pdf" TargetMode="External"/><Relationship Id="rId203" Type="http://schemas.openxmlformats.org/officeDocument/2006/relationships/hyperlink" Target="http://www.ejustice.just.fgov.be/wet/wet.htm" TargetMode="External"/><Relationship Id="rId385" Type="http://schemas.openxmlformats.org/officeDocument/2006/relationships/hyperlink" Target="http://www.ejustice.just.fgov.be/loi/loi.htm" TargetMode="External"/><Relationship Id="rId19" Type="http://schemas.openxmlformats.org/officeDocument/2006/relationships/hyperlink" Target="http://www.mediateur-wallonie.be/walloon-regions-ombudsman.html" TargetMode="External"/><Relationship Id="rId224" Type="http://schemas.openxmlformats.org/officeDocument/2006/relationships/hyperlink" Target="http://www.ejustice.just.fgov.be/wet/wet.htm" TargetMode="External"/><Relationship Id="rId245" Type="http://schemas.openxmlformats.org/officeDocument/2006/relationships/hyperlink" Target="http://www.lachambre.be/FLWB/pdf/53/0682/53K0682019.pdf" TargetMode="External"/><Relationship Id="rId266" Type="http://schemas.openxmlformats.org/officeDocument/2006/relationships/hyperlink" Target="http://www.ejustice.just.fgov.be/wet/wet.htm" TargetMode="External"/><Relationship Id="rId287" Type="http://schemas.openxmlformats.org/officeDocument/2006/relationships/hyperlink" Target="http://www.cce-rvv.be/rvv/index.php/fr/home" TargetMode="External"/><Relationship Id="rId30" Type="http://schemas.openxmlformats.org/officeDocument/2006/relationships/hyperlink" Target="http://www.cgra.be/en/" TargetMode="External"/><Relationship Id="rId105" Type="http://schemas.openxmlformats.org/officeDocument/2006/relationships/hyperlink" Target="http://www.ejustice.just.fgov.be/wet/wet.htm" TargetMode="External"/><Relationship Id="rId126" Type="http://schemas.openxmlformats.org/officeDocument/2006/relationships/hyperlink" Target="http://www.sdj.be/admin/docs/Mineurs_et_soins_de_sante_JDJB225.pdf" TargetMode="External"/><Relationship Id="rId147" Type="http://schemas.openxmlformats.org/officeDocument/2006/relationships/hyperlink" Target="http://www.ejustice.just.fgov.be/loi/loi.htm" TargetMode="External"/><Relationship Id="rId168" Type="http://schemas.openxmlformats.org/officeDocument/2006/relationships/hyperlink" Target="http://www.ejustice.just.fgov.be/loi/loi.htm" TargetMode="External"/><Relationship Id="rId312" Type="http://schemas.openxmlformats.org/officeDocument/2006/relationships/hyperlink" Target="http://www.ejustice.just.fgov.be/cgi_loi/change_lg.pl?language=fr&amp;la=F&amp;table_name=loi&amp;cn=1965040803" TargetMode="External"/><Relationship Id="rId333" Type="http://schemas.openxmlformats.org/officeDocument/2006/relationships/hyperlink" Target="http://www.ejustice.just.fgov.be/wet/wet.htm" TargetMode="External"/><Relationship Id="rId354" Type="http://schemas.openxmlformats.org/officeDocument/2006/relationships/hyperlink" Target="http://www.ejustice.just.fgov.be/wet/wet.htm" TargetMode="External"/><Relationship Id="rId51" Type="http://schemas.openxmlformats.org/officeDocument/2006/relationships/hyperlink" Target="http://www.raadvst-consetat.be/?page=about_competent_electroniclibrary&amp;lang=fr" TargetMode="External"/><Relationship Id="rId72" Type="http://schemas.openxmlformats.org/officeDocument/2006/relationships/hyperlink" Target="http://www.ejustice.just.fgov.be/wet/wet.htm" TargetMode="External"/><Relationship Id="rId93" Type="http://schemas.openxmlformats.org/officeDocument/2006/relationships/hyperlink" Target="http://daccess-dds-ny.un.org/doc/UNDOC/GEN/G10/428/35/PDF/G1042835.pdf?OpenElement" TargetMode="External"/><Relationship Id="rId189" Type="http://schemas.openxmlformats.org/officeDocument/2006/relationships/hyperlink" Target="http://www.ejustice.just.fgov.be/wet/wet.htm" TargetMode="External"/><Relationship Id="rId375" Type="http://schemas.openxmlformats.org/officeDocument/2006/relationships/hyperlink" Target="http://www.ejustice.just.fgov.be/wet/wet.htm" TargetMode="External"/><Relationship Id="rId3" Type="http://schemas.openxmlformats.org/officeDocument/2006/relationships/hyperlink" Target="http://www.ejustice.just.fgov.be/loi/loi.htm" TargetMode="External"/><Relationship Id="rId214" Type="http://schemas.openxmlformats.org/officeDocument/2006/relationships/hyperlink" Target="http://www.ejustice.just.fgov.be/wet/wet.htm" TargetMode="External"/><Relationship Id="rId235" Type="http://schemas.openxmlformats.org/officeDocument/2006/relationships/hyperlink" Target="http://www.ejustice.just.fgov.be/wet/wet.htm" TargetMode="External"/><Relationship Id="rId256" Type="http://schemas.openxmlformats.org/officeDocument/2006/relationships/hyperlink" Target="http://www.dekamer.be/kvvcr/pdf_sections/publications/constitution/grondwetEN.pdf" TargetMode="External"/><Relationship Id="rId277" Type="http://schemas.openxmlformats.org/officeDocument/2006/relationships/hyperlink" Target="http://www.ejustice.just.fgov.be/loi/loi.htm" TargetMode="External"/><Relationship Id="rId298" Type="http://schemas.openxmlformats.org/officeDocument/2006/relationships/hyperlink" Target="http://www.ejustice.just.fgov.be/cgi_loi/change_lg.pl?language=fr&amp;la=F&amp;table_name=loi&amp;cn=1965040803" TargetMode="External"/><Relationship Id="rId116" Type="http://schemas.openxmlformats.org/officeDocument/2006/relationships/hyperlink" Target="http://www.ejustice.just.fgov.be/wet/wet.htm" TargetMode="External"/><Relationship Id="rId137" Type="http://schemas.openxmlformats.org/officeDocument/2006/relationships/hyperlink" Target="http://www.ejustice.just.fgov.be/loi/loi.htm" TargetMode="External"/><Relationship Id="rId158" Type="http://schemas.openxmlformats.org/officeDocument/2006/relationships/hyperlink" Target="http://www.ejustice.just.fgov.be/wet/wet.htm" TargetMode="External"/><Relationship Id="rId302" Type="http://schemas.openxmlformats.org/officeDocument/2006/relationships/hyperlink" Target="http://www.ejustice.just.fgov.be/cgi_loi/change_lg.pl?language=fr&amp;la=F&amp;table_name=loi&amp;cn=1965040803" TargetMode="External"/><Relationship Id="rId323" Type="http://schemas.openxmlformats.org/officeDocument/2006/relationships/hyperlink" Target="http://www.comitep.be/EN/index.asp" TargetMode="External"/><Relationship Id="rId344" Type="http://schemas.openxmlformats.org/officeDocument/2006/relationships/hyperlink" Target="http://www.ejustice.just.fgov.be/wet/wet.htm" TargetMode="External"/><Relationship Id="rId20" Type="http://schemas.openxmlformats.org/officeDocument/2006/relationships/hyperlink" Target="http://www.dg-ombudsmann.be/de" TargetMode="External"/><Relationship Id="rId41" Type="http://schemas.openxmlformats.org/officeDocument/2006/relationships/hyperlink" Target="http://www.ejustice.just.fgov.be/wet/wet.htm" TargetMode="External"/><Relationship Id="rId62" Type="http://schemas.openxmlformats.org/officeDocument/2006/relationships/hyperlink" Target="http://www.ejustice.just.fgov.be/cgi_loi/change_lg.pl?language=fr&amp;la=F&amp;cn=2013062404&amp;table_name=loi" TargetMode="External"/><Relationship Id="rId83" Type="http://schemas.openxmlformats.org/officeDocument/2006/relationships/hyperlink" Target="http://www.europarl.europa.eu/delegations/it/studiesdownload.html?languageDocument=EN&amp;file=95050" TargetMode="External"/><Relationship Id="rId179" Type="http://schemas.openxmlformats.org/officeDocument/2006/relationships/hyperlink" Target="http://www.ejustice.just.fgov.be/cgi_loi/change_lg.pl?language=fr&amp;la=F&amp;table_name=loi&amp;cn=1965040803" TargetMode="External"/><Relationship Id="rId365" Type="http://schemas.openxmlformats.org/officeDocument/2006/relationships/hyperlink" Target="http://www.raadvst-consetat.be/?lang=fr&amp;page=proc_admin_annul_page1" TargetMode="External"/><Relationship Id="rId386" Type="http://schemas.openxmlformats.org/officeDocument/2006/relationships/hyperlink" Target="http://www.ejustice.just.fgov.be/wet/wet.htm" TargetMode="External"/><Relationship Id="rId190" Type="http://schemas.openxmlformats.org/officeDocument/2006/relationships/hyperlink" Target="http://www.ejustice.just.fgov.be/loi/loi.htm" TargetMode="External"/><Relationship Id="rId204" Type="http://schemas.openxmlformats.org/officeDocument/2006/relationships/hyperlink" Target="http://www.ejustice.just.fgov.be/wet/wet.htm" TargetMode="External"/><Relationship Id="rId225" Type="http://schemas.openxmlformats.org/officeDocument/2006/relationships/hyperlink" Target="http://www.procedurecivile.be/fileadmin/fichiers/refere.pdf" TargetMode="External"/><Relationship Id="rId246" Type="http://schemas.openxmlformats.org/officeDocument/2006/relationships/hyperlink" Target="http://www.ejustice.just.fgov.be/cgi_loi/change_lg.pl?language=fr&amp;la=F&amp;table_name=loi&amp;cn=1965040803" TargetMode="External"/><Relationship Id="rId267" Type="http://schemas.openxmlformats.org/officeDocument/2006/relationships/hyperlink" Target="http://www.ejustice.just.fgov.be/wet/wet.htm" TargetMode="External"/><Relationship Id="rId288" Type="http://schemas.openxmlformats.org/officeDocument/2006/relationships/hyperlink" Target="http://www.ejustice.just.fgov.be/loi/loi.htm" TargetMode="External"/><Relationship Id="rId106" Type="http://schemas.openxmlformats.org/officeDocument/2006/relationships/hyperlink" Target="http://www.ejustice.just.fgov.be/wet/wet.htm" TargetMode="External"/><Relationship Id="rId127" Type="http://schemas.openxmlformats.org/officeDocument/2006/relationships/hyperlink" Target="http://www.ejustice.just.fgov.be/wet/wet.htm" TargetMode="External"/><Relationship Id="rId313" Type="http://schemas.openxmlformats.org/officeDocument/2006/relationships/hyperlink" Target="http://www.ejustice.just.fgov.be/loi/loi.htm" TargetMode="External"/><Relationship Id="rId10" Type="http://schemas.openxmlformats.org/officeDocument/2006/relationships/hyperlink" Target="http://www.ejustice.just.fgov.be/loi/loi.htm" TargetMode="External"/><Relationship Id="rId31" Type="http://schemas.openxmlformats.org/officeDocument/2006/relationships/hyperlink" Target="https://dofi.ibz.be/sites/dvzoe/en/Pages/home.aspx" TargetMode="External"/><Relationship Id="rId52" Type="http://schemas.openxmlformats.org/officeDocument/2006/relationships/hyperlink" Target="http://www.liguedh.be/2012/1876-recours-contre-la-loi-relative-aux-sanctions-administratives-communales-devant-la-cour-constitutionnelle--non-a-une-justice-de-sherifs" TargetMode="External"/><Relationship Id="rId73" Type="http://schemas.openxmlformats.org/officeDocument/2006/relationships/hyperlink" Target="http://www.ejustice.just.fgov.be/loi/loi.htm" TargetMode="External"/><Relationship Id="rId94" Type="http://schemas.openxmlformats.org/officeDocument/2006/relationships/hyperlink" Target="http://www.igo-ifj.be" TargetMode="External"/><Relationship Id="rId148" Type="http://schemas.openxmlformats.org/officeDocument/2006/relationships/hyperlink" Target="http://www.ejustice.just.fgov.be/loi/loi.htm" TargetMode="External"/><Relationship Id="rId169" Type="http://schemas.openxmlformats.org/officeDocument/2006/relationships/hyperlink" Target="http://www.ejustice.just.fgov.be/loi/loi.htm" TargetMode="External"/><Relationship Id="rId334" Type="http://schemas.openxmlformats.org/officeDocument/2006/relationships/hyperlink" Target="http://www.raadvst-consetat.be/?lang=fr&amp;page=proc_admin_annul_page1" TargetMode="External"/><Relationship Id="rId355" Type="http://schemas.openxmlformats.org/officeDocument/2006/relationships/hyperlink" Target="http://www.ejustice.just.fgov.be/wet/wet.htm" TargetMode="External"/><Relationship Id="rId376" Type="http://schemas.openxmlformats.org/officeDocument/2006/relationships/hyperlink" Target="http://www.ejustice.just.fgov.be/wet/wet.htm" TargetMode="External"/><Relationship Id="rId4" Type="http://schemas.openxmlformats.org/officeDocument/2006/relationships/hyperlink" Target="http://www.ejustice.just.fgov.be/wet/wet.htm" TargetMode="External"/><Relationship Id="rId180" Type="http://schemas.openxmlformats.org/officeDocument/2006/relationships/hyperlink" Target="http://www.ejustice.just.fgov.be/wet/wet.htm" TargetMode="External"/><Relationship Id="rId215" Type="http://schemas.openxmlformats.org/officeDocument/2006/relationships/hyperlink" Target="http://www.ejustice.just.fgov.be/wet/wet.htm" TargetMode="External"/><Relationship Id="rId236" Type="http://schemas.openxmlformats.org/officeDocument/2006/relationships/hyperlink" Target="http://www.unicef.be/kids/?lang=fr" TargetMode="External"/><Relationship Id="rId257" Type="http://schemas.openxmlformats.org/officeDocument/2006/relationships/hyperlink" Target="http://www.ejustice.just.fgov.be/wet/wet.htm" TargetMode="External"/><Relationship Id="rId278" Type="http://schemas.openxmlformats.org/officeDocument/2006/relationships/hyperlink" Target="http://www.ejustice.just.fgov.be/wet/wet.htm" TargetMode="External"/><Relationship Id="rId303" Type="http://schemas.openxmlformats.org/officeDocument/2006/relationships/hyperlink" Target="http://www.om-mp.be/circulaire/4123048/circulaires_2011.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ICF%20Templates\ICF%20Report%202014.dotm" TargetMode="External"/></Relationships>
</file>

<file path=word/theme/theme1.xml><?xml version="1.0" encoding="utf-8"?>
<a:theme xmlns:a="http://schemas.openxmlformats.org/drawingml/2006/main" name="Office Theme">
  <a:themeElements>
    <a:clrScheme name="ICF GHK">
      <a:dk1>
        <a:sysClr val="windowText" lastClr="000000"/>
      </a:dk1>
      <a:lt1>
        <a:sysClr val="window" lastClr="FFFFFF"/>
      </a:lt1>
      <a:dk2>
        <a:srgbClr val="0067AC"/>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294239-3405-4103-A047-E2CE30C72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ICF Report 2014</Template>
  <TotalTime>2</TotalTime>
  <Pages>82</Pages>
  <Words>38607</Words>
  <Characters>232875</Characters>
  <Application>Microsoft Office Word</Application>
  <DocSecurity>0</DocSecurity>
  <Lines>1940</Lines>
  <Paragraphs>541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270941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Clemente, Jolandie</dc:creator>
  <cp:lastModifiedBy>Clemente, Jolandie</cp:lastModifiedBy>
  <cp:revision>3</cp:revision>
  <cp:lastPrinted>2010-04-16T13:59:00Z</cp:lastPrinted>
  <dcterms:created xsi:type="dcterms:W3CDTF">2015-01-22T17:11:00Z</dcterms:created>
  <dcterms:modified xsi:type="dcterms:W3CDTF">2015-01-23T16:01:00Z</dcterms:modified>
</cp:coreProperties>
</file>