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072"/>
      </w:tblGrid>
      <w:tr w:rsidR="00B13DF3" w:rsidRPr="007B47FB" w14:paraId="6794D07F" w14:textId="77777777" w:rsidTr="00B13DF3">
        <w:trPr>
          <w:trHeight w:hRule="exact" w:val="567"/>
        </w:trPr>
        <w:tc>
          <w:tcPr>
            <w:tcW w:w="9072" w:type="dxa"/>
          </w:tcPr>
          <w:p w14:paraId="6D5B6DEB" w14:textId="77777777" w:rsidR="00B13DF3" w:rsidRDefault="00B13DF3" w:rsidP="001358F5">
            <w:pPr>
              <w:pStyle w:val="NormalNoSpace"/>
              <w:spacing w:line="240" w:lineRule="auto"/>
              <w:ind w:left="-57"/>
              <w:rPr>
                <w:noProof/>
                <w:lang w:eastAsia="en-GB"/>
              </w:rPr>
            </w:pPr>
            <w:bookmarkStart w:id="0" w:name="TitlePage"/>
            <w:bookmarkStart w:id="1" w:name="TitlePages"/>
          </w:p>
        </w:tc>
      </w:tr>
      <w:tr w:rsidR="00B13DF3" w:rsidRPr="007B47FB" w14:paraId="48E99C42" w14:textId="77777777" w:rsidTr="00F46954">
        <w:trPr>
          <w:trHeight w:hRule="exact" w:val="5443"/>
        </w:trPr>
        <w:tc>
          <w:tcPr>
            <w:tcW w:w="9072" w:type="dxa"/>
          </w:tcPr>
          <w:p w14:paraId="530F895A" w14:textId="77777777" w:rsidR="00660C9C" w:rsidRDefault="00660C9C" w:rsidP="001358F5">
            <w:pPr>
              <w:pStyle w:val="NormalNoSpace"/>
              <w:spacing w:line="240" w:lineRule="auto"/>
              <w:ind w:left="-57"/>
            </w:pPr>
          </w:p>
          <w:p w14:paraId="16152D25" w14:textId="77777777" w:rsidR="00660C9C" w:rsidRPr="00660C9C" w:rsidRDefault="00660C9C" w:rsidP="001358F5"/>
          <w:p w14:paraId="4571AA0D" w14:textId="77777777" w:rsidR="00660C9C" w:rsidRPr="00660C9C" w:rsidRDefault="00660C9C" w:rsidP="001358F5"/>
          <w:p w14:paraId="349584BF" w14:textId="77777777" w:rsidR="00660C9C" w:rsidRDefault="00660C9C" w:rsidP="001358F5"/>
          <w:p w14:paraId="67126CED" w14:textId="77777777" w:rsidR="00B13DF3" w:rsidRPr="00660C9C" w:rsidRDefault="00B13DF3" w:rsidP="001358F5"/>
        </w:tc>
      </w:tr>
      <w:tr w:rsidR="00760383" w:rsidRPr="007B47FB" w14:paraId="4030B22A" w14:textId="77777777" w:rsidTr="00482F4C">
        <w:trPr>
          <w:trHeight w:hRule="exact" w:val="3724"/>
        </w:trPr>
        <w:tc>
          <w:tcPr>
            <w:tcW w:w="9072" w:type="dxa"/>
          </w:tcPr>
          <w:p w14:paraId="451C79DA" w14:textId="77777777" w:rsidR="00760383" w:rsidRPr="007B47FB" w:rsidRDefault="0049253A" w:rsidP="001358F5">
            <w:pPr>
              <w:pStyle w:val="DocSubTitle"/>
            </w:pPr>
            <w:r w:rsidRPr="0049253A">
              <w:rPr>
                <w:sz w:val="48"/>
              </w:rPr>
              <w:t xml:space="preserve">Study on children's involvement in judicial proceedings – contextual overview for civil justice – </w:t>
            </w:r>
            <w:r w:rsidR="002F66D0" w:rsidRPr="002F66D0">
              <w:rPr>
                <w:sz w:val="48"/>
              </w:rPr>
              <w:t>Belgium</w:t>
            </w:r>
            <w:bookmarkStart w:id="2" w:name="DocSubTitle1"/>
            <w:bookmarkEnd w:id="2"/>
          </w:p>
          <w:p w14:paraId="5140AEE6" w14:textId="77777777" w:rsidR="00B15277" w:rsidRDefault="00B15277" w:rsidP="00B15277">
            <w:pPr>
              <w:pStyle w:val="DocDate"/>
            </w:pPr>
            <w:r>
              <w:t>July 2014 (R</w:t>
            </w:r>
            <w:r w:rsidRPr="00B45CA6">
              <w:t xml:space="preserve">esearch carried out between </w:t>
            </w:r>
            <w:r>
              <w:t>March 2013</w:t>
            </w:r>
            <w:r w:rsidRPr="00B45CA6">
              <w:t xml:space="preserve"> and </w:t>
            </w:r>
            <w:r>
              <w:t>October 2013)</w:t>
            </w:r>
          </w:p>
          <w:p w14:paraId="4A0E7393" w14:textId="77777777" w:rsidR="00660C9C" w:rsidRDefault="00660C9C" w:rsidP="001358F5">
            <w:pPr>
              <w:pStyle w:val="DocDate"/>
            </w:pPr>
          </w:p>
          <w:p w14:paraId="2774A027" w14:textId="77777777" w:rsidR="002F66D0" w:rsidRPr="007B47FB" w:rsidRDefault="002F66D0" w:rsidP="001358F5">
            <w:pPr>
              <w:pStyle w:val="DocDate"/>
            </w:pPr>
          </w:p>
        </w:tc>
      </w:tr>
    </w:tbl>
    <w:p w14:paraId="272FBF5D" w14:textId="77777777" w:rsidR="00C219D4" w:rsidRDefault="00660C9C" w:rsidP="001358F5">
      <w:pPr>
        <w:sectPr w:rsidR="00C219D4" w:rsidSect="007A5E42">
          <w:headerReference w:type="default" r:id="rId8"/>
          <w:footerReference w:type="default" r:id="rId9"/>
          <w:headerReference w:type="first" r:id="rId10"/>
          <w:footerReference w:type="first" r:id="rId11"/>
          <w:type w:val="oddPage"/>
          <w:pgSz w:w="11907" w:h="16840" w:code="9"/>
          <w:pgMar w:top="1418" w:right="1418" w:bottom="1021" w:left="1418" w:header="680" w:footer="567" w:gutter="0"/>
          <w:pgNumType w:start="1"/>
          <w:cols w:space="708"/>
          <w:titlePg/>
          <w:docGrid w:linePitch="360"/>
        </w:sectPr>
      </w:pPr>
      <w:r>
        <w:rPr>
          <w:noProof/>
          <w:lang w:val="en-US"/>
        </w:rPr>
        <w:drawing>
          <wp:anchor distT="0" distB="0" distL="114300" distR="114300" simplePos="0" relativeHeight="251680768" behindDoc="0" locked="0" layoutInCell="1" allowOverlap="1" wp14:anchorId="17BA0EF8" wp14:editId="57DCF36B">
            <wp:simplePos x="0" y="0"/>
            <wp:positionH relativeFrom="margin">
              <wp:posOffset>1031875</wp:posOffset>
            </wp:positionH>
            <wp:positionV relativeFrom="margin">
              <wp:posOffset>6420485</wp:posOffset>
            </wp:positionV>
            <wp:extent cx="933450" cy="93345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pic:spPr>
                </pic:pic>
              </a:graphicData>
            </a:graphic>
          </wp:anchor>
        </w:drawing>
      </w:r>
      <w:r>
        <w:rPr>
          <w:noProof/>
          <w:lang w:val="en-US"/>
        </w:rPr>
        <w:drawing>
          <wp:anchor distT="0" distB="0" distL="114300" distR="114300" simplePos="0" relativeHeight="251675648" behindDoc="0" locked="0" layoutInCell="1" allowOverlap="1" wp14:anchorId="527339F8" wp14:editId="2983C0BA">
            <wp:simplePos x="0" y="0"/>
            <wp:positionH relativeFrom="margin">
              <wp:posOffset>-57150</wp:posOffset>
            </wp:positionH>
            <wp:positionV relativeFrom="margin">
              <wp:posOffset>6427470</wp:posOffset>
            </wp:positionV>
            <wp:extent cx="942975" cy="942975"/>
            <wp:effectExtent l="0" t="0" r="9525"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pic:spPr>
                </pic:pic>
              </a:graphicData>
            </a:graphic>
          </wp:anchor>
        </w:drawing>
      </w:r>
    </w:p>
    <w:p w14:paraId="2E104D68" w14:textId="77777777" w:rsidR="00ED0340" w:rsidRPr="007B47FB" w:rsidRDefault="00ED0340" w:rsidP="001358F5">
      <w:pPr>
        <w:pStyle w:val="Heading1NoTOC"/>
      </w:pPr>
      <w:bookmarkStart w:id="3" w:name="DocSubTitle2"/>
      <w:bookmarkStart w:id="4" w:name="ContentsPage"/>
      <w:bookmarkStart w:id="5" w:name="Section2"/>
      <w:bookmarkEnd w:id="0"/>
      <w:bookmarkEnd w:id="1"/>
      <w:bookmarkEnd w:id="3"/>
      <w:r w:rsidRPr="007B47FB">
        <w:lastRenderedPageBreak/>
        <w:t>Contents</w:t>
      </w:r>
    </w:p>
    <w:bookmarkStart w:id="6" w:name="ContentsOpt2"/>
    <w:bookmarkStart w:id="7" w:name="_GoBack"/>
    <w:bookmarkEnd w:id="7"/>
    <w:p w14:paraId="0F124E9C" w14:textId="77777777" w:rsidR="008B433C" w:rsidRDefault="00C7550C">
      <w:pPr>
        <w:pStyle w:val="TOC2"/>
        <w:rPr>
          <w:rFonts w:asciiTheme="minorHAnsi" w:eastAsiaTheme="minorEastAsia" w:hAnsiTheme="minorHAnsi" w:cstheme="minorBidi"/>
          <w:b w:val="0"/>
          <w:noProof/>
          <w:color w:val="auto"/>
          <w:sz w:val="22"/>
          <w:szCs w:val="22"/>
          <w:lang w:val="en-US"/>
        </w:rPr>
      </w:pPr>
      <w:r w:rsidRPr="007B47FB">
        <w:rPr>
          <w:color w:val="0067AC" w:themeColor="text2"/>
        </w:rPr>
        <w:fldChar w:fldCharType="begin"/>
      </w:r>
      <w:r w:rsidR="00FE34E9" w:rsidRPr="007B47FB">
        <w:instrText xml:space="preserve"> TOC \h \z \t "Heading 1,1,</w:instrText>
      </w:r>
      <w:r w:rsidR="00F739E0" w:rsidRPr="007B47FB">
        <w:instrText>Heading 1</w:instrText>
      </w:r>
      <w:r w:rsidR="00F739E0">
        <w:instrText>NoPg</w:instrText>
      </w:r>
      <w:r w:rsidR="00F739E0" w:rsidRPr="007B47FB">
        <w:instrText>,1,</w:instrText>
      </w:r>
      <w:r w:rsidR="00FE34E9" w:rsidRPr="007B47FB">
        <w:instrText>Heading 2,3,Heading 3,4,Heading 1NoNumb,2</w:instrText>
      </w:r>
      <w:r w:rsidR="00497505" w:rsidRPr="007B47FB">
        <w:instrText>,Heading 2NoNumb,5,Heading 3NoNumb,6</w:instrText>
      </w:r>
      <w:r w:rsidR="00B327E7">
        <w:instrText>,AnnexHeading</w:instrText>
      </w:r>
      <w:r w:rsidR="00B327E7" w:rsidRPr="007B47FB">
        <w:instrText>,2</w:instrText>
      </w:r>
      <w:r w:rsidR="0044073E">
        <w:instrText>,</w:instrText>
      </w:r>
      <w:r w:rsidR="00F739E0">
        <w:instrText>AnnexHeading NoPage</w:instrText>
      </w:r>
      <w:r w:rsidR="00F739E0" w:rsidRPr="007B47FB">
        <w:instrText>,2</w:instrText>
      </w:r>
      <w:r w:rsidR="00F739E0">
        <w:instrText>,</w:instrText>
      </w:r>
      <w:r w:rsidR="0044073E">
        <w:instrText>Stage,7</w:instrText>
      </w:r>
      <w:r w:rsidR="00FE34E9" w:rsidRPr="007B47FB">
        <w:instrText xml:space="preserve">" </w:instrText>
      </w:r>
      <w:r w:rsidRPr="007B47FB">
        <w:rPr>
          <w:color w:val="0067AC" w:themeColor="text2"/>
        </w:rPr>
        <w:fldChar w:fldCharType="separate"/>
      </w:r>
      <w:hyperlink w:anchor="_Toc409790449" w:history="1">
        <w:r w:rsidR="008B433C" w:rsidRPr="007E6E5D">
          <w:rPr>
            <w:rStyle w:val="Hyperlink"/>
            <w:noProof/>
          </w:rPr>
          <w:t>Abbreviations</w:t>
        </w:r>
        <w:r w:rsidR="008B433C">
          <w:rPr>
            <w:noProof/>
            <w:webHidden/>
          </w:rPr>
          <w:tab/>
        </w:r>
        <w:r w:rsidR="008B433C">
          <w:rPr>
            <w:noProof/>
            <w:webHidden/>
          </w:rPr>
          <w:fldChar w:fldCharType="begin"/>
        </w:r>
        <w:r w:rsidR="008B433C">
          <w:rPr>
            <w:noProof/>
            <w:webHidden/>
          </w:rPr>
          <w:instrText xml:space="preserve"> PAGEREF _Toc409790449 \h </w:instrText>
        </w:r>
        <w:r w:rsidR="008B433C">
          <w:rPr>
            <w:noProof/>
            <w:webHidden/>
          </w:rPr>
        </w:r>
        <w:r w:rsidR="008B433C">
          <w:rPr>
            <w:noProof/>
            <w:webHidden/>
          </w:rPr>
          <w:fldChar w:fldCharType="separate"/>
        </w:r>
        <w:r w:rsidR="008B433C">
          <w:rPr>
            <w:noProof/>
            <w:webHidden/>
          </w:rPr>
          <w:t>iv</w:t>
        </w:r>
        <w:r w:rsidR="008B433C">
          <w:rPr>
            <w:noProof/>
            <w:webHidden/>
          </w:rPr>
          <w:fldChar w:fldCharType="end"/>
        </w:r>
      </w:hyperlink>
    </w:p>
    <w:p w14:paraId="4C5E71DD" w14:textId="77777777" w:rsidR="008B433C" w:rsidRDefault="008B433C">
      <w:pPr>
        <w:pStyle w:val="TOC1"/>
        <w:rPr>
          <w:rFonts w:asciiTheme="minorHAnsi" w:eastAsiaTheme="minorEastAsia" w:hAnsiTheme="minorHAnsi" w:cstheme="minorBidi"/>
          <w:b w:val="0"/>
          <w:noProof/>
          <w:color w:val="auto"/>
          <w:sz w:val="22"/>
          <w:szCs w:val="22"/>
          <w:lang w:val="en-US"/>
        </w:rPr>
      </w:pPr>
      <w:hyperlink w:anchor="_Toc409790450" w:history="1">
        <w:r w:rsidRPr="007E6E5D">
          <w:rPr>
            <w:rStyle w:val="Hyperlink"/>
            <w:noProof/>
          </w:rPr>
          <w:t>1</w:t>
        </w:r>
        <w:r>
          <w:rPr>
            <w:rFonts w:asciiTheme="minorHAnsi" w:eastAsiaTheme="minorEastAsia" w:hAnsiTheme="minorHAnsi" w:cstheme="minorBidi"/>
            <w:b w:val="0"/>
            <w:noProof/>
            <w:color w:val="auto"/>
            <w:sz w:val="22"/>
            <w:szCs w:val="22"/>
            <w:lang w:val="en-US"/>
          </w:rPr>
          <w:tab/>
        </w:r>
        <w:r w:rsidRPr="007E6E5D">
          <w:rPr>
            <w:rStyle w:val="Hyperlink"/>
            <w:noProof/>
          </w:rPr>
          <w:t>Introduction</w:t>
        </w:r>
        <w:r>
          <w:rPr>
            <w:noProof/>
            <w:webHidden/>
          </w:rPr>
          <w:tab/>
        </w:r>
        <w:r>
          <w:rPr>
            <w:noProof/>
            <w:webHidden/>
          </w:rPr>
          <w:fldChar w:fldCharType="begin"/>
        </w:r>
        <w:r>
          <w:rPr>
            <w:noProof/>
            <w:webHidden/>
          </w:rPr>
          <w:instrText xml:space="preserve"> PAGEREF _Toc409790450 \h </w:instrText>
        </w:r>
        <w:r>
          <w:rPr>
            <w:noProof/>
            <w:webHidden/>
          </w:rPr>
        </w:r>
        <w:r>
          <w:rPr>
            <w:noProof/>
            <w:webHidden/>
          </w:rPr>
          <w:fldChar w:fldCharType="separate"/>
        </w:r>
        <w:r>
          <w:rPr>
            <w:noProof/>
            <w:webHidden/>
          </w:rPr>
          <w:t>1</w:t>
        </w:r>
        <w:r>
          <w:rPr>
            <w:noProof/>
            <w:webHidden/>
          </w:rPr>
          <w:fldChar w:fldCharType="end"/>
        </w:r>
      </w:hyperlink>
    </w:p>
    <w:p w14:paraId="5E431828" w14:textId="77777777" w:rsidR="008B433C" w:rsidRDefault="008B433C">
      <w:pPr>
        <w:pStyle w:val="TOC6"/>
        <w:tabs>
          <w:tab w:val="right" w:leader="dot" w:pos="9061"/>
        </w:tabs>
        <w:rPr>
          <w:rFonts w:asciiTheme="minorHAnsi" w:eastAsiaTheme="minorEastAsia" w:hAnsiTheme="minorHAnsi" w:cstheme="minorBidi"/>
          <w:noProof/>
          <w:sz w:val="22"/>
          <w:szCs w:val="22"/>
          <w:lang w:val="en-US"/>
        </w:rPr>
      </w:pPr>
      <w:hyperlink w:anchor="_Toc409790451" w:history="1">
        <w:r w:rsidRPr="007E6E5D">
          <w:rPr>
            <w:rStyle w:val="Hyperlink"/>
            <w:noProof/>
          </w:rPr>
          <w:t>Introduction and context</w:t>
        </w:r>
        <w:r>
          <w:rPr>
            <w:noProof/>
            <w:webHidden/>
          </w:rPr>
          <w:tab/>
        </w:r>
        <w:r>
          <w:rPr>
            <w:noProof/>
            <w:webHidden/>
          </w:rPr>
          <w:fldChar w:fldCharType="begin"/>
        </w:r>
        <w:r>
          <w:rPr>
            <w:noProof/>
            <w:webHidden/>
          </w:rPr>
          <w:instrText xml:space="preserve"> PAGEREF _Toc409790451 \h </w:instrText>
        </w:r>
        <w:r>
          <w:rPr>
            <w:noProof/>
            <w:webHidden/>
          </w:rPr>
        </w:r>
        <w:r>
          <w:rPr>
            <w:noProof/>
            <w:webHidden/>
          </w:rPr>
          <w:fldChar w:fldCharType="separate"/>
        </w:r>
        <w:r>
          <w:rPr>
            <w:noProof/>
            <w:webHidden/>
          </w:rPr>
          <w:t>1</w:t>
        </w:r>
        <w:r>
          <w:rPr>
            <w:noProof/>
            <w:webHidden/>
          </w:rPr>
          <w:fldChar w:fldCharType="end"/>
        </w:r>
      </w:hyperlink>
    </w:p>
    <w:p w14:paraId="4F028D73" w14:textId="77777777" w:rsidR="008B433C" w:rsidRDefault="008B433C">
      <w:pPr>
        <w:pStyle w:val="TOC6"/>
        <w:tabs>
          <w:tab w:val="right" w:leader="dot" w:pos="9061"/>
        </w:tabs>
        <w:rPr>
          <w:rFonts w:asciiTheme="minorHAnsi" w:eastAsiaTheme="minorEastAsia" w:hAnsiTheme="minorHAnsi" w:cstheme="minorBidi"/>
          <w:noProof/>
          <w:sz w:val="22"/>
          <w:szCs w:val="22"/>
          <w:lang w:val="en-US"/>
        </w:rPr>
      </w:pPr>
      <w:hyperlink w:anchor="_Toc409790452" w:history="1">
        <w:r w:rsidRPr="007E6E5D">
          <w:rPr>
            <w:rStyle w:val="Hyperlink"/>
            <w:noProof/>
          </w:rPr>
          <w:t>Structure and scope</w:t>
        </w:r>
        <w:r>
          <w:rPr>
            <w:noProof/>
            <w:webHidden/>
          </w:rPr>
          <w:tab/>
        </w:r>
        <w:r>
          <w:rPr>
            <w:noProof/>
            <w:webHidden/>
          </w:rPr>
          <w:fldChar w:fldCharType="begin"/>
        </w:r>
        <w:r>
          <w:rPr>
            <w:noProof/>
            <w:webHidden/>
          </w:rPr>
          <w:instrText xml:space="preserve"> PAGEREF _Toc409790452 \h </w:instrText>
        </w:r>
        <w:r>
          <w:rPr>
            <w:noProof/>
            <w:webHidden/>
          </w:rPr>
        </w:r>
        <w:r>
          <w:rPr>
            <w:noProof/>
            <w:webHidden/>
          </w:rPr>
          <w:fldChar w:fldCharType="separate"/>
        </w:r>
        <w:r>
          <w:rPr>
            <w:noProof/>
            <w:webHidden/>
          </w:rPr>
          <w:t>1</w:t>
        </w:r>
        <w:r>
          <w:rPr>
            <w:noProof/>
            <w:webHidden/>
          </w:rPr>
          <w:fldChar w:fldCharType="end"/>
        </w:r>
      </w:hyperlink>
    </w:p>
    <w:p w14:paraId="2FF9433B" w14:textId="77777777" w:rsidR="008B433C" w:rsidRDefault="008B433C">
      <w:pPr>
        <w:pStyle w:val="TOC1"/>
        <w:rPr>
          <w:rFonts w:asciiTheme="minorHAnsi" w:eastAsiaTheme="minorEastAsia" w:hAnsiTheme="minorHAnsi" w:cstheme="minorBidi"/>
          <w:b w:val="0"/>
          <w:noProof/>
          <w:color w:val="auto"/>
          <w:sz w:val="22"/>
          <w:szCs w:val="22"/>
          <w:lang w:val="en-US"/>
        </w:rPr>
      </w:pPr>
      <w:hyperlink w:anchor="_Toc409790453" w:history="1">
        <w:r w:rsidRPr="007E6E5D">
          <w:rPr>
            <w:rStyle w:val="Hyperlink"/>
            <w:noProof/>
          </w:rPr>
          <w:t>2</w:t>
        </w:r>
        <w:r>
          <w:rPr>
            <w:rFonts w:asciiTheme="minorHAnsi" w:eastAsiaTheme="minorEastAsia" w:hAnsiTheme="minorHAnsi" w:cstheme="minorBidi"/>
            <w:b w:val="0"/>
            <w:noProof/>
            <w:color w:val="auto"/>
            <w:sz w:val="22"/>
            <w:szCs w:val="22"/>
            <w:lang w:val="en-US"/>
          </w:rPr>
          <w:tab/>
        </w:r>
        <w:r w:rsidRPr="007E6E5D">
          <w:rPr>
            <w:rStyle w:val="Hyperlink"/>
            <w:noProof/>
          </w:rPr>
          <w:t>Overview of Member State’s approach to children in civil judicial proceedings and specialised services dealing with such children</w:t>
        </w:r>
        <w:r>
          <w:rPr>
            <w:noProof/>
            <w:webHidden/>
          </w:rPr>
          <w:tab/>
        </w:r>
        <w:r>
          <w:rPr>
            <w:noProof/>
            <w:webHidden/>
          </w:rPr>
          <w:fldChar w:fldCharType="begin"/>
        </w:r>
        <w:r>
          <w:rPr>
            <w:noProof/>
            <w:webHidden/>
          </w:rPr>
          <w:instrText xml:space="preserve"> PAGEREF _Toc409790453 \h </w:instrText>
        </w:r>
        <w:r>
          <w:rPr>
            <w:noProof/>
            <w:webHidden/>
          </w:rPr>
        </w:r>
        <w:r>
          <w:rPr>
            <w:noProof/>
            <w:webHidden/>
          </w:rPr>
          <w:fldChar w:fldCharType="separate"/>
        </w:r>
        <w:r>
          <w:rPr>
            <w:noProof/>
            <w:webHidden/>
          </w:rPr>
          <w:t>1</w:t>
        </w:r>
        <w:r>
          <w:rPr>
            <w:noProof/>
            <w:webHidden/>
          </w:rPr>
          <w:fldChar w:fldCharType="end"/>
        </w:r>
      </w:hyperlink>
    </w:p>
    <w:p w14:paraId="0894E8BB" w14:textId="77777777" w:rsidR="008B433C" w:rsidRDefault="008B433C">
      <w:pPr>
        <w:pStyle w:val="TOC3"/>
        <w:rPr>
          <w:rFonts w:asciiTheme="minorHAnsi" w:eastAsiaTheme="minorEastAsia" w:hAnsiTheme="minorHAnsi" w:cstheme="minorBidi"/>
          <w:noProof/>
          <w:sz w:val="22"/>
          <w:szCs w:val="22"/>
          <w:lang w:val="en-US"/>
        </w:rPr>
      </w:pPr>
      <w:hyperlink w:anchor="_Toc409790454" w:history="1">
        <w:r w:rsidRPr="007E6E5D">
          <w:rPr>
            <w:rStyle w:val="Hyperlink"/>
            <w:rFonts w:eastAsia="Calibri"/>
            <w:noProof/>
          </w:rPr>
          <w:t>2.1</w:t>
        </w:r>
        <w:r>
          <w:rPr>
            <w:rFonts w:asciiTheme="minorHAnsi" w:eastAsiaTheme="minorEastAsia" w:hAnsiTheme="minorHAnsi" w:cstheme="minorBidi"/>
            <w:noProof/>
            <w:sz w:val="22"/>
            <w:szCs w:val="22"/>
            <w:lang w:val="en-US"/>
          </w:rPr>
          <w:tab/>
        </w:r>
        <w:r w:rsidRPr="007E6E5D">
          <w:rPr>
            <w:rStyle w:val="Hyperlink"/>
            <w:rFonts w:eastAsia="Calibri"/>
            <w:noProof/>
          </w:rPr>
          <w:t>Brief description of judicial system and institutions</w:t>
        </w:r>
        <w:r>
          <w:rPr>
            <w:noProof/>
            <w:webHidden/>
          </w:rPr>
          <w:tab/>
        </w:r>
        <w:r>
          <w:rPr>
            <w:noProof/>
            <w:webHidden/>
          </w:rPr>
          <w:fldChar w:fldCharType="begin"/>
        </w:r>
        <w:r>
          <w:rPr>
            <w:noProof/>
            <w:webHidden/>
          </w:rPr>
          <w:instrText xml:space="preserve"> PAGEREF _Toc409790454 \h </w:instrText>
        </w:r>
        <w:r>
          <w:rPr>
            <w:noProof/>
            <w:webHidden/>
          </w:rPr>
        </w:r>
        <w:r>
          <w:rPr>
            <w:noProof/>
            <w:webHidden/>
          </w:rPr>
          <w:fldChar w:fldCharType="separate"/>
        </w:r>
        <w:r>
          <w:rPr>
            <w:noProof/>
            <w:webHidden/>
          </w:rPr>
          <w:t>1</w:t>
        </w:r>
        <w:r>
          <w:rPr>
            <w:noProof/>
            <w:webHidden/>
          </w:rPr>
          <w:fldChar w:fldCharType="end"/>
        </w:r>
      </w:hyperlink>
    </w:p>
    <w:p w14:paraId="53B10D8C" w14:textId="77777777" w:rsidR="008B433C" w:rsidRDefault="008B433C">
      <w:pPr>
        <w:pStyle w:val="TOC6"/>
        <w:tabs>
          <w:tab w:val="right" w:leader="dot" w:pos="9061"/>
        </w:tabs>
        <w:rPr>
          <w:rFonts w:asciiTheme="minorHAnsi" w:eastAsiaTheme="minorEastAsia" w:hAnsiTheme="minorHAnsi" w:cstheme="minorBidi"/>
          <w:noProof/>
          <w:sz w:val="22"/>
          <w:szCs w:val="22"/>
          <w:lang w:val="en-US"/>
        </w:rPr>
      </w:pPr>
      <w:hyperlink w:anchor="_Toc409790455" w:history="1">
        <w:r w:rsidRPr="007E6E5D">
          <w:rPr>
            <w:rStyle w:val="Hyperlink"/>
            <w:noProof/>
          </w:rPr>
          <w:t>Legislation</w:t>
        </w:r>
        <w:r>
          <w:rPr>
            <w:noProof/>
            <w:webHidden/>
          </w:rPr>
          <w:tab/>
        </w:r>
        <w:r>
          <w:rPr>
            <w:noProof/>
            <w:webHidden/>
          </w:rPr>
          <w:fldChar w:fldCharType="begin"/>
        </w:r>
        <w:r>
          <w:rPr>
            <w:noProof/>
            <w:webHidden/>
          </w:rPr>
          <w:instrText xml:space="preserve"> PAGEREF _Toc409790455 \h </w:instrText>
        </w:r>
        <w:r>
          <w:rPr>
            <w:noProof/>
            <w:webHidden/>
          </w:rPr>
        </w:r>
        <w:r>
          <w:rPr>
            <w:noProof/>
            <w:webHidden/>
          </w:rPr>
          <w:fldChar w:fldCharType="separate"/>
        </w:r>
        <w:r>
          <w:rPr>
            <w:noProof/>
            <w:webHidden/>
          </w:rPr>
          <w:t>1</w:t>
        </w:r>
        <w:r>
          <w:rPr>
            <w:noProof/>
            <w:webHidden/>
          </w:rPr>
          <w:fldChar w:fldCharType="end"/>
        </w:r>
      </w:hyperlink>
    </w:p>
    <w:p w14:paraId="4A6195DE" w14:textId="77777777" w:rsidR="008B433C" w:rsidRDefault="008B433C">
      <w:pPr>
        <w:pStyle w:val="TOC6"/>
        <w:tabs>
          <w:tab w:val="right" w:leader="dot" w:pos="9061"/>
        </w:tabs>
        <w:rPr>
          <w:rFonts w:asciiTheme="minorHAnsi" w:eastAsiaTheme="minorEastAsia" w:hAnsiTheme="minorHAnsi" w:cstheme="minorBidi"/>
          <w:noProof/>
          <w:sz w:val="22"/>
          <w:szCs w:val="22"/>
          <w:lang w:val="en-US"/>
        </w:rPr>
      </w:pPr>
      <w:hyperlink w:anchor="_Toc409790456" w:history="1">
        <w:r w:rsidRPr="007E6E5D">
          <w:rPr>
            <w:rStyle w:val="Hyperlink"/>
            <w:noProof/>
          </w:rPr>
          <w:t>Competent courts</w:t>
        </w:r>
        <w:r>
          <w:rPr>
            <w:noProof/>
            <w:webHidden/>
          </w:rPr>
          <w:tab/>
        </w:r>
        <w:r>
          <w:rPr>
            <w:noProof/>
            <w:webHidden/>
          </w:rPr>
          <w:fldChar w:fldCharType="begin"/>
        </w:r>
        <w:r>
          <w:rPr>
            <w:noProof/>
            <w:webHidden/>
          </w:rPr>
          <w:instrText xml:space="preserve"> PAGEREF _Toc409790456 \h </w:instrText>
        </w:r>
        <w:r>
          <w:rPr>
            <w:noProof/>
            <w:webHidden/>
          </w:rPr>
        </w:r>
        <w:r>
          <w:rPr>
            <w:noProof/>
            <w:webHidden/>
          </w:rPr>
          <w:fldChar w:fldCharType="separate"/>
        </w:r>
        <w:r>
          <w:rPr>
            <w:noProof/>
            <w:webHidden/>
          </w:rPr>
          <w:t>1</w:t>
        </w:r>
        <w:r>
          <w:rPr>
            <w:noProof/>
            <w:webHidden/>
          </w:rPr>
          <w:fldChar w:fldCharType="end"/>
        </w:r>
      </w:hyperlink>
    </w:p>
    <w:p w14:paraId="1CBF2F9B" w14:textId="77777777" w:rsidR="008B433C" w:rsidRDefault="008B433C">
      <w:pPr>
        <w:pStyle w:val="TOC6"/>
        <w:tabs>
          <w:tab w:val="right" w:leader="dot" w:pos="9061"/>
        </w:tabs>
        <w:rPr>
          <w:rFonts w:asciiTheme="minorHAnsi" w:eastAsiaTheme="minorEastAsia" w:hAnsiTheme="minorHAnsi" w:cstheme="minorBidi"/>
          <w:noProof/>
          <w:sz w:val="22"/>
          <w:szCs w:val="22"/>
          <w:lang w:val="en-US"/>
        </w:rPr>
      </w:pPr>
      <w:hyperlink w:anchor="_Toc409790457" w:history="1">
        <w:r w:rsidRPr="007E6E5D">
          <w:rPr>
            <w:rStyle w:val="Hyperlink"/>
            <w:noProof/>
          </w:rPr>
          <w:t>Specialist institutions</w:t>
        </w:r>
        <w:r>
          <w:rPr>
            <w:noProof/>
            <w:webHidden/>
          </w:rPr>
          <w:tab/>
        </w:r>
        <w:r>
          <w:rPr>
            <w:noProof/>
            <w:webHidden/>
          </w:rPr>
          <w:fldChar w:fldCharType="begin"/>
        </w:r>
        <w:r>
          <w:rPr>
            <w:noProof/>
            <w:webHidden/>
          </w:rPr>
          <w:instrText xml:space="preserve"> PAGEREF _Toc409790457 \h </w:instrText>
        </w:r>
        <w:r>
          <w:rPr>
            <w:noProof/>
            <w:webHidden/>
          </w:rPr>
        </w:r>
        <w:r>
          <w:rPr>
            <w:noProof/>
            <w:webHidden/>
          </w:rPr>
          <w:fldChar w:fldCharType="separate"/>
        </w:r>
        <w:r>
          <w:rPr>
            <w:noProof/>
            <w:webHidden/>
          </w:rPr>
          <w:t>3</w:t>
        </w:r>
        <w:r>
          <w:rPr>
            <w:noProof/>
            <w:webHidden/>
          </w:rPr>
          <w:fldChar w:fldCharType="end"/>
        </w:r>
      </w:hyperlink>
    </w:p>
    <w:p w14:paraId="6D920B7F" w14:textId="77777777" w:rsidR="008B433C" w:rsidRDefault="008B433C">
      <w:pPr>
        <w:pStyle w:val="TOC6"/>
        <w:tabs>
          <w:tab w:val="right" w:leader="dot" w:pos="9061"/>
        </w:tabs>
        <w:rPr>
          <w:rFonts w:asciiTheme="minorHAnsi" w:eastAsiaTheme="minorEastAsia" w:hAnsiTheme="minorHAnsi" w:cstheme="minorBidi"/>
          <w:noProof/>
          <w:sz w:val="22"/>
          <w:szCs w:val="22"/>
          <w:lang w:val="en-US"/>
        </w:rPr>
      </w:pPr>
      <w:hyperlink w:anchor="_Toc409790458" w:history="1">
        <w:r w:rsidRPr="007E6E5D">
          <w:rPr>
            <w:rStyle w:val="Hyperlink"/>
            <w:noProof/>
          </w:rPr>
          <w:t>Coordination between authorities</w:t>
        </w:r>
        <w:r>
          <w:rPr>
            <w:noProof/>
            <w:webHidden/>
          </w:rPr>
          <w:tab/>
        </w:r>
        <w:r>
          <w:rPr>
            <w:noProof/>
            <w:webHidden/>
          </w:rPr>
          <w:fldChar w:fldCharType="begin"/>
        </w:r>
        <w:r>
          <w:rPr>
            <w:noProof/>
            <w:webHidden/>
          </w:rPr>
          <w:instrText xml:space="preserve"> PAGEREF _Toc409790458 \h </w:instrText>
        </w:r>
        <w:r>
          <w:rPr>
            <w:noProof/>
            <w:webHidden/>
          </w:rPr>
        </w:r>
        <w:r>
          <w:rPr>
            <w:noProof/>
            <w:webHidden/>
          </w:rPr>
          <w:fldChar w:fldCharType="separate"/>
        </w:r>
        <w:r>
          <w:rPr>
            <w:noProof/>
            <w:webHidden/>
          </w:rPr>
          <w:t>3</w:t>
        </w:r>
        <w:r>
          <w:rPr>
            <w:noProof/>
            <w:webHidden/>
          </w:rPr>
          <w:fldChar w:fldCharType="end"/>
        </w:r>
      </w:hyperlink>
    </w:p>
    <w:p w14:paraId="16CFFE33" w14:textId="77777777" w:rsidR="008B433C" w:rsidRDefault="008B433C">
      <w:pPr>
        <w:pStyle w:val="TOC6"/>
        <w:tabs>
          <w:tab w:val="right" w:leader="dot" w:pos="9061"/>
        </w:tabs>
        <w:rPr>
          <w:rFonts w:asciiTheme="minorHAnsi" w:eastAsiaTheme="minorEastAsia" w:hAnsiTheme="minorHAnsi" w:cstheme="minorBidi"/>
          <w:noProof/>
          <w:sz w:val="22"/>
          <w:szCs w:val="22"/>
          <w:lang w:val="en-US"/>
        </w:rPr>
      </w:pPr>
      <w:hyperlink w:anchor="_Toc409790459" w:history="1">
        <w:r w:rsidRPr="007E6E5D">
          <w:rPr>
            <w:rStyle w:val="Hyperlink"/>
            <w:noProof/>
          </w:rPr>
          <w:t>Competence of courts</w:t>
        </w:r>
        <w:r>
          <w:rPr>
            <w:noProof/>
            <w:webHidden/>
          </w:rPr>
          <w:tab/>
        </w:r>
        <w:r>
          <w:rPr>
            <w:noProof/>
            <w:webHidden/>
          </w:rPr>
          <w:fldChar w:fldCharType="begin"/>
        </w:r>
        <w:r>
          <w:rPr>
            <w:noProof/>
            <w:webHidden/>
          </w:rPr>
          <w:instrText xml:space="preserve"> PAGEREF _Toc409790459 \h </w:instrText>
        </w:r>
        <w:r>
          <w:rPr>
            <w:noProof/>
            <w:webHidden/>
          </w:rPr>
        </w:r>
        <w:r>
          <w:rPr>
            <w:noProof/>
            <w:webHidden/>
          </w:rPr>
          <w:fldChar w:fldCharType="separate"/>
        </w:r>
        <w:r>
          <w:rPr>
            <w:noProof/>
            <w:webHidden/>
          </w:rPr>
          <w:t>4</w:t>
        </w:r>
        <w:r>
          <w:rPr>
            <w:noProof/>
            <w:webHidden/>
          </w:rPr>
          <w:fldChar w:fldCharType="end"/>
        </w:r>
      </w:hyperlink>
    </w:p>
    <w:p w14:paraId="4457B621" w14:textId="77777777" w:rsidR="008B433C" w:rsidRDefault="008B433C">
      <w:pPr>
        <w:pStyle w:val="TOC6"/>
        <w:tabs>
          <w:tab w:val="right" w:leader="dot" w:pos="9061"/>
        </w:tabs>
        <w:rPr>
          <w:rFonts w:asciiTheme="minorHAnsi" w:eastAsiaTheme="minorEastAsia" w:hAnsiTheme="minorHAnsi" w:cstheme="minorBidi"/>
          <w:noProof/>
          <w:sz w:val="22"/>
          <w:szCs w:val="22"/>
          <w:lang w:val="en-US"/>
        </w:rPr>
      </w:pPr>
      <w:hyperlink w:anchor="_Toc409790460" w:history="1">
        <w:r w:rsidRPr="007E6E5D">
          <w:rPr>
            <w:rStyle w:val="Hyperlink"/>
            <w:noProof/>
          </w:rPr>
          <w:t>Coordination between criminal and civil; civil and administrative proceedings</w:t>
        </w:r>
        <w:r>
          <w:rPr>
            <w:noProof/>
            <w:webHidden/>
          </w:rPr>
          <w:tab/>
        </w:r>
        <w:r>
          <w:rPr>
            <w:noProof/>
            <w:webHidden/>
          </w:rPr>
          <w:fldChar w:fldCharType="begin"/>
        </w:r>
        <w:r>
          <w:rPr>
            <w:noProof/>
            <w:webHidden/>
          </w:rPr>
          <w:instrText xml:space="preserve"> PAGEREF _Toc409790460 \h </w:instrText>
        </w:r>
        <w:r>
          <w:rPr>
            <w:noProof/>
            <w:webHidden/>
          </w:rPr>
        </w:r>
        <w:r>
          <w:rPr>
            <w:noProof/>
            <w:webHidden/>
          </w:rPr>
          <w:fldChar w:fldCharType="separate"/>
        </w:r>
        <w:r>
          <w:rPr>
            <w:noProof/>
            <w:webHidden/>
          </w:rPr>
          <w:t>4</w:t>
        </w:r>
        <w:r>
          <w:rPr>
            <w:noProof/>
            <w:webHidden/>
          </w:rPr>
          <w:fldChar w:fldCharType="end"/>
        </w:r>
      </w:hyperlink>
    </w:p>
    <w:p w14:paraId="73F2F464" w14:textId="77777777" w:rsidR="008B433C" w:rsidRDefault="008B433C">
      <w:pPr>
        <w:pStyle w:val="TOC6"/>
        <w:tabs>
          <w:tab w:val="right" w:leader="dot" w:pos="9061"/>
        </w:tabs>
        <w:rPr>
          <w:rFonts w:asciiTheme="minorHAnsi" w:eastAsiaTheme="minorEastAsia" w:hAnsiTheme="minorHAnsi" w:cstheme="minorBidi"/>
          <w:noProof/>
          <w:sz w:val="22"/>
          <w:szCs w:val="22"/>
          <w:lang w:val="en-US"/>
        </w:rPr>
      </w:pPr>
      <w:hyperlink w:anchor="_Toc409790461" w:history="1">
        <w:r w:rsidRPr="007E6E5D">
          <w:rPr>
            <w:rStyle w:val="Hyperlink"/>
            <w:noProof/>
          </w:rPr>
          <w:t>Training</w:t>
        </w:r>
        <w:r>
          <w:rPr>
            <w:noProof/>
            <w:webHidden/>
          </w:rPr>
          <w:tab/>
        </w:r>
        <w:r>
          <w:rPr>
            <w:noProof/>
            <w:webHidden/>
          </w:rPr>
          <w:fldChar w:fldCharType="begin"/>
        </w:r>
        <w:r>
          <w:rPr>
            <w:noProof/>
            <w:webHidden/>
          </w:rPr>
          <w:instrText xml:space="preserve"> PAGEREF _Toc409790461 \h </w:instrText>
        </w:r>
        <w:r>
          <w:rPr>
            <w:noProof/>
            <w:webHidden/>
          </w:rPr>
        </w:r>
        <w:r>
          <w:rPr>
            <w:noProof/>
            <w:webHidden/>
          </w:rPr>
          <w:fldChar w:fldCharType="separate"/>
        </w:r>
        <w:r>
          <w:rPr>
            <w:noProof/>
            <w:webHidden/>
          </w:rPr>
          <w:t>4</w:t>
        </w:r>
        <w:r>
          <w:rPr>
            <w:noProof/>
            <w:webHidden/>
          </w:rPr>
          <w:fldChar w:fldCharType="end"/>
        </w:r>
      </w:hyperlink>
    </w:p>
    <w:p w14:paraId="4A968974" w14:textId="77777777" w:rsidR="008B433C" w:rsidRDefault="008B433C">
      <w:pPr>
        <w:pStyle w:val="TOC6"/>
        <w:tabs>
          <w:tab w:val="right" w:leader="dot" w:pos="9061"/>
        </w:tabs>
        <w:rPr>
          <w:rFonts w:asciiTheme="minorHAnsi" w:eastAsiaTheme="minorEastAsia" w:hAnsiTheme="minorHAnsi" w:cstheme="minorBidi"/>
          <w:noProof/>
          <w:sz w:val="22"/>
          <w:szCs w:val="22"/>
          <w:lang w:val="en-US"/>
        </w:rPr>
      </w:pPr>
      <w:hyperlink w:anchor="_Toc409790462" w:history="1">
        <w:r w:rsidRPr="007E6E5D">
          <w:rPr>
            <w:rStyle w:val="Hyperlink"/>
            <w:noProof/>
          </w:rPr>
          <w:t>Vetting</w:t>
        </w:r>
        <w:r>
          <w:rPr>
            <w:noProof/>
            <w:webHidden/>
          </w:rPr>
          <w:tab/>
        </w:r>
        <w:r>
          <w:rPr>
            <w:noProof/>
            <w:webHidden/>
          </w:rPr>
          <w:fldChar w:fldCharType="begin"/>
        </w:r>
        <w:r>
          <w:rPr>
            <w:noProof/>
            <w:webHidden/>
          </w:rPr>
          <w:instrText xml:space="preserve"> PAGEREF _Toc409790462 \h </w:instrText>
        </w:r>
        <w:r>
          <w:rPr>
            <w:noProof/>
            <w:webHidden/>
          </w:rPr>
        </w:r>
        <w:r>
          <w:rPr>
            <w:noProof/>
            <w:webHidden/>
          </w:rPr>
          <w:fldChar w:fldCharType="separate"/>
        </w:r>
        <w:r>
          <w:rPr>
            <w:noProof/>
            <w:webHidden/>
          </w:rPr>
          <w:t>5</w:t>
        </w:r>
        <w:r>
          <w:rPr>
            <w:noProof/>
            <w:webHidden/>
          </w:rPr>
          <w:fldChar w:fldCharType="end"/>
        </w:r>
      </w:hyperlink>
    </w:p>
    <w:p w14:paraId="0C23FAFD" w14:textId="77777777" w:rsidR="008B433C" w:rsidRDefault="008B433C">
      <w:pPr>
        <w:pStyle w:val="TOC3"/>
        <w:rPr>
          <w:rFonts w:asciiTheme="minorHAnsi" w:eastAsiaTheme="minorEastAsia" w:hAnsiTheme="minorHAnsi" w:cstheme="minorBidi"/>
          <w:noProof/>
          <w:sz w:val="22"/>
          <w:szCs w:val="22"/>
          <w:lang w:val="en-US"/>
        </w:rPr>
      </w:pPr>
      <w:hyperlink w:anchor="_Toc409790463" w:history="1">
        <w:r w:rsidRPr="007E6E5D">
          <w:rPr>
            <w:rStyle w:val="Hyperlink"/>
            <w:noProof/>
          </w:rPr>
          <w:t>2.2</w:t>
        </w:r>
        <w:r>
          <w:rPr>
            <w:rFonts w:asciiTheme="minorHAnsi" w:eastAsiaTheme="minorEastAsia" w:hAnsiTheme="minorHAnsi" w:cstheme="minorBidi"/>
            <w:noProof/>
            <w:sz w:val="22"/>
            <w:szCs w:val="22"/>
            <w:lang w:val="en-US"/>
          </w:rPr>
          <w:tab/>
        </w:r>
        <w:r w:rsidRPr="007E6E5D">
          <w:rPr>
            <w:rStyle w:val="Hyperlink"/>
            <w:noProof/>
          </w:rPr>
          <w:t>General approach towards children under civil law: definition of child, principle of evolving capacities, best interests of the child, principle of non-discrimination</w:t>
        </w:r>
        <w:r>
          <w:rPr>
            <w:noProof/>
            <w:webHidden/>
          </w:rPr>
          <w:tab/>
        </w:r>
        <w:r>
          <w:rPr>
            <w:noProof/>
            <w:webHidden/>
          </w:rPr>
          <w:fldChar w:fldCharType="begin"/>
        </w:r>
        <w:r>
          <w:rPr>
            <w:noProof/>
            <w:webHidden/>
          </w:rPr>
          <w:instrText xml:space="preserve"> PAGEREF _Toc409790463 \h </w:instrText>
        </w:r>
        <w:r>
          <w:rPr>
            <w:noProof/>
            <w:webHidden/>
          </w:rPr>
        </w:r>
        <w:r>
          <w:rPr>
            <w:noProof/>
            <w:webHidden/>
          </w:rPr>
          <w:fldChar w:fldCharType="separate"/>
        </w:r>
        <w:r>
          <w:rPr>
            <w:noProof/>
            <w:webHidden/>
          </w:rPr>
          <w:t>5</w:t>
        </w:r>
        <w:r>
          <w:rPr>
            <w:noProof/>
            <w:webHidden/>
          </w:rPr>
          <w:fldChar w:fldCharType="end"/>
        </w:r>
      </w:hyperlink>
    </w:p>
    <w:p w14:paraId="5B607933" w14:textId="77777777" w:rsidR="008B433C" w:rsidRDefault="008B433C">
      <w:pPr>
        <w:pStyle w:val="TOC6"/>
        <w:tabs>
          <w:tab w:val="right" w:leader="dot" w:pos="9061"/>
        </w:tabs>
        <w:rPr>
          <w:rFonts w:asciiTheme="minorHAnsi" w:eastAsiaTheme="minorEastAsia" w:hAnsiTheme="minorHAnsi" w:cstheme="minorBidi"/>
          <w:noProof/>
          <w:sz w:val="22"/>
          <w:szCs w:val="22"/>
          <w:lang w:val="en-US"/>
        </w:rPr>
      </w:pPr>
      <w:hyperlink w:anchor="_Toc409790464" w:history="1">
        <w:r w:rsidRPr="007E6E5D">
          <w:rPr>
            <w:rStyle w:val="Hyperlink"/>
            <w:noProof/>
          </w:rPr>
          <w:t>Definition of the child</w:t>
        </w:r>
        <w:r>
          <w:rPr>
            <w:noProof/>
            <w:webHidden/>
          </w:rPr>
          <w:tab/>
        </w:r>
        <w:r>
          <w:rPr>
            <w:noProof/>
            <w:webHidden/>
          </w:rPr>
          <w:fldChar w:fldCharType="begin"/>
        </w:r>
        <w:r>
          <w:rPr>
            <w:noProof/>
            <w:webHidden/>
          </w:rPr>
          <w:instrText xml:space="preserve"> PAGEREF _Toc409790464 \h </w:instrText>
        </w:r>
        <w:r>
          <w:rPr>
            <w:noProof/>
            <w:webHidden/>
          </w:rPr>
        </w:r>
        <w:r>
          <w:rPr>
            <w:noProof/>
            <w:webHidden/>
          </w:rPr>
          <w:fldChar w:fldCharType="separate"/>
        </w:r>
        <w:r>
          <w:rPr>
            <w:noProof/>
            <w:webHidden/>
          </w:rPr>
          <w:t>5</w:t>
        </w:r>
        <w:r>
          <w:rPr>
            <w:noProof/>
            <w:webHidden/>
          </w:rPr>
          <w:fldChar w:fldCharType="end"/>
        </w:r>
      </w:hyperlink>
    </w:p>
    <w:p w14:paraId="1F1689B3" w14:textId="77777777" w:rsidR="008B433C" w:rsidRDefault="008B433C">
      <w:pPr>
        <w:pStyle w:val="TOC6"/>
        <w:tabs>
          <w:tab w:val="right" w:leader="dot" w:pos="9061"/>
        </w:tabs>
        <w:rPr>
          <w:rFonts w:asciiTheme="minorHAnsi" w:eastAsiaTheme="minorEastAsia" w:hAnsiTheme="minorHAnsi" w:cstheme="minorBidi"/>
          <w:noProof/>
          <w:sz w:val="22"/>
          <w:szCs w:val="22"/>
          <w:lang w:val="en-US"/>
        </w:rPr>
      </w:pPr>
      <w:hyperlink w:anchor="_Toc409790465" w:history="1">
        <w:r w:rsidRPr="007E6E5D">
          <w:rPr>
            <w:rStyle w:val="Hyperlink"/>
            <w:noProof/>
          </w:rPr>
          <w:t>Ensuring the child’s best interests and evolving capacity</w:t>
        </w:r>
        <w:r>
          <w:rPr>
            <w:noProof/>
            <w:webHidden/>
          </w:rPr>
          <w:tab/>
        </w:r>
        <w:r>
          <w:rPr>
            <w:noProof/>
            <w:webHidden/>
          </w:rPr>
          <w:fldChar w:fldCharType="begin"/>
        </w:r>
        <w:r>
          <w:rPr>
            <w:noProof/>
            <w:webHidden/>
          </w:rPr>
          <w:instrText xml:space="preserve"> PAGEREF _Toc409790465 \h </w:instrText>
        </w:r>
        <w:r>
          <w:rPr>
            <w:noProof/>
            <w:webHidden/>
          </w:rPr>
        </w:r>
        <w:r>
          <w:rPr>
            <w:noProof/>
            <w:webHidden/>
          </w:rPr>
          <w:fldChar w:fldCharType="separate"/>
        </w:r>
        <w:r>
          <w:rPr>
            <w:noProof/>
            <w:webHidden/>
          </w:rPr>
          <w:t>6</w:t>
        </w:r>
        <w:r>
          <w:rPr>
            <w:noProof/>
            <w:webHidden/>
          </w:rPr>
          <w:fldChar w:fldCharType="end"/>
        </w:r>
      </w:hyperlink>
    </w:p>
    <w:p w14:paraId="3EAD4848" w14:textId="77777777" w:rsidR="008B433C" w:rsidRDefault="008B433C">
      <w:pPr>
        <w:pStyle w:val="TOC6"/>
        <w:tabs>
          <w:tab w:val="right" w:leader="dot" w:pos="9061"/>
        </w:tabs>
        <w:rPr>
          <w:rFonts w:asciiTheme="minorHAnsi" w:eastAsiaTheme="minorEastAsia" w:hAnsiTheme="minorHAnsi" w:cstheme="minorBidi"/>
          <w:noProof/>
          <w:sz w:val="22"/>
          <w:szCs w:val="22"/>
          <w:lang w:val="en-US"/>
        </w:rPr>
      </w:pPr>
      <w:hyperlink w:anchor="_Toc409790466" w:history="1">
        <w:r w:rsidRPr="007E6E5D">
          <w:rPr>
            <w:rStyle w:val="Hyperlink"/>
            <w:noProof/>
          </w:rPr>
          <w:t>Protection from discrimination</w:t>
        </w:r>
        <w:r>
          <w:rPr>
            <w:noProof/>
            <w:webHidden/>
          </w:rPr>
          <w:tab/>
        </w:r>
        <w:r>
          <w:rPr>
            <w:noProof/>
            <w:webHidden/>
          </w:rPr>
          <w:fldChar w:fldCharType="begin"/>
        </w:r>
        <w:r>
          <w:rPr>
            <w:noProof/>
            <w:webHidden/>
          </w:rPr>
          <w:instrText xml:space="preserve"> PAGEREF _Toc409790466 \h </w:instrText>
        </w:r>
        <w:r>
          <w:rPr>
            <w:noProof/>
            <w:webHidden/>
          </w:rPr>
        </w:r>
        <w:r>
          <w:rPr>
            <w:noProof/>
            <w:webHidden/>
          </w:rPr>
          <w:fldChar w:fldCharType="separate"/>
        </w:r>
        <w:r>
          <w:rPr>
            <w:noProof/>
            <w:webHidden/>
          </w:rPr>
          <w:t>7</w:t>
        </w:r>
        <w:r>
          <w:rPr>
            <w:noProof/>
            <w:webHidden/>
          </w:rPr>
          <w:fldChar w:fldCharType="end"/>
        </w:r>
      </w:hyperlink>
    </w:p>
    <w:p w14:paraId="18BACB19" w14:textId="77777777" w:rsidR="008B433C" w:rsidRDefault="008B433C">
      <w:pPr>
        <w:pStyle w:val="TOC1"/>
        <w:rPr>
          <w:rFonts w:asciiTheme="minorHAnsi" w:eastAsiaTheme="minorEastAsia" w:hAnsiTheme="minorHAnsi" w:cstheme="minorBidi"/>
          <w:b w:val="0"/>
          <w:noProof/>
          <w:color w:val="auto"/>
          <w:sz w:val="22"/>
          <w:szCs w:val="22"/>
          <w:lang w:val="en-US"/>
        </w:rPr>
      </w:pPr>
      <w:hyperlink w:anchor="_Toc409790467" w:history="1">
        <w:r w:rsidRPr="007E6E5D">
          <w:rPr>
            <w:rStyle w:val="Hyperlink"/>
            <w:rFonts w:cs="Arial"/>
            <w:noProof/>
          </w:rPr>
          <w:t>3</w:t>
        </w:r>
        <w:r>
          <w:rPr>
            <w:rFonts w:asciiTheme="minorHAnsi" w:eastAsiaTheme="minorEastAsia" w:hAnsiTheme="minorHAnsi" w:cstheme="minorBidi"/>
            <w:b w:val="0"/>
            <w:noProof/>
            <w:color w:val="auto"/>
            <w:sz w:val="22"/>
            <w:szCs w:val="22"/>
            <w:lang w:val="en-US"/>
          </w:rPr>
          <w:tab/>
        </w:r>
        <w:r w:rsidRPr="007E6E5D">
          <w:rPr>
            <w:rStyle w:val="Hyperlink"/>
            <w:noProof/>
          </w:rPr>
          <w:t>Child-friendly justice in civil judicial proceedings</w:t>
        </w:r>
        <w:r>
          <w:rPr>
            <w:noProof/>
            <w:webHidden/>
          </w:rPr>
          <w:tab/>
        </w:r>
        <w:r>
          <w:rPr>
            <w:noProof/>
            <w:webHidden/>
          </w:rPr>
          <w:fldChar w:fldCharType="begin"/>
        </w:r>
        <w:r>
          <w:rPr>
            <w:noProof/>
            <w:webHidden/>
          </w:rPr>
          <w:instrText xml:space="preserve"> PAGEREF _Toc409790467 \h </w:instrText>
        </w:r>
        <w:r>
          <w:rPr>
            <w:noProof/>
            <w:webHidden/>
          </w:rPr>
        </w:r>
        <w:r>
          <w:rPr>
            <w:noProof/>
            <w:webHidden/>
          </w:rPr>
          <w:fldChar w:fldCharType="separate"/>
        </w:r>
        <w:r>
          <w:rPr>
            <w:noProof/>
            <w:webHidden/>
          </w:rPr>
          <w:t>8</w:t>
        </w:r>
        <w:r>
          <w:rPr>
            <w:noProof/>
            <w:webHidden/>
          </w:rPr>
          <w:fldChar w:fldCharType="end"/>
        </w:r>
      </w:hyperlink>
    </w:p>
    <w:p w14:paraId="510E48DC" w14:textId="77777777" w:rsidR="008B433C" w:rsidRDefault="008B433C">
      <w:pPr>
        <w:pStyle w:val="TOC3"/>
        <w:rPr>
          <w:rFonts w:asciiTheme="minorHAnsi" w:eastAsiaTheme="minorEastAsia" w:hAnsiTheme="minorHAnsi" w:cstheme="minorBidi"/>
          <w:noProof/>
          <w:sz w:val="22"/>
          <w:szCs w:val="22"/>
          <w:lang w:val="en-US"/>
        </w:rPr>
      </w:pPr>
      <w:hyperlink w:anchor="_Toc409790468" w:history="1">
        <w:r w:rsidRPr="007E6E5D">
          <w:rPr>
            <w:rStyle w:val="Hyperlink"/>
            <w:noProof/>
          </w:rPr>
          <w:t>3.1</w:t>
        </w:r>
        <w:r>
          <w:rPr>
            <w:rFonts w:asciiTheme="minorHAnsi" w:eastAsiaTheme="minorEastAsia" w:hAnsiTheme="minorHAnsi" w:cstheme="minorBidi"/>
            <w:noProof/>
            <w:sz w:val="22"/>
            <w:szCs w:val="22"/>
            <w:lang w:val="en-US"/>
          </w:rPr>
          <w:tab/>
        </w:r>
        <w:r w:rsidRPr="007E6E5D">
          <w:rPr>
            <w:rStyle w:val="Hyperlink"/>
            <w:noProof/>
          </w:rPr>
          <w:t>The child as an actor in civil judicial proceedings</w:t>
        </w:r>
        <w:r>
          <w:rPr>
            <w:noProof/>
            <w:webHidden/>
          </w:rPr>
          <w:tab/>
        </w:r>
        <w:r>
          <w:rPr>
            <w:noProof/>
            <w:webHidden/>
          </w:rPr>
          <w:fldChar w:fldCharType="begin"/>
        </w:r>
        <w:r>
          <w:rPr>
            <w:noProof/>
            <w:webHidden/>
          </w:rPr>
          <w:instrText xml:space="preserve"> PAGEREF _Toc409790468 \h </w:instrText>
        </w:r>
        <w:r>
          <w:rPr>
            <w:noProof/>
            <w:webHidden/>
          </w:rPr>
        </w:r>
        <w:r>
          <w:rPr>
            <w:noProof/>
            <w:webHidden/>
          </w:rPr>
          <w:fldChar w:fldCharType="separate"/>
        </w:r>
        <w:r>
          <w:rPr>
            <w:noProof/>
            <w:webHidden/>
          </w:rPr>
          <w:t>8</w:t>
        </w:r>
        <w:r>
          <w:rPr>
            <w:noProof/>
            <w:webHidden/>
          </w:rPr>
          <w:fldChar w:fldCharType="end"/>
        </w:r>
      </w:hyperlink>
    </w:p>
    <w:p w14:paraId="2C0E0467" w14:textId="77777777" w:rsidR="008B433C" w:rsidRDefault="008B433C">
      <w:pPr>
        <w:pStyle w:val="TOC6"/>
        <w:tabs>
          <w:tab w:val="right" w:leader="dot" w:pos="9061"/>
        </w:tabs>
        <w:rPr>
          <w:rFonts w:asciiTheme="minorHAnsi" w:eastAsiaTheme="minorEastAsia" w:hAnsiTheme="minorHAnsi" w:cstheme="minorBidi"/>
          <w:noProof/>
          <w:sz w:val="22"/>
          <w:szCs w:val="22"/>
          <w:lang w:val="en-US"/>
        </w:rPr>
      </w:pPr>
      <w:hyperlink w:anchor="_Toc409790469" w:history="1">
        <w:r w:rsidRPr="007E6E5D">
          <w:rPr>
            <w:rStyle w:val="Hyperlink"/>
            <w:noProof/>
          </w:rPr>
          <w:t>Disposition of goods</w:t>
        </w:r>
        <w:r>
          <w:rPr>
            <w:noProof/>
            <w:webHidden/>
          </w:rPr>
          <w:tab/>
        </w:r>
        <w:r>
          <w:rPr>
            <w:noProof/>
            <w:webHidden/>
          </w:rPr>
          <w:fldChar w:fldCharType="begin"/>
        </w:r>
        <w:r>
          <w:rPr>
            <w:noProof/>
            <w:webHidden/>
          </w:rPr>
          <w:instrText xml:space="preserve"> PAGEREF _Toc409790469 \h </w:instrText>
        </w:r>
        <w:r>
          <w:rPr>
            <w:noProof/>
            <w:webHidden/>
          </w:rPr>
        </w:r>
        <w:r>
          <w:rPr>
            <w:noProof/>
            <w:webHidden/>
          </w:rPr>
          <w:fldChar w:fldCharType="separate"/>
        </w:r>
        <w:r>
          <w:rPr>
            <w:noProof/>
            <w:webHidden/>
          </w:rPr>
          <w:t>9</w:t>
        </w:r>
        <w:r>
          <w:rPr>
            <w:noProof/>
            <w:webHidden/>
          </w:rPr>
          <w:fldChar w:fldCharType="end"/>
        </w:r>
      </w:hyperlink>
    </w:p>
    <w:p w14:paraId="30CBAD26" w14:textId="77777777" w:rsidR="008B433C" w:rsidRDefault="008B433C">
      <w:pPr>
        <w:pStyle w:val="TOC6"/>
        <w:tabs>
          <w:tab w:val="right" w:leader="dot" w:pos="9061"/>
        </w:tabs>
        <w:rPr>
          <w:rFonts w:asciiTheme="minorHAnsi" w:eastAsiaTheme="minorEastAsia" w:hAnsiTheme="minorHAnsi" w:cstheme="minorBidi"/>
          <w:noProof/>
          <w:sz w:val="22"/>
          <w:szCs w:val="22"/>
          <w:lang w:val="en-US"/>
        </w:rPr>
      </w:pPr>
      <w:hyperlink w:anchor="_Toc409790470" w:history="1">
        <w:r w:rsidRPr="007E6E5D">
          <w:rPr>
            <w:rStyle w:val="Hyperlink"/>
            <w:noProof/>
          </w:rPr>
          <w:t>Labour law</w:t>
        </w:r>
        <w:r>
          <w:rPr>
            <w:noProof/>
            <w:webHidden/>
          </w:rPr>
          <w:tab/>
        </w:r>
        <w:r>
          <w:rPr>
            <w:noProof/>
            <w:webHidden/>
          </w:rPr>
          <w:fldChar w:fldCharType="begin"/>
        </w:r>
        <w:r>
          <w:rPr>
            <w:noProof/>
            <w:webHidden/>
          </w:rPr>
          <w:instrText xml:space="preserve"> PAGEREF _Toc409790470 \h </w:instrText>
        </w:r>
        <w:r>
          <w:rPr>
            <w:noProof/>
            <w:webHidden/>
          </w:rPr>
        </w:r>
        <w:r>
          <w:rPr>
            <w:noProof/>
            <w:webHidden/>
          </w:rPr>
          <w:fldChar w:fldCharType="separate"/>
        </w:r>
        <w:r>
          <w:rPr>
            <w:noProof/>
            <w:webHidden/>
          </w:rPr>
          <w:t>10</w:t>
        </w:r>
        <w:r>
          <w:rPr>
            <w:noProof/>
            <w:webHidden/>
          </w:rPr>
          <w:fldChar w:fldCharType="end"/>
        </w:r>
      </w:hyperlink>
    </w:p>
    <w:p w14:paraId="10BE5A75" w14:textId="77777777" w:rsidR="008B433C" w:rsidRDefault="008B433C">
      <w:pPr>
        <w:pStyle w:val="TOC6"/>
        <w:tabs>
          <w:tab w:val="right" w:leader="dot" w:pos="9061"/>
        </w:tabs>
        <w:rPr>
          <w:rFonts w:asciiTheme="minorHAnsi" w:eastAsiaTheme="minorEastAsia" w:hAnsiTheme="minorHAnsi" w:cstheme="minorBidi"/>
          <w:noProof/>
          <w:sz w:val="22"/>
          <w:szCs w:val="22"/>
          <w:lang w:val="en-US"/>
        </w:rPr>
      </w:pPr>
      <w:hyperlink w:anchor="_Toc409790471" w:history="1">
        <w:r w:rsidRPr="007E6E5D">
          <w:rPr>
            <w:rStyle w:val="Hyperlink"/>
            <w:noProof/>
          </w:rPr>
          <w:t>Precautionary/interim measures</w:t>
        </w:r>
        <w:r>
          <w:rPr>
            <w:noProof/>
            <w:webHidden/>
          </w:rPr>
          <w:tab/>
        </w:r>
        <w:r>
          <w:rPr>
            <w:noProof/>
            <w:webHidden/>
          </w:rPr>
          <w:fldChar w:fldCharType="begin"/>
        </w:r>
        <w:r>
          <w:rPr>
            <w:noProof/>
            <w:webHidden/>
          </w:rPr>
          <w:instrText xml:space="preserve"> PAGEREF _Toc409790471 \h </w:instrText>
        </w:r>
        <w:r>
          <w:rPr>
            <w:noProof/>
            <w:webHidden/>
          </w:rPr>
        </w:r>
        <w:r>
          <w:rPr>
            <w:noProof/>
            <w:webHidden/>
          </w:rPr>
          <w:fldChar w:fldCharType="separate"/>
        </w:r>
        <w:r>
          <w:rPr>
            <w:noProof/>
            <w:webHidden/>
          </w:rPr>
          <w:t>10</w:t>
        </w:r>
        <w:r>
          <w:rPr>
            <w:noProof/>
            <w:webHidden/>
          </w:rPr>
          <w:fldChar w:fldCharType="end"/>
        </w:r>
      </w:hyperlink>
    </w:p>
    <w:p w14:paraId="71A0F133" w14:textId="77777777" w:rsidR="008B433C" w:rsidRDefault="008B433C">
      <w:pPr>
        <w:pStyle w:val="TOC6"/>
        <w:tabs>
          <w:tab w:val="right" w:leader="dot" w:pos="9061"/>
        </w:tabs>
        <w:rPr>
          <w:rFonts w:asciiTheme="minorHAnsi" w:eastAsiaTheme="minorEastAsia" w:hAnsiTheme="minorHAnsi" w:cstheme="minorBidi"/>
          <w:noProof/>
          <w:sz w:val="22"/>
          <w:szCs w:val="22"/>
          <w:lang w:val="en-US"/>
        </w:rPr>
      </w:pPr>
      <w:hyperlink w:anchor="_Toc409790472" w:history="1">
        <w:r w:rsidRPr="007E6E5D">
          <w:rPr>
            <w:rStyle w:val="Hyperlink"/>
            <w:noProof/>
          </w:rPr>
          <w:t>Adoption</w:t>
        </w:r>
        <w:r>
          <w:rPr>
            <w:noProof/>
            <w:webHidden/>
          </w:rPr>
          <w:tab/>
        </w:r>
        <w:r>
          <w:rPr>
            <w:noProof/>
            <w:webHidden/>
          </w:rPr>
          <w:fldChar w:fldCharType="begin"/>
        </w:r>
        <w:r>
          <w:rPr>
            <w:noProof/>
            <w:webHidden/>
          </w:rPr>
          <w:instrText xml:space="preserve"> PAGEREF _Toc409790472 \h </w:instrText>
        </w:r>
        <w:r>
          <w:rPr>
            <w:noProof/>
            <w:webHidden/>
          </w:rPr>
        </w:r>
        <w:r>
          <w:rPr>
            <w:noProof/>
            <w:webHidden/>
          </w:rPr>
          <w:fldChar w:fldCharType="separate"/>
        </w:r>
        <w:r>
          <w:rPr>
            <w:noProof/>
            <w:webHidden/>
          </w:rPr>
          <w:t>11</w:t>
        </w:r>
        <w:r>
          <w:rPr>
            <w:noProof/>
            <w:webHidden/>
          </w:rPr>
          <w:fldChar w:fldCharType="end"/>
        </w:r>
      </w:hyperlink>
    </w:p>
    <w:p w14:paraId="4652224B" w14:textId="77777777" w:rsidR="008B433C" w:rsidRDefault="008B433C">
      <w:pPr>
        <w:pStyle w:val="TOC6"/>
        <w:tabs>
          <w:tab w:val="right" w:leader="dot" w:pos="9061"/>
        </w:tabs>
        <w:rPr>
          <w:rFonts w:asciiTheme="minorHAnsi" w:eastAsiaTheme="minorEastAsia" w:hAnsiTheme="minorHAnsi" w:cstheme="minorBidi"/>
          <w:noProof/>
          <w:sz w:val="22"/>
          <w:szCs w:val="22"/>
          <w:lang w:val="en-US"/>
        </w:rPr>
      </w:pPr>
      <w:hyperlink w:anchor="_Toc409790473" w:history="1">
        <w:r w:rsidRPr="007E6E5D">
          <w:rPr>
            <w:rStyle w:val="Hyperlink"/>
            <w:noProof/>
          </w:rPr>
          <w:t>Filiation</w:t>
        </w:r>
        <w:r>
          <w:rPr>
            <w:noProof/>
            <w:webHidden/>
          </w:rPr>
          <w:tab/>
        </w:r>
        <w:r>
          <w:rPr>
            <w:noProof/>
            <w:webHidden/>
          </w:rPr>
          <w:fldChar w:fldCharType="begin"/>
        </w:r>
        <w:r>
          <w:rPr>
            <w:noProof/>
            <w:webHidden/>
          </w:rPr>
          <w:instrText xml:space="preserve"> PAGEREF _Toc409790473 \h </w:instrText>
        </w:r>
        <w:r>
          <w:rPr>
            <w:noProof/>
            <w:webHidden/>
          </w:rPr>
        </w:r>
        <w:r>
          <w:rPr>
            <w:noProof/>
            <w:webHidden/>
          </w:rPr>
          <w:fldChar w:fldCharType="separate"/>
        </w:r>
        <w:r>
          <w:rPr>
            <w:noProof/>
            <w:webHidden/>
          </w:rPr>
          <w:t>11</w:t>
        </w:r>
        <w:r>
          <w:rPr>
            <w:noProof/>
            <w:webHidden/>
          </w:rPr>
          <w:fldChar w:fldCharType="end"/>
        </w:r>
      </w:hyperlink>
    </w:p>
    <w:p w14:paraId="57FA7F52" w14:textId="77777777" w:rsidR="008B433C" w:rsidRDefault="008B433C">
      <w:pPr>
        <w:pStyle w:val="TOC6"/>
        <w:tabs>
          <w:tab w:val="right" w:leader="dot" w:pos="9061"/>
        </w:tabs>
        <w:rPr>
          <w:rFonts w:asciiTheme="minorHAnsi" w:eastAsiaTheme="minorEastAsia" w:hAnsiTheme="minorHAnsi" w:cstheme="minorBidi"/>
          <w:noProof/>
          <w:sz w:val="22"/>
          <w:szCs w:val="22"/>
          <w:lang w:val="en-US"/>
        </w:rPr>
      </w:pPr>
      <w:hyperlink w:anchor="_Toc409790474" w:history="1">
        <w:r w:rsidRPr="007E6E5D">
          <w:rPr>
            <w:rStyle w:val="Hyperlink"/>
            <w:noProof/>
          </w:rPr>
          <w:t>Recognition of paternity and maternity</w:t>
        </w:r>
        <w:r>
          <w:rPr>
            <w:noProof/>
            <w:webHidden/>
          </w:rPr>
          <w:tab/>
        </w:r>
        <w:r>
          <w:rPr>
            <w:noProof/>
            <w:webHidden/>
          </w:rPr>
          <w:fldChar w:fldCharType="begin"/>
        </w:r>
        <w:r>
          <w:rPr>
            <w:noProof/>
            <w:webHidden/>
          </w:rPr>
          <w:instrText xml:space="preserve"> PAGEREF _Toc409790474 \h </w:instrText>
        </w:r>
        <w:r>
          <w:rPr>
            <w:noProof/>
            <w:webHidden/>
          </w:rPr>
        </w:r>
        <w:r>
          <w:rPr>
            <w:noProof/>
            <w:webHidden/>
          </w:rPr>
          <w:fldChar w:fldCharType="separate"/>
        </w:r>
        <w:r>
          <w:rPr>
            <w:noProof/>
            <w:webHidden/>
          </w:rPr>
          <w:t>11</w:t>
        </w:r>
        <w:r>
          <w:rPr>
            <w:noProof/>
            <w:webHidden/>
          </w:rPr>
          <w:fldChar w:fldCharType="end"/>
        </w:r>
      </w:hyperlink>
    </w:p>
    <w:p w14:paraId="3FF35218" w14:textId="77777777" w:rsidR="008B433C" w:rsidRDefault="008B433C">
      <w:pPr>
        <w:pStyle w:val="TOC6"/>
        <w:tabs>
          <w:tab w:val="right" w:leader="dot" w:pos="9061"/>
        </w:tabs>
        <w:rPr>
          <w:rFonts w:asciiTheme="minorHAnsi" w:eastAsiaTheme="minorEastAsia" w:hAnsiTheme="minorHAnsi" w:cstheme="minorBidi"/>
          <w:noProof/>
          <w:sz w:val="22"/>
          <w:szCs w:val="22"/>
          <w:lang w:val="en-US"/>
        </w:rPr>
      </w:pPr>
      <w:hyperlink w:anchor="_Toc409790475" w:history="1">
        <w:r w:rsidRPr="007E6E5D">
          <w:rPr>
            <w:rStyle w:val="Hyperlink"/>
            <w:noProof/>
          </w:rPr>
          <w:t>Protection cases</w:t>
        </w:r>
        <w:r>
          <w:rPr>
            <w:noProof/>
            <w:webHidden/>
          </w:rPr>
          <w:tab/>
        </w:r>
        <w:r>
          <w:rPr>
            <w:noProof/>
            <w:webHidden/>
          </w:rPr>
          <w:fldChar w:fldCharType="begin"/>
        </w:r>
        <w:r>
          <w:rPr>
            <w:noProof/>
            <w:webHidden/>
          </w:rPr>
          <w:instrText xml:space="preserve"> PAGEREF _Toc409790475 \h </w:instrText>
        </w:r>
        <w:r>
          <w:rPr>
            <w:noProof/>
            <w:webHidden/>
          </w:rPr>
        </w:r>
        <w:r>
          <w:rPr>
            <w:noProof/>
            <w:webHidden/>
          </w:rPr>
          <w:fldChar w:fldCharType="separate"/>
        </w:r>
        <w:r>
          <w:rPr>
            <w:noProof/>
            <w:webHidden/>
          </w:rPr>
          <w:t>11</w:t>
        </w:r>
        <w:r>
          <w:rPr>
            <w:noProof/>
            <w:webHidden/>
          </w:rPr>
          <w:fldChar w:fldCharType="end"/>
        </w:r>
      </w:hyperlink>
    </w:p>
    <w:p w14:paraId="74A12C5F" w14:textId="77777777" w:rsidR="008B433C" w:rsidRDefault="008B433C">
      <w:pPr>
        <w:pStyle w:val="TOC3"/>
        <w:rPr>
          <w:rFonts w:asciiTheme="minorHAnsi" w:eastAsiaTheme="minorEastAsia" w:hAnsiTheme="minorHAnsi" w:cstheme="minorBidi"/>
          <w:noProof/>
          <w:sz w:val="22"/>
          <w:szCs w:val="22"/>
          <w:lang w:val="en-US"/>
        </w:rPr>
      </w:pPr>
      <w:hyperlink w:anchor="_Toc409790476" w:history="1">
        <w:r w:rsidRPr="007E6E5D">
          <w:rPr>
            <w:rStyle w:val="Hyperlink"/>
            <w:noProof/>
          </w:rPr>
          <w:t>3.2</w:t>
        </w:r>
        <w:r>
          <w:rPr>
            <w:rFonts w:asciiTheme="minorHAnsi" w:eastAsiaTheme="minorEastAsia" w:hAnsiTheme="minorHAnsi" w:cstheme="minorBidi"/>
            <w:noProof/>
            <w:sz w:val="22"/>
            <w:szCs w:val="22"/>
            <w:lang w:val="en-US"/>
          </w:rPr>
          <w:tab/>
        </w:r>
        <w:r w:rsidRPr="007E6E5D">
          <w:rPr>
            <w:rStyle w:val="Hyperlink"/>
            <w:noProof/>
          </w:rPr>
          <w:t>Provision of information</w:t>
        </w:r>
        <w:r>
          <w:rPr>
            <w:noProof/>
            <w:webHidden/>
          </w:rPr>
          <w:tab/>
        </w:r>
        <w:r>
          <w:rPr>
            <w:noProof/>
            <w:webHidden/>
          </w:rPr>
          <w:fldChar w:fldCharType="begin"/>
        </w:r>
        <w:r>
          <w:rPr>
            <w:noProof/>
            <w:webHidden/>
          </w:rPr>
          <w:instrText xml:space="preserve"> PAGEREF _Toc409790476 \h </w:instrText>
        </w:r>
        <w:r>
          <w:rPr>
            <w:noProof/>
            <w:webHidden/>
          </w:rPr>
        </w:r>
        <w:r>
          <w:rPr>
            <w:noProof/>
            <w:webHidden/>
          </w:rPr>
          <w:fldChar w:fldCharType="separate"/>
        </w:r>
        <w:r>
          <w:rPr>
            <w:noProof/>
            <w:webHidden/>
          </w:rPr>
          <w:t>12</w:t>
        </w:r>
        <w:r>
          <w:rPr>
            <w:noProof/>
            <w:webHidden/>
          </w:rPr>
          <w:fldChar w:fldCharType="end"/>
        </w:r>
      </w:hyperlink>
    </w:p>
    <w:p w14:paraId="6630278E" w14:textId="77777777" w:rsidR="008B433C" w:rsidRDefault="008B433C">
      <w:pPr>
        <w:pStyle w:val="TOC4"/>
        <w:rPr>
          <w:rFonts w:asciiTheme="minorHAnsi" w:eastAsiaTheme="minorEastAsia" w:hAnsiTheme="minorHAnsi" w:cstheme="minorBidi"/>
          <w:noProof/>
          <w:sz w:val="22"/>
          <w:szCs w:val="22"/>
          <w:lang w:val="en-US"/>
        </w:rPr>
      </w:pPr>
      <w:hyperlink w:anchor="_Toc409790477" w:history="1">
        <w:r w:rsidRPr="007E6E5D">
          <w:rPr>
            <w:rStyle w:val="Hyperlink"/>
            <w:noProof/>
          </w:rPr>
          <w:t>3.2.1</w:t>
        </w:r>
        <w:r>
          <w:rPr>
            <w:rFonts w:asciiTheme="minorHAnsi" w:eastAsiaTheme="minorEastAsia" w:hAnsiTheme="minorHAnsi" w:cstheme="minorBidi"/>
            <w:noProof/>
            <w:sz w:val="22"/>
            <w:szCs w:val="22"/>
            <w:lang w:val="en-US"/>
          </w:rPr>
          <w:tab/>
        </w:r>
        <w:r w:rsidRPr="007E6E5D">
          <w:rPr>
            <w:rStyle w:val="Hyperlink"/>
            <w:noProof/>
          </w:rPr>
          <w:t>General rules applicable to children involved in civil judicial proceedings regardless of their role</w:t>
        </w:r>
        <w:r>
          <w:rPr>
            <w:noProof/>
            <w:webHidden/>
          </w:rPr>
          <w:tab/>
        </w:r>
        <w:r>
          <w:rPr>
            <w:noProof/>
            <w:webHidden/>
          </w:rPr>
          <w:fldChar w:fldCharType="begin"/>
        </w:r>
        <w:r>
          <w:rPr>
            <w:noProof/>
            <w:webHidden/>
          </w:rPr>
          <w:instrText xml:space="preserve"> PAGEREF _Toc409790477 \h </w:instrText>
        </w:r>
        <w:r>
          <w:rPr>
            <w:noProof/>
            <w:webHidden/>
          </w:rPr>
        </w:r>
        <w:r>
          <w:rPr>
            <w:noProof/>
            <w:webHidden/>
          </w:rPr>
          <w:fldChar w:fldCharType="separate"/>
        </w:r>
        <w:r>
          <w:rPr>
            <w:noProof/>
            <w:webHidden/>
          </w:rPr>
          <w:t>12</w:t>
        </w:r>
        <w:r>
          <w:rPr>
            <w:noProof/>
            <w:webHidden/>
          </w:rPr>
          <w:fldChar w:fldCharType="end"/>
        </w:r>
      </w:hyperlink>
    </w:p>
    <w:p w14:paraId="606A53EB" w14:textId="77777777" w:rsidR="008B433C" w:rsidRDefault="008B433C">
      <w:pPr>
        <w:pStyle w:val="TOC3"/>
        <w:rPr>
          <w:rFonts w:asciiTheme="minorHAnsi" w:eastAsiaTheme="minorEastAsia" w:hAnsiTheme="minorHAnsi" w:cstheme="minorBidi"/>
          <w:noProof/>
          <w:sz w:val="22"/>
          <w:szCs w:val="22"/>
          <w:lang w:val="en-US"/>
        </w:rPr>
      </w:pPr>
      <w:hyperlink w:anchor="_Toc409790478" w:history="1">
        <w:r w:rsidRPr="007E6E5D">
          <w:rPr>
            <w:rStyle w:val="Hyperlink"/>
            <w:noProof/>
          </w:rPr>
          <w:t>3.3</w:t>
        </w:r>
        <w:r>
          <w:rPr>
            <w:rFonts w:asciiTheme="minorHAnsi" w:eastAsiaTheme="minorEastAsia" w:hAnsiTheme="minorHAnsi" w:cstheme="minorBidi"/>
            <w:noProof/>
            <w:sz w:val="22"/>
            <w:szCs w:val="22"/>
            <w:lang w:val="en-US"/>
          </w:rPr>
          <w:tab/>
        </w:r>
        <w:r w:rsidRPr="007E6E5D">
          <w:rPr>
            <w:rStyle w:val="Hyperlink"/>
            <w:noProof/>
          </w:rPr>
          <w:t>Protection of the child’s private and family life</w:t>
        </w:r>
        <w:r>
          <w:rPr>
            <w:noProof/>
            <w:webHidden/>
          </w:rPr>
          <w:tab/>
        </w:r>
        <w:r>
          <w:rPr>
            <w:noProof/>
            <w:webHidden/>
          </w:rPr>
          <w:fldChar w:fldCharType="begin"/>
        </w:r>
        <w:r>
          <w:rPr>
            <w:noProof/>
            <w:webHidden/>
          </w:rPr>
          <w:instrText xml:space="preserve"> PAGEREF _Toc409790478 \h </w:instrText>
        </w:r>
        <w:r>
          <w:rPr>
            <w:noProof/>
            <w:webHidden/>
          </w:rPr>
        </w:r>
        <w:r>
          <w:rPr>
            <w:noProof/>
            <w:webHidden/>
          </w:rPr>
          <w:fldChar w:fldCharType="separate"/>
        </w:r>
        <w:r>
          <w:rPr>
            <w:noProof/>
            <w:webHidden/>
          </w:rPr>
          <w:t>15</w:t>
        </w:r>
        <w:r>
          <w:rPr>
            <w:noProof/>
            <w:webHidden/>
          </w:rPr>
          <w:fldChar w:fldCharType="end"/>
        </w:r>
      </w:hyperlink>
    </w:p>
    <w:p w14:paraId="6A223656" w14:textId="77777777" w:rsidR="008B433C" w:rsidRDefault="008B433C">
      <w:pPr>
        <w:pStyle w:val="TOC6"/>
        <w:tabs>
          <w:tab w:val="right" w:leader="dot" w:pos="9061"/>
        </w:tabs>
        <w:rPr>
          <w:rFonts w:asciiTheme="minorHAnsi" w:eastAsiaTheme="minorEastAsia" w:hAnsiTheme="minorHAnsi" w:cstheme="minorBidi"/>
          <w:noProof/>
          <w:sz w:val="22"/>
          <w:szCs w:val="22"/>
          <w:lang w:val="en-US"/>
        </w:rPr>
      </w:pPr>
      <w:hyperlink w:anchor="_Toc409790479" w:history="1">
        <w:r w:rsidRPr="007E6E5D">
          <w:rPr>
            <w:rStyle w:val="Hyperlink"/>
            <w:noProof/>
          </w:rPr>
          <w:t>Protection of the personal data and privacy of children</w:t>
        </w:r>
        <w:r>
          <w:rPr>
            <w:noProof/>
            <w:webHidden/>
          </w:rPr>
          <w:tab/>
        </w:r>
        <w:r>
          <w:rPr>
            <w:noProof/>
            <w:webHidden/>
          </w:rPr>
          <w:fldChar w:fldCharType="begin"/>
        </w:r>
        <w:r>
          <w:rPr>
            <w:noProof/>
            <w:webHidden/>
          </w:rPr>
          <w:instrText xml:space="preserve"> PAGEREF _Toc409790479 \h </w:instrText>
        </w:r>
        <w:r>
          <w:rPr>
            <w:noProof/>
            <w:webHidden/>
          </w:rPr>
        </w:r>
        <w:r>
          <w:rPr>
            <w:noProof/>
            <w:webHidden/>
          </w:rPr>
          <w:fldChar w:fldCharType="separate"/>
        </w:r>
        <w:r>
          <w:rPr>
            <w:noProof/>
            <w:webHidden/>
          </w:rPr>
          <w:t>15</w:t>
        </w:r>
        <w:r>
          <w:rPr>
            <w:noProof/>
            <w:webHidden/>
          </w:rPr>
          <w:fldChar w:fldCharType="end"/>
        </w:r>
      </w:hyperlink>
    </w:p>
    <w:p w14:paraId="3D8B6486" w14:textId="77777777" w:rsidR="008B433C" w:rsidRDefault="008B433C">
      <w:pPr>
        <w:pStyle w:val="TOC6"/>
        <w:tabs>
          <w:tab w:val="right" w:leader="dot" w:pos="9061"/>
        </w:tabs>
        <w:rPr>
          <w:rFonts w:asciiTheme="minorHAnsi" w:eastAsiaTheme="minorEastAsia" w:hAnsiTheme="minorHAnsi" w:cstheme="minorBidi"/>
          <w:noProof/>
          <w:sz w:val="22"/>
          <w:szCs w:val="22"/>
          <w:lang w:val="en-US"/>
        </w:rPr>
      </w:pPr>
      <w:hyperlink w:anchor="_Toc409790480" w:history="1">
        <w:r w:rsidRPr="007E6E5D">
          <w:rPr>
            <w:rStyle w:val="Hyperlink"/>
            <w:noProof/>
          </w:rPr>
          <w:t>Protection of personal data in judicial proceedings</w:t>
        </w:r>
        <w:r>
          <w:rPr>
            <w:noProof/>
            <w:webHidden/>
          </w:rPr>
          <w:tab/>
        </w:r>
        <w:r>
          <w:rPr>
            <w:noProof/>
            <w:webHidden/>
          </w:rPr>
          <w:fldChar w:fldCharType="begin"/>
        </w:r>
        <w:r>
          <w:rPr>
            <w:noProof/>
            <w:webHidden/>
          </w:rPr>
          <w:instrText xml:space="preserve"> PAGEREF _Toc409790480 \h </w:instrText>
        </w:r>
        <w:r>
          <w:rPr>
            <w:noProof/>
            <w:webHidden/>
          </w:rPr>
        </w:r>
        <w:r>
          <w:rPr>
            <w:noProof/>
            <w:webHidden/>
          </w:rPr>
          <w:fldChar w:fldCharType="separate"/>
        </w:r>
        <w:r>
          <w:rPr>
            <w:noProof/>
            <w:webHidden/>
          </w:rPr>
          <w:t>15</w:t>
        </w:r>
        <w:r>
          <w:rPr>
            <w:noProof/>
            <w:webHidden/>
          </w:rPr>
          <w:fldChar w:fldCharType="end"/>
        </w:r>
      </w:hyperlink>
    </w:p>
    <w:p w14:paraId="279C3602" w14:textId="77777777" w:rsidR="008B433C" w:rsidRDefault="008B433C">
      <w:pPr>
        <w:pStyle w:val="TOC6"/>
        <w:tabs>
          <w:tab w:val="right" w:leader="dot" w:pos="9061"/>
        </w:tabs>
        <w:rPr>
          <w:rFonts w:asciiTheme="minorHAnsi" w:eastAsiaTheme="minorEastAsia" w:hAnsiTheme="minorHAnsi" w:cstheme="minorBidi"/>
          <w:noProof/>
          <w:sz w:val="22"/>
          <w:szCs w:val="22"/>
          <w:lang w:val="en-US"/>
        </w:rPr>
      </w:pPr>
      <w:hyperlink w:anchor="_Toc409790481" w:history="1">
        <w:r w:rsidRPr="007E6E5D">
          <w:rPr>
            <w:rStyle w:val="Hyperlink"/>
            <w:noProof/>
          </w:rPr>
          <w:t>Protection of privacy in judicial proceedings</w:t>
        </w:r>
        <w:r>
          <w:rPr>
            <w:noProof/>
            <w:webHidden/>
          </w:rPr>
          <w:tab/>
        </w:r>
        <w:r>
          <w:rPr>
            <w:noProof/>
            <w:webHidden/>
          </w:rPr>
          <w:fldChar w:fldCharType="begin"/>
        </w:r>
        <w:r>
          <w:rPr>
            <w:noProof/>
            <w:webHidden/>
          </w:rPr>
          <w:instrText xml:space="preserve"> PAGEREF _Toc409790481 \h </w:instrText>
        </w:r>
        <w:r>
          <w:rPr>
            <w:noProof/>
            <w:webHidden/>
          </w:rPr>
        </w:r>
        <w:r>
          <w:rPr>
            <w:noProof/>
            <w:webHidden/>
          </w:rPr>
          <w:fldChar w:fldCharType="separate"/>
        </w:r>
        <w:r>
          <w:rPr>
            <w:noProof/>
            <w:webHidden/>
          </w:rPr>
          <w:t>16</w:t>
        </w:r>
        <w:r>
          <w:rPr>
            <w:noProof/>
            <w:webHidden/>
          </w:rPr>
          <w:fldChar w:fldCharType="end"/>
        </w:r>
      </w:hyperlink>
    </w:p>
    <w:p w14:paraId="2ED0AF96" w14:textId="77777777" w:rsidR="008B433C" w:rsidRDefault="008B433C">
      <w:pPr>
        <w:pStyle w:val="TOC6"/>
        <w:tabs>
          <w:tab w:val="right" w:leader="dot" w:pos="9061"/>
        </w:tabs>
        <w:rPr>
          <w:rFonts w:asciiTheme="minorHAnsi" w:eastAsiaTheme="minorEastAsia" w:hAnsiTheme="minorHAnsi" w:cstheme="minorBidi"/>
          <w:noProof/>
          <w:sz w:val="22"/>
          <w:szCs w:val="22"/>
          <w:lang w:val="en-US"/>
        </w:rPr>
      </w:pPr>
      <w:hyperlink w:anchor="_Toc409790482" w:history="1">
        <w:r w:rsidRPr="007E6E5D">
          <w:rPr>
            <w:rStyle w:val="Hyperlink"/>
            <w:noProof/>
          </w:rPr>
          <w:t>Protection of privacy by the media</w:t>
        </w:r>
        <w:r>
          <w:rPr>
            <w:noProof/>
            <w:webHidden/>
          </w:rPr>
          <w:tab/>
        </w:r>
        <w:r>
          <w:rPr>
            <w:noProof/>
            <w:webHidden/>
          </w:rPr>
          <w:fldChar w:fldCharType="begin"/>
        </w:r>
        <w:r>
          <w:rPr>
            <w:noProof/>
            <w:webHidden/>
          </w:rPr>
          <w:instrText xml:space="preserve"> PAGEREF _Toc409790482 \h </w:instrText>
        </w:r>
        <w:r>
          <w:rPr>
            <w:noProof/>
            <w:webHidden/>
          </w:rPr>
        </w:r>
        <w:r>
          <w:rPr>
            <w:noProof/>
            <w:webHidden/>
          </w:rPr>
          <w:fldChar w:fldCharType="separate"/>
        </w:r>
        <w:r>
          <w:rPr>
            <w:noProof/>
            <w:webHidden/>
          </w:rPr>
          <w:t>16</w:t>
        </w:r>
        <w:r>
          <w:rPr>
            <w:noProof/>
            <w:webHidden/>
          </w:rPr>
          <w:fldChar w:fldCharType="end"/>
        </w:r>
      </w:hyperlink>
    </w:p>
    <w:p w14:paraId="16ECE490" w14:textId="77777777" w:rsidR="008B433C" w:rsidRDefault="008B433C">
      <w:pPr>
        <w:pStyle w:val="TOC6"/>
        <w:tabs>
          <w:tab w:val="right" w:leader="dot" w:pos="9061"/>
        </w:tabs>
        <w:rPr>
          <w:rFonts w:asciiTheme="minorHAnsi" w:eastAsiaTheme="minorEastAsia" w:hAnsiTheme="minorHAnsi" w:cstheme="minorBidi"/>
          <w:noProof/>
          <w:sz w:val="22"/>
          <w:szCs w:val="22"/>
          <w:lang w:val="en-US"/>
        </w:rPr>
      </w:pPr>
      <w:hyperlink w:anchor="_Toc409790483" w:history="1">
        <w:r w:rsidRPr="007E6E5D">
          <w:rPr>
            <w:rStyle w:val="Hyperlink"/>
            <w:noProof/>
          </w:rPr>
          <w:t>Confidentiality rules applicable to professionals involved in civil judicial proceedings</w:t>
        </w:r>
        <w:r>
          <w:rPr>
            <w:noProof/>
            <w:webHidden/>
          </w:rPr>
          <w:tab/>
        </w:r>
        <w:r>
          <w:rPr>
            <w:noProof/>
            <w:webHidden/>
          </w:rPr>
          <w:fldChar w:fldCharType="begin"/>
        </w:r>
        <w:r>
          <w:rPr>
            <w:noProof/>
            <w:webHidden/>
          </w:rPr>
          <w:instrText xml:space="preserve"> PAGEREF _Toc409790483 \h </w:instrText>
        </w:r>
        <w:r>
          <w:rPr>
            <w:noProof/>
            <w:webHidden/>
          </w:rPr>
        </w:r>
        <w:r>
          <w:rPr>
            <w:noProof/>
            <w:webHidden/>
          </w:rPr>
          <w:fldChar w:fldCharType="separate"/>
        </w:r>
        <w:r>
          <w:rPr>
            <w:noProof/>
            <w:webHidden/>
          </w:rPr>
          <w:t>17</w:t>
        </w:r>
        <w:r>
          <w:rPr>
            <w:noProof/>
            <w:webHidden/>
          </w:rPr>
          <w:fldChar w:fldCharType="end"/>
        </w:r>
      </w:hyperlink>
    </w:p>
    <w:p w14:paraId="19091E57" w14:textId="77777777" w:rsidR="008B433C" w:rsidRDefault="008B433C">
      <w:pPr>
        <w:pStyle w:val="TOC6"/>
        <w:tabs>
          <w:tab w:val="right" w:leader="dot" w:pos="9061"/>
        </w:tabs>
        <w:rPr>
          <w:rFonts w:asciiTheme="minorHAnsi" w:eastAsiaTheme="minorEastAsia" w:hAnsiTheme="minorHAnsi" w:cstheme="minorBidi"/>
          <w:noProof/>
          <w:sz w:val="22"/>
          <w:szCs w:val="22"/>
          <w:lang w:val="en-US"/>
        </w:rPr>
      </w:pPr>
      <w:hyperlink w:anchor="_Toc409790484" w:history="1">
        <w:r w:rsidRPr="007E6E5D">
          <w:rPr>
            <w:rStyle w:val="Hyperlink"/>
            <w:noProof/>
          </w:rPr>
          <w:t>Avoiding adverse effects on the child</w:t>
        </w:r>
        <w:r>
          <w:rPr>
            <w:noProof/>
            <w:webHidden/>
          </w:rPr>
          <w:tab/>
        </w:r>
        <w:r>
          <w:rPr>
            <w:noProof/>
            <w:webHidden/>
          </w:rPr>
          <w:fldChar w:fldCharType="begin"/>
        </w:r>
        <w:r>
          <w:rPr>
            <w:noProof/>
            <w:webHidden/>
          </w:rPr>
          <w:instrText xml:space="preserve"> PAGEREF _Toc409790484 \h </w:instrText>
        </w:r>
        <w:r>
          <w:rPr>
            <w:noProof/>
            <w:webHidden/>
          </w:rPr>
        </w:r>
        <w:r>
          <w:rPr>
            <w:noProof/>
            <w:webHidden/>
          </w:rPr>
          <w:fldChar w:fldCharType="separate"/>
        </w:r>
        <w:r>
          <w:rPr>
            <w:noProof/>
            <w:webHidden/>
          </w:rPr>
          <w:t>17</w:t>
        </w:r>
        <w:r>
          <w:rPr>
            <w:noProof/>
            <w:webHidden/>
          </w:rPr>
          <w:fldChar w:fldCharType="end"/>
        </w:r>
      </w:hyperlink>
    </w:p>
    <w:p w14:paraId="0DDDA1A9" w14:textId="77777777" w:rsidR="008B433C" w:rsidRDefault="008B433C">
      <w:pPr>
        <w:pStyle w:val="TOC3"/>
        <w:rPr>
          <w:rFonts w:asciiTheme="minorHAnsi" w:eastAsiaTheme="minorEastAsia" w:hAnsiTheme="minorHAnsi" w:cstheme="minorBidi"/>
          <w:noProof/>
          <w:sz w:val="22"/>
          <w:szCs w:val="22"/>
          <w:lang w:val="en-US"/>
        </w:rPr>
      </w:pPr>
      <w:hyperlink w:anchor="_Toc409790485" w:history="1">
        <w:r w:rsidRPr="007E6E5D">
          <w:rPr>
            <w:rStyle w:val="Hyperlink"/>
            <w:noProof/>
          </w:rPr>
          <w:t>3.4</w:t>
        </w:r>
        <w:r>
          <w:rPr>
            <w:rFonts w:asciiTheme="minorHAnsi" w:eastAsiaTheme="minorEastAsia" w:hAnsiTheme="minorHAnsi" w:cstheme="minorBidi"/>
            <w:noProof/>
            <w:sz w:val="22"/>
            <w:szCs w:val="22"/>
            <w:lang w:val="en-US"/>
          </w:rPr>
          <w:tab/>
        </w:r>
        <w:r w:rsidRPr="007E6E5D">
          <w:rPr>
            <w:rStyle w:val="Hyperlink"/>
            <w:noProof/>
          </w:rPr>
          <w:t>Protection from harm and ensuring a child-friendly process</w:t>
        </w:r>
        <w:r>
          <w:rPr>
            <w:noProof/>
            <w:webHidden/>
          </w:rPr>
          <w:tab/>
        </w:r>
        <w:r>
          <w:rPr>
            <w:noProof/>
            <w:webHidden/>
          </w:rPr>
          <w:fldChar w:fldCharType="begin"/>
        </w:r>
        <w:r>
          <w:rPr>
            <w:noProof/>
            <w:webHidden/>
          </w:rPr>
          <w:instrText xml:space="preserve"> PAGEREF _Toc409790485 \h </w:instrText>
        </w:r>
        <w:r>
          <w:rPr>
            <w:noProof/>
            <w:webHidden/>
          </w:rPr>
        </w:r>
        <w:r>
          <w:rPr>
            <w:noProof/>
            <w:webHidden/>
          </w:rPr>
          <w:fldChar w:fldCharType="separate"/>
        </w:r>
        <w:r>
          <w:rPr>
            <w:noProof/>
            <w:webHidden/>
          </w:rPr>
          <w:t>18</w:t>
        </w:r>
        <w:r>
          <w:rPr>
            <w:noProof/>
            <w:webHidden/>
          </w:rPr>
          <w:fldChar w:fldCharType="end"/>
        </w:r>
      </w:hyperlink>
    </w:p>
    <w:p w14:paraId="0A8F90C3" w14:textId="77777777" w:rsidR="008B433C" w:rsidRDefault="008B433C">
      <w:pPr>
        <w:pStyle w:val="TOC4"/>
        <w:rPr>
          <w:rFonts w:asciiTheme="minorHAnsi" w:eastAsiaTheme="minorEastAsia" w:hAnsiTheme="minorHAnsi" w:cstheme="minorBidi"/>
          <w:noProof/>
          <w:sz w:val="22"/>
          <w:szCs w:val="22"/>
          <w:lang w:val="en-US"/>
        </w:rPr>
      </w:pPr>
      <w:hyperlink w:anchor="_Toc409790486" w:history="1">
        <w:r w:rsidRPr="007E6E5D">
          <w:rPr>
            <w:rStyle w:val="Hyperlink"/>
            <w:noProof/>
          </w:rPr>
          <w:t>3.4.1</w:t>
        </w:r>
        <w:r>
          <w:rPr>
            <w:rFonts w:asciiTheme="minorHAnsi" w:eastAsiaTheme="minorEastAsia" w:hAnsiTheme="minorHAnsi" w:cstheme="minorBidi"/>
            <w:noProof/>
            <w:sz w:val="22"/>
            <w:szCs w:val="22"/>
            <w:lang w:val="en-US"/>
          </w:rPr>
          <w:tab/>
        </w:r>
        <w:r w:rsidRPr="007E6E5D">
          <w:rPr>
            <w:rStyle w:val="Hyperlink"/>
            <w:noProof/>
          </w:rPr>
          <w:t>General rules applicable to children involved in civil judicial proceedings regardless of their role</w:t>
        </w:r>
        <w:r>
          <w:rPr>
            <w:noProof/>
            <w:webHidden/>
          </w:rPr>
          <w:tab/>
        </w:r>
        <w:r>
          <w:rPr>
            <w:noProof/>
            <w:webHidden/>
          </w:rPr>
          <w:fldChar w:fldCharType="begin"/>
        </w:r>
        <w:r>
          <w:rPr>
            <w:noProof/>
            <w:webHidden/>
          </w:rPr>
          <w:instrText xml:space="preserve"> PAGEREF _Toc409790486 \h </w:instrText>
        </w:r>
        <w:r>
          <w:rPr>
            <w:noProof/>
            <w:webHidden/>
          </w:rPr>
        </w:r>
        <w:r>
          <w:rPr>
            <w:noProof/>
            <w:webHidden/>
          </w:rPr>
          <w:fldChar w:fldCharType="separate"/>
        </w:r>
        <w:r>
          <w:rPr>
            <w:noProof/>
            <w:webHidden/>
          </w:rPr>
          <w:t>18</w:t>
        </w:r>
        <w:r>
          <w:rPr>
            <w:noProof/>
            <w:webHidden/>
          </w:rPr>
          <w:fldChar w:fldCharType="end"/>
        </w:r>
      </w:hyperlink>
    </w:p>
    <w:p w14:paraId="40B13D71" w14:textId="77777777" w:rsidR="008B433C" w:rsidRDefault="008B433C">
      <w:pPr>
        <w:pStyle w:val="TOC6"/>
        <w:tabs>
          <w:tab w:val="right" w:leader="dot" w:pos="9061"/>
        </w:tabs>
        <w:rPr>
          <w:rFonts w:asciiTheme="minorHAnsi" w:eastAsiaTheme="minorEastAsia" w:hAnsiTheme="minorHAnsi" w:cstheme="minorBidi"/>
          <w:noProof/>
          <w:sz w:val="22"/>
          <w:szCs w:val="22"/>
          <w:lang w:val="en-US"/>
        </w:rPr>
      </w:pPr>
      <w:hyperlink w:anchor="_Toc409790487" w:history="1">
        <w:r w:rsidRPr="007E6E5D">
          <w:rPr>
            <w:rStyle w:val="Hyperlink"/>
            <w:noProof/>
          </w:rPr>
          <w:t>Avoiding undue delays and provisional or preliminary decisions</w:t>
        </w:r>
        <w:r>
          <w:rPr>
            <w:noProof/>
            <w:webHidden/>
          </w:rPr>
          <w:tab/>
        </w:r>
        <w:r>
          <w:rPr>
            <w:noProof/>
            <w:webHidden/>
          </w:rPr>
          <w:fldChar w:fldCharType="begin"/>
        </w:r>
        <w:r>
          <w:rPr>
            <w:noProof/>
            <w:webHidden/>
          </w:rPr>
          <w:instrText xml:space="preserve"> PAGEREF _Toc409790487 \h </w:instrText>
        </w:r>
        <w:r>
          <w:rPr>
            <w:noProof/>
            <w:webHidden/>
          </w:rPr>
        </w:r>
        <w:r>
          <w:rPr>
            <w:noProof/>
            <w:webHidden/>
          </w:rPr>
          <w:fldChar w:fldCharType="separate"/>
        </w:r>
        <w:r>
          <w:rPr>
            <w:noProof/>
            <w:webHidden/>
          </w:rPr>
          <w:t>18</w:t>
        </w:r>
        <w:r>
          <w:rPr>
            <w:noProof/>
            <w:webHidden/>
          </w:rPr>
          <w:fldChar w:fldCharType="end"/>
        </w:r>
      </w:hyperlink>
    </w:p>
    <w:p w14:paraId="6A8EDF28" w14:textId="77777777" w:rsidR="008B433C" w:rsidRDefault="008B433C">
      <w:pPr>
        <w:pStyle w:val="TOC6"/>
        <w:tabs>
          <w:tab w:val="right" w:leader="dot" w:pos="9061"/>
        </w:tabs>
        <w:rPr>
          <w:rFonts w:asciiTheme="minorHAnsi" w:eastAsiaTheme="minorEastAsia" w:hAnsiTheme="minorHAnsi" w:cstheme="minorBidi"/>
          <w:noProof/>
          <w:sz w:val="22"/>
          <w:szCs w:val="22"/>
          <w:lang w:val="en-US"/>
        </w:rPr>
      </w:pPr>
      <w:hyperlink w:anchor="_Toc409790488" w:history="1">
        <w:r w:rsidRPr="007E6E5D">
          <w:rPr>
            <w:rStyle w:val="Hyperlink"/>
            <w:noProof/>
          </w:rPr>
          <w:t>Child-friendly environment</w:t>
        </w:r>
        <w:r>
          <w:rPr>
            <w:noProof/>
            <w:webHidden/>
          </w:rPr>
          <w:tab/>
        </w:r>
        <w:r>
          <w:rPr>
            <w:noProof/>
            <w:webHidden/>
          </w:rPr>
          <w:fldChar w:fldCharType="begin"/>
        </w:r>
        <w:r>
          <w:rPr>
            <w:noProof/>
            <w:webHidden/>
          </w:rPr>
          <w:instrText xml:space="preserve"> PAGEREF _Toc409790488 \h </w:instrText>
        </w:r>
        <w:r>
          <w:rPr>
            <w:noProof/>
            <w:webHidden/>
          </w:rPr>
        </w:r>
        <w:r>
          <w:rPr>
            <w:noProof/>
            <w:webHidden/>
          </w:rPr>
          <w:fldChar w:fldCharType="separate"/>
        </w:r>
        <w:r>
          <w:rPr>
            <w:noProof/>
            <w:webHidden/>
          </w:rPr>
          <w:t>18</w:t>
        </w:r>
        <w:r>
          <w:rPr>
            <w:noProof/>
            <w:webHidden/>
          </w:rPr>
          <w:fldChar w:fldCharType="end"/>
        </w:r>
      </w:hyperlink>
    </w:p>
    <w:p w14:paraId="0613E9D6" w14:textId="77777777" w:rsidR="008B433C" w:rsidRDefault="008B433C">
      <w:pPr>
        <w:pStyle w:val="TOC6"/>
        <w:tabs>
          <w:tab w:val="right" w:leader="dot" w:pos="9061"/>
        </w:tabs>
        <w:rPr>
          <w:rFonts w:asciiTheme="minorHAnsi" w:eastAsiaTheme="minorEastAsia" w:hAnsiTheme="minorHAnsi" w:cstheme="minorBidi"/>
          <w:noProof/>
          <w:sz w:val="22"/>
          <w:szCs w:val="22"/>
          <w:lang w:val="en-US"/>
        </w:rPr>
      </w:pPr>
      <w:hyperlink w:anchor="_Toc409790489" w:history="1">
        <w:r w:rsidRPr="007E6E5D">
          <w:rPr>
            <w:rStyle w:val="Hyperlink"/>
            <w:noProof/>
          </w:rPr>
          <w:t>Protecting a child from harm and holding of the procedure in camera</w:t>
        </w:r>
        <w:r>
          <w:rPr>
            <w:noProof/>
            <w:webHidden/>
          </w:rPr>
          <w:tab/>
        </w:r>
        <w:r>
          <w:rPr>
            <w:noProof/>
            <w:webHidden/>
          </w:rPr>
          <w:fldChar w:fldCharType="begin"/>
        </w:r>
        <w:r>
          <w:rPr>
            <w:noProof/>
            <w:webHidden/>
          </w:rPr>
          <w:instrText xml:space="preserve"> PAGEREF _Toc409790489 \h </w:instrText>
        </w:r>
        <w:r>
          <w:rPr>
            <w:noProof/>
            <w:webHidden/>
          </w:rPr>
        </w:r>
        <w:r>
          <w:rPr>
            <w:noProof/>
            <w:webHidden/>
          </w:rPr>
          <w:fldChar w:fldCharType="separate"/>
        </w:r>
        <w:r>
          <w:rPr>
            <w:noProof/>
            <w:webHidden/>
          </w:rPr>
          <w:t>19</w:t>
        </w:r>
        <w:r>
          <w:rPr>
            <w:noProof/>
            <w:webHidden/>
          </w:rPr>
          <w:fldChar w:fldCharType="end"/>
        </w:r>
      </w:hyperlink>
    </w:p>
    <w:p w14:paraId="44FE6439" w14:textId="77777777" w:rsidR="008B433C" w:rsidRDefault="008B433C">
      <w:pPr>
        <w:pStyle w:val="TOC6"/>
        <w:tabs>
          <w:tab w:val="right" w:leader="dot" w:pos="9061"/>
        </w:tabs>
        <w:rPr>
          <w:rFonts w:asciiTheme="minorHAnsi" w:eastAsiaTheme="minorEastAsia" w:hAnsiTheme="minorHAnsi" w:cstheme="minorBidi"/>
          <w:noProof/>
          <w:sz w:val="22"/>
          <w:szCs w:val="22"/>
          <w:lang w:val="en-US"/>
        </w:rPr>
      </w:pPr>
      <w:hyperlink w:anchor="_Toc409790490" w:history="1">
        <w:r w:rsidRPr="007E6E5D">
          <w:rPr>
            <w:rStyle w:val="Hyperlink"/>
            <w:noProof/>
          </w:rPr>
          <w:t>Adjusting the procedure to the child’s pace and attention span</w:t>
        </w:r>
        <w:r>
          <w:rPr>
            <w:noProof/>
            <w:webHidden/>
          </w:rPr>
          <w:tab/>
        </w:r>
        <w:r>
          <w:rPr>
            <w:noProof/>
            <w:webHidden/>
          </w:rPr>
          <w:fldChar w:fldCharType="begin"/>
        </w:r>
        <w:r>
          <w:rPr>
            <w:noProof/>
            <w:webHidden/>
          </w:rPr>
          <w:instrText xml:space="preserve"> PAGEREF _Toc409790490 \h </w:instrText>
        </w:r>
        <w:r>
          <w:rPr>
            <w:noProof/>
            <w:webHidden/>
          </w:rPr>
        </w:r>
        <w:r>
          <w:rPr>
            <w:noProof/>
            <w:webHidden/>
          </w:rPr>
          <w:fldChar w:fldCharType="separate"/>
        </w:r>
        <w:r>
          <w:rPr>
            <w:noProof/>
            <w:webHidden/>
          </w:rPr>
          <w:t>19</w:t>
        </w:r>
        <w:r>
          <w:rPr>
            <w:noProof/>
            <w:webHidden/>
          </w:rPr>
          <w:fldChar w:fldCharType="end"/>
        </w:r>
      </w:hyperlink>
    </w:p>
    <w:p w14:paraId="6E57C25C" w14:textId="77777777" w:rsidR="008B433C" w:rsidRDefault="008B433C">
      <w:pPr>
        <w:pStyle w:val="TOC6"/>
        <w:tabs>
          <w:tab w:val="right" w:leader="dot" w:pos="9061"/>
        </w:tabs>
        <w:rPr>
          <w:rFonts w:asciiTheme="minorHAnsi" w:eastAsiaTheme="minorEastAsia" w:hAnsiTheme="minorHAnsi" w:cstheme="minorBidi"/>
          <w:noProof/>
          <w:sz w:val="22"/>
          <w:szCs w:val="22"/>
          <w:lang w:val="en-US"/>
        </w:rPr>
      </w:pPr>
      <w:hyperlink w:anchor="_Toc409790491" w:history="1">
        <w:r w:rsidRPr="007E6E5D">
          <w:rPr>
            <w:rStyle w:val="Hyperlink"/>
            <w:noProof/>
          </w:rPr>
          <w:t>Temporary measures for the protection of the child from harm</w:t>
        </w:r>
        <w:r>
          <w:rPr>
            <w:noProof/>
            <w:webHidden/>
          </w:rPr>
          <w:tab/>
        </w:r>
        <w:r>
          <w:rPr>
            <w:noProof/>
            <w:webHidden/>
          </w:rPr>
          <w:fldChar w:fldCharType="begin"/>
        </w:r>
        <w:r>
          <w:rPr>
            <w:noProof/>
            <w:webHidden/>
          </w:rPr>
          <w:instrText xml:space="preserve"> PAGEREF _Toc409790491 \h </w:instrText>
        </w:r>
        <w:r>
          <w:rPr>
            <w:noProof/>
            <w:webHidden/>
          </w:rPr>
        </w:r>
        <w:r>
          <w:rPr>
            <w:noProof/>
            <w:webHidden/>
          </w:rPr>
          <w:fldChar w:fldCharType="separate"/>
        </w:r>
        <w:r>
          <w:rPr>
            <w:noProof/>
            <w:webHidden/>
          </w:rPr>
          <w:t>19</w:t>
        </w:r>
        <w:r>
          <w:rPr>
            <w:noProof/>
            <w:webHidden/>
          </w:rPr>
          <w:fldChar w:fldCharType="end"/>
        </w:r>
      </w:hyperlink>
    </w:p>
    <w:p w14:paraId="37C83397" w14:textId="77777777" w:rsidR="008B433C" w:rsidRDefault="008B433C">
      <w:pPr>
        <w:pStyle w:val="TOC3"/>
        <w:rPr>
          <w:rFonts w:asciiTheme="minorHAnsi" w:eastAsiaTheme="minorEastAsia" w:hAnsiTheme="minorHAnsi" w:cstheme="minorBidi"/>
          <w:noProof/>
          <w:sz w:val="22"/>
          <w:szCs w:val="22"/>
          <w:lang w:val="en-US"/>
        </w:rPr>
      </w:pPr>
      <w:hyperlink w:anchor="_Toc409790492" w:history="1">
        <w:r w:rsidRPr="007E6E5D">
          <w:rPr>
            <w:rStyle w:val="Hyperlink"/>
            <w:noProof/>
          </w:rPr>
          <w:t>3.5</w:t>
        </w:r>
        <w:r>
          <w:rPr>
            <w:rFonts w:asciiTheme="minorHAnsi" w:eastAsiaTheme="minorEastAsia" w:hAnsiTheme="minorHAnsi" w:cstheme="minorBidi"/>
            <w:noProof/>
            <w:sz w:val="22"/>
            <w:szCs w:val="22"/>
            <w:lang w:val="en-US"/>
          </w:rPr>
          <w:tab/>
        </w:r>
        <w:r w:rsidRPr="007E6E5D">
          <w:rPr>
            <w:rStyle w:val="Hyperlink"/>
            <w:noProof/>
          </w:rPr>
          <w:t>Protecting the child during interviews and when giving testimony</w:t>
        </w:r>
        <w:r>
          <w:rPr>
            <w:noProof/>
            <w:webHidden/>
          </w:rPr>
          <w:tab/>
        </w:r>
        <w:r>
          <w:rPr>
            <w:noProof/>
            <w:webHidden/>
          </w:rPr>
          <w:fldChar w:fldCharType="begin"/>
        </w:r>
        <w:r>
          <w:rPr>
            <w:noProof/>
            <w:webHidden/>
          </w:rPr>
          <w:instrText xml:space="preserve"> PAGEREF _Toc409790492 \h </w:instrText>
        </w:r>
        <w:r>
          <w:rPr>
            <w:noProof/>
            <w:webHidden/>
          </w:rPr>
        </w:r>
        <w:r>
          <w:rPr>
            <w:noProof/>
            <w:webHidden/>
          </w:rPr>
          <w:fldChar w:fldCharType="separate"/>
        </w:r>
        <w:r>
          <w:rPr>
            <w:noProof/>
            <w:webHidden/>
          </w:rPr>
          <w:t>21</w:t>
        </w:r>
        <w:r>
          <w:rPr>
            <w:noProof/>
            <w:webHidden/>
          </w:rPr>
          <w:fldChar w:fldCharType="end"/>
        </w:r>
      </w:hyperlink>
    </w:p>
    <w:p w14:paraId="166FFE8D" w14:textId="77777777" w:rsidR="008B433C" w:rsidRDefault="008B433C">
      <w:pPr>
        <w:pStyle w:val="TOC4"/>
        <w:rPr>
          <w:rFonts w:asciiTheme="minorHAnsi" w:eastAsiaTheme="minorEastAsia" w:hAnsiTheme="minorHAnsi" w:cstheme="minorBidi"/>
          <w:noProof/>
          <w:sz w:val="22"/>
          <w:szCs w:val="22"/>
          <w:lang w:val="en-US"/>
        </w:rPr>
      </w:pPr>
      <w:hyperlink w:anchor="_Toc409790493" w:history="1">
        <w:r w:rsidRPr="007E6E5D">
          <w:rPr>
            <w:rStyle w:val="Hyperlink"/>
            <w:noProof/>
          </w:rPr>
          <w:t>3.5.1</w:t>
        </w:r>
        <w:r>
          <w:rPr>
            <w:rFonts w:asciiTheme="minorHAnsi" w:eastAsiaTheme="minorEastAsia" w:hAnsiTheme="minorHAnsi" w:cstheme="minorBidi"/>
            <w:noProof/>
            <w:sz w:val="22"/>
            <w:szCs w:val="22"/>
            <w:lang w:val="en-US"/>
          </w:rPr>
          <w:tab/>
        </w:r>
        <w:r w:rsidRPr="007E6E5D">
          <w:rPr>
            <w:rStyle w:val="Hyperlink"/>
            <w:noProof/>
          </w:rPr>
          <w:t>General rules applicable to children involved in civil judicial proceedings regardless of their role</w:t>
        </w:r>
        <w:r>
          <w:rPr>
            <w:noProof/>
            <w:webHidden/>
          </w:rPr>
          <w:tab/>
        </w:r>
        <w:r>
          <w:rPr>
            <w:noProof/>
            <w:webHidden/>
          </w:rPr>
          <w:fldChar w:fldCharType="begin"/>
        </w:r>
        <w:r>
          <w:rPr>
            <w:noProof/>
            <w:webHidden/>
          </w:rPr>
          <w:instrText xml:space="preserve"> PAGEREF _Toc409790493 \h </w:instrText>
        </w:r>
        <w:r>
          <w:rPr>
            <w:noProof/>
            <w:webHidden/>
          </w:rPr>
        </w:r>
        <w:r>
          <w:rPr>
            <w:noProof/>
            <w:webHidden/>
          </w:rPr>
          <w:fldChar w:fldCharType="separate"/>
        </w:r>
        <w:r>
          <w:rPr>
            <w:noProof/>
            <w:webHidden/>
          </w:rPr>
          <w:t>21</w:t>
        </w:r>
        <w:r>
          <w:rPr>
            <w:noProof/>
            <w:webHidden/>
          </w:rPr>
          <w:fldChar w:fldCharType="end"/>
        </w:r>
      </w:hyperlink>
    </w:p>
    <w:p w14:paraId="618520C4" w14:textId="77777777" w:rsidR="008B433C" w:rsidRDefault="008B433C">
      <w:pPr>
        <w:pStyle w:val="TOC6"/>
        <w:tabs>
          <w:tab w:val="right" w:leader="dot" w:pos="9061"/>
        </w:tabs>
        <w:rPr>
          <w:rFonts w:asciiTheme="minorHAnsi" w:eastAsiaTheme="minorEastAsia" w:hAnsiTheme="minorHAnsi" w:cstheme="minorBidi"/>
          <w:noProof/>
          <w:sz w:val="22"/>
          <w:szCs w:val="22"/>
          <w:lang w:val="en-US"/>
        </w:rPr>
      </w:pPr>
      <w:hyperlink w:anchor="_Toc409790494" w:history="1">
        <w:r w:rsidRPr="007E6E5D">
          <w:rPr>
            <w:rStyle w:val="Hyperlink"/>
            <w:noProof/>
          </w:rPr>
          <w:t>Judge’s power and admissibility as evidence</w:t>
        </w:r>
        <w:r>
          <w:rPr>
            <w:noProof/>
            <w:webHidden/>
          </w:rPr>
          <w:tab/>
        </w:r>
        <w:r>
          <w:rPr>
            <w:noProof/>
            <w:webHidden/>
          </w:rPr>
          <w:fldChar w:fldCharType="begin"/>
        </w:r>
        <w:r>
          <w:rPr>
            <w:noProof/>
            <w:webHidden/>
          </w:rPr>
          <w:instrText xml:space="preserve"> PAGEREF _Toc409790494 \h </w:instrText>
        </w:r>
        <w:r>
          <w:rPr>
            <w:noProof/>
            <w:webHidden/>
          </w:rPr>
        </w:r>
        <w:r>
          <w:rPr>
            <w:noProof/>
            <w:webHidden/>
          </w:rPr>
          <w:fldChar w:fldCharType="separate"/>
        </w:r>
        <w:r>
          <w:rPr>
            <w:noProof/>
            <w:webHidden/>
          </w:rPr>
          <w:t>21</w:t>
        </w:r>
        <w:r>
          <w:rPr>
            <w:noProof/>
            <w:webHidden/>
          </w:rPr>
          <w:fldChar w:fldCharType="end"/>
        </w:r>
      </w:hyperlink>
    </w:p>
    <w:p w14:paraId="4B46EC39" w14:textId="77777777" w:rsidR="008B433C" w:rsidRDefault="008B433C">
      <w:pPr>
        <w:pStyle w:val="TOC6"/>
        <w:tabs>
          <w:tab w:val="right" w:leader="dot" w:pos="9061"/>
        </w:tabs>
        <w:rPr>
          <w:rFonts w:asciiTheme="minorHAnsi" w:eastAsiaTheme="minorEastAsia" w:hAnsiTheme="minorHAnsi" w:cstheme="minorBidi"/>
          <w:noProof/>
          <w:sz w:val="22"/>
          <w:szCs w:val="22"/>
          <w:lang w:val="en-US"/>
        </w:rPr>
      </w:pPr>
      <w:hyperlink w:anchor="_Toc409790495" w:history="1">
        <w:r w:rsidRPr="007E6E5D">
          <w:rPr>
            <w:rStyle w:val="Hyperlink"/>
            <w:noProof/>
          </w:rPr>
          <w:t>Measures to assist and support the child to attend the interview</w:t>
        </w:r>
        <w:r>
          <w:rPr>
            <w:noProof/>
            <w:webHidden/>
          </w:rPr>
          <w:tab/>
        </w:r>
        <w:r>
          <w:rPr>
            <w:noProof/>
            <w:webHidden/>
          </w:rPr>
          <w:fldChar w:fldCharType="begin"/>
        </w:r>
        <w:r>
          <w:rPr>
            <w:noProof/>
            <w:webHidden/>
          </w:rPr>
          <w:instrText xml:space="preserve"> PAGEREF _Toc409790495 \h </w:instrText>
        </w:r>
        <w:r>
          <w:rPr>
            <w:noProof/>
            <w:webHidden/>
          </w:rPr>
        </w:r>
        <w:r>
          <w:rPr>
            <w:noProof/>
            <w:webHidden/>
          </w:rPr>
          <w:fldChar w:fldCharType="separate"/>
        </w:r>
        <w:r>
          <w:rPr>
            <w:noProof/>
            <w:webHidden/>
          </w:rPr>
          <w:t>22</w:t>
        </w:r>
        <w:r>
          <w:rPr>
            <w:noProof/>
            <w:webHidden/>
          </w:rPr>
          <w:fldChar w:fldCharType="end"/>
        </w:r>
      </w:hyperlink>
    </w:p>
    <w:p w14:paraId="7AE12B8F" w14:textId="77777777" w:rsidR="008B433C" w:rsidRDefault="008B433C">
      <w:pPr>
        <w:pStyle w:val="TOC6"/>
        <w:tabs>
          <w:tab w:val="right" w:leader="dot" w:pos="9061"/>
        </w:tabs>
        <w:rPr>
          <w:rFonts w:asciiTheme="minorHAnsi" w:eastAsiaTheme="minorEastAsia" w:hAnsiTheme="minorHAnsi" w:cstheme="minorBidi"/>
          <w:noProof/>
          <w:sz w:val="22"/>
          <w:szCs w:val="22"/>
          <w:lang w:val="en-US"/>
        </w:rPr>
      </w:pPr>
      <w:hyperlink w:anchor="_Toc409790496" w:history="1">
        <w:r w:rsidRPr="007E6E5D">
          <w:rPr>
            <w:rStyle w:val="Hyperlink"/>
            <w:noProof/>
          </w:rPr>
          <w:t>Limiting the numbers of interviews and adapting them to the child’s needs</w:t>
        </w:r>
        <w:r>
          <w:rPr>
            <w:noProof/>
            <w:webHidden/>
          </w:rPr>
          <w:tab/>
        </w:r>
        <w:r>
          <w:rPr>
            <w:noProof/>
            <w:webHidden/>
          </w:rPr>
          <w:fldChar w:fldCharType="begin"/>
        </w:r>
        <w:r>
          <w:rPr>
            <w:noProof/>
            <w:webHidden/>
          </w:rPr>
          <w:instrText xml:space="preserve"> PAGEREF _Toc409790496 \h </w:instrText>
        </w:r>
        <w:r>
          <w:rPr>
            <w:noProof/>
            <w:webHidden/>
          </w:rPr>
        </w:r>
        <w:r>
          <w:rPr>
            <w:noProof/>
            <w:webHidden/>
          </w:rPr>
          <w:fldChar w:fldCharType="separate"/>
        </w:r>
        <w:r>
          <w:rPr>
            <w:noProof/>
            <w:webHidden/>
          </w:rPr>
          <w:t>22</w:t>
        </w:r>
        <w:r>
          <w:rPr>
            <w:noProof/>
            <w:webHidden/>
          </w:rPr>
          <w:fldChar w:fldCharType="end"/>
        </w:r>
      </w:hyperlink>
    </w:p>
    <w:p w14:paraId="2B50F986" w14:textId="77777777" w:rsidR="008B433C" w:rsidRDefault="008B433C">
      <w:pPr>
        <w:pStyle w:val="TOC6"/>
        <w:tabs>
          <w:tab w:val="right" w:leader="dot" w:pos="9061"/>
        </w:tabs>
        <w:rPr>
          <w:rFonts w:asciiTheme="minorHAnsi" w:eastAsiaTheme="minorEastAsia" w:hAnsiTheme="minorHAnsi" w:cstheme="minorBidi"/>
          <w:noProof/>
          <w:sz w:val="22"/>
          <w:szCs w:val="22"/>
          <w:lang w:val="en-US"/>
        </w:rPr>
      </w:pPr>
      <w:hyperlink w:anchor="_Toc409790497" w:history="1">
        <w:r w:rsidRPr="007E6E5D">
          <w:rPr>
            <w:rStyle w:val="Hyperlink"/>
            <w:noProof/>
          </w:rPr>
          <w:t>Divorce proceedings</w:t>
        </w:r>
        <w:r>
          <w:rPr>
            <w:noProof/>
            <w:webHidden/>
          </w:rPr>
          <w:tab/>
        </w:r>
        <w:r>
          <w:rPr>
            <w:noProof/>
            <w:webHidden/>
          </w:rPr>
          <w:fldChar w:fldCharType="begin"/>
        </w:r>
        <w:r>
          <w:rPr>
            <w:noProof/>
            <w:webHidden/>
          </w:rPr>
          <w:instrText xml:space="preserve"> PAGEREF _Toc409790497 \h </w:instrText>
        </w:r>
        <w:r>
          <w:rPr>
            <w:noProof/>
            <w:webHidden/>
          </w:rPr>
        </w:r>
        <w:r>
          <w:rPr>
            <w:noProof/>
            <w:webHidden/>
          </w:rPr>
          <w:fldChar w:fldCharType="separate"/>
        </w:r>
        <w:r>
          <w:rPr>
            <w:noProof/>
            <w:webHidden/>
          </w:rPr>
          <w:t>23</w:t>
        </w:r>
        <w:r>
          <w:rPr>
            <w:noProof/>
            <w:webHidden/>
          </w:rPr>
          <w:fldChar w:fldCharType="end"/>
        </w:r>
      </w:hyperlink>
    </w:p>
    <w:p w14:paraId="5C8144CC" w14:textId="77777777" w:rsidR="008B433C" w:rsidRDefault="008B433C">
      <w:pPr>
        <w:pStyle w:val="TOC3"/>
        <w:rPr>
          <w:rFonts w:asciiTheme="minorHAnsi" w:eastAsiaTheme="minorEastAsia" w:hAnsiTheme="minorHAnsi" w:cstheme="minorBidi"/>
          <w:noProof/>
          <w:sz w:val="22"/>
          <w:szCs w:val="22"/>
          <w:lang w:val="en-US"/>
        </w:rPr>
      </w:pPr>
      <w:hyperlink w:anchor="_Toc409790498" w:history="1">
        <w:r w:rsidRPr="007E6E5D">
          <w:rPr>
            <w:rStyle w:val="Hyperlink"/>
            <w:noProof/>
          </w:rPr>
          <w:t>3.6</w:t>
        </w:r>
        <w:r>
          <w:rPr>
            <w:rFonts w:asciiTheme="minorHAnsi" w:eastAsiaTheme="minorEastAsia" w:hAnsiTheme="minorHAnsi" w:cstheme="minorBidi"/>
            <w:noProof/>
            <w:sz w:val="22"/>
            <w:szCs w:val="22"/>
            <w:lang w:val="en-US"/>
          </w:rPr>
          <w:tab/>
        </w:r>
        <w:r w:rsidRPr="007E6E5D">
          <w:rPr>
            <w:rStyle w:val="Hyperlink"/>
            <w:noProof/>
          </w:rPr>
          <w:t>Right to be heard and to participate in civil judicial proceedings</w:t>
        </w:r>
        <w:r>
          <w:rPr>
            <w:noProof/>
            <w:webHidden/>
          </w:rPr>
          <w:tab/>
        </w:r>
        <w:r>
          <w:rPr>
            <w:noProof/>
            <w:webHidden/>
          </w:rPr>
          <w:fldChar w:fldCharType="begin"/>
        </w:r>
        <w:r>
          <w:rPr>
            <w:noProof/>
            <w:webHidden/>
          </w:rPr>
          <w:instrText xml:space="preserve"> PAGEREF _Toc409790498 \h </w:instrText>
        </w:r>
        <w:r>
          <w:rPr>
            <w:noProof/>
            <w:webHidden/>
          </w:rPr>
        </w:r>
        <w:r>
          <w:rPr>
            <w:noProof/>
            <w:webHidden/>
          </w:rPr>
          <w:fldChar w:fldCharType="separate"/>
        </w:r>
        <w:r>
          <w:rPr>
            <w:noProof/>
            <w:webHidden/>
          </w:rPr>
          <w:t>23</w:t>
        </w:r>
        <w:r>
          <w:rPr>
            <w:noProof/>
            <w:webHidden/>
          </w:rPr>
          <w:fldChar w:fldCharType="end"/>
        </w:r>
      </w:hyperlink>
    </w:p>
    <w:p w14:paraId="66392C03" w14:textId="77777777" w:rsidR="008B433C" w:rsidRDefault="008B433C">
      <w:pPr>
        <w:pStyle w:val="TOC4"/>
        <w:rPr>
          <w:rFonts w:asciiTheme="minorHAnsi" w:eastAsiaTheme="minorEastAsia" w:hAnsiTheme="minorHAnsi" w:cstheme="minorBidi"/>
          <w:noProof/>
          <w:sz w:val="22"/>
          <w:szCs w:val="22"/>
          <w:lang w:val="en-US"/>
        </w:rPr>
      </w:pPr>
      <w:hyperlink w:anchor="_Toc409790499" w:history="1">
        <w:r w:rsidRPr="007E6E5D">
          <w:rPr>
            <w:rStyle w:val="Hyperlink"/>
            <w:noProof/>
          </w:rPr>
          <w:t>3.6.1</w:t>
        </w:r>
        <w:r>
          <w:rPr>
            <w:rFonts w:asciiTheme="minorHAnsi" w:eastAsiaTheme="minorEastAsia" w:hAnsiTheme="minorHAnsi" w:cstheme="minorBidi"/>
            <w:noProof/>
            <w:sz w:val="22"/>
            <w:szCs w:val="22"/>
            <w:lang w:val="en-US"/>
          </w:rPr>
          <w:tab/>
        </w:r>
        <w:r w:rsidRPr="007E6E5D">
          <w:rPr>
            <w:rStyle w:val="Hyperlink"/>
            <w:noProof/>
          </w:rPr>
          <w:t>General rules applicable to children involved in civil judicial proceedings regardless of their role</w:t>
        </w:r>
        <w:r>
          <w:rPr>
            <w:noProof/>
            <w:webHidden/>
          </w:rPr>
          <w:tab/>
        </w:r>
        <w:r>
          <w:rPr>
            <w:noProof/>
            <w:webHidden/>
          </w:rPr>
          <w:fldChar w:fldCharType="begin"/>
        </w:r>
        <w:r>
          <w:rPr>
            <w:noProof/>
            <w:webHidden/>
          </w:rPr>
          <w:instrText xml:space="preserve"> PAGEREF _Toc409790499 \h </w:instrText>
        </w:r>
        <w:r>
          <w:rPr>
            <w:noProof/>
            <w:webHidden/>
          </w:rPr>
        </w:r>
        <w:r>
          <w:rPr>
            <w:noProof/>
            <w:webHidden/>
          </w:rPr>
          <w:fldChar w:fldCharType="separate"/>
        </w:r>
        <w:r>
          <w:rPr>
            <w:noProof/>
            <w:webHidden/>
          </w:rPr>
          <w:t>23</w:t>
        </w:r>
        <w:r>
          <w:rPr>
            <w:noProof/>
            <w:webHidden/>
          </w:rPr>
          <w:fldChar w:fldCharType="end"/>
        </w:r>
      </w:hyperlink>
    </w:p>
    <w:p w14:paraId="3A5A4A21" w14:textId="77777777" w:rsidR="008B433C" w:rsidRDefault="008B433C">
      <w:pPr>
        <w:pStyle w:val="TOC6"/>
        <w:tabs>
          <w:tab w:val="right" w:leader="dot" w:pos="9061"/>
        </w:tabs>
        <w:rPr>
          <w:rFonts w:asciiTheme="minorHAnsi" w:eastAsiaTheme="minorEastAsia" w:hAnsiTheme="minorHAnsi" w:cstheme="minorBidi"/>
          <w:noProof/>
          <w:sz w:val="22"/>
          <w:szCs w:val="22"/>
          <w:lang w:val="en-US"/>
        </w:rPr>
      </w:pPr>
      <w:hyperlink w:anchor="_Toc409790500" w:history="1">
        <w:r w:rsidRPr="007E6E5D">
          <w:rPr>
            <w:rStyle w:val="Hyperlink"/>
            <w:noProof/>
          </w:rPr>
          <w:t>Measures to ensure that the child is heard</w:t>
        </w:r>
        <w:r>
          <w:rPr>
            <w:noProof/>
            <w:webHidden/>
          </w:rPr>
          <w:tab/>
        </w:r>
        <w:r>
          <w:rPr>
            <w:noProof/>
            <w:webHidden/>
          </w:rPr>
          <w:fldChar w:fldCharType="begin"/>
        </w:r>
        <w:r>
          <w:rPr>
            <w:noProof/>
            <w:webHidden/>
          </w:rPr>
          <w:instrText xml:space="preserve"> PAGEREF _Toc409790500 \h </w:instrText>
        </w:r>
        <w:r>
          <w:rPr>
            <w:noProof/>
            <w:webHidden/>
          </w:rPr>
        </w:r>
        <w:r>
          <w:rPr>
            <w:noProof/>
            <w:webHidden/>
          </w:rPr>
          <w:fldChar w:fldCharType="separate"/>
        </w:r>
        <w:r>
          <w:rPr>
            <w:noProof/>
            <w:webHidden/>
          </w:rPr>
          <w:t>23</w:t>
        </w:r>
        <w:r>
          <w:rPr>
            <w:noProof/>
            <w:webHidden/>
          </w:rPr>
          <w:fldChar w:fldCharType="end"/>
        </w:r>
      </w:hyperlink>
    </w:p>
    <w:p w14:paraId="34DAA211" w14:textId="77777777" w:rsidR="008B433C" w:rsidRDefault="008B433C">
      <w:pPr>
        <w:pStyle w:val="TOC6"/>
        <w:tabs>
          <w:tab w:val="right" w:leader="dot" w:pos="9061"/>
        </w:tabs>
        <w:rPr>
          <w:rFonts w:asciiTheme="minorHAnsi" w:eastAsiaTheme="minorEastAsia" w:hAnsiTheme="minorHAnsi" w:cstheme="minorBidi"/>
          <w:noProof/>
          <w:sz w:val="22"/>
          <w:szCs w:val="22"/>
          <w:lang w:val="en-US"/>
        </w:rPr>
      </w:pPr>
      <w:hyperlink w:anchor="_Toc409790501" w:history="1">
        <w:r w:rsidRPr="007E6E5D">
          <w:rPr>
            <w:rStyle w:val="Hyperlink"/>
            <w:noProof/>
          </w:rPr>
          <w:t>Participation of the child in proceedings</w:t>
        </w:r>
        <w:r>
          <w:rPr>
            <w:noProof/>
            <w:webHidden/>
          </w:rPr>
          <w:tab/>
        </w:r>
        <w:r>
          <w:rPr>
            <w:noProof/>
            <w:webHidden/>
          </w:rPr>
          <w:fldChar w:fldCharType="begin"/>
        </w:r>
        <w:r>
          <w:rPr>
            <w:noProof/>
            <w:webHidden/>
          </w:rPr>
          <w:instrText xml:space="preserve"> PAGEREF _Toc409790501 \h </w:instrText>
        </w:r>
        <w:r>
          <w:rPr>
            <w:noProof/>
            <w:webHidden/>
          </w:rPr>
        </w:r>
        <w:r>
          <w:rPr>
            <w:noProof/>
            <w:webHidden/>
          </w:rPr>
          <w:fldChar w:fldCharType="separate"/>
        </w:r>
        <w:r>
          <w:rPr>
            <w:noProof/>
            <w:webHidden/>
          </w:rPr>
          <w:t>24</w:t>
        </w:r>
        <w:r>
          <w:rPr>
            <w:noProof/>
            <w:webHidden/>
          </w:rPr>
          <w:fldChar w:fldCharType="end"/>
        </w:r>
      </w:hyperlink>
    </w:p>
    <w:p w14:paraId="428823FE" w14:textId="77777777" w:rsidR="008B433C" w:rsidRDefault="008B433C">
      <w:pPr>
        <w:pStyle w:val="TOC6"/>
        <w:tabs>
          <w:tab w:val="right" w:leader="dot" w:pos="9061"/>
        </w:tabs>
        <w:rPr>
          <w:rFonts w:asciiTheme="minorHAnsi" w:eastAsiaTheme="minorEastAsia" w:hAnsiTheme="minorHAnsi" w:cstheme="minorBidi"/>
          <w:noProof/>
          <w:sz w:val="22"/>
          <w:szCs w:val="22"/>
          <w:lang w:val="en-US"/>
        </w:rPr>
      </w:pPr>
      <w:hyperlink w:anchor="_Toc409790502" w:history="1">
        <w:r w:rsidRPr="007E6E5D">
          <w:rPr>
            <w:rStyle w:val="Hyperlink"/>
            <w:noProof/>
          </w:rPr>
          <w:t>Measures to ensure that the child is heard</w:t>
        </w:r>
        <w:r>
          <w:rPr>
            <w:noProof/>
            <w:webHidden/>
          </w:rPr>
          <w:tab/>
        </w:r>
        <w:r>
          <w:rPr>
            <w:noProof/>
            <w:webHidden/>
          </w:rPr>
          <w:fldChar w:fldCharType="begin"/>
        </w:r>
        <w:r>
          <w:rPr>
            <w:noProof/>
            <w:webHidden/>
          </w:rPr>
          <w:instrText xml:space="preserve"> PAGEREF _Toc409790502 \h </w:instrText>
        </w:r>
        <w:r>
          <w:rPr>
            <w:noProof/>
            <w:webHidden/>
          </w:rPr>
        </w:r>
        <w:r>
          <w:rPr>
            <w:noProof/>
            <w:webHidden/>
          </w:rPr>
          <w:fldChar w:fldCharType="separate"/>
        </w:r>
        <w:r>
          <w:rPr>
            <w:noProof/>
            <w:webHidden/>
          </w:rPr>
          <w:t>24</w:t>
        </w:r>
        <w:r>
          <w:rPr>
            <w:noProof/>
            <w:webHidden/>
          </w:rPr>
          <w:fldChar w:fldCharType="end"/>
        </w:r>
      </w:hyperlink>
    </w:p>
    <w:p w14:paraId="7BD99B7D" w14:textId="77777777" w:rsidR="008B433C" w:rsidRDefault="008B433C">
      <w:pPr>
        <w:pStyle w:val="TOC6"/>
        <w:tabs>
          <w:tab w:val="right" w:leader="dot" w:pos="9061"/>
        </w:tabs>
        <w:rPr>
          <w:rFonts w:asciiTheme="minorHAnsi" w:eastAsiaTheme="minorEastAsia" w:hAnsiTheme="minorHAnsi" w:cstheme="minorBidi"/>
          <w:noProof/>
          <w:sz w:val="22"/>
          <w:szCs w:val="22"/>
          <w:lang w:val="en-US"/>
        </w:rPr>
      </w:pPr>
      <w:hyperlink w:anchor="_Toc409790503" w:history="1">
        <w:r w:rsidRPr="007E6E5D">
          <w:rPr>
            <w:rStyle w:val="Hyperlink"/>
            <w:noProof/>
          </w:rPr>
          <w:t>Limitation periods for a child to pursue a claim</w:t>
        </w:r>
        <w:r>
          <w:rPr>
            <w:noProof/>
            <w:webHidden/>
          </w:rPr>
          <w:tab/>
        </w:r>
        <w:r>
          <w:rPr>
            <w:noProof/>
            <w:webHidden/>
          </w:rPr>
          <w:fldChar w:fldCharType="begin"/>
        </w:r>
        <w:r>
          <w:rPr>
            <w:noProof/>
            <w:webHidden/>
          </w:rPr>
          <w:instrText xml:space="preserve"> PAGEREF _Toc409790503 \h </w:instrText>
        </w:r>
        <w:r>
          <w:rPr>
            <w:noProof/>
            <w:webHidden/>
          </w:rPr>
        </w:r>
        <w:r>
          <w:rPr>
            <w:noProof/>
            <w:webHidden/>
          </w:rPr>
          <w:fldChar w:fldCharType="separate"/>
        </w:r>
        <w:r>
          <w:rPr>
            <w:noProof/>
            <w:webHidden/>
          </w:rPr>
          <w:t>25</w:t>
        </w:r>
        <w:r>
          <w:rPr>
            <w:noProof/>
            <w:webHidden/>
          </w:rPr>
          <w:fldChar w:fldCharType="end"/>
        </w:r>
      </w:hyperlink>
    </w:p>
    <w:p w14:paraId="662F10E8" w14:textId="77777777" w:rsidR="008B433C" w:rsidRDefault="008B433C">
      <w:pPr>
        <w:pStyle w:val="TOC6"/>
        <w:tabs>
          <w:tab w:val="right" w:leader="dot" w:pos="9061"/>
        </w:tabs>
        <w:rPr>
          <w:rFonts w:asciiTheme="minorHAnsi" w:eastAsiaTheme="minorEastAsia" w:hAnsiTheme="minorHAnsi" w:cstheme="minorBidi"/>
          <w:noProof/>
          <w:sz w:val="22"/>
          <w:szCs w:val="22"/>
          <w:lang w:val="en-US"/>
        </w:rPr>
      </w:pPr>
      <w:hyperlink w:anchor="_Toc409790504" w:history="1">
        <w:r w:rsidRPr="007E6E5D">
          <w:rPr>
            <w:rStyle w:val="Hyperlink"/>
            <w:noProof/>
          </w:rPr>
          <w:t>Information on legal remedies</w:t>
        </w:r>
        <w:r>
          <w:rPr>
            <w:noProof/>
            <w:webHidden/>
          </w:rPr>
          <w:tab/>
        </w:r>
        <w:r>
          <w:rPr>
            <w:noProof/>
            <w:webHidden/>
          </w:rPr>
          <w:fldChar w:fldCharType="begin"/>
        </w:r>
        <w:r>
          <w:rPr>
            <w:noProof/>
            <w:webHidden/>
          </w:rPr>
          <w:instrText xml:space="preserve"> PAGEREF _Toc409790504 \h </w:instrText>
        </w:r>
        <w:r>
          <w:rPr>
            <w:noProof/>
            <w:webHidden/>
          </w:rPr>
        </w:r>
        <w:r>
          <w:rPr>
            <w:noProof/>
            <w:webHidden/>
          </w:rPr>
          <w:fldChar w:fldCharType="separate"/>
        </w:r>
        <w:r>
          <w:rPr>
            <w:noProof/>
            <w:webHidden/>
          </w:rPr>
          <w:t>25</w:t>
        </w:r>
        <w:r>
          <w:rPr>
            <w:noProof/>
            <w:webHidden/>
          </w:rPr>
          <w:fldChar w:fldCharType="end"/>
        </w:r>
      </w:hyperlink>
    </w:p>
    <w:p w14:paraId="36A86FEB" w14:textId="77777777" w:rsidR="008B433C" w:rsidRDefault="008B433C">
      <w:pPr>
        <w:pStyle w:val="TOC6"/>
        <w:tabs>
          <w:tab w:val="right" w:leader="dot" w:pos="9061"/>
        </w:tabs>
        <w:rPr>
          <w:rFonts w:asciiTheme="minorHAnsi" w:eastAsiaTheme="minorEastAsia" w:hAnsiTheme="minorHAnsi" w:cstheme="minorBidi"/>
          <w:noProof/>
          <w:sz w:val="22"/>
          <w:szCs w:val="22"/>
          <w:lang w:val="en-US"/>
        </w:rPr>
      </w:pPr>
      <w:hyperlink w:anchor="_Toc409790505" w:history="1">
        <w:r w:rsidRPr="007E6E5D">
          <w:rPr>
            <w:rStyle w:val="Hyperlink"/>
            <w:noProof/>
          </w:rPr>
          <w:t>Adoption</w:t>
        </w:r>
        <w:r>
          <w:rPr>
            <w:noProof/>
            <w:webHidden/>
          </w:rPr>
          <w:tab/>
        </w:r>
        <w:r>
          <w:rPr>
            <w:noProof/>
            <w:webHidden/>
          </w:rPr>
          <w:fldChar w:fldCharType="begin"/>
        </w:r>
        <w:r>
          <w:rPr>
            <w:noProof/>
            <w:webHidden/>
          </w:rPr>
          <w:instrText xml:space="preserve"> PAGEREF _Toc409790505 \h </w:instrText>
        </w:r>
        <w:r>
          <w:rPr>
            <w:noProof/>
            <w:webHidden/>
          </w:rPr>
        </w:r>
        <w:r>
          <w:rPr>
            <w:noProof/>
            <w:webHidden/>
          </w:rPr>
          <w:fldChar w:fldCharType="separate"/>
        </w:r>
        <w:r>
          <w:rPr>
            <w:noProof/>
            <w:webHidden/>
          </w:rPr>
          <w:t>26</w:t>
        </w:r>
        <w:r>
          <w:rPr>
            <w:noProof/>
            <w:webHidden/>
          </w:rPr>
          <w:fldChar w:fldCharType="end"/>
        </w:r>
      </w:hyperlink>
    </w:p>
    <w:p w14:paraId="76DA69D4" w14:textId="77777777" w:rsidR="008B433C" w:rsidRDefault="008B433C">
      <w:pPr>
        <w:pStyle w:val="TOC6"/>
        <w:tabs>
          <w:tab w:val="right" w:leader="dot" w:pos="9061"/>
        </w:tabs>
        <w:rPr>
          <w:rFonts w:asciiTheme="minorHAnsi" w:eastAsiaTheme="minorEastAsia" w:hAnsiTheme="minorHAnsi" w:cstheme="minorBidi"/>
          <w:noProof/>
          <w:sz w:val="22"/>
          <w:szCs w:val="22"/>
          <w:lang w:val="en-US"/>
        </w:rPr>
      </w:pPr>
      <w:hyperlink w:anchor="_Toc409790506" w:history="1">
        <w:r w:rsidRPr="007E6E5D">
          <w:rPr>
            <w:rStyle w:val="Hyperlink"/>
            <w:noProof/>
          </w:rPr>
          <w:t>Divorce proceedings</w:t>
        </w:r>
        <w:r>
          <w:rPr>
            <w:noProof/>
            <w:webHidden/>
          </w:rPr>
          <w:tab/>
        </w:r>
        <w:r>
          <w:rPr>
            <w:noProof/>
            <w:webHidden/>
          </w:rPr>
          <w:fldChar w:fldCharType="begin"/>
        </w:r>
        <w:r>
          <w:rPr>
            <w:noProof/>
            <w:webHidden/>
          </w:rPr>
          <w:instrText xml:space="preserve"> PAGEREF _Toc409790506 \h </w:instrText>
        </w:r>
        <w:r>
          <w:rPr>
            <w:noProof/>
            <w:webHidden/>
          </w:rPr>
        </w:r>
        <w:r>
          <w:rPr>
            <w:noProof/>
            <w:webHidden/>
          </w:rPr>
          <w:fldChar w:fldCharType="separate"/>
        </w:r>
        <w:r>
          <w:rPr>
            <w:noProof/>
            <w:webHidden/>
          </w:rPr>
          <w:t>26</w:t>
        </w:r>
        <w:r>
          <w:rPr>
            <w:noProof/>
            <w:webHidden/>
          </w:rPr>
          <w:fldChar w:fldCharType="end"/>
        </w:r>
      </w:hyperlink>
    </w:p>
    <w:p w14:paraId="341AD397" w14:textId="77777777" w:rsidR="008B433C" w:rsidRDefault="008B433C">
      <w:pPr>
        <w:pStyle w:val="TOC3"/>
        <w:rPr>
          <w:rFonts w:asciiTheme="minorHAnsi" w:eastAsiaTheme="minorEastAsia" w:hAnsiTheme="minorHAnsi" w:cstheme="minorBidi"/>
          <w:noProof/>
          <w:sz w:val="22"/>
          <w:szCs w:val="22"/>
          <w:lang w:val="en-US"/>
        </w:rPr>
      </w:pPr>
      <w:hyperlink w:anchor="_Toc409790507" w:history="1">
        <w:r w:rsidRPr="007E6E5D">
          <w:rPr>
            <w:rStyle w:val="Hyperlink"/>
            <w:noProof/>
          </w:rPr>
          <w:t>3.7</w:t>
        </w:r>
        <w:r>
          <w:rPr>
            <w:rFonts w:asciiTheme="minorHAnsi" w:eastAsiaTheme="minorEastAsia" w:hAnsiTheme="minorHAnsi" w:cstheme="minorBidi"/>
            <w:noProof/>
            <w:sz w:val="22"/>
            <w:szCs w:val="22"/>
            <w:lang w:val="en-US"/>
          </w:rPr>
          <w:tab/>
        </w:r>
        <w:r w:rsidRPr="007E6E5D">
          <w:rPr>
            <w:rStyle w:val="Hyperlink"/>
            <w:noProof/>
          </w:rPr>
          <w:t>Right to legal counsel, legal assistance and representation</w:t>
        </w:r>
        <w:r>
          <w:rPr>
            <w:noProof/>
            <w:webHidden/>
          </w:rPr>
          <w:tab/>
        </w:r>
        <w:r>
          <w:rPr>
            <w:noProof/>
            <w:webHidden/>
          </w:rPr>
          <w:fldChar w:fldCharType="begin"/>
        </w:r>
        <w:r>
          <w:rPr>
            <w:noProof/>
            <w:webHidden/>
          </w:rPr>
          <w:instrText xml:space="preserve"> PAGEREF _Toc409790507 \h </w:instrText>
        </w:r>
        <w:r>
          <w:rPr>
            <w:noProof/>
            <w:webHidden/>
          </w:rPr>
        </w:r>
        <w:r>
          <w:rPr>
            <w:noProof/>
            <w:webHidden/>
          </w:rPr>
          <w:fldChar w:fldCharType="separate"/>
        </w:r>
        <w:r>
          <w:rPr>
            <w:noProof/>
            <w:webHidden/>
          </w:rPr>
          <w:t>27</w:t>
        </w:r>
        <w:r>
          <w:rPr>
            <w:noProof/>
            <w:webHidden/>
          </w:rPr>
          <w:fldChar w:fldCharType="end"/>
        </w:r>
      </w:hyperlink>
    </w:p>
    <w:p w14:paraId="04341F27" w14:textId="77777777" w:rsidR="008B433C" w:rsidRDefault="008B433C">
      <w:pPr>
        <w:pStyle w:val="TOC4"/>
        <w:rPr>
          <w:rFonts w:asciiTheme="minorHAnsi" w:eastAsiaTheme="minorEastAsia" w:hAnsiTheme="minorHAnsi" w:cstheme="minorBidi"/>
          <w:noProof/>
          <w:sz w:val="22"/>
          <w:szCs w:val="22"/>
          <w:lang w:val="en-US"/>
        </w:rPr>
      </w:pPr>
      <w:hyperlink w:anchor="_Toc409790508" w:history="1">
        <w:r w:rsidRPr="007E6E5D">
          <w:rPr>
            <w:rStyle w:val="Hyperlink"/>
            <w:noProof/>
          </w:rPr>
          <w:t>3.7.1</w:t>
        </w:r>
        <w:r>
          <w:rPr>
            <w:rFonts w:asciiTheme="minorHAnsi" w:eastAsiaTheme="minorEastAsia" w:hAnsiTheme="minorHAnsi" w:cstheme="minorBidi"/>
            <w:noProof/>
            <w:sz w:val="22"/>
            <w:szCs w:val="22"/>
            <w:lang w:val="en-US"/>
          </w:rPr>
          <w:tab/>
        </w:r>
        <w:r w:rsidRPr="007E6E5D">
          <w:rPr>
            <w:rStyle w:val="Hyperlink"/>
            <w:noProof/>
          </w:rPr>
          <w:t>General rules applicable to children involved in civil judicial proceedings regardless of their role</w:t>
        </w:r>
        <w:r>
          <w:rPr>
            <w:noProof/>
            <w:webHidden/>
          </w:rPr>
          <w:tab/>
        </w:r>
        <w:r>
          <w:rPr>
            <w:noProof/>
            <w:webHidden/>
          </w:rPr>
          <w:fldChar w:fldCharType="begin"/>
        </w:r>
        <w:r>
          <w:rPr>
            <w:noProof/>
            <w:webHidden/>
          </w:rPr>
          <w:instrText xml:space="preserve"> PAGEREF _Toc409790508 \h </w:instrText>
        </w:r>
        <w:r>
          <w:rPr>
            <w:noProof/>
            <w:webHidden/>
          </w:rPr>
        </w:r>
        <w:r>
          <w:rPr>
            <w:noProof/>
            <w:webHidden/>
          </w:rPr>
          <w:fldChar w:fldCharType="separate"/>
        </w:r>
        <w:r>
          <w:rPr>
            <w:noProof/>
            <w:webHidden/>
          </w:rPr>
          <w:t>27</w:t>
        </w:r>
        <w:r>
          <w:rPr>
            <w:noProof/>
            <w:webHidden/>
          </w:rPr>
          <w:fldChar w:fldCharType="end"/>
        </w:r>
      </w:hyperlink>
    </w:p>
    <w:p w14:paraId="5E9BBFBB" w14:textId="77777777" w:rsidR="008B433C" w:rsidRDefault="008B433C">
      <w:pPr>
        <w:pStyle w:val="TOC6"/>
        <w:tabs>
          <w:tab w:val="right" w:leader="dot" w:pos="9061"/>
        </w:tabs>
        <w:rPr>
          <w:rFonts w:asciiTheme="minorHAnsi" w:eastAsiaTheme="minorEastAsia" w:hAnsiTheme="minorHAnsi" w:cstheme="minorBidi"/>
          <w:noProof/>
          <w:sz w:val="22"/>
          <w:szCs w:val="22"/>
          <w:lang w:val="en-US"/>
        </w:rPr>
      </w:pPr>
      <w:hyperlink w:anchor="_Toc409790509" w:history="1">
        <w:r w:rsidRPr="007E6E5D">
          <w:rPr>
            <w:rStyle w:val="Hyperlink"/>
            <w:noProof/>
          </w:rPr>
          <w:t>Legal representation</w:t>
        </w:r>
        <w:r>
          <w:rPr>
            <w:noProof/>
            <w:webHidden/>
          </w:rPr>
          <w:tab/>
        </w:r>
        <w:r>
          <w:rPr>
            <w:noProof/>
            <w:webHidden/>
          </w:rPr>
          <w:fldChar w:fldCharType="begin"/>
        </w:r>
        <w:r>
          <w:rPr>
            <w:noProof/>
            <w:webHidden/>
          </w:rPr>
          <w:instrText xml:space="preserve"> PAGEREF _Toc409790509 \h </w:instrText>
        </w:r>
        <w:r>
          <w:rPr>
            <w:noProof/>
            <w:webHidden/>
          </w:rPr>
        </w:r>
        <w:r>
          <w:rPr>
            <w:noProof/>
            <w:webHidden/>
          </w:rPr>
          <w:fldChar w:fldCharType="separate"/>
        </w:r>
        <w:r>
          <w:rPr>
            <w:noProof/>
            <w:webHidden/>
          </w:rPr>
          <w:t>27</w:t>
        </w:r>
        <w:r>
          <w:rPr>
            <w:noProof/>
            <w:webHidden/>
          </w:rPr>
          <w:fldChar w:fldCharType="end"/>
        </w:r>
      </w:hyperlink>
    </w:p>
    <w:p w14:paraId="18175B5A" w14:textId="77777777" w:rsidR="008B433C" w:rsidRDefault="008B433C">
      <w:pPr>
        <w:pStyle w:val="TOC6"/>
        <w:tabs>
          <w:tab w:val="right" w:leader="dot" w:pos="9061"/>
        </w:tabs>
        <w:rPr>
          <w:rFonts w:asciiTheme="minorHAnsi" w:eastAsiaTheme="minorEastAsia" w:hAnsiTheme="minorHAnsi" w:cstheme="minorBidi"/>
          <w:noProof/>
          <w:sz w:val="22"/>
          <w:szCs w:val="22"/>
          <w:lang w:val="en-US"/>
        </w:rPr>
      </w:pPr>
      <w:hyperlink w:anchor="_Toc409790510" w:history="1">
        <w:r w:rsidRPr="007E6E5D">
          <w:rPr>
            <w:rStyle w:val="Hyperlink"/>
            <w:noProof/>
          </w:rPr>
          <w:t>Legal aid</w:t>
        </w:r>
        <w:r>
          <w:rPr>
            <w:noProof/>
            <w:webHidden/>
          </w:rPr>
          <w:tab/>
        </w:r>
        <w:r>
          <w:rPr>
            <w:noProof/>
            <w:webHidden/>
          </w:rPr>
          <w:fldChar w:fldCharType="begin"/>
        </w:r>
        <w:r>
          <w:rPr>
            <w:noProof/>
            <w:webHidden/>
          </w:rPr>
          <w:instrText xml:space="preserve"> PAGEREF _Toc409790510 \h </w:instrText>
        </w:r>
        <w:r>
          <w:rPr>
            <w:noProof/>
            <w:webHidden/>
          </w:rPr>
        </w:r>
        <w:r>
          <w:rPr>
            <w:noProof/>
            <w:webHidden/>
          </w:rPr>
          <w:fldChar w:fldCharType="separate"/>
        </w:r>
        <w:r>
          <w:rPr>
            <w:noProof/>
            <w:webHidden/>
          </w:rPr>
          <w:t>27</w:t>
        </w:r>
        <w:r>
          <w:rPr>
            <w:noProof/>
            <w:webHidden/>
          </w:rPr>
          <w:fldChar w:fldCharType="end"/>
        </w:r>
      </w:hyperlink>
    </w:p>
    <w:p w14:paraId="53184D2F" w14:textId="77777777" w:rsidR="008B433C" w:rsidRDefault="008B433C">
      <w:pPr>
        <w:pStyle w:val="TOC6"/>
        <w:tabs>
          <w:tab w:val="right" w:leader="dot" w:pos="9061"/>
        </w:tabs>
        <w:rPr>
          <w:rFonts w:asciiTheme="minorHAnsi" w:eastAsiaTheme="minorEastAsia" w:hAnsiTheme="minorHAnsi" w:cstheme="minorBidi"/>
          <w:noProof/>
          <w:sz w:val="22"/>
          <w:szCs w:val="22"/>
          <w:lang w:val="en-US"/>
        </w:rPr>
      </w:pPr>
      <w:hyperlink w:anchor="_Toc409790511" w:history="1">
        <w:r w:rsidRPr="007E6E5D">
          <w:rPr>
            <w:rStyle w:val="Hyperlink"/>
            <w:noProof/>
          </w:rPr>
          <w:t>Legal counsel</w:t>
        </w:r>
        <w:r>
          <w:rPr>
            <w:noProof/>
            <w:webHidden/>
          </w:rPr>
          <w:tab/>
        </w:r>
        <w:r>
          <w:rPr>
            <w:noProof/>
            <w:webHidden/>
          </w:rPr>
          <w:fldChar w:fldCharType="begin"/>
        </w:r>
        <w:r>
          <w:rPr>
            <w:noProof/>
            <w:webHidden/>
          </w:rPr>
          <w:instrText xml:space="preserve"> PAGEREF _Toc409790511 \h </w:instrText>
        </w:r>
        <w:r>
          <w:rPr>
            <w:noProof/>
            <w:webHidden/>
          </w:rPr>
        </w:r>
        <w:r>
          <w:rPr>
            <w:noProof/>
            <w:webHidden/>
          </w:rPr>
          <w:fldChar w:fldCharType="separate"/>
        </w:r>
        <w:r>
          <w:rPr>
            <w:noProof/>
            <w:webHidden/>
          </w:rPr>
          <w:t>27</w:t>
        </w:r>
        <w:r>
          <w:rPr>
            <w:noProof/>
            <w:webHidden/>
          </w:rPr>
          <w:fldChar w:fldCharType="end"/>
        </w:r>
      </w:hyperlink>
    </w:p>
    <w:p w14:paraId="6655D478" w14:textId="77777777" w:rsidR="008B433C" w:rsidRDefault="008B433C">
      <w:pPr>
        <w:pStyle w:val="TOC6"/>
        <w:tabs>
          <w:tab w:val="right" w:leader="dot" w:pos="9061"/>
        </w:tabs>
        <w:rPr>
          <w:rFonts w:asciiTheme="minorHAnsi" w:eastAsiaTheme="minorEastAsia" w:hAnsiTheme="minorHAnsi" w:cstheme="minorBidi"/>
          <w:noProof/>
          <w:sz w:val="22"/>
          <w:szCs w:val="22"/>
          <w:lang w:val="en-US"/>
        </w:rPr>
      </w:pPr>
      <w:hyperlink w:anchor="_Toc409790512" w:history="1">
        <w:r w:rsidRPr="007E6E5D">
          <w:rPr>
            <w:rStyle w:val="Hyperlink"/>
            <w:noProof/>
          </w:rPr>
          <w:t>Conflict of interests</w:t>
        </w:r>
        <w:r>
          <w:rPr>
            <w:noProof/>
            <w:webHidden/>
          </w:rPr>
          <w:tab/>
        </w:r>
        <w:r>
          <w:rPr>
            <w:noProof/>
            <w:webHidden/>
          </w:rPr>
          <w:fldChar w:fldCharType="begin"/>
        </w:r>
        <w:r>
          <w:rPr>
            <w:noProof/>
            <w:webHidden/>
          </w:rPr>
          <w:instrText xml:space="preserve"> PAGEREF _Toc409790512 \h </w:instrText>
        </w:r>
        <w:r>
          <w:rPr>
            <w:noProof/>
            <w:webHidden/>
          </w:rPr>
        </w:r>
        <w:r>
          <w:rPr>
            <w:noProof/>
            <w:webHidden/>
          </w:rPr>
          <w:fldChar w:fldCharType="separate"/>
        </w:r>
        <w:r>
          <w:rPr>
            <w:noProof/>
            <w:webHidden/>
          </w:rPr>
          <w:t>28</w:t>
        </w:r>
        <w:r>
          <w:rPr>
            <w:noProof/>
            <w:webHidden/>
          </w:rPr>
          <w:fldChar w:fldCharType="end"/>
        </w:r>
      </w:hyperlink>
    </w:p>
    <w:p w14:paraId="05C4FBFB" w14:textId="77777777" w:rsidR="008B433C" w:rsidRDefault="008B433C">
      <w:pPr>
        <w:pStyle w:val="TOC3"/>
        <w:rPr>
          <w:rFonts w:asciiTheme="minorHAnsi" w:eastAsiaTheme="minorEastAsia" w:hAnsiTheme="minorHAnsi" w:cstheme="minorBidi"/>
          <w:noProof/>
          <w:sz w:val="22"/>
          <w:szCs w:val="22"/>
          <w:lang w:val="en-US"/>
        </w:rPr>
      </w:pPr>
      <w:hyperlink w:anchor="_Toc409790513" w:history="1">
        <w:r w:rsidRPr="007E6E5D">
          <w:rPr>
            <w:rStyle w:val="Hyperlink"/>
            <w:noProof/>
          </w:rPr>
          <w:t>3.8</w:t>
        </w:r>
        <w:r>
          <w:rPr>
            <w:rFonts w:asciiTheme="minorHAnsi" w:eastAsiaTheme="minorEastAsia" w:hAnsiTheme="minorHAnsi" w:cstheme="minorBidi"/>
            <w:noProof/>
            <w:sz w:val="22"/>
            <w:szCs w:val="22"/>
            <w:lang w:val="en-US"/>
          </w:rPr>
          <w:tab/>
        </w:r>
        <w:r w:rsidRPr="007E6E5D">
          <w:rPr>
            <w:rStyle w:val="Hyperlink"/>
            <w:noProof/>
          </w:rPr>
          <w:t>Alternatives to judicial proceedings</w:t>
        </w:r>
        <w:r>
          <w:rPr>
            <w:noProof/>
            <w:webHidden/>
          </w:rPr>
          <w:tab/>
        </w:r>
        <w:r>
          <w:rPr>
            <w:noProof/>
            <w:webHidden/>
          </w:rPr>
          <w:fldChar w:fldCharType="begin"/>
        </w:r>
        <w:r>
          <w:rPr>
            <w:noProof/>
            <w:webHidden/>
          </w:rPr>
          <w:instrText xml:space="preserve"> PAGEREF _Toc409790513 \h </w:instrText>
        </w:r>
        <w:r>
          <w:rPr>
            <w:noProof/>
            <w:webHidden/>
          </w:rPr>
        </w:r>
        <w:r>
          <w:rPr>
            <w:noProof/>
            <w:webHidden/>
          </w:rPr>
          <w:fldChar w:fldCharType="separate"/>
        </w:r>
        <w:r>
          <w:rPr>
            <w:noProof/>
            <w:webHidden/>
          </w:rPr>
          <w:t>28</w:t>
        </w:r>
        <w:r>
          <w:rPr>
            <w:noProof/>
            <w:webHidden/>
          </w:rPr>
          <w:fldChar w:fldCharType="end"/>
        </w:r>
      </w:hyperlink>
    </w:p>
    <w:p w14:paraId="71036D60" w14:textId="77777777" w:rsidR="008B433C" w:rsidRDefault="008B433C">
      <w:pPr>
        <w:pStyle w:val="TOC4"/>
        <w:rPr>
          <w:rFonts w:asciiTheme="minorHAnsi" w:eastAsiaTheme="minorEastAsia" w:hAnsiTheme="minorHAnsi" w:cstheme="minorBidi"/>
          <w:noProof/>
          <w:sz w:val="22"/>
          <w:szCs w:val="22"/>
          <w:lang w:val="en-US"/>
        </w:rPr>
      </w:pPr>
      <w:hyperlink w:anchor="_Toc409790514" w:history="1">
        <w:r w:rsidRPr="007E6E5D">
          <w:rPr>
            <w:rStyle w:val="Hyperlink"/>
            <w:noProof/>
          </w:rPr>
          <w:t>3.8.1</w:t>
        </w:r>
        <w:r>
          <w:rPr>
            <w:rFonts w:asciiTheme="minorHAnsi" w:eastAsiaTheme="minorEastAsia" w:hAnsiTheme="minorHAnsi" w:cstheme="minorBidi"/>
            <w:noProof/>
            <w:sz w:val="22"/>
            <w:szCs w:val="22"/>
            <w:lang w:val="en-US"/>
          </w:rPr>
          <w:tab/>
        </w:r>
        <w:r w:rsidRPr="007E6E5D">
          <w:rPr>
            <w:rStyle w:val="Hyperlink"/>
            <w:noProof/>
          </w:rPr>
          <w:t>General rules applicable to children involved in civil judicial proceedings regardless of their role</w:t>
        </w:r>
        <w:r>
          <w:rPr>
            <w:noProof/>
            <w:webHidden/>
          </w:rPr>
          <w:tab/>
        </w:r>
        <w:r>
          <w:rPr>
            <w:noProof/>
            <w:webHidden/>
          </w:rPr>
          <w:fldChar w:fldCharType="begin"/>
        </w:r>
        <w:r>
          <w:rPr>
            <w:noProof/>
            <w:webHidden/>
          </w:rPr>
          <w:instrText xml:space="preserve"> PAGEREF _Toc409790514 \h </w:instrText>
        </w:r>
        <w:r>
          <w:rPr>
            <w:noProof/>
            <w:webHidden/>
          </w:rPr>
        </w:r>
        <w:r>
          <w:rPr>
            <w:noProof/>
            <w:webHidden/>
          </w:rPr>
          <w:fldChar w:fldCharType="separate"/>
        </w:r>
        <w:r>
          <w:rPr>
            <w:noProof/>
            <w:webHidden/>
          </w:rPr>
          <w:t>28</w:t>
        </w:r>
        <w:r>
          <w:rPr>
            <w:noProof/>
            <w:webHidden/>
          </w:rPr>
          <w:fldChar w:fldCharType="end"/>
        </w:r>
      </w:hyperlink>
    </w:p>
    <w:p w14:paraId="2B87E7A0" w14:textId="77777777" w:rsidR="008B433C" w:rsidRDefault="008B433C">
      <w:pPr>
        <w:pStyle w:val="TOC6"/>
        <w:tabs>
          <w:tab w:val="right" w:leader="dot" w:pos="9061"/>
        </w:tabs>
        <w:rPr>
          <w:rFonts w:asciiTheme="minorHAnsi" w:eastAsiaTheme="minorEastAsia" w:hAnsiTheme="minorHAnsi" w:cstheme="minorBidi"/>
          <w:noProof/>
          <w:sz w:val="22"/>
          <w:szCs w:val="22"/>
          <w:lang w:val="en-US"/>
        </w:rPr>
      </w:pPr>
      <w:hyperlink w:anchor="_Toc409790515" w:history="1">
        <w:r w:rsidRPr="007E6E5D">
          <w:rPr>
            <w:rStyle w:val="Hyperlink"/>
            <w:noProof/>
          </w:rPr>
          <w:t>Mediation</w:t>
        </w:r>
        <w:r>
          <w:rPr>
            <w:noProof/>
            <w:webHidden/>
          </w:rPr>
          <w:tab/>
        </w:r>
        <w:r>
          <w:rPr>
            <w:noProof/>
            <w:webHidden/>
          </w:rPr>
          <w:fldChar w:fldCharType="begin"/>
        </w:r>
        <w:r>
          <w:rPr>
            <w:noProof/>
            <w:webHidden/>
          </w:rPr>
          <w:instrText xml:space="preserve"> PAGEREF _Toc409790515 \h </w:instrText>
        </w:r>
        <w:r>
          <w:rPr>
            <w:noProof/>
            <w:webHidden/>
          </w:rPr>
        </w:r>
        <w:r>
          <w:rPr>
            <w:noProof/>
            <w:webHidden/>
          </w:rPr>
          <w:fldChar w:fldCharType="separate"/>
        </w:r>
        <w:r>
          <w:rPr>
            <w:noProof/>
            <w:webHidden/>
          </w:rPr>
          <w:t>28</w:t>
        </w:r>
        <w:r>
          <w:rPr>
            <w:noProof/>
            <w:webHidden/>
          </w:rPr>
          <w:fldChar w:fldCharType="end"/>
        </w:r>
      </w:hyperlink>
    </w:p>
    <w:p w14:paraId="17CDA065" w14:textId="77777777" w:rsidR="008B433C" w:rsidRDefault="008B433C">
      <w:pPr>
        <w:pStyle w:val="TOC6"/>
        <w:tabs>
          <w:tab w:val="right" w:leader="dot" w:pos="9061"/>
        </w:tabs>
        <w:rPr>
          <w:rFonts w:asciiTheme="minorHAnsi" w:eastAsiaTheme="minorEastAsia" w:hAnsiTheme="minorHAnsi" w:cstheme="minorBidi"/>
          <w:noProof/>
          <w:sz w:val="22"/>
          <w:szCs w:val="22"/>
          <w:lang w:val="en-US"/>
        </w:rPr>
      </w:pPr>
      <w:hyperlink w:anchor="_Toc409790516" w:history="1">
        <w:r w:rsidRPr="007E6E5D">
          <w:rPr>
            <w:rStyle w:val="Hyperlink"/>
            <w:noProof/>
          </w:rPr>
          <w:t>Conciliation</w:t>
        </w:r>
        <w:r>
          <w:rPr>
            <w:noProof/>
            <w:webHidden/>
          </w:rPr>
          <w:tab/>
        </w:r>
        <w:r>
          <w:rPr>
            <w:noProof/>
            <w:webHidden/>
          </w:rPr>
          <w:fldChar w:fldCharType="begin"/>
        </w:r>
        <w:r>
          <w:rPr>
            <w:noProof/>
            <w:webHidden/>
          </w:rPr>
          <w:instrText xml:space="preserve"> PAGEREF _Toc409790516 \h </w:instrText>
        </w:r>
        <w:r>
          <w:rPr>
            <w:noProof/>
            <w:webHidden/>
          </w:rPr>
        </w:r>
        <w:r>
          <w:rPr>
            <w:noProof/>
            <w:webHidden/>
          </w:rPr>
          <w:fldChar w:fldCharType="separate"/>
        </w:r>
        <w:r>
          <w:rPr>
            <w:noProof/>
            <w:webHidden/>
          </w:rPr>
          <w:t>29</w:t>
        </w:r>
        <w:r>
          <w:rPr>
            <w:noProof/>
            <w:webHidden/>
          </w:rPr>
          <w:fldChar w:fldCharType="end"/>
        </w:r>
      </w:hyperlink>
    </w:p>
    <w:p w14:paraId="468F102B" w14:textId="77777777" w:rsidR="008B433C" w:rsidRDefault="008B433C">
      <w:pPr>
        <w:pStyle w:val="TOC6"/>
        <w:tabs>
          <w:tab w:val="right" w:leader="dot" w:pos="9061"/>
        </w:tabs>
        <w:rPr>
          <w:rFonts w:asciiTheme="minorHAnsi" w:eastAsiaTheme="minorEastAsia" w:hAnsiTheme="minorHAnsi" w:cstheme="minorBidi"/>
          <w:noProof/>
          <w:sz w:val="22"/>
          <w:szCs w:val="22"/>
          <w:lang w:val="en-US"/>
        </w:rPr>
      </w:pPr>
      <w:hyperlink w:anchor="_Toc409790517" w:history="1">
        <w:r w:rsidRPr="007E6E5D">
          <w:rPr>
            <w:rStyle w:val="Hyperlink"/>
            <w:noProof/>
          </w:rPr>
          <w:t>Arbitration</w:t>
        </w:r>
        <w:r>
          <w:rPr>
            <w:noProof/>
            <w:webHidden/>
          </w:rPr>
          <w:tab/>
        </w:r>
        <w:r>
          <w:rPr>
            <w:noProof/>
            <w:webHidden/>
          </w:rPr>
          <w:fldChar w:fldCharType="begin"/>
        </w:r>
        <w:r>
          <w:rPr>
            <w:noProof/>
            <w:webHidden/>
          </w:rPr>
          <w:instrText xml:space="preserve"> PAGEREF _Toc409790517 \h </w:instrText>
        </w:r>
        <w:r>
          <w:rPr>
            <w:noProof/>
            <w:webHidden/>
          </w:rPr>
        </w:r>
        <w:r>
          <w:rPr>
            <w:noProof/>
            <w:webHidden/>
          </w:rPr>
          <w:fldChar w:fldCharType="separate"/>
        </w:r>
        <w:r>
          <w:rPr>
            <w:noProof/>
            <w:webHidden/>
          </w:rPr>
          <w:t>30</w:t>
        </w:r>
        <w:r>
          <w:rPr>
            <w:noProof/>
            <w:webHidden/>
          </w:rPr>
          <w:fldChar w:fldCharType="end"/>
        </w:r>
      </w:hyperlink>
    </w:p>
    <w:p w14:paraId="796C146A" w14:textId="77777777" w:rsidR="008B433C" w:rsidRDefault="008B433C">
      <w:pPr>
        <w:pStyle w:val="TOC6"/>
        <w:tabs>
          <w:tab w:val="right" w:leader="dot" w:pos="9061"/>
        </w:tabs>
        <w:rPr>
          <w:rFonts w:asciiTheme="minorHAnsi" w:eastAsiaTheme="minorEastAsia" w:hAnsiTheme="minorHAnsi" w:cstheme="minorBidi"/>
          <w:noProof/>
          <w:sz w:val="22"/>
          <w:szCs w:val="22"/>
          <w:lang w:val="en-US"/>
        </w:rPr>
      </w:pPr>
      <w:hyperlink w:anchor="_Toc409790518" w:history="1">
        <w:r w:rsidRPr="007E6E5D">
          <w:rPr>
            <w:rStyle w:val="Hyperlink"/>
            <w:noProof/>
          </w:rPr>
          <w:t>Mediation</w:t>
        </w:r>
        <w:r>
          <w:rPr>
            <w:noProof/>
            <w:webHidden/>
          </w:rPr>
          <w:tab/>
        </w:r>
        <w:r>
          <w:rPr>
            <w:noProof/>
            <w:webHidden/>
          </w:rPr>
          <w:fldChar w:fldCharType="begin"/>
        </w:r>
        <w:r>
          <w:rPr>
            <w:noProof/>
            <w:webHidden/>
          </w:rPr>
          <w:instrText xml:space="preserve"> PAGEREF _Toc409790518 \h </w:instrText>
        </w:r>
        <w:r>
          <w:rPr>
            <w:noProof/>
            <w:webHidden/>
          </w:rPr>
        </w:r>
        <w:r>
          <w:rPr>
            <w:noProof/>
            <w:webHidden/>
          </w:rPr>
          <w:fldChar w:fldCharType="separate"/>
        </w:r>
        <w:r>
          <w:rPr>
            <w:noProof/>
            <w:webHidden/>
          </w:rPr>
          <w:t>30</w:t>
        </w:r>
        <w:r>
          <w:rPr>
            <w:noProof/>
            <w:webHidden/>
          </w:rPr>
          <w:fldChar w:fldCharType="end"/>
        </w:r>
      </w:hyperlink>
    </w:p>
    <w:p w14:paraId="42581BB2" w14:textId="77777777" w:rsidR="008B433C" w:rsidRDefault="008B433C">
      <w:pPr>
        <w:pStyle w:val="TOC6"/>
        <w:tabs>
          <w:tab w:val="right" w:leader="dot" w:pos="9061"/>
        </w:tabs>
        <w:rPr>
          <w:rFonts w:asciiTheme="minorHAnsi" w:eastAsiaTheme="minorEastAsia" w:hAnsiTheme="minorHAnsi" w:cstheme="minorBidi"/>
          <w:noProof/>
          <w:sz w:val="22"/>
          <w:szCs w:val="22"/>
          <w:lang w:val="en-US"/>
        </w:rPr>
      </w:pPr>
      <w:hyperlink w:anchor="_Toc409790519" w:history="1">
        <w:r w:rsidRPr="007E6E5D">
          <w:rPr>
            <w:rStyle w:val="Hyperlink"/>
            <w:noProof/>
          </w:rPr>
          <w:t>Conciliation</w:t>
        </w:r>
        <w:r>
          <w:rPr>
            <w:noProof/>
            <w:webHidden/>
          </w:rPr>
          <w:tab/>
        </w:r>
        <w:r>
          <w:rPr>
            <w:noProof/>
            <w:webHidden/>
          </w:rPr>
          <w:fldChar w:fldCharType="begin"/>
        </w:r>
        <w:r>
          <w:rPr>
            <w:noProof/>
            <w:webHidden/>
          </w:rPr>
          <w:instrText xml:space="preserve"> PAGEREF _Toc409790519 \h </w:instrText>
        </w:r>
        <w:r>
          <w:rPr>
            <w:noProof/>
            <w:webHidden/>
          </w:rPr>
        </w:r>
        <w:r>
          <w:rPr>
            <w:noProof/>
            <w:webHidden/>
          </w:rPr>
          <w:fldChar w:fldCharType="separate"/>
        </w:r>
        <w:r>
          <w:rPr>
            <w:noProof/>
            <w:webHidden/>
          </w:rPr>
          <w:t>30</w:t>
        </w:r>
        <w:r>
          <w:rPr>
            <w:noProof/>
            <w:webHidden/>
          </w:rPr>
          <w:fldChar w:fldCharType="end"/>
        </w:r>
      </w:hyperlink>
    </w:p>
    <w:p w14:paraId="492B58CD" w14:textId="77777777" w:rsidR="008B433C" w:rsidRDefault="008B433C">
      <w:pPr>
        <w:pStyle w:val="TOC6"/>
        <w:tabs>
          <w:tab w:val="right" w:leader="dot" w:pos="9061"/>
        </w:tabs>
        <w:rPr>
          <w:rFonts w:asciiTheme="minorHAnsi" w:eastAsiaTheme="minorEastAsia" w:hAnsiTheme="minorHAnsi" w:cstheme="minorBidi"/>
          <w:noProof/>
          <w:sz w:val="22"/>
          <w:szCs w:val="22"/>
          <w:lang w:val="en-US"/>
        </w:rPr>
      </w:pPr>
      <w:hyperlink w:anchor="_Toc409790520" w:history="1">
        <w:r w:rsidRPr="007E6E5D">
          <w:rPr>
            <w:rStyle w:val="Hyperlink"/>
            <w:noProof/>
          </w:rPr>
          <w:t>Arbitration</w:t>
        </w:r>
        <w:r>
          <w:rPr>
            <w:noProof/>
            <w:webHidden/>
          </w:rPr>
          <w:tab/>
        </w:r>
        <w:r>
          <w:rPr>
            <w:noProof/>
            <w:webHidden/>
          </w:rPr>
          <w:fldChar w:fldCharType="begin"/>
        </w:r>
        <w:r>
          <w:rPr>
            <w:noProof/>
            <w:webHidden/>
          </w:rPr>
          <w:instrText xml:space="preserve"> PAGEREF _Toc409790520 \h </w:instrText>
        </w:r>
        <w:r>
          <w:rPr>
            <w:noProof/>
            <w:webHidden/>
          </w:rPr>
        </w:r>
        <w:r>
          <w:rPr>
            <w:noProof/>
            <w:webHidden/>
          </w:rPr>
          <w:fldChar w:fldCharType="separate"/>
        </w:r>
        <w:r>
          <w:rPr>
            <w:noProof/>
            <w:webHidden/>
          </w:rPr>
          <w:t>31</w:t>
        </w:r>
        <w:r>
          <w:rPr>
            <w:noProof/>
            <w:webHidden/>
          </w:rPr>
          <w:fldChar w:fldCharType="end"/>
        </w:r>
      </w:hyperlink>
    </w:p>
    <w:p w14:paraId="1EFA81D9" w14:textId="77777777" w:rsidR="008B433C" w:rsidRDefault="008B433C">
      <w:pPr>
        <w:pStyle w:val="TOC6"/>
        <w:tabs>
          <w:tab w:val="right" w:leader="dot" w:pos="9061"/>
        </w:tabs>
        <w:rPr>
          <w:rFonts w:asciiTheme="minorHAnsi" w:eastAsiaTheme="minorEastAsia" w:hAnsiTheme="minorHAnsi" w:cstheme="minorBidi"/>
          <w:noProof/>
          <w:sz w:val="22"/>
          <w:szCs w:val="22"/>
          <w:lang w:val="en-US"/>
        </w:rPr>
      </w:pPr>
      <w:hyperlink w:anchor="_Toc409790521" w:history="1">
        <w:r w:rsidRPr="007E6E5D">
          <w:rPr>
            <w:rStyle w:val="Hyperlink"/>
            <w:noProof/>
          </w:rPr>
          <w:t>Mediation</w:t>
        </w:r>
        <w:r>
          <w:rPr>
            <w:noProof/>
            <w:webHidden/>
          </w:rPr>
          <w:tab/>
        </w:r>
        <w:r>
          <w:rPr>
            <w:noProof/>
            <w:webHidden/>
          </w:rPr>
          <w:fldChar w:fldCharType="begin"/>
        </w:r>
        <w:r>
          <w:rPr>
            <w:noProof/>
            <w:webHidden/>
          </w:rPr>
          <w:instrText xml:space="preserve"> PAGEREF _Toc409790521 \h </w:instrText>
        </w:r>
        <w:r>
          <w:rPr>
            <w:noProof/>
            <w:webHidden/>
          </w:rPr>
        </w:r>
        <w:r>
          <w:rPr>
            <w:noProof/>
            <w:webHidden/>
          </w:rPr>
          <w:fldChar w:fldCharType="separate"/>
        </w:r>
        <w:r>
          <w:rPr>
            <w:noProof/>
            <w:webHidden/>
          </w:rPr>
          <w:t>31</w:t>
        </w:r>
        <w:r>
          <w:rPr>
            <w:noProof/>
            <w:webHidden/>
          </w:rPr>
          <w:fldChar w:fldCharType="end"/>
        </w:r>
      </w:hyperlink>
    </w:p>
    <w:p w14:paraId="0B541F5A" w14:textId="77777777" w:rsidR="008B433C" w:rsidRDefault="008B433C">
      <w:pPr>
        <w:pStyle w:val="TOC6"/>
        <w:tabs>
          <w:tab w:val="right" w:leader="dot" w:pos="9061"/>
        </w:tabs>
        <w:rPr>
          <w:rFonts w:asciiTheme="minorHAnsi" w:eastAsiaTheme="minorEastAsia" w:hAnsiTheme="minorHAnsi" w:cstheme="minorBidi"/>
          <w:noProof/>
          <w:sz w:val="22"/>
          <w:szCs w:val="22"/>
          <w:lang w:val="en-US"/>
        </w:rPr>
      </w:pPr>
      <w:hyperlink w:anchor="_Toc409790522" w:history="1">
        <w:r w:rsidRPr="007E6E5D">
          <w:rPr>
            <w:rStyle w:val="Hyperlink"/>
            <w:noProof/>
          </w:rPr>
          <w:t>Conciliation</w:t>
        </w:r>
        <w:r>
          <w:rPr>
            <w:noProof/>
            <w:webHidden/>
          </w:rPr>
          <w:tab/>
        </w:r>
        <w:r>
          <w:rPr>
            <w:noProof/>
            <w:webHidden/>
          </w:rPr>
          <w:fldChar w:fldCharType="begin"/>
        </w:r>
        <w:r>
          <w:rPr>
            <w:noProof/>
            <w:webHidden/>
          </w:rPr>
          <w:instrText xml:space="preserve"> PAGEREF _Toc409790522 \h </w:instrText>
        </w:r>
        <w:r>
          <w:rPr>
            <w:noProof/>
            <w:webHidden/>
          </w:rPr>
        </w:r>
        <w:r>
          <w:rPr>
            <w:noProof/>
            <w:webHidden/>
          </w:rPr>
          <w:fldChar w:fldCharType="separate"/>
        </w:r>
        <w:r>
          <w:rPr>
            <w:noProof/>
            <w:webHidden/>
          </w:rPr>
          <w:t>31</w:t>
        </w:r>
        <w:r>
          <w:rPr>
            <w:noProof/>
            <w:webHidden/>
          </w:rPr>
          <w:fldChar w:fldCharType="end"/>
        </w:r>
      </w:hyperlink>
    </w:p>
    <w:p w14:paraId="3543780B" w14:textId="77777777" w:rsidR="008B433C" w:rsidRDefault="008B433C">
      <w:pPr>
        <w:pStyle w:val="TOC6"/>
        <w:tabs>
          <w:tab w:val="right" w:leader="dot" w:pos="9061"/>
        </w:tabs>
        <w:rPr>
          <w:rFonts w:asciiTheme="minorHAnsi" w:eastAsiaTheme="minorEastAsia" w:hAnsiTheme="minorHAnsi" w:cstheme="minorBidi"/>
          <w:noProof/>
          <w:sz w:val="22"/>
          <w:szCs w:val="22"/>
          <w:lang w:val="en-US"/>
        </w:rPr>
      </w:pPr>
      <w:hyperlink w:anchor="_Toc409790523" w:history="1">
        <w:r w:rsidRPr="007E6E5D">
          <w:rPr>
            <w:rStyle w:val="Hyperlink"/>
            <w:noProof/>
          </w:rPr>
          <w:t>Arbitration</w:t>
        </w:r>
        <w:r>
          <w:rPr>
            <w:noProof/>
            <w:webHidden/>
          </w:rPr>
          <w:tab/>
        </w:r>
        <w:r>
          <w:rPr>
            <w:noProof/>
            <w:webHidden/>
          </w:rPr>
          <w:fldChar w:fldCharType="begin"/>
        </w:r>
        <w:r>
          <w:rPr>
            <w:noProof/>
            <w:webHidden/>
          </w:rPr>
          <w:instrText xml:space="preserve"> PAGEREF _Toc409790523 \h </w:instrText>
        </w:r>
        <w:r>
          <w:rPr>
            <w:noProof/>
            <w:webHidden/>
          </w:rPr>
        </w:r>
        <w:r>
          <w:rPr>
            <w:noProof/>
            <w:webHidden/>
          </w:rPr>
          <w:fldChar w:fldCharType="separate"/>
        </w:r>
        <w:r>
          <w:rPr>
            <w:noProof/>
            <w:webHidden/>
          </w:rPr>
          <w:t>31</w:t>
        </w:r>
        <w:r>
          <w:rPr>
            <w:noProof/>
            <w:webHidden/>
          </w:rPr>
          <w:fldChar w:fldCharType="end"/>
        </w:r>
      </w:hyperlink>
    </w:p>
    <w:p w14:paraId="7861083F" w14:textId="77777777" w:rsidR="008B433C" w:rsidRDefault="008B433C">
      <w:pPr>
        <w:pStyle w:val="TOC6"/>
        <w:tabs>
          <w:tab w:val="right" w:leader="dot" w:pos="9061"/>
        </w:tabs>
        <w:rPr>
          <w:rFonts w:asciiTheme="minorHAnsi" w:eastAsiaTheme="minorEastAsia" w:hAnsiTheme="minorHAnsi" w:cstheme="minorBidi"/>
          <w:noProof/>
          <w:sz w:val="22"/>
          <w:szCs w:val="22"/>
          <w:lang w:val="en-US"/>
        </w:rPr>
      </w:pPr>
      <w:hyperlink w:anchor="_Toc409790524" w:history="1">
        <w:r w:rsidRPr="007E6E5D">
          <w:rPr>
            <w:rStyle w:val="Hyperlink"/>
            <w:noProof/>
          </w:rPr>
          <w:t>Mediation</w:t>
        </w:r>
        <w:r>
          <w:rPr>
            <w:noProof/>
            <w:webHidden/>
          </w:rPr>
          <w:tab/>
        </w:r>
        <w:r>
          <w:rPr>
            <w:noProof/>
            <w:webHidden/>
          </w:rPr>
          <w:fldChar w:fldCharType="begin"/>
        </w:r>
        <w:r>
          <w:rPr>
            <w:noProof/>
            <w:webHidden/>
          </w:rPr>
          <w:instrText xml:space="preserve"> PAGEREF _Toc409790524 \h </w:instrText>
        </w:r>
        <w:r>
          <w:rPr>
            <w:noProof/>
            <w:webHidden/>
          </w:rPr>
        </w:r>
        <w:r>
          <w:rPr>
            <w:noProof/>
            <w:webHidden/>
          </w:rPr>
          <w:fldChar w:fldCharType="separate"/>
        </w:r>
        <w:r>
          <w:rPr>
            <w:noProof/>
            <w:webHidden/>
          </w:rPr>
          <w:t>31</w:t>
        </w:r>
        <w:r>
          <w:rPr>
            <w:noProof/>
            <w:webHidden/>
          </w:rPr>
          <w:fldChar w:fldCharType="end"/>
        </w:r>
      </w:hyperlink>
    </w:p>
    <w:p w14:paraId="3D865950" w14:textId="77777777" w:rsidR="008B433C" w:rsidRDefault="008B433C">
      <w:pPr>
        <w:pStyle w:val="TOC6"/>
        <w:tabs>
          <w:tab w:val="right" w:leader="dot" w:pos="9061"/>
        </w:tabs>
        <w:rPr>
          <w:rFonts w:asciiTheme="minorHAnsi" w:eastAsiaTheme="minorEastAsia" w:hAnsiTheme="minorHAnsi" w:cstheme="minorBidi"/>
          <w:noProof/>
          <w:sz w:val="22"/>
          <w:szCs w:val="22"/>
          <w:lang w:val="en-US"/>
        </w:rPr>
      </w:pPr>
      <w:hyperlink w:anchor="_Toc409790525" w:history="1">
        <w:r w:rsidRPr="007E6E5D">
          <w:rPr>
            <w:rStyle w:val="Hyperlink"/>
            <w:noProof/>
          </w:rPr>
          <w:t>Conciliation</w:t>
        </w:r>
        <w:r>
          <w:rPr>
            <w:noProof/>
            <w:webHidden/>
          </w:rPr>
          <w:tab/>
        </w:r>
        <w:r>
          <w:rPr>
            <w:noProof/>
            <w:webHidden/>
          </w:rPr>
          <w:fldChar w:fldCharType="begin"/>
        </w:r>
        <w:r>
          <w:rPr>
            <w:noProof/>
            <w:webHidden/>
          </w:rPr>
          <w:instrText xml:space="preserve"> PAGEREF _Toc409790525 \h </w:instrText>
        </w:r>
        <w:r>
          <w:rPr>
            <w:noProof/>
            <w:webHidden/>
          </w:rPr>
        </w:r>
        <w:r>
          <w:rPr>
            <w:noProof/>
            <w:webHidden/>
          </w:rPr>
          <w:fldChar w:fldCharType="separate"/>
        </w:r>
        <w:r>
          <w:rPr>
            <w:noProof/>
            <w:webHidden/>
          </w:rPr>
          <w:t>31</w:t>
        </w:r>
        <w:r>
          <w:rPr>
            <w:noProof/>
            <w:webHidden/>
          </w:rPr>
          <w:fldChar w:fldCharType="end"/>
        </w:r>
      </w:hyperlink>
    </w:p>
    <w:p w14:paraId="661D38CA" w14:textId="77777777" w:rsidR="008B433C" w:rsidRDefault="008B433C">
      <w:pPr>
        <w:pStyle w:val="TOC6"/>
        <w:tabs>
          <w:tab w:val="right" w:leader="dot" w:pos="9061"/>
        </w:tabs>
        <w:rPr>
          <w:rFonts w:asciiTheme="minorHAnsi" w:eastAsiaTheme="minorEastAsia" w:hAnsiTheme="minorHAnsi" w:cstheme="minorBidi"/>
          <w:noProof/>
          <w:sz w:val="22"/>
          <w:szCs w:val="22"/>
          <w:lang w:val="en-US"/>
        </w:rPr>
      </w:pPr>
      <w:hyperlink w:anchor="_Toc409790526" w:history="1">
        <w:r w:rsidRPr="007E6E5D">
          <w:rPr>
            <w:rStyle w:val="Hyperlink"/>
            <w:noProof/>
          </w:rPr>
          <w:t>Arbitration</w:t>
        </w:r>
        <w:r>
          <w:rPr>
            <w:noProof/>
            <w:webHidden/>
          </w:rPr>
          <w:tab/>
        </w:r>
        <w:r>
          <w:rPr>
            <w:noProof/>
            <w:webHidden/>
          </w:rPr>
          <w:fldChar w:fldCharType="begin"/>
        </w:r>
        <w:r>
          <w:rPr>
            <w:noProof/>
            <w:webHidden/>
          </w:rPr>
          <w:instrText xml:space="preserve"> PAGEREF _Toc409790526 \h </w:instrText>
        </w:r>
        <w:r>
          <w:rPr>
            <w:noProof/>
            <w:webHidden/>
          </w:rPr>
        </w:r>
        <w:r>
          <w:rPr>
            <w:noProof/>
            <w:webHidden/>
          </w:rPr>
          <w:fldChar w:fldCharType="separate"/>
        </w:r>
        <w:r>
          <w:rPr>
            <w:noProof/>
            <w:webHidden/>
          </w:rPr>
          <w:t>31</w:t>
        </w:r>
        <w:r>
          <w:rPr>
            <w:noProof/>
            <w:webHidden/>
          </w:rPr>
          <w:fldChar w:fldCharType="end"/>
        </w:r>
      </w:hyperlink>
    </w:p>
    <w:p w14:paraId="0A187859" w14:textId="77777777" w:rsidR="008B433C" w:rsidRDefault="008B433C">
      <w:pPr>
        <w:pStyle w:val="TOC3"/>
        <w:rPr>
          <w:rFonts w:asciiTheme="minorHAnsi" w:eastAsiaTheme="minorEastAsia" w:hAnsiTheme="minorHAnsi" w:cstheme="minorBidi"/>
          <w:noProof/>
          <w:sz w:val="22"/>
          <w:szCs w:val="22"/>
          <w:lang w:val="en-US"/>
        </w:rPr>
      </w:pPr>
      <w:hyperlink w:anchor="_Toc409790527" w:history="1">
        <w:r w:rsidRPr="007E6E5D">
          <w:rPr>
            <w:rStyle w:val="Hyperlink"/>
            <w:noProof/>
          </w:rPr>
          <w:t>3.9</w:t>
        </w:r>
        <w:r>
          <w:rPr>
            <w:rFonts w:asciiTheme="minorHAnsi" w:eastAsiaTheme="minorEastAsia" w:hAnsiTheme="minorHAnsi" w:cstheme="minorBidi"/>
            <w:noProof/>
            <w:sz w:val="22"/>
            <w:szCs w:val="22"/>
            <w:lang w:val="en-US"/>
          </w:rPr>
          <w:tab/>
        </w:r>
        <w:r w:rsidRPr="007E6E5D">
          <w:rPr>
            <w:rStyle w:val="Hyperlink"/>
            <w:noProof/>
          </w:rPr>
          <w:t>Remedies or compensation for violation of rights and failure to act</w:t>
        </w:r>
        <w:r>
          <w:rPr>
            <w:noProof/>
            <w:webHidden/>
          </w:rPr>
          <w:tab/>
        </w:r>
        <w:r>
          <w:rPr>
            <w:noProof/>
            <w:webHidden/>
          </w:rPr>
          <w:fldChar w:fldCharType="begin"/>
        </w:r>
        <w:r>
          <w:rPr>
            <w:noProof/>
            <w:webHidden/>
          </w:rPr>
          <w:instrText xml:space="preserve"> PAGEREF _Toc409790527 \h </w:instrText>
        </w:r>
        <w:r>
          <w:rPr>
            <w:noProof/>
            <w:webHidden/>
          </w:rPr>
        </w:r>
        <w:r>
          <w:rPr>
            <w:noProof/>
            <w:webHidden/>
          </w:rPr>
          <w:fldChar w:fldCharType="separate"/>
        </w:r>
        <w:r>
          <w:rPr>
            <w:noProof/>
            <w:webHidden/>
          </w:rPr>
          <w:t>32</w:t>
        </w:r>
        <w:r>
          <w:rPr>
            <w:noProof/>
            <w:webHidden/>
          </w:rPr>
          <w:fldChar w:fldCharType="end"/>
        </w:r>
      </w:hyperlink>
    </w:p>
    <w:p w14:paraId="67CDB570" w14:textId="77777777" w:rsidR="008B433C" w:rsidRDefault="008B433C">
      <w:pPr>
        <w:pStyle w:val="TOC3"/>
        <w:rPr>
          <w:rFonts w:asciiTheme="minorHAnsi" w:eastAsiaTheme="minorEastAsia" w:hAnsiTheme="minorHAnsi" w:cstheme="minorBidi"/>
          <w:noProof/>
          <w:sz w:val="22"/>
          <w:szCs w:val="22"/>
          <w:lang w:val="en-US"/>
        </w:rPr>
      </w:pPr>
      <w:hyperlink w:anchor="_Toc409790528" w:history="1">
        <w:r w:rsidRPr="007E6E5D">
          <w:rPr>
            <w:rStyle w:val="Hyperlink"/>
            <w:noProof/>
          </w:rPr>
          <w:t>3.10</w:t>
        </w:r>
        <w:r>
          <w:rPr>
            <w:rFonts w:asciiTheme="minorHAnsi" w:eastAsiaTheme="minorEastAsia" w:hAnsiTheme="minorHAnsi" w:cstheme="minorBidi"/>
            <w:noProof/>
            <w:sz w:val="22"/>
            <w:szCs w:val="22"/>
            <w:lang w:val="en-US"/>
          </w:rPr>
          <w:tab/>
        </w:r>
        <w:r w:rsidRPr="007E6E5D">
          <w:rPr>
            <w:rStyle w:val="Hyperlink"/>
            <w:noProof/>
          </w:rPr>
          <w:t>Legal costs</w:t>
        </w:r>
        <w:r>
          <w:rPr>
            <w:noProof/>
            <w:webHidden/>
          </w:rPr>
          <w:tab/>
        </w:r>
        <w:r>
          <w:rPr>
            <w:noProof/>
            <w:webHidden/>
          </w:rPr>
          <w:fldChar w:fldCharType="begin"/>
        </w:r>
        <w:r>
          <w:rPr>
            <w:noProof/>
            <w:webHidden/>
          </w:rPr>
          <w:instrText xml:space="preserve"> PAGEREF _Toc409790528 \h </w:instrText>
        </w:r>
        <w:r>
          <w:rPr>
            <w:noProof/>
            <w:webHidden/>
          </w:rPr>
        </w:r>
        <w:r>
          <w:rPr>
            <w:noProof/>
            <w:webHidden/>
          </w:rPr>
          <w:fldChar w:fldCharType="separate"/>
        </w:r>
        <w:r>
          <w:rPr>
            <w:noProof/>
            <w:webHidden/>
          </w:rPr>
          <w:t>33</w:t>
        </w:r>
        <w:r>
          <w:rPr>
            <w:noProof/>
            <w:webHidden/>
          </w:rPr>
          <w:fldChar w:fldCharType="end"/>
        </w:r>
      </w:hyperlink>
    </w:p>
    <w:p w14:paraId="59B671FD" w14:textId="77777777" w:rsidR="008B433C" w:rsidRDefault="008B433C">
      <w:pPr>
        <w:pStyle w:val="TOC4"/>
        <w:rPr>
          <w:rFonts w:asciiTheme="minorHAnsi" w:eastAsiaTheme="minorEastAsia" w:hAnsiTheme="minorHAnsi" w:cstheme="minorBidi"/>
          <w:noProof/>
          <w:sz w:val="22"/>
          <w:szCs w:val="22"/>
          <w:lang w:val="en-US"/>
        </w:rPr>
      </w:pPr>
      <w:hyperlink w:anchor="_Toc409790529" w:history="1">
        <w:r w:rsidRPr="007E6E5D">
          <w:rPr>
            <w:rStyle w:val="Hyperlink"/>
            <w:noProof/>
          </w:rPr>
          <w:t>3.10.1</w:t>
        </w:r>
        <w:r>
          <w:rPr>
            <w:rFonts w:asciiTheme="minorHAnsi" w:eastAsiaTheme="minorEastAsia" w:hAnsiTheme="minorHAnsi" w:cstheme="minorBidi"/>
            <w:noProof/>
            <w:sz w:val="22"/>
            <w:szCs w:val="22"/>
            <w:lang w:val="en-US"/>
          </w:rPr>
          <w:tab/>
        </w:r>
        <w:r w:rsidRPr="007E6E5D">
          <w:rPr>
            <w:rStyle w:val="Hyperlink"/>
            <w:noProof/>
          </w:rPr>
          <w:t>General rules applicable to children involved in civil judicial proceedings regardless of their role</w:t>
        </w:r>
        <w:r>
          <w:rPr>
            <w:noProof/>
            <w:webHidden/>
          </w:rPr>
          <w:tab/>
        </w:r>
        <w:r>
          <w:rPr>
            <w:noProof/>
            <w:webHidden/>
          </w:rPr>
          <w:fldChar w:fldCharType="begin"/>
        </w:r>
        <w:r>
          <w:rPr>
            <w:noProof/>
            <w:webHidden/>
          </w:rPr>
          <w:instrText xml:space="preserve"> PAGEREF _Toc409790529 \h </w:instrText>
        </w:r>
        <w:r>
          <w:rPr>
            <w:noProof/>
            <w:webHidden/>
          </w:rPr>
        </w:r>
        <w:r>
          <w:rPr>
            <w:noProof/>
            <w:webHidden/>
          </w:rPr>
          <w:fldChar w:fldCharType="separate"/>
        </w:r>
        <w:r>
          <w:rPr>
            <w:noProof/>
            <w:webHidden/>
          </w:rPr>
          <w:t>33</w:t>
        </w:r>
        <w:r>
          <w:rPr>
            <w:noProof/>
            <w:webHidden/>
          </w:rPr>
          <w:fldChar w:fldCharType="end"/>
        </w:r>
      </w:hyperlink>
    </w:p>
    <w:p w14:paraId="473FCAC1" w14:textId="77777777" w:rsidR="008B433C" w:rsidRDefault="008B433C">
      <w:pPr>
        <w:pStyle w:val="TOC3"/>
        <w:rPr>
          <w:rFonts w:asciiTheme="minorHAnsi" w:eastAsiaTheme="minorEastAsia" w:hAnsiTheme="minorHAnsi" w:cstheme="minorBidi"/>
          <w:noProof/>
          <w:sz w:val="22"/>
          <w:szCs w:val="22"/>
          <w:lang w:val="en-US"/>
        </w:rPr>
      </w:pPr>
      <w:hyperlink w:anchor="_Toc409790530" w:history="1">
        <w:r w:rsidRPr="007E6E5D">
          <w:rPr>
            <w:rStyle w:val="Hyperlink"/>
            <w:noProof/>
          </w:rPr>
          <w:t>3.11</w:t>
        </w:r>
        <w:r>
          <w:rPr>
            <w:rFonts w:asciiTheme="minorHAnsi" w:eastAsiaTheme="minorEastAsia" w:hAnsiTheme="minorHAnsi" w:cstheme="minorBidi"/>
            <w:noProof/>
            <w:sz w:val="22"/>
            <w:szCs w:val="22"/>
            <w:lang w:val="en-US"/>
          </w:rPr>
          <w:tab/>
        </w:r>
        <w:r w:rsidRPr="007E6E5D">
          <w:rPr>
            <w:rStyle w:val="Hyperlink"/>
            <w:noProof/>
          </w:rPr>
          <w:t>Enforcement of civil court judgements</w:t>
        </w:r>
        <w:r>
          <w:rPr>
            <w:noProof/>
            <w:webHidden/>
          </w:rPr>
          <w:tab/>
        </w:r>
        <w:r>
          <w:rPr>
            <w:noProof/>
            <w:webHidden/>
          </w:rPr>
          <w:fldChar w:fldCharType="begin"/>
        </w:r>
        <w:r>
          <w:rPr>
            <w:noProof/>
            <w:webHidden/>
          </w:rPr>
          <w:instrText xml:space="preserve"> PAGEREF _Toc409790530 \h </w:instrText>
        </w:r>
        <w:r>
          <w:rPr>
            <w:noProof/>
            <w:webHidden/>
          </w:rPr>
        </w:r>
        <w:r>
          <w:rPr>
            <w:noProof/>
            <w:webHidden/>
          </w:rPr>
          <w:fldChar w:fldCharType="separate"/>
        </w:r>
        <w:r>
          <w:rPr>
            <w:noProof/>
            <w:webHidden/>
          </w:rPr>
          <w:t>34</w:t>
        </w:r>
        <w:r>
          <w:rPr>
            <w:noProof/>
            <w:webHidden/>
          </w:rPr>
          <w:fldChar w:fldCharType="end"/>
        </w:r>
      </w:hyperlink>
    </w:p>
    <w:p w14:paraId="755231C4" w14:textId="77777777" w:rsidR="008B433C" w:rsidRDefault="008B433C">
      <w:pPr>
        <w:pStyle w:val="TOC6"/>
        <w:tabs>
          <w:tab w:val="right" w:leader="dot" w:pos="9061"/>
        </w:tabs>
        <w:rPr>
          <w:rFonts w:asciiTheme="minorHAnsi" w:eastAsiaTheme="minorEastAsia" w:hAnsiTheme="minorHAnsi" w:cstheme="minorBidi"/>
          <w:noProof/>
          <w:sz w:val="22"/>
          <w:szCs w:val="22"/>
          <w:lang w:val="en-US"/>
        </w:rPr>
      </w:pPr>
      <w:hyperlink w:anchor="_Toc409790531" w:history="1">
        <w:r w:rsidRPr="007E6E5D">
          <w:rPr>
            <w:rStyle w:val="Hyperlink"/>
            <w:noProof/>
          </w:rPr>
          <w:t>Measures available to protect the child during enforcement proceedings</w:t>
        </w:r>
        <w:r>
          <w:rPr>
            <w:noProof/>
            <w:webHidden/>
          </w:rPr>
          <w:tab/>
        </w:r>
        <w:r>
          <w:rPr>
            <w:noProof/>
            <w:webHidden/>
          </w:rPr>
          <w:fldChar w:fldCharType="begin"/>
        </w:r>
        <w:r>
          <w:rPr>
            <w:noProof/>
            <w:webHidden/>
          </w:rPr>
          <w:instrText xml:space="preserve"> PAGEREF _Toc409790531 \h </w:instrText>
        </w:r>
        <w:r>
          <w:rPr>
            <w:noProof/>
            <w:webHidden/>
          </w:rPr>
        </w:r>
        <w:r>
          <w:rPr>
            <w:noProof/>
            <w:webHidden/>
          </w:rPr>
          <w:fldChar w:fldCharType="separate"/>
        </w:r>
        <w:r>
          <w:rPr>
            <w:noProof/>
            <w:webHidden/>
          </w:rPr>
          <w:t>34</w:t>
        </w:r>
        <w:r>
          <w:rPr>
            <w:noProof/>
            <w:webHidden/>
          </w:rPr>
          <w:fldChar w:fldCharType="end"/>
        </w:r>
      </w:hyperlink>
    </w:p>
    <w:p w14:paraId="6D4C1C5E" w14:textId="77777777" w:rsidR="008B433C" w:rsidRDefault="008B433C">
      <w:pPr>
        <w:pStyle w:val="TOC6"/>
        <w:tabs>
          <w:tab w:val="right" w:leader="dot" w:pos="9061"/>
        </w:tabs>
        <w:rPr>
          <w:rFonts w:asciiTheme="minorHAnsi" w:eastAsiaTheme="minorEastAsia" w:hAnsiTheme="minorHAnsi" w:cstheme="minorBidi"/>
          <w:noProof/>
          <w:sz w:val="22"/>
          <w:szCs w:val="22"/>
          <w:lang w:val="en-US"/>
        </w:rPr>
      </w:pPr>
      <w:hyperlink w:anchor="_Toc409790532" w:history="1">
        <w:r w:rsidRPr="007E6E5D">
          <w:rPr>
            <w:rStyle w:val="Hyperlink"/>
            <w:noProof/>
          </w:rPr>
          <w:t>Enforceability of the judgement</w:t>
        </w:r>
        <w:r>
          <w:rPr>
            <w:noProof/>
            <w:webHidden/>
          </w:rPr>
          <w:tab/>
        </w:r>
        <w:r>
          <w:rPr>
            <w:noProof/>
            <w:webHidden/>
          </w:rPr>
          <w:fldChar w:fldCharType="begin"/>
        </w:r>
        <w:r>
          <w:rPr>
            <w:noProof/>
            <w:webHidden/>
          </w:rPr>
          <w:instrText xml:space="preserve"> PAGEREF _Toc409790532 \h </w:instrText>
        </w:r>
        <w:r>
          <w:rPr>
            <w:noProof/>
            <w:webHidden/>
          </w:rPr>
        </w:r>
        <w:r>
          <w:rPr>
            <w:noProof/>
            <w:webHidden/>
          </w:rPr>
          <w:fldChar w:fldCharType="separate"/>
        </w:r>
        <w:r>
          <w:rPr>
            <w:noProof/>
            <w:webHidden/>
          </w:rPr>
          <w:t>34</w:t>
        </w:r>
        <w:r>
          <w:rPr>
            <w:noProof/>
            <w:webHidden/>
          </w:rPr>
          <w:fldChar w:fldCharType="end"/>
        </w:r>
      </w:hyperlink>
    </w:p>
    <w:p w14:paraId="1BE93F35" w14:textId="77777777" w:rsidR="008B433C" w:rsidRDefault="008B433C">
      <w:pPr>
        <w:pStyle w:val="TOC6"/>
        <w:tabs>
          <w:tab w:val="right" w:leader="dot" w:pos="9061"/>
        </w:tabs>
        <w:rPr>
          <w:rFonts w:asciiTheme="minorHAnsi" w:eastAsiaTheme="minorEastAsia" w:hAnsiTheme="minorHAnsi" w:cstheme="minorBidi"/>
          <w:noProof/>
          <w:sz w:val="22"/>
          <w:szCs w:val="22"/>
          <w:lang w:val="en-US"/>
        </w:rPr>
      </w:pPr>
      <w:hyperlink w:anchor="_Toc409790533" w:history="1">
        <w:r w:rsidRPr="007E6E5D">
          <w:rPr>
            <w:rStyle w:val="Hyperlink"/>
            <w:noProof/>
          </w:rPr>
          <w:t>Coercive measures available to enforce</w:t>
        </w:r>
        <w:r>
          <w:rPr>
            <w:noProof/>
            <w:webHidden/>
          </w:rPr>
          <w:tab/>
        </w:r>
        <w:r>
          <w:rPr>
            <w:noProof/>
            <w:webHidden/>
          </w:rPr>
          <w:fldChar w:fldCharType="begin"/>
        </w:r>
        <w:r>
          <w:rPr>
            <w:noProof/>
            <w:webHidden/>
          </w:rPr>
          <w:instrText xml:space="preserve"> PAGEREF _Toc409790533 \h </w:instrText>
        </w:r>
        <w:r>
          <w:rPr>
            <w:noProof/>
            <w:webHidden/>
          </w:rPr>
        </w:r>
        <w:r>
          <w:rPr>
            <w:noProof/>
            <w:webHidden/>
          </w:rPr>
          <w:fldChar w:fldCharType="separate"/>
        </w:r>
        <w:r>
          <w:rPr>
            <w:noProof/>
            <w:webHidden/>
          </w:rPr>
          <w:t>35</w:t>
        </w:r>
        <w:r>
          <w:rPr>
            <w:noProof/>
            <w:webHidden/>
          </w:rPr>
          <w:fldChar w:fldCharType="end"/>
        </w:r>
      </w:hyperlink>
    </w:p>
    <w:p w14:paraId="5E2A8DDF" w14:textId="77777777" w:rsidR="008B433C" w:rsidRDefault="008B433C">
      <w:pPr>
        <w:pStyle w:val="TOC6"/>
        <w:tabs>
          <w:tab w:val="right" w:leader="dot" w:pos="9061"/>
        </w:tabs>
        <w:rPr>
          <w:rFonts w:asciiTheme="minorHAnsi" w:eastAsiaTheme="minorEastAsia" w:hAnsiTheme="minorHAnsi" w:cstheme="minorBidi"/>
          <w:noProof/>
          <w:sz w:val="22"/>
          <w:szCs w:val="22"/>
          <w:lang w:val="en-US"/>
        </w:rPr>
      </w:pPr>
      <w:hyperlink w:anchor="_Toc409790534" w:history="1">
        <w:r w:rsidRPr="007E6E5D">
          <w:rPr>
            <w:rStyle w:val="Hyperlink"/>
            <w:noProof/>
          </w:rPr>
          <w:t>Information about the judgement</w:t>
        </w:r>
        <w:r>
          <w:rPr>
            <w:noProof/>
            <w:webHidden/>
          </w:rPr>
          <w:tab/>
        </w:r>
        <w:r>
          <w:rPr>
            <w:noProof/>
            <w:webHidden/>
          </w:rPr>
          <w:fldChar w:fldCharType="begin"/>
        </w:r>
        <w:r>
          <w:rPr>
            <w:noProof/>
            <w:webHidden/>
          </w:rPr>
          <w:instrText xml:space="preserve"> PAGEREF _Toc409790534 \h </w:instrText>
        </w:r>
        <w:r>
          <w:rPr>
            <w:noProof/>
            <w:webHidden/>
          </w:rPr>
        </w:r>
        <w:r>
          <w:rPr>
            <w:noProof/>
            <w:webHidden/>
          </w:rPr>
          <w:fldChar w:fldCharType="separate"/>
        </w:r>
        <w:r>
          <w:rPr>
            <w:noProof/>
            <w:webHidden/>
          </w:rPr>
          <w:t>35</w:t>
        </w:r>
        <w:r>
          <w:rPr>
            <w:noProof/>
            <w:webHidden/>
          </w:rPr>
          <w:fldChar w:fldCharType="end"/>
        </w:r>
      </w:hyperlink>
    </w:p>
    <w:p w14:paraId="21919801" w14:textId="77777777" w:rsidR="008B433C" w:rsidRDefault="008B433C">
      <w:pPr>
        <w:pStyle w:val="TOC6"/>
        <w:tabs>
          <w:tab w:val="right" w:leader="dot" w:pos="9061"/>
        </w:tabs>
        <w:rPr>
          <w:rFonts w:asciiTheme="minorHAnsi" w:eastAsiaTheme="minorEastAsia" w:hAnsiTheme="minorHAnsi" w:cstheme="minorBidi"/>
          <w:noProof/>
          <w:sz w:val="22"/>
          <w:szCs w:val="22"/>
          <w:lang w:val="en-US"/>
        </w:rPr>
      </w:pPr>
      <w:hyperlink w:anchor="_Toc409790535" w:history="1">
        <w:r w:rsidRPr="007E6E5D">
          <w:rPr>
            <w:rStyle w:val="Hyperlink"/>
            <w:noProof/>
          </w:rPr>
          <w:t>Family law judgements</w:t>
        </w:r>
        <w:r>
          <w:rPr>
            <w:noProof/>
            <w:webHidden/>
          </w:rPr>
          <w:tab/>
        </w:r>
        <w:r>
          <w:rPr>
            <w:noProof/>
            <w:webHidden/>
          </w:rPr>
          <w:fldChar w:fldCharType="begin"/>
        </w:r>
        <w:r>
          <w:rPr>
            <w:noProof/>
            <w:webHidden/>
          </w:rPr>
          <w:instrText xml:space="preserve"> PAGEREF _Toc409790535 \h </w:instrText>
        </w:r>
        <w:r>
          <w:rPr>
            <w:noProof/>
            <w:webHidden/>
          </w:rPr>
        </w:r>
        <w:r>
          <w:rPr>
            <w:noProof/>
            <w:webHidden/>
          </w:rPr>
          <w:fldChar w:fldCharType="separate"/>
        </w:r>
        <w:r>
          <w:rPr>
            <w:noProof/>
            <w:webHidden/>
          </w:rPr>
          <w:t>36</w:t>
        </w:r>
        <w:r>
          <w:rPr>
            <w:noProof/>
            <w:webHidden/>
          </w:rPr>
          <w:fldChar w:fldCharType="end"/>
        </w:r>
      </w:hyperlink>
    </w:p>
    <w:p w14:paraId="698118BB" w14:textId="77777777" w:rsidR="008B433C" w:rsidRDefault="008B433C">
      <w:pPr>
        <w:pStyle w:val="TOC1"/>
        <w:rPr>
          <w:rFonts w:asciiTheme="minorHAnsi" w:eastAsiaTheme="minorEastAsia" w:hAnsiTheme="minorHAnsi" w:cstheme="minorBidi"/>
          <w:b w:val="0"/>
          <w:noProof/>
          <w:color w:val="auto"/>
          <w:sz w:val="22"/>
          <w:szCs w:val="22"/>
          <w:lang w:val="en-US"/>
        </w:rPr>
      </w:pPr>
      <w:hyperlink w:anchor="_Toc409790536" w:history="1">
        <w:r w:rsidRPr="007E6E5D">
          <w:rPr>
            <w:rStyle w:val="Hyperlink"/>
            <w:noProof/>
          </w:rPr>
          <w:t>Conclusions</w:t>
        </w:r>
        <w:r>
          <w:rPr>
            <w:noProof/>
            <w:webHidden/>
          </w:rPr>
          <w:tab/>
        </w:r>
        <w:r>
          <w:rPr>
            <w:noProof/>
            <w:webHidden/>
          </w:rPr>
          <w:fldChar w:fldCharType="begin"/>
        </w:r>
        <w:r>
          <w:rPr>
            <w:noProof/>
            <w:webHidden/>
          </w:rPr>
          <w:instrText xml:space="preserve"> PAGEREF _Toc409790536 \h </w:instrText>
        </w:r>
        <w:r>
          <w:rPr>
            <w:noProof/>
            <w:webHidden/>
          </w:rPr>
        </w:r>
        <w:r>
          <w:rPr>
            <w:noProof/>
            <w:webHidden/>
          </w:rPr>
          <w:fldChar w:fldCharType="separate"/>
        </w:r>
        <w:r>
          <w:rPr>
            <w:noProof/>
            <w:webHidden/>
          </w:rPr>
          <w:t>37</w:t>
        </w:r>
        <w:r>
          <w:rPr>
            <w:noProof/>
            <w:webHidden/>
          </w:rPr>
          <w:fldChar w:fldCharType="end"/>
        </w:r>
      </w:hyperlink>
    </w:p>
    <w:p w14:paraId="189EAAE2" w14:textId="77777777" w:rsidR="008B433C" w:rsidRDefault="008B433C">
      <w:pPr>
        <w:pStyle w:val="TOC6"/>
        <w:tabs>
          <w:tab w:val="right" w:leader="dot" w:pos="9061"/>
        </w:tabs>
        <w:rPr>
          <w:rFonts w:asciiTheme="minorHAnsi" w:eastAsiaTheme="minorEastAsia" w:hAnsiTheme="minorHAnsi" w:cstheme="minorBidi"/>
          <w:noProof/>
          <w:sz w:val="22"/>
          <w:szCs w:val="22"/>
          <w:lang w:val="en-US"/>
        </w:rPr>
      </w:pPr>
      <w:hyperlink w:anchor="_Toc409790537" w:history="1">
        <w:r w:rsidRPr="007E6E5D">
          <w:rPr>
            <w:rStyle w:val="Hyperlink"/>
            <w:noProof/>
          </w:rPr>
          <w:t>Institutional and legal framework</w:t>
        </w:r>
        <w:r>
          <w:rPr>
            <w:noProof/>
            <w:webHidden/>
          </w:rPr>
          <w:tab/>
        </w:r>
        <w:r>
          <w:rPr>
            <w:noProof/>
            <w:webHidden/>
          </w:rPr>
          <w:fldChar w:fldCharType="begin"/>
        </w:r>
        <w:r>
          <w:rPr>
            <w:noProof/>
            <w:webHidden/>
          </w:rPr>
          <w:instrText xml:space="preserve"> PAGEREF _Toc409790537 \h </w:instrText>
        </w:r>
        <w:r>
          <w:rPr>
            <w:noProof/>
            <w:webHidden/>
          </w:rPr>
        </w:r>
        <w:r>
          <w:rPr>
            <w:noProof/>
            <w:webHidden/>
          </w:rPr>
          <w:fldChar w:fldCharType="separate"/>
        </w:r>
        <w:r>
          <w:rPr>
            <w:noProof/>
            <w:webHidden/>
          </w:rPr>
          <w:t>37</w:t>
        </w:r>
        <w:r>
          <w:rPr>
            <w:noProof/>
            <w:webHidden/>
          </w:rPr>
          <w:fldChar w:fldCharType="end"/>
        </w:r>
      </w:hyperlink>
    </w:p>
    <w:p w14:paraId="1A0E57A0" w14:textId="77777777" w:rsidR="008B433C" w:rsidRDefault="008B433C">
      <w:pPr>
        <w:pStyle w:val="TOC6"/>
        <w:tabs>
          <w:tab w:val="right" w:leader="dot" w:pos="9061"/>
        </w:tabs>
        <w:rPr>
          <w:rFonts w:asciiTheme="minorHAnsi" w:eastAsiaTheme="minorEastAsia" w:hAnsiTheme="minorHAnsi" w:cstheme="minorBidi"/>
          <w:noProof/>
          <w:sz w:val="22"/>
          <w:szCs w:val="22"/>
          <w:lang w:val="en-US"/>
        </w:rPr>
      </w:pPr>
      <w:hyperlink w:anchor="_Toc409790538" w:history="1">
        <w:r w:rsidRPr="007E6E5D">
          <w:rPr>
            <w:rStyle w:val="Hyperlink"/>
            <w:noProof/>
          </w:rPr>
          <w:t>General approach towards children under civil law</w:t>
        </w:r>
        <w:r>
          <w:rPr>
            <w:noProof/>
            <w:webHidden/>
          </w:rPr>
          <w:tab/>
        </w:r>
        <w:r>
          <w:rPr>
            <w:noProof/>
            <w:webHidden/>
          </w:rPr>
          <w:fldChar w:fldCharType="begin"/>
        </w:r>
        <w:r>
          <w:rPr>
            <w:noProof/>
            <w:webHidden/>
          </w:rPr>
          <w:instrText xml:space="preserve"> PAGEREF _Toc409790538 \h </w:instrText>
        </w:r>
        <w:r>
          <w:rPr>
            <w:noProof/>
            <w:webHidden/>
          </w:rPr>
        </w:r>
        <w:r>
          <w:rPr>
            <w:noProof/>
            <w:webHidden/>
          </w:rPr>
          <w:fldChar w:fldCharType="separate"/>
        </w:r>
        <w:r>
          <w:rPr>
            <w:noProof/>
            <w:webHidden/>
          </w:rPr>
          <w:t>37</w:t>
        </w:r>
        <w:r>
          <w:rPr>
            <w:noProof/>
            <w:webHidden/>
          </w:rPr>
          <w:fldChar w:fldCharType="end"/>
        </w:r>
      </w:hyperlink>
    </w:p>
    <w:p w14:paraId="33445F74" w14:textId="77777777" w:rsidR="008B433C" w:rsidRDefault="008B433C">
      <w:pPr>
        <w:pStyle w:val="TOC6"/>
        <w:tabs>
          <w:tab w:val="right" w:leader="dot" w:pos="9061"/>
        </w:tabs>
        <w:rPr>
          <w:rFonts w:asciiTheme="minorHAnsi" w:eastAsiaTheme="minorEastAsia" w:hAnsiTheme="minorHAnsi" w:cstheme="minorBidi"/>
          <w:noProof/>
          <w:sz w:val="22"/>
          <w:szCs w:val="22"/>
          <w:lang w:val="en-US"/>
        </w:rPr>
      </w:pPr>
      <w:hyperlink w:anchor="_Toc409790539" w:history="1">
        <w:r w:rsidRPr="007E6E5D">
          <w:rPr>
            <w:rStyle w:val="Hyperlink"/>
            <w:noProof/>
          </w:rPr>
          <w:t>A child as an actor in civil judicial proceedings</w:t>
        </w:r>
        <w:r>
          <w:rPr>
            <w:noProof/>
            <w:webHidden/>
          </w:rPr>
          <w:tab/>
        </w:r>
        <w:r>
          <w:rPr>
            <w:noProof/>
            <w:webHidden/>
          </w:rPr>
          <w:fldChar w:fldCharType="begin"/>
        </w:r>
        <w:r>
          <w:rPr>
            <w:noProof/>
            <w:webHidden/>
          </w:rPr>
          <w:instrText xml:space="preserve"> PAGEREF _Toc409790539 \h </w:instrText>
        </w:r>
        <w:r>
          <w:rPr>
            <w:noProof/>
            <w:webHidden/>
          </w:rPr>
        </w:r>
        <w:r>
          <w:rPr>
            <w:noProof/>
            <w:webHidden/>
          </w:rPr>
          <w:fldChar w:fldCharType="separate"/>
        </w:r>
        <w:r>
          <w:rPr>
            <w:noProof/>
            <w:webHidden/>
          </w:rPr>
          <w:t>37</w:t>
        </w:r>
        <w:r>
          <w:rPr>
            <w:noProof/>
            <w:webHidden/>
          </w:rPr>
          <w:fldChar w:fldCharType="end"/>
        </w:r>
      </w:hyperlink>
    </w:p>
    <w:p w14:paraId="610EC62C" w14:textId="77777777" w:rsidR="008B433C" w:rsidRDefault="008B433C">
      <w:pPr>
        <w:pStyle w:val="TOC6"/>
        <w:tabs>
          <w:tab w:val="right" w:leader="dot" w:pos="9061"/>
        </w:tabs>
        <w:rPr>
          <w:rFonts w:asciiTheme="minorHAnsi" w:eastAsiaTheme="minorEastAsia" w:hAnsiTheme="minorHAnsi" w:cstheme="minorBidi"/>
          <w:noProof/>
          <w:sz w:val="22"/>
          <w:szCs w:val="22"/>
          <w:lang w:val="en-US"/>
        </w:rPr>
      </w:pPr>
      <w:hyperlink w:anchor="_Toc409790540" w:history="1">
        <w:r w:rsidRPr="007E6E5D">
          <w:rPr>
            <w:rStyle w:val="Hyperlink"/>
            <w:noProof/>
          </w:rPr>
          <w:t>Provision of information to children</w:t>
        </w:r>
        <w:r>
          <w:rPr>
            <w:noProof/>
            <w:webHidden/>
          </w:rPr>
          <w:tab/>
        </w:r>
        <w:r>
          <w:rPr>
            <w:noProof/>
            <w:webHidden/>
          </w:rPr>
          <w:fldChar w:fldCharType="begin"/>
        </w:r>
        <w:r>
          <w:rPr>
            <w:noProof/>
            <w:webHidden/>
          </w:rPr>
          <w:instrText xml:space="preserve"> PAGEREF _Toc409790540 \h </w:instrText>
        </w:r>
        <w:r>
          <w:rPr>
            <w:noProof/>
            <w:webHidden/>
          </w:rPr>
        </w:r>
        <w:r>
          <w:rPr>
            <w:noProof/>
            <w:webHidden/>
          </w:rPr>
          <w:fldChar w:fldCharType="separate"/>
        </w:r>
        <w:r>
          <w:rPr>
            <w:noProof/>
            <w:webHidden/>
          </w:rPr>
          <w:t>37</w:t>
        </w:r>
        <w:r>
          <w:rPr>
            <w:noProof/>
            <w:webHidden/>
          </w:rPr>
          <w:fldChar w:fldCharType="end"/>
        </w:r>
      </w:hyperlink>
    </w:p>
    <w:p w14:paraId="0ED56872" w14:textId="77777777" w:rsidR="008B433C" w:rsidRDefault="008B433C">
      <w:pPr>
        <w:pStyle w:val="TOC6"/>
        <w:tabs>
          <w:tab w:val="right" w:leader="dot" w:pos="9061"/>
        </w:tabs>
        <w:rPr>
          <w:rFonts w:asciiTheme="minorHAnsi" w:eastAsiaTheme="minorEastAsia" w:hAnsiTheme="minorHAnsi" w:cstheme="minorBidi"/>
          <w:noProof/>
          <w:sz w:val="22"/>
          <w:szCs w:val="22"/>
          <w:lang w:val="en-US"/>
        </w:rPr>
      </w:pPr>
      <w:hyperlink w:anchor="_Toc409790541" w:history="1">
        <w:r w:rsidRPr="007E6E5D">
          <w:rPr>
            <w:rStyle w:val="Hyperlink"/>
            <w:noProof/>
          </w:rPr>
          <w:t>Protection of the child’s personal and family life</w:t>
        </w:r>
        <w:r>
          <w:rPr>
            <w:noProof/>
            <w:webHidden/>
          </w:rPr>
          <w:tab/>
        </w:r>
        <w:r>
          <w:rPr>
            <w:noProof/>
            <w:webHidden/>
          </w:rPr>
          <w:fldChar w:fldCharType="begin"/>
        </w:r>
        <w:r>
          <w:rPr>
            <w:noProof/>
            <w:webHidden/>
          </w:rPr>
          <w:instrText xml:space="preserve"> PAGEREF _Toc409790541 \h </w:instrText>
        </w:r>
        <w:r>
          <w:rPr>
            <w:noProof/>
            <w:webHidden/>
          </w:rPr>
        </w:r>
        <w:r>
          <w:rPr>
            <w:noProof/>
            <w:webHidden/>
          </w:rPr>
          <w:fldChar w:fldCharType="separate"/>
        </w:r>
        <w:r>
          <w:rPr>
            <w:noProof/>
            <w:webHidden/>
          </w:rPr>
          <w:t>38</w:t>
        </w:r>
        <w:r>
          <w:rPr>
            <w:noProof/>
            <w:webHidden/>
          </w:rPr>
          <w:fldChar w:fldCharType="end"/>
        </w:r>
      </w:hyperlink>
    </w:p>
    <w:p w14:paraId="2C148474" w14:textId="77777777" w:rsidR="008B433C" w:rsidRDefault="008B433C">
      <w:pPr>
        <w:pStyle w:val="TOC6"/>
        <w:tabs>
          <w:tab w:val="right" w:leader="dot" w:pos="9061"/>
        </w:tabs>
        <w:rPr>
          <w:rFonts w:asciiTheme="minorHAnsi" w:eastAsiaTheme="minorEastAsia" w:hAnsiTheme="minorHAnsi" w:cstheme="minorBidi"/>
          <w:noProof/>
          <w:sz w:val="22"/>
          <w:szCs w:val="22"/>
          <w:lang w:val="en-US"/>
        </w:rPr>
      </w:pPr>
      <w:hyperlink w:anchor="_Toc409790542" w:history="1">
        <w:r w:rsidRPr="007E6E5D">
          <w:rPr>
            <w:rStyle w:val="Hyperlink"/>
            <w:noProof/>
          </w:rPr>
          <w:t>Protection from harm and ensuring a child friendly process</w:t>
        </w:r>
        <w:r>
          <w:rPr>
            <w:noProof/>
            <w:webHidden/>
          </w:rPr>
          <w:tab/>
        </w:r>
        <w:r>
          <w:rPr>
            <w:noProof/>
            <w:webHidden/>
          </w:rPr>
          <w:fldChar w:fldCharType="begin"/>
        </w:r>
        <w:r>
          <w:rPr>
            <w:noProof/>
            <w:webHidden/>
          </w:rPr>
          <w:instrText xml:space="preserve"> PAGEREF _Toc409790542 \h </w:instrText>
        </w:r>
        <w:r>
          <w:rPr>
            <w:noProof/>
            <w:webHidden/>
          </w:rPr>
        </w:r>
        <w:r>
          <w:rPr>
            <w:noProof/>
            <w:webHidden/>
          </w:rPr>
          <w:fldChar w:fldCharType="separate"/>
        </w:r>
        <w:r>
          <w:rPr>
            <w:noProof/>
            <w:webHidden/>
          </w:rPr>
          <w:t>38</w:t>
        </w:r>
        <w:r>
          <w:rPr>
            <w:noProof/>
            <w:webHidden/>
          </w:rPr>
          <w:fldChar w:fldCharType="end"/>
        </w:r>
      </w:hyperlink>
    </w:p>
    <w:p w14:paraId="2A2A21F8" w14:textId="77777777" w:rsidR="008B433C" w:rsidRDefault="008B433C">
      <w:pPr>
        <w:pStyle w:val="TOC6"/>
        <w:tabs>
          <w:tab w:val="right" w:leader="dot" w:pos="9061"/>
        </w:tabs>
        <w:rPr>
          <w:rFonts w:asciiTheme="minorHAnsi" w:eastAsiaTheme="minorEastAsia" w:hAnsiTheme="minorHAnsi" w:cstheme="minorBidi"/>
          <w:noProof/>
          <w:sz w:val="22"/>
          <w:szCs w:val="22"/>
          <w:lang w:val="en-US"/>
        </w:rPr>
      </w:pPr>
      <w:hyperlink w:anchor="_Toc409790543" w:history="1">
        <w:r w:rsidRPr="007E6E5D">
          <w:rPr>
            <w:rStyle w:val="Hyperlink"/>
            <w:noProof/>
          </w:rPr>
          <w:t>Protecting the child during interviews</w:t>
        </w:r>
        <w:r>
          <w:rPr>
            <w:noProof/>
            <w:webHidden/>
          </w:rPr>
          <w:tab/>
        </w:r>
        <w:r>
          <w:rPr>
            <w:noProof/>
            <w:webHidden/>
          </w:rPr>
          <w:fldChar w:fldCharType="begin"/>
        </w:r>
        <w:r>
          <w:rPr>
            <w:noProof/>
            <w:webHidden/>
          </w:rPr>
          <w:instrText xml:space="preserve"> PAGEREF _Toc409790543 \h </w:instrText>
        </w:r>
        <w:r>
          <w:rPr>
            <w:noProof/>
            <w:webHidden/>
          </w:rPr>
        </w:r>
        <w:r>
          <w:rPr>
            <w:noProof/>
            <w:webHidden/>
          </w:rPr>
          <w:fldChar w:fldCharType="separate"/>
        </w:r>
        <w:r>
          <w:rPr>
            <w:noProof/>
            <w:webHidden/>
          </w:rPr>
          <w:t>38</w:t>
        </w:r>
        <w:r>
          <w:rPr>
            <w:noProof/>
            <w:webHidden/>
          </w:rPr>
          <w:fldChar w:fldCharType="end"/>
        </w:r>
      </w:hyperlink>
    </w:p>
    <w:p w14:paraId="2D65FA0A" w14:textId="77777777" w:rsidR="008B433C" w:rsidRDefault="008B433C">
      <w:pPr>
        <w:pStyle w:val="TOC6"/>
        <w:tabs>
          <w:tab w:val="right" w:leader="dot" w:pos="9061"/>
        </w:tabs>
        <w:rPr>
          <w:rFonts w:asciiTheme="minorHAnsi" w:eastAsiaTheme="minorEastAsia" w:hAnsiTheme="minorHAnsi" w:cstheme="minorBidi"/>
          <w:noProof/>
          <w:sz w:val="22"/>
          <w:szCs w:val="22"/>
          <w:lang w:val="en-US"/>
        </w:rPr>
      </w:pPr>
      <w:hyperlink w:anchor="_Toc409790544" w:history="1">
        <w:r w:rsidRPr="007E6E5D">
          <w:rPr>
            <w:rStyle w:val="Hyperlink"/>
            <w:noProof/>
          </w:rPr>
          <w:t>Right to be heard and participate in civil judicial proceedings</w:t>
        </w:r>
        <w:r>
          <w:rPr>
            <w:noProof/>
            <w:webHidden/>
          </w:rPr>
          <w:tab/>
        </w:r>
        <w:r>
          <w:rPr>
            <w:noProof/>
            <w:webHidden/>
          </w:rPr>
          <w:fldChar w:fldCharType="begin"/>
        </w:r>
        <w:r>
          <w:rPr>
            <w:noProof/>
            <w:webHidden/>
          </w:rPr>
          <w:instrText xml:space="preserve"> PAGEREF _Toc409790544 \h </w:instrText>
        </w:r>
        <w:r>
          <w:rPr>
            <w:noProof/>
            <w:webHidden/>
          </w:rPr>
        </w:r>
        <w:r>
          <w:rPr>
            <w:noProof/>
            <w:webHidden/>
          </w:rPr>
          <w:fldChar w:fldCharType="separate"/>
        </w:r>
        <w:r>
          <w:rPr>
            <w:noProof/>
            <w:webHidden/>
          </w:rPr>
          <w:t>39</w:t>
        </w:r>
        <w:r>
          <w:rPr>
            <w:noProof/>
            <w:webHidden/>
          </w:rPr>
          <w:fldChar w:fldCharType="end"/>
        </w:r>
      </w:hyperlink>
    </w:p>
    <w:p w14:paraId="3C362E65" w14:textId="77777777" w:rsidR="008B433C" w:rsidRDefault="008B433C">
      <w:pPr>
        <w:pStyle w:val="TOC6"/>
        <w:tabs>
          <w:tab w:val="right" w:leader="dot" w:pos="9061"/>
        </w:tabs>
        <w:rPr>
          <w:rFonts w:asciiTheme="minorHAnsi" w:eastAsiaTheme="minorEastAsia" w:hAnsiTheme="minorHAnsi" w:cstheme="minorBidi"/>
          <w:noProof/>
          <w:sz w:val="22"/>
          <w:szCs w:val="22"/>
          <w:lang w:val="en-US"/>
        </w:rPr>
      </w:pPr>
      <w:hyperlink w:anchor="_Toc409790545" w:history="1">
        <w:r w:rsidRPr="007E6E5D">
          <w:rPr>
            <w:rStyle w:val="Hyperlink"/>
            <w:noProof/>
          </w:rPr>
          <w:t>Right to legal counsel, legal assistance and representation</w:t>
        </w:r>
        <w:r>
          <w:rPr>
            <w:noProof/>
            <w:webHidden/>
          </w:rPr>
          <w:tab/>
        </w:r>
        <w:r>
          <w:rPr>
            <w:noProof/>
            <w:webHidden/>
          </w:rPr>
          <w:fldChar w:fldCharType="begin"/>
        </w:r>
        <w:r>
          <w:rPr>
            <w:noProof/>
            <w:webHidden/>
          </w:rPr>
          <w:instrText xml:space="preserve"> PAGEREF _Toc409790545 \h </w:instrText>
        </w:r>
        <w:r>
          <w:rPr>
            <w:noProof/>
            <w:webHidden/>
          </w:rPr>
        </w:r>
        <w:r>
          <w:rPr>
            <w:noProof/>
            <w:webHidden/>
          </w:rPr>
          <w:fldChar w:fldCharType="separate"/>
        </w:r>
        <w:r>
          <w:rPr>
            <w:noProof/>
            <w:webHidden/>
          </w:rPr>
          <w:t>39</w:t>
        </w:r>
        <w:r>
          <w:rPr>
            <w:noProof/>
            <w:webHidden/>
          </w:rPr>
          <w:fldChar w:fldCharType="end"/>
        </w:r>
      </w:hyperlink>
    </w:p>
    <w:p w14:paraId="059EAD97" w14:textId="77777777" w:rsidR="008B433C" w:rsidRDefault="008B433C">
      <w:pPr>
        <w:pStyle w:val="TOC6"/>
        <w:tabs>
          <w:tab w:val="right" w:leader="dot" w:pos="9061"/>
        </w:tabs>
        <w:rPr>
          <w:rFonts w:asciiTheme="minorHAnsi" w:eastAsiaTheme="minorEastAsia" w:hAnsiTheme="minorHAnsi" w:cstheme="minorBidi"/>
          <w:noProof/>
          <w:sz w:val="22"/>
          <w:szCs w:val="22"/>
          <w:lang w:val="en-US"/>
        </w:rPr>
      </w:pPr>
      <w:hyperlink w:anchor="_Toc409790546" w:history="1">
        <w:r w:rsidRPr="007E6E5D">
          <w:rPr>
            <w:rStyle w:val="Hyperlink"/>
            <w:noProof/>
          </w:rPr>
          <w:t>Alternatives to judicial proceedings</w:t>
        </w:r>
        <w:r>
          <w:rPr>
            <w:noProof/>
            <w:webHidden/>
          </w:rPr>
          <w:tab/>
        </w:r>
        <w:r>
          <w:rPr>
            <w:noProof/>
            <w:webHidden/>
          </w:rPr>
          <w:fldChar w:fldCharType="begin"/>
        </w:r>
        <w:r>
          <w:rPr>
            <w:noProof/>
            <w:webHidden/>
          </w:rPr>
          <w:instrText xml:space="preserve"> PAGEREF _Toc409790546 \h </w:instrText>
        </w:r>
        <w:r>
          <w:rPr>
            <w:noProof/>
            <w:webHidden/>
          </w:rPr>
        </w:r>
        <w:r>
          <w:rPr>
            <w:noProof/>
            <w:webHidden/>
          </w:rPr>
          <w:fldChar w:fldCharType="separate"/>
        </w:r>
        <w:r>
          <w:rPr>
            <w:noProof/>
            <w:webHidden/>
          </w:rPr>
          <w:t>39</w:t>
        </w:r>
        <w:r>
          <w:rPr>
            <w:noProof/>
            <w:webHidden/>
          </w:rPr>
          <w:fldChar w:fldCharType="end"/>
        </w:r>
      </w:hyperlink>
    </w:p>
    <w:p w14:paraId="3376259D" w14:textId="77777777" w:rsidR="008B433C" w:rsidRDefault="008B433C">
      <w:pPr>
        <w:pStyle w:val="TOC6"/>
        <w:tabs>
          <w:tab w:val="right" w:leader="dot" w:pos="9061"/>
        </w:tabs>
        <w:rPr>
          <w:rFonts w:asciiTheme="minorHAnsi" w:eastAsiaTheme="minorEastAsia" w:hAnsiTheme="minorHAnsi" w:cstheme="minorBidi"/>
          <w:noProof/>
          <w:sz w:val="22"/>
          <w:szCs w:val="22"/>
          <w:lang w:val="en-US"/>
        </w:rPr>
      </w:pPr>
      <w:hyperlink w:anchor="_Toc409790547" w:history="1">
        <w:r w:rsidRPr="007E6E5D">
          <w:rPr>
            <w:rStyle w:val="Hyperlink"/>
            <w:noProof/>
          </w:rPr>
          <w:t>Remedies and compensation for violation of rights and failure to act</w:t>
        </w:r>
        <w:r>
          <w:rPr>
            <w:noProof/>
            <w:webHidden/>
          </w:rPr>
          <w:tab/>
        </w:r>
        <w:r>
          <w:rPr>
            <w:noProof/>
            <w:webHidden/>
          </w:rPr>
          <w:fldChar w:fldCharType="begin"/>
        </w:r>
        <w:r>
          <w:rPr>
            <w:noProof/>
            <w:webHidden/>
          </w:rPr>
          <w:instrText xml:space="preserve"> PAGEREF _Toc409790547 \h </w:instrText>
        </w:r>
        <w:r>
          <w:rPr>
            <w:noProof/>
            <w:webHidden/>
          </w:rPr>
        </w:r>
        <w:r>
          <w:rPr>
            <w:noProof/>
            <w:webHidden/>
          </w:rPr>
          <w:fldChar w:fldCharType="separate"/>
        </w:r>
        <w:r>
          <w:rPr>
            <w:noProof/>
            <w:webHidden/>
          </w:rPr>
          <w:t>40</w:t>
        </w:r>
        <w:r>
          <w:rPr>
            <w:noProof/>
            <w:webHidden/>
          </w:rPr>
          <w:fldChar w:fldCharType="end"/>
        </w:r>
      </w:hyperlink>
    </w:p>
    <w:p w14:paraId="568DD4DF" w14:textId="77777777" w:rsidR="008B433C" w:rsidRDefault="008B433C">
      <w:pPr>
        <w:pStyle w:val="TOC6"/>
        <w:tabs>
          <w:tab w:val="right" w:leader="dot" w:pos="9061"/>
        </w:tabs>
        <w:rPr>
          <w:rFonts w:asciiTheme="minorHAnsi" w:eastAsiaTheme="minorEastAsia" w:hAnsiTheme="minorHAnsi" w:cstheme="minorBidi"/>
          <w:noProof/>
          <w:sz w:val="22"/>
          <w:szCs w:val="22"/>
          <w:lang w:val="en-US"/>
        </w:rPr>
      </w:pPr>
      <w:hyperlink w:anchor="_Toc409790548" w:history="1">
        <w:r w:rsidRPr="007E6E5D">
          <w:rPr>
            <w:rStyle w:val="Hyperlink"/>
            <w:noProof/>
          </w:rPr>
          <w:t>Legal costs</w:t>
        </w:r>
        <w:r>
          <w:rPr>
            <w:noProof/>
            <w:webHidden/>
          </w:rPr>
          <w:tab/>
        </w:r>
        <w:r>
          <w:rPr>
            <w:noProof/>
            <w:webHidden/>
          </w:rPr>
          <w:fldChar w:fldCharType="begin"/>
        </w:r>
        <w:r>
          <w:rPr>
            <w:noProof/>
            <w:webHidden/>
          </w:rPr>
          <w:instrText xml:space="preserve"> PAGEREF _Toc409790548 \h </w:instrText>
        </w:r>
        <w:r>
          <w:rPr>
            <w:noProof/>
            <w:webHidden/>
          </w:rPr>
        </w:r>
        <w:r>
          <w:rPr>
            <w:noProof/>
            <w:webHidden/>
          </w:rPr>
          <w:fldChar w:fldCharType="separate"/>
        </w:r>
        <w:r>
          <w:rPr>
            <w:noProof/>
            <w:webHidden/>
          </w:rPr>
          <w:t>40</w:t>
        </w:r>
        <w:r>
          <w:rPr>
            <w:noProof/>
            <w:webHidden/>
          </w:rPr>
          <w:fldChar w:fldCharType="end"/>
        </w:r>
      </w:hyperlink>
    </w:p>
    <w:p w14:paraId="1A2C4AE0" w14:textId="77777777" w:rsidR="008B433C" w:rsidRDefault="008B433C">
      <w:pPr>
        <w:pStyle w:val="TOC6"/>
        <w:tabs>
          <w:tab w:val="right" w:leader="dot" w:pos="9061"/>
        </w:tabs>
        <w:rPr>
          <w:rFonts w:asciiTheme="minorHAnsi" w:eastAsiaTheme="minorEastAsia" w:hAnsiTheme="minorHAnsi" w:cstheme="minorBidi"/>
          <w:noProof/>
          <w:sz w:val="22"/>
          <w:szCs w:val="22"/>
          <w:lang w:val="en-US"/>
        </w:rPr>
      </w:pPr>
      <w:hyperlink w:anchor="_Toc409790549" w:history="1">
        <w:r w:rsidRPr="007E6E5D">
          <w:rPr>
            <w:rStyle w:val="Hyperlink"/>
            <w:noProof/>
          </w:rPr>
          <w:t>Enforcement of civil court judgements</w:t>
        </w:r>
        <w:r>
          <w:rPr>
            <w:noProof/>
            <w:webHidden/>
          </w:rPr>
          <w:tab/>
        </w:r>
        <w:r>
          <w:rPr>
            <w:noProof/>
            <w:webHidden/>
          </w:rPr>
          <w:fldChar w:fldCharType="begin"/>
        </w:r>
        <w:r>
          <w:rPr>
            <w:noProof/>
            <w:webHidden/>
          </w:rPr>
          <w:instrText xml:space="preserve"> PAGEREF _Toc409790549 \h </w:instrText>
        </w:r>
        <w:r>
          <w:rPr>
            <w:noProof/>
            <w:webHidden/>
          </w:rPr>
        </w:r>
        <w:r>
          <w:rPr>
            <w:noProof/>
            <w:webHidden/>
          </w:rPr>
          <w:fldChar w:fldCharType="separate"/>
        </w:r>
        <w:r>
          <w:rPr>
            <w:noProof/>
            <w:webHidden/>
          </w:rPr>
          <w:t>40</w:t>
        </w:r>
        <w:r>
          <w:rPr>
            <w:noProof/>
            <w:webHidden/>
          </w:rPr>
          <w:fldChar w:fldCharType="end"/>
        </w:r>
      </w:hyperlink>
    </w:p>
    <w:p w14:paraId="30414160" w14:textId="77777777" w:rsidR="008B433C" w:rsidRDefault="008B433C">
      <w:pPr>
        <w:pStyle w:val="TOC6"/>
        <w:tabs>
          <w:tab w:val="right" w:leader="dot" w:pos="9061"/>
        </w:tabs>
        <w:rPr>
          <w:rFonts w:asciiTheme="minorHAnsi" w:eastAsiaTheme="minorEastAsia" w:hAnsiTheme="minorHAnsi" w:cstheme="minorBidi"/>
          <w:noProof/>
          <w:sz w:val="22"/>
          <w:szCs w:val="22"/>
          <w:lang w:val="en-US"/>
        </w:rPr>
      </w:pPr>
      <w:hyperlink w:anchor="_Toc409790550" w:history="1">
        <w:r w:rsidRPr="007E6E5D">
          <w:rPr>
            <w:rStyle w:val="Hyperlink"/>
            <w:noProof/>
          </w:rPr>
          <w:t>Strengths and gaps</w:t>
        </w:r>
        <w:r>
          <w:rPr>
            <w:noProof/>
            <w:webHidden/>
          </w:rPr>
          <w:tab/>
        </w:r>
        <w:r>
          <w:rPr>
            <w:noProof/>
            <w:webHidden/>
          </w:rPr>
          <w:fldChar w:fldCharType="begin"/>
        </w:r>
        <w:r>
          <w:rPr>
            <w:noProof/>
            <w:webHidden/>
          </w:rPr>
          <w:instrText xml:space="preserve"> PAGEREF _Toc409790550 \h </w:instrText>
        </w:r>
        <w:r>
          <w:rPr>
            <w:noProof/>
            <w:webHidden/>
          </w:rPr>
        </w:r>
        <w:r>
          <w:rPr>
            <w:noProof/>
            <w:webHidden/>
          </w:rPr>
          <w:fldChar w:fldCharType="separate"/>
        </w:r>
        <w:r>
          <w:rPr>
            <w:noProof/>
            <w:webHidden/>
          </w:rPr>
          <w:t>40</w:t>
        </w:r>
        <w:r>
          <w:rPr>
            <w:noProof/>
            <w:webHidden/>
          </w:rPr>
          <w:fldChar w:fldCharType="end"/>
        </w:r>
      </w:hyperlink>
    </w:p>
    <w:p w14:paraId="5275DD16" w14:textId="77777777" w:rsidR="008B433C" w:rsidRDefault="008B433C">
      <w:pPr>
        <w:pStyle w:val="TOC2"/>
        <w:tabs>
          <w:tab w:val="left" w:pos="1134"/>
        </w:tabs>
        <w:rPr>
          <w:rFonts w:asciiTheme="minorHAnsi" w:eastAsiaTheme="minorEastAsia" w:hAnsiTheme="minorHAnsi" w:cstheme="minorBidi"/>
          <w:b w:val="0"/>
          <w:noProof/>
          <w:color w:val="auto"/>
          <w:sz w:val="22"/>
          <w:szCs w:val="22"/>
          <w:lang w:val="en-US"/>
        </w:rPr>
      </w:pPr>
      <w:hyperlink w:anchor="_Toc409790551" w:history="1">
        <w:r w:rsidRPr="007E6E5D">
          <w:rPr>
            <w:rStyle w:val="Hyperlink"/>
            <w:noProof/>
          </w:rPr>
          <w:t>Annex 1</w:t>
        </w:r>
        <w:r>
          <w:rPr>
            <w:rFonts w:asciiTheme="minorHAnsi" w:eastAsiaTheme="minorEastAsia" w:hAnsiTheme="minorHAnsi" w:cstheme="minorBidi"/>
            <w:b w:val="0"/>
            <w:noProof/>
            <w:color w:val="auto"/>
            <w:sz w:val="22"/>
            <w:szCs w:val="22"/>
            <w:lang w:val="en-US"/>
          </w:rPr>
          <w:tab/>
        </w:r>
        <w:r w:rsidRPr="007E6E5D">
          <w:rPr>
            <w:rStyle w:val="Hyperlink"/>
            <w:noProof/>
          </w:rPr>
          <w:t>List of Legislation</w:t>
        </w:r>
        <w:r>
          <w:rPr>
            <w:noProof/>
            <w:webHidden/>
          </w:rPr>
          <w:tab/>
        </w:r>
        <w:r>
          <w:rPr>
            <w:noProof/>
            <w:webHidden/>
          </w:rPr>
          <w:fldChar w:fldCharType="begin"/>
        </w:r>
        <w:r>
          <w:rPr>
            <w:noProof/>
            <w:webHidden/>
          </w:rPr>
          <w:instrText xml:space="preserve"> PAGEREF _Toc409790551 \h </w:instrText>
        </w:r>
        <w:r>
          <w:rPr>
            <w:noProof/>
            <w:webHidden/>
          </w:rPr>
        </w:r>
        <w:r>
          <w:rPr>
            <w:noProof/>
            <w:webHidden/>
          </w:rPr>
          <w:fldChar w:fldCharType="separate"/>
        </w:r>
        <w:r>
          <w:rPr>
            <w:noProof/>
            <w:webHidden/>
          </w:rPr>
          <w:t>42</w:t>
        </w:r>
        <w:r>
          <w:rPr>
            <w:noProof/>
            <w:webHidden/>
          </w:rPr>
          <w:fldChar w:fldCharType="end"/>
        </w:r>
      </w:hyperlink>
    </w:p>
    <w:p w14:paraId="60A1D233" w14:textId="77777777" w:rsidR="00FE34E9" w:rsidRDefault="00C7550C" w:rsidP="001358F5">
      <w:pPr>
        <w:pStyle w:val="TOC2"/>
        <w:tabs>
          <w:tab w:val="left" w:pos="1531"/>
        </w:tabs>
      </w:pPr>
      <w:r w:rsidRPr="007B47FB">
        <w:fldChar w:fldCharType="end"/>
      </w:r>
    </w:p>
    <w:bookmarkEnd w:id="6"/>
    <w:p w14:paraId="3B09DC86" w14:textId="77777777" w:rsidR="00660C9C" w:rsidRDefault="00660C9C" w:rsidP="001358F5"/>
    <w:p w14:paraId="3837E2FA" w14:textId="77777777" w:rsidR="00660C9C" w:rsidRPr="00660C9C" w:rsidRDefault="00660C9C" w:rsidP="001358F5"/>
    <w:p w14:paraId="530B536E" w14:textId="77777777" w:rsidR="00660C9C" w:rsidRPr="00660C9C" w:rsidRDefault="00660C9C" w:rsidP="001358F5"/>
    <w:p w14:paraId="4F5CD676" w14:textId="77777777" w:rsidR="00660C9C" w:rsidRPr="00660C9C" w:rsidRDefault="00660C9C" w:rsidP="001358F5"/>
    <w:p w14:paraId="1C926326" w14:textId="486A5895" w:rsidR="00660C9C" w:rsidRPr="00660C9C" w:rsidRDefault="00B15277" w:rsidP="001358F5">
      <w:pPr>
        <w:pStyle w:val="Heading1NoNumb"/>
      </w:pPr>
      <w:bookmarkStart w:id="8" w:name="_Toc401654864"/>
      <w:bookmarkStart w:id="9" w:name="_Toc409790449"/>
      <w:r>
        <w:lastRenderedPageBreak/>
        <w:t>A</w:t>
      </w:r>
      <w:r w:rsidR="00660C9C" w:rsidRPr="00660C9C">
        <w:t>bbreviations</w:t>
      </w:r>
      <w:bookmarkEnd w:id="8"/>
      <w:bookmarkEnd w:id="9"/>
    </w:p>
    <w:p w14:paraId="36F26559" w14:textId="77777777" w:rsidR="00660C9C" w:rsidRPr="00660C9C" w:rsidRDefault="00660C9C" w:rsidP="001358F5">
      <w:pPr>
        <w:widowControl w:val="0"/>
        <w:spacing w:before="0" w:after="0" w:line="240" w:lineRule="auto"/>
        <w:rPr>
          <w:rFonts w:eastAsia="Calibri" w:cs="Arial"/>
          <w:szCs w:val="20"/>
        </w:rPr>
      </w:pPr>
    </w:p>
    <w:p w14:paraId="0C26D82F" w14:textId="77777777" w:rsidR="00BF2AEB" w:rsidRPr="0085107A" w:rsidRDefault="00BF2AEB" w:rsidP="001358F5">
      <w:pPr>
        <w:widowControl w:val="0"/>
        <w:spacing w:before="0" w:after="0" w:line="240" w:lineRule="auto"/>
      </w:pPr>
      <w:r w:rsidRPr="0085107A">
        <w:t>CA</w:t>
      </w:r>
      <w:r w:rsidRPr="0085107A">
        <w:tab/>
      </w:r>
      <w:r w:rsidRPr="0085107A">
        <w:tab/>
      </w:r>
      <w:r w:rsidRPr="0085107A">
        <w:tab/>
        <w:t>Competent Authority</w:t>
      </w:r>
    </w:p>
    <w:p w14:paraId="4940362D" w14:textId="77777777" w:rsidR="00BF2AEB" w:rsidRPr="0085107A" w:rsidRDefault="00BF2AEB" w:rsidP="001358F5">
      <w:pPr>
        <w:widowControl w:val="0"/>
        <w:spacing w:before="0" w:after="0" w:line="240" w:lineRule="auto"/>
      </w:pPr>
    </w:p>
    <w:p w14:paraId="3F6B318B" w14:textId="77777777" w:rsidR="00BF2AEB" w:rsidRPr="0085107A" w:rsidRDefault="00BF2AEB" w:rsidP="001358F5">
      <w:pPr>
        <w:widowControl w:val="0"/>
        <w:spacing w:before="0" w:after="0" w:line="240" w:lineRule="auto"/>
      </w:pPr>
      <w:r w:rsidRPr="0085107A">
        <w:t>CRC</w:t>
      </w:r>
      <w:r w:rsidRPr="0085107A">
        <w:tab/>
      </w:r>
      <w:r w:rsidRPr="0085107A">
        <w:tab/>
      </w:r>
      <w:r w:rsidRPr="0085107A">
        <w:tab/>
        <w:t>United Nations Convention on the Rights of the Child</w:t>
      </w:r>
    </w:p>
    <w:p w14:paraId="0E586922" w14:textId="77777777" w:rsidR="00BF2AEB" w:rsidRPr="0085107A" w:rsidRDefault="00BF2AEB" w:rsidP="001358F5">
      <w:pPr>
        <w:widowControl w:val="0"/>
        <w:spacing w:before="0" w:after="0" w:line="240" w:lineRule="auto"/>
      </w:pPr>
    </w:p>
    <w:p w14:paraId="70C5E356" w14:textId="77777777" w:rsidR="00BF2AEB" w:rsidRPr="0085107A" w:rsidRDefault="00BF2AEB" w:rsidP="001358F5">
      <w:pPr>
        <w:widowControl w:val="0"/>
        <w:spacing w:before="0" w:after="0" w:line="240" w:lineRule="auto"/>
      </w:pPr>
      <w:r w:rsidRPr="0085107A">
        <w:t>CoE</w:t>
      </w:r>
      <w:r w:rsidRPr="0085107A">
        <w:tab/>
      </w:r>
      <w:r w:rsidRPr="0085107A">
        <w:tab/>
      </w:r>
      <w:r w:rsidRPr="0085107A">
        <w:tab/>
        <w:t>Council of Europe</w:t>
      </w:r>
    </w:p>
    <w:p w14:paraId="72AF5DF7" w14:textId="77777777" w:rsidR="00BF2AEB" w:rsidRPr="0085107A" w:rsidRDefault="00BF2AEB" w:rsidP="001358F5">
      <w:pPr>
        <w:widowControl w:val="0"/>
        <w:spacing w:before="0" w:after="0" w:line="240" w:lineRule="auto"/>
      </w:pPr>
    </w:p>
    <w:p w14:paraId="4CB4B328" w14:textId="77777777" w:rsidR="00BF2AEB" w:rsidRPr="0085107A" w:rsidRDefault="00BF2AEB" w:rsidP="001358F5">
      <w:pPr>
        <w:widowControl w:val="0"/>
        <w:spacing w:before="0" w:after="0" w:line="240" w:lineRule="auto"/>
      </w:pPr>
      <w:r w:rsidRPr="0085107A">
        <w:t>EC</w:t>
      </w:r>
      <w:r w:rsidRPr="0085107A">
        <w:tab/>
      </w:r>
      <w:r w:rsidRPr="0085107A">
        <w:tab/>
      </w:r>
      <w:r w:rsidRPr="0085107A">
        <w:tab/>
        <w:t>European Commission</w:t>
      </w:r>
    </w:p>
    <w:p w14:paraId="4B49EB0F" w14:textId="77777777" w:rsidR="00BF2AEB" w:rsidRPr="0085107A" w:rsidRDefault="00BF2AEB" w:rsidP="001358F5">
      <w:pPr>
        <w:widowControl w:val="0"/>
        <w:spacing w:before="0" w:after="0" w:line="240" w:lineRule="auto"/>
      </w:pPr>
    </w:p>
    <w:p w14:paraId="6DCB7D02" w14:textId="77777777" w:rsidR="00BF2AEB" w:rsidRPr="0085107A" w:rsidRDefault="00BF2AEB" w:rsidP="001358F5">
      <w:pPr>
        <w:widowControl w:val="0"/>
        <w:spacing w:before="0" w:after="0" w:line="240" w:lineRule="auto"/>
        <w:ind w:left="2553" w:hanging="2553"/>
      </w:pPr>
      <w:r w:rsidRPr="0085107A">
        <w:t>ECHR</w:t>
      </w:r>
      <w:r w:rsidRPr="0085107A">
        <w:tab/>
        <w:t>Council of Europe Convention for the Protection of Human Rights and Fundamental Rights</w:t>
      </w:r>
    </w:p>
    <w:p w14:paraId="32879869" w14:textId="77777777" w:rsidR="00BF2AEB" w:rsidRPr="0085107A" w:rsidRDefault="00BF2AEB" w:rsidP="001358F5">
      <w:pPr>
        <w:widowControl w:val="0"/>
        <w:spacing w:before="0" w:after="0" w:line="240" w:lineRule="auto"/>
      </w:pPr>
    </w:p>
    <w:p w14:paraId="16EEB02A" w14:textId="77777777" w:rsidR="00BF2AEB" w:rsidRPr="0085107A" w:rsidRDefault="00BF2AEB" w:rsidP="001358F5">
      <w:pPr>
        <w:widowControl w:val="0"/>
        <w:spacing w:before="0" w:after="0" w:line="240" w:lineRule="auto"/>
      </w:pPr>
      <w:r w:rsidRPr="0085107A">
        <w:t>EU</w:t>
      </w:r>
      <w:r w:rsidRPr="0085107A">
        <w:tab/>
      </w:r>
      <w:r w:rsidRPr="0085107A">
        <w:tab/>
      </w:r>
      <w:r w:rsidRPr="0085107A">
        <w:tab/>
        <w:t>European Union</w:t>
      </w:r>
    </w:p>
    <w:p w14:paraId="5DE901B0" w14:textId="77777777" w:rsidR="00F148E6" w:rsidRPr="00660C9C" w:rsidRDefault="00F148E6" w:rsidP="001358F5"/>
    <w:bookmarkEnd w:id="4"/>
    <w:p w14:paraId="4EF2B340" w14:textId="77777777" w:rsidR="00660C9C" w:rsidRPr="00660C9C" w:rsidRDefault="00660C9C" w:rsidP="001358F5"/>
    <w:p w14:paraId="4FD370D2" w14:textId="77777777" w:rsidR="00660C9C" w:rsidRPr="00660C9C" w:rsidRDefault="00660C9C" w:rsidP="001358F5"/>
    <w:p w14:paraId="7D9C0892" w14:textId="77777777" w:rsidR="00D17D9A" w:rsidRPr="00660C9C" w:rsidRDefault="00D17D9A" w:rsidP="001358F5">
      <w:pPr>
        <w:sectPr w:rsidR="00D17D9A" w:rsidRPr="00660C9C" w:rsidSect="00D75C87">
          <w:footerReference w:type="default" r:id="rId14"/>
          <w:type w:val="continuous"/>
          <w:pgSz w:w="11907" w:h="16840" w:code="9"/>
          <w:pgMar w:top="1848" w:right="1418" w:bottom="1021" w:left="1418" w:header="680" w:footer="567" w:gutter="0"/>
          <w:pgNumType w:fmt="lowerRoman" w:start="1"/>
          <w:cols w:space="708"/>
          <w:titlePg/>
          <w:docGrid w:linePitch="360"/>
        </w:sectPr>
      </w:pPr>
    </w:p>
    <w:p w14:paraId="6601B289" w14:textId="77777777" w:rsidR="00660C9C" w:rsidRDefault="00660C9C" w:rsidP="001358F5">
      <w:pPr>
        <w:pStyle w:val="Heading1"/>
      </w:pPr>
      <w:bookmarkStart w:id="10" w:name="_Toc401219644"/>
      <w:bookmarkStart w:id="11" w:name="_Toc401221472"/>
      <w:bookmarkStart w:id="12" w:name="_Toc401221549"/>
      <w:bookmarkStart w:id="13" w:name="_Toc401232305"/>
      <w:bookmarkStart w:id="14" w:name="_Toc401232460"/>
      <w:bookmarkStart w:id="15" w:name="_Toc401654865"/>
      <w:bookmarkStart w:id="16" w:name="_Toc401070014"/>
      <w:bookmarkStart w:id="17" w:name="_Toc336262933"/>
      <w:bookmarkStart w:id="18" w:name="_Toc334778901"/>
      <w:bookmarkStart w:id="19" w:name="_Toc336332184"/>
      <w:bookmarkStart w:id="20" w:name="_Toc409790450"/>
      <w:bookmarkEnd w:id="5"/>
      <w:r w:rsidRPr="0022162F">
        <w:lastRenderedPageBreak/>
        <w:t>Introduction</w:t>
      </w:r>
      <w:bookmarkEnd w:id="10"/>
      <w:bookmarkEnd w:id="11"/>
      <w:bookmarkEnd w:id="12"/>
      <w:bookmarkEnd w:id="13"/>
      <w:bookmarkEnd w:id="14"/>
      <w:bookmarkEnd w:id="15"/>
      <w:bookmarkEnd w:id="20"/>
      <w:r w:rsidRPr="0022162F">
        <w:t xml:space="preserve"> </w:t>
      </w:r>
    </w:p>
    <w:p w14:paraId="14B8FFB0" w14:textId="25BBB01A" w:rsidR="00660C9C" w:rsidRDefault="00660C9C" w:rsidP="00D95D49">
      <w:pPr>
        <w:pStyle w:val="Heading3NoNumb"/>
        <w:ind w:firstLine="851"/>
      </w:pPr>
      <w:bookmarkStart w:id="21" w:name="_Toc401219645"/>
      <w:bookmarkStart w:id="22" w:name="_Toc401221473"/>
      <w:bookmarkStart w:id="23" w:name="_Toc401221550"/>
      <w:bookmarkStart w:id="24" w:name="_Toc401654866"/>
      <w:bookmarkStart w:id="25" w:name="_Toc409790451"/>
      <w:r>
        <w:t xml:space="preserve">Introduction </w:t>
      </w:r>
      <w:r w:rsidRPr="0022162F">
        <w:t>and context</w:t>
      </w:r>
      <w:bookmarkEnd w:id="16"/>
      <w:bookmarkEnd w:id="21"/>
      <w:bookmarkEnd w:id="22"/>
      <w:bookmarkEnd w:id="23"/>
      <w:bookmarkEnd w:id="24"/>
      <w:bookmarkEnd w:id="25"/>
    </w:p>
    <w:p w14:paraId="1835AC60" w14:textId="77777777" w:rsidR="007342DE" w:rsidRDefault="007342DE" w:rsidP="001358F5">
      <w:pPr>
        <w:pStyle w:val="BodyText"/>
      </w:pPr>
      <w:bookmarkStart w:id="26" w:name="_Toc401654867"/>
      <w:r>
        <w:t>The promotion and protection of the rights of the child is one of the objectives of the EU on which the Treaty of Lisbon has put further emphasis. This report is part of a study ‘to collect data on children’s involvement in judicial proceedings in the EU’ which supports the implementation of the Commission Communication of 15 February 2011 ‘An EU Agenda for the rights of the child’, which identified the lack of reliable, comparable and official data on the situation of children in the Member States (MS). This deficiency is a serious obstacle to the development and implementation of evidence-based policies and is particularly evident in the context of child-friendly justice and the protection of children in vulnerable situations. Making the justice system more child-friendly in Europe is a key action of the EU Agenda. It is an area of high practical relevance where the EU has, under the Treaties, competences to turn the rights of the child into reality by means of EU legislation. Improved data is crucial to the framing of such legislation.</w:t>
      </w:r>
    </w:p>
    <w:p w14:paraId="5E22A382" w14:textId="77777777" w:rsidR="0049253A" w:rsidRDefault="007342DE" w:rsidP="001358F5">
      <w:pPr>
        <w:pStyle w:val="BodyText"/>
      </w:pPr>
      <w:r>
        <w:t>The objective of this study is</w:t>
      </w:r>
      <w:r w:rsidR="0049253A">
        <w:t>:</w:t>
      </w:r>
    </w:p>
    <w:p w14:paraId="71E79AC0" w14:textId="77777777" w:rsidR="0049253A" w:rsidRDefault="0049253A" w:rsidP="00B93831">
      <w:pPr>
        <w:pStyle w:val="BTBullet1"/>
      </w:pPr>
      <w:r>
        <w:t>to establish statistics and collect data based on structural, process and outcome indicators on children involved in civil judicial proceedings for the years 2008-2010 (and 2011 if available) for all 28 EU Member States;</w:t>
      </w:r>
    </w:p>
    <w:p w14:paraId="5D28A080" w14:textId="77777777" w:rsidR="0049253A" w:rsidRDefault="0049253A" w:rsidP="00B93831">
      <w:pPr>
        <w:pStyle w:val="BTBullet1"/>
      </w:pPr>
      <w:r>
        <w:t>to provide a narrative overview of children's involvement in civil judicial proceedings in the EU. The report describes the situation in each Member State as at 1 June 2012.</w:t>
      </w:r>
    </w:p>
    <w:p w14:paraId="7AA225F0" w14:textId="77777777" w:rsidR="007342DE" w:rsidRDefault="007342DE" w:rsidP="001358F5">
      <w:pPr>
        <w:pStyle w:val="Heading4NoNumb"/>
        <w:ind w:left="851"/>
      </w:pPr>
      <w:r w:rsidRPr="007342DE">
        <w:rPr>
          <w:rFonts w:ascii="Arial" w:eastAsia="Calibri" w:hAnsi="Arial" w:cs="Arial"/>
          <w:b w:val="0"/>
          <w:bCs w:val="0"/>
          <w:i w:val="0"/>
          <w:iCs w:val="0"/>
          <w:color w:val="auto"/>
          <w:sz w:val="20"/>
          <w:szCs w:val="20"/>
          <w:lang w:val="en-US"/>
        </w:rPr>
        <w:t xml:space="preserve">This report examines the safeguards in place for children involved in </w:t>
      </w:r>
      <w:r w:rsidRPr="007342DE">
        <w:rPr>
          <w:rFonts w:ascii="Arial" w:eastAsia="Calibri" w:hAnsi="Arial" w:cs="Arial"/>
          <w:bCs w:val="0"/>
          <w:i w:val="0"/>
          <w:iCs w:val="0"/>
          <w:color w:val="auto"/>
          <w:sz w:val="20"/>
          <w:szCs w:val="20"/>
          <w:lang w:val="en-US"/>
        </w:rPr>
        <w:t>civil judicial proceedings</w:t>
      </w:r>
      <w:r w:rsidRPr="007342DE">
        <w:rPr>
          <w:rFonts w:ascii="Arial" w:eastAsia="Calibri" w:hAnsi="Arial" w:cs="Arial"/>
          <w:b w:val="0"/>
          <w:bCs w:val="0"/>
          <w:i w:val="0"/>
          <w:iCs w:val="0"/>
          <w:color w:val="auto"/>
          <w:sz w:val="20"/>
          <w:szCs w:val="20"/>
          <w:lang w:val="en-US"/>
        </w:rPr>
        <w:t xml:space="preserve">. The </w:t>
      </w:r>
      <w:hyperlink r:id="rId15" w:history="1">
        <w:r w:rsidRPr="007342DE">
          <w:rPr>
            <w:rFonts w:ascii="Arial" w:eastAsia="Calibri" w:hAnsi="Arial" w:cs="Times New Roman"/>
            <w:b w:val="0"/>
            <w:bCs w:val="0"/>
            <w:i w:val="0"/>
            <w:iCs w:val="0"/>
            <w:color w:val="0000FF"/>
            <w:sz w:val="20"/>
            <w:szCs w:val="20"/>
            <w:u w:val="single"/>
            <w:lang w:val="en-US"/>
          </w:rPr>
          <w:t>Council of Europe Guidelines on child-friendly justice</w:t>
        </w:r>
      </w:hyperlink>
      <w:r w:rsidRPr="007342DE">
        <w:rPr>
          <w:rFonts w:ascii="Arial" w:eastAsia="Calibri" w:hAnsi="Arial" w:cs="Arial"/>
          <w:b w:val="0"/>
          <w:bCs w:val="0"/>
          <w:i w:val="0"/>
          <w:iCs w:val="0"/>
          <w:color w:val="auto"/>
          <w:sz w:val="20"/>
          <w:szCs w:val="20"/>
          <w:lang w:val="en-US"/>
        </w:rPr>
        <w:t xml:space="preserve"> serve as a basis for the analysis of the provisions affecting children in civil judicial proceedings in each Member State</w:t>
      </w:r>
    </w:p>
    <w:p w14:paraId="5A0A37D4" w14:textId="0D3201F7" w:rsidR="00660C9C" w:rsidRPr="00B93831" w:rsidRDefault="00660C9C" w:rsidP="00D95D49">
      <w:pPr>
        <w:pStyle w:val="Heading3NoNumb"/>
        <w:ind w:firstLine="851"/>
      </w:pPr>
      <w:bookmarkStart w:id="27" w:name="_Toc409790452"/>
      <w:r w:rsidRPr="000D323B">
        <w:t>Structure and scope</w:t>
      </w:r>
      <w:bookmarkEnd w:id="26"/>
      <w:bookmarkEnd w:id="27"/>
    </w:p>
    <w:p w14:paraId="550CB68D" w14:textId="77777777" w:rsidR="0049253A" w:rsidRPr="00A1012E" w:rsidRDefault="0049253A" w:rsidP="001358F5">
      <w:pPr>
        <w:pStyle w:val="BodyText"/>
        <w:rPr>
          <w:lang w:val="en-US"/>
        </w:rPr>
      </w:pPr>
      <w:r w:rsidRPr="00A1012E">
        <w:rPr>
          <w:lang w:val="en-US"/>
        </w:rPr>
        <w:t xml:space="preserve">This report describes the national </w:t>
      </w:r>
      <w:r w:rsidRPr="00A1012E">
        <w:rPr>
          <w:b/>
          <w:lang w:val="en-US"/>
        </w:rPr>
        <w:t>civil justice system</w:t>
      </w:r>
      <w:r w:rsidRPr="00A1012E">
        <w:rPr>
          <w:lang w:val="en-US"/>
        </w:rPr>
        <w:t xml:space="preserve"> insofar as children’s involvement is concerned. If, in addition to general rules in civil judicial proceedings, there are specific rules in the fields of </w:t>
      </w:r>
      <w:r w:rsidRPr="00A1012E">
        <w:rPr>
          <w:b/>
          <w:lang w:val="en-US"/>
        </w:rPr>
        <w:t>family and employment law</w:t>
      </w:r>
      <w:r w:rsidRPr="00A1012E">
        <w:rPr>
          <w:lang w:val="en-US"/>
        </w:rPr>
        <w:t xml:space="preserve">, the safeguards in place for children involved in judicial proceedings in those two specific sectors will also be described. </w:t>
      </w:r>
    </w:p>
    <w:p w14:paraId="63C426B2" w14:textId="77777777" w:rsidR="0049253A" w:rsidRPr="00A1012E" w:rsidRDefault="0049253A" w:rsidP="001358F5">
      <w:pPr>
        <w:pStyle w:val="BodyText"/>
        <w:rPr>
          <w:lang w:val="en-US"/>
        </w:rPr>
      </w:pPr>
      <w:r w:rsidRPr="00A1012E">
        <w:rPr>
          <w:b/>
          <w:lang w:val="en-US"/>
        </w:rPr>
        <w:t>Chapter 2</w:t>
      </w:r>
      <w:r w:rsidRPr="00A1012E">
        <w:rPr>
          <w:lang w:val="en-US"/>
        </w:rPr>
        <w:t xml:space="preserve"> of this report provides an overview of the Member State’s approach to children’s involvement in civil judicial proceedings. It includes a description of the competent authorities and services.</w:t>
      </w:r>
    </w:p>
    <w:p w14:paraId="770D74F2" w14:textId="77777777" w:rsidR="0049253A" w:rsidRPr="00A1012E" w:rsidRDefault="0049253A" w:rsidP="001358F5">
      <w:pPr>
        <w:pStyle w:val="BodyText"/>
        <w:rPr>
          <w:lang w:val="en-US"/>
        </w:rPr>
      </w:pPr>
      <w:r w:rsidRPr="00A1012E">
        <w:rPr>
          <w:b/>
          <w:lang w:val="en-US"/>
        </w:rPr>
        <w:t>Chapter 3</w:t>
      </w:r>
      <w:r w:rsidRPr="00A1012E">
        <w:rPr>
          <w:lang w:val="en-US"/>
        </w:rPr>
        <w:t xml:space="preserve"> of this report is divided in sections (3.1, 3.2, etc.) according to the different safeguards examined (e.g. the right to be heard, the right to information, etc.). Each of these sections is divided into subsections describing the different rules applying to children according to the different role they may have in a civil judicial proceeding (plaintiff; defendant; witness; other roles). </w:t>
      </w:r>
    </w:p>
    <w:p w14:paraId="5A4C5289" w14:textId="77777777" w:rsidR="0049253A" w:rsidRPr="00A1012E" w:rsidRDefault="0049253A" w:rsidP="001358F5">
      <w:pPr>
        <w:pStyle w:val="BodyText"/>
      </w:pPr>
      <w:r w:rsidRPr="00A1012E">
        <w:rPr>
          <w:lang w:val="en-US"/>
        </w:rPr>
        <w:t xml:space="preserve">The table below summarises the type of judicial proceedings applicable to the fields of family and employment law and the competent courts. For the sake of completeness, the table also indicates which sectors are examined in the </w:t>
      </w:r>
      <w:hyperlink r:id="rId16" w:history="1">
        <w:r w:rsidRPr="005035D1">
          <w:rPr>
            <w:rStyle w:val="Hyperlink"/>
            <w:rFonts w:cs="Arial"/>
            <w:lang w:val="en-US"/>
          </w:rPr>
          <w:t>overview for administrative justice</w:t>
        </w:r>
      </w:hyperlink>
      <w:r w:rsidRPr="00A1012E">
        <w:t xml:space="preserve">, i.e. </w:t>
      </w:r>
      <w:r w:rsidRPr="00A1012E">
        <w:rPr>
          <w:lang w:val="en-US"/>
        </w:rPr>
        <w:t xml:space="preserve">asylum, migration, education, health, placement into care, administrative sanctions, and offences committed by children below the minimum age of criminal responsibility (MACR). In fact, in some countries, civil procedural rules also apply to judicial proceedings in some of these sectors, but in order to ensure a degree of consistency among the overviews on </w:t>
      </w:r>
      <w:r>
        <w:rPr>
          <w:lang w:val="en-US"/>
        </w:rPr>
        <w:t xml:space="preserve">the </w:t>
      </w:r>
      <w:r w:rsidRPr="00A1012E">
        <w:rPr>
          <w:lang w:val="en-US"/>
        </w:rPr>
        <w:t xml:space="preserve">29 jurisdictions covered by this study, the breakdown set out in the table below has been applied for each and every country overview.  </w:t>
      </w:r>
    </w:p>
    <w:p w14:paraId="3D073DE4" w14:textId="77777777" w:rsidR="00660C9C" w:rsidRDefault="00660C9C" w:rsidP="001358F5">
      <w:pPr>
        <w:pStyle w:val="Otherheading1"/>
        <w:keepNext w:val="0"/>
        <w:widowControl w:val="0"/>
        <w:spacing w:before="0" w:after="0"/>
        <w:rPr>
          <w:caps w:val="0"/>
          <w:color w:val="auto"/>
          <w:lang w:val="en-GB"/>
        </w:rPr>
      </w:pPr>
    </w:p>
    <w:p w14:paraId="59DE31C9" w14:textId="77777777" w:rsidR="00660C9C" w:rsidRDefault="00660C9C" w:rsidP="001358F5">
      <w:pPr>
        <w:pStyle w:val="Otherheading1"/>
        <w:keepNext w:val="0"/>
        <w:widowControl w:val="0"/>
        <w:spacing w:before="0" w:after="0"/>
        <w:rPr>
          <w:caps w:val="0"/>
          <w:color w:val="auto"/>
          <w:lang w:val="en-GB"/>
        </w:rPr>
      </w:pPr>
    </w:p>
    <w:p w14:paraId="07B36720" w14:textId="77777777" w:rsidR="00660C9C" w:rsidRDefault="00660C9C" w:rsidP="00B15277">
      <w:pPr>
        <w:pStyle w:val="BodyText"/>
        <w:ind w:left="0"/>
        <w:sectPr w:rsidR="00660C9C" w:rsidSect="00525433">
          <w:footerReference w:type="default" r:id="rId17"/>
          <w:pgSz w:w="11907" w:h="16840" w:code="9"/>
          <w:pgMar w:top="1418" w:right="1418" w:bottom="1021" w:left="1418" w:header="680" w:footer="567" w:gutter="0"/>
          <w:pgNumType w:start="1"/>
          <w:cols w:space="708"/>
          <w:docGrid w:linePitch="360"/>
        </w:sectPr>
      </w:pPr>
    </w:p>
    <w:tbl>
      <w:tblPr>
        <w:tblpPr w:leftFromText="180" w:rightFromText="180" w:vertAnchor="text" w:horzAnchor="margin" w:tblpY="65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6"/>
        <w:gridCol w:w="1052"/>
        <w:gridCol w:w="1218"/>
        <w:gridCol w:w="1391"/>
        <w:gridCol w:w="1520"/>
        <w:gridCol w:w="1520"/>
        <w:gridCol w:w="1520"/>
        <w:gridCol w:w="1520"/>
        <w:gridCol w:w="1520"/>
        <w:gridCol w:w="1509"/>
      </w:tblGrid>
      <w:tr w:rsidR="00172115" w:rsidRPr="00C31F83" w14:paraId="6285A999" w14:textId="77777777" w:rsidTr="00920BEA">
        <w:trPr>
          <w:trHeight w:val="833"/>
        </w:trPr>
        <w:tc>
          <w:tcPr>
            <w:tcW w:w="5000" w:type="pct"/>
            <w:gridSpan w:val="10"/>
            <w:shd w:val="clear" w:color="auto" w:fill="DBE5F1"/>
            <w:vAlign w:val="center"/>
          </w:tcPr>
          <w:p w14:paraId="0887F319" w14:textId="77777777" w:rsidR="00172115" w:rsidRPr="00C31F83" w:rsidRDefault="00172115" w:rsidP="00920BEA">
            <w:pPr>
              <w:spacing w:before="0" w:after="0" w:line="240" w:lineRule="auto"/>
              <w:rPr>
                <w:b/>
                <w:sz w:val="22"/>
                <w:szCs w:val="22"/>
              </w:rPr>
            </w:pPr>
            <w:r w:rsidRPr="00C31F83">
              <w:rPr>
                <w:b/>
                <w:sz w:val="22"/>
                <w:szCs w:val="22"/>
              </w:rPr>
              <w:lastRenderedPageBreak/>
              <w:t>Type of judicial proceedings and court competence per sector</w:t>
            </w:r>
            <w:r>
              <w:rPr>
                <w:rStyle w:val="FootnoteReference"/>
                <w:b/>
                <w:sz w:val="22"/>
                <w:szCs w:val="22"/>
              </w:rPr>
              <w:footnoteReference w:id="1"/>
            </w:r>
          </w:p>
        </w:tc>
      </w:tr>
      <w:tr w:rsidR="00172115" w:rsidRPr="00C31F83" w14:paraId="659C3D38" w14:textId="77777777" w:rsidTr="00920BEA">
        <w:trPr>
          <w:trHeight w:val="703"/>
        </w:trPr>
        <w:tc>
          <w:tcPr>
            <w:tcW w:w="438" w:type="pct"/>
            <w:shd w:val="clear" w:color="auto" w:fill="D6E3BC"/>
            <w:vAlign w:val="center"/>
          </w:tcPr>
          <w:p w14:paraId="3CC8302B" w14:textId="77777777" w:rsidR="00172115" w:rsidRPr="00C31F83" w:rsidRDefault="00172115" w:rsidP="00920BEA">
            <w:pPr>
              <w:spacing w:before="0" w:after="0" w:line="240" w:lineRule="auto"/>
              <w:rPr>
                <w:b/>
              </w:rPr>
            </w:pPr>
          </w:p>
        </w:tc>
        <w:tc>
          <w:tcPr>
            <w:tcW w:w="376" w:type="pct"/>
            <w:shd w:val="clear" w:color="auto" w:fill="D6E3BC"/>
            <w:vAlign w:val="center"/>
          </w:tcPr>
          <w:p w14:paraId="66ECB670" w14:textId="77777777" w:rsidR="00172115" w:rsidRPr="00C31F83" w:rsidRDefault="00172115" w:rsidP="00920BEA">
            <w:pPr>
              <w:spacing w:before="0" w:after="0" w:line="240" w:lineRule="auto"/>
              <w:rPr>
                <w:b/>
                <w:sz w:val="16"/>
                <w:szCs w:val="16"/>
              </w:rPr>
            </w:pPr>
            <w:r w:rsidRPr="00C31F83">
              <w:rPr>
                <w:b/>
                <w:sz w:val="16"/>
                <w:szCs w:val="16"/>
              </w:rPr>
              <w:t>Contextual overview for civil justice</w:t>
            </w:r>
          </w:p>
        </w:tc>
        <w:tc>
          <w:tcPr>
            <w:tcW w:w="435" w:type="pct"/>
            <w:shd w:val="clear" w:color="auto" w:fill="D6E3BC"/>
            <w:vAlign w:val="center"/>
          </w:tcPr>
          <w:p w14:paraId="221FD835" w14:textId="77777777" w:rsidR="00172115" w:rsidRPr="00C31F83" w:rsidRDefault="00172115" w:rsidP="00920BEA">
            <w:pPr>
              <w:spacing w:before="0" w:after="0" w:line="240" w:lineRule="auto"/>
              <w:rPr>
                <w:b/>
                <w:sz w:val="16"/>
                <w:szCs w:val="16"/>
              </w:rPr>
            </w:pPr>
            <w:r w:rsidRPr="00C31F83">
              <w:rPr>
                <w:b/>
                <w:sz w:val="16"/>
                <w:szCs w:val="16"/>
              </w:rPr>
              <w:t>Contextual overview for civil justice</w:t>
            </w:r>
          </w:p>
        </w:tc>
        <w:tc>
          <w:tcPr>
            <w:tcW w:w="497" w:type="pct"/>
            <w:shd w:val="clear" w:color="auto" w:fill="D6E3BC"/>
            <w:vAlign w:val="center"/>
          </w:tcPr>
          <w:p w14:paraId="3AB623D9" w14:textId="77777777" w:rsidR="00172115" w:rsidRPr="00C31F83" w:rsidRDefault="00172115" w:rsidP="00920BEA">
            <w:pPr>
              <w:spacing w:before="0" w:after="0" w:line="240" w:lineRule="auto"/>
              <w:rPr>
                <w:b/>
                <w:sz w:val="16"/>
                <w:szCs w:val="16"/>
              </w:rPr>
            </w:pPr>
            <w:r w:rsidRPr="00C31F83">
              <w:rPr>
                <w:b/>
                <w:sz w:val="16"/>
                <w:szCs w:val="16"/>
              </w:rPr>
              <w:t>Contextual overview for administrative justice</w:t>
            </w:r>
            <w:r w:rsidRPr="00C31F83">
              <w:rPr>
                <w:b/>
                <w:sz w:val="22"/>
                <w:szCs w:val="22"/>
                <w:vertAlign w:val="superscript"/>
              </w:rPr>
              <w:footnoteReference w:id="2"/>
            </w:r>
          </w:p>
        </w:tc>
        <w:tc>
          <w:tcPr>
            <w:tcW w:w="543" w:type="pct"/>
            <w:shd w:val="clear" w:color="auto" w:fill="D6E3BC"/>
            <w:vAlign w:val="center"/>
          </w:tcPr>
          <w:p w14:paraId="788A1751" w14:textId="77777777" w:rsidR="00172115" w:rsidRPr="00C31F83" w:rsidRDefault="00172115" w:rsidP="00920BEA">
            <w:pPr>
              <w:spacing w:before="0" w:after="0" w:line="240" w:lineRule="auto"/>
              <w:rPr>
                <w:b/>
                <w:sz w:val="16"/>
                <w:szCs w:val="16"/>
              </w:rPr>
            </w:pPr>
            <w:r w:rsidRPr="00C31F83">
              <w:rPr>
                <w:b/>
                <w:sz w:val="16"/>
                <w:szCs w:val="16"/>
              </w:rPr>
              <w:t>Contextual overview for administrative justice</w:t>
            </w:r>
          </w:p>
        </w:tc>
        <w:tc>
          <w:tcPr>
            <w:tcW w:w="543" w:type="pct"/>
            <w:shd w:val="clear" w:color="auto" w:fill="D6E3BC"/>
            <w:vAlign w:val="center"/>
          </w:tcPr>
          <w:p w14:paraId="64AD764F" w14:textId="77777777" w:rsidR="00172115" w:rsidRPr="00C31F83" w:rsidRDefault="00172115" w:rsidP="00920BEA">
            <w:pPr>
              <w:spacing w:before="0" w:after="0" w:line="240" w:lineRule="auto"/>
              <w:rPr>
                <w:b/>
                <w:sz w:val="16"/>
                <w:szCs w:val="16"/>
              </w:rPr>
            </w:pPr>
            <w:r w:rsidRPr="00C31F83">
              <w:rPr>
                <w:b/>
                <w:sz w:val="16"/>
                <w:szCs w:val="16"/>
              </w:rPr>
              <w:t>Contextual overview for administrative justice</w:t>
            </w:r>
          </w:p>
        </w:tc>
        <w:tc>
          <w:tcPr>
            <w:tcW w:w="543" w:type="pct"/>
            <w:shd w:val="clear" w:color="auto" w:fill="D6E3BC"/>
            <w:vAlign w:val="center"/>
          </w:tcPr>
          <w:p w14:paraId="6DA0A683" w14:textId="77777777" w:rsidR="00172115" w:rsidRPr="00C31F83" w:rsidRDefault="00172115" w:rsidP="00920BEA">
            <w:pPr>
              <w:spacing w:before="0" w:after="0" w:line="240" w:lineRule="auto"/>
              <w:rPr>
                <w:b/>
                <w:sz w:val="16"/>
                <w:szCs w:val="16"/>
              </w:rPr>
            </w:pPr>
            <w:r w:rsidRPr="00C31F83">
              <w:rPr>
                <w:b/>
                <w:sz w:val="16"/>
                <w:szCs w:val="16"/>
              </w:rPr>
              <w:t>Contextual overview for administrative justice</w:t>
            </w:r>
          </w:p>
        </w:tc>
        <w:tc>
          <w:tcPr>
            <w:tcW w:w="543" w:type="pct"/>
            <w:shd w:val="clear" w:color="auto" w:fill="D6E3BC"/>
            <w:vAlign w:val="center"/>
          </w:tcPr>
          <w:p w14:paraId="4720EC6C" w14:textId="77777777" w:rsidR="00172115" w:rsidRPr="00C31F83" w:rsidRDefault="00172115" w:rsidP="00920BEA">
            <w:pPr>
              <w:spacing w:before="0" w:after="0" w:line="240" w:lineRule="auto"/>
              <w:rPr>
                <w:b/>
                <w:sz w:val="16"/>
                <w:szCs w:val="16"/>
              </w:rPr>
            </w:pPr>
            <w:r w:rsidRPr="00C31F83">
              <w:rPr>
                <w:b/>
                <w:sz w:val="16"/>
                <w:szCs w:val="16"/>
              </w:rPr>
              <w:t>Contextual overview for administrative justice</w:t>
            </w:r>
          </w:p>
        </w:tc>
        <w:tc>
          <w:tcPr>
            <w:tcW w:w="543" w:type="pct"/>
            <w:shd w:val="clear" w:color="auto" w:fill="D6E3BC"/>
            <w:vAlign w:val="center"/>
          </w:tcPr>
          <w:p w14:paraId="551AB663" w14:textId="77777777" w:rsidR="00172115" w:rsidRPr="00C31F83" w:rsidRDefault="00172115" w:rsidP="00920BEA">
            <w:pPr>
              <w:spacing w:before="0" w:after="0" w:line="240" w:lineRule="auto"/>
              <w:rPr>
                <w:b/>
                <w:sz w:val="16"/>
                <w:szCs w:val="16"/>
              </w:rPr>
            </w:pPr>
            <w:r w:rsidRPr="00C31F83">
              <w:rPr>
                <w:b/>
                <w:sz w:val="16"/>
                <w:szCs w:val="16"/>
              </w:rPr>
              <w:t>Contextual overview for administrative justice</w:t>
            </w:r>
          </w:p>
        </w:tc>
        <w:tc>
          <w:tcPr>
            <w:tcW w:w="539" w:type="pct"/>
            <w:shd w:val="clear" w:color="auto" w:fill="D6E3BC"/>
            <w:vAlign w:val="center"/>
          </w:tcPr>
          <w:p w14:paraId="7CD3D4EB" w14:textId="77777777" w:rsidR="00172115" w:rsidRPr="00C31F83" w:rsidRDefault="00172115" w:rsidP="00920BEA">
            <w:pPr>
              <w:spacing w:before="0" w:after="0" w:line="240" w:lineRule="auto"/>
              <w:rPr>
                <w:b/>
                <w:sz w:val="16"/>
                <w:szCs w:val="16"/>
              </w:rPr>
            </w:pPr>
            <w:r w:rsidRPr="00C31F83">
              <w:rPr>
                <w:b/>
                <w:sz w:val="16"/>
                <w:szCs w:val="16"/>
              </w:rPr>
              <w:t>Contextual overview for administrative justice</w:t>
            </w:r>
          </w:p>
        </w:tc>
      </w:tr>
      <w:tr w:rsidR="00172115" w:rsidRPr="00C31F83" w14:paraId="27824ECA" w14:textId="77777777" w:rsidTr="00920BEA">
        <w:trPr>
          <w:trHeight w:val="703"/>
        </w:trPr>
        <w:tc>
          <w:tcPr>
            <w:tcW w:w="438" w:type="pct"/>
            <w:shd w:val="clear" w:color="auto" w:fill="D6E3BC"/>
            <w:vAlign w:val="center"/>
          </w:tcPr>
          <w:p w14:paraId="35E5854E" w14:textId="77777777" w:rsidR="00172115" w:rsidRPr="00C31F83" w:rsidRDefault="00172115" w:rsidP="00920BEA">
            <w:pPr>
              <w:spacing w:before="0" w:after="0" w:line="240" w:lineRule="auto"/>
              <w:rPr>
                <w:b/>
                <w:sz w:val="16"/>
                <w:szCs w:val="16"/>
              </w:rPr>
            </w:pPr>
            <w:r w:rsidRPr="00C31F83">
              <w:rPr>
                <w:b/>
                <w:sz w:val="16"/>
                <w:szCs w:val="16"/>
              </w:rPr>
              <w:t>Sectors:</w:t>
            </w:r>
          </w:p>
        </w:tc>
        <w:tc>
          <w:tcPr>
            <w:tcW w:w="376" w:type="pct"/>
            <w:shd w:val="clear" w:color="auto" w:fill="D6E3BC"/>
            <w:vAlign w:val="center"/>
          </w:tcPr>
          <w:p w14:paraId="4137D3C2" w14:textId="77777777" w:rsidR="00172115" w:rsidRPr="00C31F83" w:rsidRDefault="00172115" w:rsidP="00920BEA">
            <w:pPr>
              <w:spacing w:before="0" w:after="0" w:line="240" w:lineRule="auto"/>
              <w:rPr>
                <w:b/>
                <w:sz w:val="16"/>
                <w:szCs w:val="16"/>
              </w:rPr>
            </w:pPr>
            <w:r w:rsidRPr="00C31F83">
              <w:rPr>
                <w:b/>
                <w:sz w:val="16"/>
                <w:szCs w:val="16"/>
              </w:rPr>
              <w:t>Family</w:t>
            </w:r>
          </w:p>
        </w:tc>
        <w:tc>
          <w:tcPr>
            <w:tcW w:w="435" w:type="pct"/>
            <w:shd w:val="clear" w:color="auto" w:fill="D6E3BC"/>
            <w:vAlign w:val="center"/>
          </w:tcPr>
          <w:p w14:paraId="15C38BD3" w14:textId="77777777" w:rsidR="00172115" w:rsidRPr="00C31F83" w:rsidRDefault="00172115" w:rsidP="00920BEA">
            <w:pPr>
              <w:spacing w:before="0" w:after="0" w:line="240" w:lineRule="auto"/>
              <w:rPr>
                <w:b/>
                <w:sz w:val="16"/>
                <w:szCs w:val="16"/>
              </w:rPr>
            </w:pPr>
            <w:r w:rsidRPr="00C31F83">
              <w:rPr>
                <w:b/>
                <w:sz w:val="16"/>
                <w:szCs w:val="16"/>
              </w:rPr>
              <w:t>Employment</w:t>
            </w:r>
          </w:p>
        </w:tc>
        <w:tc>
          <w:tcPr>
            <w:tcW w:w="497" w:type="pct"/>
            <w:shd w:val="clear" w:color="auto" w:fill="D6E3BC"/>
            <w:vAlign w:val="center"/>
          </w:tcPr>
          <w:p w14:paraId="09D7E909" w14:textId="77777777" w:rsidR="00172115" w:rsidRPr="00C31F83" w:rsidRDefault="00172115" w:rsidP="00920BEA">
            <w:pPr>
              <w:spacing w:before="0" w:after="0" w:line="240" w:lineRule="auto"/>
              <w:rPr>
                <w:b/>
                <w:sz w:val="16"/>
                <w:szCs w:val="16"/>
              </w:rPr>
            </w:pPr>
            <w:r w:rsidRPr="00C31F83">
              <w:rPr>
                <w:b/>
                <w:sz w:val="16"/>
                <w:szCs w:val="16"/>
              </w:rPr>
              <w:t>Asylum</w:t>
            </w:r>
          </w:p>
        </w:tc>
        <w:tc>
          <w:tcPr>
            <w:tcW w:w="543" w:type="pct"/>
            <w:shd w:val="clear" w:color="auto" w:fill="D6E3BC"/>
            <w:vAlign w:val="center"/>
          </w:tcPr>
          <w:p w14:paraId="3B13A768" w14:textId="77777777" w:rsidR="00172115" w:rsidRPr="00C31F83" w:rsidRDefault="00172115" w:rsidP="00920BEA">
            <w:pPr>
              <w:spacing w:before="0" w:after="0" w:line="240" w:lineRule="auto"/>
              <w:rPr>
                <w:b/>
                <w:sz w:val="16"/>
                <w:szCs w:val="16"/>
              </w:rPr>
            </w:pPr>
            <w:r w:rsidRPr="00C31F83">
              <w:rPr>
                <w:b/>
                <w:sz w:val="16"/>
                <w:szCs w:val="16"/>
              </w:rPr>
              <w:t>Migration</w:t>
            </w:r>
          </w:p>
        </w:tc>
        <w:tc>
          <w:tcPr>
            <w:tcW w:w="543" w:type="pct"/>
            <w:shd w:val="clear" w:color="auto" w:fill="D6E3BC"/>
            <w:vAlign w:val="center"/>
          </w:tcPr>
          <w:p w14:paraId="7C0A0FE7" w14:textId="77777777" w:rsidR="00172115" w:rsidRPr="00C31F83" w:rsidRDefault="00172115" w:rsidP="00920BEA">
            <w:pPr>
              <w:spacing w:before="0" w:after="0" w:line="240" w:lineRule="auto"/>
              <w:rPr>
                <w:b/>
                <w:sz w:val="16"/>
                <w:szCs w:val="16"/>
              </w:rPr>
            </w:pPr>
            <w:r w:rsidRPr="00C31F83">
              <w:rPr>
                <w:b/>
                <w:sz w:val="16"/>
                <w:szCs w:val="16"/>
              </w:rPr>
              <w:t>Education</w:t>
            </w:r>
          </w:p>
        </w:tc>
        <w:tc>
          <w:tcPr>
            <w:tcW w:w="543" w:type="pct"/>
            <w:shd w:val="clear" w:color="auto" w:fill="D6E3BC"/>
            <w:vAlign w:val="center"/>
          </w:tcPr>
          <w:p w14:paraId="291109EE" w14:textId="77777777" w:rsidR="00172115" w:rsidRPr="00C31F83" w:rsidRDefault="00172115" w:rsidP="00920BEA">
            <w:pPr>
              <w:spacing w:before="0" w:after="0" w:line="240" w:lineRule="auto"/>
              <w:rPr>
                <w:b/>
                <w:sz w:val="16"/>
                <w:szCs w:val="16"/>
              </w:rPr>
            </w:pPr>
            <w:r w:rsidRPr="00C31F83">
              <w:rPr>
                <w:b/>
                <w:sz w:val="16"/>
                <w:szCs w:val="16"/>
              </w:rPr>
              <w:t>Health</w:t>
            </w:r>
          </w:p>
        </w:tc>
        <w:tc>
          <w:tcPr>
            <w:tcW w:w="543" w:type="pct"/>
            <w:shd w:val="clear" w:color="auto" w:fill="D6E3BC"/>
            <w:vAlign w:val="center"/>
          </w:tcPr>
          <w:p w14:paraId="0DB6B06D" w14:textId="77777777" w:rsidR="00172115" w:rsidRPr="00C31F83" w:rsidRDefault="00172115" w:rsidP="00920BEA">
            <w:pPr>
              <w:spacing w:before="0" w:after="0" w:line="240" w:lineRule="auto"/>
              <w:rPr>
                <w:b/>
                <w:sz w:val="16"/>
                <w:szCs w:val="16"/>
              </w:rPr>
            </w:pPr>
            <w:r w:rsidRPr="00C31F83">
              <w:rPr>
                <w:b/>
                <w:sz w:val="16"/>
                <w:szCs w:val="16"/>
              </w:rPr>
              <w:t>Placement in care</w:t>
            </w:r>
          </w:p>
        </w:tc>
        <w:tc>
          <w:tcPr>
            <w:tcW w:w="543" w:type="pct"/>
            <w:shd w:val="clear" w:color="auto" w:fill="D6E3BC"/>
            <w:vAlign w:val="center"/>
          </w:tcPr>
          <w:p w14:paraId="349B0B95" w14:textId="77777777" w:rsidR="00172115" w:rsidRPr="00C31F83" w:rsidRDefault="00172115" w:rsidP="00920BEA">
            <w:pPr>
              <w:spacing w:before="0" w:after="0" w:line="240" w:lineRule="auto"/>
              <w:rPr>
                <w:b/>
                <w:sz w:val="16"/>
                <w:szCs w:val="16"/>
              </w:rPr>
            </w:pPr>
            <w:r w:rsidRPr="00C31F83">
              <w:rPr>
                <w:b/>
                <w:sz w:val="16"/>
                <w:szCs w:val="16"/>
              </w:rPr>
              <w:t>Administrative sanctions</w:t>
            </w:r>
          </w:p>
        </w:tc>
        <w:tc>
          <w:tcPr>
            <w:tcW w:w="539" w:type="pct"/>
            <w:shd w:val="clear" w:color="auto" w:fill="D6E3BC"/>
            <w:vAlign w:val="center"/>
          </w:tcPr>
          <w:p w14:paraId="3B181FA2" w14:textId="77777777" w:rsidR="00172115" w:rsidRPr="00C31F83" w:rsidRDefault="00172115" w:rsidP="00920BEA">
            <w:pPr>
              <w:spacing w:before="0" w:after="0" w:line="240" w:lineRule="auto"/>
              <w:rPr>
                <w:b/>
                <w:sz w:val="16"/>
                <w:szCs w:val="16"/>
              </w:rPr>
            </w:pPr>
            <w:r w:rsidRPr="00C31F83">
              <w:rPr>
                <w:b/>
                <w:sz w:val="16"/>
                <w:szCs w:val="16"/>
              </w:rPr>
              <w:t>Offences &lt; MACR</w:t>
            </w:r>
            <w:r w:rsidRPr="00C31F83">
              <w:rPr>
                <w:b/>
                <w:sz w:val="16"/>
                <w:szCs w:val="16"/>
                <w:vertAlign w:val="superscript"/>
              </w:rPr>
              <w:footnoteReference w:id="3"/>
            </w:r>
          </w:p>
        </w:tc>
      </w:tr>
      <w:tr w:rsidR="00172115" w14:paraId="6B589E27" w14:textId="77777777" w:rsidTr="00920BEA">
        <w:trPr>
          <w:trHeight w:val="1263"/>
        </w:trPr>
        <w:tc>
          <w:tcPr>
            <w:tcW w:w="438" w:type="pct"/>
            <w:shd w:val="clear" w:color="auto" w:fill="D6E3BC"/>
            <w:vAlign w:val="center"/>
          </w:tcPr>
          <w:p w14:paraId="4D15530E" w14:textId="77777777" w:rsidR="00172115" w:rsidRPr="00C31F83" w:rsidRDefault="00172115" w:rsidP="00920BEA">
            <w:pPr>
              <w:spacing w:before="0" w:after="0" w:line="240" w:lineRule="auto"/>
              <w:rPr>
                <w:b/>
                <w:sz w:val="16"/>
                <w:szCs w:val="16"/>
              </w:rPr>
            </w:pPr>
            <w:r w:rsidRPr="00C31F83">
              <w:rPr>
                <w:b/>
                <w:sz w:val="16"/>
                <w:szCs w:val="16"/>
              </w:rPr>
              <w:t>Type of proceeding applying in the sector</w:t>
            </w:r>
          </w:p>
        </w:tc>
        <w:tc>
          <w:tcPr>
            <w:tcW w:w="376" w:type="pct"/>
            <w:shd w:val="clear" w:color="auto" w:fill="FFFFFF"/>
          </w:tcPr>
          <w:p w14:paraId="4620185A" w14:textId="77777777" w:rsidR="00172115" w:rsidRPr="00C31F83" w:rsidRDefault="00172115" w:rsidP="00920BEA">
            <w:pPr>
              <w:spacing w:before="0" w:after="0" w:line="240" w:lineRule="auto"/>
              <w:rPr>
                <w:sz w:val="16"/>
                <w:szCs w:val="16"/>
              </w:rPr>
            </w:pPr>
            <w:r>
              <w:rPr>
                <w:sz w:val="16"/>
                <w:szCs w:val="16"/>
              </w:rPr>
              <w:t>Civil judicial proceeding</w:t>
            </w:r>
          </w:p>
        </w:tc>
        <w:tc>
          <w:tcPr>
            <w:tcW w:w="435" w:type="pct"/>
            <w:shd w:val="clear" w:color="auto" w:fill="FFFFFF"/>
          </w:tcPr>
          <w:p w14:paraId="58530D7C" w14:textId="77777777" w:rsidR="00172115" w:rsidRPr="00C31F83" w:rsidRDefault="00172115" w:rsidP="00920BEA">
            <w:pPr>
              <w:spacing w:before="0" w:after="0" w:line="240" w:lineRule="auto"/>
              <w:rPr>
                <w:sz w:val="16"/>
                <w:szCs w:val="16"/>
              </w:rPr>
            </w:pPr>
            <w:r>
              <w:rPr>
                <w:sz w:val="16"/>
                <w:szCs w:val="16"/>
              </w:rPr>
              <w:t>Civil judicial proceeding</w:t>
            </w:r>
          </w:p>
        </w:tc>
        <w:tc>
          <w:tcPr>
            <w:tcW w:w="497" w:type="pct"/>
            <w:shd w:val="clear" w:color="auto" w:fill="FFFFFF"/>
          </w:tcPr>
          <w:p w14:paraId="05393141" w14:textId="77777777" w:rsidR="00172115" w:rsidRPr="00814D88" w:rsidRDefault="00172115" w:rsidP="00920BEA">
            <w:pPr>
              <w:spacing w:before="0" w:after="0" w:line="240" w:lineRule="auto"/>
              <w:rPr>
                <w:sz w:val="16"/>
                <w:szCs w:val="16"/>
              </w:rPr>
            </w:pPr>
            <w:r>
              <w:rPr>
                <w:sz w:val="16"/>
                <w:szCs w:val="16"/>
              </w:rPr>
              <w:t>Administrative judicial proceeding</w:t>
            </w:r>
          </w:p>
        </w:tc>
        <w:tc>
          <w:tcPr>
            <w:tcW w:w="543" w:type="pct"/>
            <w:shd w:val="clear" w:color="auto" w:fill="FFFFFF"/>
          </w:tcPr>
          <w:p w14:paraId="7E2350F8" w14:textId="77777777" w:rsidR="00172115" w:rsidRPr="000E2377" w:rsidRDefault="00172115" w:rsidP="00920BEA">
            <w:pPr>
              <w:pStyle w:val="ListParagraph"/>
              <w:spacing w:after="0" w:line="240" w:lineRule="auto"/>
              <w:ind w:left="0"/>
              <w:rPr>
                <w:rFonts w:asciiTheme="minorHAnsi" w:eastAsiaTheme="minorHAnsi" w:hAnsiTheme="minorHAnsi" w:cstheme="minorBidi"/>
                <w:sz w:val="16"/>
                <w:szCs w:val="16"/>
              </w:rPr>
            </w:pPr>
            <w:r>
              <w:rPr>
                <w:sz w:val="16"/>
                <w:szCs w:val="16"/>
              </w:rPr>
              <w:t>Administrative judicial proceeding</w:t>
            </w:r>
          </w:p>
        </w:tc>
        <w:tc>
          <w:tcPr>
            <w:tcW w:w="543" w:type="pct"/>
            <w:shd w:val="clear" w:color="auto" w:fill="FFFFFF"/>
          </w:tcPr>
          <w:p w14:paraId="2BE62970" w14:textId="77777777" w:rsidR="00172115" w:rsidRDefault="00172115" w:rsidP="00920BEA">
            <w:pPr>
              <w:spacing w:before="0" w:after="0" w:line="240" w:lineRule="auto"/>
              <w:rPr>
                <w:sz w:val="16"/>
                <w:szCs w:val="16"/>
              </w:rPr>
            </w:pPr>
            <w:r>
              <w:rPr>
                <w:sz w:val="16"/>
                <w:szCs w:val="16"/>
              </w:rPr>
              <w:t>Administrative judicial proceeding</w:t>
            </w:r>
          </w:p>
        </w:tc>
        <w:tc>
          <w:tcPr>
            <w:tcW w:w="543" w:type="pct"/>
            <w:shd w:val="clear" w:color="auto" w:fill="FFFFFF"/>
          </w:tcPr>
          <w:p w14:paraId="37D08488" w14:textId="77777777" w:rsidR="00172115" w:rsidRPr="000E2377" w:rsidRDefault="00172115" w:rsidP="00920BEA">
            <w:pPr>
              <w:pStyle w:val="ListParagraph"/>
              <w:spacing w:after="0" w:line="240" w:lineRule="auto"/>
              <w:ind w:left="0"/>
              <w:rPr>
                <w:rFonts w:asciiTheme="minorHAnsi" w:eastAsiaTheme="minorHAnsi" w:hAnsiTheme="minorHAnsi" w:cstheme="minorBidi"/>
                <w:sz w:val="16"/>
                <w:szCs w:val="16"/>
              </w:rPr>
            </w:pPr>
            <w:r w:rsidRPr="00307EFB">
              <w:rPr>
                <w:sz w:val="16"/>
                <w:szCs w:val="16"/>
              </w:rPr>
              <w:t>Civil judicial proceeding</w:t>
            </w:r>
          </w:p>
        </w:tc>
        <w:tc>
          <w:tcPr>
            <w:tcW w:w="543" w:type="pct"/>
            <w:shd w:val="clear" w:color="auto" w:fill="FFFFFF"/>
          </w:tcPr>
          <w:p w14:paraId="55791CE3" w14:textId="77777777" w:rsidR="00172115" w:rsidRDefault="00172115" w:rsidP="00920BEA">
            <w:pPr>
              <w:spacing w:before="0" w:after="0" w:line="240" w:lineRule="auto"/>
              <w:rPr>
                <w:sz w:val="16"/>
                <w:szCs w:val="16"/>
              </w:rPr>
            </w:pPr>
            <w:r>
              <w:rPr>
                <w:sz w:val="16"/>
                <w:szCs w:val="16"/>
              </w:rPr>
              <w:t>Civil judicial proceeding</w:t>
            </w:r>
          </w:p>
        </w:tc>
        <w:tc>
          <w:tcPr>
            <w:tcW w:w="543" w:type="pct"/>
            <w:shd w:val="clear" w:color="auto" w:fill="FFFFFF"/>
          </w:tcPr>
          <w:p w14:paraId="2256153F" w14:textId="77777777" w:rsidR="00172115" w:rsidRDefault="00172115" w:rsidP="00920BEA">
            <w:pPr>
              <w:spacing w:before="0" w:after="0" w:line="240" w:lineRule="auto"/>
              <w:rPr>
                <w:sz w:val="16"/>
                <w:szCs w:val="16"/>
              </w:rPr>
            </w:pPr>
            <w:r>
              <w:rPr>
                <w:sz w:val="16"/>
                <w:szCs w:val="16"/>
              </w:rPr>
              <w:t>Civil judicial proceeding</w:t>
            </w:r>
          </w:p>
        </w:tc>
        <w:tc>
          <w:tcPr>
            <w:tcW w:w="539" w:type="pct"/>
            <w:shd w:val="clear" w:color="auto" w:fill="FFFFFF"/>
          </w:tcPr>
          <w:p w14:paraId="5B79D120" w14:textId="77777777" w:rsidR="00172115" w:rsidRDefault="00172115" w:rsidP="00920BEA">
            <w:pPr>
              <w:spacing w:before="0" w:after="0" w:line="240" w:lineRule="auto"/>
              <w:rPr>
                <w:sz w:val="16"/>
                <w:szCs w:val="16"/>
              </w:rPr>
            </w:pPr>
            <w:r>
              <w:rPr>
                <w:sz w:val="16"/>
                <w:szCs w:val="16"/>
              </w:rPr>
              <w:t>Judicial proceeding of civil and criminal nature</w:t>
            </w:r>
          </w:p>
        </w:tc>
      </w:tr>
      <w:tr w:rsidR="00172115" w14:paraId="6FF48D0E" w14:textId="77777777" w:rsidTr="00920BEA">
        <w:trPr>
          <w:trHeight w:val="1410"/>
        </w:trPr>
        <w:tc>
          <w:tcPr>
            <w:tcW w:w="438" w:type="pct"/>
            <w:shd w:val="clear" w:color="auto" w:fill="D6E3BC"/>
            <w:vAlign w:val="center"/>
          </w:tcPr>
          <w:p w14:paraId="41B81CBA" w14:textId="77777777" w:rsidR="00172115" w:rsidRPr="00C31F83" w:rsidRDefault="00172115" w:rsidP="00920BEA">
            <w:pPr>
              <w:spacing w:before="0" w:after="0" w:line="240" w:lineRule="auto"/>
              <w:rPr>
                <w:b/>
                <w:sz w:val="16"/>
                <w:szCs w:val="16"/>
              </w:rPr>
            </w:pPr>
            <w:r w:rsidRPr="00C31F83">
              <w:rPr>
                <w:b/>
                <w:sz w:val="16"/>
                <w:szCs w:val="16"/>
              </w:rPr>
              <w:t>Court(s) competent to decide in the sector</w:t>
            </w:r>
          </w:p>
        </w:tc>
        <w:tc>
          <w:tcPr>
            <w:tcW w:w="376" w:type="pct"/>
            <w:shd w:val="clear" w:color="auto" w:fill="FFFFFF"/>
          </w:tcPr>
          <w:p w14:paraId="4F32EE66" w14:textId="77777777" w:rsidR="00172115" w:rsidRPr="00C31F83" w:rsidRDefault="00172115" w:rsidP="00920BEA">
            <w:pPr>
              <w:spacing w:before="0" w:after="0" w:line="240" w:lineRule="auto"/>
              <w:rPr>
                <w:sz w:val="16"/>
                <w:szCs w:val="16"/>
              </w:rPr>
            </w:pPr>
            <w:r>
              <w:rPr>
                <w:sz w:val="16"/>
                <w:szCs w:val="16"/>
              </w:rPr>
              <w:t>Currently Civil Magistrate’s Court, Civil Court and Youth Tribunal. By September 2014 it will be the Family and Youth Tribunal</w:t>
            </w:r>
          </w:p>
        </w:tc>
        <w:tc>
          <w:tcPr>
            <w:tcW w:w="435" w:type="pct"/>
            <w:shd w:val="clear" w:color="auto" w:fill="FFFFFF"/>
          </w:tcPr>
          <w:p w14:paraId="6FF0AF4B" w14:textId="77777777" w:rsidR="00172115" w:rsidRPr="00C31F83" w:rsidRDefault="00172115" w:rsidP="00920BEA">
            <w:pPr>
              <w:spacing w:before="0" w:after="0" w:line="240" w:lineRule="auto"/>
              <w:rPr>
                <w:sz w:val="16"/>
                <w:szCs w:val="16"/>
              </w:rPr>
            </w:pPr>
            <w:r>
              <w:rPr>
                <w:sz w:val="16"/>
                <w:szCs w:val="16"/>
              </w:rPr>
              <w:t>Labour Tribunal/Labour Court</w:t>
            </w:r>
          </w:p>
        </w:tc>
        <w:tc>
          <w:tcPr>
            <w:tcW w:w="497" w:type="pct"/>
            <w:shd w:val="clear" w:color="auto" w:fill="FFFFFF"/>
          </w:tcPr>
          <w:p w14:paraId="7F81D431" w14:textId="77777777" w:rsidR="00172115" w:rsidRPr="00814D88" w:rsidRDefault="00172115" w:rsidP="00920BEA">
            <w:pPr>
              <w:spacing w:before="0" w:after="0" w:line="240" w:lineRule="auto"/>
              <w:rPr>
                <w:sz w:val="16"/>
                <w:szCs w:val="16"/>
              </w:rPr>
            </w:pPr>
            <w:r w:rsidRPr="00307EFB">
              <w:rPr>
                <w:sz w:val="16"/>
                <w:szCs w:val="16"/>
              </w:rPr>
              <w:t>Council of State through cassation procedure</w:t>
            </w:r>
          </w:p>
        </w:tc>
        <w:tc>
          <w:tcPr>
            <w:tcW w:w="543" w:type="pct"/>
            <w:shd w:val="clear" w:color="auto" w:fill="FFFFFF"/>
          </w:tcPr>
          <w:p w14:paraId="32B6570F" w14:textId="77777777" w:rsidR="00172115" w:rsidRDefault="00172115" w:rsidP="00920BEA">
            <w:pPr>
              <w:spacing w:before="0" w:after="0" w:line="240" w:lineRule="auto"/>
              <w:rPr>
                <w:sz w:val="16"/>
                <w:szCs w:val="16"/>
              </w:rPr>
            </w:pPr>
            <w:r w:rsidRPr="00307EFB">
              <w:rPr>
                <w:sz w:val="16"/>
                <w:szCs w:val="16"/>
              </w:rPr>
              <w:t>Council of State through cassation procedure</w:t>
            </w:r>
          </w:p>
        </w:tc>
        <w:tc>
          <w:tcPr>
            <w:tcW w:w="543" w:type="pct"/>
            <w:shd w:val="clear" w:color="auto" w:fill="FFFFFF"/>
          </w:tcPr>
          <w:p w14:paraId="1836ACA6" w14:textId="77777777" w:rsidR="00172115" w:rsidRDefault="00172115" w:rsidP="00920BEA">
            <w:pPr>
              <w:spacing w:before="0" w:after="0" w:line="240" w:lineRule="auto"/>
              <w:rPr>
                <w:sz w:val="16"/>
                <w:szCs w:val="16"/>
              </w:rPr>
            </w:pPr>
            <w:r w:rsidRPr="00307EFB">
              <w:rPr>
                <w:sz w:val="16"/>
                <w:szCs w:val="16"/>
              </w:rPr>
              <w:t xml:space="preserve">Council of State </w:t>
            </w:r>
            <w:r>
              <w:rPr>
                <w:sz w:val="16"/>
                <w:szCs w:val="16"/>
              </w:rPr>
              <w:t>or an ordinary Civil Court</w:t>
            </w:r>
          </w:p>
        </w:tc>
        <w:tc>
          <w:tcPr>
            <w:tcW w:w="543" w:type="pct"/>
            <w:shd w:val="clear" w:color="auto" w:fill="FFFFFF"/>
          </w:tcPr>
          <w:p w14:paraId="048A19C0" w14:textId="77777777" w:rsidR="00172115" w:rsidRDefault="00172115" w:rsidP="00920BEA">
            <w:pPr>
              <w:spacing w:before="0" w:after="0" w:line="240" w:lineRule="auto"/>
              <w:rPr>
                <w:sz w:val="16"/>
                <w:szCs w:val="16"/>
              </w:rPr>
            </w:pPr>
            <w:r>
              <w:rPr>
                <w:sz w:val="16"/>
                <w:szCs w:val="16"/>
              </w:rPr>
              <w:t>Ordinary court or with mental health cases before youth tribunal</w:t>
            </w:r>
          </w:p>
        </w:tc>
        <w:tc>
          <w:tcPr>
            <w:tcW w:w="543" w:type="pct"/>
            <w:shd w:val="clear" w:color="auto" w:fill="FFFFFF"/>
          </w:tcPr>
          <w:p w14:paraId="410A8C21" w14:textId="77777777" w:rsidR="00172115" w:rsidRPr="00814D88" w:rsidRDefault="00172115" w:rsidP="00920BEA">
            <w:pPr>
              <w:spacing w:before="0" w:after="0" w:line="240" w:lineRule="auto"/>
              <w:rPr>
                <w:sz w:val="16"/>
                <w:szCs w:val="16"/>
              </w:rPr>
            </w:pPr>
            <w:r>
              <w:rPr>
                <w:sz w:val="16"/>
                <w:szCs w:val="16"/>
              </w:rPr>
              <w:t>Youth tribunal</w:t>
            </w:r>
          </w:p>
        </w:tc>
        <w:tc>
          <w:tcPr>
            <w:tcW w:w="543" w:type="pct"/>
            <w:shd w:val="clear" w:color="auto" w:fill="FFFFFF"/>
          </w:tcPr>
          <w:p w14:paraId="4CAE9C5D" w14:textId="77777777" w:rsidR="00172115" w:rsidRPr="000E2377" w:rsidRDefault="00172115" w:rsidP="00920BEA">
            <w:pPr>
              <w:spacing w:before="0" w:after="0" w:line="240" w:lineRule="auto"/>
              <w:rPr>
                <w:rFonts w:asciiTheme="minorHAnsi" w:hAnsiTheme="minorHAnsi" w:cstheme="minorBidi"/>
                <w:sz w:val="16"/>
                <w:szCs w:val="16"/>
              </w:rPr>
            </w:pPr>
            <w:r>
              <w:rPr>
                <w:sz w:val="16"/>
                <w:szCs w:val="16"/>
              </w:rPr>
              <w:t>Y</w:t>
            </w:r>
            <w:r w:rsidRPr="00307EFB">
              <w:rPr>
                <w:sz w:val="16"/>
                <w:szCs w:val="16"/>
              </w:rPr>
              <w:t>outh tribunal</w:t>
            </w:r>
          </w:p>
        </w:tc>
        <w:tc>
          <w:tcPr>
            <w:tcW w:w="539" w:type="pct"/>
            <w:shd w:val="clear" w:color="auto" w:fill="FFFFFF"/>
          </w:tcPr>
          <w:p w14:paraId="61B17579" w14:textId="77777777" w:rsidR="00172115" w:rsidRPr="00814D88" w:rsidRDefault="00172115" w:rsidP="00920BEA">
            <w:pPr>
              <w:spacing w:before="0" w:after="0" w:line="240" w:lineRule="auto"/>
              <w:rPr>
                <w:sz w:val="16"/>
                <w:szCs w:val="16"/>
              </w:rPr>
            </w:pPr>
            <w:r w:rsidRPr="00814D88">
              <w:rPr>
                <w:sz w:val="16"/>
                <w:szCs w:val="16"/>
              </w:rPr>
              <w:t>Youth tribunal</w:t>
            </w:r>
          </w:p>
        </w:tc>
      </w:tr>
    </w:tbl>
    <w:p w14:paraId="13D433B8" w14:textId="77777777" w:rsidR="00660C9C" w:rsidRPr="0049253A" w:rsidRDefault="00660C9C" w:rsidP="001358F5">
      <w:pPr>
        <w:sectPr w:rsidR="00660C9C" w:rsidRPr="0049253A" w:rsidSect="00660C9C">
          <w:footerReference w:type="default" r:id="rId18"/>
          <w:pgSz w:w="16840" w:h="11907" w:orient="landscape" w:code="9"/>
          <w:pgMar w:top="1417" w:right="1417" w:bottom="1020" w:left="1417" w:header="680" w:footer="567" w:gutter="0"/>
          <w:cols w:space="708"/>
          <w:docGrid w:linePitch="360"/>
        </w:sectPr>
      </w:pPr>
    </w:p>
    <w:p w14:paraId="4ED0E765" w14:textId="77777777" w:rsidR="0049253A" w:rsidRDefault="0049253A" w:rsidP="001358F5">
      <w:pPr>
        <w:pStyle w:val="Heading1"/>
      </w:pPr>
      <w:bookmarkStart w:id="28" w:name="_Toc350439423"/>
      <w:bookmarkStart w:id="29" w:name="_Toc401222920"/>
      <w:bookmarkStart w:id="30" w:name="_Toc401231473"/>
      <w:bookmarkStart w:id="31" w:name="_Toc336262936"/>
      <w:bookmarkStart w:id="32" w:name="_Toc401654869"/>
      <w:bookmarkStart w:id="33" w:name="_Toc409790453"/>
      <w:r w:rsidRPr="006E016E">
        <w:lastRenderedPageBreak/>
        <w:t>Overview of Member State’s approach to children in civil judicial proceedings and specialised services dealing with such children</w:t>
      </w:r>
      <w:bookmarkEnd w:id="28"/>
      <w:bookmarkEnd w:id="29"/>
      <w:bookmarkEnd w:id="30"/>
      <w:bookmarkEnd w:id="33"/>
      <w:r>
        <w:t xml:space="preserve"> </w:t>
      </w:r>
    </w:p>
    <w:p w14:paraId="3F49E775" w14:textId="77777777" w:rsidR="00660C9C" w:rsidRPr="00660C9C" w:rsidRDefault="00660C9C" w:rsidP="004746CE">
      <w:pPr>
        <w:pStyle w:val="Heading2"/>
        <w:rPr>
          <w:rFonts w:eastAsia="Calibri"/>
        </w:rPr>
      </w:pPr>
      <w:bookmarkStart w:id="34" w:name="_Toc409790454"/>
      <w:bookmarkEnd w:id="31"/>
      <w:r w:rsidRPr="00660C9C">
        <w:rPr>
          <w:rFonts w:eastAsia="Calibri"/>
        </w:rPr>
        <w:t>Brief description of judicial system and institutions</w:t>
      </w:r>
      <w:bookmarkEnd w:id="32"/>
      <w:bookmarkEnd w:id="34"/>
    </w:p>
    <w:p w14:paraId="0EFC54C5" w14:textId="769A45FD" w:rsidR="00172115" w:rsidRPr="004746CE" w:rsidRDefault="00172115" w:rsidP="004746CE">
      <w:pPr>
        <w:pStyle w:val="BodyText"/>
      </w:pPr>
      <w:r w:rsidRPr="00172115">
        <w:t>Belgium is a Federal State composed of three communities (the Flemish Community, the French Community and the German-speaking Community) and three regions (the Walloon Region, Flanders and the Brussels Capital Region) divided into 10 provinces and 589 municipalities. The Federal authorities hold the competence to regulate the situation of children in judicial proceedings. The communities are competent to implement legal measures and to regulate institutions and services supporting children, which they fund and organise.</w:t>
      </w:r>
    </w:p>
    <w:p w14:paraId="014CB10F" w14:textId="77777777" w:rsidR="00172115" w:rsidRPr="004746CE" w:rsidRDefault="00172115" w:rsidP="00B93831">
      <w:pPr>
        <w:pStyle w:val="Heading3NoNumb"/>
        <w:ind w:firstLine="851"/>
      </w:pPr>
      <w:bookmarkStart w:id="35" w:name="_Toc409790455"/>
      <w:r w:rsidRPr="004746CE">
        <w:t>Legislation</w:t>
      </w:r>
      <w:bookmarkEnd w:id="35"/>
    </w:p>
    <w:p w14:paraId="7631355B" w14:textId="77777777" w:rsidR="00172115" w:rsidRDefault="00172115" w:rsidP="004746CE">
      <w:pPr>
        <w:pStyle w:val="BodyText"/>
      </w:pPr>
      <w:r w:rsidRPr="0085107A">
        <w:t>The legal framework</w:t>
      </w:r>
      <w:r w:rsidRPr="0085107A">
        <w:rPr>
          <w:rStyle w:val="FootnoteReference"/>
        </w:rPr>
        <w:footnoteReference w:id="4"/>
      </w:r>
      <w:r w:rsidRPr="0085107A">
        <w:t xml:space="preserve"> applicable to children involved in civil proceedings includes:</w:t>
      </w:r>
    </w:p>
    <w:p w14:paraId="58D8EB01" w14:textId="77777777" w:rsidR="00172115" w:rsidRPr="0085107A" w:rsidRDefault="008B433C" w:rsidP="004746CE">
      <w:pPr>
        <w:pStyle w:val="BTBullet1"/>
      </w:pPr>
      <w:hyperlink r:id="rId19" w:history="1">
        <w:r w:rsidR="00172115" w:rsidRPr="0085107A">
          <w:rPr>
            <w:rStyle w:val="Hyperlink"/>
            <w:rFonts w:cs="Arial"/>
          </w:rPr>
          <w:t>The Constitution</w:t>
        </w:r>
      </w:hyperlink>
    </w:p>
    <w:p w14:paraId="14BC6FFD" w14:textId="77777777" w:rsidR="00172115" w:rsidRPr="0085107A" w:rsidRDefault="00172115" w:rsidP="004746CE">
      <w:pPr>
        <w:pStyle w:val="BTBullet1"/>
      </w:pPr>
      <w:r w:rsidRPr="0085107A">
        <w:t xml:space="preserve">The </w:t>
      </w:r>
      <w:hyperlink r:id="rId20" w:history="1">
        <w:r w:rsidRPr="0085107A">
          <w:rPr>
            <w:rStyle w:val="Hyperlink"/>
            <w:rFonts w:cs="Arial"/>
          </w:rPr>
          <w:t>Judicial Code</w:t>
        </w:r>
      </w:hyperlink>
    </w:p>
    <w:p w14:paraId="1C210299" w14:textId="77777777" w:rsidR="00172115" w:rsidRPr="0085107A" w:rsidRDefault="00172115" w:rsidP="004746CE">
      <w:pPr>
        <w:pStyle w:val="BTBullet1"/>
      </w:pPr>
      <w:r w:rsidRPr="0085107A">
        <w:t xml:space="preserve">The </w:t>
      </w:r>
      <w:hyperlink r:id="rId21" w:history="1">
        <w:r w:rsidRPr="0085107A">
          <w:rPr>
            <w:rStyle w:val="Hyperlink"/>
            <w:rFonts w:cs="Arial"/>
          </w:rPr>
          <w:t>Civil Code</w:t>
        </w:r>
      </w:hyperlink>
    </w:p>
    <w:p w14:paraId="396D5836" w14:textId="77777777" w:rsidR="00172115" w:rsidRPr="0085107A" w:rsidRDefault="00172115" w:rsidP="004746CE">
      <w:pPr>
        <w:pStyle w:val="BTBullet1"/>
      </w:pPr>
      <w:r w:rsidRPr="0085107A">
        <w:t xml:space="preserve">The Act of 8 April 1965 on the protection of youth and the care of minors who committed acts qualified as crime (the </w:t>
      </w:r>
      <w:hyperlink r:id="rId22" w:history="1">
        <w:r w:rsidRPr="0085107A">
          <w:rPr>
            <w:rStyle w:val="Hyperlink"/>
            <w:rFonts w:cs="Arial"/>
          </w:rPr>
          <w:t>Youth Protection Act</w:t>
        </w:r>
      </w:hyperlink>
      <w:r w:rsidRPr="0085107A">
        <w:t>)</w:t>
      </w:r>
    </w:p>
    <w:p w14:paraId="32DDE509" w14:textId="77777777" w:rsidR="00AC7914" w:rsidRDefault="008B433C" w:rsidP="004746CE">
      <w:pPr>
        <w:pStyle w:val="BTBullet1"/>
      </w:pPr>
      <w:hyperlink r:id="rId23" w:history="1">
        <w:r w:rsidR="00172115" w:rsidRPr="0085107A">
          <w:rPr>
            <w:rStyle w:val="Hyperlink"/>
            <w:rFonts w:cs="Arial"/>
          </w:rPr>
          <w:t>New Act of 18 June 2013 on the creation of a Family and Youth Tribunal</w:t>
        </w:r>
      </w:hyperlink>
      <w:r w:rsidR="00172115" w:rsidRPr="0085107A">
        <w:t xml:space="preserve"> (which will enter into force on 1 September 2014)</w:t>
      </w:r>
    </w:p>
    <w:p w14:paraId="05A866CF" w14:textId="77777777" w:rsidR="00172115" w:rsidRPr="0085107A" w:rsidRDefault="00172115" w:rsidP="004746CE">
      <w:pPr>
        <w:pStyle w:val="BodyText"/>
      </w:pPr>
      <w:r w:rsidRPr="0085107A">
        <w:t xml:space="preserve">The </w:t>
      </w:r>
      <w:hyperlink r:id="rId24" w:history="1">
        <w:r w:rsidRPr="0085107A">
          <w:rPr>
            <w:rStyle w:val="Hyperlink"/>
            <w:rFonts w:cs="Arial"/>
          </w:rPr>
          <w:t>Constitution</w:t>
        </w:r>
      </w:hyperlink>
      <w:r w:rsidRPr="0085107A">
        <w:t xml:space="preserve"> refers to fundamental rights relevant to children, in particular, the right of the child to express his/her opinion on any matter of his/her concern and to have his/her opinion taken into consideration. </w:t>
      </w:r>
    </w:p>
    <w:p w14:paraId="287CD331" w14:textId="77777777" w:rsidR="00172115" w:rsidRPr="0085107A" w:rsidRDefault="00172115" w:rsidP="004746CE">
      <w:pPr>
        <w:pStyle w:val="BodyText"/>
      </w:pPr>
      <w:r w:rsidRPr="0085107A">
        <w:t xml:space="preserve">The </w:t>
      </w:r>
      <w:hyperlink r:id="rId25" w:history="1">
        <w:r w:rsidRPr="0085107A">
          <w:rPr>
            <w:rStyle w:val="Hyperlink"/>
            <w:rFonts w:cs="Arial"/>
          </w:rPr>
          <w:t>Judicial Code</w:t>
        </w:r>
      </w:hyperlink>
      <w:r w:rsidRPr="0085107A">
        <w:t xml:space="preserve"> contains the general rules of judicial proceedings including civil judicial proceedings. </w:t>
      </w:r>
    </w:p>
    <w:p w14:paraId="57BEB6EC" w14:textId="77777777" w:rsidR="00172115" w:rsidRPr="0085107A" w:rsidRDefault="00172115" w:rsidP="004746CE">
      <w:pPr>
        <w:pStyle w:val="BodyText"/>
      </w:pPr>
      <w:r w:rsidRPr="0085107A">
        <w:t xml:space="preserve">The </w:t>
      </w:r>
      <w:hyperlink r:id="rId26" w:history="1">
        <w:r w:rsidRPr="0085107A">
          <w:rPr>
            <w:rStyle w:val="Hyperlink"/>
            <w:rFonts w:cs="Arial"/>
          </w:rPr>
          <w:t>Civil Code</w:t>
        </w:r>
      </w:hyperlink>
      <w:r w:rsidRPr="0085107A">
        <w:t xml:space="preserve"> provides the rules on substantive civil law and the </w:t>
      </w:r>
      <w:hyperlink r:id="rId27" w:history="1">
        <w:r w:rsidRPr="0085107A">
          <w:rPr>
            <w:rStyle w:val="Hyperlink"/>
            <w:rFonts w:cs="Arial"/>
          </w:rPr>
          <w:t>Youth Protection Act</w:t>
        </w:r>
      </w:hyperlink>
      <w:r w:rsidRPr="0085107A">
        <w:t xml:space="preserve"> lays down the procedural rules before the Youth Tribunal. </w:t>
      </w:r>
    </w:p>
    <w:p w14:paraId="4A7C5772" w14:textId="77777777" w:rsidR="00172115" w:rsidRPr="0085107A" w:rsidRDefault="00172115" w:rsidP="004746CE">
      <w:pPr>
        <w:pStyle w:val="BodyText"/>
      </w:pPr>
      <w:r w:rsidRPr="0085107A">
        <w:t xml:space="preserve">Aside from the </w:t>
      </w:r>
      <w:hyperlink r:id="rId28" w:history="1">
        <w:r w:rsidRPr="0085107A">
          <w:rPr>
            <w:rStyle w:val="Hyperlink"/>
            <w:rFonts w:cs="Arial"/>
          </w:rPr>
          <w:t>Youth Protection Act</w:t>
        </w:r>
      </w:hyperlink>
      <w:r w:rsidRPr="0085107A">
        <w:t xml:space="preserve">, the laws listed above are not child-specific, but contain general rules applying to children and adults as well as certain child-specific provisions. </w:t>
      </w:r>
    </w:p>
    <w:p w14:paraId="1F3396D8" w14:textId="77777777" w:rsidR="00172115" w:rsidRPr="0085107A" w:rsidRDefault="00172115" w:rsidP="004746CE">
      <w:pPr>
        <w:pStyle w:val="BodyText"/>
      </w:pPr>
      <w:r w:rsidRPr="0085107A">
        <w:t>The Youth Tribunal deals with matters of civil and criminal nature in relation to the child. Decisions with regard to the care of the child are dealt with by the Youth Tribunal. The Youth Tribunal intervenes after the youth social services first attempt to deal with the child’s situation. When the youth social services are unable to secure the agreement of the child on measures and when the youth social services consider that a measure must be imposed, the youth social service will send the case before the Youth Tribunal (via the crown prosecutor). In addition, the Youth Tribunal is the one competent for ordering certain types of measures, such as the placement of the child.</w:t>
      </w:r>
    </w:p>
    <w:p w14:paraId="192E9B90" w14:textId="77777777" w:rsidR="00172115" w:rsidRPr="004746CE" w:rsidRDefault="00172115" w:rsidP="00B93831">
      <w:pPr>
        <w:pStyle w:val="Heading3NoNumb"/>
        <w:ind w:firstLine="851"/>
      </w:pPr>
      <w:bookmarkStart w:id="36" w:name="_Toc409790456"/>
      <w:r w:rsidRPr="004746CE">
        <w:t>Competent courts</w:t>
      </w:r>
      <w:bookmarkEnd w:id="36"/>
    </w:p>
    <w:p w14:paraId="2C12948B" w14:textId="77777777" w:rsidR="00172115" w:rsidRPr="0085107A" w:rsidRDefault="00172115" w:rsidP="004746CE">
      <w:pPr>
        <w:pStyle w:val="BodyText"/>
      </w:pPr>
      <w:r w:rsidRPr="0085107A">
        <w:t xml:space="preserve">The judicial authorities dealing with children in civil judicial proceedings vary depending on the stage, nature or the subject matter of the proceedings. </w:t>
      </w:r>
    </w:p>
    <w:p w14:paraId="5FD958EF" w14:textId="77777777" w:rsidR="00172115" w:rsidRPr="0085107A" w:rsidRDefault="00172115" w:rsidP="004746CE">
      <w:pPr>
        <w:pStyle w:val="BodyText"/>
      </w:pPr>
      <w:r w:rsidRPr="0085107A">
        <w:t xml:space="preserve">With regard to civil matters, depending on the value of the dispute or the specific matter, three courts have competence (the Civil Magistrate’s Court, the Civil Court and the Youth Tribunal) and two courts (the Civil Magistrate’s Court and the Commercial Court) have competence over commercial cases, whereas labour law cases are heard by one specialised </w:t>
      </w:r>
      <w:r w:rsidRPr="0085107A">
        <w:lastRenderedPageBreak/>
        <w:t>court. Lastly, the Youth Tribunal is competent to hear specific issues regarding children involved in civil proceedings.</w:t>
      </w:r>
    </w:p>
    <w:p w14:paraId="3035AAC2" w14:textId="77777777" w:rsidR="00356674" w:rsidRPr="0085107A" w:rsidRDefault="00172115" w:rsidP="004746CE">
      <w:pPr>
        <w:pStyle w:val="BodyText"/>
      </w:pPr>
      <w:r w:rsidRPr="0085107A">
        <w:t>The lowest level court dealing with civil and commercial matters is the Civil Magistrate’s Court (</w:t>
      </w:r>
      <w:r w:rsidRPr="0085107A">
        <w:rPr>
          <w:i/>
        </w:rPr>
        <w:t>Vredegerecht – Justice de Paix</w:t>
      </w:r>
      <w:r w:rsidRPr="0085107A">
        <w:t>), which is competent for civil and commercial matters with a value of</w:t>
      </w:r>
      <w:r w:rsidR="00356674">
        <w:t xml:space="preserve"> </w:t>
      </w:r>
      <w:r w:rsidR="00356674" w:rsidRPr="0085107A">
        <w:t>under EUR 1,860. A child may appear before the Civil Magistrate’s Court in various proceedings, including in proceedings on commercial matters, small successions (under EUR 1,860), adoption, guardianship or divorce. Civil Magistrate Judges sit at the Civil Magistrate’s Court.</w:t>
      </w:r>
    </w:p>
    <w:p w14:paraId="15E49777" w14:textId="77777777" w:rsidR="00356674" w:rsidRPr="0085107A" w:rsidRDefault="00356674" w:rsidP="004746CE">
      <w:pPr>
        <w:pStyle w:val="BodyText"/>
      </w:pPr>
      <w:r w:rsidRPr="0085107A">
        <w:t>The Court of First Instance (</w:t>
      </w:r>
      <w:r w:rsidRPr="0085107A">
        <w:rPr>
          <w:i/>
        </w:rPr>
        <w:t>Rechtbank van eerste aanleg - Tribunal de première instance</w:t>
      </w:r>
      <w:r w:rsidRPr="0085107A">
        <w:t>) includes four branches, i.e. the Youth Tribunal, the Civil Court, the Correctional Tribunal (competent for certain criminal cases) and the Court for the Enforcement of Sentences (competent for criminal sentences).</w:t>
      </w:r>
    </w:p>
    <w:p w14:paraId="7D93728A" w14:textId="77777777" w:rsidR="00356674" w:rsidRPr="0085107A" w:rsidRDefault="00356674" w:rsidP="004746CE">
      <w:pPr>
        <w:pStyle w:val="BodyText"/>
      </w:pPr>
      <w:r w:rsidRPr="0085107A">
        <w:t>The Civil Court (</w:t>
      </w:r>
      <w:r w:rsidRPr="0085107A">
        <w:rPr>
          <w:i/>
        </w:rPr>
        <w:t>Burgelijke rechtbank – Tribunal civil</w:t>
      </w:r>
      <w:r w:rsidRPr="0085107A">
        <w:t>) serves as the first instance court for civil matters with a value of over EUR 1,860, filiation, separation, heritance or copyrights matters regardless of the value thereof and tax claims. The Civil Court is also competent to hear appeals against the Civil Magistrate’s Court’s decisions on civil matters. The judges sitting at the Civil Court are referred to as civil law judges in this report.</w:t>
      </w:r>
    </w:p>
    <w:p w14:paraId="1C9E0ED2" w14:textId="77777777" w:rsidR="00356674" w:rsidRPr="0085107A" w:rsidRDefault="00356674" w:rsidP="004746CE">
      <w:pPr>
        <w:pStyle w:val="BodyText"/>
      </w:pPr>
      <w:r w:rsidRPr="0085107A">
        <w:t xml:space="preserve">The Youth Tribunal </w:t>
      </w:r>
      <w:r>
        <w:t xml:space="preserve"> </w:t>
      </w:r>
      <w:r w:rsidRPr="0085107A">
        <w:t>(</w:t>
      </w:r>
      <w:r w:rsidRPr="0085107A">
        <w:rPr>
          <w:i/>
        </w:rPr>
        <w:t>Jeugdrechtbank – Tribunal de la jeunesse</w:t>
      </w:r>
      <w:r w:rsidRPr="0085107A">
        <w:t>) deals with matters of civil and criminal nature and is competent when a child is suspected of having committed an act qualified as a crime, is in danger or in need of protection. It also hears cases on specific matters such as adoption, access rights of separated parents and exercise of parental authority. Hence, the Youth Tribunal deals with children involved in specific questions related to civil proceedings and when the child is in need of care or the adoption of protection measures is deemed to be necessary and beyond youth social services competence. Judges sitting at the Youth Tribunal are referred to as youth judges.</w:t>
      </w:r>
    </w:p>
    <w:p w14:paraId="76AB5D56" w14:textId="77777777" w:rsidR="00356674" w:rsidRPr="0085107A" w:rsidRDefault="00356674" w:rsidP="004746CE">
      <w:pPr>
        <w:pStyle w:val="BodyText"/>
      </w:pPr>
      <w:r w:rsidRPr="0085107A">
        <w:t>The Labour Tribunal (</w:t>
      </w:r>
      <w:r w:rsidRPr="0085107A">
        <w:rPr>
          <w:i/>
        </w:rPr>
        <w:t>Arbeids</w:t>
      </w:r>
      <w:r>
        <w:rPr>
          <w:i/>
        </w:rPr>
        <w:t>rechtbank</w:t>
      </w:r>
      <w:r w:rsidRPr="0085107A">
        <w:rPr>
          <w:i/>
        </w:rPr>
        <w:t xml:space="preserve"> – Tribunal du travail</w:t>
      </w:r>
      <w:r w:rsidRPr="0085107A">
        <w:t>) is competent to hear disputes related to employment. Appeals against the Labour Tribunal’s decisions are brought before the Labour Court (</w:t>
      </w:r>
      <w:r w:rsidRPr="0085107A">
        <w:rPr>
          <w:i/>
        </w:rPr>
        <w:t>Arbeidshof – Cour du travail</w:t>
      </w:r>
      <w:r w:rsidRPr="0085107A">
        <w:t>).</w:t>
      </w:r>
    </w:p>
    <w:p w14:paraId="27289E49" w14:textId="77777777" w:rsidR="00356674" w:rsidRPr="0085107A" w:rsidRDefault="00356674" w:rsidP="004746CE">
      <w:pPr>
        <w:pStyle w:val="BodyText"/>
      </w:pPr>
      <w:r w:rsidRPr="0085107A">
        <w:t>The Commercial Court (</w:t>
      </w:r>
      <w:r w:rsidRPr="0085107A">
        <w:rPr>
          <w:i/>
        </w:rPr>
        <w:t>Rechtbank van Koophandel – Tribunal de commerce</w:t>
      </w:r>
      <w:r w:rsidRPr="0085107A">
        <w:t>) is competent for commercial matters of a value above EUR 1,860 and specific matters, such as insolvency or shareholders’ dispute. The Commercial Court also hears appeals against the Civil Magistrate’s Court’s decisions. The Commercial Court is competent for cases related to consumer protection.</w:t>
      </w:r>
    </w:p>
    <w:p w14:paraId="5C4D1BAD" w14:textId="77777777" w:rsidR="00356674" w:rsidRPr="0085107A" w:rsidRDefault="00356674" w:rsidP="004746CE">
      <w:pPr>
        <w:pStyle w:val="BodyText"/>
      </w:pPr>
      <w:r w:rsidRPr="0085107A">
        <w:t>The Court of Appeal (</w:t>
      </w:r>
      <w:r w:rsidRPr="0085107A">
        <w:rPr>
          <w:i/>
        </w:rPr>
        <w:t>Hof van beroep – Cour d’appel</w:t>
      </w:r>
      <w:r w:rsidRPr="0085107A">
        <w:t xml:space="preserve">) hears appeals against the decisions of the Court of First Instance and the Commercial Court. </w:t>
      </w:r>
      <w:r>
        <w:t xml:space="preserve">The Court of Appeal has different chambers, i.e. civil and youth law. </w:t>
      </w:r>
      <w:r w:rsidRPr="0085107A">
        <w:t>The Court of Cassation (</w:t>
      </w:r>
      <w:r w:rsidRPr="0085107A">
        <w:rPr>
          <w:i/>
        </w:rPr>
        <w:t>Hof van cassatie – Cour de cassation</w:t>
      </w:r>
      <w:r w:rsidRPr="0085107A">
        <w:t>) is the last instance court, competent to ensure that procedural rules and other laws have been correctly applied. The Court of Cassation does not review the facts of the case.</w:t>
      </w:r>
    </w:p>
    <w:p w14:paraId="152BAECA" w14:textId="77777777" w:rsidR="00356674" w:rsidRPr="0085107A" w:rsidRDefault="00356674" w:rsidP="004746CE">
      <w:pPr>
        <w:pStyle w:val="BodyText"/>
      </w:pPr>
      <w:r w:rsidRPr="0085107A">
        <w:t>A new Act has recently been adopted (30 July 2013) for the creation of a Family and Youth Tribunal competent for all family matters currently scattered between three courts (i.e. the Civil Magistrate’s Court, Civil Court and Youth Tribunal). In addition, the new law harmonises rules with regard to children, such as the requirement to hear a child of above 12 years of age. The law is expected to enter into force in September 2014</w:t>
      </w:r>
      <w:r w:rsidRPr="0085107A">
        <w:rPr>
          <w:rStyle w:val="FootnoteReference"/>
        </w:rPr>
        <w:footnoteReference w:id="5"/>
      </w:r>
      <w:r w:rsidRPr="0085107A">
        <w:t>.</w:t>
      </w:r>
    </w:p>
    <w:p w14:paraId="47DD4749" w14:textId="77777777" w:rsidR="00356674" w:rsidRPr="004746CE" w:rsidRDefault="00356674" w:rsidP="00B93831">
      <w:pPr>
        <w:pStyle w:val="Heading3NoNumb"/>
        <w:ind w:firstLine="851"/>
      </w:pPr>
      <w:bookmarkStart w:id="37" w:name="_Toc409790457"/>
      <w:r w:rsidRPr="004746CE">
        <w:lastRenderedPageBreak/>
        <w:t>Specialist institutions</w:t>
      </w:r>
      <w:bookmarkEnd w:id="37"/>
    </w:p>
    <w:p w14:paraId="0F049570" w14:textId="77777777" w:rsidR="00356674" w:rsidRPr="0085107A" w:rsidRDefault="00356674" w:rsidP="004746CE">
      <w:pPr>
        <w:pStyle w:val="BodyText"/>
      </w:pPr>
      <w:r w:rsidRPr="0085107A">
        <w:t>The Victim Support Service of the House of Justice (</w:t>
      </w:r>
      <w:r w:rsidRPr="0085107A">
        <w:rPr>
          <w:i/>
        </w:rPr>
        <w:t>Justitiehuis - Maisons de Justice</w:t>
      </w:r>
      <w:r w:rsidRPr="0085107A">
        <w:t>), available within each judicial district, assists victims, adults and children, by providing information on formalities and proceedings before courts</w:t>
      </w:r>
      <w:r w:rsidRPr="0085107A">
        <w:rPr>
          <w:rStyle w:val="FootnoteReference"/>
        </w:rPr>
        <w:footnoteReference w:id="6"/>
      </w:r>
      <w:r w:rsidRPr="0085107A">
        <w:t xml:space="preserve">. </w:t>
      </w:r>
    </w:p>
    <w:p w14:paraId="3AA5D291" w14:textId="22EFF7F3" w:rsidR="00A9657B" w:rsidRDefault="00356674" w:rsidP="004746CE">
      <w:pPr>
        <w:pStyle w:val="BodyText"/>
      </w:pPr>
      <w:r w:rsidRPr="0085107A">
        <w:t>Judicial assistants from the Houses of Justice may be involved upon request of a judge in a civil proceeding on family matters concerning the child (e.g. housing of the child, parental authority etc.). A judicial assistant may be asked by a judge to carry out a social inquiry to gather information on the situation of the child’s family at the time of the proceedings</w:t>
      </w:r>
      <w:r w:rsidRPr="0085107A">
        <w:rPr>
          <w:rStyle w:val="FootnoteReference"/>
        </w:rPr>
        <w:footnoteReference w:id="7"/>
      </w:r>
      <w:r w:rsidRPr="0085107A">
        <w:t>.</w:t>
      </w:r>
      <w:r>
        <w:t xml:space="preserve"> </w:t>
      </w:r>
      <w:r w:rsidRPr="00944D2B">
        <w:t xml:space="preserve">The judicial </w:t>
      </w:r>
      <w:r>
        <w:t>a</w:t>
      </w:r>
      <w:r w:rsidRPr="00944D2B">
        <w:t xml:space="preserve">ssistant collects information about the family </w:t>
      </w:r>
      <w:r>
        <w:t>situation</w:t>
      </w:r>
      <w:r w:rsidRPr="00944D2B">
        <w:t xml:space="preserve">, the current problems, the expectations and the possible solutions to the conflict. These civil social studies are </w:t>
      </w:r>
      <w:r>
        <w:t>carried out</w:t>
      </w:r>
      <w:r w:rsidRPr="00944D2B">
        <w:t xml:space="preserve"> when problems </w:t>
      </w:r>
      <w:r>
        <w:t xml:space="preserve">arise </w:t>
      </w:r>
      <w:r w:rsidRPr="00944D2B">
        <w:t xml:space="preserve">concerning </w:t>
      </w:r>
      <w:r>
        <w:t>parental</w:t>
      </w:r>
      <w:r w:rsidRPr="00944D2B">
        <w:t xml:space="preserve"> authority, the </w:t>
      </w:r>
      <w:r>
        <w:t>residence of the child</w:t>
      </w:r>
      <w:r w:rsidRPr="00944D2B">
        <w:t xml:space="preserve">, </w:t>
      </w:r>
      <w:r>
        <w:t xml:space="preserve">and </w:t>
      </w:r>
      <w:r w:rsidRPr="00944D2B">
        <w:t>the right to have contact with the children in custody disputes.  In three situations</w:t>
      </w:r>
      <w:r>
        <w:t>,</w:t>
      </w:r>
      <w:r w:rsidRPr="00944D2B">
        <w:t xml:space="preserve"> the </w:t>
      </w:r>
      <w:r>
        <w:t>national</w:t>
      </w:r>
      <w:r w:rsidRPr="00944D2B">
        <w:t xml:space="preserve"> adoption of a </w:t>
      </w:r>
      <w:r>
        <w:t>child</w:t>
      </w:r>
      <w:r w:rsidRPr="00944D2B">
        <w:t xml:space="preserve">, hearing of a </w:t>
      </w:r>
      <w:r>
        <w:t>child</w:t>
      </w:r>
      <w:r w:rsidRPr="00944D2B">
        <w:t xml:space="preserve">, the consent to the marriage of a </w:t>
      </w:r>
      <w:r>
        <w:t>child,</w:t>
      </w:r>
      <w:r w:rsidRPr="00944D2B">
        <w:t xml:space="preserve"> </w:t>
      </w:r>
      <w:r w:rsidR="00A9657B">
        <w:t>this</w:t>
      </w:r>
      <w:r w:rsidR="00A9657B" w:rsidRPr="00944D2B">
        <w:t xml:space="preserve"> specific procedure is </w:t>
      </w:r>
      <w:r w:rsidR="00A9657B">
        <w:t>required.</w:t>
      </w:r>
    </w:p>
    <w:p w14:paraId="0A583EA2" w14:textId="77777777" w:rsidR="00A9657B" w:rsidRPr="0085107A" w:rsidRDefault="00A9657B" w:rsidP="004746CE">
      <w:pPr>
        <w:pStyle w:val="BodyText"/>
      </w:pPr>
      <w:r w:rsidRPr="0085107A">
        <w:t xml:space="preserve">See </w:t>
      </w:r>
      <w:hyperlink w:anchor="_Alternatives_to_judicial" w:history="1">
        <w:r w:rsidRPr="0085107A">
          <w:rPr>
            <w:rStyle w:val="Hyperlink"/>
            <w:rFonts w:cs="Arial"/>
          </w:rPr>
          <w:t>Section 3.8</w:t>
        </w:r>
      </w:hyperlink>
      <w:r w:rsidRPr="0085107A">
        <w:t xml:space="preserve"> for more details.</w:t>
      </w:r>
    </w:p>
    <w:p w14:paraId="76677DED" w14:textId="77777777" w:rsidR="00A9657B" w:rsidRPr="0085107A" w:rsidRDefault="00A9657B" w:rsidP="004746CE">
      <w:pPr>
        <w:pStyle w:val="BodyText"/>
      </w:pPr>
      <w:r w:rsidRPr="0085107A">
        <w:t>Youth social services (</w:t>
      </w:r>
      <w:r w:rsidRPr="0085107A">
        <w:rPr>
          <w:i/>
        </w:rPr>
        <w:t>integrale jeugdhulp</w:t>
      </w:r>
      <w:r w:rsidRPr="0085107A">
        <w:t xml:space="preserve"> – </w:t>
      </w:r>
      <w:r w:rsidRPr="0085107A">
        <w:rPr>
          <w:i/>
        </w:rPr>
        <w:t>service d’aide à la jeunesse</w:t>
      </w:r>
      <w:r w:rsidRPr="0085107A">
        <w:t>) provide assistance to children and their family on a voluntary basis (the child needs to agree on the assistance) upon request of the child and his/her family, upon initiative of the youth service or when the child is referred before the youth services by another service or stakeholder. The youth services are required to respect and guarantee the rights of the child. The youth services aim at preventing that a problem, which can be solved outside judicial proceedings, is sent before a court</w:t>
      </w:r>
      <w:r w:rsidRPr="0085107A">
        <w:rPr>
          <w:rStyle w:val="FootnoteReference"/>
        </w:rPr>
        <w:footnoteReference w:id="8"/>
      </w:r>
      <w:r w:rsidRPr="0085107A">
        <w:t>.</w:t>
      </w:r>
    </w:p>
    <w:p w14:paraId="7B56EC53" w14:textId="77777777" w:rsidR="00A9657B" w:rsidRPr="0085107A" w:rsidRDefault="00A9657B" w:rsidP="004746CE">
      <w:pPr>
        <w:pStyle w:val="BodyText"/>
        <w:rPr>
          <w:lang w:eastAsia="fr-FR"/>
        </w:rPr>
      </w:pPr>
      <w:r w:rsidRPr="00EE7230">
        <w:rPr>
          <w:lang w:eastAsia="fr-FR"/>
        </w:rPr>
        <w:t>The Delegate General for the rights of the child (</w:t>
      </w:r>
      <w:hyperlink r:id="rId29" w:history="1">
        <w:r w:rsidRPr="00EE7230">
          <w:rPr>
            <w:rStyle w:val="Hyperlink"/>
            <w:rFonts w:cs="Arial"/>
            <w:i/>
            <w:lang w:eastAsia="fr-FR"/>
          </w:rPr>
          <w:t>Délégué Général aux droits de l’enfant</w:t>
        </w:r>
      </w:hyperlink>
      <w:r w:rsidRPr="00EE7230">
        <w:rPr>
          <w:lang w:eastAsia="fr-FR"/>
        </w:rPr>
        <w:t>) (French Community) and Children Rights Commissioner (</w:t>
      </w:r>
      <w:hyperlink r:id="rId30" w:history="1">
        <w:r w:rsidRPr="00EE7230">
          <w:rPr>
            <w:rStyle w:val="Hyperlink"/>
            <w:rFonts w:cs="Arial"/>
            <w:i/>
            <w:lang w:eastAsia="fr-FR"/>
          </w:rPr>
          <w:t>het Kinderrechtencommissariaat</w:t>
        </w:r>
      </w:hyperlink>
      <w:r w:rsidRPr="00EE7230">
        <w:rPr>
          <w:lang w:eastAsia="fr-FR"/>
        </w:rPr>
        <w:t>) (Flemish Community) have the mission to defend and promote the rights and interests of children and to ensure the correct application of legislation concerning children.</w:t>
      </w:r>
      <w:r w:rsidRPr="0085107A">
        <w:rPr>
          <w:lang w:eastAsia="fr-FR"/>
        </w:rPr>
        <w:t xml:space="preserve"> They can receive information, complaints or requests for mediation relating to infringements of the rights of the child. They are not, however involved in the judicial proceedings.</w:t>
      </w:r>
    </w:p>
    <w:p w14:paraId="50B5167A" w14:textId="77777777" w:rsidR="00A9657B" w:rsidRPr="0085107A" w:rsidRDefault="00A9657B" w:rsidP="004746CE">
      <w:pPr>
        <w:pStyle w:val="BodyText"/>
        <w:rPr>
          <w:lang w:eastAsia="fr-FR"/>
        </w:rPr>
      </w:pPr>
      <w:r w:rsidRPr="0085107A">
        <w:rPr>
          <w:lang w:eastAsia="fr-FR"/>
        </w:rPr>
        <w:t>There is a specialised prosecution office working at the Youth Tribunal. The crown prosecutor and magistrates of the Youth Tribunal prosecution office intervene also before the Civil Court in cases where a child is involved; more specifically in matters related to persons, property or maintenance allowance</w:t>
      </w:r>
      <w:r w:rsidRPr="0085107A">
        <w:rPr>
          <w:rStyle w:val="FootnoteReference"/>
          <w:lang w:eastAsia="fr-FR"/>
        </w:rPr>
        <w:footnoteReference w:id="9"/>
      </w:r>
      <w:r w:rsidRPr="0085107A">
        <w:rPr>
          <w:lang w:eastAsia="fr-FR"/>
        </w:rPr>
        <w:t>.</w:t>
      </w:r>
      <w:r>
        <w:rPr>
          <w:lang w:eastAsia="fr-FR"/>
        </w:rPr>
        <w:t xml:space="preserve"> </w:t>
      </w:r>
    </w:p>
    <w:p w14:paraId="4E2C1691" w14:textId="77777777" w:rsidR="00A9657B" w:rsidRPr="004746CE" w:rsidRDefault="00A9657B" w:rsidP="00B93831">
      <w:pPr>
        <w:pStyle w:val="Heading3NoNumb"/>
        <w:ind w:firstLine="851"/>
      </w:pPr>
      <w:bookmarkStart w:id="38" w:name="_Toc409790458"/>
      <w:r w:rsidRPr="004746CE">
        <w:t>Coordination between authorities</w:t>
      </w:r>
      <w:bookmarkEnd w:id="38"/>
      <w:r w:rsidRPr="004746CE">
        <w:t xml:space="preserve"> </w:t>
      </w:r>
    </w:p>
    <w:p w14:paraId="0C6AA720" w14:textId="77777777" w:rsidR="00A9657B" w:rsidRPr="0085107A" w:rsidRDefault="00A9657B" w:rsidP="004746CE">
      <w:pPr>
        <w:pStyle w:val="BodyText"/>
      </w:pPr>
      <w:r w:rsidRPr="0085107A">
        <w:t xml:space="preserve">As a general rule, there is no agreed framework of coordination and cooperation between the competent authorities and </w:t>
      </w:r>
      <w:r>
        <w:t xml:space="preserve">the </w:t>
      </w:r>
      <w:r w:rsidRPr="0085107A">
        <w:t>courts. However, in adoption proceedings the Tribunal is required to order the social services to carry out a social inquiry of the situation of the adoptive family</w:t>
      </w:r>
      <w:r w:rsidRPr="0085107A">
        <w:rPr>
          <w:rStyle w:val="FootnoteReference"/>
        </w:rPr>
        <w:footnoteReference w:id="10"/>
      </w:r>
      <w:r w:rsidRPr="0085107A">
        <w:t xml:space="preserve">. </w:t>
      </w:r>
    </w:p>
    <w:p w14:paraId="729A200F" w14:textId="77777777" w:rsidR="00A9657B" w:rsidRPr="0085107A" w:rsidRDefault="00A9657B" w:rsidP="004746CE">
      <w:pPr>
        <w:pStyle w:val="BodyText"/>
      </w:pPr>
      <w:r w:rsidRPr="0085107A">
        <w:t xml:space="preserve">Moreover, various social services work together with judicial authorities at different stages of the proceedings to protect the child. For example, a judge hearing civil law cases may request the assistance of a psychologist or representative of social services at the hearing of the child, or may order a social inquiry to better understand the situation of the child. </w:t>
      </w:r>
    </w:p>
    <w:p w14:paraId="1DCCCA73" w14:textId="77777777" w:rsidR="00A9657B" w:rsidRPr="0085107A" w:rsidRDefault="00A9657B" w:rsidP="004746CE">
      <w:pPr>
        <w:pStyle w:val="BodyText"/>
      </w:pPr>
      <w:r w:rsidRPr="0085107A">
        <w:t xml:space="preserve">Youth judges of the Youth Tribunal are competent to take protection measures for children in need or in danger, regardless of the type of proceedings the child is involved in. </w:t>
      </w:r>
    </w:p>
    <w:p w14:paraId="547F5FF0" w14:textId="77777777" w:rsidR="00A9657B" w:rsidRPr="0085107A" w:rsidRDefault="00A9657B" w:rsidP="004746CE">
      <w:pPr>
        <w:pStyle w:val="BodyText"/>
      </w:pPr>
      <w:r w:rsidRPr="0085107A">
        <w:lastRenderedPageBreak/>
        <w:t xml:space="preserve">The youth social services assist children and their family on a voluntary basis, in a way that a child above 14 years old, or his/her legal representative for a child below 14 years old, must agree to the intervention and assistance of the youth social services. In case the child is in danger or the youth services find that a measure must be imposed without the child’s consent, the youth judge will be the competent authority imposing a measure. After deciding on the measure, the Youth Tribunal will ask the service of judicial protection to enforce it. </w:t>
      </w:r>
    </w:p>
    <w:p w14:paraId="359062F0" w14:textId="77777777" w:rsidR="00A9657B" w:rsidRPr="004746CE" w:rsidRDefault="00A9657B" w:rsidP="00B93831">
      <w:pPr>
        <w:pStyle w:val="Heading3NoNumb"/>
        <w:ind w:firstLine="851"/>
      </w:pPr>
      <w:bookmarkStart w:id="39" w:name="_Toc409790459"/>
      <w:r w:rsidRPr="004746CE">
        <w:t>Competence of courts</w:t>
      </w:r>
      <w:bookmarkEnd w:id="39"/>
    </w:p>
    <w:p w14:paraId="7F30687A" w14:textId="77777777" w:rsidR="00A9657B" w:rsidRPr="0085107A" w:rsidRDefault="00A9657B" w:rsidP="004746CE">
      <w:pPr>
        <w:pStyle w:val="BodyText"/>
      </w:pPr>
      <w:r w:rsidRPr="0085107A">
        <w:t xml:space="preserve">Different courts may hear similar matters. For instance, in divorce proceedings, the Civil Magistrate’s Court is competent to hear cases on access rights, maintenance, housing of the child and on personal relations when the parents are separated but have not yet initiated a divorce proceeding. The measures of the Civil Magistrate’s Court will be of temporary nature. The Civil Court is competent to hear divorce cases and related issues (custody, access rights etc.). </w:t>
      </w:r>
    </w:p>
    <w:p w14:paraId="7F25019C" w14:textId="77777777" w:rsidR="00A9657B" w:rsidRPr="0085107A" w:rsidRDefault="00A9657B" w:rsidP="004746CE">
      <w:pPr>
        <w:pStyle w:val="BodyText"/>
      </w:pPr>
      <w:r w:rsidRPr="0085107A">
        <w:t>Youth judges will hear cases related to access rights, maintenance, housing of the child and personal relations with the child for parents who are not married or not legal cohabitants. The youth judge may hear cases on matters arising after a divorce is finalised</w:t>
      </w:r>
      <w:r w:rsidRPr="0085107A">
        <w:rPr>
          <w:rStyle w:val="FootnoteReference"/>
        </w:rPr>
        <w:footnoteReference w:id="11"/>
      </w:r>
      <w:r w:rsidRPr="0085107A">
        <w:t>. Notwithstanding the competence of the Civil Court, a youth judge may intervene in the divorce proceedings on matters related to parental authority, where it is in the interests of the child</w:t>
      </w:r>
      <w:r w:rsidRPr="0085107A">
        <w:rPr>
          <w:rStyle w:val="FootnoteReference"/>
        </w:rPr>
        <w:footnoteReference w:id="12"/>
      </w:r>
      <w:r w:rsidRPr="0085107A">
        <w:t>.</w:t>
      </w:r>
    </w:p>
    <w:p w14:paraId="49BBB016" w14:textId="77777777" w:rsidR="00A9657B" w:rsidRPr="0085107A" w:rsidRDefault="00A9657B" w:rsidP="00B93831">
      <w:pPr>
        <w:pStyle w:val="Heading3NoNumb"/>
        <w:ind w:firstLine="851"/>
      </w:pPr>
      <w:bookmarkStart w:id="40" w:name="_Toc409790460"/>
      <w:r w:rsidRPr="004746CE">
        <w:t>Coordination between criminal and civil; civil and administrative</w:t>
      </w:r>
      <w:r w:rsidRPr="0085107A">
        <w:t xml:space="preserve"> </w:t>
      </w:r>
      <w:r w:rsidRPr="004746CE">
        <w:t>proceedings</w:t>
      </w:r>
      <w:bookmarkEnd w:id="40"/>
    </w:p>
    <w:p w14:paraId="405F23EB" w14:textId="77777777" w:rsidR="00A9657B" w:rsidRPr="0085107A" w:rsidRDefault="00A9657B" w:rsidP="004746CE">
      <w:pPr>
        <w:pStyle w:val="BodyText"/>
      </w:pPr>
      <w:r w:rsidRPr="0085107A">
        <w:t xml:space="preserve">During criminal proceedings, the court adjudicating the criminal case can hear </w:t>
      </w:r>
      <w:r>
        <w:t xml:space="preserve">a </w:t>
      </w:r>
      <w:r w:rsidRPr="0085107A">
        <w:t>civil claim in relation to the criminal case. A civil claim can also be filed separately to the Civil Court. In the latter case, the civil proceeding will be suspended until a decision is taken by the criminal court as the dispute is dependent on the result of the criminal case</w:t>
      </w:r>
      <w:r w:rsidRPr="0085107A">
        <w:rPr>
          <w:rStyle w:val="FootnoteReference"/>
        </w:rPr>
        <w:footnoteReference w:id="13"/>
      </w:r>
      <w:r w:rsidRPr="0085107A">
        <w:t>.</w:t>
      </w:r>
    </w:p>
    <w:p w14:paraId="1CF1C5BD" w14:textId="77777777" w:rsidR="00A9657B" w:rsidRPr="0085107A" w:rsidRDefault="00A9657B" w:rsidP="004746CE">
      <w:pPr>
        <w:pStyle w:val="BodyText"/>
      </w:pPr>
      <w:r w:rsidRPr="0085107A">
        <w:t>In the event where an administrative court and a civil court would hear the same case or related cases at the same time, one of the parties can file a request for settlement of jurisdiction before the Court of Cassation</w:t>
      </w:r>
      <w:r w:rsidRPr="0085107A">
        <w:rPr>
          <w:rStyle w:val="FootnoteReference"/>
        </w:rPr>
        <w:footnoteReference w:id="14"/>
      </w:r>
      <w:r w:rsidRPr="0085107A">
        <w:t>. Except for this provision, the relationship between civil and administrative proceedings is not regulated in Belgian legislation.</w:t>
      </w:r>
    </w:p>
    <w:p w14:paraId="023BB590" w14:textId="77777777" w:rsidR="00A9657B" w:rsidRPr="004746CE" w:rsidRDefault="00A9657B" w:rsidP="00B93831">
      <w:pPr>
        <w:pStyle w:val="Heading3NoNumb"/>
        <w:ind w:firstLine="851"/>
      </w:pPr>
      <w:bookmarkStart w:id="41" w:name="_Toc409790461"/>
      <w:r w:rsidRPr="004746CE">
        <w:t>Training</w:t>
      </w:r>
      <w:bookmarkEnd w:id="41"/>
    </w:p>
    <w:p w14:paraId="47B0F6E1" w14:textId="77777777" w:rsidR="00A9657B" w:rsidRPr="0085107A" w:rsidRDefault="00A9657B" w:rsidP="004746CE">
      <w:pPr>
        <w:pStyle w:val="BodyText"/>
      </w:pPr>
      <w:r w:rsidRPr="00EE7230">
        <w:t>As mentioned in the report on children involved in criminal judicial proceedings, judges and prosecutors are required to have specific training on how to sit or prosecute in judicial proceedings. In addition, judges are required to undergo specific training on youth law, and in particular on how to sit or prosecute in the Youth Tribunal</w:t>
      </w:r>
      <w:r w:rsidRPr="00EE7230">
        <w:rPr>
          <w:rStyle w:val="FootnoteReference"/>
        </w:rPr>
        <w:footnoteReference w:id="15"/>
      </w:r>
      <w:r w:rsidRPr="00EE7230">
        <w:t>. The Superior Council of Justice (</w:t>
      </w:r>
      <w:r w:rsidRPr="00EE7230">
        <w:rPr>
          <w:i/>
        </w:rPr>
        <w:t>Hoge Raad voor de Justitie – Conseil Supérieur de la Justice</w:t>
      </w:r>
      <w:r w:rsidRPr="00EE7230">
        <w:t>) is in charge of regulating the trainings of judges, and the Institute for Judicial Training (</w:t>
      </w:r>
      <w:r w:rsidRPr="00EE7230">
        <w:rPr>
          <w:i/>
        </w:rPr>
        <w:t>Instituut voor Gerechtelijke Opleiding – Institut de Formation Judiciaire</w:t>
      </w:r>
      <w:r w:rsidRPr="00EE7230">
        <w:rPr>
          <w:rStyle w:val="FootnoteReference"/>
        </w:rPr>
        <w:footnoteReference w:id="16"/>
      </w:r>
      <w:r w:rsidRPr="00EE7230">
        <w:t>) organises the trainings.</w:t>
      </w:r>
      <w:r w:rsidRPr="0085107A">
        <w:t xml:space="preserve"> </w:t>
      </w:r>
    </w:p>
    <w:p w14:paraId="6AFBFDF7" w14:textId="77777777" w:rsidR="00A9657B" w:rsidRPr="0085107A" w:rsidRDefault="00A9657B" w:rsidP="004746CE">
      <w:pPr>
        <w:pStyle w:val="BodyText"/>
      </w:pPr>
      <w:r w:rsidRPr="00EE7230">
        <w:t>In the French and German speaking communities, each bar association has a juvenile section composed of volunteer legal counsels who have followed training in youth protection law. The legal counsels must also follow continuous training to stay on the list of legal counsels of the juvenile section</w:t>
      </w:r>
      <w:r w:rsidRPr="00EE7230">
        <w:rPr>
          <w:rStyle w:val="FootnoteReference"/>
        </w:rPr>
        <w:footnoteReference w:id="17"/>
      </w:r>
      <w:r w:rsidRPr="00EE7230">
        <w:t xml:space="preserve">. In the Flemish Community, a similar list of legal counsels exists and is composed of legal counsels holding a certificate of special training in youth </w:t>
      </w:r>
      <w:r w:rsidRPr="00EE7230">
        <w:lastRenderedPageBreak/>
        <w:t>protection law. The training involves a theoretical part, a practical part (e.g. communication with children workshop) and an internship</w:t>
      </w:r>
      <w:r w:rsidRPr="00EE7230">
        <w:rPr>
          <w:rStyle w:val="FootnoteReference"/>
        </w:rPr>
        <w:footnoteReference w:id="18"/>
      </w:r>
      <w:r w:rsidRPr="00EE7230">
        <w:t>.</w:t>
      </w:r>
    </w:p>
    <w:p w14:paraId="604AD09C" w14:textId="77777777" w:rsidR="00A9657B" w:rsidRPr="0085107A" w:rsidRDefault="00A9657B" w:rsidP="004746CE">
      <w:pPr>
        <w:pStyle w:val="BodyText"/>
      </w:pPr>
      <w:r w:rsidRPr="00EE7230">
        <w:t>As a condition to receive an accreditation, mediators must demonstrate suitable training or experience and are required to follow a continuous training</w:t>
      </w:r>
      <w:r w:rsidRPr="00EE7230">
        <w:rPr>
          <w:rStyle w:val="FootnoteReference"/>
        </w:rPr>
        <w:footnoteReference w:id="19"/>
      </w:r>
      <w:r w:rsidRPr="00EE7230">
        <w:t>. The Federal Mediation Commission</w:t>
      </w:r>
      <w:r w:rsidRPr="00EE7230">
        <w:rPr>
          <w:rStyle w:val="FootnoteReference"/>
        </w:rPr>
        <w:footnoteReference w:id="20"/>
      </w:r>
      <w:r w:rsidRPr="00EE7230">
        <w:t xml:space="preserve"> is competent for the accreditation of mediators and for the supervision of organisations offering training programmes to mediators. The training programmes include a general part on mediation principles, legislation and psychological aspects, as well as a specific part dealing with each type of mediation (family, civil and commercial matters and social affairs)</w:t>
      </w:r>
      <w:r w:rsidRPr="00EE7230">
        <w:rPr>
          <w:rStyle w:val="FootnoteReference"/>
        </w:rPr>
        <w:footnoteReference w:id="21"/>
      </w:r>
      <w:r w:rsidRPr="00EE7230">
        <w:t>.</w:t>
      </w:r>
      <w:r w:rsidRPr="0085107A">
        <w:t xml:space="preserve"> </w:t>
      </w:r>
    </w:p>
    <w:p w14:paraId="3131CF75" w14:textId="77777777" w:rsidR="00A9657B" w:rsidRPr="0085107A" w:rsidRDefault="00A9657B" w:rsidP="004746CE">
      <w:pPr>
        <w:pStyle w:val="BodyText"/>
      </w:pPr>
      <w:r w:rsidRPr="0085107A">
        <w:t>Social workers must hold a Bachelor degree in specialised education, social assistance or social science to apply for a social worker’s position.</w:t>
      </w:r>
    </w:p>
    <w:p w14:paraId="5EF08CBA" w14:textId="77777777" w:rsidR="00A9657B" w:rsidRPr="004746CE" w:rsidRDefault="00A9657B" w:rsidP="00B93831">
      <w:pPr>
        <w:pStyle w:val="Heading3NoNumb"/>
        <w:ind w:firstLine="851"/>
      </w:pPr>
      <w:bookmarkStart w:id="42" w:name="_Toc409790462"/>
      <w:r w:rsidRPr="004746CE">
        <w:t>Vetting</w:t>
      </w:r>
      <w:bookmarkEnd w:id="42"/>
    </w:p>
    <w:p w14:paraId="0067D205" w14:textId="57F30988" w:rsidR="00A9657B" w:rsidRDefault="00A9657B" w:rsidP="00B15277">
      <w:pPr>
        <w:pStyle w:val="BodyText"/>
      </w:pPr>
      <w:r w:rsidRPr="0085107A">
        <w:t>There is no vetting process for professionals working with and for children</w:t>
      </w:r>
      <w:r w:rsidRPr="0085107A">
        <w:rPr>
          <w:rStyle w:val="FootnoteReference"/>
        </w:rPr>
        <w:footnoteReference w:id="22"/>
      </w:r>
      <w:r w:rsidRPr="0085107A">
        <w:t>. However, people applying for a position which involves working with and for children are most of the time required to provide a criminal record certificate with specific mention of whether the person had committed an offence against a child</w:t>
      </w:r>
      <w:r w:rsidRPr="0085107A">
        <w:rPr>
          <w:rStyle w:val="FootnoteReference"/>
        </w:rPr>
        <w:footnoteReference w:id="23"/>
      </w:r>
      <w:r w:rsidRPr="0085107A">
        <w:t xml:space="preserve">. </w:t>
      </w:r>
    </w:p>
    <w:p w14:paraId="162F7464" w14:textId="0123E121" w:rsidR="00A9657B" w:rsidRDefault="00A9657B" w:rsidP="004746CE">
      <w:pPr>
        <w:pStyle w:val="Heading2"/>
      </w:pPr>
      <w:bookmarkStart w:id="43" w:name="_Toc409790463"/>
      <w:r w:rsidRPr="0085107A">
        <w:t>General approach towards children under civil law: definition of child, principle of evolving capacities, best interests of the child, principle of non-discrimination</w:t>
      </w:r>
      <w:bookmarkEnd w:id="43"/>
    </w:p>
    <w:p w14:paraId="13FAFA30" w14:textId="77777777" w:rsidR="00A9657B" w:rsidRPr="004746CE" w:rsidRDefault="00A9657B" w:rsidP="00B93831">
      <w:pPr>
        <w:pStyle w:val="Heading3NoNumb"/>
        <w:ind w:firstLine="851"/>
      </w:pPr>
      <w:bookmarkStart w:id="44" w:name="_Toc409790464"/>
      <w:r w:rsidRPr="004746CE">
        <w:t>Definition of the child</w:t>
      </w:r>
      <w:bookmarkEnd w:id="44"/>
    </w:p>
    <w:p w14:paraId="1E5CC633" w14:textId="77777777" w:rsidR="00A9657B" w:rsidRPr="0085107A" w:rsidRDefault="00A9657B" w:rsidP="004746CE">
      <w:pPr>
        <w:pStyle w:val="BodyText"/>
      </w:pPr>
      <w:r w:rsidRPr="0085107A">
        <w:t>In Belgium, a child is defined as a person under 18 years of age</w:t>
      </w:r>
      <w:r w:rsidRPr="0085107A">
        <w:rPr>
          <w:rStyle w:val="FootnoteReference"/>
        </w:rPr>
        <w:footnoteReference w:id="24"/>
      </w:r>
      <w:r w:rsidRPr="0085107A">
        <w:t xml:space="preserve">. See more details in </w:t>
      </w:r>
      <w:hyperlink w:anchor="_The_child_as" w:history="1">
        <w:r w:rsidRPr="0085107A">
          <w:rPr>
            <w:rStyle w:val="Hyperlink"/>
            <w:rFonts w:cs="Arial"/>
          </w:rPr>
          <w:t>Section 3.1</w:t>
        </w:r>
      </w:hyperlink>
      <w:r w:rsidRPr="0085107A">
        <w:t>.</w:t>
      </w:r>
    </w:p>
    <w:p w14:paraId="682C664C" w14:textId="77777777" w:rsidR="00A9657B" w:rsidRPr="0085107A" w:rsidRDefault="00A9657B" w:rsidP="004746CE">
      <w:pPr>
        <w:pStyle w:val="BodyText"/>
      </w:pPr>
      <w:r w:rsidRPr="0085107A">
        <w:t>The main principles/objectives for children’s involvement in civil judicial proceedings</w:t>
      </w:r>
    </w:p>
    <w:p w14:paraId="0A5D4E4D" w14:textId="77777777" w:rsidR="00A9657B" w:rsidRPr="0085107A" w:rsidRDefault="00A9657B" w:rsidP="004746CE">
      <w:pPr>
        <w:pStyle w:val="BodyText"/>
        <w:rPr>
          <w:highlight w:val="yellow"/>
        </w:rPr>
      </w:pPr>
      <w:r w:rsidRPr="0085107A">
        <w:t>The UN Convention on the Rights of the Child (CRC) as well as the Council of Europe Convention for the Protection of Human Rights and Fundamental Rights (ECHR) are both directly applicable in Belgium</w:t>
      </w:r>
      <w:r w:rsidRPr="0085107A">
        <w:rPr>
          <w:rStyle w:val="FootnoteReference"/>
        </w:rPr>
        <w:footnoteReference w:id="25"/>
      </w:r>
      <w:r w:rsidRPr="0085107A">
        <w:t>. As a result, the safeguards provided in these international agreements determine the children’s involvement in judicial proceedings, including the right to be heard during the process leading to decisions that affect them and to take part in this process</w:t>
      </w:r>
      <w:r w:rsidRPr="0085107A">
        <w:rPr>
          <w:vertAlign w:val="superscript"/>
        </w:rPr>
        <w:footnoteReference w:id="26"/>
      </w:r>
      <w:r w:rsidRPr="0085107A">
        <w:t>.</w:t>
      </w:r>
    </w:p>
    <w:p w14:paraId="38918789" w14:textId="77777777" w:rsidR="00A9657B" w:rsidRPr="0085107A" w:rsidRDefault="00A9657B" w:rsidP="004746CE">
      <w:pPr>
        <w:pStyle w:val="BodyText"/>
      </w:pPr>
      <w:r w:rsidRPr="0085107A">
        <w:t xml:space="preserve">As a general rule, the child does not have legal capacity to act. Hence, a child cannot file an action or act in civil judicial proceedings, unless represented by his/her legal representative. Children remain under the parental authority of their parents until they turn 18 years old or get emancipated (due to marriage or judicial decision). It follows that the parents are responsible for the care, education and supervision of their children. See more details in </w:t>
      </w:r>
      <w:hyperlink w:anchor="_The_child_as" w:history="1">
        <w:r w:rsidRPr="0085107A">
          <w:rPr>
            <w:rStyle w:val="Hyperlink"/>
            <w:rFonts w:cs="Arial"/>
          </w:rPr>
          <w:t>Section 3.1</w:t>
        </w:r>
      </w:hyperlink>
      <w:r w:rsidRPr="0085107A">
        <w:t>.</w:t>
      </w:r>
    </w:p>
    <w:p w14:paraId="42096903" w14:textId="77777777" w:rsidR="00A9657B" w:rsidRPr="0085107A" w:rsidRDefault="00A9657B" w:rsidP="004746CE">
      <w:pPr>
        <w:pStyle w:val="BodyText"/>
      </w:pPr>
      <w:r w:rsidRPr="0085107A">
        <w:t xml:space="preserve">Lastly, the principles of the </w:t>
      </w:r>
      <w:hyperlink r:id="rId31" w:history="1">
        <w:r w:rsidRPr="0085107A">
          <w:rPr>
            <w:rStyle w:val="Hyperlink"/>
            <w:rFonts w:cs="Arial"/>
          </w:rPr>
          <w:t>Youth Protection Act</w:t>
        </w:r>
      </w:hyperlink>
      <w:r w:rsidRPr="0085107A">
        <w:t xml:space="preserve"> specify that “children are dealt with by stakeholders, officials and judges who have received specific training on the rights of the </w:t>
      </w:r>
      <w:r w:rsidRPr="0085107A">
        <w:lastRenderedPageBreak/>
        <w:t>child” and “children may not, under any circumstances, be compared to an adult or treated as an adult in their degree of responsibility and the consequences of their actions”</w:t>
      </w:r>
      <w:r w:rsidRPr="0085107A">
        <w:rPr>
          <w:rStyle w:val="FootnoteReference"/>
        </w:rPr>
        <w:footnoteReference w:id="27"/>
      </w:r>
      <w:r w:rsidRPr="0085107A">
        <w:t xml:space="preserve">. </w:t>
      </w:r>
    </w:p>
    <w:p w14:paraId="7E0E748C" w14:textId="77777777" w:rsidR="00A9657B" w:rsidRPr="004746CE" w:rsidRDefault="00A9657B" w:rsidP="00B93831">
      <w:pPr>
        <w:pStyle w:val="Heading3NoNumb"/>
        <w:ind w:firstLine="851"/>
      </w:pPr>
      <w:bookmarkStart w:id="45" w:name="_Toc409790465"/>
      <w:r w:rsidRPr="004746CE">
        <w:t>Ensuring the child’s best interests and evolving capacity</w:t>
      </w:r>
      <w:bookmarkEnd w:id="45"/>
    </w:p>
    <w:p w14:paraId="0B9A249C" w14:textId="77777777" w:rsidR="00A9657B" w:rsidRPr="0085107A" w:rsidRDefault="00A9657B" w:rsidP="004746CE">
      <w:pPr>
        <w:pStyle w:val="BodyText"/>
      </w:pPr>
      <w:r w:rsidRPr="0085107A">
        <w:t xml:space="preserve">The </w:t>
      </w:r>
      <w:hyperlink r:id="rId32" w:history="1">
        <w:r w:rsidRPr="0085107A">
          <w:rPr>
            <w:rStyle w:val="Hyperlink"/>
            <w:rFonts w:cs="Arial"/>
          </w:rPr>
          <w:t>Constitution</w:t>
        </w:r>
      </w:hyperlink>
      <w:r w:rsidRPr="0085107A">
        <w:t xml:space="preserve"> requires that in all decisions affecting the child, the interests of the child must be of primary consideration</w:t>
      </w:r>
      <w:r w:rsidRPr="0085107A">
        <w:rPr>
          <w:rStyle w:val="FootnoteReference"/>
        </w:rPr>
        <w:footnoteReference w:id="28"/>
      </w:r>
      <w:r w:rsidRPr="0085107A">
        <w:t xml:space="preserve">. </w:t>
      </w:r>
    </w:p>
    <w:p w14:paraId="337B30FE" w14:textId="77777777" w:rsidR="00A9657B" w:rsidRPr="0085107A" w:rsidRDefault="00A9657B" w:rsidP="004746CE">
      <w:pPr>
        <w:pStyle w:val="BodyText"/>
      </w:pPr>
      <w:r w:rsidRPr="00EE7230">
        <w:t>In adoption proceedings, a decision must be taken in the best interests of the child and in a way that the respect for fundamental rights, as recognised in international law, is guaranteed</w:t>
      </w:r>
      <w:r w:rsidRPr="00EE7230">
        <w:rPr>
          <w:rStyle w:val="FootnoteReference"/>
        </w:rPr>
        <w:footnoteReference w:id="29"/>
      </w:r>
      <w:r w:rsidRPr="00EE7230">
        <w:t>.</w:t>
      </w:r>
      <w:r w:rsidRPr="0085107A">
        <w:t xml:space="preserve"> On issues of parental authority, the competent court must entrust decisions on health, education, entertainment, training, religious or philosophical orientation to one of the parents in accordance with the child’s interests. Similarly, courts are required to intervene ‘in the interests of the child’ on various specific issues, including the modification of divorce agreement against the child’s interest, child’s custody, maintenance of personal relationships with grandparents, administration of the child’s property, guardianship appointment and measures regarding the residence of the child</w:t>
      </w:r>
      <w:r w:rsidRPr="0085107A">
        <w:rPr>
          <w:rStyle w:val="FootnoteReference"/>
        </w:rPr>
        <w:footnoteReference w:id="30"/>
      </w:r>
      <w:r w:rsidRPr="0085107A">
        <w:t xml:space="preserve">. </w:t>
      </w:r>
    </w:p>
    <w:p w14:paraId="18133C38" w14:textId="77777777" w:rsidR="00A9657B" w:rsidRPr="0085107A" w:rsidRDefault="00A9657B" w:rsidP="004746CE">
      <w:pPr>
        <w:pStyle w:val="BodyText"/>
      </w:pPr>
      <w:r w:rsidRPr="0085107A">
        <w:t xml:space="preserve">No provisions have been found on how the best interests of each child are assessed in cases where more than one child is involved in the proceedings. There are no checklists or protocols in place to determine the child’s best interests. The judge hearing the case is competent to assess what is in the best interests of the child. The </w:t>
      </w:r>
      <w:hyperlink r:id="rId33" w:history="1">
        <w:r w:rsidRPr="0085107A">
          <w:rPr>
            <w:rStyle w:val="Hyperlink"/>
            <w:rFonts w:cs="Arial"/>
          </w:rPr>
          <w:t>Constitution</w:t>
        </w:r>
      </w:hyperlink>
      <w:r w:rsidRPr="0085107A">
        <w:t xml:space="preserve"> states that the child has the right to express his/her views on any issues that concern him/her and requires the child’s view to be taken into account</w:t>
      </w:r>
      <w:r w:rsidRPr="0085107A">
        <w:rPr>
          <w:rStyle w:val="FootnoteReference"/>
        </w:rPr>
        <w:footnoteReference w:id="31"/>
      </w:r>
      <w:r w:rsidRPr="0085107A">
        <w:t>. Accordingly, the child should be heard and his/her views must be taken into account while assessing his/her best interests.</w:t>
      </w:r>
    </w:p>
    <w:p w14:paraId="34F9EFCF" w14:textId="77777777" w:rsidR="00A9657B" w:rsidRPr="0085107A" w:rsidRDefault="00A9657B" w:rsidP="004746CE">
      <w:pPr>
        <w:pStyle w:val="BodyText"/>
      </w:pPr>
      <w:r w:rsidRPr="0085107A">
        <w:t xml:space="preserve">The </w:t>
      </w:r>
      <w:hyperlink r:id="rId34" w:history="1">
        <w:r w:rsidRPr="0085107A">
          <w:rPr>
            <w:rStyle w:val="Hyperlink"/>
            <w:rFonts w:cs="Arial"/>
          </w:rPr>
          <w:t>Constitution</w:t>
        </w:r>
      </w:hyperlink>
      <w:r w:rsidRPr="0085107A">
        <w:t xml:space="preserve"> recognises the principle of safeguarding the child’s evolving capacity in provisions requiring that measures and services should be beneficial for the child, so that they contribute to his/her development and that the child’s views must be taken into account having regard to his/her age and maturity</w:t>
      </w:r>
      <w:r w:rsidRPr="0085107A">
        <w:rPr>
          <w:rStyle w:val="FootnoteReference"/>
        </w:rPr>
        <w:footnoteReference w:id="32"/>
      </w:r>
      <w:r w:rsidRPr="0085107A">
        <w:t xml:space="preserve">. This also applies to children involved in judicial proceedings, regardless of their role as a victim, witness, plaintiff or defendant. However, there are no specific rules or guidelines on how to apply the principle of evolving capacity and how a judge can assess such capacity. In practice, it will be assessed on a case-by-case basis by a judge. The actions of the child will be taken into consideration while assessing his/her evolving capacity. For example, the fact that a child requests to be heard by sending a letter written by him/herself to a judge will be regarded as demonstrating his/her capacity (see </w:t>
      </w:r>
      <w:hyperlink w:anchor="_Toc338234115" w:history="1">
        <w:r w:rsidRPr="0085107A">
          <w:rPr>
            <w:rStyle w:val="Hyperlink"/>
            <w:rFonts w:cs="Arial"/>
          </w:rPr>
          <w:t>Section 3.6</w:t>
        </w:r>
      </w:hyperlink>
      <w:r w:rsidRPr="0085107A">
        <w:t>).</w:t>
      </w:r>
    </w:p>
    <w:p w14:paraId="7371AC44" w14:textId="77777777" w:rsidR="00A9657B" w:rsidRPr="0085107A" w:rsidRDefault="00A9657B" w:rsidP="004746CE">
      <w:pPr>
        <w:pStyle w:val="BodyText"/>
      </w:pPr>
      <w:r w:rsidRPr="0085107A">
        <w:t xml:space="preserve">There is no general statutory age limit to hear a child. However, some specific provisions provide age limits. For example, a child who is at least 12 years old must consent to his/her adoption and the youth judge is required to personally hear a child of 12 years old. Youth judges may also hear a child under 12 years of age (see </w:t>
      </w:r>
      <w:hyperlink w:anchor="_The_child_as" w:history="1">
        <w:r w:rsidRPr="0085107A">
          <w:rPr>
            <w:rStyle w:val="Hyperlink"/>
            <w:rFonts w:cs="Arial"/>
          </w:rPr>
          <w:t>Section 3.1</w:t>
        </w:r>
      </w:hyperlink>
      <w:r w:rsidRPr="0085107A">
        <w:t xml:space="preserve"> and </w:t>
      </w:r>
      <w:hyperlink w:anchor="_Toc338234115" w:history="1">
        <w:r w:rsidRPr="0085107A">
          <w:rPr>
            <w:rStyle w:val="Hyperlink"/>
            <w:rFonts w:cs="Arial"/>
          </w:rPr>
          <w:t>Section 3.6</w:t>
        </w:r>
      </w:hyperlink>
      <w:r w:rsidRPr="0085107A">
        <w:t>). As mentioned in the children in criminal proceedings report, in practice, judges tend not to hear children under the age of 12 years, which is considered as the age of sufficient maturity</w:t>
      </w:r>
      <w:r w:rsidRPr="0085107A">
        <w:rPr>
          <w:vertAlign w:val="superscript"/>
        </w:rPr>
        <w:footnoteReference w:id="33"/>
      </w:r>
      <w:r w:rsidRPr="0085107A">
        <w:t xml:space="preserve">. </w:t>
      </w:r>
    </w:p>
    <w:p w14:paraId="6AEAA543" w14:textId="77777777" w:rsidR="00A9657B" w:rsidRPr="0085107A" w:rsidRDefault="00A9657B" w:rsidP="004746CE">
      <w:pPr>
        <w:pStyle w:val="BodyText"/>
      </w:pPr>
      <w:r w:rsidRPr="0085107A">
        <w:t>The principle of treating a child with dignity and respect</w:t>
      </w:r>
    </w:p>
    <w:p w14:paraId="46D2DF38" w14:textId="77777777" w:rsidR="00A9657B" w:rsidRPr="00EE7230" w:rsidRDefault="00A9657B" w:rsidP="004746CE">
      <w:pPr>
        <w:pStyle w:val="BodyText"/>
      </w:pPr>
      <w:r w:rsidRPr="00EE7230">
        <w:lastRenderedPageBreak/>
        <w:t xml:space="preserve">The </w:t>
      </w:r>
      <w:hyperlink r:id="rId35" w:history="1">
        <w:r w:rsidRPr="00EE7230">
          <w:rPr>
            <w:rStyle w:val="Hyperlink"/>
            <w:rFonts w:cs="Arial"/>
          </w:rPr>
          <w:t>Constitution</w:t>
        </w:r>
      </w:hyperlink>
      <w:r w:rsidRPr="00EE7230">
        <w:t xml:space="preserve"> recognises the right of the child for moral, physical and psychological integrity</w:t>
      </w:r>
      <w:r w:rsidRPr="00EE7230">
        <w:rPr>
          <w:rStyle w:val="FootnoteReference"/>
        </w:rPr>
        <w:footnoteReference w:id="34"/>
      </w:r>
      <w:r w:rsidRPr="00EE7230">
        <w:t xml:space="preserve">. This right applies to children’s involvement in judicial proceedings regardless of their role. </w:t>
      </w:r>
    </w:p>
    <w:p w14:paraId="22CA4621" w14:textId="77777777" w:rsidR="00A9657B" w:rsidRPr="0085107A" w:rsidRDefault="00A9657B" w:rsidP="004746CE">
      <w:pPr>
        <w:pStyle w:val="BodyText"/>
      </w:pPr>
      <w:r w:rsidRPr="00EE7230">
        <w:t>The principle of treating a child with respect and dignity is also reflected in civil proceedings in several ways.</w:t>
      </w:r>
      <w:r w:rsidRPr="0085107A">
        <w:t xml:space="preserve"> For instance, it is required to hear the child’s opinion for any decision affecting him/her and his/her consent is required</w:t>
      </w:r>
      <w:r w:rsidRPr="0085107A" w:rsidDel="0023446B">
        <w:t xml:space="preserve"> </w:t>
      </w:r>
      <w:r w:rsidRPr="0085107A">
        <w:t>in specific proceedings (such as adoption). The interests of the child must be taken into account when deciding on measures affecting him/her. Lastly, the rights guaranteed in the CRC apply to children in civil judicial proceedings.</w:t>
      </w:r>
    </w:p>
    <w:p w14:paraId="44F13136" w14:textId="77777777" w:rsidR="00A9657B" w:rsidRPr="004746CE" w:rsidRDefault="00A9657B" w:rsidP="00B93831">
      <w:pPr>
        <w:pStyle w:val="Heading3NoNumb"/>
        <w:ind w:firstLine="851"/>
      </w:pPr>
      <w:bookmarkStart w:id="46" w:name="_Toc409790466"/>
      <w:r w:rsidRPr="004746CE">
        <w:t>Protection from discrimination</w:t>
      </w:r>
      <w:bookmarkEnd w:id="46"/>
    </w:p>
    <w:p w14:paraId="73F9BA8F" w14:textId="77777777" w:rsidR="00A9657B" w:rsidRPr="0085107A" w:rsidRDefault="00A9657B" w:rsidP="004746CE">
      <w:pPr>
        <w:pStyle w:val="BodyText"/>
      </w:pPr>
      <w:r w:rsidRPr="0085107A">
        <w:t xml:space="preserve">Direct and indirect discrimination on the grounds of age, sexual orientation, marital status, birth, wealth, religious or philosophical belief, political conviction, trade union conviction, language, current or future health status, disability, a physical or genetic characteristic or social origin is prohibited under the </w:t>
      </w:r>
      <w:hyperlink r:id="rId36" w:history="1">
        <w:r w:rsidRPr="0085107A">
          <w:rPr>
            <w:rStyle w:val="Hyperlink"/>
            <w:rFonts w:cs="Arial"/>
          </w:rPr>
          <w:t>Anti-Discrimination Act</w:t>
        </w:r>
      </w:hyperlink>
      <w:r w:rsidRPr="0085107A">
        <w:t xml:space="preserve"> and Regional Decrees, which apply to services of the public and private sectors including in areas such as social services, access to goods and services, health or education</w:t>
      </w:r>
      <w:r w:rsidRPr="0085107A">
        <w:rPr>
          <w:rStyle w:val="FootnoteReference"/>
        </w:rPr>
        <w:footnoteReference w:id="35"/>
      </w:r>
      <w:r w:rsidRPr="0085107A">
        <w:t xml:space="preserve">. </w:t>
      </w:r>
    </w:p>
    <w:p w14:paraId="4E76E6E6" w14:textId="77777777" w:rsidR="00A9657B" w:rsidRPr="0085107A" w:rsidRDefault="00A9657B" w:rsidP="004746CE">
      <w:pPr>
        <w:pStyle w:val="BodyText"/>
      </w:pPr>
      <w:r w:rsidRPr="0085107A">
        <w:t xml:space="preserve">In case of discrimination, children, via their legal representatives, can complain before the </w:t>
      </w:r>
      <w:hyperlink r:id="rId37" w:history="1">
        <w:r>
          <w:rPr>
            <w:rStyle w:val="Hyperlink"/>
          </w:rPr>
          <w:t>Interfederal C</w:t>
        </w:r>
        <w:r w:rsidRPr="0085107A">
          <w:rPr>
            <w:rStyle w:val="Hyperlink"/>
          </w:rPr>
          <w:t>entre for Equal Opportunitiesa</w:t>
        </w:r>
      </w:hyperlink>
      <w:r w:rsidRPr="0085107A">
        <w:t xml:space="preserve"> or before </w:t>
      </w:r>
      <w:r>
        <w:t xml:space="preserve">the </w:t>
      </w:r>
      <w:r w:rsidRPr="0085107A">
        <w:t>court</w:t>
      </w:r>
      <w:r>
        <w:t>s</w:t>
      </w:r>
      <w:r w:rsidRPr="0085107A">
        <w:t>.</w:t>
      </w:r>
    </w:p>
    <w:p w14:paraId="4284F593" w14:textId="77777777" w:rsidR="00A9657B" w:rsidRPr="0085107A" w:rsidRDefault="00A9657B" w:rsidP="004746CE">
      <w:pPr>
        <w:pStyle w:val="BodyText"/>
      </w:pPr>
      <w:r w:rsidRPr="0085107A">
        <w:t>Non-EU national unaccompanied children receive a specific protection in the form of the appointment of a guardian. The guardian will be in charge of the child’s representation, to coordinate with the different services and to find a sustainable solution in the interests of the child within the most efficient timeframe</w:t>
      </w:r>
      <w:r w:rsidRPr="0085107A">
        <w:rPr>
          <w:rStyle w:val="FootnoteReference"/>
        </w:rPr>
        <w:footnoteReference w:id="36"/>
      </w:r>
      <w:r w:rsidRPr="0085107A">
        <w:t>.</w:t>
      </w:r>
    </w:p>
    <w:p w14:paraId="01CDD116" w14:textId="77777777" w:rsidR="00A9657B" w:rsidRPr="0085107A" w:rsidRDefault="00A9657B" w:rsidP="004746CE">
      <w:pPr>
        <w:pStyle w:val="BodyText"/>
      </w:pPr>
      <w:r w:rsidRPr="0085107A">
        <w:t>Children with disabilities are protected from discrimination on the grounds of their disabilities. The refusal to ensure reasonable accommodation in favour of children with disabilities is considered as discrimination. For example, children with hearing disabilities can benefit from sign language interpreters, free of charge</w:t>
      </w:r>
      <w:r w:rsidRPr="0085107A">
        <w:rPr>
          <w:rStyle w:val="FootnoteReference"/>
        </w:rPr>
        <w:footnoteReference w:id="37"/>
      </w:r>
      <w:r w:rsidRPr="0085107A">
        <w:t>.</w:t>
      </w:r>
    </w:p>
    <w:p w14:paraId="4FDAF3CF" w14:textId="77777777" w:rsidR="00A9657B" w:rsidRPr="0085107A" w:rsidRDefault="00A9657B" w:rsidP="004746CE">
      <w:pPr>
        <w:pStyle w:val="BodyText"/>
      </w:pPr>
      <w:r w:rsidRPr="0085107A">
        <w:t xml:space="preserve">Except for the above, no special protection for the most vulnerable groups, e.g. for Roma, very young children, etc., have been identified. </w:t>
      </w:r>
    </w:p>
    <w:p w14:paraId="3590D89A" w14:textId="77777777" w:rsidR="00A9657B" w:rsidRDefault="00A9657B" w:rsidP="001358F5">
      <w:pPr>
        <w:pStyle w:val="BodyText"/>
        <w:ind w:left="0"/>
      </w:pPr>
    </w:p>
    <w:p w14:paraId="74257B36" w14:textId="77777777" w:rsidR="00CE5D13" w:rsidRPr="00A9657B" w:rsidRDefault="00CE5D13" w:rsidP="001358F5">
      <w:pPr>
        <w:pStyle w:val="BodyText"/>
        <w:ind w:left="0"/>
      </w:pPr>
    </w:p>
    <w:p w14:paraId="398781B9" w14:textId="77777777" w:rsidR="00A9657B" w:rsidRDefault="00A9657B" w:rsidP="001358F5">
      <w:pPr>
        <w:pStyle w:val="BodyText"/>
        <w:ind w:left="0"/>
      </w:pPr>
    </w:p>
    <w:p w14:paraId="702BBFE2" w14:textId="77777777" w:rsidR="00A9657B" w:rsidRDefault="00A9657B" w:rsidP="001358F5">
      <w:pPr>
        <w:pStyle w:val="BodyText"/>
        <w:ind w:left="0"/>
      </w:pPr>
    </w:p>
    <w:p w14:paraId="365BF236" w14:textId="77777777" w:rsidR="00A9657B" w:rsidRPr="0085107A" w:rsidRDefault="00A9657B" w:rsidP="001358F5">
      <w:pPr>
        <w:pStyle w:val="BodyText"/>
        <w:ind w:left="0"/>
      </w:pPr>
    </w:p>
    <w:p w14:paraId="3DE59BF7" w14:textId="45827E16" w:rsidR="006D75C3" w:rsidRDefault="006D75C3" w:rsidP="001358F5">
      <w:r>
        <w:br w:type="page"/>
      </w:r>
    </w:p>
    <w:p w14:paraId="2C9D2800" w14:textId="77777777" w:rsidR="0049253A" w:rsidRPr="006E016E" w:rsidRDefault="0049253A" w:rsidP="001358F5">
      <w:pPr>
        <w:pStyle w:val="Heading1"/>
        <w:rPr>
          <w:rFonts w:cs="Arial"/>
        </w:rPr>
      </w:pPr>
      <w:bookmarkStart w:id="47" w:name="_The_child_as"/>
      <w:bookmarkStart w:id="48" w:name="_Toc350439424"/>
      <w:bookmarkStart w:id="49" w:name="_Toc401222930"/>
      <w:bookmarkStart w:id="50" w:name="_Toc401231483"/>
      <w:bookmarkStart w:id="51" w:name="_Toc338234110"/>
      <w:bookmarkStart w:id="52" w:name="_Toc401654871"/>
      <w:bookmarkStart w:id="53" w:name="_Toc409790467"/>
      <w:bookmarkEnd w:id="47"/>
      <w:r w:rsidRPr="006E016E">
        <w:lastRenderedPageBreak/>
        <w:t>Child-friendly justice in civil judicial proceedings</w:t>
      </w:r>
      <w:bookmarkEnd w:id="48"/>
      <w:bookmarkEnd w:id="49"/>
      <w:bookmarkEnd w:id="50"/>
      <w:bookmarkEnd w:id="53"/>
    </w:p>
    <w:p w14:paraId="2414569A" w14:textId="77777777" w:rsidR="0049253A" w:rsidRPr="006E016E" w:rsidRDefault="0049253A" w:rsidP="001358F5">
      <w:pPr>
        <w:pStyle w:val="Heading2"/>
      </w:pPr>
      <w:bookmarkStart w:id="54" w:name="_Ref260582416"/>
      <w:bookmarkStart w:id="55" w:name="_Toc401222931"/>
      <w:bookmarkStart w:id="56" w:name="_Toc401231484"/>
      <w:bookmarkStart w:id="57" w:name="_Toc350439425"/>
      <w:bookmarkStart w:id="58" w:name="_Ref225699717"/>
      <w:bookmarkStart w:id="59" w:name="_Ref225757900"/>
      <w:bookmarkStart w:id="60" w:name="_Ref225763794"/>
      <w:bookmarkStart w:id="61" w:name="_Ref225924848"/>
      <w:bookmarkStart w:id="62" w:name="_Ref227300210"/>
      <w:bookmarkStart w:id="63" w:name="_Ref366658269"/>
      <w:bookmarkStart w:id="64" w:name="_Ref366658284"/>
      <w:bookmarkStart w:id="65" w:name="_Ref366658443"/>
      <w:bookmarkStart w:id="66" w:name="_Ref366658666"/>
      <w:bookmarkStart w:id="67" w:name="_Ref366658784"/>
      <w:bookmarkStart w:id="68" w:name="_Ref366658818"/>
      <w:bookmarkStart w:id="69" w:name="section31"/>
      <w:bookmarkStart w:id="70" w:name="_Toc409790468"/>
      <w:bookmarkEnd w:id="51"/>
      <w:bookmarkEnd w:id="52"/>
      <w:r w:rsidRPr="006E016E">
        <w:t>The child as an actor in civil judicial proceedings</w:t>
      </w:r>
      <w:bookmarkEnd w:id="54"/>
      <w:bookmarkEnd w:id="55"/>
      <w:bookmarkEnd w:id="56"/>
      <w:bookmarkEnd w:id="70"/>
      <w:r w:rsidRPr="006E016E">
        <w:t xml:space="preserve"> </w:t>
      </w:r>
      <w:bookmarkEnd w:id="57"/>
      <w:bookmarkEnd w:id="58"/>
      <w:bookmarkEnd w:id="59"/>
      <w:bookmarkEnd w:id="60"/>
      <w:bookmarkEnd w:id="61"/>
      <w:bookmarkEnd w:id="62"/>
      <w:bookmarkEnd w:id="63"/>
      <w:bookmarkEnd w:id="64"/>
      <w:bookmarkEnd w:id="65"/>
      <w:bookmarkEnd w:id="66"/>
      <w:bookmarkEnd w:id="67"/>
      <w:bookmarkEnd w:id="68"/>
    </w:p>
    <w:bookmarkEnd w:id="69"/>
    <w:p w14:paraId="4F39394E" w14:textId="3EC9EB43" w:rsidR="00CE5D13" w:rsidRPr="004746CE" w:rsidRDefault="00CE5D13" w:rsidP="004746CE">
      <w:pPr>
        <w:pStyle w:val="BodyText"/>
        <w:rPr>
          <w:rFonts w:ascii="Calibri" w:eastAsiaTheme="majorEastAsia" w:hAnsi="Calibri" w:cstheme="majorBidi"/>
          <w:b/>
          <w:bCs/>
          <w:i/>
          <w:iCs/>
          <w:color w:val="0067AC"/>
          <w:sz w:val="22"/>
        </w:rPr>
      </w:pPr>
      <w:r w:rsidRPr="004746CE">
        <w:rPr>
          <w:rFonts w:ascii="Calibri" w:eastAsiaTheme="majorEastAsia" w:hAnsi="Calibri" w:cstheme="majorBidi"/>
          <w:b/>
          <w:bCs/>
          <w:i/>
          <w:iCs/>
          <w:color w:val="0067AC"/>
          <w:sz w:val="22"/>
        </w:rPr>
        <w:t>The child as a plaintiff/complainant</w:t>
      </w:r>
    </w:p>
    <w:p w14:paraId="077FB3E6" w14:textId="77777777" w:rsidR="00CE5D13" w:rsidRPr="0085107A" w:rsidRDefault="00CE5D13" w:rsidP="004746CE">
      <w:pPr>
        <w:pStyle w:val="BodyText"/>
      </w:pPr>
      <w:r w:rsidRPr="0085107A">
        <w:t>In Belgium, while children have legal capacity (i.e. capacity to be the holder of rights and obligations), they do not have legal capacity to act</w:t>
      </w:r>
      <w:r w:rsidRPr="0085107A">
        <w:rPr>
          <w:rStyle w:val="FootnoteReference"/>
          <w:bCs/>
        </w:rPr>
        <w:footnoteReference w:id="38"/>
      </w:r>
      <w:r w:rsidRPr="0085107A">
        <w:t>. Hence, they do not have the capacity to bring a case before the court, to be a party to judicial proceedings or to enter into contractual agreements in their own name. If a child initiates judicial proceedings, the proceedings will be suspended until the child is represented by his/her legal representative or the child turns 18 years old</w:t>
      </w:r>
      <w:r w:rsidRPr="0085107A">
        <w:rPr>
          <w:rStyle w:val="FootnoteReference"/>
          <w:bCs/>
        </w:rPr>
        <w:footnoteReference w:id="39"/>
      </w:r>
      <w:r w:rsidRPr="0085107A">
        <w:t xml:space="preserve">. </w:t>
      </w:r>
    </w:p>
    <w:p w14:paraId="4925248B" w14:textId="77777777" w:rsidR="00CE5D13" w:rsidRPr="0085107A" w:rsidRDefault="00CE5D13" w:rsidP="004746CE">
      <w:pPr>
        <w:pStyle w:val="BodyText"/>
      </w:pPr>
      <w:r w:rsidRPr="0085107A">
        <w:t>There are exceptions to this rule. The most important exception relates to emancipated children</w:t>
      </w:r>
      <w:r w:rsidRPr="0085107A">
        <w:rPr>
          <w:rStyle w:val="FootnoteReference"/>
          <w:bCs/>
        </w:rPr>
        <w:footnoteReference w:id="40"/>
      </w:r>
      <w:r w:rsidRPr="0085107A">
        <w:t>. Children can be emancipated</w:t>
      </w:r>
      <w:r>
        <w:t xml:space="preserve"> by marriage, or children</w:t>
      </w:r>
      <w:r w:rsidRPr="0085107A">
        <w:t xml:space="preserve"> of 15 years of age and above</w:t>
      </w:r>
      <w:r>
        <w:t xml:space="preserve"> can be emancipated</w:t>
      </w:r>
      <w:r w:rsidRPr="0085107A">
        <w:t xml:space="preserve"> </w:t>
      </w:r>
      <w:r>
        <w:t xml:space="preserve"> </w:t>
      </w:r>
      <w:r w:rsidRPr="0085107A">
        <w:t>upon request of the child’s legal representative to the Youth Tribunal or request of the child him/herself in case his/her parents are deceased. An emancipated child is no longer subject to parental authority and has the capacity to act alone or with the assistance of a guardian with regard to the management of his/her property and can initiate some type of proceedings such as divorce proceedings (for married emancipated children)</w:t>
      </w:r>
      <w:r w:rsidRPr="0085107A">
        <w:rPr>
          <w:rStyle w:val="FootnoteReference"/>
          <w:bCs/>
        </w:rPr>
        <w:footnoteReference w:id="41"/>
      </w:r>
      <w:r w:rsidRPr="0085107A">
        <w:t>. Considering this, it can be concluded that an emancipated child does not have the same status as an adult, as his/her capacity to act is limited to certain matters.</w:t>
      </w:r>
    </w:p>
    <w:p w14:paraId="30F7C5DC" w14:textId="77777777" w:rsidR="00CE5D13" w:rsidRPr="0085107A" w:rsidRDefault="00CE5D13" w:rsidP="004746CE">
      <w:pPr>
        <w:pStyle w:val="BodyText"/>
      </w:pPr>
      <w:r w:rsidRPr="0085107A">
        <w:t>Other exceptions include the ability of a child in an extreme emergency situation to request a judge to affix seals</w:t>
      </w:r>
      <w:r w:rsidRPr="0085107A">
        <w:rPr>
          <w:rStyle w:val="FootnoteReference"/>
          <w:bCs/>
        </w:rPr>
        <w:footnoteReference w:id="42"/>
      </w:r>
      <w:r w:rsidRPr="0085107A">
        <w:t>, ask the Youth Tribunal permission to marry in the absence of the legal representatives’ authorisation</w:t>
      </w:r>
      <w:r w:rsidRPr="0085107A">
        <w:rPr>
          <w:rStyle w:val="FootnoteReference"/>
          <w:bCs/>
        </w:rPr>
        <w:footnoteReference w:id="43"/>
      </w:r>
      <w:r w:rsidRPr="0085107A">
        <w:t>, conclude and terminate an employment contract</w:t>
      </w:r>
      <w:r w:rsidRPr="0085107A">
        <w:rPr>
          <w:rStyle w:val="FootnoteReference"/>
          <w:bCs/>
        </w:rPr>
        <w:footnoteReference w:id="44"/>
      </w:r>
      <w:r w:rsidRPr="0085107A">
        <w:t>, exercise parental authority over his/her child (including the bringing of a case before courts within the exercise of his/her parental authority</w:t>
      </w:r>
      <w:r w:rsidRPr="0085107A">
        <w:rPr>
          <w:rStyle w:val="FootnoteReference"/>
          <w:bCs/>
        </w:rPr>
        <w:footnoteReference w:id="45"/>
      </w:r>
      <w:r w:rsidRPr="0085107A">
        <w:t>) and to have a will for half of his/her properties.</w:t>
      </w:r>
    </w:p>
    <w:p w14:paraId="2C6E48D6" w14:textId="77777777" w:rsidR="00CE5D13" w:rsidRPr="0085107A" w:rsidRDefault="00CE5D13" w:rsidP="004746CE">
      <w:pPr>
        <w:pStyle w:val="BodyText"/>
      </w:pPr>
      <w:r w:rsidRPr="00EE7230">
        <w:t>Courts have exceptionally allowed children to bring a case before courts under specific circumstances, or in case of conflicts between the child and his/her parents, when the action is absolutely necessary and with respect to conservatory measures. For example, a child has been allowed to file a lawsuit in cases where a child who was no longer living with his/her parents wanted to file a maintenance action</w:t>
      </w:r>
      <w:r w:rsidRPr="00EE7230">
        <w:rPr>
          <w:rStyle w:val="FootnoteReference"/>
          <w:bCs/>
        </w:rPr>
        <w:footnoteReference w:id="46"/>
      </w:r>
      <w:r w:rsidRPr="00EE7230">
        <w:t xml:space="preserve"> or provisionally appealed a decision when the time-frame for appeal was about to expire</w:t>
      </w:r>
      <w:r w:rsidRPr="00EE7230">
        <w:rPr>
          <w:rStyle w:val="FootnoteReference"/>
          <w:bCs/>
        </w:rPr>
        <w:footnoteReference w:id="47"/>
      </w:r>
      <w:r w:rsidRPr="00EE7230">
        <w:t>.</w:t>
      </w:r>
      <w:r w:rsidRPr="0085107A">
        <w:t xml:space="preserve"> These exceptions must be allowed with caution as the case-law is not consistent in allowing/recognising such exceptions</w:t>
      </w:r>
      <w:r w:rsidRPr="0085107A">
        <w:rPr>
          <w:rStyle w:val="FootnoteReference"/>
          <w:bCs/>
        </w:rPr>
        <w:footnoteReference w:id="48"/>
      </w:r>
      <w:r w:rsidRPr="0085107A">
        <w:t>. Similar exceptions have been allowed by the case-law in labour actions filed by the child (see below).</w:t>
      </w:r>
    </w:p>
    <w:p w14:paraId="1DED1143" w14:textId="77777777" w:rsidR="00CE5D13" w:rsidRPr="0085107A" w:rsidRDefault="00CE5D13" w:rsidP="004746CE">
      <w:pPr>
        <w:pStyle w:val="BodyText"/>
      </w:pPr>
      <w:r w:rsidRPr="0085107A">
        <w:lastRenderedPageBreak/>
        <w:t xml:space="preserve">As a result of the child’s incapacity to bring a case before the court in his/her own name, the child’s parents or legal representatives file an action and become parties to the proceedings on behalf of their child. This principle also applies to filing a request for precautionary and interim measures, aside from the exceptions mentioned above. </w:t>
      </w:r>
    </w:p>
    <w:p w14:paraId="2ABBF0D0" w14:textId="77777777" w:rsidR="00CE5D13" w:rsidRPr="0085107A" w:rsidRDefault="00CE5D13" w:rsidP="004746CE">
      <w:pPr>
        <w:pStyle w:val="BodyText"/>
      </w:pPr>
      <w:r w:rsidRPr="0085107A">
        <w:t>The child’s parents jointly exercise the parental authority over the child. An action can however be filed by one of the parents as the law presumes that, in this case, the parent acts in agreement with the other parent. The principle of joint parental authority and presumption of agreement to act applies also to parents who do not live together. In case of disagreement between the parents over the parental authority, the Youth Tribunal is competent to authorise either parent to act</w:t>
      </w:r>
      <w:r w:rsidRPr="0085107A">
        <w:rPr>
          <w:rStyle w:val="FootnoteReference"/>
          <w:bCs/>
        </w:rPr>
        <w:footnoteReference w:id="49"/>
      </w:r>
      <w:r w:rsidRPr="0085107A">
        <w:t xml:space="preserve">.  </w:t>
      </w:r>
    </w:p>
    <w:p w14:paraId="07121B41" w14:textId="77777777" w:rsidR="00CE5D13" w:rsidRPr="0085107A" w:rsidRDefault="00CE5D13" w:rsidP="004746CE">
      <w:pPr>
        <w:pStyle w:val="BodyText"/>
      </w:pPr>
      <w:r w:rsidRPr="0085107A">
        <w:t xml:space="preserve">In the event of a conflict of interests between the child and his/her parents, the Civil Magistrate Court may appoint a guardian ad litem upon request of any interested party or </w:t>
      </w:r>
      <w:r w:rsidRPr="0085107A">
        <w:rPr>
          <w:i/>
        </w:rPr>
        <w:t>ex officio</w:t>
      </w:r>
      <w:r w:rsidRPr="0085107A">
        <w:rPr>
          <w:rStyle w:val="FootnoteReference"/>
          <w:bCs/>
          <w:i/>
        </w:rPr>
        <w:footnoteReference w:id="50"/>
      </w:r>
      <w:r w:rsidRPr="0085107A">
        <w:t>. The child does not have the legal capacity to act and therefore to petition a court in his/her own right. Some courts have recognised the ability of the child him/herself to petition for the appointment of a guardian ad litem in emergency cases and for conservatory measures</w:t>
      </w:r>
      <w:r w:rsidRPr="0085107A">
        <w:rPr>
          <w:rStyle w:val="FootnoteReference"/>
          <w:bCs/>
        </w:rPr>
        <w:footnoteReference w:id="51"/>
      </w:r>
      <w:r w:rsidRPr="0085107A">
        <w:t>. The child may nevertheless contact the crown prosecutor’s office, which then may initiate the proceedings.</w:t>
      </w:r>
    </w:p>
    <w:p w14:paraId="5CAC4F39" w14:textId="7BC5AF8E" w:rsidR="00CE5D13" w:rsidRPr="0085107A" w:rsidRDefault="00CE5D13" w:rsidP="004746CE">
      <w:pPr>
        <w:pStyle w:val="BodyText"/>
      </w:pPr>
      <w:r w:rsidRPr="0085107A">
        <w:t>Children fall under parental authority until the age of 18 years old, or their emancipation</w:t>
      </w:r>
      <w:r w:rsidRPr="0085107A">
        <w:rPr>
          <w:rStyle w:val="FootnoteReference"/>
          <w:bCs/>
        </w:rPr>
        <w:footnoteReference w:id="52"/>
      </w:r>
      <w:r w:rsidRPr="0085107A">
        <w:t>. The child turning 18 years old (hence, reaching the majority age) does not interrupt judicial proceedings. The competent judge may simply acknowledge that a person reached 18 years of age and as a result the legal representatives lose their right to represent the child without suspending or interrupting the proceedings</w:t>
      </w:r>
      <w:r w:rsidRPr="0085107A">
        <w:rPr>
          <w:rStyle w:val="FootnoteReference"/>
          <w:bCs/>
        </w:rPr>
        <w:footnoteReference w:id="53"/>
      </w:r>
      <w:r w:rsidRPr="0085107A">
        <w:t>.</w:t>
      </w:r>
    </w:p>
    <w:p w14:paraId="596829E7" w14:textId="77777777" w:rsidR="00CE5D13" w:rsidRPr="0085107A" w:rsidRDefault="00CE5D13" w:rsidP="004746CE">
      <w:pPr>
        <w:pStyle w:val="BodyText"/>
        <w:rPr>
          <w:b/>
          <w:i/>
        </w:rPr>
      </w:pPr>
      <w:r w:rsidRPr="0085107A">
        <w:t xml:space="preserve">A child in need of assistance can, by him/herself contact, authorities and the authorities or crown prosecutor can bring the matter before the competent judge (see below ‘protection cases’). See the administrative proceedings report for further details. </w:t>
      </w:r>
    </w:p>
    <w:p w14:paraId="04DA4805" w14:textId="77777777" w:rsidR="00CE5D13" w:rsidRPr="00A1210C" w:rsidRDefault="00CE5D13" w:rsidP="00B93831">
      <w:pPr>
        <w:pStyle w:val="Heading3NoNumb"/>
        <w:ind w:firstLine="851"/>
      </w:pPr>
      <w:bookmarkStart w:id="71" w:name="_Toc409790469"/>
      <w:r w:rsidRPr="00A1210C">
        <w:t>Disposition of goods</w:t>
      </w:r>
      <w:bookmarkEnd w:id="71"/>
    </w:p>
    <w:p w14:paraId="45098B42" w14:textId="77777777" w:rsidR="00CE5D13" w:rsidRPr="0085107A" w:rsidRDefault="00CE5D13" w:rsidP="004746CE">
      <w:pPr>
        <w:pStyle w:val="BodyText"/>
      </w:pPr>
      <w:r w:rsidRPr="0085107A">
        <w:t>The child needs the consent of his/her legal representatives for most acts including the disposition of his/her goods. For daily acts, such as buying food or clothes, the consent of the child’s legal representative is considered implicit</w:t>
      </w:r>
      <w:r w:rsidRPr="0085107A">
        <w:rPr>
          <w:rStyle w:val="FootnoteReference"/>
          <w:bCs/>
        </w:rPr>
        <w:footnoteReference w:id="54"/>
      </w:r>
      <w:r w:rsidRPr="0085107A">
        <w:t>. For more important acts, such as the opening of a bank account and the withdrawal of money from a bank account, a child of 12 years of age or above will need the explicit consent of his/her legal representative. From the age of 16 years, the child can withdraw money from his/her own bank account (up to around EUR 125 per month) without the consent of his/her legal representative, or the child can withdraw without limit with the explicit consent of his/her legal representatives</w:t>
      </w:r>
      <w:r w:rsidRPr="0085107A">
        <w:rPr>
          <w:rStyle w:val="FootnoteReference"/>
          <w:bCs/>
        </w:rPr>
        <w:footnoteReference w:id="55"/>
      </w:r>
      <w:r w:rsidRPr="0085107A">
        <w:t>.</w:t>
      </w:r>
    </w:p>
    <w:p w14:paraId="1A303999" w14:textId="77777777" w:rsidR="00CE5D13" w:rsidRPr="0085107A" w:rsidRDefault="00CE5D13" w:rsidP="004746CE">
      <w:pPr>
        <w:pStyle w:val="BodyText"/>
      </w:pPr>
      <w:r w:rsidRPr="0085107A">
        <w:t>The case-law has recognised the ability of the child to take action for the conservation of his/her properties, such as precautionary seizure. However, there is no uniform case-law on this issue</w:t>
      </w:r>
      <w:r w:rsidRPr="0085107A">
        <w:rPr>
          <w:rStyle w:val="FootnoteReference"/>
          <w:bCs/>
        </w:rPr>
        <w:footnoteReference w:id="56"/>
      </w:r>
      <w:r w:rsidRPr="0085107A">
        <w:t>.</w:t>
      </w:r>
    </w:p>
    <w:p w14:paraId="471E5529" w14:textId="77777777" w:rsidR="00CE5D13" w:rsidRPr="00A1210C" w:rsidRDefault="00CE5D13" w:rsidP="00B93831">
      <w:pPr>
        <w:pStyle w:val="Heading3NoNumb"/>
        <w:ind w:firstLine="851"/>
      </w:pPr>
      <w:bookmarkStart w:id="72" w:name="_Toc409790470"/>
      <w:r w:rsidRPr="00A1210C">
        <w:lastRenderedPageBreak/>
        <w:t>Labour law</w:t>
      </w:r>
      <w:bookmarkEnd w:id="72"/>
    </w:p>
    <w:p w14:paraId="71B5D0AC" w14:textId="77777777" w:rsidR="00CE5D13" w:rsidRPr="0085107A" w:rsidRDefault="00CE5D13" w:rsidP="004746CE">
      <w:pPr>
        <w:pStyle w:val="BodyText"/>
      </w:pPr>
      <w:r w:rsidRPr="0085107A">
        <w:t>The child of 16 years of age can validly enter into an employment contract with the explicit or implicit consent of his/her legal representatives or with the authorisation of the Youth Tribunal</w:t>
      </w:r>
      <w:r w:rsidRPr="0085107A">
        <w:rPr>
          <w:rStyle w:val="FootnoteReference"/>
          <w:bCs/>
        </w:rPr>
        <w:footnoteReference w:id="57"/>
      </w:r>
      <w:r w:rsidRPr="0085107A">
        <w:t>. The child may receive a salary, unless his/her legal representative opposes it.</w:t>
      </w:r>
    </w:p>
    <w:p w14:paraId="67133AF6" w14:textId="77777777" w:rsidR="00CE5D13" w:rsidRPr="0085107A" w:rsidRDefault="00CE5D13" w:rsidP="004746CE">
      <w:pPr>
        <w:pStyle w:val="BodyText"/>
      </w:pPr>
      <w:r w:rsidRPr="0085107A">
        <w:t>The Labour Tribunal can hear cases involving the child’s employment contract. The child will be represented by his/her legal representative or guardian ad litem appointed by the judge</w:t>
      </w:r>
      <w:r w:rsidRPr="0085107A">
        <w:rPr>
          <w:rStyle w:val="FootnoteReference"/>
          <w:bCs/>
        </w:rPr>
        <w:footnoteReference w:id="58"/>
      </w:r>
      <w:r w:rsidRPr="0085107A">
        <w:t xml:space="preserve">. Despite the lack of procedural capacity of the child, the case-law has established that Labour Courts may accept cases filed by children. As long as the opposing party does not raise the issue of the procedural incapacity of the child, the court will have to carry out the proceeding and decide over the case. The </w:t>
      </w:r>
      <w:r>
        <w:t>judgement</w:t>
      </w:r>
      <w:r w:rsidRPr="0085107A">
        <w:t xml:space="preserve"> of the court must be considered valid</w:t>
      </w:r>
      <w:r w:rsidRPr="0085107A">
        <w:rPr>
          <w:rStyle w:val="FootnoteReference"/>
          <w:bCs/>
        </w:rPr>
        <w:footnoteReference w:id="59"/>
      </w:r>
      <w:r w:rsidRPr="0085107A">
        <w:t>.</w:t>
      </w:r>
    </w:p>
    <w:p w14:paraId="6959B6F1" w14:textId="0286DE2B" w:rsidR="002E0212" w:rsidRPr="00A1210C" w:rsidRDefault="00CE5D13" w:rsidP="00B93831">
      <w:pPr>
        <w:pStyle w:val="Heading3NoNumb"/>
        <w:ind w:firstLine="851"/>
      </w:pPr>
      <w:bookmarkStart w:id="73" w:name="_Toc409790471"/>
      <w:r w:rsidRPr="00A1210C">
        <w:t>Precautionary/interim measures</w:t>
      </w:r>
      <w:bookmarkEnd w:id="73"/>
    </w:p>
    <w:p w14:paraId="2B884E72" w14:textId="0B05C674" w:rsidR="002E0212" w:rsidRPr="002E0212" w:rsidRDefault="00CE5D13" w:rsidP="00A1210C">
      <w:pPr>
        <w:pStyle w:val="BodyText"/>
      </w:pPr>
      <w:r w:rsidRPr="0085107A">
        <w:t>The above mentioned general rules apply to requesting precautionary/interim measures.</w:t>
      </w:r>
      <w:r w:rsidRPr="0085107A" w:rsidDel="006A3AC7">
        <w:rPr>
          <w:rStyle w:val="CommentReference"/>
          <w:szCs w:val="20"/>
        </w:rPr>
        <w:t xml:space="preserve"> </w:t>
      </w:r>
      <w:r w:rsidRPr="002E0212">
        <w:t>Rules applicable to precautionary and interim measures are also described under Section 3.4.</w:t>
      </w:r>
    </w:p>
    <w:p w14:paraId="61583E93" w14:textId="779B17C5" w:rsidR="00CE5D13" w:rsidRPr="00A1210C" w:rsidRDefault="002E0212" w:rsidP="00A1210C">
      <w:pPr>
        <w:pStyle w:val="BodyText"/>
        <w:rPr>
          <w:rFonts w:ascii="Calibri" w:eastAsiaTheme="majorEastAsia" w:hAnsi="Calibri" w:cstheme="majorBidi"/>
          <w:b/>
          <w:bCs/>
          <w:i/>
          <w:iCs/>
          <w:color w:val="0067AC"/>
          <w:sz w:val="22"/>
        </w:rPr>
      </w:pPr>
      <w:r w:rsidRPr="00A1210C">
        <w:rPr>
          <w:rFonts w:ascii="Calibri" w:eastAsiaTheme="majorEastAsia" w:hAnsi="Calibri" w:cstheme="majorBidi"/>
          <w:b/>
          <w:bCs/>
          <w:i/>
          <w:iCs/>
          <w:color w:val="0067AC"/>
          <w:sz w:val="22"/>
        </w:rPr>
        <w:t>The child as a defendant</w:t>
      </w:r>
    </w:p>
    <w:p w14:paraId="0419791E" w14:textId="77777777" w:rsidR="002E0212" w:rsidRPr="0085107A" w:rsidRDefault="002E0212" w:rsidP="00A1210C">
      <w:pPr>
        <w:pStyle w:val="BodyText"/>
      </w:pPr>
      <w:r w:rsidRPr="00EE7230">
        <w:t>As far as civil liability disputes are concerned, a child cannot be sued for the consequences of his/her actions.</w:t>
      </w:r>
      <w:r w:rsidRPr="0085107A">
        <w:t xml:space="preserve"> Both parents are held liable for the actions of children under their authority. To bypass their liability, parents and legal representatives must provide the evidence that they could not have prevented the act which led to the damage caused</w:t>
      </w:r>
      <w:r w:rsidRPr="0085107A">
        <w:rPr>
          <w:rStyle w:val="FootnoteReference"/>
          <w:bCs/>
        </w:rPr>
        <w:footnoteReference w:id="60"/>
      </w:r>
      <w:r w:rsidRPr="0085107A">
        <w:t>. As a result, the parents or legal representatives will be sued for the consequences of their child’s actions. However, if a child of 15 years of age and above has been emancipated, he/she can be held liable and sued</w:t>
      </w:r>
      <w:r w:rsidRPr="0085107A">
        <w:rPr>
          <w:rStyle w:val="FootnoteReference"/>
          <w:bCs/>
        </w:rPr>
        <w:footnoteReference w:id="61"/>
      </w:r>
      <w:r w:rsidRPr="0085107A">
        <w:t>.</w:t>
      </w:r>
    </w:p>
    <w:p w14:paraId="604838AE" w14:textId="77777777" w:rsidR="002E0212" w:rsidRPr="0085107A" w:rsidRDefault="002E0212" w:rsidP="00A1210C">
      <w:pPr>
        <w:pStyle w:val="BodyText"/>
      </w:pPr>
      <w:r w:rsidRPr="0085107A">
        <w:t>In other types of judicial actions, the same rules apply to child defendants in judicial proceedings as to child plaintiffs. Children do not have the legal capacity to act and therefore they are represented by their legal representatives, parents or guardian, who will act during the proceedings on their behalf.</w:t>
      </w:r>
    </w:p>
    <w:p w14:paraId="4DB361AC" w14:textId="77777777" w:rsidR="002E0212" w:rsidRPr="00A1210C" w:rsidRDefault="002E0212" w:rsidP="00A1210C">
      <w:pPr>
        <w:pStyle w:val="BodyText"/>
        <w:rPr>
          <w:rFonts w:ascii="Calibri" w:eastAsiaTheme="majorEastAsia" w:hAnsi="Calibri" w:cstheme="majorBidi"/>
          <w:b/>
          <w:bCs/>
          <w:i/>
          <w:iCs/>
          <w:color w:val="0067AC"/>
          <w:sz w:val="22"/>
        </w:rPr>
      </w:pPr>
      <w:r w:rsidRPr="00A1210C">
        <w:rPr>
          <w:rFonts w:ascii="Calibri" w:eastAsiaTheme="majorEastAsia" w:hAnsi="Calibri" w:cstheme="majorBidi"/>
          <w:b/>
          <w:bCs/>
          <w:i/>
          <w:iCs/>
          <w:color w:val="0067AC"/>
          <w:sz w:val="22"/>
        </w:rPr>
        <w:t>The child as a witness</w:t>
      </w:r>
    </w:p>
    <w:p w14:paraId="75B6E3FD" w14:textId="77777777" w:rsidR="002E0212" w:rsidRPr="0085107A" w:rsidRDefault="002E0212" w:rsidP="00A1210C">
      <w:pPr>
        <w:pStyle w:val="BodyText"/>
      </w:pPr>
      <w:r w:rsidRPr="0085107A">
        <w:t xml:space="preserve">A child can be a witness in civil judicial proceedings and testify. However, a child under 15 years of age cannot be heard under oath. The child’s declaration will be collected as information only. Child witnesses cannot be considered as parties to civil judicial proceedings (See further details in </w:t>
      </w:r>
      <w:hyperlink w:anchor="_Right_to_be" w:history="1">
        <w:r w:rsidRPr="0085107A">
          <w:rPr>
            <w:rStyle w:val="Hyperlink"/>
            <w:rFonts w:cs="Arial"/>
          </w:rPr>
          <w:t>Section 3.6</w:t>
        </w:r>
      </w:hyperlink>
      <w:r w:rsidRPr="0085107A">
        <w:t>).</w:t>
      </w:r>
    </w:p>
    <w:p w14:paraId="04555F51" w14:textId="77777777" w:rsidR="002E0212" w:rsidRPr="0085107A" w:rsidRDefault="002E0212" w:rsidP="00A1210C">
      <w:pPr>
        <w:pStyle w:val="BodyText"/>
      </w:pPr>
      <w:r w:rsidRPr="00EE7230">
        <w:t>When a hearing is ordered by the judge, the child may refuse to testify</w:t>
      </w:r>
      <w:r w:rsidRPr="00EE7230">
        <w:rPr>
          <w:rStyle w:val="FootnoteReference"/>
        </w:rPr>
        <w:footnoteReference w:id="62"/>
      </w:r>
      <w:r w:rsidRPr="00EE7230">
        <w:t>. The child may refuse to testify on the grounds that his/her hearing would be against his/her ancestors’ interests</w:t>
      </w:r>
      <w:r w:rsidRPr="00EE7230">
        <w:rPr>
          <w:rStyle w:val="FootnoteReference"/>
        </w:rPr>
        <w:footnoteReference w:id="63"/>
      </w:r>
      <w:r w:rsidRPr="00EE7230">
        <w:t>.</w:t>
      </w:r>
    </w:p>
    <w:p w14:paraId="5A366A62" w14:textId="77777777" w:rsidR="002E0212" w:rsidRPr="0085107A" w:rsidRDefault="002E0212" w:rsidP="00A1210C">
      <w:pPr>
        <w:pStyle w:val="BodyText"/>
      </w:pPr>
      <w:r w:rsidRPr="0085107A">
        <w:t xml:space="preserve">There are no legal provisions requiring the agreement of the parent or guardian for the participation of the child as a witness. </w:t>
      </w:r>
    </w:p>
    <w:p w14:paraId="749C2823" w14:textId="77777777" w:rsidR="002E0212" w:rsidRPr="0085107A" w:rsidRDefault="002E0212" w:rsidP="00A1210C">
      <w:pPr>
        <w:pStyle w:val="BodyText"/>
      </w:pPr>
      <w:r w:rsidRPr="0085107A">
        <w:t>The child in any other role</w:t>
      </w:r>
    </w:p>
    <w:p w14:paraId="25BCAE31" w14:textId="77777777" w:rsidR="002E0212" w:rsidRPr="0085107A" w:rsidRDefault="002E0212" w:rsidP="00A1210C">
      <w:pPr>
        <w:pStyle w:val="BodyText"/>
      </w:pPr>
      <w:r w:rsidRPr="0085107A">
        <w:t xml:space="preserve">Under Belgian law, children can be involved in civil judicial proceedings in roles other than those of the plaintiff, defendant and witness. Children are typically involved as the subject matters of certain disputes described below. </w:t>
      </w:r>
    </w:p>
    <w:p w14:paraId="527361CB" w14:textId="77777777" w:rsidR="002E0212" w:rsidRPr="00A1210C" w:rsidRDefault="002E0212" w:rsidP="00B93831">
      <w:pPr>
        <w:pStyle w:val="Heading3NoNumb"/>
        <w:ind w:firstLine="851"/>
      </w:pPr>
      <w:bookmarkStart w:id="74" w:name="_Toc409790472"/>
      <w:r w:rsidRPr="00A1210C">
        <w:lastRenderedPageBreak/>
        <w:t>Adoption</w:t>
      </w:r>
      <w:bookmarkEnd w:id="74"/>
    </w:p>
    <w:p w14:paraId="2F7B9A57" w14:textId="77777777" w:rsidR="002E0212" w:rsidRPr="0085107A" w:rsidRDefault="002E0212" w:rsidP="00A1210C">
      <w:pPr>
        <w:pStyle w:val="BodyText"/>
      </w:pPr>
      <w:r w:rsidRPr="0085107A">
        <w:t xml:space="preserve">In adoption proceedings, children are given a more proactive role. A child of 12 years of age or above, must give consent to his/her adoption, unless the child is </w:t>
      </w:r>
      <w:r>
        <w:t xml:space="preserve">declared incompetent, </w:t>
      </w:r>
      <w:r w:rsidRPr="0085107A">
        <w:t>under prolonged minority status (i.e. for children with intellectual disabilities) or does not have a capacity of discernment</w:t>
      </w:r>
      <w:r w:rsidRPr="0085107A">
        <w:rPr>
          <w:rStyle w:val="FootnoteReference"/>
          <w:bCs/>
        </w:rPr>
        <w:footnoteReference w:id="64"/>
      </w:r>
      <w:r w:rsidRPr="0085107A">
        <w:t xml:space="preserve"> (i.e. the child’s ability to judge the consequences of his/her actions, clearly and soundly). </w:t>
      </w:r>
    </w:p>
    <w:p w14:paraId="33DCBD2B" w14:textId="77777777" w:rsidR="002E0212" w:rsidRPr="0085107A" w:rsidRDefault="002E0212" w:rsidP="00A1210C">
      <w:pPr>
        <w:pStyle w:val="BodyText"/>
      </w:pPr>
      <w:r w:rsidRPr="0085107A">
        <w:t>In case the adopting parents request a change in the surname of the child, a child of 12 years of age or above must also consent to this change</w:t>
      </w:r>
      <w:r w:rsidRPr="0085107A">
        <w:rPr>
          <w:rStyle w:val="FootnoteReference"/>
          <w:bCs/>
        </w:rPr>
        <w:footnoteReference w:id="65"/>
      </w:r>
      <w:r w:rsidRPr="0085107A">
        <w:t xml:space="preserve">. </w:t>
      </w:r>
    </w:p>
    <w:p w14:paraId="3651F1FD" w14:textId="77777777" w:rsidR="002E0212" w:rsidRPr="0085107A" w:rsidRDefault="002E0212" w:rsidP="00A1210C">
      <w:pPr>
        <w:pStyle w:val="BodyText"/>
      </w:pPr>
      <w:r w:rsidRPr="0085107A">
        <w:t>For international adoption, a certified copy of the consent to move abroad of a child who is at least 12 years must be provided. This should also state that the child’s consent was given freely, in the required legal form and that the child has not been influenced by payment or compensation of any kind</w:t>
      </w:r>
      <w:r w:rsidRPr="0085107A">
        <w:rPr>
          <w:rStyle w:val="FootnoteReference"/>
          <w:bCs/>
        </w:rPr>
        <w:footnoteReference w:id="66"/>
      </w:r>
      <w:r w:rsidRPr="0085107A">
        <w:t>.</w:t>
      </w:r>
    </w:p>
    <w:p w14:paraId="00BD48D0" w14:textId="77777777" w:rsidR="002E0212" w:rsidRPr="0085107A" w:rsidRDefault="002E0212" w:rsidP="00A1210C">
      <w:pPr>
        <w:pStyle w:val="BodyText"/>
      </w:pPr>
      <w:r w:rsidRPr="0085107A">
        <w:t>For a so-called simple adoption (where the child retains ties with his/her family of origin), the child can request the revocation of the adoption before the Youth Tribunal</w:t>
      </w:r>
      <w:r w:rsidRPr="0085107A">
        <w:rPr>
          <w:rStyle w:val="FootnoteReference"/>
          <w:bCs/>
        </w:rPr>
        <w:footnoteReference w:id="67"/>
      </w:r>
      <w:r w:rsidRPr="0085107A">
        <w:t>.</w:t>
      </w:r>
    </w:p>
    <w:p w14:paraId="789EF521" w14:textId="77777777" w:rsidR="002E0212" w:rsidRPr="0085107A" w:rsidRDefault="002E0212" w:rsidP="00A1210C">
      <w:pPr>
        <w:pStyle w:val="BodyText"/>
      </w:pPr>
      <w:r w:rsidRPr="0085107A">
        <w:t xml:space="preserve">See further details on the child’s right to be heard in adoption proceedings in </w:t>
      </w:r>
      <w:hyperlink w:anchor="_Toc338234115" w:history="1">
        <w:r w:rsidRPr="0085107A">
          <w:rPr>
            <w:rStyle w:val="Hyperlink"/>
            <w:rFonts w:cs="Arial"/>
            <w:bCs/>
          </w:rPr>
          <w:t>Section 3.6</w:t>
        </w:r>
      </w:hyperlink>
      <w:r w:rsidRPr="0085107A">
        <w:t>.</w:t>
      </w:r>
    </w:p>
    <w:p w14:paraId="052EDB38" w14:textId="77777777" w:rsidR="002E0212" w:rsidRPr="002E0212" w:rsidRDefault="002E0212" w:rsidP="00B93831">
      <w:pPr>
        <w:pStyle w:val="Heading3NoNumb"/>
        <w:ind w:firstLine="851"/>
      </w:pPr>
      <w:bookmarkStart w:id="75" w:name="_Toc409790473"/>
      <w:r w:rsidRPr="00A1210C">
        <w:t>Filiation</w:t>
      </w:r>
      <w:bookmarkEnd w:id="75"/>
    </w:p>
    <w:p w14:paraId="719CA578" w14:textId="77777777" w:rsidR="002E0212" w:rsidRPr="0085107A" w:rsidRDefault="002E0212" w:rsidP="00A1210C">
      <w:pPr>
        <w:pStyle w:val="BodyText"/>
      </w:pPr>
      <w:r w:rsidRPr="0085107A">
        <w:t xml:space="preserve">Similarly, the consent of a child of 12 years of age and above is required for the recognition of the filiation by a parent, unless it is deemed that the child </w:t>
      </w:r>
      <w:r>
        <w:t xml:space="preserve">is declared incompetent, </w:t>
      </w:r>
      <w:r w:rsidRPr="0085107A">
        <w:t>under prolonged minority status</w:t>
      </w:r>
      <w:r>
        <w:t>,</w:t>
      </w:r>
      <w:r w:rsidRPr="0085107A">
        <w:t xml:space="preserve"> </w:t>
      </w:r>
      <w:r>
        <w:t xml:space="preserve">or </w:t>
      </w:r>
      <w:r w:rsidRPr="0085107A">
        <w:t>does not have the required discernment</w:t>
      </w:r>
      <w:r w:rsidRPr="0085107A">
        <w:rPr>
          <w:rStyle w:val="FootnoteReference"/>
          <w:bCs/>
        </w:rPr>
        <w:footnoteReference w:id="68"/>
      </w:r>
      <w:r w:rsidRPr="0085107A">
        <w:t>.</w:t>
      </w:r>
    </w:p>
    <w:p w14:paraId="2184DA4A" w14:textId="77777777" w:rsidR="002E0212" w:rsidRPr="0085107A" w:rsidRDefault="002E0212" w:rsidP="00A1210C">
      <w:pPr>
        <w:pStyle w:val="BodyText"/>
      </w:pPr>
      <w:r w:rsidRPr="0085107A">
        <w:t>A child of 12 years of age or above may request the annulment of the filiation recognition. With regard to paternal filiation, the child can file an ‘action in status claim’ (to obtain paternal filiation recognition). These actions will have to be made via the child’s legal representative or in case of conflict of interests by a guardian ad litem</w:t>
      </w:r>
      <w:r w:rsidRPr="0085107A">
        <w:rPr>
          <w:rStyle w:val="FootnoteReference"/>
          <w:bCs/>
        </w:rPr>
        <w:footnoteReference w:id="69"/>
      </w:r>
      <w:r w:rsidRPr="0085107A">
        <w:t xml:space="preserve">. </w:t>
      </w:r>
    </w:p>
    <w:p w14:paraId="00B71FBB" w14:textId="77777777" w:rsidR="002E0212" w:rsidRPr="00A1210C" w:rsidRDefault="002E0212" w:rsidP="00B93831">
      <w:pPr>
        <w:pStyle w:val="Heading3NoNumb"/>
        <w:ind w:firstLine="851"/>
      </w:pPr>
      <w:bookmarkStart w:id="76" w:name="_Toc409790474"/>
      <w:r w:rsidRPr="00A1210C">
        <w:t>Recognition of paternity and maternity</w:t>
      </w:r>
      <w:bookmarkEnd w:id="76"/>
    </w:p>
    <w:p w14:paraId="0C48EA0E" w14:textId="77777777" w:rsidR="002E0212" w:rsidRPr="0085107A" w:rsidRDefault="002E0212" w:rsidP="00A1210C">
      <w:pPr>
        <w:pStyle w:val="BodyText"/>
      </w:pPr>
      <w:r w:rsidRPr="00EE7230">
        <w:t>Lastly, a child of 12 years of age or above must consent to the proceedings on a paternity or maternity search</w:t>
      </w:r>
      <w:r w:rsidRPr="0085107A">
        <w:rPr>
          <w:rStyle w:val="FootnoteReference"/>
          <w:bCs/>
        </w:rPr>
        <w:footnoteReference w:id="70"/>
      </w:r>
      <w:r w:rsidRPr="0085107A">
        <w:t>.</w:t>
      </w:r>
    </w:p>
    <w:p w14:paraId="6447D980" w14:textId="77777777" w:rsidR="002E0212" w:rsidRPr="00A1210C" w:rsidRDefault="002E0212" w:rsidP="00B93831">
      <w:pPr>
        <w:pStyle w:val="Heading3NoNumb"/>
        <w:ind w:firstLine="851"/>
      </w:pPr>
      <w:bookmarkStart w:id="77" w:name="_Toc409790475"/>
      <w:r w:rsidRPr="00A1210C">
        <w:t>Protection cases</w:t>
      </w:r>
      <w:bookmarkEnd w:id="77"/>
    </w:p>
    <w:p w14:paraId="336FF49B" w14:textId="77777777" w:rsidR="002E0212" w:rsidRPr="0085107A" w:rsidRDefault="002E0212" w:rsidP="00A1210C">
      <w:pPr>
        <w:pStyle w:val="BodyText"/>
      </w:pPr>
      <w:r w:rsidRPr="0085107A">
        <w:t>Youth social services provide assistance to children and their family upon request of the child and/or his/her family, upon initiative of the youth service or when the child is referred before the youth services by another service or stakeholder. The child needs to agree on the assistance as it is only provided on a voluntary basis. The youth services aim at preventing that a problem, which can be solved outside judicial proceedings, is sent before a court</w:t>
      </w:r>
      <w:r w:rsidRPr="0085107A">
        <w:rPr>
          <w:rStyle w:val="FootnoteReference"/>
        </w:rPr>
        <w:footnoteReference w:id="71"/>
      </w:r>
      <w:r w:rsidRPr="0085107A">
        <w:t xml:space="preserve">. </w:t>
      </w:r>
    </w:p>
    <w:p w14:paraId="6907AC15" w14:textId="77777777" w:rsidR="002E0212" w:rsidRPr="0085107A" w:rsidRDefault="002E0212" w:rsidP="00A1210C">
      <w:pPr>
        <w:pStyle w:val="BodyText"/>
      </w:pPr>
      <w:r w:rsidRPr="0085107A">
        <w:t xml:space="preserve">If the child refuses the assistance, and the youth social services consider that some protection measures are necessary, the youth social services will bring the case before a youth judge (via the crown prosecutor’s office) who is alone competent to impose forced protection measures. In addition, only a youth judge can order measures such as the placement of the child under the care of someone. A protection case must be brought by the </w:t>
      </w:r>
      <w:r w:rsidRPr="0085107A">
        <w:lastRenderedPageBreak/>
        <w:t>crown prosecutor before the competent youth judge</w:t>
      </w:r>
      <w:r w:rsidRPr="0085107A">
        <w:rPr>
          <w:rStyle w:val="FootnoteReference"/>
          <w:bCs/>
        </w:rPr>
        <w:footnoteReference w:id="72"/>
      </w:r>
      <w:r w:rsidRPr="0085107A">
        <w:t>. A child in need of protection could get in touch with the crown prosecutor’s office which would then bring the case before a youth judge. For more information on youth protection cases, see the children in administrative proceedings report.</w:t>
      </w:r>
    </w:p>
    <w:p w14:paraId="6661904C" w14:textId="77777777" w:rsidR="002E0212" w:rsidRPr="0085107A" w:rsidRDefault="002E0212" w:rsidP="00A1210C">
      <w:pPr>
        <w:pStyle w:val="BodyText"/>
      </w:pPr>
      <w:r w:rsidRPr="00EE7230">
        <w:t>The youth judge may also impose precautionary and interim measures in cases where the child would be urgently in need of protection measures.</w:t>
      </w:r>
      <w:r w:rsidRPr="0085107A">
        <w:t xml:space="preserve"> See more details in </w:t>
      </w:r>
      <w:hyperlink w:anchor="_Protection_from_harm" w:history="1">
        <w:r w:rsidRPr="0085107A">
          <w:rPr>
            <w:rStyle w:val="Hyperlink"/>
            <w:rFonts w:cs="Arial"/>
            <w:bCs/>
          </w:rPr>
          <w:t>Section 3.4</w:t>
        </w:r>
      </w:hyperlink>
      <w:r w:rsidRPr="0085107A">
        <w:t>.</w:t>
      </w:r>
    </w:p>
    <w:p w14:paraId="3B4B1A2D" w14:textId="385FB599" w:rsidR="00AC7914" w:rsidRPr="00A1210C" w:rsidRDefault="002E0212" w:rsidP="00A1210C">
      <w:pPr>
        <w:pStyle w:val="BodyText"/>
      </w:pPr>
      <w:r w:rsidRPr="0085107A">
        <w:t xml:space="preserve">As mentioned previously, a child does not have the legal capacity to act and therefore cannot file an action before a court. </w:t>
      </w:r>
    </w:p>
    <w:p w14:paraId="0658FC42" w14:textId="0B93B6F4" w:rsidR="002E0212" w:rsidRPr="002E0212" w:rsidRDefault="002E0212" w:rsidP="00A1210C">
      <w:pPr>
        <w:pStyle w:val="Heading2"/>
      </w:pPr>
      <w:bookmarkStart w:id="78" w:name="_Toc338234111"/>
      <w:bookmarkStart w:id="79" w:name="_Toc350439426"/>
      <w:bookmarkStart w:id="80" w:name="_Toc409790476"/>
      <w:r w:rsidRPr="0085107A">
        <w:t>Provision of information</w:t>
      </w:r>
      <w:bookmarkEnd w:id="78"/>
      <w:bookmarkEnd w:id="79"/>
      <w:bookmarkEnd w:id="80"/>
    </w:p>
    <w:p w14:paraId="045AD927" w14:textId="4B019904" w:rsidR="002E0212" w:rsidRPr="00A1210C" w:rsidRDefault="002E0212" w:rsidP="00A1210C">
      <w:pPr>
        <w:pStyle w:val="Heading3"/>
      </w:pPr>
      <w:bookmarkStart w:id="81" w:name="_Toc409790477"/>
      <w:r w:rsidRPr="0085107A">
        <w:t>General rules applicable to children involved in civil judicial proceedings regardless of their role</w:t>
      </w:r>
      <w:bookmarkEnd w:id="81"/>
    </w:p>
    <w:p w14:paraId="29198EF4" w14:textId="77777777" w:rsidR="002E0212" w:rsidRPr="0085107A" w:rsidRDefault="002E0212" w:rsidP="00A1210C">
      <w:pPr>
        <w:pStyle w:val="BodyText"/>
        <w:rPr>
          <w:bCs/>
        </w:rPr>
      </w:pPr>
      <w:r w:rsidRPr="0085107A">
        <w:rPr>
          <w:bCs/>
        </w:rPr>
        <w:t>Children and/or their legal representatives can obtain information on civil proceedings and receive assistance from the judicial assistants of the Houses of Justices located in each judicial district or from a legal counsel. Judicial assistants can also refer children and their legal representatives to specialised services and will inform children and their legal representatives on any support services</w:t>
      </w:r>
      <w:r>
        <w:rPr>
          <w:bCs/>
        </w:rPr>
        <w:t xml:space="preserve"> </w:t>
      </w:r>
      <w:r w:rsidRPr="0085107A">
        <w:rPr>
          <w:bCs/>
        </w:rPr>
        <w:t>available to them. In addition, judicial clerks of the Court’s Registry have an obligation to inform any citizen, adult or child, on judicial proceedings and answer their questions on rights, obligations and proceedings. A judicial clerk must provide information in a manner that is as clear as possible so that persons who are not familiar with judicial proceedings can understand it</w:t>
      </w:r>
      <w:r w:rsidRPr="0085107A">
        <w:rPr>
          <w:rStyle w:val="FootnoteReference"/>
          <w:bCs/>
        </w:rPr>
        <w:footnoteReference w:id="73"/>
      </w:r>
      <w:r w:rsidRPr="0085107A">
        <w:rPr>
          <w:bCs/>
        </w:rPr>
        <w:t>. Judicial clerks of the Registry cannot however provide a legal consultation</w:t>
      </w:r>
      <w:r w:rsidRPr="0085107A">
        <w:rPr>
          <w:rStyle w:val="FootnoteReference"/>
          <w:bCs/>
        </w:rPr>
        <w:footnoteReference w:id="74"/>
      </w:r>
      <w:r w:rsidRPr="0085107A">
        <w:rPr>
          <w:bCs/>
        </w:rPr>
        <w:t>. There are no age limits or conditions to access these services.</w:t>
      </w:r>
    </w:p>
    <w:p w14:paraId="548DEA26" w14:textId="77777777" w:rsidR="002E0212" w:rsidRPr="0085107A" w:rsidRDefault="002E0212" w:rsidP="00A1210C">
      <w:pPr>
        <w:pStyle w:val="BodyText"/>
        <w:rPr>
          <w:bCs/>
        </w:rPr>
      </w:pPr>
      <w:r w:rsidRPr="0085107A">
        <w:rPr>
          <w:bCs/>
        </w:rPr>
        <w:t>As for criminal proceedings, in Flanders, the Children’s Rights Shop (</w:t>
      </w:r>
      <w:hyperlink r:id="rId38" w:history="1">
        <w:r w:rsidRPr="0085107A">
          <w:rPr>
            <w:rStyle w:val="Hyperlink"/>
            <w:bCs/>
            <w:i/>
          </w:rPr>
          <w:t>kinderrechtswinkel</w:t>
        </w:r>
      </w:hyperlink>
      <w:r w:rsidRPr="0085107A">
        <w:rPr>
          <w:bCs/>
        </w:rPr>
        <w:t>) and in the French speaking Community, t</w:t>
      </w:r>
      <w:r w:rsidRPr="0085107A">
        <w:t>he service of youth rights (</w:t>
      </w:r>
      <w:hyperlink r:id="rId39" w:history="1">
        <w:r w:rsidRPr="0085107A">
          <w:rPr>
            <w:rStyle w:val="Hyperlink"/>
            <w:rFonts w:cs="Arial"/>
            <w:i/>
          </w:rPr>
          <w:t>service du droit des jeunes</w:t>
        </w:r>
      </w:hyperlink>
      <w:r w:rsidRPr="0085107A">
        <w:t>)</w:t>
      </w:r>
      <w:r w:rsidRPr="0085107A">
        <w:rPr>
          <w:bCs/>
        </w:rPr>
        <w:t xml:space="preserve"> provide legal assistance to the child and his/her family on his/her rights. There are no age limits or conditions to access these services.</w:t>
      </w:r>
    </w:p>
    <w:p w14:paraId="635CA6E5" w14:textId="77777777" w:rsidR="002E0212" w:rsidRPr="0085107A" w:rsidRDefault="002E0212" w:rsidP="00A1210C">
      <w:pPr>
        <w:pStyle w:val="BodyText"/>
      </w:pPr>
      <w:r w:rsidRPr="00EE7230">
        <w:t>For initial free of charge legal advice and information on legal proceedings, children and their legal representatives can turn to primary legal aid, which consists of an initial legal advice or referral to a specialised organisation. It is offered by the House of Justice located in each judicial district, by victim support organisations and the Commission of Legal Aid, where lawyers hold weekly legal aid hours.</w:t>
      </w:r>
    </w:p>
    <w:p w14:paraId="747B7907" w14:textId="77777777" w:rsidR="002E0212" w:rsidRPr="0085107A" w:rsidRDefault="002E0212" w:rsidP="00A1210C">
      <w:pPr>
        <w:pStyle w:val="BodyText"/>
        <w:rPr>
          <w:bCs/>
        </w:rPr>
      </w:pPr>
      <w:r w:rsidRPr="0085107A">
        <w:rPr>
          <w:bCs/>
        </w:rPr>
        <w:t xml:space="preserve">Information on proceedings is also available on the internet at the </w:t>
      </w:r>
      <w:hyperlink r:id="rId40" w:history="1">
        <w:r w:rsidRPr="0085107A">
          <w:rPr>
            <w:rStyle w:val="Hyperlink"/>
            <w:rFonts w:cs="Arial"/>
            <w:bCs/>
          </w:rPr>
          <w:t>Ministry of Justice website</w:t>
        </w:r>
      </w:hyperlink>
      <w:r w:rsidRPr="0085107A">
        <w:rPr>
          <w:bCs/>
        </w:rPr>
        <w:t xml:space="preserve"> and official </w:t>
      </w:r>
      <w:hyperlink r:id="rId41" w:history="1">
        <w:r w:rsidRPr="0085107A">
          <w:rPr>
            <w:rStyle w:val="Hyperlink"/>
            <w:rFonts w:cs="Arial"/>
            <w:bCs/>
          </w:rPr>
          <w:t>Portal Belgium.be website</w:t>
        </w:r>
      </w:hyperlink>
      <w:r w:rsidRPr="0085107A">
        <w:rPr>
          <w:bCs/>
        </w:rPr>
        <w:t>. Specialised services and organisations</w:t>
      </w:r>
      <w:r w:rsidRPr="0085107A">
        <w:rPr>
          <w:rStyle w:val="FootnoteReference"/>
          <w:bCs/>
        </w:rPr>
        <w:footnoteReference w:id="75"/>
      </w:r>
      <w:r w:rsidRPr="0085107A">
        <w:rPr>
          <w:bCs/>
        </w:rPr>
        <w:t xml:space="preserve"> make available child-friendly information on their websites or use some child-friendly leaflets when in contact with children. Some of the materials target different age groups (young children and teenagers). However, there is no generalised practice or requirement in place obliging judicial authorities to make information on proceedings and rights available in a child-friendly format</w:t>
      </w:r>
      <w:r w:rsidRPr="0085107A">
        <w:rPr>
          <w:rStyle w:val="FootnoteReference"/>
          <w:bCs/>
        </w:rPr>
        <w:footnoteReference w:id="76"/>
      </w:r>
      <w:r w:rsidRPr="0085107A">
        <w:rPr>
          <w:bCs/>
        </w:rPr>
        <w:t xml:space="preserve">. </w:t>
      </w:r>
    </w:p>
    <w:p w14:paraId="3FDEF994" w14:textId="77777777" w:rsidR="002E0212" w:rsidRPr="0085107A" w:rsidRDefault="002E0212" w:rsidP="00A1210C">
      <w:pPr>
        <w:pStyle w:val="BodyText"/>
        <w:rPr>
          <w:bCs/>
        </w:rPr>
      </w:pPr>
      <w:r w:rsidRPr="0085107A">
        <w:rPr>
          <w:bCs/>
        </w:rPr>
        <w:t>There are no specific arrangements available for children resident in a different Member State to receive information to protect their best interests</w:t>
      </w:r>
      <w:r w:rsidRPr="0085107A">
        <w:rPr>
          <w:rStyle w:val="FootnoteReference"/>
          <w:bCs/>
        </w:rPr>
        <w:footnoteReference w:id="77"/>
      </w:r>
      <w:r w:rsidRPr="0085107A">
        <w:rPr>
          <w:bCs/>
        </w:rPr>
        <w:t>.</w:t>
      </w:r>
    </w:p>
    <w:p w14:paraId="68197C4E" w14:textId="77777777" w:rsidR="002E0212" w:rsidRPr="0085107A" w:rsidRDefault="002E0212" w:rsidP="00A1210C">
      <w:pPr>
        <w:pStyle w:val="BodyText"/>
        <w:rPr>
          <w:bCs/>
        </w:rPr>
      </w:pPr>
      <w:r w:rsidRPr="0085107A">
        <w:rPr>
          <w:bCs/>
        </w:rPr>
        <w:lastRenderedPageBreak/>
        <w:t>Currently applicable legislation does not provide for the right of children to receive information in their own right. However, nothing prevents the child and his/her legal representative to request information from the</w:t>
      </w:r>
      <w:r>
        <w:rPr>
          <w:bCs/>
        </w:rPr>
        <w:t xml:space="preserve"> </w:t>
      </w:r>
      <w:r w:rsidRPr="0085107A">
        <w:rPr>
          <w:bCs/>
        </w:rPr>
        <w:t>abovementioned authorities or services. It is often understood that the legal counsel will be the one informing children and their legal representatives about their rights and obligations.</w:t>
      </w:r>
    </w:p>
    <w:p w14:paraId="57024CFD" w14:textId="17580719" w:rsidR="002E0212" w:rsidRPr="0085107A" w:rsidRDefault="002E0212" w:rsidP="00A1210C">
      <w:pPr>
        <w:pStyle w:val="Heading4NoNumb"/>
        <w:ind w:left="851"/>
      </w:pPr>
      <w:r w:rsidRPr="0085107A">
        <w:t>The child as a plaintiff</w:t>
      </w:r>
      <w:r>
        <w:t>/complainant</w:t>
      </w:r>
    </w:p>
    <w:p w14:paraId="329581D1" w14:textId="0B1E85AB" w:rsidR="002E0212" w:rsidRPr="0085107A" w:rsidRDefault="002E0212" w:rsidP="00A1210C">
      <w:pPr>
        <w:pStyle w:val="BodyText"/>
        <w:rPr>
          <w:bCs/>
        </w:rPr>
      </w:pPr>
      <w:r w:rsidRPr="0085107A">
        <w:rPr>
          <w:bCs/>
        </w:rPr>
        <w:t xml:space="preserve">Besides the general rules described above, no rules have been identified on the provision of information to children or adults (including parents) on their rights and obligations in civil judicial proceedings. Under currently applicable legislation, the child is not entitled to request information in his/her own right. In practice, children are informed about their rights and obligations via their parents/guardian, who receive information e.g. from their legal counsel. With respect to this point, it is noted that the child’s parents are not under the legal obligation of informing their child, moreover other actors, such as courts, are not under the legal obligation of providing information to children and/or their legal representatives. Hence, the provision of information depends on the diligence of the parents. This implies that information served to the child’s parent serves as an alternative to providing information to the child him/herself. The manner of communicating the information to children is not specified in legislation. Thus it is up to the child’s legal representative or legal counsel to decide on the manner of communicating the information received to the child. </w:t>
      </w:r>
      <w:r>
        <w:rPr>
          <w:bCs/>
        </w:rPr>
        <w:tab/>
      </w:r>
    </w:p>
    <w:p w14:paraId="5F3718E0" w14:textId="3F99D21D" w:rsidR="002E0212" w:rsidRPr="0085107A" w:rsidRDefault="002E0212" w:rsidP="00A1210C">
      <w:pPr>
        <w:pStyle w:val="BodyText"/>
        <w:rPr>
          <w:bCs/>
        </w:rPr>
      </w:pPr>
      <w:r w:rsidRPr="0085107A">
        <w:rPr>
          <w:bCs/>
        </w:rPr>
        <w:t>A child may also obtain information on the proceedings and his/her rights and obligations at the Houses of Justice located in each judicial district. It is important to note that as a result of the child’s lack of legal capacity to act, formally, the child will not be a party to the proceedings, but the child’s legal representative will act on his/her behalf.</w:t>
      </w:r>
    </w:p>
    <w:p w14:paraId="32E8EC4B" w14:textId="15F05281" w:rsidR="00D51AA0" w:rsidRPr="0085107A" w:rsidRDefault="002E0212" w:rsidP="00A1210C">
      <w:pPr>
        <w:pStyle w:val="BodyText"/>
        <w:rPr>
          <w:bCs/>
        </w:rPr>
      </w:pPr>
      <w:r w:rsidRPr="0085107A">
        <w:rPr>
          <w:bCs/>
        </w:rPr>
        <w:t>In case of crime victims seeking compensation via civil action, actors mentioned in the criminal proceedings report, such as the police, will also be involved in the provision of information. Similarly, the legal counsel will be the primary provider of information on the rights and obligations of the child</w:t>
      </w:r>
      <w:r w:rsidR="00D51AA0">
        <w:rPr>
          <w:bCs/>
        </w:rPr>
        <w:t xml:space="preserve"> </w:t>
      </w:r>
      <w:r w:rsidR="00D51AA0" w:rsidRPr="0085107A">
        <w:rPr>
          <w:bCs/>
        </w:rPr>
        <w:t>via his/her legal representative.</w:t>
      </w:r>
    </w:p>
    <w:p w14:paraId="2CBDBA93" w14:textId="77777777" w:rsidR="00D51AA0" w:rsidRPr="0085107A" w:rsidRDefault="00D51AA0" w:rsidP="00A1210C">
      <w:pPr>
        <w:pStyle w:val="BodyText"/>
        <w:rPr>
          <w:bCs/>
        </w:rPr>
      </w:pPr>
      <w:r w:rsidRPr="0085107A">
        <w:rPr>
          <w:bCs/>
        </w:rPr>
        <w:t>The parties are typically informed about judicial actions in form of a subpoena, which is served to them by a bailiff</w:t>
      </w:r>
      <w:r w:rsidRPr="0085107A">
        <w:rPr>
          <w:rStyle w:val="FootnoteReference"/>
          <w:bCs/>
        </w:rPr>
        <w:footnoteReference w:id="78"/>
      </w:r>
      <w:r w:rsidRPr="0085107A">
        <w:rPr>
          <w:bCs/>
        </w:rPr>
        <w:t>. The subpoena must include the names and addresses of the plaintiff and the defendant, the date, the subject of the claim and a summary of the legal arguments and the place, date and time of the hearing</w:t>
      </w:r>
      <w:r w:rsidRPr="0085107A">
        <w:rPr>
          <w:rStyle w:val="FootnoteReference"/>
          <w:bCs/>
        </w:rPr>
        <w:footnoteReference w:id="79"/>
      </w:r>
      <w:r w:rsidRPr="0085107A">
        <w:rPr>
          <w:bCs/>
        </w:rPr>
        <w:t>.</w:t>
      </w:r>
    </w:p>
    <w:p w14:paraId="05AB72FC" w14:textId="77777777" w:rsidR="00D51AA0" w:rsidRPr="0085107A" w:rsidRDefault="00D51AA0" w:rsidP="00A1210C">
      <w:pPr>
        <w:pStyle w:val="BodyText"/>
        <w:rPr>
          <w:bCs/>
        </w:rPr>
      </w:pPr>
      <w:r w:rsidRPr="0085107A">
        <w:rPr>
          <w:bCs/>
        </w:rPr>
        <w:t>The delivery of an original procedural document, including judicial decisions or subpoenas, or the copy thereof, cannot be addressed directly to a child who is under 16 years old, but to his/her parents</w:t>
      </w:r>
      <w:r w:rsidRPr="0085107A">
        <w:rPr>
          <w:rStyle w:val="FootnoteReference"/>
          <w:bCs/>
        </w:rPr>
        <w:footnoteReference w:id="80"/>
      </w:r>
      <w:r w:rsidRPr="0085107A">
        <w:rPr>
          <w:bCs/>
        </w:rPr>
        <w:t>.</w:t>
      </w:r>
    </w:p>
    <w:p w14:paraId="1D66D3A6" w14:textId="77777777" w:rsidR="00D51AA0" w:rsidRPr="0085107A" w:rsidRDefault="00D51AA0" w:rsidP="00A1210C">
      <w:pPr>
        <w:pStyle w:val="BodyText"/>
        <w:rPr>
          <w:bCs/>
        </w:rPr>
      </w:pPr>
      <w:r w:rsidRPr="0085107A">
        <w:rPr>
          <w:bCs/>
        </w:rPr>
        <w:t xml:space="preserve">At the end of the proceedings, to be valid, the </w:t>
      </w:r>
      <w:r>
        <w:rPr>
          <w:bCs/>
        </w:rPr>
        <w:t>judgement</w:t>
      </w:r>
      <w:r w:rsidRPr="0085107A">
        <w:rPr>
          <w:bCs/>
        </w:rPr>
        <w:t xml:space="preserve"> must contain the following information in addition to the reasoning of the decision and conclusions:</w:t>
      </w:r>
    </w:p>
    <w:p w14:paraId="0CD25BF1" w14:textId="32106147" w:rsidR="00D51AA0" w:rsidRPr="0085107A" w:rsidRDefault="00D51AA0" w:rsidP="00A1210C">
      <w:pPr>
        <w:pStyle w:val="BTNumbList"/>
      </w:pPr>
      <w:r w:rsidRPr="0085107A">
        <w:t xml:space="preserve">the judge or the court that issued it, the names of the judges who sat at the hearing, the crown prosecutor who advised and the clerk who attended the delivery of the </w:t>
      </w:r>
      <w:r>
        <w:t>judgement</w:t>
      </w:r>
      <w:r w:rsidRPr="0085107A">
        <w:t>;</w:t>
      </w:r>
    </w:p>
    <w:p w14:paraId="7D1DD319" w14:textId="081F4114" w:rsidR="00D51AA0" w:rsidRPr="0085107A" w:rsidRDefault="00D51AA0" w:rsidP="00A1210C">
      <w:pPr>
        <w:pStyle w:val="BTNumbList"/>
      </w:pPr>
      <w:r w:rsidRPr="0085107A">
        <w:t>the name and address of the parties;</w:t>
      </w:r>
    </w:p>
    <w:p w14:paraId="7C386485" w14:textId="39709F6F" w:rsidR="00D51AA0" w:rsidRPr="0085107A" w:rsidRDefault="00D51AA0" w:rsidP="00A1210C">
      <w:pPr>
        <w:pStyle w:val="BTNumbList"/>
      </w:pPr>
      <w:r w:rsidRPr="0085107A">
        <w:t>the purpose of the claim and the response to the conclusions and arguments of the parties;</w:t>
      </w:r>
    </w:p>
    <w:p w14:paraId="1A754345" w14:textId="30A13978" w:rsidR="00D51AA0" w:rsidRPr="0085107A" w:rsidRDefault="00D51AA0" w:rsidP="00A1210C">
      <w:pPr>
        <w:pStyle w:val="BTNumbList"/>
      </w:pPr>
      <w:r w:rsidRPr="0085107A">
        <w:t>reference to the opinion of the crown prosecutor;</w:t>
      </w:r>
    </w:p>
    <w:p w14:paraId="1FA278C6" w14:textId="342689C2" w:rsidR="00D51AA0" w:rsidRPr="0085107A" w:rsidRDefault="00D51AA0" w:rsidP="00A1210C">
      <w:pPr>
        <w:pStyle w:val="BTNumbList"/>
      </w:pPr>
      <w:r w:rsidRPr="0085107A">
        <w:t xml:space="preserve">the reference and date of the public hearing pronouncing the </w:t>
      </w:r>
      <w:r>
        <w:t>judgement</w:t>
      </w:r>
      <w:r w:rsidRPr="0085107A">
        <w:t>.</w:t>
      </w:r>
    </w:p>
    <w:p w14:paraId="36FFFB14" w14:textId="77777777" w:rsidR="00D51AA0" w:rsidRPr="0085107A" w:rsidRDefault="00D51AA0" w:rsidP="00A1210C">
      <w:pPr>
        <w:pStyle w:val="BTNumbList"/>
      </w:pPr>
      <w:r w:rsidRPr="0085107A">
        <w:t xml:space="preserve">The </w:t>
      </w:r>
      <w:r>
        <w:t>judgement</w:t>
      </w:r>
      <w:r w:rsidRPr="0085107A">
        <w:t xml:space="preserve"> must also mention, where applicable, the names of the legal counsels</w:t>
      </w:r>
      <w:r w:rsidRPr="0085107A">
        <w:rPr>
          <w:rStyle w:val="FootnoteReference"/>
          <w:bCs/>
        </w:rPr>
        <w:footnoteReference w:id="81"/>
      </w:r>
      <w:r w:rsidRPr="0085107A">
        <w:t>.</w:t>
      </w:r>
    </w:p>
    <w:p w14:paraId="154FFC1E" w14:textId="77777777" w:rsidR="00D51AA0" w:rsidRPr="0085107A" w:rsidRDefault="00D51AA0" w:rsidP="00A1210C">
      <w:pPr>
        <w:pStyle w:val="BodyText"/>
      </w:pPr>
      <w:r w:rsidRPr="0085107A">
        <w:t xml:space="preserve">Within eight days from the issuance of the </w:t>
      </w:r>
      <w:r>
        <w:t>judgement</w:t>
      </w:r>
      <w:r w:rsidRPr="0085107A">
        <w:t xml:space="preserve">, the clerk must send an unsigned copy of the </w:t>
      </w:r>
      <w:r>
        <w:t>judgement</w:t>
      </w:r>
      <w:r w:rsidRPr="0085107A">
        <w:t xml:space="preserve"> by simple letter to each party or, where appropriate, their legal counsels. For certain cases before the Labour Court and in matters of adoption, the clerk must notify the parties or the parties’ legal counsels or representatives, of the decision by a judicial letter </w:t>
      </w:r>
      <w:r w:rsidRPr="0085107A">
        <w:lastRenderedPageBreak/>
        <w:t>sent within eight days. As referred to above, court decisions are typically not served to the child directly.</w:t>
      </w:r>
    </w:p>
    <w:p w14:paraId="3887DA2C" w14:textId="77777777" w:rsidR="00D51AA0" w:rsidRPr="0085107A" w:rsidRDefault="00D51AA0" w:rsidP="00A1210C">
      <w:pPr>
        <w:pStyle w:val="BodyText"/>
      </w:pPr>
      <w:r w:rsidRPr="0085107A">
        <w:t>To be valid, the letter must mention the remedies available, the timeframe within which the appeal should be introduced as well as the name and address of the court having jurisdiction</w:t>
      </w:r>
      <w:r w:rsidRPr="0085107A">
        <w:rPr>
          <w:rStyle w:val="FootnoteReference"/>
          <w:bCs/>
        </w:rPr>
        <w:footnoteReference w:id="82"/>
      </w:r>
      <w:r w:rsidRPr="0085107A">
        <w:t>.</w:t>
      </w:r>
    </w:p>
    <w:p w14:paraId="4EC9AA91" w14:textId="77777777" w:rsidR="00D51AA0" w:rsidRPr="0085107A" w:rsidRDefault="00D51AA0" w:rsidP="00A1210C">
      <w:pPr>
        <w:pStyle w:val="BodyText"/>
      </w:pPr>
      <w:r w:rsidRPr="0085107A">
        <w:t>It is required that a copy of any decision taken by the Youth Tribunal in first instance or appeal will be provided to the child’s legal counsel on the day when the decision was taken</w:t>
      </w:r>
      <w:r w:rsidRPr="0085107A">
        <w:rPr>
          <w:rStyle w:val="FootnoteReference"/>
          <w:bCs/>
        </w:rPr>
        <w:footnoteReference w:id="83"/>
      </w:r>
      <w:r w:rsidRPr="0085107A">
        <w:t>.</w:t>
      </w:r>
    </w:p>
    <w:p w14:paraId="29A15BB0" w14:textId="77777777" w:rsidR="00D51AA0" w:rsidRPr="00A1210C" w:rsidRDefault="00D51AA0" w:rsidP="00A1210C">
      <w:pPr>
        <w:pStyle w:val="BodyText"/>
        <w:rPr>
          <w:rFonts w:ascii="Calibri" w:eastAsiaTheme="majorEastAsia" w:hAnsi="Calibri" w:cstheme="majorBidi"/>
          <w:b/>
          <w:bCs/>
          <w:i/>
          <w:iCs/>
          <w:color w:val="0067AC"/>
          <w:sz w:val="22"/>
        </w:rPr>
      </w:pPr>
      <w:r w:rsidRPr="00A1210C">
        <w:rPr>
          <w:rFonts w:ascii="Calibri" w:eastAsiaTheme="majorEastAsia" w:hAnsi="Calibri" w:cstheme="majorBidi"/>
          <w:b/>
          <w:bCs/>
          <w:i/>
          <w:iCs/>
          <w:color w:val="0067AC"/>
          <w:sz w:val="22"/>
        </w:rPr>
        <w:t>The child as a defendant</w:t>
      </w:r>
    </w:p>
    <w:p w14:paraId="2E472EB4" w14:textId="77777777" w:rsidR="00D51AA0" w:rsidRPr="0085107A" w:rsidRDefault="00D51AA0" w:rsidP="00A1210C">
      <w:pPr>
        <w:pStyle w:val="BodyText"/>
      </w:pPr>
      <w:r w:rsidRPr="0085107A">
        <w:t>The same rules apply to child defendants as to child plaintiffs. It is important to note that as a result of the child’s lack of legal capacity to act, the child will be represented by his/her legal representative.</w:t>
      </w:r>
    </w:p>
    <w:p w14:paraId="7BD778F8" w14:textId="77777777" w:rsidR="00D51AA0" w:rsidRPr="00A1210C" w:rsidRDefault="00D51AA0" w:rsidP="00A1210C">
      <w:pPr>
        <w:pStyle w:val="BodyText"/>
        <w:rPr>
          <w:rFonts w:ascii="Calibri" w:eastAsiaTheme="majorEastAsia" w:hAnsi="Calibri" w:cstheme="majorBidi"/>
          <w:b/>
          <w:bCs/>
          <w:i/>
          <w:iCs/>
          <w:color w:val="0067AC"/>
          <w:sz w:val="22"/>
        </w:rPr>
      </w:pPr>
      <w:r w:rsidRPr="00A1210C">
        <w:rPr>
          <w:rFonts w:ascii="Calibri" w:eastAsiaTheme="majorEastAsia" w:hAnsi="Calibri" w:cstheme="majorBidi"/>
          <w:b/>
          <w:bCs/>
          <w:i/>
          <w:iCs/>
          <w:color w:val="0067AC"/>
          <w:sz w:val="22"/>
        </w:rPr>
        <w:t>The child as a witness</w:t>
      </w:r>
    </w:p>
    <w:p w14:paraId="1448AA2C" w14:textId="77777777" w:rsidR="00D51AA0" w:rsidRPr="0085107A" w:rsidRDefault="00D51AA0" w:rsidP="00A1210C">
      <w:pPr>
        <w:pStyle w:val="BodyText"/>
      </w:pPr>
      <w:r w:rsidRPr="0085107A">
        <w:t xml:space="preserve">Child witnesses are informed about court hearings in the form of subpoenas sent by the clerk, at least eight days prior to their hearing. The subpoenas are served to the child directly if he/she is over 16 years old, whereas the subpoena is addressed to the child’s legal representative if he/she is under 16 years old. The subpoena contains information about the facts of the case admitted by the court, and the place and time of the hearing. In addition, the subpoena includes the legal provisions of the </w:t>
      </w:r>
      <w:hyperlink r:id="rId42" w:history="1">
        <w:r w:rsidRPr="0085107A">
          <w:rPr>
            <w:rStyle w:val="Hyperlink"/>
            <w:rFonts w:cs="Arial"/>
          </w:rPr>
          <w:t>Judicial Code</w:t>
        </w:r>
      </w:hyperlink>
      <w:r w:rsidRPr="0085107A">
        <w:t xml:space="preserve"> with regard to the rights of the witness (including the right of the child to refuse to be heard). Child witnesses may also be requested to testify in form of a simple warning. </w:t>
      </w:r>
    </w:p>
    <w:p w14:paraId="06B4025B" w14:textId="42CB20A5" w:rsidR="00A1210C" w:rsidRDefault="00D51AA0" w:rsidP="00A1210C">
      <w:pPr>
        <w:pStyle w:val="BodyText"/>
      </w:pPr>
      <w:r w:rsidRPr="0085107A">
        <w:t xml:space="preserve">It is not a legal requirement under Belgian law to inform the witnesses about their rights and obligations prior to their hearing. So as with adults, child witnesses are not necessarily informed about the final court decisions. They might learn about the court decision, if they attend the trial when the court announces its decision. </w:t>
      </w:r>
    </w:p>
    <w:p w14:paraId="244AA906" w14:textId="77777777" w:rsidR="00D51AA0" w:rsidRPr="0085107A" w:rsidRDefault="00D51AA0" w:rsidP="00A1210C">
      <w:pPr>
        <w:pStyle w:val="BodyText"/>
      </w:pPr>
      <w:r w:rsidRPr="0085107A">
        <w:t xml:space="preserve">Witnesses are not provided with the status of a party in judicial proceedings. Besides the above, there are no rules on the provision of information to witnesses. Children cannot exercise the rights referred to under the general rules in their own right, as they lack full legal capacity to act. It is their legal representative who exercises the child’s rights on his/her behalf. </w:t>
      </w:r>
    </w:p>
    <w:p w14:paraId="5F4303E6" w14:textId="77777777" w:rsidR="00D51AA0" w:rsidRPr="0085107A" w:rsidRDefault="00D51AA0" w:rsidP="00A1210C">
      <w:pPr>
        <w:pStyle w:val="BodyText"/>
      </w:pPr>
      <w:r w:rsidRPr="0085107A">
        <w:t xml:space="preserve">Finally it is noted that it is not a legal requirement to formulate subpoenas and court-decision in a child-friendly manner. </w:t>
      </w:r>
    </w:p>
    <w:p w14:paraId="28F97BA7" w14:textId="77777777" w:rsidR="00D51AA0" w:rsidRPr="00A1210C" w:rsidRDefault="00D51AA0" w:rsidP="00A1210C">
      <w:pPr>
        <w:pStyle w:val="BodyText"/>
        <w:rPr>
          <w:rFonts w:ascii="Calibri" w:eastAsiaTheme="majorEastAsia" w:hAnsi="Calibri" w:cstheme="majorBidi"/>
          <w:b/>
          <w:bCs/>
          <w:i/>
          <w:iCs/>
          <w:color w:val="0067AC"/>
          <w:sz w:val="22"/>
        </w:rPr>
      </w:pPr>
      <w:r w:rsidRPr="00A1210C">
        <w:rPr>
          <w:rFonts w:ascii="Calibri" w:eastAsiaTheme="majorEastAsia" w:hAnsi="Calibri" w:cstheme="majorBidi"/>
          <w:b/>
          <w:bCs/>
          <w:i/>
          <w:iCs/>
          <w:color w:val="0067AC"/>
          <w:sz w:val="22"/>
        </w:rPr>
        <w:t>The child in any other role</w:t>
      </w:r>
    </w:p>
    <w:p w14:paraId="06097B21" w14:textId="77777777" w:rsidR="00D51AA0" w:rsidRPr="0085107A" w:rsidRDefault="00D51AA0" w:rsidP="00A1210C">
      <w:pPr>
        <w:pStyle w:val="BodyText"/>
      </w:pPr>
      <w:r w:rsidRPr="0085107A">
        <w:t>The general rules described above also apply to children in any other roles. It is noted however, that as a result of the child’s lack of legal capacity to act, the child’s legal representative would exercise the above referred rights on the child’s behalf.</w:t>
      </w:r>
    </w:p>
    <w:p w14:paraId="34C56313" w14:textId="77777777" w:rsidR="00D51AA0" w:rsidRPr="0085107A" w:rsidRDefault="00D51AA0" w:rsidP="00A1210C">
      <w:pPr>
        <w:pStyle w:val="BodyText"/>
      </w:pPr>
      <w:r w:rsidRPr="0085107A">
        <w:t xml:space="preserve">Besides the general rules, there are some dispute-specific rules in Belgium, which are described below. </w:t>
      </w:r>
    </w:p>
    <w:p w14:paraId="1376B1B0" w14:textId="77777777" w:rsidR="00D51AA0" w:rsidRPr="0085107A" w:rsidRDefault="00D51AA0" w:rsidP="00A1210C">
      <w:pPr>
        <w:pStyle w:val="BodyText"/>
      </w:pPr>
      <w:r w:rsidRPr="0085107A">
        <w:t>In disputes relating to parental custody and parental authority, the judge is required to inform the parents and the child about the possibility to opt for mediation</w:t>
      </w:r>
      <w:r w:rsidRPr="0085107A">
        <w:rPr>
          <w:rStyle w:val="FootnoteReference"/>
        </w:rPr>
        <w:footnoteReference w:id="84"/>
      </w:r>
      <w:r w:rsidRPr="0085107A">
        <w:t xml:space="preserve">. </w:t>
      </w:r>
    </w:p>
    <w:p w14:paraId="4B8B61FD" w14:textId="77777777" w:rsidR="00D51AA0" w:rsidRPr="0085107A" w:rsidRDefault="00D51AA0" w:rsidP="00A1210C">
      <w:pPr>
        <w:pStyle w:val="BodyText"/>
      </w:pPr>
      <w:r w:rsidRPr="0085107A">
        <w:t xml:space="preserve">With respect to the serving of subpoenas, usually the same rules apply to children in other roles as to child witnesses. In proceedings related to adoption, subpoenas are served to children who are at least 16 years old in the form of judicial letters, whereas the Youth Court summons children below 16 years old via an ordinary letter.  </w:t>
      </w:r>
    </w:p>
    <w:p w14:paraId="3D3AF177" w14:textId="77777777" w:rsidR="00D51AA0" w:rsidRPr="0085107A" w:rsidRDefault="00D51AA0" w:rsidP="00A1210C">
      <w:pPr>
        <w:pStyle w:val="BodyText"/>
      </w:pPr>
      <w:r w:rsidRPr="0085107A">
        <w:lastRenderedPageBreak/>
        <w:t>As a general rule, Belgian legislation does not contain reference to the communication of court decisions to children in other roles. In divorce cases however special rules apply, in accordance with which the Youth Tribunal’s rulings must be handed directly at the public hearing to a child of 12 years old or more, and to his/her parents, guardians or persons having custody over the child. If this cannot be made at the hearing, the decision will be notified by court letter</w:t>
      </w:r>
      <w:r w:rsidRPr="0085107A">
        <w:rPr>
          <w:rStyle w:val="FootnoteReference"/>
        </w:rPr>
        <w:footnoteReference w:id="85"/>
      </w:r>
      <w:r w:rsidRPr="0085107A">
        <w:t xml:space="preserve">. The copy of the </w:t>
      </w:r>
      <w:r>
        <w:t>judgement</w:t>
      </w:r>
      <w:r w:rsidRPr="0085107A">
        <w:t xml:space="preserve"> must indicate the legal remedies available against the decision, including procedures and deadlines.</w:t>
      </w:r>
    </w:p>
    <w:p w14:paraId="67D981ED" w14:textId="1B11F1E0" w:rsidR="00D51AA0" w:rsidRPr="00A1210C" w:rsidRDefault="00D51AA0" w:rsidP="00A1210C">
      <w:pPr>
        <w:pStyle w:val="BodyText"/>
      </w:pPr>
      <w:r w:rsidRPr="0085107A">
        <w:t xml:space="preserve">The </w:t>
      </w:r>
      <w:hyperlink r:id="rId43" w:history="1">
        <w:r w:rsidRPr="0085107A">
          <w:rPr>
            <w:rStyle w:val="Hyperlink"/>
            <w:rFonts w:cs="Arial"/>
            <w:bCs/>
          </w:rPr>
          <w:t>new Act for the creation of the Family and Youth Tribunal</w:t>
        </w:r>
      </w:hyperlink>
      <w:r w:rsidRPr="0085107A">
        <w:t xml:space="preserve">, which is not yet in force, establishes the right of the child, of at least 12 years </w:t>
      </w:r>
      <w:r>
        <w:t>of age</w:t>
      </w:r>
      <w:r w:rsidRPr="0085107A">
        <w:t>, to be informed by the judge of his/her right to be heard in proceedings related to parental authority and access rights. The judge must also inform the child on his/her right to refuse to be heard, his/her right not to respond to the questions of the judge</w:t>
      </w:r>
      <w:r>
        <w:t>,</w:t>
      </w:r>
      <w:r w:rsidRPr="0085107A">
        <w:t xml:space="preserve"> and expla</w:t>
      </w:r>
      <w:r>
        <w:t>in</w:t>
      </w:r>
      <w:r w:rsidRPr="0085107A">
        <w:t xml:space="preserve"> how the interview will be carried out. An information form will be sent to the child’s address (to the address of both parents if the parents reside separately)</w:t>
      </w:r>
      <w:r w:rsidRPr="0085107A">
        <w:rPr>
          <w:rStyle w:val="FootnoteReference"/>
          <w:bCs/>
        </w:rPr>
        <w:footnoteReference w:id="86"/>
      </w:r>
      <w:r w:rsidRPr="0085107A">
        <w:t>.</w:t>
      </w:r>
    </w:p>
    <w:p w14:paraId="1E5A55FD" w14:textId="77777777" w:rsidR="00D51AA0" w:rsidRPr="0085107A" w:rsidRDefault="00D51AA0" w:rsidP="00A1210C">
      <w:pPr>
        <w:pStyle w:val="Heading2"/>
      </w:pPr>
      <w:bookmarkStart w:id="82" w:name="_Protection_of_the"/>
      <w:bookmarkStart w:id="83" w:name="_Toc338234112"/>
      <w:bookmarkStart w:id="84" w:name="_Toc350439427"/>
      <w:bookmarkStart w:id="85" w:name="_Toc409790478"/>
      <w:bookmarkEnd w:id="82"/>
      <w:r w:rsidRPr="0085107A">
        <w:t>Protection of the child’s private and family life</w:t>
      </w:r>
      <w:bookmarkStart w:id="86" w:name="_Toc346714785"/>
      <w:bookmarkStart w:id="87" w:name="_Toc346714786"/>
      <w:bookmarkStart w:id="88" w:name="_Toc346714787"/>
      <w:bookmarkStart w:id="89" w:name="_Toc338234113"/>
      <w:bookmarkEnd w:id="83"/>
      <w:bookmarkEnd w:id="84"/>
      <w:bookmarkEnd w:id="86"/>
      <w:bookmarkEnd w:id="87"/>
      <w:bookmarkEnd w:id="88"/>
      <w:bookmarkEnd w:id="85"/>
    </w:p>
    <w:p w14:paraId="0AA18C2D" w14:textId="77777777" w:rsidR="00D51AA0" w:rsidRPr="00360915" w:rsidRDefault="00D51AA0" w:rsidP="00A1210C">
      <w:pPr>
        <w:pStyle w:val="Heading4NoNumb"/>
        <w:ind w:left="851"/>
      </w:pPr>
      <w:r w:rsidRPr="00360915">
        <w:t>The child as a plaintiff/complainant</w:t>
      </w:r>
    </w:p>
    <w:p w14:paraId="728B55D7" w14:textId="77777777" w:rsidR="00D51AA0" w:rsidRPr="00A1210C" w:rsidRDefault="00D51AA0" w:rsidP="00B93831">
      <w:pPr>
        <w:pStyle w:val="Heading3NoNumb"/>
        <w:ind w:firstLine="851"/>
      </w:pPr>
      <w:bookmarkStart w:id="90" w:name="_Toc409790479"/>
      <w:r w:rsidRPr="00A1210C">
        <w:t>Protection of the personal data and privacy of children</w:t>
      </w:r>
      <w:bookmarkEnd w:id="90"/>
    </w:p>
    <w:p w14:paraId="6668FB7C" w14:textId="77777777" w:rsidR="00D51AA0" w:rsidRPr="0085107A" w:rsidRDefault="00D51AA0" w:rsidP="00A1210C">
      <w:pPr>
        <w:pStyle w:val="BodyText"/>
        <w:rPr>
          <w:rFonts w:eastAsia="Times New Roman"/>
          <w:bCs/>
        </w:rPr>
      </w:pPr>
      <w:r w:rsidRPr="0085107A">
        <w:rPr>
          <w:rFonts w:eastAsia="Times New Roman"/>
          <w:bCs/>
        </w:rPr>
        <w:t xml:space="preserve">No specific rules on the protection of personal data and privacy of children were identified; hence the general rules (i.e. rules applicable to adults) apply. The </w:t>
      </w:r>
      <w:hyperlink r:id="rId44" w:history="1">
        <w:r w:rsidRPr="0085107A">
          <w:rPr>
            <w:rStyle w:val="Hyperlink"/>
            <w:rFonts w:eastAsia="Times New Roman" w:cs="Arial"/>
            <w:bCs/>
          </w:rPr>
          <w:t>Constitution</w:t>
        </w:r>
      </w:hyperlink>
      <w:r w:rsidRPr="0085107A">
        <w:rPr>
          <w:rFonts w:eastAsia="Times New Roman"/>
          <w:bCs/>
        </w:rPr>
        <w:t xml:space="preserve"> guarantees the right to private and family life</w:t>
      </w:r>
      <w:r w:rsidRPr="0085107A">
        <w:rPr>
          <w:rStyle w:val="FootnoteReference"/>
          <w:rFonts w:eastAsia="Times New Roman"/>
          <w:bCs/>
        </w:rPr>
        <w:footnoteReference w:id="87"/>
      </w:r>
      <w:r w:rsidRPr="0085107A">
        <w:rPr>
          <w:rFonts w:eastAsia="Times New Roman"/>
          <w:bCs/>
        </w:rPr>
        <w:t>. In addition, Article 8 of the ECHR and Article 16 of the CRC apply in Belgium. As a general rule, the right to private life must be guaranteed while treating personal data</w:t>
      </w:r>
      <w:r w:rsidRPr="0085107A">
        <w:rPr>
          <w:rStyle w:val="FootnoteReference"/>
          <w:rFonts w:eastAsia="Times New Roman"/>
          <w:bCs/>
        </w:rPr>
        <w:footnoteReference w:id="88"/>
      </w:r>
      <w:r w:rsidRPr="0085107A">
        <w:rPr>
          <w:rFonts w:eastAsia="Times New Roman"/>
          <w:bCs/>
        </w:rPr>
        <w:t xml:space="preserve">. </w:t>
      </w:r>
    </w:p>
    <w:p w14:paraId="6484B0EA" w14:textId="77777777" w:rsidR="00D51AA0" w:rsidRPr="0085107A" w:rsidRDefault="00D51AA0" w:rsidP="00A1210C">
      <w:pPr>
        <w:pStyle w:val="BodyText"/>
        <w:rPr>
          <w:rFonts w:eastAsia="Times New Roman"/>
          <w:bCs/>
        </w:rPr>
      </w:pPr>
      <w:r w:rsidRPr="00DB54F9">
        <w:rPr>
          <w:rFonts w:eastAsia="Times New Roman"/>
          <w:bCs/>
        </w:rPr>
        <w:t xml:space="preserve">The violation of this right can be punished by a fine, publication of the </w:t>
      </w:r>
      <w:r>
        <w:rPr>
          <w:rFonts w:eastAsia="Times New Roman"/>
          <w:bCs/>
        </w:rPr>
        <w:t>judgement</w:t>
      </w:r>
      <w:r w:rsidRPr="00DB54F9">
        <w:rPr>
          <w:rFonts w:eastAsia="Times New Roman"/>
          <w:bCs/>
        </w:rPr>
        <w:t>, seizure of the material containing the personal data, or by requesting the deletion of personal data from the material containing it</w:t>
      </w:r>
      <w:r w:rsidRPr="00DB54F9">
        <w:rPr>
          <w:rStyle w:val="FootnoteReference"/>
          <w:rFonts w:eastAsia="Times New Roman"/>
          <w:bCs/>
        </w:rPr>
        <w:footnoteReference w:id="89"/>
      </w:r>
      <w:r w:rsidRPr="00DB54F9">
        <w:rPr>
          <w:rFonts w:eastAsia="Times New Roman"/>
          <w:bCs/>
        </w:rPr>
        <w:t xml:space="preserve">. A person whose rights have been breached can file a claim for the compensation of his/her damages. A person who suffers from violation of his/her right to privacy and protection of personal data can also file a complaint before the </w:t>
      </w:r>
      <w:hyperlink r:id="rId45" w:history="1">
        <w:r w:rsidRPr="00DB54F9">
          <w:rPr>
            <w:rStyle w:val="Hyperlink"/>
            <w:rFonts w:eastAsia="Times New Roman" w:cs="Arial"/>
            <w:bCs/>
          </w:rPr>
          <w:t>Commission for the protection of privacy</w:t>
        </w:r>
      </w:hyperlink>
      <w:r w:rsidRPr="00DB54F9">
        <w:rPr>
          <w:rFonts w:eastAsia="Times New Roman"/>
          <w:bCs/>
        </w:rPr>
        <w:t>.</w:t>
      </w:r>
    </w:p>
    <w:p w14:paraId="5183FE4A" w14:textId="77777777" w:rsidR="00D51AA0" w:rsidRPr="0085107A" w:rsidRDefault="00D51AA0" w:rsidP="00A1210C">
      <w:pPr>
        <w:pStyle w:val="BodyText"/>
        <w:rPr>
          <w:rFonts w:eastAsia="Times New Roman"/>
          <w:bCs/>
        </w:rPr>
      </w:pPr>
      <w:r w:rsidRPr="0085107A">
        <w:rPr>
          <w:rFonts w:eastAsia="Times New Roman"/>
          <w:bCs/>
        </w:rPr>
        <w:t xml:space="preserve">As a result of the lack of legal capacity to act, the child’s legal representative is responsible to act in the defence of the child’s protection of personal data and privacy. </w:t>
      </w:r>
    </w:p>
    <w:p w14:paraId="4FBF2B55" w14:textId="77777777" w:rsidR="00D51AA0" w:rsidRPr="00A1210C" w:rsidRDefault="00D51AA0" w:rsidP="00B93831">
      <w:pPr>
        <w:pStyle w:val="Heading3NoNumb"/>
        <w:ind w:firstLine="851"/>
      </w:pPr>
      <w:bookmarkStart w:id="91" w:name="_Toc409790480"/>
      <w:r w:rsidRPr="00A1210C">
        <w:t>Protection of personal data in judicial proceedings</w:t>
      </w:r>
      <w:bookmarkEnd w:id="91"/>
    </w:p>
    <w:p w14:paraId="73EE3C89" w14:textId="77777777" w:rsidR="00D51AA0" w:rsidRPr="0085107A" w:rsidRDefault="00D51AA0" w:rsidP="00A1210C">
      <w:pPr>
        <w:pStyle w:val="BodyText"/>
        <w:rPr>
          <w:rFonts w:eastAsia="Times New Roman"/>
          <w:bCs/>
        </w:rPr>
      </w:pPr>
      <w:r w:rsidRPr="0085107A">
        <w:rPr>
          <w:rFonts w:eastAsia="Times New Roman"/>
          <w:bCs/>
        </w:rPr>
        <w:t xml:space="preserve">The right to privacy and the protection of personal data apply also to judicial proceedings. However, courts benefit from an exemption, in accordance with which they can access and use personal data when it is necessary for carrying out their work. </w:t>
      </w:r>
    </w:p>
    <w:p w14:paraId="159539C0" w14:textId="77777777" w:rsidR="00D51AA0" w:rsidRPr="0085107A" w:rsidRDefault="00D51AA0" w:rsidP="00A1210C">
      <w:pPr>
        <w:pStyle w:val="BodyText"/>
        <w:rPr>
          <w:rFonts w:eastAsia="Times New Roman"/>
          <w:bCs/>
        </w:rPr>
      </w:pPr>
      <w:r w:rsidRPr="0085107A">
        <w:rPr>
          <w:rFonts w:eastAsia="Times New Roman"/>
          <w:bCs/>
        </w:rPr>
        <w:t>Similarly, legal counsels can also access and treat (i.e. use, process and handle) personal data when necessary for the defence of their clients. Parties to the proceedings may also access and treat personal data during judicial proceedings to the extent required by the proceedings. Persons benefiting from the above referred exemptions are under the obligation of professional secrecy</w:t>
      </w:r>
      <w:r w:rsidRPr="0085107A">
        <w:rPr>
          <w:rStyle w:val="FootnoteReference"/>
          <w:rFonts w:eastAsia="Times New Roman"/>
          <w:bCs/>
        </w:rPr>
        <w:footnoteReference w:id="90"/>
      </w:r>
      <w:r w:rsidRPr="0085107A">
        <w:rPr>
          <w:rFonts w:eastAsia="Times New Roman"/>
          <w:bCs/>
        </w:rPr>
        <w:t>.</w:t>
      </w:r>
    </w:p>
    <w:p w14:paraId="18D53678" w14:textId="77777777" w:rsidR="00D51AA0" w:rsidRPr="0085107A" w:rsidRDefault="00D51AA0" w:rsidP="00A1210C">
      <w:pPr>
        <w:pStyle w:val="BodyText"/>
        <w:rPr>
          <w:rFonts w:eastAsia="Times New Roman"/>
          <w:bCs/>
        </w:rPr>
      </w:pPr>
      <w:r w:rsidRPr="0085107A">
        <w:rPr>
          <w:rFonts w:eastAsia="Times New Roman"/>
          <w:bCs/>
        </w:rPr>
        <w:t xml:space="preserve">For each case registered before a court, a file is established. The file contains all the original documents linked to the proceedings, such as the original claims, the notifications, the interview transcripts of the parties and witnesses, experts’ reports, opinion of the crown </w:t>
      </w:r>
      <w:r w:rsidRPr="0085107A">
        <w:rPr>
          <w:rFonts w:eastAsia="Times New Roman"/>
          <w:bCs/>
        </w:rPr>
        <w:lastRenderedPageBreak/>
        <w:t>prosecutor, justifying documents etc.</w:t>
      </w:r>
      <w:r w:rsidRPr="0085107A">
        <w:rPr>
          <w:rStyle w:val="FootnoteReference"/>
          <w:rFonts w:eastAsia="Times New Roman"/>
          <w:bCs/>
        </w:rPr>
        <w:footnoteReference w:id="91"/>
      </w:r>
      <w:r w:rsidRPr="0085107A">
        <w:rPr>
          <w:rFonts w:eastAsia="Times New Roman"/>
          <w:bCs/>
        </w:rPr>
        <w:t>. The parties to the proceedings can add documents to the file. The parties have the right to access and consult the file at the clerk’s office</w:t>
      </w:r>
      <w:r w:rsidRPr="0085107A">
        <w:rPr>
          <w:rStyle w:val="FootnoteReference"/>
          <w:rFonts w:eastAsia="Times New Roman"/>
          <w:bCs/>
        </w:rPr>
        <w:footnoteReference w:id="92"/>
      </w:r>
      <w:r w:rsidRPr="0085107A">
        <w:rPr>
          <w:rFonts w:eastAsia="Times New Roman"/>
          <w:bCs/>
        </w:rPr>
        <w:t>. Any party to the proceedings can request a certified copy of the documents contained in the file</w:t>
      </w:r>
      <w:r w:rsidRPr="0085107A">
        <w:rPr>
          <w:rStyle w:val="FootnoteReference"/>
          <w:rFonts w:eastAsia="Times New Roman"/>
          <w:bCs/>
        </w:rPr>
        <w:footnoteReference w:id="93"/>
      </w:r>
      <w:r w:rsidRPr="0085107A">
        <w:rPr>
          <w:rFonts w:eastAsia="Times New Roman"/>
          <w:bCs/>
        </w:rPr>
        <w:t xml:space="preserve">. In proceedings involving children, the child’s legal representative and legal counsels will have access to the file. </w:t>
      </w:r>
    </w:p>
    <w:p w14:paraId="46976A84" w14:textId="77777777" w:rsidR="00D51AA0" w:rsidRPr="0085107A" w:rsidRDefault="00D51AA0" w:rsidP="00A1210C">
      <w:pPr>
        <w:pStyle w:val="BodyText"/>
        <w:rPr>
          <w:rFonts w:eastAsia="Times New Roman"/>
          <w:bCs/>
        </w:rPr>
      </w:pPr>
      <w:r w:rsidRPr="0085107A">
        <w:rPr>
          <w:rFonts w:eastAsia="Times New Roman"/>
          <w:bCs/>
        </w:rPr>
        <w:t>A judge, crown prosecutor, representatives of the clerk’s office and judicial authorities can also access the file. As an exception, while the official written report of the interview of the child witness or child in other roles will be included in the file, the report will not be accessible by the parties to the proceedings</w:t>
      </w:r>
      <w:r w:rsidRPr="0085107A">
        <w:rPr>
          <w:rStyle w:val="FootnoteReference"/>
          <w:rFonts w:eastAsia="Times New Roman"/>
          <w:bCs/>
        </w:rPr>
        <w:footnoteReference w:id="94"/>
      </w:r>
      <w:r w:rsidRPr="0085107A">
        <w:rPr>
          <w:rFonts w:eastAsia="Times New Roman"/>
          <w:bCs/>
        </w:rPr>
        <w:t xml:space="preserve">. As a result, the official report will not be accessible by the child’s legal representative representing the child party in the proceedings. </w:t>
      </w:r>
    </w:p>
    <w:p w14:paraId="39DE2A63" w14:textId="77777777" w:rsidR="00D51AA0" w:rsidRPr="0085107A" w:rsidRDefault="00D51AA0" w:rsidP="00A1210C">
      <w:pPr>
        <w:pStyle w:val="BodyText"/>
        <w:rPr>
          <w:rFonts w:eastAsia="Times New Roman"/>
          <w:bCs/>
        </w:rPr>
      </w:pPr>
      <w:r w:rsidRPr="0085107A">
        <w:rPr>
          <w:bCs/>
        </w:rPr>
        <w:t>It is important to repeat that as a result of the child’s lack of legal capacity to act, formally, the child will not be a party to the proceedings, but the child’s legal representative will act on his/her behalf.</w:t>
      </w:r>
    </w:p>
    <w:p w14:paraId="1B0CE90A" w14:textId="77777777" w:rsidR="00D51AA0" w:rsidRPr="00A1210C" w:rsidRDefault="00D51AA0" w:rsidP="00B93831">
      <w:pPr>
        <w:pStyle w:val="Heading3NoNumb"/>
        <w:ind w:firstLine="851"/>
      </w:pPr>
      <w:bookmarkStart w:id="92" w:name="_Toc409790481"/>
      <w:r w:rsidRPr="00A1210C">
        <w:t>Protection of privacy in judicial proceedings</w:t>
      </w:r>
      <w:bookmarkEnd w:id="92"/>
    </w:p>
    <w:p w14:paraId="5954ECA3" w14:textId="77777777" w:rsidR="00D51AA0" w:rsidRPr="0085107A" w:rsidRDefault="00D51AA0" w:rsidP="00A1210C">
      <w:pPr>
        <w:pStyle w:val="BodyText"/>
      </w:pPr>
      <w:r w:rsidRPr="0085107A">
        <w:t>As a constitutional principle, hearings before courts and Tribunal are open to the public. However, as an exception, a judge may decide to meet in closed hearing on the basis that a public hearing would go against the public order or morals</w:t>
      </w:r>
      <w:r w:rsidRPr="0085107A">
        <w:rPr>
          <w:rStyle w:val="FootnoteReference"/>
        </w:rPr>
        <w:footnoteReference w:id="95"/>
      </w:r>
      <w:r w:rsidRPr="0085107A">
        <w:t>.</w:t>
      </w:r>
    </w:p>
    <w:p w14:paraId="2A071869" w14:textId="77777777" w:rsidR="00D51AA0" w:rsidRPr="0085107A" w:rsidRDefault="00D51AA0" w:rsidP="00A1210C">
      <w:pPr>
        <w:pStyle w:val="BodyText"/>
        <w:rPr>
          <w:rFonts w:eastAsia="Times New Roman"/>
          <w:bCs/>
        </w:rPr>
      </w:pPr>
      <w:r w:rsidRPr="0085107A">
        <w:rPr>
          <w:rFonts w:eastAsia="Times New Roman"/>
          <w:bCs/>
        </w:rPr>
        <w:t>In addition, the court may, at the request of either party, order the case to be dealt with in closed session for all or part of the proceedings in the interest of morality or public order, where the interests of the child or the protection of privacy so requires, or to the extent that is deemed necessary by the court, where publicity would affect the interests of the administration of justice</w:t>
      </w:r>
      <w:r w:rsidRPr="0085107A">
        <w:rPr>
          <w:rStyle w:val="FootnoteReference"/>
          <w:rFonts w:eastAsia="Times New Roman"/>
          <w:bCs/>
        </w:rPr>
        <w:footnoteReference w:id="96"/>
      </w:r>
      <w:r w:rsidRPr="0085107A">
        <w:rPr>
          <w:rFonts w:eastAsia="Times New Roman"/>
          <w:bCs/>
        </w:rPr>
        <w:t>. Considering the child’s lack of capacity to act, it is his/her legal representative who files the request.</w:t>
      </w:r>
    </w:p>
    <w:p w14:paraId="6D403CE6" w14:textId="77777777" w:rsidR="00D51AA0" w:rsidRPr="00A1210C" w:rsidRDefault="00D51AA0" w:rsidP="00B93831">
      <w:pPr>
        <w:pStyle w:val="Heading3NoNumb"/>
        <w:ind w:firstLine="851"/>
      </w:pPr>
      <w:bookmarkStart w:id="93" w:name="_Toc409790482"/>
      <w:r w:rsidRPr="00A1210C">
        <w:t>Protection of privacy by the media</w:t>
      </w:r>
      <w:bookmarkEnd w:id="93"/>
    </w:p>
    <w:p w14:paraId="546D2BB4" w14:textId="77777777" w:rsidR="00D51AA0" w:rsidRPr="0085107A" w:rsidRDefault="00D51AA0" w:rsidP="00A1210C">
      <w:pPr>
        <w:pStyle w:val="BodyText"/>
      </w:pPr>
      <w:r w:rsidRPr="0085107A">
        <w:t xml:space="preserve">As explained in the criminal proceedings report, as an established practice, the media cannot record or film any hearing or take pictures during the hearing. The </w:t>
      </w:r>
      <w:hyperlink r:id="rId46" w:history="1">
        <w:r w:rsidRPr="0085107A">
          <w:rPr>
            <w:rStyle w:val="Hyperlink"/>
            <w:rFonts w:cs="Arial"/>
          </w:rPr>
          <w:t>Criminal Code</w:t>
        </w:r>
      </w:hyperlink>
      <w:r w:rsidRPr="0085107A">
        <w:t xml:space="preserve"> explicitly prohibits the publication or dissemination by the media, or any other way, of discussions relating to proceedings before the Youth Tribunal and its Appeal Court. Only the </w:t>
      </w:r>
      <w:r>
        <w:t>judgement</w:t>
      </w:r>
      <w:r w:rsidRPr="0085107A">
        <w:t xml:space="preserve"> is announced in public hearing</w:t>
      </w:r>
      <w:r w:rsidRPr="0085107A">
        <w:rPr>
          <w:rStyle w:val="FootnoteReference"/>
        </w:rPr>
        <w:footnoteReference w:id="97"/>
      </w:r>
      <w:r w:rsidRPr="0085107A">
        <w:t xml:space="preserve">. </w:t>
      </w:r>
    </w:p>
    <w:p w14:paraId="7B3284CF" w14:textId="77777777" w:rsidR="00D51AA0" w:rsidRPr="0085107A" w:rsidRDefault="00D51AA0" w:rsidP="00A1210C">
      <w:pPr>
        <w:pStyle w:val="BodyText"/>
      </w:pPr>
      <w:r w:rsidRPr="00DB54F9">
        <w:t>Children have a right to the protection of their image. No one can use their image without their legal representative’s consent and their consent if the child has the capacity of discernment</w:t>
      </w:r>
      <w:r w:rsidRPr="00DB54F9">
        <w:rPr>
          <w:rStyle w:val="FootnoteReference"/>
        </w:rPr>
        <w:footnoteReference w:id="98"/>
      </w:r>
      <w:r w:rsidRPr="00DB54F9">
        <w:t>.</w:t>
      </w:r>
    </w:p>
    <w:p w14:paraId="5C1DF308" w14:textId="77777777" w:rsidR="00D51AA0" w:rsidRPr="0085107A" w:rsidRDefault="00D51AA0" w:rsidP="00A1210C">
      <w:pPr>
        <w:pStyle w:val="BodyText"/>
      </w:pPr>
      <w:r w:rsidRPr="00DB54F9">
        <w:t>The ethical code of journalists in Belgium requires journalists to respect the private life of children. An appeal against a publication can be submitted to the Council of Deontology (</w:t>
      </w:r>
      <w:hyperlink r:id="rId47" w:history="1">
        <w:r w:rsidRPr="00DB54F9">
          <w:rPr>
            <w:rStyle w:val="Hyperlink"/>
            <w:i/>
          </w:rPr>
          <w:t>Raad voor de journalistiek</w:t>
        </w:r>
      </w:hyperlink>
      <w:r w:rsidRPr="00DB54F9">
        <w:rPr>
          <w:i/>
        </w:rPr>
        <w:t xml:space="preserve"> </w:t>
      </w:r>
      <w:r w:rsidRPr="00DB54F9">
        <w:t xml:space="preserve">and </w:t>
      </w:r>
      <w:hyperlink r:id="rId48" w:history="1">
        <w:r w:rsidRPr="00DB54F9">
          <w:rPr>
            <w:rStyle w:val="Hyperlink"/>
            <w:i/>
          </w:rPr>
          <w:t>Conseil de Déontologie journalistique</w:t>
        </w:r>
      </w:hyperlink>
      <w:r w:rsidRPr="00DB54F9">
        <w:t>).</w:t>
      </w:r>
    </w:p>
    <w:p w14:paraId="0401613D" w14:textId="77777777" w:rsidR="00D51AA0" w:rsidRPr="00A1210C" w:rsidRDefault="00D51AA0" w:rsidP="00B93831">
      <w:pPr>
        <w:pStyle w:val="Heading3NoNumb"/>
        <w:ind w:firstLine="851"/>
      </w:pPr>
      <w:bookmarkStart w:id="94" w:name="_Toc409790483"/>
      <w:r w:rsidRPr="00A1210C">
        <w:lastRenderedPageBreak/>
        <w:t>Confidentiality rules applicable to professionals involved in civil judicial proceedings</w:t>
      </w:r>
      <w:bookmarkEnd w:id="94"/>
    </w:p>
    <w:p w14:paraId="43FC00C8" w14:textId="77777777" w:rsidR="00D51AA0" w:rsidRPr="0085107A" w:rsidRDefault="00D51AA0" w:rsidP="00A1210C">
      <w:pPr>
        <w:pStyle w:val="BodyText"/>
      </w:pPr>
      <w:r w:rsidRPr="0085107A">
        <w:t>Magistrates</w:t>
      </w:r>
      <w:r w:rsidRPr="0085107A">
        <w:rPr>
          <w:rStyle w:val="FootnoteReference"/>
        </w:rPr>
        <w:footnoteReference w:id="99"/>
      </w:r>
      <w:r w:rsidRPr="0085107A">
        <w:t>, crown prosecutors</w:t>
      </w:r>
      <w:r w:rsidRPr="0085107A">
        <w:rPr>
          <w:rStyle w:val="FootnoteReference"/>
        </w:rPr>
        <w:footnoteReference w:id="100"/>
      </w:r>
      <w:r w:rsidRPr="0085107A">
        <w:t>, legal counsels</w:t>
      </w:r>
      <w:r w:rsidRPr="0085107A">
        <w:rPr>
          <w:rStyle w:val="FootnoteReference"/>
        </w:rPr>
        <w:footnoteReference w:id="101"/>
      </w:r>
      <w:r w:rsidRPr="0085107A">
        <w:t xml:space="preserve"> and judicial clerks are under the obligation of professional secrecy. The </w:t>
      </w:r>
      <w:hyperlink r:id="rId49" w:history="1">
        <w:r w:rsidRPr="0085107A">
          <w:rPr>
            <w:rStyle w:val="Hyperlink"/>
            <w:rFonts w:cs="Arial"/>
          </w:rPr>
          <w:t>Youth Protection Act</w:t>
        </w:r>
      </w:hyperlink>
      <w:r w:rsidRPr="0085107A">
        <w:t xml:space="preserve"> specifies that any person who, under any title or capacity, applies the Act is under the obligation of professional secrecy</w:t>
      </w:r>
      <w:r w:rsidRPr="0085107A">
        <w:rPr>
          <w:rStyle w:val="FootnoteReference"/>
        </w:rPr>
        <w:footnoteReference w:id="102"/>
      </w:r>
      <w:r w:rsidRPr="0085107A">
        <w:t>. The aim of this requirement is to ensure that intervening professionals protect the private and family lives of children and their family.</w:t>
      </w:r>
    </w:p>
    <w:p w14:paraId="35B6C529" w14:textId="77777777" w:rsidR="00D51AA0" w:rsidRPr="0085107A" w:rsidRDefault="00D51AA0" w:rsidP="00A1210C">
      <w:pPr>
        <w:pStyle w:val="BodyText"/>
      </w:pPr>
      <w:r w:rsidRPr="0085107A">
        <w:t>The obligation of professional secrecy</w:t>
      </w:r>
      <w:r w:rsidRPr="0085107A" w:rsidDel="00783C16">
        <w:t xml:space="preserve"> </w:t>
      </w:r>
      <w:r w:rsidRPr="0085107A">
        <w:t>does not apply to testimony in judicial proceedings or to proceedings before a Parliamentary Commission</w:t>
      </w:r>
      <w:r w:rsidRPr="00DB54F9">
        <w:t xml:space="preserve">. The </w:t>
      </w:r>
      <w:hyperlink r:id="rId50" w:history="1">
        <w:r w:rsidRPr="00DB54F9">
          <w:rPr>
            <w:rStyle w:val="Hyperlink"/>
            <w:rFonts w:cs="Arial"/>
          </w:rPr>
          <w:t>Criminal Code</w:t>
        </w:r>
      </w:hyperlink>
      <w:r w:rsidRPr="00DB54F9">
        <w:t xml:space="preserve"> sanctions the violation of professional secrecy with imprisonment of eight days to six months and a fine from EUR 100 to 500.</w:t>
      </w:r>
      <w:r w:rsidRPr="0085107A">
        <w:t xml:space="preserve"> </w:t>
      </w:r>
    </w:p>
    <w:p w14:paraId="3FB67AD4" w14:textId="77777777" w:rsidR="00D51AA0" w:rsidRPr="0085107A" w:rsidRDefault="00D51AA0" w:rsidP="00A1210C">
      <w:pPr>
        <w:pStyle w:val="BodyText"/>
      </w:pPr>
      <w:r w:rsidRPr="0085107A">
        <w:t>As an exception, any holder of the obligation of professional secrecy having knowledge of a serious offence against a child or a vulnerable person</w:t>
      </w:r>
      <w:r>
        <w:t>,</w:t>
      </w:r>
      <w:r w:rsidRPr="0085107A">
        <w:t xml:space="preserve"> due to his/her age, pregnancy or physical or intellectual disability, </w:t>
      </w:r>
      <w:r>
        <w:t>can</w:t>
      </w:r>
      <w:r w:rsidRPr="0085107A">
        <w:t xml:space="preserve"> inform the crown prosecutor when there is a serious and imminent threat to the physical or mental integrity of the child or when there is a serious danger that the child may become victim of an offence</w:t>
      </w:r>
      <w:r w:rsidRPr="0085107A">
        <w:rPr>
          <w:rStyle w:val="FootnoteReference"/>
        </w:rPr>
        <w:footnoteReference w:id="103"/>
      </w:r>
      <w:r w:rsidRPr="0085107A">
        <w:t xml:space="preserve">. </w:t>
      </w:r>
    </w:p>
    <w:p w14:paraId="5692F50D" w14:textId="77777777" w:rsidR="00D51AA0" w:rsidRPr="0085750C" w:rsidRDefault="00D51AA0" w:rsidP="00B93831">
      <w:pPr>
        <w:pStyle w:val="Heading3NoNumb"/>
        <w:ind w:firstLine="851"/>
      </w:pPr>
      <w:bookmarkStart w:id="95" w:name="_Toc409790484"/>
      <w:r w:rsidRPr="0085750C">
        <w:t>Avoiding adverse effects on the child</w:t>
      </w:r>
      <w:bookmarkEnd w:id="95"/>
    </w:p>
    <w:p w14:paraId="5ECFCBFD" w14:textId="77777777" w:rsidR="00D51AA0" w:rsidRPr="0085107A" w:rsidRDefault="00D51AA0" w:rsidP="0085750C">
      <w:pPr>
        <w:pStyle w:val="BodyText"/>
      </w:pPr>
      <w:r w:rsidRPr="0085107A">
        <w:t xml:space="preserve">In case of a conflict between the child and the parents, a guardian ad litem can be appointed by a judge. Rules applicable to the appointment of guardian ad litems are described under </w:t>
      </w:r>
      <w:hyperlink w:anchor="_The_child_as" w:history="1">
        <w:r w:rsidRPr="0085107A">
          <w:rPr>
            <w:rStyle w:val="Hyperlink"/>
            <w:rFonts w:cs="Arial"/>
          </w:rPr>
          <w:t>Section 3.1</w:t>
        </w:r>
      </w:hyperlink>
      <w:r w:rsidRPr="0085107A">
        <w:t>. Moreover, a judge will always take into consideration the concrete circumstances of the case and their impacts on children</w:t>
      </w:r>
      <w:r w:rsidRPr="0085107A">
        <w:rPr>
          <w:rStyle w:val="FootnoteReference"/>
        </w:rPr>
        <w:footnoteReference w:id="104"/>
      </w:r>
      <w:r w:rsidRPr="0085107A">
        <w:t xml:space="preserve">. </w:t>
      </w:r>
    </w:p>
    <w:p w14:paraId="64D181B3" w14:textId="77777777" w:rsidR="00D51AA0" w:rsidRPr="0085107A" w:rsidRDefault="00D51AA0" w:rsidP="0085750C">
      <w:pPr>
        <w:pStyle w:val="BodyText"/>
      </w:pPr>
      <w:r w:rsidRPr="0085107A">
        <w:t>No other provision has been identified to avoid any risk of adverse consequences</w:t>
      </w:r>
      <w:r w:rsidRPr="0085107A">
        <w:rPr>
          <w:rStyle w:val="FootnoteReference"/>
        </w:rPr>
        <w:footnoteReference w:id="105"/>
      </w:r>
      <w:r w:rsidRPr="0085107A">
        <w:t>.</w:t>
      </w:r>
    </w:p>
    <w:p w14:paraId="5469933B" w14:textId="77777777" w:rsidR="00D51AA0" w:rsidRPr="0085750C" w:rsidRDefault="00D51AA0" w:rsidP="0085750C">
      <w:pPr>
        <w:pStyle w:val="BodyText"/>
        <w:rPr>
          <w:rFonts w:ascii="Calibri" w:eastAsiaTheme="majorEastAsia" w:hAnsi="Calibri" w:cstheme="majorBidi"/>
          <w:b/>
          <w:bCs/>
          <w:i/>
          <w:iCs/>
          <w:color w:val="0067AC"/>
          <w:sz w:val="22"/>
        </w:rPr>
      </w:pPr>
      <w:r w:rsidRPr="0085750C">
        <w:rPr>
          <w:rFonts w:ascii="Calibri" w:eastAsiaTheme="majorEastAsia" w:hAnsi="Calibri" w:cstheme="majorBidi"/>
          <w:b/>
          <w:bCs/>
          <w:i/>
          <w:iCs/>
          <w:color w:val="0067AC"/>
          <w:sz w:val="22"/>
        </w:rPr>
        <w:t xml:space="preserve">The child as a defendant </w:t>
      </w:r>
    </w:p>
    <w:p w14:paraId="71422B27" w14:textId="77777777" w:rsidR="00D51AA0" w:rsidRPr="0085107A" w:rsidRDefault="00D51AA0" w:rsidP="0085750C">
      <w:pPr>
        <w:pStyle w:val="BodyText"/>
        <w:rPr>
          <w:rFonts w:eastAsia="Times New Roman"/>
          <w:bCs/>
        </w:rPr>
      </w:pPr>
      <w:r w:rsidRPr="0085107A">
        <w:rPr>
          <w:rFonts w:eastAsia="Times New Roman"/>
          <w:bCs/>
        </w:rPr>
        <w:t xml:space="preserve">The same rules apply to defendants as to plaintiffs. </w:t>
      </w:r>
      <w:r w:rsidRPr="0085107A">
        <w:rPr>
          <w:bCs/>
        </w:rPr>
        <w:t>As a result of the child’s lack of legal capacity to act, the child’s legal representative will act on his/her behalf.</w:t>
      </w:r>
    </w:p>
    <w:p w14:paraId="127E6684" w14:textId="77777777" w:rsidR="00D51AA0" w:rsidRPr="0085750C" w:rsidRDefault="00D51AA0" w:rsidP="0085750C">
      <w:pPr>
        <w:pStyle w:val="BodyText"/>
        <w:rPr>
          <w:rFonts w:ascii="Calibri" w:eastAsiaTheme="majorEastAsia" w:hAnsi="Calibri" w:cstheme="majorBidi"/>
          <w:b/>
          <w:bCs/>
          <w:i/>
          <w:iCs/>
          <w:color w:val="0067AC"/>
          <w:sz w:val="22"/>
        </w:rPr>
      </w:pPr>
      <w:r w:rsidRPr="0085750C">
        <w:rPr>
          <w:rFonts w:ascii="Calibri" w:eastAsiaTheme="majorEastAsia" w:hAnsi="Calibri" w:cstheme="majorBidi"/>
          <w:b/>
          <w:bCs/>
          <w:i/>
          <w:iCs/>
          <w:color w:val="0067AC"/>
          <w:sz w:val="22"/>
        </w:rPr>
        <w:t>The child as a witness</w:t>
      </w:r>
    </w:p>
    <w:p w14:paraId="162F866F" w14:textId="77777777" w:rsidR="00D51AA0" w:rsidRPr="0085107A" w:rsidRDefault="00D51AA0" w:rsidP="0085750C">
      <w:pPr>
        <w:pStyle w:val="BodyText"/>
        <w:rPr>
          <w:rFonts w:eastAsia="Times New Roman"/>
          <w:bCs/>
        </w:rPr>
      </w:pPr>
      <w:r w:rsidRPr="0085107A">
        <w:rPr>
          <w:rFonts w:eastAsia="Times New Roman"/>
          <w:bCs/>
        </w:rPr>
        <w:t xml:space="preserve">The same rules apply to witnesses as to plaintiffs and defendants except for those linked to the status of party to a proceeding (e.g. child witnesses do not have the right to access the case file, to request that a court meets </w:t>
      </w:r>
      <w:r w:rsidRPr="0085107A">
        <w:rPr>
          <w:rFonts w:eastAsia="Times New Roman"/>
          <w:bCs/>
          <w:i/>
        </w:rPr>
        <w:t>in camera</w:t>
      </w:r>
      <w:r w:rsidRPr="0085107A">
        <w:rPr>
          <w:rFonts w:eastAsia="Times New Roman"/>
          <w:bCs/>
        </w:rPr>
        <w:t xml:space="preserve"> or to access and treat personal data to the extent required by the proceedings).</w:t>
      </w:r>
    </w:p>
    <w:p w14:paraId="384517CE" w14:textId="77777777" w:rsidR="00D51AA0" w:rsidRPr="0085750C" w:rsidRDefault="00D51AA0" w:rsidP="0085750C">
      <w:pPr>
        <w:pStyle w:val="BodyText"/>
        <w:rPr>
          <w:rFonts w:ascii="Calibri" w:eastAsiaTheme="majorEastAsia" w:hAnsi="Calibri" w:cstheme="majorBidi"/>
          <w:b/>
          <w:bCs/>
          <w:i/>
          <w:iCs/>
          <w:color w:val="0067AC"/>
          <w:sz w:val="22"/>
        </w:rPr>
      </w:pPr>
      <w:r w:rsidRPr="0085750C">
        <w:rPr>
          <w:rFonts w:ascii="Calibri" w:eastAsiaTheme="majorEastAsia" w:hAnsi="Calibri" w:cstheme="majorBidi"/>
          <w:b/>
          <w:bCs/>
          <w:i/>
          <w:iCs/>
          <w:color w:val="0067AC"/>
          <w:sz w:val="22"/>
        </w:rPr>
        <w:t>The child in any other role</w:t>
      </w:r>
    </w:p>
    <w:p w14:paraId="4DAF1E9D" w14:textId="77777777" w:rsidR="00D51AA0" w:rsidRPr="0085107A" w:rsidRDefault="00D51AA0" w:rsidP="0085750C">
      <w:pPr>
        <w:pStyle w:val="BodyText"/>
        <w:rPr>
          <w:rFonts w:eastAsia="Times New Roman"/>
          <w:bCs/>
        </w:rPr>
      </w:pPr>
      <w:r w:rsidRPr="0085107A">
        <w:rPr>
          <w:rFonts w:eastAsia="Times New Roman"/>
          <w:bCs/>
        </w:rPr>
        <w:t xml:space="preserve">The same rules apply to children in any other roles as to plaintiffs and defendants, except for those linked to the status of parties to a proceeding (e.g. children in other roles do not have the right to access the case file, to request that a court meets </w:t>
      </w:r>
      <w:r w:rsidRPr="0085107A">
        <w:rPr>
          <w:rFonts w:eastAsia="Times New Roman"/>
          <w:bCs/>
          <w:i/>
        </w:rPr>
        <w:t>in camera</w:t>
      </w:r>
      <w:r w:rsidRPr="0085107A">
        <w:rPr>
          <w:rFonts w:eastAsia="Times New Roman"/>
          <w:bCs/>
        </w:rPr>
        <w:t xml:space="preserve"> or to access and treat personal data to the extent required by the proceedings).</w:t>
      </w:r>
    </w:p>
    <w:p w14:paraId="090D1CBF" w14:textId="3B301DA6" w:rsidR="00D51AA0" w:rsidRPr="0085107A" w:rsidRDefault="00D51AA0" w:rsidP="0085750C">
      <w:pPr>
        <w:pStyle w:val="BodyText"/>
        <w:rPr>
          <w:rFonts w:eastAsia="Times New Roman"/>
          <w:bCs/>
        </w:rPr>
      </w:pPr>
      <w:r w:rsidRPr="0085107A">
        <w:rPr>
          <w:rFonts w:eastAsia="Times New Roman"/>
          <w:bCs/>
        </w:rPr>
        <w:t xml:space="preserve">Moreover, </w:t>
      </w:r>
      <w:r w:rsidRPr="0085107A">
        <w:t>children cannot be heard with regard to issues where the parents have conflicting interests. The goal is to avoid the placing of a child into a situation where he/she has to testify against one of his/her parents</w:t>
      </w:r>
      <w:r w:rsidRPr="0085107A">
        <w:rPr>
          <w:rStyle w:val="FootnoteReference"/>
        </w:rPr>
        <w:footnoteReference w:id="106"/>
      </w:r>
      <w:r w:rsidRPr="0085107A">
        <w:t>.</w:t>
      </w:r>
    </w:p>
    <w:p w14:paraId="57148395" w14:textId="77777777" w:rsidR="00D51AA0" w:rsidRPr="0085107A" w:rsidRDefault="00D51AA0" w:rsidP="0085750C">
      <w:pPr>
        <w:pStyle w:val="Heading2"/>
      </w:pPr>
      <w:bookmarkStart w:id="96" w:name="_Protection_from_harm"/>
      <w:bookmarkStart w:id="97" w:name="_Toc350439428"/>
      <w:bookmarkStart w:id="98" w:name="_Toc409790485"/>
      <w:bookmarkEnd w:id="96"/>
      <w:r w:rsidRPr="0085107A">
        <w:lastRenderedPageBreak/>
        <w:t>Protection from harm</w:t>
      </w:r>
      <w:r>
        <w:t xml:space="preserve"> and ensuring a child-</w:t>
      </w:r>
      <w:r w:rsidRPr="0085107A">
        <w:t>friendly process</w:t>
      </w:r>
      <w:bookmarkEnd w:id="89"/>
      <w:bookmarkEnd w:id="97"/>
      <w:bookmarkEnd w:id="98"/>
    </w:p>
    <w:p w14:paraId="4908CDCF" w14:textId="77777777" w:rsidR="00D51AA0" w:rsidRPr="00BD3627" w:rsidRDefault="00D51AA0" w:rsidP="0085750C">
      <w:pPr>
        <w:pStyle w:val="Heading3"/>
      </w:pPr>
      <w:bookmarkStart w:id="99" w:name="_Toc409790486"/>
      <w:r w:rsidRPr="00BD3627">
        <w:t>General rules applicable to children involved in civil judicial proceedings regardless of their role</w:t>
      </w:r>
      <w:bookmarkEnd w:id="99"/>
    </w:p>
    <w:p w14:paraId="71CC6081" w14:textId="77777777" w:rsidR="00D51AA0" w:rsidRPr="0085750C" w:rsidRDefault="00D51AA0" w:rsidP="00B93831">
      <w:pPr>
        <w:pStyle w:val="Heading3NoNumb"/>
        <w:ind w:firstLine="851"/>
      </w:pPr>
      <w:bookmarkStart w:id="100" w:name="_Toc409790487"/>
      <w:r w:rsidRPr="0085750C">
        <w:t>Avoiding undue delays and provisional or preliminary decisions</w:t>
      </w:r>
      <w:bookmarkEnd w:id="100"/>
    </w:p>
    <w:p w14:paraId="489F1AB1" w14:textId="77777777" w:rsidR="00D51AA0" w:rsidRPr="0085107A" w:rsidRDefault="00D51AA0" w:rsidP="0085750C">
      <w:pPr>
        <w:pStyle w:val="BodyText"/>
      </w:pPr>
      <w:r w:rsidRPr="0085107A">
        <w:t>In accordance with Article 6 ECHR, the duration of the proceedings must not exceed a reasonable time. The law does not provide an indication as to what constitutes a reasonable time, thus the application of this principle depends on the discretion of a judge, who needs to take into consideration the circumstances and complexity of the case</w:t>
      </w:r>
      <w:r w:rsidRPr="0085107A">
        <w:rPr>
          <w:rStyle w:val="FootnoteReference"/>
        </w:rPr>
        <w:footnoteReference w:id="107"/>
      </w:r>
      <w:r w:rsidRPr="0085107A">
        <w:t>. If no definitive decision has been taken within a reasonable time in civil proceedings, the State may be held liable for any damages caused. The parties can claim for compensation without the need to prove a wrongful act or negligence on the part of the State</w:t>
      </w:r>
      <w:r w:rsidRPr="0085107A">
        <w:rPr>
          <w:rStyle w:val="FootnoteReference"/>
        </w:rPr>
        <w:footnoteReference w:id="108"/>
      </w:r>
      <w:r w:rsidRPr="0085107A">
        <w:t xml:space="preserve">. As children lack legal capacity to act, their legal representatives can file such a claim on their behalves. </w:t>
      </w:r>
    </w:p>
    <w:p w14:paraId="1ACFCC73" w14:textId="77777777" w:rsidR="00D51AA0" w:rsidRPr="0085107A" w:rsidRDefault="00D51AA0" w:rsidP="0085750C">
      <w:pPr>
        <w:pStyle w:val="BodyText"/>
      </w:pPr>
      <w:r w:rsidRPr="0085107A">
        <w:t xml:space="preserve">No other safeguards have been identified requiring that civil proceedings take place without undue delays when children are involved. </w:t>
      </w:r>
    </w:p>
    <w:p w14:paraId="30E30A94" w14:textId="77777777" w:rsidR="00D51AA0" w:rsidRPr="0085107A" w:rsidRDefault="00D51AA0" w:rsidP="0085750C">
      <w:pPr>
        <w:pStyle w:val="BodyText"/>
      </w:pPr>
      <w:r w:rsidRPr="0085107A">
        <w:t xml:space="preserve">Preliminary and provisional decisions may be sought in various cases such as the custody of the child when parents are separating. In custody cases the child would be involved in a role other than those of the plaintiff, defendant and witness. </w:t>
      </w:r>
    </w:p>
    <w:p w14:paraId="1119AF74" w14:textId="77777777" w:rsidR="00D51AA0" w:rsidRPr="0085107A" w:rsidRDefault="00D51AA0" w:rsidP="0085750C">
      <w:pPr>
        <w:pStyle w:val="BodyText"/>
      </w:pPr>
      <w:r w:rsidRPr="0085107A">
        <w:t>The President of the Tribunal of First Instance can adopt urgent interim measures in any matter</w:t>
      </w:r>
      <w:r w:rsidRPr="0085107A" w:rsidDel="0018316F">
        <w:t xml:space="preserve"> </w:t>
      </w:r>
      <w:r w:rsidRPr="0085107A">
        <w:t>via preliminary proceedings (</w:t>
      </w:r>
      <w:r w:rsidRPr="0085107A">
        <w:rPr>
          <w:i/>
        </w:rPr>
        <w:t>référé – kortgeding</w:t>
      </w:r>
      <w:r w:rsidRPr="0085107A">
        <w:t>). Similarly, the President of the Labour Court and the President of the Commercial Court can adopt interim measures for cases under the competence of their respective court</w:t>
      </w:r>
      <w:r w:rsidRPr="0085107A">
        <w:rPr>
          <w:rStyle w:val="FootnoteReference"/>
        </w:rPr>
        <w:footnoteReference w:id="109"/>
      </w:r>
      <w:r w:rsidRPr="0085107A">
        <w:t>. The condition for the Presidents of these courts to hear the case is the urgency of the case. The case is deemed to be urgent, and thus an immediate decision is desirable, when there is risk of severe prejudice or serious inconveniences</w:t>
      </w:r>
      <w:r w:rsidRPr="0085107A">
        <w:rPr>
          <w:rStyle w:val="FootnoteReference"/>
        </w:rPr>
        <w:footnoteReference w:id="110"/>
      </w:r>
      <w:r w:rsidRPr="0085107A">
        <w:t>. The measures adopted are temporary and cannot prejudice a final court’s decision later.</w:t>
      </w:r>
    </w:p>
    <w:p w14:paraId="216CA6E5" w14:textId="77777777" w:rsidR="00D51AA0" w:rsidRPr="0085107A" w:rsidRDefault="00D51AA0" w:rsidP="0085750C">
      <w:pPr>
        <w:pStyle w:val="BodyText"/>
      </w:pPr>
      <w:r w:rsidRPr="0085107A">
        <w:t xml:space="preserve">The Youth Tribunal may also order provisional measures in cases where children are in need of care and protection (see more details below). </w:t>
      </w:r>
    </w:p>
    <w:p w14:paraId="604B6A0B" w14:textId="77777777" w:rsidR="00D51AA0" w:rsidRPr="0085750C" w:rsidRDefault="00D51AA0" w:rsidP="00B93831">
      <w:pPr>
        <w:pStyle w:val="Heading3NoNumb"/>
        <w:ind w:firstLine="851"/>
      </w:pPr>
      <w:bookmarkStart w:id="101" w:name="_Toc409790488"/>
      <w:r w:rsidRPr="0085750C">
        <w:t>Child-friendly environment</w:t>
      </w:r>
      <w:bookmarkEnd w:id="101"/>
    </w:p>
    <w:p w14:paraId="48301371" w14:textId="77777777" w:rsidR="00D51AA0" w:rsidRPr="0085107A" w:rsidRDefault="00D51AA0" w:rsidP="0085750C">
      <w:pPr>
        <w:pStyle w:val="BodyText"/>
        <w:rPr>
          <w:bCs/>
        </w:rPr>
      </w:pPr>
      <w:r w:rsidRPr="0085107A">
        <w:t>When interviewed, the child should be heard in a place that is deemed appropriate by the judge</w:t>
      </w:r>
      <w:r w:rsidRPr="0085107A">
        <w:rPr>
          <w:rStyle w:val="FootnoteReference"/>
          <w:bCs/>
        </w:rPr>
        <w:footnoteReference w:id="111"/>
      </w:r>
      <w:r w:rsidRPr="0085107A">
        <w:rPr>
          <w:bCs/>
        </w:rPr>
        <w:t>. However, the law does not define what is considered an appropriate place. It is not a legal requirement for courts to have child-friendly rooms or child-friendly waiting rooms available. Despite the lack of explicit legal requirement, some courts do have child-friendly rooms</w:t>
      </w:r>
      <w:r w:rsidRPr="0085107A">
        <w:rPr>
          <w:rStyle w:val="FootnoteReference"/>
          <w:bCs/>
        </w:rPr>
        <w:footnoteReference w:id="112"/>
      </w:r>
      <w:r w:rsidRPr="0085107A">
        <w:rPr>
          <w:bCs/>
        </w:rPr>
        <w:t>. Since there are no legal requirements in place, child-friendly rooms are arranged in a manner that the judicial authorities find appropriate.</w:t>
      </w:r>
    </w:p>
    <w:p w14:paraId="7766C205" w14:textId="77777777" w:rsidR="00D51AA0" w:rsidRPr="0085107A" w:rsidRDefault="00D51AA0" w:rsidP="0085750C">
      <w:pPr>
        <w:pStyle w:val="BodyText"/>
        <w:rPr>
          <w:bCs/>
        </w:rPr>
      </w:pPr>
      <w:r w:rsidRPr="0085107A">
        <w:rPr>
          <w:bCs/>
        </w:rPr>
        <w:t xml:space="preserve">As mentioned in </w:t>
      </w:r>
      <w:hyperlink w:anchor="_Provision_of_information_1" w:history="1">
        <w:r w:rsidRPr="0085107A">
          <w:rPr>
            <w:rStyle w:val="Hyperlink"/>
            <w:rFonts w:cs="Arial"/>
            <w:bCs/>
          </w:rPr>
          <w:t>Section 3.2</w:t>
        </w:r>
      </w:hyperlink>
      <w:r w:rsidRPr="0085107A">
        <w:rPr>
          <w:bCs/>
        </w:rPr>
        <w:t>, judicial assistants and social services can support children and their families during the proceedings. The abovementioned services are available to support the child throughout the proceedings.</w:t>
      </w:r>
    </w:p>
    <w:p w14:paraId="3C2E3034" w14:textId="77777777" w:rsidR="00D51AA0" w:rsidRPr="0085107A" w:rsidRDefault="00D51AA0" w:rsidP="0085750C">
      <w:pPr>
        <w:pStyle w:val="BodyText"/>
      </w:pPr>
      <w:r w:rsidRPr="0085107A">
        <w:rPr>
          <w:bCs/>
        </w:rPr>
        <w:t xml:space="preserve">Lastly, in case of conflict between the parents and the child, a guardian ad litem may be appointed by the judge upon request of any interested party or </w:t>
      </w:r>
      <w:r w:rsidRPr="0085107A">
        <w:rPr>
          <w:bCs/>
          <w:i/>
        </w:rPr>
        <w:t>ex officio</w:t>
      </w:r>
      <w:r w:rsidRPr="0085107A">
        <w:rPr>
          <w:rStyle w:val="FootnoteReference"/>
          <w:bCs/>
        </w:rPr>
        <w:footnoteReference w:id="113"/>
      </w:r>
      <w:r w:rsidRPr="0085107A">
        <w:rPr>
          <w:bCs/>
        </w:rPr>
        <w:t xml:space="preserve">. Rules applicable to the appointment of guardians ad litem are described under </w:t>
      </w:r>
      <w:hyperlink w:anchor="_The_child_as" w:history="1">
        <w:r w:rsidRPr="0085107A">
          <w:rPr>
            <w:rStyle w:val="Hyperlink"/>
            <w:rFonts w:cs="Arial"/>
            <w:bCs/>
          </w:rPr>
          <w:t>Section 3.1</w:t>
        </w:r>
      </w:hyperlink>
      <w:r w:rsidRPr="0085107A">
        <w:rPr>
          <w:bCs/>
        </w:rPr>
        <w:t>.</w:t>
      </w:r>
    </w:p>
    <w:p w14:paraId="52FC146E" w14:textId="77777777" w:rsidR="00D51AA0" w:rsidRPr="0085107A" w:rsidRDefault="00D51AA0" w:rsidP="0085750C">
      <w:pPr>
        <w:pStyle w:val="BodyText"/>
        <w:rPr>
          <w:bCs/>
        </w:rPr>
      </w:pPr>
      <w:r w:rsidRPr="0085107A">
        <w:rPr>
          <w:bCs/>
        </w:rPr>
        <w:lastRenderedPageBreak/>
        <w:t>No other legal requirements have been identified with regard to child-friendly environment</w:t>
      </w:r>
      <w:r w:rsidRPr="0085107A">
        <w:rPr>
          <w:rStyle w:val="FootnoteReference"/>
          <w:bCs/>
        </w:rPr>
        <w:footnoteReference w:id="114"/>
      </w:r>
      <w:r w:rsidRPr="0085107A">
        <w:rPr>
          <w:bCs/>
        </w:rPr>
        <w:t xml:space="preserve">. </w:t>
      </w:r>
    </w:p>
    <w:p w14:paraId="2BA89C20" w14:textId="77777777" w:rsidR="00D51AA0" w:rsidRPr="0085107A" w:rsidRDefault="00D51AA0" w:rsidP="0085750C">
      <w:pPr>
        <w:pStyle w:val="BodyText"/>
        <w:rPr>
          <w:bCs/>
        </w:rPr>
      </w:pPr>
      <w:r w:rsidRPr="0085107A">
        <w:rPr>
          <w:bCs/>
        </w:rPr>
        <w:t xml:space="preserve">No legal requirements are in place to provide support to children in highly conflictual proceedings. </w:t>
      </w:r>
    </w:p>
    <w:p w14:paraId="7E7A3B22" w14:textId="77777777" w:rsidR="00D51AA0" w:rsidRPr="0085750C" w:rsidRDefault="00D51AA0" w:rsidP="00B93831">
      <w:pPr>
        <w:pStyle w:val="Heading3NoNumb"/>
        <w:ind w:firstLine="851"/>
      </w:pPr>
      <w:bookmarkStart w:id="102" w:name="_Toc409790489"/>
      <w:r w:rsidRPr="0085750C">
        <w:t>Protecting a child from harm and holding of the procedure in camera</w:t>
      </w:r>
      <w:bookmarkEnd w:id="102"/>
    </w:p>
    <w:p w14:paraId="323B7A71" w14:textId="77777777" w:rsidR="00D51AA0" w:rsidRPr="0085107A" w:rsidRDefault="00D51AA0" w:rsidP="0085750C">
      <w:pPr>
        <w:pStyle w:val="BodyText"/>
        <w:rPr>
          <w:rFonts w:eastAsia="Times New Roman"/>
          <w:bCs/>
        </w:rPr>
      </w:pPr>
      <w:r w:rsidRPr="0085107A">
        <w:t xml:space="preserve">As mentioned in </w:t>
      </w:r>
      <w:hyperlink w:anchor="_Protection_of_the" w:history="1">
        <w:r w:rsidRPr="0085107A">
          <w:rPr>
            <w:rStyle w:val="Hyperlink"/>
            <w:rFonts w:cs="Arial"/>
          </w:rPr>
          <w:t>Section 3.3</w:t>
        </w:r>
      </w:hyperlink>
      <w:r w:rsidRPr="0085107A">
        <w:t>, court and tribunal hearings are open to the public. However, a judge may decide to meet in a closed hearing, if a public hearing would go against public order or morals</w:t>
      </w:r>
      <w:r w:rsidRPr="0085107A">
        <w:rPr>
          <w:rStyle w:val="FootnoteReference"/>
        </w:rPr>
        <w:footnoteReference w:id="115"/>
      </w:r>
      <w:r w:rsidRPr="0085107A">
        <w:t>. E</w:t>
      </w:r>
      <w:r w:rsidRPr="0085107A">
        <w:rPr>
          <w:rFonts w:eastAsia="Times New Roman"/>
          <w:bCs/>
        </w:rPr>
        <w:t xml:space="preserve">ither party may also request the court to hold the trial or part of it </w:t>
      </w:r>
      <w:r w:rsidRPr="0085107A">
        <w:rPr>
          <w:rFonts w:eastAsia="Times New Roman"/>
          <w:bCs/>
          <w:i/>
        </w:rPr>
        <w:t>in camera</w:t>
      </w:r>
      <w:r w:rsidRPr="0085107A">
        <w:rPr>
          <w:rFonts w:eastAsia="Times New Roman"/>
          <w:bCs/>
        </w:rPr>
        <w:t>, where the interests of the child or the protection of privacy so requires</w:t>
      </w:r>
      <w:r w:rsidRPr="0085107A">
        <w:rPr>
          <w:rStyle w:val="FootnoteReference"/>
          <w:rFonts w:eastAsia="Times New Roman"/>
          <w:bCs/>
        </w:rPr>
        <w:footnoteReference w:id="116"/>
      </w:r>
      <w:r w:rsidRPr="0085107A">
        <w:rPr>
          <w:rFonts w:eastAsia="Times New Roman"/>
          <w:bCs/>
        </w:rPr>
        <w:t xml:space="preserve">. Children parties cannot file such requests in their own right as they lack legal capacity to act. Their legal representative may file such requests on behalf of their children. </w:t>
      </w:r>
    </w:p>
    <w:p w14:paraId="2ED51AE4" w14:textId="77777777" w:rsidR="00D51AA0" w:rsidRPr="0085107A" w:rsidRDefault="00D51AA0" w:rsidP="0085750C">
      <w:pPr>
        <w:pStyle w:val="BodyText"/>
      </w:pPr>
      <w:r w:rsidRPr="00EE7230">
        <w:t xml:space="preserve">As explained in </w:t>
      </w:r>
      <w:hyperlink w:anchor="_Protection_of_the" w:history="1">
        <w:r w:rsidRPr="00EE7230">
          <w:rPr>
            <w:rStyle w:val="Hyperlink"/>
            <w:rFonts w:cs="Arial"/>
          </w:rPr>
          <w:t>Section 3.3</w:t>
        </w:r>
      </w:hyperlink>
      <w:r w:rsidRPr="00EE7230">
        <w:t xml:space="preserve">, it is an established practice that the media cannot record or film any hearing or take pictures during the hearing. The </w:t>
      </w:r>
      <w:hyperlink r:id="rId51" w:history="1">
        <w:r w:rsidRPr="00EE7230">
          <w:rPr>
            <w:rStyle w:val="Hyperlink"/>
            <w:rFonts w:cs="Arial"/>
          </w:rPr>
          <w:t>Criminal Code</w:t>
        </w:r>
      </w:hyperlink>
      <w:r w:rsidRPr="00EE7230">
        <w:t xml:space="preserve"> explicitly prohibits the publication or dissemination by the media of discussions relating to proceedings before the Youth Court and its Appeal Court.</w:t>
      </w:r>
      <w:r w:rsidRPr="0085107A">
        <w:t xml:space="preserve"> Only the </w:t>
      </w:r>
      <w:r>
        <w:t>judgement</w:t>
      </w:r>
      <w:r w:rsidRPr="0085107A">
        <w:t xml:space="preserve"> is pronounced in public hearing</w:t>
      </w:r>
      <w:r w:rsidRPr="0085107A">
        <w:rPr>
          <w:rStyle w:val="FootnoteReference"/>
        </w:rPr>
        <w:footnoteReference w:id="117"/>
      </w:r>
      <w:r w:rsidRPr="0085107A">
        <w:t xml:space="preserve">. </w:t>
      </w:r>
      <w:r w:rsidRPr="00EE7230">
        <w:t>Children have a right to the privacy of their image, which cannot be used without their legal representative’s consent or their own consent if they have the capacity of discernment</w:t>
      </w:r>
      <w:r w:rsidRPr="00EE7230">
        <w:rPr>
          <w:rStyle w:val="FootnoteReference"/>
        </w:rPr>
        <w:footnoteReference w:id="118"/>
      </w:r>
      <w:r w:rsidRPr="00EE7230">
        <w:t>.</w:t>
      </w:r>
      <w:r w:rsidRPr="0085107A">
        <w:t xml:space="preserve"> </w:t>
      </w:r>
    </w:p>
    <w:p w14:paraId="40756E80" w14:textId="77777777" w:rsidR="00D51AA0" w:rsidRPr="0085107A" w:rsidRDefault="00D51AA0" w:rsidP="0085750C">
      <w:pPr>
        <w:pStyle w:val="BodyText"/>
        <w:rPr>
          <w:bCs/>
        </w:rPr>
      </w:pPr>
      <w:r w:rsidRPr="0085107A">
        <w:rPr>
          <w:bCs/>
        </w:rPr>
        <w:t>There are no measures in place allowing the use of audio-video recording of the child’s interview in civil proceedings. Audio-video recording is only possible for the hearing of child victims in criminal proceedings</w:t>
      </w:r>
      <w:r w:rsidRPr="0085107A">
        <w:rPr>
          <w:rStyle w:val="FootnoteReference"/>
          <w:bCs/>
        </w:rPr>
        <w:footnoteReference w:id="119"/>
      </w:r>
      <w:r w:rsidRPr="0085107A">
        <w:rPr>
          <w:bCs/>
        </w:rPr>
        <w:t xml:space="preserve">. </w:t>
      </w:r>
      <w:r w:rsidRPr="0085107A">
        <w:t>The objective of the interview is to take the child’s opinion into account as opposed to using the interview as formal evidence. As a result, the reason for the absence of audio-video recording measures is to ensure that what the child says in the interview will not be used against him/her</w:t>
      </w:r>
      <w:r w:rsidRPr="0085107A">
        <w:rPr>
          <w:rStyle w:val="FootnoteReference"/>
        </w:rPr>
        <w:footnoteReference w:id="120"/>
      </w:r>
      <w:r w:rsidRPr="0085107A">
        <w:t>.</w:t>
      </w:r>
    </w:p>
    <w:p w14:paraId="741CFDE3" w14:textId="77777777" w:rsidR="00D51AA0" w:rsidRPr="0085750C" w:rsidRDefault="00D51AA0" w:rsidP="00B93831">
      <w:pPr>
        <w:pStyle w:val="Heading3NoNumb"/>
        <w:ind w:firstLine="851"/>
      </w:pPr>
      <w:bookmarkStart w:id="103" w:name="_Toc409790490"/>
      <w:r w:rsidRPr="0085750C">
        <w:t>Adjusting the procedure to the child’s pace and attention span</w:t>
      </w:r>
      <w:bookmarkEnd w:id="103"/>
    </w:p>
    <w:p w14:paraId="1744E20E" w14:textId="77777777" w:rsidR="00D51AA0" w:rsidRPr="0085107A" w:rsidRDefault="00D51AA0" w:rsidP="0085750C">
      <w:pPr>
        <w:pStyle w:val="BodyText"/>
        <w:rPr>
          <w:bCs/>
        </w:rPr>
      </w:pPr>
      <w:r w:rsidRPr="0085107A">
        <w:rPr>
          <w:bCs/>
        </w:rPr>
        <w:t>No legal provisions have been identified requiring the adjustment of the procedure to the child’s pace and attention span, or to any communication difficulties the child may have</w:t>
      </w:r>
      <w:r w:rsidRPr="0085107A">
        <w:rPr>
          <w:rStyle w:val="FootnoteReference"/>
          <w:bCs/>
        </w:rPr>
        <w:footnoteReference w:id="121"/>
      </w:r>
      <w:r w:rsidRPr="0085107A">
        <w:rPr>
          <w:bCs/>
        </w:rPr>
        <w:t xml:space="preserve">. </w:t>
      </w:r>
    </w:p>
    <w:p w14:paraId="48A0FED7" w14:textId="77777777" w:rsidR="00D51AA0" w:rsidRPr="0085750C" w:rsidRDefault="00D51AA0" w:rsidP="00B93831">
      <w:pPr>
        <w:pStyle w:val="Heading3NoNumb"/>
        <w:ind w:firstLine="851"/>
      </w:pPr>
      <w:bookmarkStart w:id="104" w:name="_Toc409790491"/>
      <w:r w:rsidRPr="0085750C">
        <w:t>Temporary measures for the protection of the child from harm</w:t>
      </w:r>
      <w:bookmarkEnd w:id="104"/>
    </w:p>
    <w:p w14:paraId="635D4A15" w14:textId="77777777" w:rsidR="00D51AA0" w:rsidRPr="0085107A" w:rsidRDefault="00D51AA0" w:rsidP="0085750C">
      <w:pPr>
        <w:pStyle w:val="BodyText"/>
      </w:pPr>
      <w:r w:rsidRPr="0085107A">
        <w:t xml:space="preserve">As mentioned in the children in criminal proceedings report, the Youth Tribunal is competent to receive the crown prosecutor’s submissions relating to children </w:t>
      </w:r>
      <w:r>
        <w:t>in danger</w:t>
      </w:r>
      <w:r w:rsidRPr="0085107A">
        <w:rPr>
          <w:vertAlign w:val="superscript"/>
        </w:rPr>
        <w:footnoteReference w:id="122"/>
      </w:r>
      <w:r w:rsidRPr="0085107A">
        <w:t xml:space="preserve">. </w:t>
      </w:r>
    </w:p>
    <w:p w14:paraId="0CEFE884" w14:textId="77777777" w:rsidR="00D51AA0" w:rsidRPr="0085107A" w:rsidRDefault="00D51AA0" w:rsidP="0085750C">
      <w:pPr>
        <w:pStyle w:val="BodyText"/>
      </w:pPr>
      <w:r w:rsidRPr="0085107A">
        <w:t>The Youth Tribunal can order measures, including measures against parents, as well as measures relating to custody, protection, education, or placement of the child in a host family or in the care of a specialised centre. Where the presence of an adult person poses a serious and immediate risk to the safety of one or more persons living in the same residence, the crown prosecutor may issue a restraining order. The restraining order includes both the duty to leave the house and to refrain from contact with person at serious and immediate risk</w:t>
      </w:r>
      <w:r w:rsidRPr="0085107A">
        <w:rPr>
          <w:vertAlign w:val="superscript"/>
        </w:rPr>
        <w:footnoteReference w:id="123"/>
      </w:r>
      <w:r w:rsidRPr="0085107A">
        <w:t>.</w:t>
      </w:r>
    </w:p>
    <w:p w14:paraId="6AB7BE1B" w14:textId="77777777" w:rsidR="00D51AA0" w:rsidRPr="0085107A" w:rsidRDefault="00D51AA0" w:rsidP="0085750C">
      <w:pPr>
        <w:pStyle w:val="BodyText"/>
        <w:rPr>
          <w:bCs/>
        </w:rPr>
      </w:pPr>
      <w:r w:rsidRPr="0085107A">
        <w:rPr>
          <w:bCs/>
        </w:rPr>
        <w:t xml:space="preserve">In situations where the child is at a risk of danger or would need to be placed into care, any interested person – such as a grandparent or an aunt – may request the Youth Tribunal to put the child temporarily under their care. The person who temporarily takes care of the child </w:t>
      </w:r>
      <w:r w:rsidRPr="0085107A">
        <w:rPr>
          <w:bCs/>
        </w:rPr>
        <w:lastRenderedPageBreak/>
        <w:t>would not however have parental authority over the child. While there is no clear statutory basis for filing such a request and it is disputed by the case-law, the Court of Cassation has approved such order</w:t>
      </w:r>
      <w:r w:rsidRPr="0085107A">
        <w:rPr>
          <w:rStyle w:val="FootnoteReference"/>
          <w:bCs/>
        </w:rPr>
        <w:footnoteReference w:id="124"/>
      </w:r>
      <w:r w:rsidRPr="0085107A">
        <w:rPr>
          <w:bCs/>
        </w:rPr>
        <w:t>.</w:t>
      </w:r>
    </w:p>
    <w:p w14:paraId="26050DD1" w14:textId="77777777" w:rsidR="00D51AA0" w:rsidRPr="0085107A" w:rsidRDefault="00D51AA0" w:rsidP="0085750C">
      <w:pPr>
        <w:pStyle w:val="BodyText"/>
        <w:rPr>
          <w:bCs/>
        </w:rPr>
      </w:pPr>
      <w:r w:rsidRPr="0085107A">
        <w:rPr>
          <w:bCs/>
        </w:rPr>
        <w:t>It is a requirement for a judge (with the exception of civil magistrate judges) to inform the crown prosecutor’s office when a child is involved in a proceeding</w:t>
      </w:r>
      <w:r w:rsidRPr="0085107A">
        <w:rPr>
          <w:rStyle w:val="FootnoteReference"/>
          <w:bCs/>
        </w:rPr>
        <w:footnoteReference w:id="125"/>
      </w:r>
      <w:r w:rsidRPr="0085107A">
        <w:rPr>
          <w:bCs/>
        </w:rPr>
        <w:t>. The crown prosecutor is then invited to submit his/her opinion to the court on the case and to defend the child’s interests. In addition, the crown prosecutor, having the knowledge of the need of the child for protection, may request the Youth Tribunal to take the measures mentioned above.</w:t>
      </w:r>
    </w:p>
    <w:p w14:paraId="2AEFD601" w14:textId="77777777" w:rsidR="00D51AA0" w:rsidRPr="0085107A" w:rsidRDefault="00D51AA0" w:rsidP="0085750C">
      <w:pPr>
        <w:pStyle w:val="BodyText"/>
      </w:pPr>
      <w:r w:rsidRPr="0085107A">
        <w:rPr>
          <w:bCs/>
        </w:rPr>
        <w:t>Social services and the crown prosecutor’s office may also bring the case to the attention of the Youth Judge and initiate proceedings in the case of the crown prosecutor’s office</w:t>
      </w:r>
      <w:r w:rsidRPr="0085107A">
        <w:rPr>
          <w:rStyle w:val="FootnoteReference"/>
          <w:bCs/>
        </w:rPr>
        <w:footnoteReference w:id="126"/>
      </w:r>
      <w:r w:rsidRPr="0085107A">
        <w:rPr>
          <w:bCs/>
        </w:rPr>
        <w:t xml:space="preserve">. </w:t>
      </w:r>
    </w:p>
    <w:p w14:paraId="4DF1BE5A" w14:textId="77777777" w:rsidR="00D51AA0" w:rsidRPr="0085750C" w:rsidRDefault="00D51AA0" w:rsidP="0085750C">
      <w:pPr>
        <w:pStyle w:val="BodyText"/>
        <w:rPr>
          <w:rFonts w:ascii="Calibri" w:eastAsiaTheme="majorEastAsia" w:hAnsi="Calibri" w:cstheme="majorBidi"/>
          <w:b/>
          <w:bCs/>
          <w:i/>
          <w:iCs/>
          <w:color w:val="0067AC"/>
          <w:sz w:val="22"/>
        </w:rPr>
      </w:pPr>
      <w:r w:rsidRPr="0085750C">
        <w:rPr>
          <w:rFonts w:ascii="Calibri" w:eastAsiaTheme="majorEastAsia" w:hAnsi="Calibri" w:cstheme="majorBidi"/>
          <w:b/>
          <w:bCs/>
          <w:i/>
          <w:iCs/>
          <w:color w:val="0067AC"/>
          <w:sz w:val="22"/>
        </w:rPr>
        <w:t xml:space="preserve">The child as a plaintiff/complainant </w:t>
      </w:r>
    </w:p>
    <w:p w14:paraId="4E20624E" w14:textId="77777777" w:rsidR="00D51AA0" w:rsidRPr="0085107A" w:rsidRDefault="00D51AA0" w:rsidP="0085750C">
      <w:pPr>
        <w:pStyle w:val="BodyText"/>
        <w:rPr>
          <w:rFonts w:eastAsia="Times New Roman"/>
          <w:bCs/>
        </w:rPr>
      </w:pPr>
      <w:r w:rsidRPr="0085107A">
        <w:rPr>
          <w:rFonts w:eastAsia="Times New Roman"/>
          <w:bCs/>
        </w:rPr>
        <w:t xml:space="preserve">The general rules apply to plaintiffs. No additional rules have been identified. As mentioned above (see </w:t>
      </w:r>
      <w:hyperlink w:anchor="_The_child_as" w:history="1">
        <w:r w:rsidRPr="0085107A">
          <w:rPr>
            <w:rStyle w:val="Hyperlink"/>
            <w:rFonts w:eastAsia="Times New Roman" w:cs="Arial"/>
            <w:bCs/>
          </w:rPr>
          <w:t>Section 3.1.</w:t>
        </w:r>
      </w:hyperlink>
      <w:r w:rsidRPr="0085107A">
        <w:rPr>
          <w:rFonts w:eastAsia="Times New Roman"/>
          <w:bCs/>
        </w:rPr>
        <w:t>),</w:t>
      </w:r>
      <w:r w:rsidRPr="0085107A">
        <w:rPr>
          <w:bCs/>
        </w:rPr>
        <w:t xml:space="preserve"> as a result of the child’s lack of legal capacity to act, the child’s legal representative will act on behalf of the child.</w:t>
      </w:r>
    </w:p>
    <w:p w14:paraId="4B681B7C" w14:textId="77777777" w:rsidR="00D51AA0" w:rsidRPr="0085750C" w:rsidRDefault="00D51AA0" w:rsidP="0085750C">
      <w:pPr>
        <w:pStyle w:val="BodyText"/>
        <w:rPr>
          <w:rFonts w:ascii="Calibri" w:eastAsiaTheme="majorEastAsia" w:hAnsi="Calibri" w:cstheme="majorBidi"/>
          <w:b/>
          <w:bCs/>
          <w:i/>
          <w:iCs/>
          <w:color w:val="0067AC"/>
          <w:sz w:val="22"/>
        </w:rPr>
      </w:pPr>
      <w:r w:rsidRPr="0085750C">
        <w:rPr>
          <w:rFonts w:ascii="Calibri" w:eastAsiaTheme="majorEastAsia" w:hAnsi="Calibri" w:cstheme="majorBidi"/>
          <w:b/>
          <w:bCs/>
          <w:i/>
          <w:iCs/>
          <w:color w:val="0067AC"/>
          <w:sz w:val="22"/>
        </w:rPr>
        <w:t xml:space="preserve">The child as a defendant </w:t>
      </w:r>
    </w:p>
    <w:p w14:paraId="73F33305" w14:textId="77777777" w:rsidR="00D51AA0" w:rsidRPr="0085107A" w:rsidRDefault="00D51AA0" w:rsidP="0085750C">
      <w:pPr>
        <w:pStyle w:val="BodyText"/>
        <w:rPr>
          <w:rFonts w:eastAsia="Times New Roman"/>
          <w:bCs/>
        </w:rPr>
      </w:pPr>
      <w:r w:rsidRPr="0085107A">
        <w:rPr>
          <w:rFonts w:eastAsia="Times New Roman"/>
          <w:bCs/>
        </w:rPr>
        <w:t>The general rules apply to defendants. No additional rules have been identified. As mentioned above,</w:t>
      </w:r>
      <w:r w:rsidRPr="0085107A">
        <w:rPr>
          <w:bCs/>
        </w:rPr>
        <w:t xml:space="preserve"> as a result of the child’s lack of legal capacity to act, the child’s legal representative will act on behalf of the child.</w:t>
      </w:r>
    </w:p>
    <w:p w14:paraId="53F931E3" w14:textId="77777777" w:rsidR="00D51AA0" w:rsidRPr="0085750C" w:rsidRDefault="00D51AA0" w:rsidP="0085750C">
      <w:pPr>
        <w:pStyle w:val="BodyText"/>
        <w:rPr>
          <w:rFonts w:ascii="Calibri" w:eastAsiaTheme="majorEastAsia" w:hAnsi="Calibri" w:cstheme="majorBidi"/>
          <w:b/>
          <w:bCs/>
          <w:i/>
          <w:iCs/>
          <w:color w:val="0067AC"/>
          <w:sz w:val="22"/>
        </w:rPr>
      </w:pPr>
      <w:r w:rsidRPr="0085750C">
        <w:rPr>
          <w:rFonts w:ascii="Calibri" w:eastAsiaTheme="majorEastAsia" w:hAnsi="Calibri" w:cstheme="majorBidi"/>
          <w:b/>
          <w:bCs/>
          <w:i/>
          <w:iCs/>
          <w:color w:val="0067AC"/>
          <w:sz w:val="22"/>
        </w:rPr>
        <w:t>The child as a witness</w:t>
      </w:r>
    </w:p>
    <w:p w14:paraId="19FBC109" w14:textId="77777777" w:rsidR="00D51AA0" w:rsidRPr="0085107A" w:rsidRDefault="00D51AA0" w:rsidP="0085750C">
      <w:pPr>
        <w:pStyle w:val="BodyText"/>
        <w:rPr>
          <w:rFonts w:eastAsia="Times New Roman"/>
          <w:bCs/>
        </w:rPr>
      </w:pPr>
      <w:r w:rsidRPr="0085107A">
        <w:rPr>
          <w:rFonts w:eastAsia="Times New Roman"/>
          <w:bCs/>
        </w:rPr>
        <w:t xml:space="preserve">The same rules apply to witnesses as to plaintiffs and defendants except for the rules, rights and obligations linked to the status of parties to a proceeding (e.g. such as the right to request that the hearing is held </w:t>
      </w:r>
      <w:r w:rsidRPr="0085107A">
        <w:rPr>
          <w:rFonts w:eastAsia="Times New Roman"/>
          <w:bCs/>
          <w:i/>
        </w:rPr>
        <w:t>in camera</w:t>
      </w:r>
      <w:r w:rsidRPr="0085107A">
        <w:rPr>
          <w:rFonts w:eastAsia="Times New Roman"/>
          <w:bCs/>
        </w:rPr>
        <w:t>) since a witness is not considered a party to a proceeding.</w:t>
      </w:r>
    </w:p>
    <w:p w14:paraId="6A293B80" w14:textId="77777777" w:rsidR="00D51AA0" w:rsidRPr="0085750C" w:rsidRDefault="00D51AA0" w:rsidP="0085750C">
      <w:pPr>
        <w:pStyle w:val="BodyText"/>
        <w:rPr>
          <w:rFonts w:ascii="Calibri" w:eastAsiaTheme="majorEastAsia" w:hAnsi="Calibri" w:cstheme="majorBidi"/>
          <w:b/>
          <w:bCs/>
          <w:i/>
          <w:iCs/>
          <w:color w:val="0067AC"/>
          <w:sz w:val="22"/>
        </w:rPr>
      </w:pPr>
      <w:r w:rsidRPr="0085750C">
        <w:rPr>
          <w:rFonts w:ascii="Calibri" w:eastAsiaTheme="majorEastAsia" w:hAnsi="Calibri" w:cstheme="majorBidi"/>
          <w:b/>
          <w:bCs/>
          <w:i/>
          <w:iCs/>
          <w:color w:val="0067AC"/>
          <w:sz w:val="22"/>
        </w:rPr>
        <w:t>The child in any other role</w:t>
      </w:r>
    </w:p>
    <w:p w14:paraId="4ADC9768" w14:textId="77777777" w:rsidR="00D51AA0" w:rsidRPr="0085107A" w:rsidRDefault="00D51AA0" w:rsidP="0085750C">
      <w:pPr>
        <w:pStyle w:val="BodyText"/>
      </w:pPr>
      <w:r w:rsidRPr="0085107A">
        <w:t xml:space="preserve">With regard to avoiding undue delays in proceedings involving children, in addition to the requirement of reasonable duration of proceedings, fast-track procedures are foreseen for the enforcement of family law decisions (see </w:t>
      </w:r>
      <w:hyperlink w:anchor="_Enforcement_of_civil" w:history="1">
        <w:r w:rsidRPr="0085107A">
          <w:rPr>
            <w:rStyle w:val="Hyperlink"/>
            <w:rFonts w:cs="Arial"/>
          </w:rPr>
          <w:t>Section 3.11</w:t>
        </w:r>
      </w:hyperlink>
      <w:r w:rsidRPr="0085107A">
        <w:t xml:space="preserve">). </w:t>
      </w:r>
    </w:p>
    <w:p w14:paraId="0BA95EEE" w14:textId="77777777" w:rsidR="00D51AA0" w:rsidRPr="0085107A" w:rsidRDefault="00D51AA0" w:rsidP="0085750C">
      <w:pPr>
        <w:pStyle w:val="BodyText"/>
      </w:pPr>
      <w:r w:rsidRPr="0085107A">
        <w:t>In divorce proceedings, the Youth Tribunal hears cases on parental authority. Even after a decision is made, the case stays filed with the Tribunal until the child reaches 18 years of age or is emancipated. The reason for keeping the case file lies in the aim of providing a possibility for the quick referral of the case back to a youth judge in cases where new elements occur</w:t>
      </w:r>
      <w:r w:rsidRPr="0085107A">
        <w:rPr>
          <w:rStyle w:val="FootnoteReference"/>
        </w:rPr>
        <w:footnoteReference w:id="127"/>
      </w:r>
      <w:r w:rsidRPr="0085107A">
        <w:t>.</w:t>
      </w:r>
    </w:p>
    <w:p w14:paraId="7BAB8462" w14:textId="77777777" w:rsidR="00D51AA0" w:rsidRPr="0085107A" w:rsidRDefault="00D51AA0" w:rsidP="0085750C">
      <w:pPr>
        <w:pStyle w:val="BodyText"/>
        <w:rPr>
          <w:bCs/>
        </w:rPr>
      </w:pPr>
      <w:r w:rsidRPr="0085107A">
        <w:t xml:space="preserve">The </w:t>
      </w:r>
      <w:hyperlink r:id="rId52" w:history="1">
        <w:r w:rsidRPr="0085107A">
          <w:rPr>
            <w:rStyle w:val="Hyperlink"/>
            <w:rFonts w:cs="Arial"/>
          </w:rPr>
          <w:t>new Act for the creation of the Family and Youth Tribunal</w:t>
        </w:r>
      </w:hyperlink>
      <w:r w:rsidRPr="0085107A">
        <w:t xml:space="preserve">, which is not yet into force, establishes that cases related </w:t>
      </w:r>
      <w:r w:rsidRPr="0085107A">
        <w:rPr>
          <w:i/>
        </w:rPr>
        <w:t>inter alia</w:t>
      </w:r>
      <w:r w:rsidRPr="0085107A">
        <w:t xml:space="preserve"> to parental authority, access rights and maintenance rights should be considered as urgent. Urgent cases will need to be heard in accordance with the proceedings for preliminary </w:t>
      </w:r>
      <w:r>
        <w:t>judgement</w:t>
      </w:r>
      <w:r w:rsidRPr="0085107A">
        <w:t>s</w:t>
      </w:r>
      <w:r w:rsidRPr="0085107A">
        <w:rPr>
          <w:rStyle w:val="FootnoteReference"/>
        </w:rPr>
        <w:footnoteReference w:id="128"/>
      </w:r>
      <w:r w:rsidRPr="0085107A">
        <w:t>.</w:t>
      </w:r>
    </w:p>
    <w:p w14:paraId="7E029F14" w14:textId="77777777" w:rsidR="00D51AA0" w:rsidRPr="0085107A" w:rsidRDefault="00D51AA0" w:rsidP="0085750C">
      <w:pPr>
        <w:pStyle w:val="BodyText"/>
      </w:pPr>
      <w:r w:rsidRPr="0085107A">
        <w:t>The Civil Magistrate’s Court is also competent to take urgent decisions and order temporary measures with regard to parents (married or legal cohabitants) and their children, as well as their properties</w:t>
      </w:r>
      <w:r w:rsidRPr="0085107A">
        <w:rPr>
          <w:rStyle w:val="FootnoteReference"/>
        </w:rPr>
        <w:footnoteReference w:id="129"/>
      </w:r>
      <w:r w:rsidRPr="0085107A">
        <w:t xml:space="preserve">. The Civil Magistrate’s Court will order measures during the separation of the parents, which is a procedure preceding the divorce proceedings conducted by the Court of First Instance. During divorce proceedings, one or both parents can petition the President of the Court of First Instance to order provisional measures concerning their children and </w:t>
      </w:r>
      <w:r w:rsidRPr="0085107A">
        <w:lastRenderedPageBreak/>
        <w:t>maintenance allowances. The judge must hear the children and take into consideration their opinion when deciding on such measures</w:t>
      </w:r>
      <w:r w:rsidRPr="0085107A">
        <w:rPr>
          <w:rStyle w:val="FootnoteReference"/>
        </w:rPr>
        <w:footnoteReference w:id="130"/>
      </w:r>
      <w:r w:rsidRPr="0085107A">
        <w:t>. These measures also remain valid after a decision on divorce until revocation by the Youth Tribunal</w:t>
      </w:r>
      <w:r w:rsidRPr="0085107A">
        <w:rPr>
          <w:rStyle w:val="FootnoteReference"/>
        </w:rPr>
        <w:footnoteReference w:id="131"/>
      </w:r>
      <w:r w:rsidRPr="0085107A">
        <w:t xml:space="preserve">. </w:t>
      </w:r>
    </w:p>
    <w:p w14:paraId="459DCFA8" w14:textId="77777777" w:rsidR="00D51AA0" w:rsidRPr="0085107A" w:rsidRDefault="00D51AA0" w:rsidP="0085750C">
      <w:pPr>
        <w:pStyle w:val="BodyText"/>
      </w:pPr>
      <w:r w:rsidRPr="0085107A">
        <w:t>With respect to provisional measures, the Youth Tribunal hearing cases on parental authority issues may also take interim measures either to know more about the case (social inquiry of the parties) or to temporary settle the situation of the parties</w:t>
      </w:r>
      <w:r w:rsidRPr="0085107A">
        <w:rPr>
          <w:rStyle w:val="FootnoteReference"/>
        </w:rPr>
        <w:footnoteReference w:id="132"/>
      </w:r>
      <w:r w:rsidRPr="0085107A">
        <w:t xml:space="preserve">. </w:t>
      </w:r>
    </w:p>
    <w:p w14:paraId="52343094" w14:textId="77777777" w:rsidR="00D51AA0" w:rsidRPr="0085107A" w:rsidRDefault="00D51AA0" w:rsidP="0085750C">
      <w:pPr>
        <w:pStyle w:val="BodyText"/>
      </w:pPr>
      <w:r w:rsidRPr="0085107A">
        <w:t xml:space="preserve">The </w:t>
      </w:r>
      <w:hyperlink r:id="rId53" w:history="1">
        <w:r w:rsidRPr="0085107A">
          <w:rPr>
            <w:rStyle w:val="Hyperlink"/>
            <w:rFonts w:cs="Arial"/>
          </w:rPr>
          <w:t>new Act for the creation of the Family and Youth Tribunal</w:t>
        </w:r>
      </w:hyperlink>
      <w:r w:rsidRPr="0085107A">
        <w:t xml:space="preserve"> gives competence to the new Tribunal to take temporary measures with regard to parental authority, access rights, maintenance rights or residence of the parents</w:t>
      </w:r>
      <w:r w:rsidRPr="0085107A">
        <w:rPr>
          <w:rStyle w:val="FootnoteReference"/>
        </w:rPr>
        <w:footnoteReference w:id="133"/>
      </w:r>
      <w:r w:rsidRPr="0085107A">
        <w:t>.</w:t>
      </w:r>
    </w:p>
    <w:p w14:paraId="0DD55586" w14:textId="2D0C98A4" w:rsidR="00D51AA0" w:rsidRPr="0085750C" w:rsidRDefault="00D51AA0" w:rsidP="0085750C">
      <w:pPr>
        <w:pStyle w:val="BodyText"/>
        <w:rPr>
          <w:rFonts w:eastAsia="Times New Roman"/>
          <w:bCs/>
        </w:rPr>
      </w:pPr>
      <w:r w:rsidRPr="0085107A">
        <w:rPr>
          <w:rFonts w:eastAsia="Times New Roman"/>
          <w:bCs/>
        </w:rPr>
        <w:t xml:space="preserve">The general rules described above also apply to children in any other role except for the rules, rights and obligations linked to the status of parties to proceedings (e.g. such as the right to request that the hearing is held </w:t>
      </w:r>
      <w:r w:rsidRPr="0085107A">
        <w:rPr>
          <w:rFonts w:eastAsia="Times New Roman"/>
          <w:bCs/>
          <w:i/>
        </w:rPr>
        <w:t>in camera</w:t>
      </w:r>
      <w:r w:rsidRPr="0085107A">
        <w:rPr>
          <w:rFonts w:eastAsia="Times New Roman"/>
          <w:bCs/>
        </w:rPr>
        <w:t>) since a child in any other role is not considered a party to a proceeding.</w:t>
      </w:r>
    </w:p>
    <w:p w14:paraId="4C3EBBD0" w14:textId="77777777" w:rsidR="00D51AA0" w:rsidRPr="0085107A" w:rsidRDefault="00D51AA0" w:rsidP="0085750C">
      <w:pPr>
        <w:pStyle w:val="Heading2"/>
      </w:pPr>
      <w:bookmarkStart w:id="105" w:name="_Protecting_the_child"/>
      <w:bookmarkStart w:id="106" w:name="_Toc338234114"/>
      <w:bookmarkStart w:id="107" w:name="_Toc350439429"/>
      <w:bookmarkStart w:id="108" w:name="_Toc409790492"/>
      <w:bookmarkEnd w:id="105"/>
      <w:r w:rsidRPr="0085107A">
        <w:t>Protecting the child during interviews and when giving testimony</w:t>
      </w:r>
      <w:bookmarkEnd w:id="106"/>
      <w:bookmarkEnd w:id="107"/>
      <w:bookmarkEnd w:id="108"/>
    </w:p>
    <w:p w14:paraId="1DB7F501" w14:textId="77777777" w:rsidR="00D51AA0" w:rsidRPr="00BD3627" w:rsidRDefault="00D51AA0" w:rsidP="0085750C">
      <w:pPr>
        <w:pStyle w:val="Heading3"/>
      </w:pPr>
      <w:bookmarkStart w:id="109" w:name="_Toc409790493"/>
      <w:r w:rsidRPr="00BD3627">
        <w:t>General rules applicable to children involved in civil judicial proceedings regardless of their role</w:t>
      </w:r>
      <w:bookmarkEnd w:id="109"/>
    </w:p>
    <w:p w14:paraId="353EE40E" w14:textId="77777777" w:rsidR="00D51AA0" w:rsidRPr="0085750C" w:rsidRDefault="00D51AA0" w:rsidP="00B93831">
      <w:pPr>
        <w:pStyle w:val="Heading3NoNumb"/>
        <w:ind w:firstLine="851"/>
      </w:pPr>
      <w:bookmarkStart w:id="110" w:name="_Toc409790494"/>
      <w:r w:rsidRPr="0085750C">
        <w:t>Judge’s power and admissibility as evidence</w:t>
      </w:r>
      <w:bookmarkEnd w:id="110"/>
    </w:p>
    <w:p w14:paraId="48BFCBDF" w14:textId="77777777" w:rsidR="00D51AA0" w:rsidRPr="0085107A" w:rsidRDefault="00D51AA0" w:rsidP="0085750C">
      <w:pPr>
        <w:pStyle w:val="BodyText"/>
      </w:pPr>
      <w:r w:rsidRPr="0085107A">
        <w:t xml:space="preserve">While the </w:t>
      </w:r>
      <w:hyperlink r:id="rId54" w:history="1">
        <w:r w:rsidRPr="0085107A">
          <w:rPr>
            <w:rStyle w:val="Hyperlink"/>
            <w:rFonts w:cs="Arial"/>
          </w:rPr>
          <w:t>Constitution</w:t>
        </w:r>
      </w:hyperlink>
      <w:r w:rsidRPr="0085107A">
        <w:t xml:space="preserve"> provides the child with the right to express his/her opinion in any matter that concerns him/her, it does not require judges to systematically hear a child. However, certain laws require the judge to hear the child with respect to specific procedures (such as procedures before the Youth Tribunal</w:t>
      </w:r>
      <w:r w:rsidRPr="0085107A">
        <w:rPr>
          <w:rStyle w:val="FootnoteReference"/>
        </w:rPr>
        <w:footnoteReference w:id="134"/>
      </w:r>
      <w:r w:rsidRPr="0085107A">
        <w:t xml:space="preserve">). In practice, a judge may decide to hear a child on a case-by-case basis. In cases where a hearing is decided by the judge, the child has the possibility to refuse to be heard. </w:t>
      </w:r>
    </w:p>
    <w:p w14:paraId="00FCFB3D" w14:textId="77777777" w:rsidR="00D51AA0" w:rsidRPr="0085107A" w:rsidRDefault="00D51AA0" w:rsidP="0085750C">
      <w:pPr>
        <w:pStyle w:val="BodyText"/>
      </w:pPr>
      <w:r w:rsidRPr="0085107A">
        <w:t xml:space="preserve">In any proceedings related to a child, a child with sufficient maturity may be heard upon his/her request or upon decision of a judge. If the child requests to be heard, such request must be accepted, unless the crown prosecutor or the judge, by reasoned decision, decides that the child does not have the necessary capacity of discernment. The legislation however does not mention how the judge must assess the discernment of the child. See more details in </w:t>
      </w:r>
      <w:hyperlink w:anchor="_Toc338234115" w:history="1">
        <w:r w:rsidRPr="0085107A">
          <w:rPr>
            <w:rStyle w:val="Hyperlink"/>
            <w:rFonts w:cs="Arial"/>
          </w:rPr>
          <w:t>Section 3.6</w:t>
        </w:r>
      </w:hyperlink>
      <w:r w:rsidRPr="0085107A">
        <w:t>.</w:t>
      </w:r>
    </w:p>
    <w:p w14:paraId="043F02BE" w14:textId="77777777" w:rsidR="00D51AA0" w:rsidRPr="0085107A" w:rsidRDefault="00D51AA0" w:rsidP="0085750C">
      <w:pPr>
        <w:pStyle w:val="BodyText"/>
      </w:pPr>
      <w:r w:rsidRPr="00EE7230">
        <w:t>As mentioned in the children in criminal proceedings report, a child under the age of 15 years cannot be heard under oath</w:t>
      </w:r>
      <w:r w:rsidRPr="0085107A">
        <w:t>. The child’s declaration is then only collected as information and will not be used as formal evidence, rather as information to put other evidence into context</w:t>
      </w:r>
      <w:r w:rsidRPr="0085107A">
        <w:rPr>
          <w:vertAlign w:val="superscript"/>
        </w:rPr>
        <w:footnoteReference w:id="135"/>
      </w:r>
      <w:r w:rsidRPr="0085107A">
        <w:t xml:space="preserve">. </w:t>
      </w:r>
    </w:p>
    <w:p w14:paraId="0058F39E" w14:textId="77777777" w:rsidR="00D51AA0" w:rsidRPr="0085107A" w:rsidRDefault="00D51AA0" w:rsidP="0085750C">
      <w:pPr>
        <w:pStyle w:val="BodyText"/>
        <w:rPr>
          <w:bCs/>
        </w:rPr>
      </w:pPr>
      <w:r w:rsidRPr="0085107A">
        <w:t xml:space="preserve">The report of the child’s interview is attached to the case file. </w:t>
      </w:r>
      <w:r w:rsidRPr="00EE7230">
        <w:t>However, parties to the proceeding cannot access reports containing the interviews of child witnesses and children in any other role</w:t>
      </w:r>
      <w:r w:rsidRPr="0085107A">
        <w:t>. In accordance with the adversarial principle</w:t>
      </w:r>
      <w:r w:rsidRPr="0085107A">
        <w:rPr>
          <w:rStyle w:val="FootnoteReference"/>
        </w:rPr>
        <w:footnoteReference w:id="136"/>
      </w:r>
      <w:r w:rsidRPr="0085107A">
        <w:t xml:space="preserve">, a judge cannot base his/her </w:t>
      </w:r>
      <w:r w:rsidRPr="0085107A">
        <w:lastRenderedPageBreak/>
        <w:t>decision on the child’s interview, since the parties to the proceedings do not have access to the interview’s report</w:t>
      </w:r>
      <w:r w:rsidRPr="0085107A">
        <w:rPr>
          <w:rStyle w:val="FootnoteReference"/>
        </w:rPr>
        <w:footnoteReference w:id="137"/>
      </w:r>
      <w:r w:rsidRPr="0085107A">
        <w:t>.</w:t>
      </w:r>
      <w:r w:rsidRPr="0085107A">
        <w:rPr>
          <w:bCs/>
        </w:rPr>
        <w:t xml:space="preserve"> </w:t>
      </w:r>
    </w:p>
    <w:p w14:paraId="6F86A309" w14:textId="77777777" w:rsidR="00D51AA0" w:rsidRPr="0085750C" w:rsidRDefault="00D51AA0" w:rsidP="00B93831">
      <w:pPr>
        <w:pStyle w:val="Heading3NoNumb"/>
        <w:ind w:firstLine="851"/>
      </w:pPr>
      <w:bookmarkStart w:id="111" w:name="_Toc409790495"/>
      <w:r w:rsidRPr="0085750C">
        <w:t>Measures to assist and support the child to attend the interview</w:t>
      </w:r>
      <w:bookmarkEnd w:id="111"/>
    </w:p>
    <w:p w14:paraId="1B297867" w14:textId="77777777" w:rsidR="00D51AA0" w:rsidRPr="0085107A" w:rsidRDefault="00D51AA0" w:rsidP="0085750C">
      <w:pPr>
        <w:pStyle w:val="BodyText"/>
      </w:pPr>
      <w:r w:rsidRPr="0085107A">
        <w:t>In civil judicial proceedings, the child will be heard alone unless a judge decides that it is in the best interests of the child to be assisted. A judge can decide that the interview should be carried out by someone else who he/she appoints. As a result, a judge can assign the task of interviewing the child to a psychologist, social worker, doctor or even a police officer</w:t>
      </w:r>
      <w:r w:rsidRPr="0085107A">
        <w:rPr>
          <w:rStyle w:val="FootnoteReference"/>
          <w:bCs/>
        </w:rPr>
        <w:footnoteReference w:id="138"/>
      </w:r>
      <w:r w:rsidRPr="0085107A">
        <w:t>. Since the child is heard alone by a judge, the legal counsel or legal representative cannot assist him/her unless the judge decides that it is in the child’s best interests that the legal counsel or legal representative assists him/her during the interview.</w:t>
      </w:r>
    </w:p>
    <w:p w14:paraId="20FCB5A7" w14:textId="77777777" w:rsidR="00D51AA0" w:rsidRPr="0085107A" w:rsidRDefault="00D51AA0" w:rsidP="0085750C">
      <w:pPr>
        <w:pStyle w:val="BodyText"/>
        <w:rPr>
          <w:bCs/>
        </w:rPr>
      </w:pPr>
      <w:r w:rsidRPr="0085107A">
        <w:t>When interviewed, the child should be heard in an appropriate place</w:t>
      </w:r>
      <w:r w:rsidRPr="0085107A">
        <w:rPr>
          <w:bCs/>
        </w:rPr>
        <w:t>. However, the law does not define what is considered an appropriate place.</w:t>
      </w:r>
    </w:p>
    <w:p w14:paraId="19D17DEB" w14:textId="77777777" w:rsidR="00D51AA0" w:rsidRPr="0085107A" w:rsidRDefault="00D51AA0" w:rsidP="0085750C">
      <w:pPr>
        <w:pStyle w:val="BodyText"/>
      </w:pPr>
      <w:r w:rsidRPr="00EE7230">
        <w:t>As mentioned in the criminal proceedings report, any person interviewed, including a child, can request to be heard in another language and benefit from the assistance of an interpreter</w:t>
      </w:r>
      <w:r w:rsidRPr="0085107A">
        <w:rPr>
          <w:rStyle w:val="FootnoteReference"/>
        </w:rPr>
        <w:footnoteReference w:id="139"/>
      </w:r>
      <w:r w:rsidRPr="0085107A">
        <w:t>.</w:t>
      </w:r>
    </w:p>
    <w:p w14:paraId="14D86755" w14:textId="77777777" w:rsidR="00D51AA0" w:rsidRPr="0085107A" w:rsidRDefault="00D51AA0" w:rsidP="0085750C">
      <w:pPr>
        <w:pStyle w:val="BodyText"/>
        <w:rPr>
          <w:bCs/>
        </w:rPr>
      </w:pPr>
      <w:r w:rsidRPr="00EE7230">
        <w:t xml:space="preserve">As mentioned in </w:t>
      </w:r>
      <w:hyperlink w:anchor="_Provision_of_information_2" w:history="1">
        <w:r w:rsidRPr="00EE7230">
          <w:rPr>
            <w:rStyle w:val="Hyperlink"/>
            <w:rFonts w:cs="Arial"/>
          </w:rPr>
          <w:t>Section 3.2</w:t>
        </w:r>
      </w:hyperlink>
      <w:r w:rsidRPr="00EE7230">
        <w:t>, judicial assistants, social services and the legal counsel can assist and prepare children and their parents during the proceedings. In addition, some child-friendly leaflets are available to inform the child on judicial proceedings.</w:t>
      </w:r>
      <w:r w:rsidRPr="0085107A">
        <w:t xml:space="preserve"> There are no additional measures to ensure that children receive assistance.</w:t>
      </w:r>
    </w:p>
    <w:p w14:paraId="4D00DBE1" w14:textId="77777777" w:rsidR="00D51AA0" w:rsidRPr="0085750C" w:rsidRDefault="00D51AA0" w:rsidP="00B93831">
      <w:pPr>
        <w:pStyle w:val="Heading3NoNumb"/>
        <w:ind w:firstLine="851"/>
      </w:pPr>
      <w:bookmarkStart w:id="112" w:name="_Toc409790496"/>
      <w:r w:rsidRPr="0085750C">
        <w:t>Limiting the numbers of interviews and adapting them to the child’s needs</w:t>
      </w:r>
      <w:bookmarkEnd w:id="112"/>
    </w:p>
    <w:p w14:paraId="350022D3" w14:textId="77777777" w:rsidR="00D51AA0" w:rsidRPr="0085107A" w:rsidRDefault="00D51AA0" w:rsidP="0085750C">
      <w:pPr>
        <w:pStyle w:val="BodyText"/>
        <w:rPr>
          <w:bCs/>
        </w:rPr>
      </w:pPr>
      <w:r w:rsidRPr="00EE7230">
        <w:rPr>
          <w:bCs/>
        </w:rPr>
        <w:t xml:space="preserve">The </w:t>
      </w:r>
      <w:hyperlink r:id="rId55" w:history="1">
        <w:r w:rsidRPr="00EE7230">
          <w:rPr>
            <w:rStyle w:val="Hyperlink"/>
            <w:rFonts w:cs="Arial"/>
            <w:bCs/>
          </w:rPr>
          <w:t>Constitution</w:t>
        </w:r>
      </w:hyperlink>
      <w:r w:rsidRPr="00EE7230">
        <w:rPr>
          <w:bCs/>
        </w:rPr>
        <w:t xml:space="preserve"> establishes that the child’s views must be given due weight in accordance with his/her age and maturity</w:t>
      </w:r>
      <w:r w:rsidRPr="00EE7230">
        <w:rPr>
          <w:rStyle w:val="FootnoteReference"/>
          <w:bCs/>
        </w:rPr>
        <w:footnoteReference w:id="140"/>
      </w:r>
      <w:r w:rsidRPr="00EE7230">
        <w:rPr>
          <w:bCs/>
        </w:rPr>
        <w:t>.</w:t>
      </w:r>
      <w:r w:rsidRPr="0085107A">
        <w:rPr>
          <w:bCs/>
        </w:rPr>
        <w:t xml:space="preserve"> However, no specific legal requirements have been identified limiting the numbers of interviews to the minimum. Moreover, Belgian law does not require the adaptation of the interviews to the child’s age and attention span</w:t>
      </w:r>
      <w:r w:rsidRPr="0085107A">
        <w:rPr>
          <w:rStyle w:val="FootnoteReference"/>
          <w:bCs/>
        </w:rPr>
        <w:footnoteReference w:id="141"/>
      </w:r>
      <w:r w:rsidRPr="0085107A">
        <w:rPr>
          <w:bCs/>
        </w:rPr>
        <w:t>.</w:t>
      </w:r>
    </w:p>
    <w:p w14:paraId="6144DB8E" w14:textId="77777777" w:rsidR="00D51AA0" w:rsidRPr="0085750C" w:rsidRDefault="00D51AA0" w:rsidP="0085750C">
      <w:pPr>
        <w:pStyle w:val="BodyText"/>
        <w:rPr>
          <w:rFonts w:ascii="Calibri" w:eastAsiaTheme="majorEastAsia" w:hAnsi="Calibri" w:cstheme="majorBidi"/>
          <w:b/>
          <w:bCs/>
          <w:i/>
          <w:iCs/>
          <w:color w:val="0067AC"/>
          <w:sz w:val="22"/>
        </w:rPr>
      </w:pPr>
      <w:r w:rsidRPr="0085750C">
        <w:rPr>
          <w:rFonts w:ascii="Calibri" w:eastAsiaTheme="majorEastAsia" w:hAnsi="Calibri" w:cstheme="majorBidi"/>
          <w:b/>
          <w:bCs/>
          <w:i/>
          <w:iCs/>
          <w:color w:val="0067AC"/>
          <w:sz w:val="22"/>
        </w:rPr>
        <w:t xml:space="preserve">The child as a plaintiff/complainant or defendant </w:t>
      </w:r>
    </w:p>
    <w:p w14:paraId="29A7CDCC" w14:textId="77777777" w:rsidR="00D51AA0" w:rsidRPr="0085107A" w:rsidRDefault="00D51AA0" w:rsidP="0085750C">
      <w:pPr>
        <w:pStyle w:val="BodyText"/>
        <w:rPr>
          <w:rFonts w:eastAsia="Times New Roman"/>
          <w:bCs/>
        </w:rPr>
      </w:pPr>
      <w:r w:rsidRPr="0085107A">
        <w:rPr>
          <w:rFonts w:eastAsia="Times New Roman"/>
          <w:bCs/>
        </w:rPr>
        <w:t>The general rules described above apply.</w:t>
      </w:r>
    </w:p>
    <w:p w14:paraId="258EE493" w14:textId="77777777" w:rsidR="00D51AA0" w:rsidRPr="0085750C" w:rsidRDefault="00D51AA0" w:rsidP="0085750C">
      <w:pPr>
        <w:pStyle w:val="BodyText"/>
        <w:rPr>
          <w:rFonts w:ascii="Calibri" w:eastAsiaTheme="majorEastAsia" w:hAnsi="Calibri" w:cstheme="majorBidi"/>
          <w:b/>
          <w:bCs/>
          <w:i/>
          <w:iCs/>
          <w:color w:val="0067AC"/>
          <w:sz w:val="22"/>
        </w:rPr>
      </w:pPr>
      <w:r w:rsidRPr="0085750C">
        <w:rPr>
          <w:rFonts w:ascii="Calibri" w:eastAsiaTheme="majorEastAsia" w:hAnsi="Calibri" w:cstheme="majorBidi"/>
          <w:b/>
          <w:bCs/>
          <w:i/>
          <w:iCs/>
          <w:color w:val="0067AC"/>
          <w:sz w:val="22"/>
        </w:rPr>
        <w:t>The child as a witness</w:t>
      </w:r>
    </w:p>
    <w:p w14:paraId="75E3B098" w14:textId="77777777" w:rsidR="00D51AA0" w:rsidRPr="0085107A" w:rsidRDefault="00D51AA0" w:rsidP="0085750C">
      <w:pPr>
        <w:pStyle w:val="BodyText"/>
      </w:pPr>
      <w:r w:rsidRPr="0085107A">
        <w:t>The same rules apply to child witnesses.</w:t>
      </w:r>
    </w:p>
    <w:p w14:paraId="3AFAA537" w14:textId="77777777" w:rsidR="00D51AA0" w:rsidRPr="0085750C" w:rsidRDefault="00D51AA0" w:rsidP="0085750C">
      <w:pPr>
        <w:pStyle w:val="BodyText"/>
        <w:rPr>
          <w:rFonts w:ascii="Calibri" w:eastAsiaTheme="majorEastAsia" w:hAnsi="Calibri" w:cstheme="majorBidi"/>
          <w:b/>
          <w:bCs/>
          <w:i/>
          <w:iCs/>
          <w:color w:val="0067AC"/>
          <w:sz w:val="22"/>
        </w:rPr>
      </w:pPr>
      <w:r w:rsidRPr="0085750C">
        <w:rPr>
          <w:rFonts w:ascii="Calibri" w:eastAsiaTheme="majorEastAsia" w:hAnsi="Calibri" w:cstheme="majorBidi"/>
          <w:b/>
          <w:bCs/>
          <w:i/>
          <w:iCs/>
          <w:color w:val="0067AC"/>
          <w:sz w:val="22"/>
        </w:rPr>
        <w:t>The child in any other role</w:t>
      </w:r>
    </w:p>
    <w:p w14:paraId="3CA0FB55" w14:textId="77777777" w:rsidR="00D51AA0" w:rsidRPr="0085107A" w:rsidRDefault="00D51AA0" w:rsidP="0085750C">
      <w:pPr>
        <w:pStyle w:val="BodyText"/>
      </w:pPr>
      <w:r w:rsidRPr="0085107A">
        <w:rPr>
          <w:rFonts w:eastAsia="Times New Roman"/>
          <w:bCs/>
        </w:rPr>
        <w:t>With the exceptions described below, the general rules also apply to children in any other role.</w:t>
      </w:r>
      <w:r w:rsidRPr="0085107A">
        <w:t xml:space="preserve"> </w:t>
      </w:r>
    </w:p>
    <w:p w14:paraId="06D6C93E" w14:textId="77777777" w:rsidR="00D51AA0" w:rsidRPr="0085107A" w:rsidRDefault="00D51AA0" w:rsidP="0085750C">
      <w:pPr>
        <w:pStyle w:val="BodyText"/>
        <w:rPr>
          <w:bCs/>
        </w:rPr>
      </w:pPr>
      <w:r w:rsidRPr="0085107A">
        <w:t>A youth judge must hear children who are at least 12 years old in cases related to disputes between the persons having parental authority over them, on issues related to the child’s personal rights, properties, access rights or guardianship over the child</w:t>
      </w:r>
      <w:r w:rsidRPr="0085107A">
        <w:rPr>
          <w:rStyle w:val="FootnoteReference"/>
        </w:rPr>
        <w:footnoteReference w:id="142"/>
      </w:r>
      <w:r w:rsidRPr="0085107A">
        <w:t>. However, there is no possibility for a youth judge to appoint someone else to carry out such an interview. The requirement for judges adjudicating in civil cases to hear a child alone, does not exist for youth judges. As a result, a youth judge may allow the child to be assisted during his/her interview</w:t>
      </w:r>
      <w:r w:rsidRPr="0085107A">
        <w:rPr>
          <w:rStyle w:val="FootnoteReference"/>
        </w:rPr>
        <w:footnoteReference w:id="143"/>
      </w:r>
      <w:r w:rsidRPr="0085107A">
        <w:t>. In this case, the child’s legal counsel, legal representative, psychologist or social worker could assist the child during the interview if the Youth Judge allows it.</w:t>
      </w:r>
      <w:r w:rsidRPr="0085107A">
        <w:rPr>
          <w:bCs/>
        </w:rPr>
        <w:t xml:space="preserve"> The </w:t>
      </w:r>
      <w:hyperlink r:id="rId56" w:history="1">
        <w:r w:rsidRPr="0085107A">
          <w:rPr>
            <w:rStyle w:val="Hyperlink"/>
            <w:rFonts w:cs="Arial"/>
            <w:bCs/>
          </w:rPr>
          <w:t xml:space="preserve">new </w:t>
        </w:r>
        <w:r w:rsidRPr="0085107A">
          <w:rPr>
            <w:rStyle w:val="Hyperlink"/>
            <w:rFonts w:cs="Arial"/>
            <w:bCs/>
          </w:rPr>
          <w:lastRenderedPageBreak/>
          <w:t>Act for the creation of the Family and Youth Tribunal</w:t>
        </w:r>
      </w:hyperlink>
      <w:r w:rsidRPr="0085107A">
        <w:rPr>
          <w:bCs/>
        </w:rPr>
        <w:t xml:space="preserve"> repeals however the related legal provision. As a result, the requirement of the judge to hear the child alone (unless decided otherwise by reasoned decision) will also apply to youth judges</w:t>
      </w:r>
      <w:r w:rsidRPr="0085107A">
        <w:rPr>
          <w:rStyle w:val="FootnoteReference"/>
          <w:bCs/>
        </w:rPr>
        <w:footnoteReference w:id="144"/>
      </w:r>
      <w:r w:rsidRPr="0085107A">
        <w:rPr>
          <w:bCs/>
        </w:rPr>
        <w:t xml:space="preserve">. </w:t>
      </w:r>
    </w:p>
    <w:p w14:paraId="78F30F6F" w14:textId="77777777" w:rsidR="00D51AA0" w:rsidRPr="0085107A" w:rsidRDefault="00D51AA0" w:rsidP="0085750C">
      <w:pPr>
        <w:pStyle w:val="BodyText"/>
        <w:rPr>
          <w:bCs/>
        </w:rPr>
      </w:pPr>
      <w:r w:rsidRPr="0085107A">
        <w:rPr>
          <w:bCs/>
        </w:rPr>
        <w:t xml:space="preserve">The </w:t>
      </w:r>
      <w:hyperlink r:id="rId57" w:history="1">
        <w:r w:rsidRPr="0085107A">
          <w:rPr>
            <w:rStyle w:val="Hyperlink"/>
            <w:rFonts w:cs="Arial"/>
            <w:bCs/>
          </w:rPr>
          <w:t>new Act for the creation of the Family and Youth Tribunal</w:t>
        </w:r>
      </w:hyperlink>
      <w:r w:rsidRPr="0085107A">
        <w:rPr>
          <w:bCs/>
        </w:rPr>
        <w:t>, which is not yet in force, foresees that if the child has already been heard during the proceedings, then the child can only be heard again if new elements justify it. The new Act also requires the opinion of the child to be considered, taking into account his/her age and maturity</w:t>
      </w:r>
      <w:r w:rsidRPr="0085107A">
        <w:rPr>
          <w:rStyle w:val="FootnoteReference"/>
          <w:bCs/>
        </w:rPr>
        <w:footnoteReference w:id="145"/>
      </w:r>
      <w:r w:rsidRPr="0085107A">
        <w:rPr>
          <w:bCs/>
        </w:rPr>
        <w:t>. Moreover, the new Act lays down more safeguards for a child, including that the written record of the child’s interview must be read to the child and included in the case file</w:t>
      </w:r>
      <w:r w:rsidRPr="0085107A">
        <w:rPr>
          <w:rStyle w:val="FootnoteReference"/>
          <w:bCs/>
        </w:rPr>
        <w:footnoteReference w:id="146"/>
      </w:r>
      <w:r w:rsidRPr="0085107A">
        <w:rPr>
          <w:bCs/>
        </w:rPr>
        <w:t xml:space="preserve">. </w:t>
      </w:r>
    </w:p>
    <w:p w14:paraId="1FA41335" w14:textId="77777777" w:rsidR="00D51AA0" w:rsidRPr="0085750C" w:rsidRDefault="00D51AA0" w:rsidP="00B93831">
      <w:pPr>
        <w:pStyle w:val="Heading3NoNumb"/>
        <w:ind w:firstLine="851"/>
      </w:pPr>
      <w:bookmarkStart w:id="113" w:name="_Toc409790497"/>
      <w:r w:rsidRPr="0085750C">
        <w:t>Divorce proceedings</w:t>
      </w:r>
      <w:bookmarkEnd w:id="113"/>
    </w:p>
    <w:p w14:paraId="48DEDE37" w14:textId="66262C76" w:rsidR="00D51AA0" w:rsidRPr="0085750C" w:rsidRDefault="00D51AA0" w:rsidP="0085750C">
      <w:pPr>
        <w:pStyle w:val="BodyText"/>
        <w:rPr>
          <w:bCs/>
        </w:rPr>
      </w:pPr>
      <w:r w:rsidRPr="0085107A">
        <w:t>In divorce proceedings, in addition to the possibility of being interviewed by a judge, the child can be heard in the course of a social inquiry or by a social expert. However, in accordance with the general rules described above, what the child says cannot be accepted as evidence</w:t>
      </w:r>
      <w:r w:rsidRPr="0085107A">
        <w:rPr>
          <w:rStyle w:val="FootnoteReference"/>
        </w:rPr>
        <w:footnoteReference w:id="147"/>
      </w:r>
      <w:r w:rsidRPr="0085107A">
        <w:t xml:space="preserve">. </w:t>
      </w:r>
    </w:p>
    <w:p w14:paraId="28FFC0AB" w14:textId="77777777" w:rsidR="00D51AA0" w:rsidRPr="0085107A" w:rsidRDefault="00D51AA0" w:rsidP="0085750C">
      <w:pPr>
        <w:pStyle w:val="Heading2"/>
      </w:pPr>
      <w:bookmarkStart w:id="114" w:name="_Toc338234115"/>
      <w:bookmarkStart w:id="115" w:name="_Right_to_be"/>
      <w:bookmarkStart w:id="116" w:name="_Toc338234116"/>
      <w:bookmarkStart w:id="117" w:name="_Toc350439430"/>
      <w:bookmarkStart w:id="118" w:name="_Toc409790498"/>
      <w:bookmarkEnd w:id="114"/>
      <w:bookmarkEnd w:id="115"/>
      <w:r w:rsidRPr="0085107A">
        <w:t>Right to be heard and to participate in civil judicial proceedings</w:t>
      </w:r>
      <w:bookmarkStart w:id="119" w:name="_Toc346714791"/>
      <w:bookmarkStart w:id="120" w:name="_Toc346714792"/>
      <w:bookmarkStart w:id="121" w:name="_Toc346714946"/>
      <w:bookmarkStart w:id="122" w:name="_Toc338234117"/>
      <w:bookmarkStart w:id="123" w:name="_Toc338234118"/>
      <w:bookmarkEnd w:id="116"/>
      <w:bookmarkEnd w:id="117"/>
      <w:bookmarkEnd w:id="119"/>
      <w:bookmarkEnd w:id="120"/>
      <w:bookmarkEnd w:id="121"/>
      <w:bookmarkEnd w:id="122"/>
      <w:bookmarkEnd w:id="118"/>
    </w:p>
    <w:p w14:paraId="768F2E0B" w14:textId="77777777" w:rsidR="00D51AA0" w:rsidRPr="00855CEB" w:rsidRDefault="00D51AA0" w:rsidP="0085750C">
      <w:pPr>
        <w:pStyle w:val="Heading3"/>
      </w:pPr>
      <w:bookmarkStart w:id="124" w:name="_Toc409790499"/>
      <w:r w:rsidRPr="00855CEB">
        <w:t>General rules applicable to children involved in civil judicial proceedings regardless of their role</w:t>
      </w:r>
      <w:bookmarkEnd w:id="124"/>
    </w:p>
    <w:p w14:paraId="6DE65899" w14:textId="77777777" w:rsidR="00D51AA0" w:rsidRPr="0085750C" w:rsidRDefault="00D51AA0" w:rsidP="00B93831">
      <w:pPr>
        <w:pStyle w:val="Heading3NoNumb"/>
        <w:ind w:firstLine="851"/>
      </w:pPr>
      <w:bookmarkStart w:id="125" w:name="_Toc409790500"/>
      <w:r w:rsidRPr="0085750C">
        <w:t>Measures to ensure that the child is heard</w:t>
      </w:r>
      <w:bookmarkEnd w:id="125"/>
    </w:p>
    <w:p w14:paraId="38E1E87C" w14:textId="77777777" w:rsidR="00D51AA0" w:rsidRPr="0085107A" w:rsidRDefault="00D51AA0" w:rsidP="0085750C">
      <w:pPr>
        <w:pStyle w:val="BodyText"/>
      </w:pPr>
      <w:r w:rsidRPr="0085107A">
        <w:rPr>
          <w:bCs/>
        </w:rPr>
        <w:t xml:space="preserve">The right of a child to be heard in all matters affecting him/her is guaranteed by the </w:t>
      </w:r>
      <w:hyperlink r:id="rId58" w:history="1">
        <w:r w:rsidRPr="0085107A">
          <w:rPr>
            <w:rStyle w:val="Hyperlink"/>
            <w:rFonts w:cs="Arial"/>
            <w:bCs/>
          </w:rPr>
          <w:t>Constitution</w:t>
        </w:r>
      </w:hyperlink>
      <w:r w:rsidRPr="0085107A">
        <w:rPr>
          <w:rStyle w:val="FootnoteReference"/>
          <w:bCs/>
        </w:rPr>
        <w:footnoteReference w:id="148"/>
      </w:r>
      <w:r w:rsidRPr="0085107A">
        <w:rPr>
          <w:bCs/>
        </w:rPr>
        <w:t xml:space="preserve">. As mentioned under </w:t>
      </w:r>
      <w:hyperlink w:anchor="_Protecting_the_child" w:history="1">
        <w:r w:rsidRPr="0085107A">
          <w:rPr>
            <w:rStyle w:val="Hyperlink"/>
            <w:rFonts w:cs="Arial"/>
            <w:bCs/>
          </w:rPr>
          <w:t>Section 3.5</w:t>
        </w:r>
      </w:hyperlink>
      <w:r w:rsidRPr="0085107A">
        <w:rPr>
          <w:bCs/>
        </w:rPr>
        <w:t>, i</w:t>
      </w:r>
      <w:r w:rsidRPr="0085107A">
        <w:t>n any proceedings related to the child, the child with sufficient discernment may be heard upon his/her request or the decision of a judge. If the child requests to be heard, such request must be accepted, unless the crown prosecutor or the judge, in form of a reasoned decision, concludes that the child does not have the necessary maturity. While no formality is attached to the request to be heard, the child can typically do so him/herself in writing in the form of a letter to the judge. By writing a letter, the child will demonstrate that he/she has sufficient discernment to be heard</w:t>
      </w:r>
      <w:r w:rsidRPr="0085107A">
        <w:rPr>
          <w:rStyle w:val="FootnoteReference"/>
        </w:rPr>
        <w:footnoteReference w:id="149"/>
      </w:r>
      <w:r w:rsidRPr="0085107A">
        <w:t>.</w:t>
      </w:r>
    </w:p>
    <w:p w14:paraId="4DA09D1C" w14:textId="77777777" w:rsidR="00D51AA0" w:rsidRPr="0085107A" w:rsidRDefault="00D51AA0" w:rsidP="0085750C">
      <w:pPr>
        <w:pStyle w:val="BodyText"/>
      </w:pPr>
      <w:r w:rsidRPr="0085107A">
        <w:t>In cases where a judge decides to hear a child, the child may refuse to be heard. If the child agrees to the hearing he/she will be heard alone and behind closed doors, unless the judge finds that it is in the best interests of the child to be assisted. The hearing can be carried out in any location deemed appropriate by the judge</w:t>
      </w:r>
      <w:r w:rsidRPr="0085107A">
        <w:rPr>
          <w:rStyle w:val="FootnoteReference"/>
          <w:bCs/>
        </w:rPr>
        <w:footnoteReference w:id="150"/>
      </w:r>
      <w:r w:rsidRPr="0085107A">
        <w:t xml:space="preserve">. </w:t>
      </w:r>
    </w:p>
    <w:p w14:paraId="25B820A0" w14:textId="77777777" w:rsidR="00D51AA0" w:rsidRPr="0085107A" w:rsidRDefault="00D51AA0" w:rsidP="0085750C">
      <w:pPr>
        <w:pStyle w:val="BodyText"/>
      </w:pPr>
      <w:r w:rsidRPr="0085107A">
        <w:t>Aside from the cases mentioned above, before the Youth Tribunal where hearing the child is mandatory, there are currently no specific mechanisms for informing the child on his/her right to be heard. Nor is there currently any specific mechanism or requirement in place to inform the child on the consequences of participating in civil proceedings and to express his/her opinion. In practice, it is usually one of the parents or the legal counsel who will inform the child of this right</w:t>
      </w:r>
      <w:r w:rsidRPr="0085107A">
        <w:rPr>
          <w:rStyle w:val="FootnoteReference"/>
        </w:rPr>
        <w:footnoteReference w:id="151"/>
      </w:r>
      <w:r w:rsidRPr="0085107A">
        <w:t>.</w:t>
      </w:r>
    </w:p>
    <w:p w14:paraId="23C871B8" w14:textId="77777777" w:rsidR="00D51AA0" w:rsidRPr="0085107A" w:rsidRDefault="00D51AA0" w:rsidP="0085750C">
      <w:pPr>
        <w:pStyle w:val="BodyText"/>
        <w:rPr>
          <w:bCs/>
        </w:rPr>
      </w:pPr>
      <w:r w:rsidRPr="0085107A">
        <w:rPr>
          <w:bCs/>
        </w:rPr>
        <w:lastRenderedPageBreak/>
        <w:t xml:space="preserve">As mentioned in </w:t>
      </w:r>
      <w:hyperlink w:anchor="_Protecting_the_child" w:history="1">
        <w:r w:rsidRPr="0085107A">
          <w:rPr>
            <w:rStyle w:val="Hyperlink"/>
            <w:rFonts w:cs="Arial"/>
            <w:bCs/>
          </w:rPr>
          <w:t>Section 3.5</w:t>
        </w:r>
      </w:hyperlink>
      <w:r w:rsidRPr="0085107A">
        <w:rPr>
          <w:bCs/>
        </w:rPr>
        <w:t>, the child’s views must be given due weight in accordance with his/her age and maturity</w:t>
      </w:r>
      <w:r w:rsidRPr="0085107A">
        <w:rPr>
          <w:rStyle w:val="FootnoteReference"/>
          <w:bCs/>
        </w:rPr>
        <w:footnoteReference w:id="152"/>
      </w:r>
      <w:r w:rsidRPr="0085107A">
        <w:rPr>
          <w:bCs/>
        </w:rPr>
        <w:t>. No specific legal requirements have been identified with regard to the communication techniques used while hearing children and on the way of taking into account the child’s age and maturity</w:t>
      </w:r>
      <w:r w:rsidRPr="0085107A">
        <w:rPr>
          <w:rStyle w:val="FootnoteReference"/>
          <w:bCs/>
        </w:rPr>
        <w:footnoteReference w:id="153"/>
      </w:r>
      <w:r w:rsidRPr="0085107A">
        <w:rPr>
          <w:bCs/>
        </w:rPr>
        <w:t>.</w:t>
      </w:r>
    </w:p>
    <w:p w14:paraId="5BBF6048" w14:textId="77777777" w:rsidR="00D51AA0" w:rsidRDefault="00D51AA0" w:rsidP="0085750C">
      <w:pPr>
        <w:pStyle w:val="BodyText"/>
      </w:pPr>
      <w:r w:rsidRPr="0085107A">
        <w:t xml:space="preserve">As explained below under </w:t>
      </w:r>
      <w:hyperlink w:anchor="_Right_to_legal" w:history="1">
        <w:r w:rsidRPr="0085107A">
          <w:rPr>
            <w:rStyle w:val="Hyperlink"/>
            <w:rFonts w:cs="Arial"/>
          </w:rPr>
          <w:t>Section 3.7</w:t>
        </w:r>
      </w:hyperlink>
      <w:r w:rsidRPr="0085107A">
        <w:t xml:space="preserve">, a legal counsel is not automatically assigned for a child in civil proceedings. </w:t>
      </w:r>
      <w:r>
        <w:t>O</w:t>
      </w:r>
      <w:r w:rsidRPr="0085107A">
        <w:t>n</w:t>
      </w:r>
      <w:r>
        <w:t xml:space="preserve"> the</w:t>
      </w:r>
      <w:r w:rsidRPr="0085107A">
        <w:t xml:space="preserve"> contrary, his/her legal representative or, in exceptional cases, the child (e.g. if he/she is emancipated), will need to request his/her assistance. There are two exceptions to this rule: </w:t>
      </w:r>
    </w:p>
    <w:p w14:paraId="19A960ED" w14:textId="77777777" w:rsidR="0085750C" w:rsidRDefault="00D51AA0" w:rsidP="0085750C">
      <w:pPr>
        <w:pStyle w:val="BTNumbList"/>
        <w:numPr>
          <w:ilvl w:val="0"/>
          <w:numId w:val="35"/>
        </w:numPr>
      </w:pPr>
      <w:r w:rsidRPr="0085107A">
        <w:t xml:space="preserve">any party to the proceedings before the Youth Tribunal under 18 years of age who does not have a lawyer receives the assistance of a legal counsel, appointed </w:t>
      </w:r>
      <w:r w:rsidRPr="0085750C">
        <w:rPr>
          <w:i/>
        </w:rPr>
        <w:t>ex officio</w:t>
      </w:r>
      <w:r w:rsidRPr="0085107A">
        <w:rPr>
          <w:rStyle w:val="FootnoteReference"/>
        </w:rPr>
        <w:footnoteReference w:id="154"/>
      </w:r>
      <w:r w:rsidRPr="0085107A">
        <w:t xml:space="preserve"> and</w:t>
      </w:r>
    </w:p>
    <w:p w14:paraId="57DD8C16" w14:textId="11F82F8E" w:rsidR="00D51AA0" w:rsidRDefault="00D51AA0" w:rsidP="0085750C">
      <w:pPr>
        <w:pStyle w:val="BTNumbList"/>
        <w:numPr>
          <w:ilvl w:val="0"/>
          <w:numId w:val="0"/>
        </w:numPr>
        <w:ind w:left="1191"/>
      </w:pPr>
      <w:r w:rsidRPr="0085107A">
        <w:t xml:space="preserve"> </w:t>
      </w:r>
    </w:p>
    <w:p w14:paraId="69541157" w14:textId="54B420CA" w:rsidR="00D51AA0" w:rsidRDefault="00D51AA0" w:rsidP="0085750C">
      <w:pPr>
        <w:pStyle w:val="BTNumbListLast"/>
      </w:pPr>
      <w:r w:rsidRPr="0085107A">
        <w:t>in case of emergency, the child or the judge can contact/appoint a legal counsel</w:t>
      </w:r>
      <w:r w:rsidRPr="0085107A">
        <w:rPr>
          <w:rStyle w:val="FootnoteReference"/>
        </w:rPr>
        <w:footnoteReference w:id="155"/>
      </w:r>
      <w:r w:rsidRPr="0085107A">
        <w:t xml:space="preserve">. </w:t>
      </w:r>
    </w:p>
    <w:p w14:paraId="592A1F47" w14:textId="77777777" w:rsidR="00D51AA0" w:rsidRPr="0085107A" w:rsidRDefault="00D51AA0" w:rsidP="0085750C">
      <w:pPr>
        <w:pStyle w:val="BodyText"/>
      </w:pPr>
      <w:r w:rsidRPr="0085107A">
        <w:t xml:space="preserve">The legal counsel can assist the child during his/her interview before a youth judge and explain to the child his/her rights. The child who is provided with a legal counsel by the court or who obtains secondary legal aid can be assisted by a legal counsel free of charge. Free legal advice is available to everyone, including both adults and children via primary legal aid (see </w:t>
      </w:r>
      <w:hyperlink w:anchor="_Right_to_legal" w:history="1">
        <w:r w:rsidRPr="0085107A">
          <w:rPr>
            <w:rStyle w:val="Hyperlink"/>
            <w:rFonts w:cs="Arial"/>
          </w:rPr>
          <w:t>Section 3.7</w:t>
        </w:r>
      </w:hyperlink>
      <w:r w:rsidRPr="0085107A">
        <w:t>).</w:t>
      </w:r>
    </w:p>
    <w:p w14:paraId="3FFEDD7B" w14:textId="77777777" w:rsidR="00D51AA0" w:rsidRPr="0085107A" w:rsidRDefault="00D51AA0" w:rsidP="0085750C">
      <w:pPr>
        <w:pStyle w:val="BodyText"/>
      </w:pPr>
      <w:r w:rsidRPr="0085107A">
        <w:t xml:space="preserve">As mentioned </w:t>
      </w:r>
      <w:r w:rsidRPr="0085107A">
        <w:rPr>
          <w:bCs/>
        </w:rPr>
        <w:t xml:space="preserve">in </w:t>
      </w:r>
      <w:hyperlink w:anchor="_Protecting_the_child" w:history="1">
        <w:r w:rsidRPr="0085107A">
          <w:rPr>
            <w:rStyle w:val="Hyperlink"/>
            <w:rFonts w:cs="Arial"/>
            <w:bCs/>
          </w:rPr>
          <w:t>Section 3.5</w:t>
        </w:r>
      </w:hyperlink>
      <w:r w:rsidRPr="0085107A">
        <w:t>, a child can request to be heard in another language and benefit from the assistance of an interpreter</w:t>
      </w:r>
      <w:r w:rsidRPr="0085107A">
        <w:rPr>
          <w:rStyle w:val="FootnoteReference"/>
        </w:rPr>
        <w:footnoteReference w:id="156"/>
      </w:r>
      <w:r w:rsidRPr="0085107A">
        <w:t>.</w:t>
      </w:r>
    </w:p>
    <w:p w14:paraId="2F8386BC" w14:textId="77777777" w:rsidR="00D51AA0" w:rsidRPr="0085107A" w:rsidRDefault="00D51AA0" w:rsidP="0085750C">
      <w:pPr>
        <w:pStyle w:val="BodyText"/>
      </w:pPr>
      <w:r w:rsidRPr="0085107A">
        <w:t xml:space="preserve">In accordance with the </w:t>
      </w:r>
      <w:hyperlink r:id="rId59" w:history="1">
        <w:r w:rsidRPr="0085107A">
          <w:rPr>
            <w:rStyle w:val="Hyperlink"/>
            <w:rFonts w:cs="Arial"/>
          </w:rPr>
          <w:t>Constitution</w:t>
        </w:r>
      </w:hyperlink>
      <w:r w:rsidRPr="0085107A">
        <w:t xml:space="preserve">, the child should be consulted on the manner in which he/she wishes to be heard. However, there are no specific legal requirements in this respect and in practice this will depend on the judge’s decision whether he/she consults the child on this point or not. As mentioned above, as a result of lack of legal capacity to act, the child relies on his/her legal representative’s action to enforce his/her legal rights. </w:t>
      </w:r>
    </w:p>
    <w:p w14:paraId="63D4A5F9" w14:textId="77777777" w:rsidR="00D51AA0" w:rsidRPr="0085107A" w:rsidRDefault="00D51AA0" w:rsidP="0085750C">
      <w:pPr>
        <w:pStyle w:val="BodyText"/>
        <w:rPr>
          <w:bCs/>
        </w:rPr>
      </w:pPr>
      <w:r w:rsidRPr="0085107A">
        <w:t>No requirements on communication techniques to be used with children and on the way of taking into account the child’s age and maturity have been identified</w:t>
      </w:r>
      <w:r w:rsidRPr="0085107A">
        <w:rPr>
          <w:rStyle w:val="FootnoteReference"/>
        </w:rPr>
        <w:footnoteReference w:id="157"/>
      </w:r>
      <w:r w:rsidRPr="0085107A">
        <w:t xml:space="preserve">. </w:t>
      </w:r>
    </w:p>
    <w:p w14:paraId="6FF02CD4" w14:textId="77777777" w:rsidR="00D51AA0" w:rsidRPr="0085750C" w:rsidRDefault="00D51AA0" w:rsidP="0085750C">
      <w:pPr>
        <w:pStyle w:val="BodyText"/>
        <w:rPr>
          <w:rFonts w:ascii="Calibri" w:eastAsiaTheme="majorEastAsia" w:hAnsi="Calibri" w:cstheme="majorBidi"/>
          <w:b/>
          <w:bCs/>
          <w:i/>
          <w:iCs/>
          <w:color w:val="0067AC"/>
          <w:sz w:val="22"/>
        </w:rPr>
      </w:pPr>
      <w:r w:rsidRPr="0085750C">
        <w:rPr>
          <w:rFonts w:ascii="Calibri" w:eastAsiaTheme="majorEastAsia" w:hAnsi="Calibri" w:cstheme="majorBidi"/>
          <w:b/>
          <w:bCs/>
          <w:i/>
          <w:iCs/>
          <w:color w:val="0067AC"/>
          <w:sz w:val="22"/>
        </w:rPr>
        <w:t>The child as a plaintiffs/complainant or defendant</w:t>
      </w:r>
    </w:p>
    <w:p w14:paraId="6BF4A604" w14:textId="77777777" w:rsidR="00D51AA0" w:rsidRPr="0085107A" w:rsidRDefault="00D51AA0" w:rsidP="0085750C">
      <w:pPr>
        <w:pStyle w:val="BodyText"/>
      </w:pPr>
      <w:r w:rsidRPr="0085107A">
        <w:t>The general rules described above apply to child defendants and plaintiffs.</w:t>
      </w:r>
    </w:p>
    <w:p w14:paraId="2391E1F7" w14:textId="77777777" w:rsidR="00D51AA0" w:rsidRPr="0085750C" w:rsidRDefault="00D51AA0" w:rsidP="00B93831">
      <w:pPr>
        <w:pStyle w:val="Heading3NoNumb"/>
        <w:ind w:firstLine="851"/>
      </w:pPr>
      <w:bookmarkStart w:id="126" w:name="_Toc409790501"/>
      <w:r w:rsidRPr="0085750C">
        <w:t>Participation of the child in proceedings</w:t>
      </w:r>
      <w:bookmarkEnd w:id="126"/>
    </w:p>
    <w:p w14:paraId="2E96739C" w14:textId="77777777" w:rsidR="00D51AA0" w:rsidRPr="0085107A" w:rsidRDefault="00D51AA0" w:rsidP="0085750C">
      <w:pPr>
        <w:pStyle w:val="BodyText"/>
        <w:rPr>
          <w:bCs/>
        </w:rPr>
      </w:pPr>
      <w:r w:rsidRPr="0085107A">
        <w:rPr>
          <w:bCs/>
        </w:rPr>
        <w:t xml:space="preserve">As explained under </w:t>
      </w:r>
      <w:hyperlink w:anchor="_The_child_as_1" w:history="1">
        <w:r w:rsidRPr="0085107A">
          <w:rPr>
            <w:rStyle w:val="Hyperlink"/>
            <w:rFonts w:cs="Arial"/>
            <w:bCs/>
          </w:rPr>
          <w:t>Section 3.1</w:t>
        </w:r>
      </w:hyperlink>
      <w:r w:rsidRPr="0085107A">
        <w:rPr>
          <w:bCs/>
        </w:rPr>
        <w:t>, children do not have legal capacity to act</w:t>
      </w:r>
      <w:r w:rsidRPr="0085107A">
        <w:rPr>
          <w:rStyle w:val="FootnoteReference"/>
          <w:bCs/>
        </w:rPr>
        <w:footnoteReference w:id="158"/>
      </w:r>
      <w:r w:rsidRPr="0085107A">
        <w:rPr>
          <w:bCs/>
        </w:rPr>
        <w:t>, hence, they cannot be parties to judicial proceedings or enter into contractual agreements in their own name. The child will be represented by his/her legal representative until he/she turns 18 years old</w:t>
      </w:r>
      <w:r w:rsidRPr="0085107A">
        <w:rPr>
          <w:rStyle w:val="FootnoteReference"/>
          <w:bCs/>
        </w:rPr>
        <w:footnoteReference w:id="159"/>
      </w:r>
      <w:r w:rsidRPr="0085107A">
        <w:rPr>
          <w:bCs/>
        </w:rPr>
        <w:t xml:space="preserve"> or attains full legal capacity to act otherwise, e.g. by emancipation.  </w:t>
      </w:r>
    </w:p>
    <w:p w14:paraId="5CDDE7F5" w14:textId="77777777" w:rsidR="00D51AA0" w:rsidRPr="0085750C" w:rsidRDefault="00D51AA0" w:rsidP="00B93831">
      <w:pPr>
        <w:pStyle w:val="Heading3NoNumb"/>
        <w:ind w:firstLine="851"/>
      </w:pPr>
      <w:bookmarkStart w:id="127" w:name="_Toc409790502"/>
      <w:r w:rsidRPr="0085750C">
        <w:t>Measures to ensure that the child is heard</w:t>
      </w:r>
      <w:bookmarkEnd w:id="127"/>
    </w:p>
    <w:p w14:paraId="48189C5D" w14:textId="77777777" w:rsidR="00D51AA0" w:rsidRPr="0085107A" w:rsidRDefault="00D51AA0" w:rsidP="0085750C">
      <w:pPr>
        <w:pStyle w:val="BodyText"/>
      </w:pPr>
      <w:r w:rsidRPr="0085107A">
        <w:t>In cases where a guardian ad litem has been appointed to represent a child, the child of at least 12 years old must still be heard in proceedings concerning him/herself and the child of at least 15 years old must be heard in proceedings regarding his/her property</w:t>
      </w:r>
      <w:r w:rsidRPr="0085107A">
        <w:rPr>
          <w:rStyle w:val="FootnoteReference"/>
        </w:rPr>
        <w:footnoteReference w:id="160"/>
      </w:r>
      <w:r w:rsidRPr="0085107A">
        <w:t>.</w:t>
      </w:r>
    </w:p>
    <w:p w14:paraId="73336703" w14:textId="77777777" w:rsidR="00D51AA0" w:rsidRPr="0085750C" w:rsidRDefault="00D51AA0" w:rsidP="00B93831">
      <w:pPr>
        <w:pStyle w:val="Heading3NoNumb"/>
        <w:ind w:firstLine="851"/>
      </w:pPr>
      <w:bookmarkStart w:id="128" w:name="_Toc409790503"/>
      <w:r w:rsidRPr="0085750C">
        <w:lastRenderedPageBreak/>
        <w:t>Limitation periods for a child to pursue a claim</w:t>
      </w:r>
      <w:bookmarkEnd w:id="128"/>
    </w:p>
    <w:p w14:paraId="1603C605" w14:textId="77777777" w:rsidR="00D51AA0" w:rsidRPr="0085107A" w:rsidRDefault="00D51AA0" w:rsidP="0085750C">
      <w:pPr>
        <w:pStyle w:val="BodyText"/>
        <w:rPr>
          <w:bCs/>
        </w:rPr>
      </w:pPr>
      <w:r w:rsidRPr="0085107A">
        <w:rPr>
          <w:bCs/>
        </w:rPr>
        <w:t>Limitation periods to bring a claim depend on the nature of the claim</w:t>
      </w:r>
      <w:r w:rsidRPr="004C26BC">
        <w:rPr>
          <w:bCs/>
        </w:rPr>
        <w:t>. For personal claims, the limitation period is 10 years.</w:t>
      </w:r>
      <w:r w:rsidRPr="0085107A">
        <w:rPr>
          <w:bCs/>
        </w:rPr>
        <w:t xml:space="preserve"> An action for compensation for damages resulting from extra-contractual liability is barred after five years from the day following the one when the injured party became aware of the damage or its aggravation and the identity of the person responsible</w:t>
      </w:r>
      <w:r w:rsidRPr="0085107A">
        <w:rPr>
          <w:rStyle w:val="FootnoteReference"/>
          <w:bCs/>
        </w:rPr>
        <w:footnoteReference w:id="161"/>
      </w:r>
      <w:r w:rsidRPr="0085107A">
        <w:rPr>
          <w:bCs/>
        </w:rPr>
        <w:t xml:space="preserve">. </w:t>
      </w:r>
    </w:p>
    <w:p w14:paraId="29D05EE5" w14:textId="77777777" w:rsidR="00D51AA0" w:rsidRPr="0085107A" w:rsidRDefault="00D51AA0" w:rsidP="0085750C">
      <w:pPr>
        <w:pStyle w:val="BodyText"/>
        <w:rPr>
          <w:bCs/>
        </w:rPr>
      </w:pPr>
      <w:r w:rsidRPr="0085107A">
        <w:rPr>
          <w:bCs/>
        </w:rPr>
        <w:t>Additional rules on limitation periods are laid down in the law for specific cases</w:t>
      </w:r>
      <w:r w:rsidRPr="004C26BC">
        <w:rPr>
          <w:bCs/>
        </w:rPr>
        <w:t>. For example in filiation proceedings, the general rule is that the limitation period is 30 years from the birth of the child or the year when the parents stop behaving as the child’s parents</w:t>
      </w:r>
      <w:r w:rsidRPr="004C26BC">
        <w:rPr>
          <w:rStyle w:val="FootnoteReference"/>
          <w:bCs/>
        </w:rPr>
        <w:footnoteReference w:id="162"/>
      </w:r>
      <w:r w:rsidRPr="004C26BC">
        <w:rPr>
          <w:bCs/>
        </w:rPr>
        <w:t>.</w:t>
      </w:r>
      <w:r w:rsidRPr="0085107A">
        <w:rPr>
          <w:bCs/>
        </w:rPr>
        <w:t xml:space="preserve"> </w:t>
      </w:r>
    </w:p>
    <w:p w14:paraId="39D5500F" w14:textId="77777777" w:rsidR="00D51AA0" w:rsidRPr="0085107A" w:rsidRDefault="00D51AA0" w:rsidP="0085750C">
      <w:pPr>
        <w:pStyle w:val="BodyText"/>
        <w:rPr>
          <w:bCs/>
        </w:rPr>
      </w:pPr>
      <w:r w:rsidRPr="0085107A">
        <w:rPr>
          <w:bCs/>
        </w:rPr>
        <w:t>The general rules applicable to limitation periods also apply to children. For certain proceedings, specific limitation periods are provided to children. For example, a child of at least 12 years old until he/she turns 22 years old or within a year from discovering that one of his/her parents is not his/her parent, can file a claim for filiation recognition</w:t>
      </w:r>
      <w:r w:rsidRPr="0085107A">
        <w:rPr>
          <w:rStyle w:val="FootnoteReference"/>
          <w:bCs/>
        </w:rPr>
        <w:footnoteReference w:id="163"/>
      </w:r>
      <w:r w:rsidRPr="0085107A">
        <w:rPr>
          <w:bCs/>
        </w:rPr>
        <w:t xml:space="preserve">. </w:t>
      </w:r>
    </w:p>
    <w:p w14:paraId="476D1342" w14:textId="77777777" w:rsidR="00D51AA0" w:rsidRPr="0085750C" w:rsidRDefault="00D51AA0" w:rsidP="00B93831">
      <w:pPr>
        <w:pStyle w:val="Heading3NoNumb"/>
        <w:ind w:firstLine="851"/>
      </w:pPr>
      <w:bookmarkStart w:id="129" w:name="_Toc409790504"/>
      <w:r w:rsidRPr="0085750C">
        <w:t>Information on legal remedies</w:t>
      </w:r>
      <w:bookmarkEnd w:id="129"/>
    </w:p>
    <w:p w14:paraId="3E88B394" w14:textId="77777777" w:rsidR="00D51AA0" w:rsidRPr="0085107A" w:rsidRDefault="00D51AA0" w:rsidP="0085750C">
      <w:pPr>
        <w:pStyle w:val="BodyText"/>
      </w:pPr>
      <w:r w:rsidRPr="0085107A">
        <w:t>A court ruling may only be notified to a child of 16 years or more</w:t>
      </w:r>
      <w:r w:rsidRPr="0085107A">
        <w:rPr>
          <w:rStyle w:val="FootnoteReference"/>
        </w:rPr>
        <w:footnoteReference w:id="164"/>
      </w:r>
      <w:r w:rsidRPr="0085107A">
        <w:t>. The copy of the judicial decision will be handed to the child’s parents.</w:t>
      </w:r>
    </w:p>
    <w:p w14:paraId="1D5DFE1F" w14:textId="77777777" w:rsidR="00D51AA0" w:rsidRPr="0085750C" w:rsidRDefault="00D51AA0" w:rsidP="0085750C">
      <w:pPr>
        <w:pStyle w:val="BodyText"/>
        <w:rPr>
          <w:rFonts w:ascii="Calibri" w:eastAsiaTheme="majorEastAsia" w:hAnsi="Calibri" w:cstheme="majorBidi"/>
          <w:b/>
          <w:bCs/>
          <w:i/>
          <w:iCs/>
          <w:color w:val="0067AC"/>
          <w:sz w:val="22"/>
        </w:rPr>
      </w:pPr>
      <w:r w:rsidRPr="0085750C">
        <w:rPr>
          <w:rFonts w:ascii="Calibri" w:eastAsiaTheme="majorEastAsia" w:hAnsi="Calibri" w:cstheme="majorBidi"/>
          <w:b/>
          <w:bCs/>
          <w:i/>
          <w:iCs/>
          <w:color w:val="0067AC"/>
          <w:sz w:val="22"/>
        </w:rPr>
        <w:t>The child as a witness</w:t>
      </w:r>
    </w:p>
    <w:p w14:paraId="39EABE6F" w14:textId="77777777" w:rsidR="00D51AA0" w:rsidRPr="0085107A" w:rsidRDefault="00D51AA0" w:rsidP="0085750C">
      <w:pPr>
        <w:pStyle w:val="BodyText"/>
      </w:pPr>
      <w:r w:rsidRPr="0085107A">
        <w:t>The same rules described above apply to child witnesses. It is noted that the interview/hearing of a child witness does not grant the child the status of a party to the proceedings</w:t>
      </w:r>
      <w:r w:rsidRPr="0085107A">
        <w:rPr>
          <w:rStyle w:val="FootnoteReference"/>
          <w:bCs/>
        </w:rPr>
        <w:footnoteReference w:id="165"/>
      </w:r>
      <w:r w:rsidRPr="0085107A">
        <w:t>. As a result of the child’s lack of legal capacity to act, the child cannot participate in the proceedings in his/her own right but via his/her legal representative.</w:t>
      </w:r>
    </w:p>
    <w:p w14:paraId="7D9873A0" w14:textId="77777777" w:rsidR="00D51AA0" w:rsidRDefault="00D51AA0" w:rsidP="0085750C">
      <w:pPr>
        <w:pStyle w:val="BodyText"/>
      </w:pPr>
      <w:r w:rsidRPr="0085107A">
        <w:t xml:space="preserve">Rules applicable to the communication of court rulings are described under </w:t>
      </w:r>
      <w:hyperlink w:anchor="_Provision_of_information" w:history="1">
        <w:r w:rsidRPr="0085107A">
          <w:rPr>
            <w:rStyle w:val="Hyperlink"/>
            <w:rFonts w:cs="Arial"/>
          </w:rPr>
          <w:t>Section 3.2</w:t>
        </w:r>
      </w:hyperlink>
      <w:r w:rsidRPr="0085107A">
        <w:t>.</w:t>
      </w:r>
    </w:p>
    <w:p w14:paraId="5C98B004" w14:textId="77777777" w:rsidR="00D51AA0" w:rsidRPr="0085750C" w:rsidRDefault="00D51AA0" w:rsidP="0085750C">
      <w:pPr>
        <w:pStyle w:val="BodyText"/>
        <w:rPr>
          <w:rFonts w:ascii="Calibri" w:eastAsiaTheme="majorEastAsia" w:hAnsi="Calibri" w:cstheme="majorBidi"/>
          <w:b/>
          <w:bCs/>
          <w:i/>
          <w:iCs/>
          <w:color w:val="0067AC"/>
          <w:sz w:val="22"/>
        </w:rPr>
      </w:pPr>
      <w:r w:rsidRPr="0085750C">
        <w:rPr>
          <w:rFonts w:ascii="Calibri" w:eastAsiaTheme="majorEastAsia" w:hAnsi="Calibri" w:cstheme="majorBidi"/>
          <w:b/>
          <w:bCs/>
          <w:i/>
          <w:iCs/>
          <w:color w:val="0067AC"/>
          <w:sz w:val="22"/>
        </w:rPr>
        <w:t>The child in any other role</w:t>
      </w:r>
    </w:p>
    <w:p w14:paraId="68A5830F" w14:textId="77777777" w:rsidR="00D51AA0" w:rsidRPr="0085107A" w:rsidRDefault="00D51AA0" w:rsidP="0085750C">
      <w:pPr>
        <w:pStyle w:val="BodyText"/>
        <w:rPr>
          <w:rFonts w:eastAsia="Times New Roman"/>
          <w:bCs/>
        </w:rPr>
      </w:pPr>
      <w:r w:rsidRPr="0085107A">
        <w:rPr>
          <w:rFonts w:eastAsia="Times New Roman"/>
          <w:bCs/>
        </w:rPr>
        <w:t>The general rules also apply to children in any other role. As mentioned above,</w:t>
      </w:r>
      <w:r w:rsidRPr="0085107A">
        <w:rPr>
          <w:bCs/>
        </w:rPr>
        <w:t xml:space="preserve"> a</w:t>
      </w:r>
      <w:r w:rsidRPr="0085107A">
        <w:t>s a result of the child’s lack of legal capacity to act, the child cannot participate in the proceedings in his/her own right but via his/her legal representative.</w:t>
      </w:r>
    </w:p>
    <w:p w14:paraId="30A1CF16" w14:textId="77777777" w:rsidR="00D51AA0" w:rsidRPr="0085107A" w:rsidRDefault="00D51AA0" w:rsidP="0085750C">
      <w:pPr>
        <w:pStyle w:val="BodyText"/>
      </w:pPr>
      <w:r w:rsidRPr="0085107A">
        <w:rPr>
          <w:bCs/>
        </w:rPr>
        <w:t xml:space="preserve">As mentioned in </w:t>
      </w:r>
      <w:hyperlink w:anchor="_Protecting_the_child" w:history="1">
        <w:r w:rsidRPr="0085107A">
          <w:rPr>
            <w:rStyle w:val="Hyperlink"/>
            <w:rFonts w:cs="Arial"/>
            <w:bCs/>
          </w:rPr>
          <w:t>Section 3.5</w:t>
        </w:r>
      </w:hyperlink>
      <w:r w:rsidRPr="0085107A">
        <w:rPr>
          <w:bCs/>
        </w:rPr>
        <w:t>, a</w:t>
      </w:r>
      <w:r w:rsidRPr="0085107A">
        <w:t xml:space="preserve"> youth judge must hear a child who is at least 12 years old on cases related to disputes over parental authorities (e.g. disputes on the child’s property, access rights, guardianship)</w:t>
      </w:r>
      <w:r w:rsidRPr="0085107A">
        <w:rPr>
          <w:rStyle w:val="FootnoteReference"/>
        </w:rPr>
        <w:footnoteReference w:id="166"/>
      </w:r>
      <w:r w:rsidRPr="0085107A">
        <w:t>. A youth judge may also decide to hear a child under 12 years old. For proceedings other than those related to parental authority, the general rule on the hearing of the child applies. As a result, a youth judge may decide to hear the child with sufficient discernment or the child may request to be heard.</w:t>
      </w:r>
    </w:p>
    <w:p w14:paraId="4A924367" w14:textId="77777777" w:rsidR="00D51AA0" w:rsidRPr="0085107A" w:rsidRDefault="00D51AA0" w:rsidP="0085750C">
      <w:pPr>
        <w:pStyle w:val="BodyText"/>
        <w:rPr>
          <w:bCs/>
        </w:rPr>
      </w:pPr>
      <w:r w:rsidRPr="0085107A">
        <w:rPr>
          <w:bCs/>
        </w:rPr>
        <w:t xml:space="preserve">The </w:t>
      </w:r>
      <w:hyperlink r:id="rId60" w:history="1">
        <w:r w:rsidRPr="0085107A">
          <w:rPr>
            <w:rStyle w:val="Hyperlink"/>
            <w:rFonts w:cs="Arial"/>
            <w:bCs/>
          </w:rPr>
          <w:t>new Act for the creation of the Family and Youth Tribunal</w:t>
        </w:r>
      </w:hyperlink>
      <w:r w:rsidRPr="0085107A">
        <w:rPr>
          <w:bCs/>
        </w:rPr>
        <w:t xml:space="preserve">, which is not yet in force, foresees that any child has the right to be heard by a judge in proceedings related to parental authority and access rights. The child will keep his/her right to refuse to be heard. The new Act specifies that children under 12 years old are heard upon the child’s request, the request of one of the parties, the crown prosecutor or </w:t>
      </w:r>
      <w:r w:rsidRPr="0085107A">
        <w:rPr>
          <w:bCs/>
          <w:i/>
        </w:rPr>
        <w:t>ex officio</w:t>
      </w:r>
      <w:r w:rsidRPr="0085107A">
        <w:rPr>
          <w:bCs/>
        </w:rPr>
        <w:t xml:space="preserve"> by the judge</w:t>
      </w:r>
      <w:r w:rsidRPr="0085107A">
        <w:rPr>
          <w:rStyle w:val="FootnoteReference"/>
          <w:bCs/>
        </w:rPr>
        <w:footnoteReference w:id="167"/>
      </w:r>
      <w:r w:rsidRPr="0085107A">
        <w:rPr>
          <w:bCs/>
        </w:rPr>
        <w:t>.</w:t>
      </w:r>
    </w:p>
    <w:p w14:paraId="68309A09" w14:textId="77777777" w:rsidR="00D51AA0" w:rsidRPr="0085107A" w:rsidRDefault="00D51AA0" w:rsidP="0085750C">
      <w:pPr>
        <w:pStyle w:val="BodyText"/>
      </w:pPr>
      <w:r w:rsidRPr="0085107A">
        <w:rPr>
          <w:bCs/>
        </w:rPr>
        <w:t xml:space="preserve">The </w:t>
      </w:r>
      <w:hyperlink r:id="rId61" w:history="1">
        <w:r w:rsidRPr="0085107A">
          <w:rPr>
            <w:rStyle w:val="Hyperlink"/>
            <w:rFonts w:cs="Arial"/>
            <w:bCs/>
          </w:rPr>
          <w:t>new Act for the creation of the Family and Youth Tribunal</w:t>
        </w:r>
      </w:hyperlink>
      <w:r w:rsidRPr="0085107A">
        <w:rPr>
          <w:bCs/>
        </w:rPr>
        <w:t xml:space="preserve"> also establishes a right of the child, of at least 12 years old, to be informed by the judge of his/her right to be heard in proceedings related to parental authority and access rights. The judge must also inform the </w:t>
      </w:r>
      <w:r w:rsidRPr="0085107A">
        <w:rPr>
          <w:bCs/>
        </w:rPr>
        <w:lastRenderedPageBreak/>
        <w:t>child on his/her right to refuse to be heard, his/her right not to respond to the questions of the judge and explanations on how the interview will be carried out</w:t>
      </w:r>
      <w:r w:rsidRPr="0085107A">
        <w:rPr>
          <w:rStyle w:val="FootnoteReference"/>
          <w:bCs/>
        </w:rPr>
        <w:footnoteReference w:id="168"/>
      </w:r>
      <w:r w:rsidRPr="0085107A">
        <w:rPr>
          <w:bCs/>
        </w:rPr>
        <w:t>.</w:t>
      </w:r>
    </w:p>
    <w:p w14:paraId="2B924062" w14:textId="77777777" w:rsidR="00D51AA0" w:rsidRPr="0085107A" w:rsidRDefault="00D51AA0" w:rsidP="0085750C">
      <w:pPr>
        <w:pStyle w:val="BodyText"/>
        <w:rPr>
          <w:bCs/>
        </w:rPr>
      </w:pPr>
      <w:r w:rsidRPr="0085107A">
        <w:rPr>
          <w:bCs/>
        </w:rPr>
        <w:t xml:space="preserve">As described under </w:t>
      </w:r>
      <w:hyperlink w:anchor="_The_child_as_2" w:history="1">
        <w:r w:rsidRPr="0085107A">
          <w:rPr>
            <w:rStyle w:val="Hyperlink"/>
            <w:rFonts w:cs="Arial"/>
            <w:bCs/>
          </w:rPr>
          <w:t>Section 3.1</w:t>
        </w:r>
      </w:hyperlink>
      <w:r w:rsidRPr="0085107A">
        <w:rPr>
          <w:bCs/>
        </w:rPr>
        <w:t xml:space="preserve">, in certain proceedings, such as adoption and filiation cases, the child is provided with greater participation rights in the proceedings, as his/her consent is required at various stages of the proceedings. However, such participation does not grant them the status of party to the proceedings. </w:t>
      </w:r>
    </w:p>
    <w:p w14:paraId="24BCC5C5" w14:textId="77777777" w:rsidR="00D51AA0" w:rsidRPr="00855CEB" w:rsidRDefault="00D51AA0" w:rsidP="00B93831">
      <w:pPr>
        <w:pStyle w:val="Heading3NoNumb"/>
        <w:ind w:firstLine="851"/>
      </w:pPr>
      <w:r w:rsidRPr="0085107A">
        <w:t xml:space="preserve"> </w:t>
      </w:r>
      <w:bookmarkStart w:id="130" w:name="_Toc409790505"/>
      <w:r w:rsidRPr="0085750C">
        <w:t>Adoption</w:t>
      </w:r>
      <w:bookmarkEnd w:id="130"/>
    </w:p>
    <w:p w14:paraId="78FBEC0E" w14:textId="77777777" w:rsidR="00D51AA0" w:rsidRPr="0085107A" w:rsidRDefault="00D51AA0" w:rsidP="0085750C">
      <w:pPr>
        <w:pStyle w:val="BodyText"/>
        <w:rPr>
          <w:bCs/>
        </w:rPr>
      </w:pPr>
      <w:r w:rsidRPr="0085107A">
        <w:rPr>
          <w:bCs/>
        </w:rPr>
        <w:t xml:space="preserve">As explained under </w:t>
      </w:r>
      <w:hyperlink w:anchor="_The_child_as_3" w:history="1">
        <w:r w:rsidRPr="0085107A">
          <w:rPr>
            <w:rStyle w:val="Hyperlink"/>
            <w:rFonts w:cs="Arial"/>
            <w:bCs/>
          </w:rPr>
          <w:t>Section 3.1</w:t>
        </w:r>
      </w:hyperlink>
      <w:r w:rsidRPr="0085107A">
        <w:rPr>
          <w:bCs/>
        </w:rPr>
        <w:t>, a child of 12 years old and above must give his/her consent to his/her adoption. Moreover, a child who is at least 12 years old must be heard. Children of 16 years old and above are summoned by the Youth Tribunal via a judicial letter, whereas children below 16 years old are summoned via an ordinary letter.</w:t>
      </w:r>
    </w:p>
    <w:p w14:paraId="739BDEF3" w14:textId="77777777" w:rsidR="00D51AA0" w:rsidRPr="0085107A" w:rsidRDefault="00D51AA0" w:rsidP="0085750C">
      <w:pPr>
        <w:pStyle w:val="BodyText"/>
        <w:rPr>
          <w:bCs/>
        </w:rPr>
      </w:pPr>
      <w:r w:rsidRPr="0085107A">
        <w:rPr>
          <w:bCs/>
        </w:rPr>
        <w:t xml:space="preserve">The Youth Tribunal may order the competent social service to carry out an assessment of the child’s capacity of discernment. Such assessment can be carried out for children who are below 12. If, on the basis of the assessment, the Youth Tribunal finds that the child is capable of expressing his/her views, the Youth Tribunal may hear him/her. </w:t>
      </w:r>
    </w:p>
    <w:p w14:paraId="3DC518DF" w14:textId="77777777" w:rsidR="00D51AA0" w:rsidRPr="0085107A" w:rsidRDefault="00D51AA0" w:rsidP="0085750C">
      <w:pPr>
        <w:pStyle w:val="BodyText"/>
        <w:rPr>
          <w:bCs/>
        </w:rPr>
      </w:pPr>
      <w:r w:rsidRPr="0085107A">
        <w:rPr>
          <w:bCs/>
        </w:rPr>
        <w:t xml:space="preserve">The child may also request the Youth Tribunal to assess his/her ability to express his/her opinion. This request should be filed within 15 working days from the time that the outcome of the assessment is notified by the crown prosecutor. The Youth Tribunal will then assess the ability of the child in the form of a decision, which cannot be appealed against. </w:t>
      </w:r>
    </w:p>
    <w:p w14:paraId="4D5801F2" w14:textId="77777777" w:rsidR="00D51AA0" w:rsidRPr="0085107A" w:rsidRDefault="00D51AA0" w:rsidP="0085750C">
      <w:pPr>
        <w:pStyle w:val="BodyText"/>
        <w:rPr>
          <w:bCs/>
        </w:rPr>
      </w:pPr>
      <w:r w:rsidRPr="0085107A">
        <w:rPr>
          <w:bCs/>
        </w:rPr>
        <w:t>During the child’s appearance before the Youth Tribunal, the child may refuse to be heard. Instead, the child can designate his/her representative to be heard. The child is heard alone with no one but the judge, the clerk and, where applicable, an expert or interpreter. The child’s opinion must be taken into account in accordance with his/her age and maturity. A report of the hearing is attached to the case file</w:t>
      </w:r>
      <w:r w:rsidRPr="0085107A">
        <w:rPr>
          <w:rStyle w:val="FootnoteReference"/>
          <w:bCs/>
        </w:rPr>
        <w:footnoteReference w:id="169"/>
      </w:r>
      <w:r w:rsidRPr="0085107A">
        <w:rPr>
          <w:bCs/>
        </w:rPr>
        <w:t>.</w:t>
      </w:r>
    </w:p>
    <w:p w14:paraId="444F8013" w14:textId="77777777" w:rsidR="00D51AA0" w:rsidRPr="006D79FA" w:rsidRDefault="00D51AA0" w:rsidP="00B93831">
      <w:pPr>
        <w:pStyle w:val="Heading3NoNumb"/>
        <w:ind w:firstLine="851"/>
      </w:pPr>
      <w:bookmarkStart w:id="131" w:name="_Toc409790506"/>
      <w:r w:rsidRPr="006D79FA">
        <w:t>Divorce proceedings</w:t>
      </w:r>
      <w:bookmarkEnd w:id="131"/>
    </w:p>
    <w:p w14:paraId="38F1269B" w14:textId="77777777" w:rsidR="00D51AA0" w:rsidRPr="0085107A" w:rsidRDefault="00D51AA0" w:rsidP="0085750C">
      <w:pPr>
        <w:pStyle w:val="BodyText"/>
        <w:rPr>
          <w:bCs/>
        </w:rPr>
      </w:pPr>
      <w:r w:rsidRPr="0085107A">
        <w:rPr>
          <w:bCs/>
        </w:rPr>
        <w:t>The child cannot be heard in proceedings where his/her ascendants have conflicting interests. The child will only be heard in proceedings that directly concern him/her, such as with regard to access rights. During the hearing, the child cannot be asked to choose between his/her parents. The hearing would only aim at understanding the situation of the child. The judge will explain this to the child at the beginning of the hearing. A written copy of the hearing will be made, which will not be available to the parents and the parents’ legal representatives</w:t>
      </w:r>
      <w:r w:rsidRPr="0085107A">
        <w:rPr>
          <w:rStyle w:val="FootnoteReference"/>
          <w:bCs/>
        </w:rPr>
        <w:footnoteReference w:id="170"/>
      </w:r>
      <w:r w:rsidRPr="0085107A">
        <w:rPr>
          <w:bCs/>
        </w:rPr>
        <w:t>.</w:t>
      </w:r>
    </w:p>
    <w:p w14:paraId="1662C9A6" w14:textId="77777777" w:rsidR="00D51AA0" w:rsidRPr="0085107A" w:rsidRDefault="00D51AA0" w:rsidP="0085750C">
      <w:pPr>
        <w:pStyle w:val="BodyText"/>
      </w:pPr>
      <w:r w:rsidRPr="0085107A">
        <w:rPr>
          <w:bCs/>
        </w:rPr>
        <w:t xml:space="preserve">In addition, the judge may hear the child </w:t>
      </w:r>
      <w:r w:rsidRPr="0085107A">
        <w:rPr>
          <w:bCs/>
          <w:i/>
        </w:rPr>
        <w:t>ex officio</w:t>
      </w:r>
      <w:r w:rsidRPr="0085107A">
        <w:rPr>
          <w:bCs/>
        </w:rPr>
        <w:t xml:space="preserve"> during the finalisation of a divorce agreement (i.e. settlement agreement of the child’s parents) or on any request to change the divorce’s agreement during the divorce proceedings</w:t>
      </w:r>
      <w:r w:rsidRPr="0085107A">
        <w:rPr>
          <w:rStyle w:val="FootnoteReference"/>
          <w:bCs/>
        </w:rPr>
        <w:footnoteReference w:id="171"/>
      </w:r>
      <w:r w:rsidRPr="0085107A">
        <w:rPr>
          <w:bCs/>
        </w:rPr>
        <w:t>.</w:t>
      </w:r>
    </w:p>
    <w:p w14:paraId="06D6E877" w14:textId="53E05FEF" w:rsidR="00D51AA0" w:rsidRPr="0085107A" w:rsidRDefault="00D51AA0" w:rsidP="006D79FA">
      <w:pPr>
        <w:pStyle w:val="BodyText"/>
      </w:pPr>
      <w:r w:rsidRPr="0085107A">
        <w:t>It is noted that the Youth Tribunal’s rulings must be handed directly at the public hearing to a child of 12 years old or more, and to his/her parents, guardians or persons having custody over the child. If this cannot be done at the hearing, the decision will be notified by court letter</w:t>
      </w:r>
      <w:r w:rsidRPr="0085107A">
        <w:rPr>
          <w:rStyle w:val="FootnoteReference"/>
        </w:rPr>
        <w:footnoteReference w:id="172"/>
      </w:r>
      <w:r w:rsidRPr="0085107A">
        <w:t xml:space="preserve">. The copy of the </w:t>
      </w:r>
      <w:r>
        <w:t>judgement</w:t>
      </w:r>
      <w:r w:rsidRPr="0085107A">
        <w:t xml:space="preserve"> must indicate the legal remedies available against the decision, including procedures and deadlines.</w:t>
      </w:r>
    </w:p>
    <w:p w14:paraId="7DA0E409" w14:textId="77777777" w:rsidR="00D51AA0" w:rsidRPr="0085107A" w:rsidRDefault="00D51AA0" w:rsidP="006D79FA">
      <w:pPr>
        <w:pStyle w:val="Heading2"/>
      </w:pPr>
      <w:bookmarkStart w:id="132" w:name="_Right_to_legal"/>
      <w:bookmarkStart w:id="133" w:name="_Right_to_legal_1"/>
      <w:bookmarkStart w:id="134" w:name="_Toc350439431"/>
      <w:bookmarkStart w:id="135" w:name="_Toc409790507"/>
      <w:bookmarkEnd w:id="132"/>
      <w:bookmarkEnd w:id="133"/>
      <w:r w:rsidRPr="0085107A">
        <w:lastRenderedPageBreak/>
        <w:t>Right to legal counsel, legal assistance and representation</w:t>
      </w:r>
      <w:bookmarkEnd w:id="123"/>
      <w:bookmarkEnd w:id="134"/>
      <w:bookmarkEnd w:id="135"/>
      <w:r w:rsidRPr="0085107A">
        <w:t xml:space="preserve"> </w:t>
      </w:r>
    </w:p>
    <w:p w14:paraId="20592010" w14:textId="77777777" w:rsidR="00D51AA0" w:rsidRPr="00140B79" w:rsidRDefault="00D51AA0" w:rsidP="006D79FA">
      <w:pPr>
        <w:pStyle w:val="Heading3"/>
      </w:pPr>
      <w:bookmarkStart w:id="136" w:name="_Toc409790508"/>
      <w:r w:rsidRPr="00140B79">
        <w:t>General rules applicable to children involved in civil judicial proceedings regardless of their role</w:t>
      </w:r>
      <w:bookmarkEnd w:id="136"/>
    </w:p>
    <w:p w14:paraId="162FC3C8" w14:textId="77777777" w:rsidR="00D51AA0" w:rsidRPr="0085107A" w:rsidRDefault="00D51AA0" w:rsidP="006D79FA">
      <w:pPr>
        <w:pStyle w:val="BodyText"/>
        <w:rPr>
          <w:bCs/>
        </w:rPr>
      </w:pPr>
      <w:r w:rsidRPr="0085107A">
        <w:rPr>
          <w:bCs/>
        </w:rPr>
        <w:t>It is a requirement for a judge (with the exception of civil magistrate judge) to inform the crown prosecutor’s office when a child is involved in a proceeding</w:t>
      </w:r>
      <w:r w:rsidRPr="0085107A">
        <w:rPr>
          <w:rStyle w:val="FootnoteReference"/>
          <w:bCs/>
        </w:rPr>
        <w:footnoteReference w:id="173"/>
      </w:r>
      <w:r w:rsidRPr="0085107A">
        <w:rPr>
          <w:bCs/>
        </w:rPr>
        <w:t>. The crown prosecutor is, by this requirement, invited to submit his/her opinion to the court on the case. The goal of this requirement is to make sure that the crown prosecutor intervenes in cases where the child is involved in order to protect the child’s interests.</w:t>
      </w:r>
    </w:p>
    <w:p w14:paraId="41768B73" w14:textId="77777777" w:rsidR="00D51AA0" w:rsidRPr="006D79FA" w:rsidRDefault="00D51AA0" w:rsidP="006D79FA">
      <w:pPr>
        <w:pStyle w:val="BodyText"/>
        <w:rPr>
          <w:rFonts w:ascii="Calibri" w:eastAsiaTheme="majorEastAsia" w:hAnsi="Calibri" w:cstheme="majorBidi"/>
          <w:b/>
          <w:bCs/>
          <w:i/>
          <w:iCs/>
          <w:color w:val="0067AC"/>
          <w:sz w:val="22"/>
        </w:rPr>
      </w:pPr>
      <w:r w:rsidRPr="006D79FA">
        <w:rPr>
          <w:rFonts w:ascii="Calibri" w:eastAsiaTheme="majorEastAsia" w:hAnsi="Calibri" w:cstheme="majorBidi"/>
          <w:b/>
          <w:bCs/>
          <w:i/>
          <w:iCs/>
          <w:color w:val="0067AC"/>
          <w:sz w:val="22"/>
        </w:rPr>
        <w:t>The child as a plaintiff/complainant or defendant</w:t>
      </w:r>
    </w:p>
    <w:p w14:paraId="7BD092AA" w14:textId="77777777" w:rsidR="00D51AA0" w:rsidRPr="0085107A" w:rsidRDefault="00D51AA0" w:rsidP="006D79FA">
      <w:pPr>
        <w:pStyle w:val="BodyText"/>
      </w:pPr>
      <w:r w:rsidRPr="0085107A">
        <w:t>The right to legal protection is a constitutional right</w:t>
      </w:r>
      <w:r w:rsidRPr="0085107A">
        <w:rPr>
          <w:rStyle w:val="FootnoteReference"/>
        </w:rPr>
        <w:footnoteReference w:id="174"/>
      </w:r>
      <w:r w:rsidRPr="0085107A">
        <w:t xml:space="preserve">. Children have the right to a legal counsel, assistance and representation. </w:t>
      </w:r>
    </w:p>
    <w:p w14:paraId="0B978670" w14:textId="77777777" w:rsidR="00D51AA0" w:rsidRPr="006D79FA" w:rsidRDefault="00D51AA0" w:rsidP="00B93831">
      <w:pPr>
        <w:pStyle w:val="Heading3NoNumb"/>
        <w:ind w:firstLine="851"/>
      </w:pPr>
      <w:bookmarkStart w:id="137" w:name="_Toc409790509"/>
      <w:r w:rsidRPr="006D79FA">
        <w:t>Legal representation</w:t>
      </w:r>
      <w:bookmarkEnd w:id="137"/>
    </w:p>
    <w:p w14:paraId="4F0D21C5" w14:textId="77777777" w:rsidR="00D51AA0" w:rsidRPr="0085107A" w:rsidRDefault="00D51AA0" w:rsidP="006D79FA">
      <w:pPr>
        <w:pStyle w:val="BodyText"/>
      </w:pPr>
      <w:r w:rsidRPr="0085107A">
        <w:t xml:space="preserve">Rules applicable to the representation of children in civil judicial proceedings are provided under </w:t>
      </w:r>
      <w:hyperlink w:anchor="_The_child_as" w:history="1">
        <w:r w:rsidRPr="0085107A">
          <w:rPr>
            <w:rStyle w:val="Hyperlink"/>
            <w:rFonts w:cs="Arial"/>
          </w:rPr>
          <w:t>Section 3.1</w:t>
        </w:r>
      </w:hyperlink>
      <w:r w:rsidRPr="0085107A">
        <w:t xml:space="preserve">. </w:t>
      </w:r>
      <w:r w:rsidRPr="0085107A">
        <w:rPr>
          <w:rFonts w:eastAsia="Times New Roman"/>
          <w:bCs/>
        </w:rPr>
        <w:t>As mentioned above,</w:t>
      </w:r>
      <w:r w:rsidRPr="0085107A">
        <w:rPr>
          <w:bCs/>
        </w:rPr>
        <w:t xml:space="preserve"> as a result of the child’s lack of legal capacity to act, the child will not be a party to the proceedings in his/her own right, but the child’s legal representative will represent him/her.</w:t>
      </w:r>
    </w:p>
    <w:p w14:paraId="45D56D6A" w14:textId="77777777" w:rsidR="00D51AA0" w:rsidRPr="006D79FA" w:rsidRDefault="00D51AA0" w:rsidP="00B93831">
      <w:pPr>
        <w:pStyle w:val="Heading3NoNumb"/>
        <w:ind w:firstLine="851"/>
      </w:pPr>
      <w:bookmarkStart w:id="138" w:name="_Toc409790510"/>
      <w:r w:rsidRPr="006D79FA">
        <w:t>Legal aid</w:t>
      </w:r>
      <w:bookmarkEnd w:id="138"/>
    </w:p>
    <w:p w14:paraId="27D35619" w14:textId="77777777" w:rsidR="00D51AA0" w:rsidRPr="0085107A" w:rsidRDefault="00D51AA0" w:rsidP="006D79FA">
      <w:pPr>
        <w:pStyle w:val="BodyText"/>
      </w:pPr>
      <w:r w:rsidRPr="0085107A">
        <w:t xml:space="preserve">As mentioned in the children in criminal proceedings report, there are two forms of legal aid: primary and secondary legal aid. Primary legal aid consists of free of charge initial legal advice or referral to a specialised organisation available to everyone without conditions. It is offered by the House of Justice in each judicial district, victim support organisations and the Commission of Legal Aid where lawyers hold weekly legal aid hours. </w:t>
      </w:r>
    </w:p>
    <w:p w14:paraId="5D519071" w14:textId="71A37A29" w:rsidR="00D51AA0" w:rsidRPr="00140B79" w:rsidRDefault="00D51AA0" w:rsidP="006D79FA">
      <w:pPr>
        <w:pStyle w:val="BodyText"/>
      </w:pPr>
      <w:r w:rsidRPr="0085107A">
        <w:t>Secondary legal aid consists of the legal assistance of a legal counsel partly or fully free of charge as well as assistance provided to cover the costs of the proceedings (such as judicial fees and including mediation proceedings costs)</w:t>
      </w:r>
      <w:r w:rsidRPr="0085107A">
        <w:rPr>
          <w:rStyle w:val="FootnoteReference"/>
        </w:rPr>
        <w:footnoteReference w:id="175"/>
      </w:r>
      <w:r w:rsidRPr="0085107A">
        <w:t>. Children have access to free secondary legal aid in their own right without the necessity of proving any other conditions (such as low income)</w:t>
      </w:r>
      <w:r w:rsidRPr="0085107A">
        <w:rPr>
          <w:rStyle w:val="FootnoteReference"/>
        </w:rPr>
        <w:footnoteReference w:id="176"/>
      </w:r>
      <w:r w:rsidRPr="0085107A">
        <w:t xml:space="preserve">. </w:t>
      </w:r>
    </w:p>
    <w:p w14:paraId="1D1F14EC" w14:textId="77777777" w:rsidR="00D51AA0" w:rsidRPr="006D79FA" w:rsidRDefault="00D51AA0" w:rsidP="00B93831">
      <w:pPr>
        <w:pStyle w:val="Heading3NoNumb"/>
        <w:ind w:firstLine="851"/>
      </w:pPr>
      <w:bookmarkStart w:id="139" w:name="_Toc409790511"/>
      <w:r w:rsidRPr="006D79FA">
        <w:t>Legal counsel</w:t>
      </w:r>
      <w:bookmarkEnd w:id="139"/>
    </w:p>
    <w:p w14:paraId="4C725B5B" w14:textId="77777777" w:rsidR="00D51AA0" w:rsidRPr="0085107A" w:rsidRDefault="00D51AA0" w:rsidP="006D79FA">
      <w:pPr>
        <w:pStyle w:val="BodyText"/>
      </w:pPr>
      <w:r w:rsidRPr="0085107A">
        <w:t>A child has a right to be assisted by a legal counsel, to receive legal aid and make use of all the rights associated with the client-legal counsel relationship within the limit of the child’s lack of legal capacity to act.</w:t>
      </w:r>
    </w:p>
    <w:p w14:paraId="5A277FAF" w14:textId="77777777" w:rsidR="00D51AA0" w:rsidRPr="0085107A" w:rsidRDefault="00D51AA0" w:rsidP="006D79FA">
      <w:pPr>
        <w:pStyle w:val="BodyText"/>
      </w:pPr>
      <w:r w:rsidRPr="0085107A">
        <w:t xml:space="preserve">If the parents of the child decide that the assistance of a legal counsel is necessary for the defence of the child’s interests, the parents will bear the costs of the legal representation and assistance. </w:t>
      </w:r>
    </w:p>
    <w:p w14:paraId="385A3D4F" w14:textId="77777777" w:rsidR="00D51AA0" w:rsidRPr="0085107A" w:rsidRDefault="00D51AA0" w:rsidP="006D79FA">
      <w:pPr>
        <w:pStyle w:val="BodyText"/>
      </w:pPr>
      <w:r w:rsidRPr="0085107A">
        <w:t>A legal counsel is not automatically assigned to a child in civil proceedings</w:t>
      </w:r>
      <w:r>
        <w:t>.</w:t>
      </w:r>
      <w:r w:rsidRPr="0085107A">
        <w:t xml:space="preserve"> </w:t>
      </w:r>
      <w:r>
        <w:t>O</w:t>
      </w:r>
      <w:r w:rsidRPr="0085107A">
        <w:t>n</w:t>
      </w:r>
      <w:r>
        <w:t xml:space="preserve"> the</w:t>
      </w:r>
      <w:r w:rsidRPr="0085107A">
        <w:t xml:space="preserve"> contrary</w:t>
      </w:r>
      <w:r>
        <w:t>,</w:t>
      </w:r>
      <w:r w:rsidRPr="0085107A">
        <w:t xml:space="preserve"> </w:t>
      </w:r>
      <w:r>
        <w:t xml:space="preserve">a </w:t>
      </w:r>
      <w:r w:rsidRPr="0085107A">
        <w:t xml:space="preserve">legal representative or, in exceptional cases, the child (e.g. when the child is emancipated), will need to request his/her assistance. There are two exceptions to this rule: 1) any party to the proceedings before the Youth Tribunal under 18 years of age who does not have a lawyer receives the assistance of a legal counsel, appointed </w:t>
      </w:r>
      <w:r w:rsidRPr="0085107A">
        <w:rPr>
          <w:i/>
        </w:rPr>
        <w:t>ex officio</w:t>
      </w:r>
      <w:r w:rsidRPr="0085107A">
        <w:rPr>
          <w:rStyle w:val="FootnoteReference"/>
        </w:rPr>
        <w:footnoteReference w:id="177"/>
      </w:r>
      <w:r w:rsidRPr="0085107A">
        <w:t xml:space="preserve"> and 2) in case of emergency, the child or the judge can contact/appoint a legal counsel</w:t>
      </w:r>
      <w:r w:rsidRPr="0085107A">
        <w:rPr>
          <w:rStyle w:val="FootnoteReference"/>
        </w:rPr>
        <w:footnoteReference w:id="178"/>
      </w:r>
      <w:r w:rsidRPr="0085107A">
        <w:t xml:space="preserve">. The child </w:t>
      </w:r>
      <w:r w:rsidRPr="0085107A">
        <w:lastRenderedPageBreak/>
        <w:t>has the right to change legal counsel upon request, which needs to be justified</w:t>
      </w:r>
      <w:r w:rsidRPr="0085107A">
        <w:rPr>
          <w:rStyle w:val="FootnoteReference"/>
        </w:rPr>
        <w:footnoteReference w:id="179"/>
      </w:r>
      <w:r w:rsidRPr="0085107A">
        <w:t xml:space="preserve">. This request is typically filed by the child’s legal representative. Exceptionally, when the child can act in the proceedings in his/her own right (e.g. emancipated child or within the exceptional cases mentioned in </w:t>
      </w:r>
      <w:hyperlink w:anchor="_The_child_as_5" w:history="1">
        <w:r w:rsidRPr="0085107A">
          <w:rPr>
            <w:rStyle w:val="Hyperlink"/>
            <w:rFonts w:cs="Arial"/>
          </w:rPr>
          <w:t>Section 3.1</w:t>
        </w:r>
      </w:hyperlink>
      <w:r w:rsidRPr="0085107A">
        <w:t>), the request can be filed by the child him/herself.</w:t>
      </w:r>
    </w:p>
    <w:p w14:paraId="78EEC647" w14:textId="77777777" w:rsidR="00D51AA0" w:rsidRPr="0085107A" w:rsidRDefault="00D51AA0" w:rsidP="006D79FA">
      <w:pPr>
        <w:pStyle w:val="BodyText"/>
      </w:pPr>
      <w:r w:rsidRPr="0085107A">
        <w:t xml:space="preserve">No legal provisions have been identified on the right of the child to waive his/her right to legal assistance in civil proceedings. </w:t>
      </w:r>
    </w:p>
    <w:p w14:paraId="7B39960A" w14:textId="77777777" w:rsidR="00D51AA0" w:rsidRPr="006D79FA" w:rsidRDefault="00D51AA0" w:rsidP="00B93831">
      <w:pPr>
        <w:pStyle w:val="Heading3NoNumb"/>
        <w:ind w:firstLine="851"/>
      </w:pPr>
      <w:bookmarkStart w:id="140" w:name="_Toc409790512"/>
      <w:r w:rsidRPr="006D79FA">
        <w:t>Conflict of interests</w:t>
      </w:r>
      <w:bookmarkEnd w:id="140"/>
    </w:p>
    <w:p w14:paraId="6B3DEE66" w14:textId="77777777" w:rsidR="00D51AA0" w:rsidRPr="0085107A" w:rsidRDefault="00D51AA0" w:rsidP="006D79FA">
      <w:pPr>
        <w:pStyle w:val="BodyText"/>
        <w:rPr>
          <w:bCs/>
        </w:rPr>
      </w:pPr>
      <w:r w:rsidRPr="0085107A">
        <w:t xml:space="preserve">As mentioned under </w:t>
      </w:r>
      <w:hyperlink w:anchor="_The_child_as_4" w:history="1">
        <w:r w:rsidRPr="0085107A">
          <w:rPr>
            <w:rStyle w:val="Hyperlink"/>
            <w:rFonts w:cs="Arial"/>
          </w:rPr>
          <w:t>Section 3.1</w:t>
        </w:r>
      </w:hyperlink>
      <w:r w:rsidRPr="0085107A">
        <w:t xml:space="preserve">, </w:t>
      </w:r>
      <w:r w:rsidRPr="0085107A">
        <w:rPr>
          <w:bCs/>
        </w:rPr>
        <w:t xml:space="preserve">in the event of conflicts between a child and his/her parents, the Civil Magistrate Court may appoint a guardian ad litem for the representation of the child upon request of any interested party or </w:t>
      </w:r>
      <w:r w:rsidRPr="0085107A">
        <w:rPr>
          <w:bCs/>
          <w:i/>
        </w:rPr>
        <w:t>ex officio</w:t>
      </w:r>
      <w:r w:rsidRPr="0085107A">
        <w:rPr>
          <w:rStyle w:val="FootnoteReference"/>
          <w:bCs/>
          <w:i/>
        </w:rPr>
        <w:footnoteReference w:id="180"/>
      </w:r>
      <w:r w:rsidRPr="0085107A">
        <w:rPr>
          <w:bCs/>
        </w:rPr>
        <w:t xml:space="preserve">. Rules applicable to the appointment of guardians ad litem are also described under </w:t>
      </w:r>
      <w:hyperlink w:anchor="_The_child_as" w:history="1">
        <w:r w:rsidRPr="0085107A">
          <w:rPr>
            <w:rStyle w:val="Hyperlink"/>
            <w:rFonts w:cs="Arial"/>
            <w:bCs/>
          </w:rPr>
          <w:t>Section 3.1</w:t>
        </w:r>
      </w:hyperlink>
      <w:r w:rsidRPr="0085107A">
        <w:rPr>
          <w:bCs/>
        </w:rPr>
        <w:t>.</w:t>
      </w:r>
    </w:p>
    <w:p w14:paraId="41EFA721" w14:textId="77777777" w:rsidR="00D51AA0" w:rsidRPr="006D79FA" w:rsidRDefault="00D51AA0" w:rsidP="006D79FA">
      <w:pPr>
        <w:pStyle w:val="BodyText"/>
        <w:rPr>
          <w:rFonts w:ascii="Calibri" w:eastAsiaTheme="majorEastAsia" w:hAnsi="Calibri" w:cstheme="majorBidi"/>
          <w:b/>
          <w:bCs/>
          <w:i/>
          <w:iCs/>
          <w:color w:val="0067AC"/>
          <w:sz w:val="22"/>
        </w:rPr>
      </w:pPr>
      <w:r w:rsidRPr="006D79FA">
        <w:rPr>
          <w:rFonts w:ascii="Calibri" w:eastAsiaTheme="majorEastAsia" w:hAnsi="Calibri" w:cstheme="majorBidi"/>
          <w:b/>
          <w:bCs/>
          <w:i/>
          <w:iCs/>
          <w:color w:val="0067AC"/>
          <w:sz w:val="22"/>
        </w:rPr>
        <w:t>The child as a witness</w:t>
      </w:r>
    </w:p>
    <w:p w14:paraId="21EB825E" w14:textId="77777777" w:rsidR="00D51AA0" w:rsidRPr="0085107A" w:rsidRDefault="00D51AA0" w:rsidP="006D79FA">
      <w:pPr>
        <w:pStyle w:val="BodyText"/>
        <w:rPr>
          <w:rFonts w:eastAsia="Times New Roman"/>
          <w:bCs/>
        </w:rPr>
      </w:pPr>
      <w:r w:rsidRPr="0085107A">
        <w:rPr>
          <w:rFonts w:eastAsia="Times New Roman"/>
          <w:bCs/>
        </w:rPr>
        <w:t xml:space="preserve">A child witness has the right to legal representation and legal aid. However, the child (via his/her legal representatives) would need to request such assistance. The participation of a legal counsel in civil judicial proceedings is not mandatory under Belgian law. So as with child plaintiff/defendants, child witnesses as a general rule lack legal capacity to act, thus they cannot mandate a legal counsel in their own right. This implies that the child’s legal representatives would mandate a legal counsel on behalf of the child. In exceptional cases (e.g. in case of emergency) the child would be able to mandate the legal counsel him/herself. </w:t>
      </w:r>
    </w:p>
    <w:p w14:paraId="62F520C5" w14:textId="77777777" w:rsidR="00D51AA0" w:rsidRPr="0085107A" w:rsidRDefault="00D51AA0" w:rsidP="006D79FA">
      <w:pPr>
        <w:pStyle w:val="BodyText"/>
        <w:rPr>
          <w:rFonts w:eastAsia="Times New Roman"/>
        </w:rPr>
      </w:pPr>
      <w:r w:rsidRPr="0085107A">
        <w:rPr>
          <w:rFonts w:eastAsia="Times New Roman"/>
        </w:rPr>
        <w:t>As mentioned above,</w:t>
      </w:r>
      <w:r w:rsidRPr="0085107A">
        <w:t xml:space="preserve"> as a result of the child’s lack of legal capacity to act, the child’s legal representative will represent him/her. </w:t>
      </w:r>
    </w:p>
    <w:p w14:paraId="70F7107D" w14:textId="77777777" w:rsidR="00D51AA0" w:rsidRPr="0085107A" w:rsidRDefault="00D51AA0" w:rsidP="006D79FA">
      <w:pPr>
        <w:pStyle w:val="BodyText"/>
      </w:pPr>
      <w:r w:rsidRPr="0085107A">
        <w:rPr>
          <w:rFonts w:eastAsia="Times New Roman"/>
        </w:rPr>
        <w:t xml:space="preserve">So, as in cases of child plaintiffs/defendants, in cases of conflict interests, </w:t>
      </w:r>
      <w:r w:rsidRPr="0085107A">
        <w:t xml:space="preserve">the Civil Magistrate Court may appoint a guardian ad litem for the representation of the child upon request of any interested party or </w:t>
      </w:r>
      <w:r w:rsidRPr="0085107A">
        <w:rPr>
          <w:i/>
        </w:rPr>
        <w:t>ex officio</w:t>
      </w:r>
      <w:r w:rsidRPr="0085107A">
        <w:rPr>
          <w:rStyle w:val="FootnoteReference"/>
          <w:bCs/>
        </w:rPr>
        <w:footnoteReference w:id="181"/>
      </w:r>
      <w:r w:rsidRPr="0085107A">
        <w:t xml:space="preserve">. </w:t>
      </w:r>
    </w:p>
    <w:p w14:paraId="51406CF7" w14:textId="77777777" w:rsidR="00D51AA0" w:rsidRPr="0085107A" w:rsidRDefault="00D51AA0" w:rsidP="006D79FA">
      <w:pPr>
        <w:pStyle w:val="BodyText"/>
        <w:rPr>
          <w:rFonts w:eastAsia="Times New Roman"/>
        </w:rPr>
      </w:pPr>
      <w:r w:rsidRPr="0085107A">
        <w:t>It is noted that the child witness may also access legal aid without any conditions, aside from</w:t>
      </w:r>
      <w:r>
        <w:t xml:space="preserve"> proving that </w:t>
      </w:r>
      <w:r w:rsidRPr="0085107A">
        <w:t>he</w:t>
      </w:r>
      <w:r>
        <w:t>/she</w:t>
      </w:r>
      <w:r w:rsidRPr="0085107A">
        <w:t xml:space="preserve"> is under 18 years old.</w:t>
      </w:r>
    </w:p>
    <w:p w14:paraId="2FA12CC1" w14:textId="77777777" w:rsidR="00D51AA0" w:rsidRPr="006D79FA" w:rsidRDefault="00D51AA0" w:rsidP="006D79FA">
      <w:pPr>
        <w:pStyle w:val="BodyText"/>
        <w:rPr>
          <w:rFonts w:ascii="Calibri" w:eastAsiaTheme="majorEastAsia" w:hAnsi="Calibri" w:cstheme="majorBidi"/>
          <w:b/>
          <w:bCs/>
          <w:i/>
          <w:iCs/>
          <w:color w:val="0067AC"/>
          <w:sz w:val="22"/>
        </w:rPr>
      </w:pPr>
      <w:r w:rsidRPr="006D79FA">
        <w:rPr>
          <w:rFonts w:ascii="Calibri" w:eastAsiaTheme="majorEastAsia" w:hAnsi="Calibri" w:cstheme="majorBidi"/>
          <w:b/>
          <w:bCs/>
          <w:i/>
          <w:iCs/>
          <w:color w:val="0067AC"/>
          <w:sz w:val="22"/>
        </w:rPr>
        <w:t>The child in any other role</w:t>
      </w:r>
    </w:p>
    <w:p w14:paraId="5F8A4E84" w14:textId="277A54BD" w:rsidR="00D51AA0" w:rsidRPr="006D79FA" w:rsidRDefault="00D51AA0" w:rsidP="006D79FA">
      <w:pPr>
        <w:pStyle w:val="BodyText"/>
        <w:rPr>
          <w:rFonts w:eastAsia="Times New Roman"/>
        </w:rPr>
      </w:pPr>
      <w:r w:rsidRPr="0085107A">
        <w:rPr>
          <w:rFonts w:eastAsia="Times New Roman"/>
        </w:rPr>
        <w:t xml:space="preserve">The same rules apply to children in any other role as to child witnesses. </w:t>
      </w:r>
    </w:p>
    <w:p w14:paraId="57F2FF5C" w14:textId="77777777" w:rsidR="00D51AA0" w:rsidRPr="0085107A" w:rsidRDefault="00D51AA0" w:rsidP="006D79FA">
      <w:pPr>
        <w:pStyle w:val="Heading2"/>
      </w:pPr>
      <w:bookmarkStart w:id="141" w:name="_Toc346714794"/>
      <w:bookmarkStart w:id="142" w:name="_Toc346714795"/>
      <w:bookmarkStart w:id="143" w:name="_Toc338234119"/>
      <w:bookmarkStart w:id="144" w:name="_Toc338234120"/>
      <w:bookmarkStart w:id="145" w:name="_Toc338234122"/>
      <w:bookmarkStart w:id="146" w:name="_Toc338234123"/>
      <w:bookmarkStart w:id="147" w:name="_Alternatives_to_judicial"/>
      <w:bookmarkStart w:id="148" w:name="_Toc350439432"/>
      <w:bookmarkStart w:id="149" w:name="_Toc338234124"/>
      <w:bookmarkStart w:id="150" w:name="_Toc409790513"/>
      <w:bookmarkEnd w:id="141"/>
      <w:bookmarkEnd w:id="142"/>
      <w:bookmarkEnd w:id="143"/>
      <w:bookmarkEnd w:id="144"/>
      <w:bookmarkEnd w:id="145"/>
      <w:bookmarkEnd w:id="146"/>
      <w:bookmarkEnd w:id="147"/>
      <w:r w:rsidRPr="0085107A">
        <w:t>Alternatives to judicial proceedings</w:t>
      </w:r>
      <w:bookmarkEnd w:id="148"/>
      <w:bookmarkEnd w:id="150"/>
    </w:p>
    <w:p w14:paraId="203B4B5C" w14:textId="77777777" w:rsidR="00D51AA0" w:rsidRPr="0085107A" w:rsidRDefault="00D51AA0" w:rsidP="006D79FA">
      <w:pPr>
        <w:pStyle w:val="Heading3"/>
      </w:pPr>
      <w:bookmarkStart w:id="151" w:name="_Toc409790514"/>
      <w:r w:rsidRPr="0085107A">
        <w:t>General rules applicable to children involved in civil judicial proceedings regardless of their role</w:t>
      </w:r>
      <w:bookmarkEnd w:id="151"/>
    </w:p>
    <w:p w14:paraId="1DC6C138" w14:textId="77777777" w:rsidR="00D51AA0" w:rsidRPr="0085107A" w:rsidRDefault="00D51AA0" w:rsidP="006D79FA">
      <w:pPr>
        <w:pStyle w:val="BodyText"/>
      </w:pPr>
      <w:r w:rsidRPr="0085107A">
        <w:t>In the context of this study, there are three relevant alternative disputes resolution mechanisms available in Belgium, i.e. mediation, arbitration and conciliation. The use of alternative dispute resolution methods does not prevent the parties from access to courts.</w:t>
      </w:r>
    </w:p>
    <w:p w14:paraId="6CEF4F0B" w14:textId="77777777" w:rsidR="00D51AA0" w:rsidRPr="006D79FA" w:rsidRDefault="00D51AA0" w:rsidP="00B93831">
      <w:pPr>
        <w:pStyle w:val="Heading3NoNumb"/>
        <w:ind w:firstLine="851"/>
      </w:pPr>
      <w:bookmarkStart w:id="152" w:name="_Toc409790515"/>
      <w:r w:rsidRPr="006D79FA">
        <w:t>Mediation</w:t>
      </w:r>
      <w:bookmarkEnd w:id="152"/>
    </w:p>
    <w:p w14:paraId="33B840B3" w14:textId="77777777" w:rsidR="00D51AA0" w:rsidRPr="0085107A" w:rsidRDefault="00D51AA0" w:rsidP="006D79FA">
      <w:pPr>
        <w:pStyle w:val="BodyText"/>
      </w:pPr>
      <w:r w:rsidRPr="0085107A">
        <w:t>Mediation can be initiated for any disputes in civil commercial cases and in the area of labour law. Mediation is a confidential process by which the parties settle a dispute with the assistance of a mediator and by means of a settlement agreement. Mediation can also be initiated in family matters (e.g. disputes related to divorce, marriage, parental custody, or legal and factual cohabitation)</w:t>
      </w:r>
      <w:r w:rsidRPr="0085107A">
        <w:rPr>
          <w:rStyle w:val="FootnoteReference"/>
        </w:rPr>
        <w:footnoteReference w:id="182"/>
      </w:r>
      <w:r w:rsidRPr="0085107A">
        <w:t xml:space="preserve">. In divorce proceedings, family mediation cannot replace judicial proceedings, but can support the child’s parents to reach an agreement to be presented before the judge for approval. Family mediation will therefore concern issues of </w:t>
      </w:r>
      <w:r w:rsidRPr="0085107A">
        <w:lastRenderedPageBreak/>
        <w:t>parental authority or maintenance allowance</w:t>
      </w:r>
      <w:r w:rsidRPr="0085107A">
        <w:rPr>
          <w:rStyle w:val="FootnoteReference"/>
        </w:rPr>
        <w:footnoteReference w:id="183"/>
      </w:r>
      <w:r w:rsidRPr="0085107A">
        <w:t xml:space="preserve">. Children are typically the subject matters of family mediation procedures, thus this procedure is further explained below under the heading ‘the child in any other role’. </w:t>
      </w:r>
    </w:p>
    <w:p w14:paraId="3E96D57D" w14:textId="77777777" w:rsidR="00D51AA0" w:rsidRPr="0085107A" w:rsidRDefault="00D51AA0" w:rsidP="006D79FA">
      <w:pPr>
        <w:pStyle w:val="BodyText"/>
      </w:pPr>
      <w:r w:rsidRPr="0085107A">
        <w:t>The judge can encourage the parties to the proceedings to participate in mediation, but mediation is first and foremost voluntary.</w:t>
      </w:r>
    </w:p>
    <w:p w14:paraId="3B88FAAC" w14:textId="77777777" w:rsidR="00D51AA0" w:rsidRPr="0085107A" w:rsidRDefault="00D51AA0" w:rsidP="006D79FA">
      <w:pPr>
        <w:pStyle w:val="BodyText"/>
      </w:pPr>
      <w:r w:rsidRPr="0085107A">
        <w:t>There is no general requirement to inform the parties of judicial proceedings about the possibility to opt for mediation. Mediation in parental custody cases constitutes an exception to this rule, as in these cases, the judge has the obligation to inform the parties about the possibility of mediation</w:t>
      </w:r>
      <w:r w:rsidRPr="0085107A">
        <w:rPr>
          <w:vertAlign w:val="superscript"/>
        </w:rPr>
        <w:footnoteReference w:id="184"/>
      </w:r>
      <w:r w:rsidRPr="0085107A">
        <w:t>. This exception concerns the obligation of the youth judge hearing a case on parental authority to provide information and to promote mediation to the parties. In this case, the Tribunal can suspend the judicial proceeding for one month in order for the parties to start the mediation process.</w:t>
      </w:r>
    </w:p>
    <w:p w14:paraId="11055F4B" w14:textId="77777777" w:rsidR="00D51AA0" w:rsidRPr="0085107A" w:rsidRDefault="00D51AA0" w:rsidP="006D79FA">
      <w:pPr>
        <w:pStyle w:val="BodyText"/>
      </w:pPr>
      <w:r w:rsidRPr="0085107A">
        <w:t>There are two types of mediation in Belgium: judicial and out-of-court/voluntary mediation. Judicial mediation takes place in the course of judicial proceedings and involves a judge, who will appoint an accredited mediator. Judicial mediation can be requested by a party to the proceeding or ordered by the judge. In both cases mediation remains voluntary as the consent of both parties is required to engage in mediation proceedings. As opposed to judicial mediation, voluntary mediation is initiated by the parties without the involvement of a judge. In this case, the parties have the choice of designating any mediator to carry out the mediation proceedings.</w:t>
      </w:r>
    </w:p>
    <w:p w14:paraId="16258CAD" w14:textId="77777777" w:rsidR="00D51AA0" w:rsidRPr="0085107A" w:rsidRDefault="00D51AA0" w:rsidP="006D79FA">
      <w:pPr>
        <w:pStyle w:val="BodyText"/>
      </w:pPr>
      <w:r w:rsidRPr="0085107A">
        <w:t xml:space="preserve">The parties can submit their settlement agreement concluded as a result of the mediation process to a judge who can give the agreement the status of a </w:t>
      </w:r>
      <w:r>
        <w:t>judgement</w:t>
      </w:r>
      <w:r w:rsidRPr="0085107A">
        <w:t xml:space="preserve"> (homologation process). A judge may refuse the homologation of a mediation agreement when the agreement is contrary to the best interests of the child</w:t>
      </w:r>
      <w:r w:rsidRPr="0085107A">
        <w:rPr>
          <w:rStyle w:val="FootnoteReference"/>
        </w:rPr>
        <w:footnoteReference w:id="185"/>
      </w:r>
      <w:r w:rsidRPr="0085107A">
        <w:t>.</w:t>
      </w:r>
    </w:p>
    <w:p w14:paraId="399286D0" w14:textId="77777777" w:rsidR="00D51AA0" w:rsidRPr="0085107A" w:rsidRDefault="00D51AA0" w:rsidP="006D79FA">
      <w:pPr>
        <w:pStyle w:val="BodyText"/>
      </w:pPr>
      <w:r w:rsidRPr="0085107A">
        <w:t>For those who fall under the conditions to obtain legal aid, legal aid can also cover the costs and honorary fees of a mediator involved in both judicial and voluntary mediation</w:t>
      </w:r>
      <w:r w:rsidRPr="0085107A">
        <w:rPr>
          <w:rStyle w:val="FootnoteReference"/>
        </w:rPr>
        <w:footnoteReference w:id="186"/>
      </w:r>
      <w:r w:rsidRPr="0085107A">
        <w:t xml:space="preserve">. </w:t>
      </w:r>
    </w:p>
    <w:p w14:paraId="454ABBB8" w14:textId="77777777" w:rsidR="00D51AA0" w:rsidRPr="0085107A" w:rsidRDefault="00D51AA0" w:rsidP="006D79FA">
      <w:pPr>
        <w:pStyle w:val="BodyText"/>
      </w:pPr>
      <w:r w:rsidRPr="0085107A">
        <w:t>The 2012 Mediation Barometer</w:t>
      </w:r>
      <w:r w:rsidRPr="0085107A">
        <w:rPr>
          <w:rStyle w:val="FootnoteReference"/>
        </w:rPr>
        <w:footnoteReference w:id="187"/>
      </w:r>
      <w:r w:rsidRPr="0085107A">
        <w:t xml:space="preserve"> shows that mediation is most often used in family matters (39% of mediation cases), closely followed by civil and commercial cases (32%), then social/labour law (17%) and other areas of law (12%).</w:t>
      </w:r>
    </w:p>
    <w:p w14:paraId="5F1059BC" w14:textId="77777777" w:rsidR="00D51AA0" w:rsidRPr="006D79FA" w:rsidRDefault="00D51AA0" w:rsidP="00B93831">
      <w:pPr>
        <w:pStyle w:val="Heading3NoNumb"/>
        <w:ind w:firstLine="851"/>
      </w:pPr>
      <w:bookmarkStart w:id="153" w:name="_Toc409790516"/>
      <w:r w:rsidRPr="006D79FA">
        <w:t>Conciliation</w:t>
      </w:r>
      <w:bookmarkEnd w:id="153"/>
    </w:p>
    <w:p w14:paraId="114F5D9D" w14:textId="77777777" w:rsidR="00D51AA0" w:rsidRPr="0085107A" w:rsidRDefault="00D51AA0" w:rsidP="006D79FA">
      <w:pPr>
        <w:pStyle w:val="BodyText"/>
      </w:pPr>
      <w:r w:rsidRPr="0085107A">
        <w:t>Conciliation is a non-confidential consultation between parties which may or may not involve a third party (expert or a judge). In some cases, the legislation requires the judge to first initiate a conciliation between the parties before carrying out the judicial proceedings. For example, youth judges are required to first attempt a conciliation between the parties on issues relating to parental authority.</w:t>
      </w:r>
    </w:p>
    <w:p w14:paraId="2CC6FB1F" w14:textId="77777777" w:rsidR="00D51AA0" w:rsidRPr="0085107A" w:rsidRDefault="00D51AA0" w:rsidP="006D79FA">
      <w:pPr>
        <w:pStyle w:val="BodyText"/>
      </w:pPr>
      <w:r w:rsidRPr="0085107A">
        <w:t xml:space="preserve">Similarly, a judge, competent to hear civil law cases, is required to attempt a conciliation in child filiation proceedings when the parties and/or a child of 12 years or above refuse to give their consent to the change of the child’s surname. </w:t>
      </w:r>
    </w:p>
    <w:p w14:paraId="689C98BE" w14:textId="77777777" w:rsidR="00D51AA0" w:rsidRPr="0085107A" w:rsidRDefault="00D51AA0" w:rsidP="006D79FA">
      <w:pPr>
        <w:pStyle w:val="BodyText"/>
      </w:pPr>
      <w:r w:rsidRPr="0085107A">
        <w:t>In labour law cases, prior to any debates taking place before the court, the judge must attempt to conciliate. Without such a previous conciliation effort, the judicial decision can be nullified</w:t>
      </w:r>
      <w:r w:rsidRPr="0085107A">
        <w:rPr>
          <w:rStyle w:val="FootnoteReference"/>
        </w:rPr>
        <w:footnoteReference w:id="188"/>
      </w:r>
      <w:r w:rsidRPr="0085107A">
        <w:t>. In a situation where one of the parents refuses to enforce a judicial decision with respect to the housing of the child or right to personal relationship with the child, the judge can also attempt a conciliation</w:t>
      </w:r>
      <w:r w:rsidRPr="0085107A">
        <w:rPr>
          <w:rStyle w:val="FootnoteReference"/>
        </w:rPr>
        <w:footnoteReference w:id="189"/>
      </w:r>
      <w:r w:rsidRPr="0085107A">
        <w:t xml:space="preserve">. </w:t>
      </w:r>
    </w:p>
    <w:p w14:paraId="5A9CB1F9" w14:textId="77777777" w:rsidR="00D51AA0" w:rsidRPr="0085107A" w:rsidRDefault="00D51AA0" w:rsidP="006D79FA">
      <w:pPr>
        <w:pStyle w:val="BodyText"/>
      </w:pPr>
      <w:r w:rsidRPr="0085107A">
        <w:rPr>
          <w:bCs/>
        </w:rPr>
        <w:lastRenderedPageBreak/>
        <w:t xml:space="preserve">The </w:t>
      </w:r>
      <w:hyperlink r:id="rId62" w:history="1">
        <w:r w:rsidRPr="0085107A">
          <w:rPr>
            <w:rStyle w:val="Hyperlink"/>
            <w:rFonts w:cs="Arial"/>
            <w:bCs/>
          </w:rPr>
          <w:t>new Act for the creation of the Family and Youth Tribunal</w:t>
        </w:r>
      </w:hyperlink>
      <w:r w:rsidRPr="0085107A">
        <w:rPr>
          <w:bCs/>
        </w:rPr>
        <w:t>, which is not yet in force, establishes a new section within the new Family and Youth Tribunal called Section for Friendly Settlement. The Section for Friendly Settlement will be competent for conciliation in family law cases. A case may be referred to the Section for Friendly Settlement at any time during the proceedings either upon request of the Family Tribunal or one of the parties. The judges involved in the Section for Friendly Settlement must receive specialised training</w:t>
      </w:r>
      <w:r w:rsidRPr="0085107A">
        <w:rPr>
          <w:rStyle w:val="FootnoteReference"/>
          <w:bCs/>
        </w:rPr>
        <w:footnoteReference w:id="190"/>
      </w:r>
      <w:r w:rsidRPr="0085107A">
        <w:rPr>
          <w:bCs/>
        </w:rPr>
        <w:t>.</w:t>
      </w:r>
    </w:p>
    <w:p w14:paraId="48648E73" w14:textId="77777777" w:rsidR="00D51AA0" w:rsidRPr="006D79FA" w:rsidRDefault="00D51AA0" w:rsidP="00B93831">
      <w:pPr>
        <w:pStyle w:val="Heading3NoNumb"/>
        <w:ind w:firstLine="851"/>
      </w:pPr>
      <w:bookmarkStart w:id="154" w:name="_Toc409790517"/>
      <w:r w:rsidRPr="006D79FA">
        <w:t>Arbitration</w:t>
      </w:r>
      <w:bookmarkEnd w:id="154"/>
    </w:p>
    <w:p w14:paraId="54B9A852" w14:textId="77777777" w:rsidR="00D51AA0" w:rsidRPr="0085107A" w:rsidRDefault="00D51AA0" w:rsidP="006D79FA">
      <w:pPr>
        <w:pStyle w:val="BodyText"/>
      </w:pPr>
      <w:r w:rsidRPr="0085107A">
        <w:t>Arbitration is a mechanism where the parties to a contractual agreement refer any dispute before private judges. Arbitration can only be used for disputes over patrimonial matters (i.e. money) or any other matter that could be clearly defined and reviewed</w:t>
      </w:r>
      <w:r w:rsidRPr="0085107A">
        <w:rPr>
          <w:rStyle w:val="FootnoteReference"/>
        </w:rPr>
        <w:footnoteReference w:id="191"/>
      </w:r>
      <w:r w:rsidRPr="0085107A">
        <w:t xml:space="preserve">. It is necessary to conclude an arbitration agreement or contractual clause in order to refer a matter to arbitration. Children do not have the legal capacity to conclude such agreements and their cases cannot be referred to before an arbitration tribunal. </w:t>
      </w:r>
    </w:p>
    <w:p w14:paraId="717B23C2" w14:textId="77777777" w:rsidR="00D51AA0" w:rsidRPr="006D79FA" w:rsidRDefault="00D51AA0" w:rsidP="006D79FA">
      <w:pPr>
        <w:pStyle w:val="BodyText"/>
        <w:rPr>
          <w:rFonts w:ascii="Calibri" w:eastAsiaTheme="majorEastAsia" w:hAnsi="Calibri" w:cstheme="majorBidi"/>
          <w:b/>
          <w:bCs/>
          <w:i/>
          <w:iCs/>
          <w:color w:val="0067AC"/>
          <w:sz w:val="22"/>
        </w:rPr>
      </w:pPr>
      <w:r w:rsidRPr="006D79FA">
        <w:rPr>
          <w:rFonts w:ascii="Calibri" w:eastAsiaTheme="majorEastAsia" w:hAnsi="Calibri" w:cstheme="majorBidi"/>
          <w:b/>
          <w:bCs/>
          <w:i/>
          <w:iCs/>
          <w:color w:val="0067AC"/>
          <w:sz w:val="22"/>
        </w:rPr>
        <w:t>The child as a plaintiff/complainant or defendant</w:t>
      </w:r>
    </w:p>
    <w:p w14:paraId="1C17BEBE" w14:textId="77777777" w:rsidR="00D51AA0" w:rsidRPr="006D79FA" w:rsidRDefault="00D51AA0" w:rsidP="00B93831">
      <w:pPr>
        <w:pStyle w:val="Heading3NoNumb"/>
        <w:ind w:firstLine="851"/>
      </w:pPr>
      <w:bookmarkStart w:id="155" w:name="_Toc409790518"/>
      <w:r w:rsidRPr="006D79FA">
        <w:t>Mediation</w:t>
      </w:r>
      <w:bookmarkEnd w:id="155"/>
    </w:p>
    <w:p w14:paraId="55FD3CD7" w14:textId="77777777" w:rsidR="00D51AA0" w:rsidRPr="0085107A" w:rsidRDefault="00D51AA0" w:rsidP="006D79FA">
      <w:pPr>
        <w:pStyle w:val="BodyText"/>
      </w:pPr>
      <w:r w:rsidRPr="0085107A">
        <w:t xml:space="preserve">As children lack legal capacity to act, they cannot initiate mediation in their own right. It is the child’s legal representative who initiates mediation on the child’s behalf and represents him/her during the procedure. </w:t>
      </w:r>
    </w:p>
    <w:p w14:paraId="6F13D853" w14:textId="77777777" w:rsidR="00D51AA0" w:rsidRPr="0085107A" w:rsidRDefault="00D51AA0" w:rsidP="006D79FA">
      <w:pPr>
        <w:pStyle w:val="BodyText"/>
      </w:pPr>
      <w:r w:rsidRPr="0085107A">
        <w:t xml:space="preserve">As referred to above, the parties concluding a mediation agreement are not prevented from the possibility of referring their case to a court procedure. The child’s legal representative may initiate a court procedure on the child’s behalf. </w:t>
      </w:r>
    </w:p>
    <w:p w14:paraId="675EC849" w14:textId="77777777" w:rsidR="00D51AA0" w:rsidRPr="0085107A" w:rsidRDefault="00D51AA0" w:rsidP="006D79FA">
      <w:pPr>
        <w:pStyle w:val="BodyText"/>
      </w:pPr>
      <w:r w:rsidRPr="0085107A">
        <w:t>With respect to the provision of information to children on mediation, the general rules described above apply, with the condition that children receive information via their legal representatives.</w:t>
      </w:r>
    </w:p>
    <w:p w14:paraId="3A367428" w14:textId="77777777" w:rsidR="00D51AA0" w:rsidRPr="0085107A" w:rsidRDefault="00D51AA0" w:rsidP="006D79FA">
      <w:pPr>
        <w:pStyle w:val="BodyText"/>
      </w:pPr>
      <w:r w:rsidRPr="0085107A">
        <w:t xml:space="preserve">There are no legal requirements in place encouraging the implementation of mediation agreements or putting children under undue pressure to accept them. </w:t>
      </w:r>
    </w:p>
    <w:p w14:paraId="561301FD" w14:textId="77777777" w:rsidR="00D51AA0" w:rsidRPr="0085107A" w:rsidRDefault="00D51AA0" w:rsidP="006D79FA">
      <w:pPr>
        <w:pStyle w:val="BodyText"/>
      </w:pPr>
      <w:r w:rsidRPr="0085107A">
        <w:t>Children and their legal representatives may benefit from legal aid, thus may be represented free of charge by a legal counsel and receive assistance to cover the costs of mediation proceedings</w:t>
      </w:r>
      <w:r w:rsidRPr="0085107A">
        <w:rPr>
          <w:rStyle w:val="FootnoteReference"/>
        </w:rPr>
        <w:footnoteReference w:id="192"/>
      </w:r>
      <w:r w:rsidRPr="0085107A">
        <w:t xml:space="preserve">. There are no other legal safeguards in place to protect children while accessing, and during, mediation. </w:t>
      </w:r>
    </w:p>
    <w:p w14:paraId="3240307C" w14:textId="77777777" w:rsidR="00D51AA0" w:rsidRPr="0085107A" w:rsidRDefault="00D51AA0" w:rsidP="006D79FA">
      <w:pPr>
        <w:pStyle w:val="BodyText"/>
      </w:pPr>
      <w:r w:rsidRPr="0085107A">
        <w:t>There are no legal requirements in place with respect to the hearing of children and taking into account the child’s views when making the decisions.</w:t>
      </w:r>
    </w:p>
    <w:p w14:paraId="6390DC43" w14:textId="77777777" w:rsidR="00D51AA0" w:rsidRPr="006D79FA" w:rsidRDefault="00D51AA0" w:rsidP="00B93831">
      <w:pPr>
        <w:pStyle w:val="Heading3NoNumb"/>
        <w:ind w:firstLine="851"/>
      </w:pPr>
      <w:bookmarkStart w:id="156" w:name="_Toc409790519"/>
      <w:r w:rsidRPr="006D79FA">
        <w:t>Conciliation</w:t>
      </w:r>
      <w:bookmarkEnd w:id="156"/>
    </w:p>
    <w:p w14:paraId="475EE0AA" w14:textId="77777777" w:rsidR="00D51AA0" w:rsidRPr="0085107A" w:rsidRDefault="00D51AA0" w:rsidP="006D79FA">
      <w:pPr>
        <w:pStyle w:val="BodyText"/>
      </w:pPr>
      <w:r w:rsidRPr="0085107A">
        <w:t>Similarly as in judicial proceedings, as a result of the lack of legal capacity to act, children cannot initiate conciliation in their own right. It is the child’s legal representative who initiates conciliation on the child’s behalf and will be the formal party to the procedure.</w:t>
      </w:r>
    </w:p>
    <w:p w14:paraId="1DDDA9EF" w14:textId="77777777" w:rsidR="00D51AA0" w:rsidRPr="0085107A" w:rsidRDefault="00D51AA0" w:rsidP="006D79FA">
      <w:pPr>
        <w:pStyle w:val="BodyText"/>
      </w:pPr>
      <w:r w:rsidRPr="0085107A">
        <w:t xml:space="preserve">There are no legal requirements in place encouraging the implementation of conciliation agreements or putting children under undue pressure to accept them. </w:t>
      </w:r>
    </w:p>
    <w:p w14:paraId="5BCCF6EF" w14:textId="77777777" w:rsidR="00D51AA0" w:rsidRPr="0085107A" w:rsidRDefault="00D51AA0" w:rsidP="006D79FA">
      <w:pPr>
        <w:pStyle w:val="BodyText"/>
      </w:pPr>
      <w:r w:rsidRPr="0085107A">
        <w:t xml:space="preserve">For children and their legal representatives applying for legal aid, they can be represented free of charge by a legal counsel and receive assistance to cover the costs of judicial proceedings for conciliation taking place in judicial proceedings. There are no other legal safeguards in place to protect children while accessing and during conciliation. </w:t>
      </w:r>
    </w:p>
    <w:p w14:paraId="612A291B" w14:textId="77777777" w:rsidR="00D51AA0" w:rsidRPr="0085107A" w:rsidRDefault="00D51AA0" w:rsidP="006D79FA">
      <w:pPr>
        <w:pStyle w:val="BodyText"/>
      </w:pPr>
      <w:r w:rsidRPr="0085107A">
        <w:lastRenderedPageBreak/>
        <w:t>There are no legal requirements in place with respect to hearing the child and taking into account the child’s views when making the decisions. However, where conciliation involves a judge and occurs in the context of judicial proceedings, the general rules applying to children in judicial proceedings will apply as well.</w:t>
      </w:r>
    </w:p>
    <w:p w14:paraId="2977DB6F" w14:textId="77777777" w:rsidR="00D51AA0" w:rsidRPr="006D79FA" w:rsidRDefault="00D51AA0" w:rsidP="00B93831">
      <w:pPr>
        <w:pStyle w:val="Heading3NoNumb"/>
        <w:ind w:firstLine="851"/>
      </w:pPr>
      <w:bookmarkStart w:id="157" w:name="_Toc409790520"/>
      <w:r w:rsidRPr="006D79FA">
        <w:t>Arbitration</w:t>
      </w:r>
      <w:bookmarkEnd w:id="157"/>
    </w:p>
    <w:p w14:paraId="7629F701" w14:textId="77777777" w:rsidR="00D51AA0" w:rsidRPr="0085107A" w:rsidRDefault="00D51AA0" w:rsidP="006D79FA">
      <w:pPr>
        <w:pStyle w:val="BodyText"/>
      </w:pPr>
      <w:r w:rsidRPr="0085107A">
        <w:t>Children do not have the legal capacity to conclude agreements and therefore to be referred before an arbitration tribunal as a party (plaintiff or defendant). A child could however be involved in this proceeding, if the child’s representative concludes an arbitration agreement on behalf of the child.</w:t>
      </w:r>
    </w:p>
    <w:p w14:paraId="42F5DEB8" w14:textId="77777777" w:rsidR="00D51AA0" w:rsidRPr="0085107A" w:rsidRDefault="00D51AA0" w:rsidP="006D79FA">
      <w:pPr>
        <w:pStyle w:val="BodyText"/>
      </w:pPr>
      <w:r w:rsidRPr="0085107A">
        <w:t>With respect to the provision of information to children on arbitration, there are no legal provisions on how children are informed and consulted on the opportunity to have recourse to arbitration.</w:t>
      </w:r>
    </w:p>
    <w:p w14:paraId="6D6E0E56" w14:textId="77777777" w:rsidR="00D51AA0" w:rsidRPr="0085107A" w:rsidRDefault="00D51AA0" w:rsidP="006D79FA">
      <w:pPr>
        <w:pStyle w:val="BodyText"/>
      </w:pPr>
      <w:r w:rsidRPr="0085107A">
        <w:t xml:space="preserve">There are no legal requirements in place encouraging the implementation of arbitration agreements or putting children under undue pressure to accept them. </w:t>
      </w:r>
    </w:p>
    <w:p w14:paraId="3228DCC0" w14:textId="77777777" w:rsidR="00D51AA0" w:rsidRPr="0085107A" w:rsidRDefault="00D51AA0" w:rsidP="006D79FA">
      <w:pPr>
        <w:pStyle w:val="BodyText"/>
      </w:pPr>
      <w:r w:rsidRPr="0085107A">
        <w:t xml:space="preserve">There are no other legal safeguards in place to protect children while accessing, and during, arbitration. </w:t>
      </w:r>
    </w:p>
    <w:p w14:paraId="64A96D9E" w14:textId="77777777" w:rsidR="00D51AA0" w:rsidRPr="0085107A" w:rsidRDefault="00D51AA0" w:rsidP="006D79FA">
      <w:pPr>
        <w:pStyle w:val="BodyText"/>
      </w:pPr>
      <w:r w:rsidRPr="0085107A">
        <w:t>There are no legal requirements in place with respect to the hearing of the child and taking into account the child’s views when making the decisions.</w:t>
      </w:r>
    </w:p>
    <w:p w14:paraId="52DF2542" w14:textId="77777777" w:rsidR="00D51AA0" w:rsidRPr="00672BC3" w:rsidRDefault="00D51AA0" w:rsidP="00672BC3">
      <w:pPr>
        <w:pStyle w:val="BodyText"/>
        <w:rPr>
          <w:rFonts w:ascii="Calibri" w:eastAsiaTheme="majorEastAsia" w:hAnsi="Calibri" w:cstheme="majorBidi"/>
          <w:b/>
          <w:bCs/>
          <w:i/>
          <w:iCs/>
          <w:color w:val="0067AC"/>
          <w:sz w:val="22"/>
        </w:rPr>
      </w:pPr>
      <w:r w:rsidRPr="00672BC3">
        <w:rPr>
          <w:rFonts w:ascii="Calibri" w:eastAsiaTheme="majorEastAsia" w:hAnsi="Calibri" w:cstheme="majorBidi"/>
          <w:b/>
          <w:bCs/>
          <w:i/>
          <w:iCs/>
          <w:color w:val="0067AC"/>
          <w:sz w:val="22"/>
        </w:rPr>
        <w:t>The child as a witness</w:t>
      </w:r>
    </w:p>
    <w:p w14:paraId="55A52D2B" w14:textId="77777777" w:rsidR="00D51AA0" w:rsidRPr="00672BC3" w:rsidRDefault="00D51AA0" w:rsidP="00B93831">
      <w:pPr>
        <w:pStyle w:val="Heading3NoNumb"/>
        <w:ind w:firstLine="851"/>
      </w:pPr>
      <w:bookmarkStart w:id="158" w:name="_Toc409790521"/>
      <w:r w:rsidRPr="00672BC3">
        <w:t>Mediation</w:t>
      </w:r>
      <w:bookmarkEnd w:id="158"/>
      <w:r w:rsidRPr="00672BC3">
        <w:t xml:space="preserve"> </w:t>
      </w:r>
    </w:p>
    <w:p w14:paraId="3CC29C71" w14:textId="77777777" w:rsidR="00D51AA0" w:rsidRPr="0085107A" w:rsidRDefault="00D51AA0" w:rsidP="00672BC3">
      <w:pPr>
        <w:pStyle w:val="BodyText"/>
      </w:pPr>
      <w:r w:rsidRPr="0085107A">
        <w:t>Legislation applicable to mediation does not contain reference to the rights and obligations of child witnesses.</w:t>
      </w:r>
    </w:p>
    <w:p w14:paraId="10F88261" w14:textId="77777777" w:rsidR="00D51AA0" w:rsidRPr="00672BC3" w:rsidRDefault="00D51AA0" w:rsidP="00B93831">
      <w:pPr>
        <w:pStyle w:val="Heading3NoNumb"/>
        <w:ind w:firstLine="851"/>
      </w:pPr>
      <w:bookmarkStart w:id="159" w:name="_Toc409790522"/>
      <w:r w:rsidRPr="00672BC3">
        <w:t>Conciliation</w:t>
      </w:r>
      <w:bookmarkEnd w:id="159"/>
    </w:p>
    <w:p w14:paraId="28AE8939" w14:textId="77777777" w:rsidR="00D51AA0" w:rsidRPr="0085107A" w:rsidRDefault="00D51AA0" w:rsidP="00672BC3">
      <w:pPr>
        <w:pStyle w:val="BodyText"/>
      </w:pPr>
      <w:r w:rsidRPr="0085107A">
        <w:t xml:space="preserve">Legislation applicable to conciliation does not contain reference to the rights and obligations of child witnesses. </w:t>
      </w:r>
    </w:p>
    <w:p w14:paraId="4AD31C35" w14:textId="77777777" w:rsidR="00D51AA0" w:rsidRPr="00672BC3" w:rsidRDefault="00D51AA0" w:rsidP="00B93831">
      <w:pPr>
        <w:pStyle w:val="Heading3NoNumb"/>
        <w:ind w:firstLine="851"/>
      </w:pPr>
      <w:bookmarkStart w:id="160" w:name="_Toc409790523"/>
      <w:r w:rsidRPr="00672BC3">
        <w:t>Arbitration</w:t>
      </w:r>
      <w:bookmarkEnd w:id="160"/>
    </w:p>
    <w:p w14:paraId="1FEE088E" w14:textId="77777777" w:rsidR="00D51AA0" w:rsidRPr="0085107A" w:rsidRDefault="00D51AA0" w:rsidP="00672BC3">
      <w:pPr>
        <w:pStyle w:val="BodyText"/>
      </w:pPr>
      <w:r w:rsidRPr="0085107A">
        <w:t xml:space="preserve">Legislation applicable to arbitration does not contain reference to the rights and obligations of child witnesses. </w:t>
      </w:r>
    </w:p>
    <w:p w14:paraId="09CAE743" w14:textId="77777777" w:rsidR="00D51AA0" w:rsidRPr="00140B79" w:rsidRDefault="00D51AA0" w:rsidP="00672BC3">
      <w:pPr>
        <w:pStyle w:val="BodyText"/>
      </w:pPr>
      <w:r w:rsidRPr="00140B79">
        <w:t>The child in any other role</w:t>
      </w:r>
    </w:p>
    <w:p w14:paraId="4816A73E" w14:textId="77777777" w:rsidR="00D51AA0" w:rsidRPr="00672BC3" w:rsidRDefault="00D51AA0" w:rsidP="00B93831">
      <w:pPr>
        <w:pStyle w:val="Heading3NoNumb"/>
        <w:ind w:firstLine="851"/>
      </w:pPr>
      <w:bookmarkStart w:id="161" w:name="_Toc409790524"/>
      <w:r w:rsidRPr="00672BC3">
        <w:t>Mediation</w:t>
      </w:r>
      <w:bookmarkEnd w:id="161"/>
    </w:p>
    <w:p w14:paraId="281ACE51" w14:textId="77777777" w:rsidR="00D51AA0" w:rsidRPr="0085107A" w:rsidRDefault="00D51AA0" w:rsidP="00672BC3">
      <w:pPr>
        <w:pStyle w:val="BodyText"/>
      </w:pPr>
      <w:r w:rsidRPr="0085107A">
        <w:t>As referred to above, family mediation may concern children in other roles. Legislation applicable to mediation does not contain reference to the rights and obligations of children in other roles aside from the ability of the judge not to validate a mediation agreement which is contrary to the best interests of the child.</w:t>
      </w:r>
    </w:p>
    <w:p w14:paraId="2769B645" w14:textId="77777777" w:rsidR="00D51AA0" w:rsidRPr="0085107A" w:rsidRDefault="00D51AA0" w:rsidP="00B93831">
      <w:pPr>
        <w:pStyle w:val="Heading3NoNumb"/>
        <w:ind w:firstLine="851"/>
      </w:pPr>
      <w:bookmarkStart w:id="162" w:name="_Toc409790525"/>
      <w:r w:rsidRPr="00672BC3">
        <w:t>Conciliation</w:t>
      </w:r>
      <w:bookmarkEnd w:id="162"/>
    </w:p>
    <w:p w14:paraId="1D823B6D" w14:textId="77777777" w:rsidR="00D51AA0" w:rsidRPr="0085107A" w:rsidRDefault="00D51AA0" w:rsidP="00672BC3">
      <w:pPr>
        <w:pStyle w:val="BodyText"/>
      </w:pPr>
      <w:r w:rsidRPr="0085107A">
        <w:t>Conciliation may concern children in other roles such as in filiation proceedings. A judge competent to hear civil law cases, is required to attempt a conciliation in child filiation proceedings when the parties, and/or the child of 12 years or above, refuse to give their consent to the change of the child’s surname.</w:t>
      </w:r>
    </w:p>
    <w:p w14:paraId="282E8D94" w14:textId="77777777" w:rsidR="00D51AA0" w:rsidRPr="00672BC3" w:rsidRDefault="00D51AA0" w:rsidP="00B93831">
      <w:pPr>
        <w:pStyle w:val="Heading3NoNumb"/>
        <w:ind w:firstLine="851"/>
      </w:pPr>
      <w:bookmarkStart w:id="163" w:name="_Toc409790526"/>
      <w:r w:rsidRPr="00672BC3">
        <w:t>Arbitration</w:t>
      </w:r>
      <w:bookmarkEnd w:id="163"/>
    </w:p>
    <w:p w14:paraId="47149169" w14:textId="14F7E31B" w:rsidR="00D51AA0" w:rsidRPr="0085107A" w:rsidRDefault="00D51AA0" w:rsidP="00672BC3">
      <w:pPr>
        <w:pStyle w:val="BodyText"/>
      </w:pPr>
      <w:r w:rsidRPr="0085107A">
        <w:t xml:space="preserve">Legislation applicable to arbitration does not contain reference to the rights and obligations of children in any other role. </w:t>
      </w:r>
    </w:p>
    <w:p w14:paraId="7B1B5629" w14:textId="77777777" w:rsidR="00D51AA0" w:rsidRPr="0085107A" w:rsidRDefault="00D51AA0" w:rsidP="00672BC3">
      <w:pPr>
        <w:pStyle w:val="Heading2"/>
      </w:pPr>
      <w:bookmarkStart w:id="164" w:name="_Toc350439433"/>
      <w:bookmarkStart w:id="165" w:name="_Toc409790527"/>
      <w:r w:rsidRPr="0085107A">
        <w:lastRenderedPageBreak/>
        <w:t>Remedies or compensation for violation of rights and failure to act</w:t>
      </w:r>
      <w:bookmarkEnd w:id="149"/>
      <w:bookmarkEnd w:id="164"/>
      <w:bookmarkEnd w:id="165"/>
    </w:p>
    <w:p w14:paraId="62C56E1C" w14:textId="77777777" w:rsidR="00D51AA0" w:rsidRPr="00672BC3" w:rsidRDefault="00D51AA0" w:rsidP="00672BC3">
      <w:pPr>
        <w:pStyle w:val="BodyText"/>
        <w:rPr>
          <w:rFonts w:ascii="Calibri" w:eastAsiaTheme="majorEastAsia" w:hAnsi="Calibri" w:cstheme="majorBidi"/>
          <w:b/>
          <w:bCs/>
          <w:i/>
          <w:iCs/>
          <w:color w:val="0067AC"/>
          <w:sz w:val="22"/>
        </w:rPr>
      </w:pPr>
      <w:r w:rsidRPr="00672BC3">
        <w:rPr>
          <w:rFonts w:ascii="Calibri" w:eastAsiaTheme="majorEastAsia" w:hAnsi="Calibri" w:cstheme="majorBidi"/>
          <w:b/>
          <w:bCs/>
          <w:i/>
          <w:iCs/>
          <w:color w:val="0067AC"/>
          <w:sz w:val="22"/>
        </w:rPr>
        <w:t>The child as a plaintiff/complainant or defendant</w:t>
      </w:r>
    </w:p>
    <w:p w14:paraId="4B1E14E4" w14:textId="77777777" w:rsidR="00D51AA0" w:rsidRPr="0085107A" w:rsidRDefault="00D51AA0" w:rsidP="00672BC3">
      <w:pPr>
        <w:pStyle w:val="BodyText"/>
      </w:pPr>
      <w:r w:rsidRPr="0085107A">
        <w:t xml:space="preserve">As mentioned in </w:t>
      </w:r>
      <w:hyperlink w:anchor="_The_child_as" w:history="1">
        <w:r w:rsidRPr="0085107A">
          <w:rPr>
            <w:rStyle w:val="Hyperlink"/>
            <w:rFonts w:cs="Arial"/>
          </w:rPr>
          <w:t>Section 3.1</w:t>
        </w:r>
      </w:hyperlink>
      <w:r w:rsidRPr="0085107A">
        <w:t xml:space="preserve">, as a consequence of his/her lack of legal capacity, a child cannot file an action on his/her own, but only via his/her legal representative. Since the child lacks legal capacity to act, the legal representative may make submission and/or appeal, without the child’s consent. </w:t>
      </w:r>
    </w:p>
    <w:p w14:paraId="5C145E2C" w14:textId="77777777" w:rsidR="00D51AA0" w:rsidRPr="0085107A" w:rsidRDefault="00D51AA0" w:rsidP="00672BC3">
      <w:pPr>
        <w:pStyle w:val="BodyText"/>
      </w:pPr>
      <w:r w:rsidRPr="0085107A">
        <w:t>In cases of conflict between the child and his/her parents, the Civil Magistrate’s Court can appoint a guardian ad litem to represent the child</w:t>
      </w:r>
      <w:r w:rsidRPr="0085107A">
        <w:rPr>
          <w:rStyle w:val="FootnoteReference"/>
        </w:rPr>
        <w:footnoteReference w:id="193"/>
      </w:r>
      <w:r w:rsidRPr="0085107A">
        <w:t xml:space="preserve">. </w:t>
      </w:r>
    </w:p>
    <w:p w14:paraId="146D94AE" w14:textId="77777777" w:rsidR="00D51AA0" w:rsidRPr="0085107A" w:rsidRDefault="00D51AA0" w:rsidP="00672BC3">
      <w:pPr>
        <w:pStyle w:val="BodyText"/>
      </w:pPr>
      <w:r w:rsidRPr="0085107A">
        <w:t xml:space="preserve">As mentioned in </w:t>
      </w:r>
      <w:hyperlink w:anchor="_Provision_of_information_2" w:history="1">
        <w:r w:rsidRPr="0085107A">
          <w:rPr>
            <w:rStyle w:val="Hyperlink"/>
            <w:rFonts w:cs="Arial"/>
          </w:rPr>
          <w:t>Section 3.2</w:t>
        </w:r>
      </w:hyperlink>
      <w:r w:rsidRPr="0085107A">
        <w:t>, judicial assistants, social services and the legal counsel can assist children and their parents during the proceedings, including during the appeal phase of the proceeding.</w:t>
      </w:r>
    </w:p>
    <w:p w14:paraId="4AED90C1" w14:textId="77777777" w:rsidR="00D51AA0" w:rsidRPr="0085107A" w:rsidRDefault="00D51AA0" w:rsidP="00672BC3">
      <w:pPr>
        <w:pStyle w:val="BodyText"/>
      </w:pPr>
      <w:r w:rsidRPr="0085107A">
        <w:t xml:space="preserve">The child’s legal representative has the right to lodge an appeal against a court decision before the Court of First Instance, the Court of Appeal or the Court of Cassation, as explained in </w:t>
      </w:r>
      <w:hyperlink w:anchor="_Overview_of_Member" w:history="1">
        <w:r w:rsidRPr="0085107A">
          <w:rPr>
            <w:rStyle w:val="Hyperlink"/>
            <w:rFonts w:cs="Arial"/>
          </w:rPr>
          <w:t>Section 2</w:t>
        </w:r>
      </w:hyperlink>
      <w:r w:rsidRPr="0085107A">
        <w:t>.</w:t>
      </w:r>
    </w:p>
    <w:p w14:paraId="16D72923" w14:textId="77777777" w:rsidR="00D51AA0" w:rsidRPr="0085107A" w:rsidRDefault="00D51AA0" w:rsidP="00672BC3">
      <w:pPr>
        <w:pStyle w:val="BodyText"/>
        <w:rPr>
          <w:bCs/>
        </w:rPr>
      </w:pPr>
      <w:r w:rsidRPr="0085107A">
        <w:rPr>
          <w:bCs/>
        </w:rPr>
        <w:t xml:space="preserve">As mentioned in </w:t>
      </w:r>
      <w:hyperlink w:anchor="_Right_to_legal_1" w:history="1">
        <w:r w:rsidRPr="0085107A">
          <w:rPr>
            <w:rStyle w:val="Hyperlink"/>
            <w:rFonts w:cs="Arial"/>
            <w:bCs/>
          </w:rPr>
          <w:t>Section 3.7</w:t>
        </w:r>
      </w:hyperlink>
      <w:r w:rsidRPr="0085107A">
        <w:rPr>
          <w:bCs/>
        </w:rPr>
        <w:t>, when a child is party to a proceeding, the crown prosecutor’s office may be involved in the proceedings</w:t>
      </w:r>
      <w:r w:rsidRPr="0085107A">
        <w:rPr>
          <w:rStyle w:val="FootnoteReference"/>
          <w:bCs/>
        </w:rPr>
        <w:footnoteReference w:id="194"/>
      </w:r>
      <w:r w:rsidRPr="0085107A">
        <w:rPr>
          <w:bCs/>
        </w:rPr>
        <w:t xml:space="preserve"> and can appeal against a court decision if it is deemed to be against public order (i.e. against the child’s best interests). No legal provisions have been identified on the ability of social services to appeal against judicial decisions involving children.</w:t>
      </w:r>
    </w:p>
    <w:p w14:paraId="5751E234" w14:textId="77777777" w:rsidR="00D51AA0" w:rsidRPr="0085107A" w:rsidRDefault="00D51AA0" w:rsidP="00672BC3">
      <w:pPr>
        <w:pStyle w:val="BodyText"/>
      </w:pPr>
      <w:r w:rsidRPr="0085107A">
        <w:t xml:space="preserve">In addition to taking judicial action, a child, or his/her legal representative, whose rights have been violated can make a complaint before the General Delegate for the rights of the child of the French Community or the Children Rights Commissioner of the Flemish Community. A child victim of discrimination through his/her legal representative can also make a complaint before the </w:t>
      </w:r>
      <w:r w:rsidRPr="000A24AA">
        <w:t>Interfederal Centre for Equal Opportunities</w:t>
      </w:r>
      <w:r w:rsidRPr="0085107A">
        <w:t>.</w:t>
      </w:r>
    </w:p>
    <w:p w14:paraId="7B5FD175" w14:textId="77777777" w:rsidR="00D51AA0" w:rsidRPr="0085107A" w:rsidRDefault="00D51AA0" w:rsidP="00672BC3">
      <w:pPr>
        <w:pStyle w:val="BodyText"/>
      </w:pPr>
      <w:r w:rsidRPr="0085107A">
        <w:t>If the legal counsel fails to act, the legal representative of the child can either file an action before a court or a complaint before the President of the Bar where the legal counsel is registered. The damages of the victim that occurred as a result of the legal counsel’s fault can be covered by the legal counsel’s professional insurance</w:t>
      </w:r>
      <w:r w:rsidRPr="0085107A">
        <w:rPr>
          <w:rStyle w:val="FootnoteReference"/>
        </w:rPr>
        <w:footnoteReference w:id="195"/>
      </w:r>
      <w:r w:rsidRPr="0085107A">
        <w:t xml:space="preserve">. The child’s legal representative can claim for compensation from the legal counsel on behalf of the child, if a damage resulting from the failure can be proven. </w:t>
      </w:r>
    </w:p>
    <w:p w14:paraId="25F37D47" w14:textId="77777777" w:rsidR="00D51AA0" w:rsidRPr="0085107A" w:rsidRDefault="00D51AA0" w:rsidP="00672BC3">
      <w:pPr>
        <w:pStyle w:val="BodyText"/>
      </w:pPr>
      <w:r w:rsidRPr="0085107A">
        <w:t xml:space="preserve">If no definitive decision has been taken by a court within a reasonable time, the State can be held liable, as mentioned in </w:t>
      </w:r>
      <w:hyperlink w:anchor="_Protection_from_harm" w:history="1">
        <w:r w:rsidRPr="0085107A">
          <w:rPr>
            <w:rStyle w:val="Hyperlink"/>
            <w:rFonts w:cs="Arial"/>
          </w:rPr>
          <w:t>Section 3.4</w:t>
        </w:r>
      </w:hyperlink>
      <w:r w:rsidRPr="0085107A">
        <w:t>. The child’s legal representative can claim damages without the need to prove a wrongful act or negligence on the part of the State</w:t>
      </w:r>
      <w:r w:rsidRPr="0085107A">
        <w:rPr>
          <w:rStyle w:val="FootnoteReference"/>
        </w:rPr>
        <w:footnoteReference w:id="196"/>
      </w:r>
      <w:r w:rsidRPr="0085107A">
        <w:t>.</w:t>
      </w:r>
    </w:p>
    <w:p w14:paraId="0919C55E" w14:textId="77777777" w:rsidR="00D51AA0" w:rsidRPr="0085107A" w:rsidRDefault="00D51AA0" w:rsidP="00672BC3">
      <w:pPr>
        <w:pStyle w:val="BodyText"/>
      </w:pPr>
      <w:r w:rsidRPr="0085107A">
        <w:rPr>
          <w:bCs/>
        </w:rPr>
        <w:t xml:space="preserve">As explained under </w:t>
      </w:r>
      <w:hyperlink w:anchor="_Right_to_legal" w:history="1">
        <w:r w:rsidRPr="0085107A">
          <w:rPr>
            <w:rStyle w:val="Hyperlink"/>
            <w:rFonts w:cs="Arial"/>
            <w:bCs/>
          </w:rPr>
          <w:t>Section 3.7</w:t>
        </w:r>
      </w:hyperlink>
      <w:r w:rsidRPr="0085107A">
        <w:rPr>
          <w:bCs/>
        </w:rPr>
        <w:t xml:space="preserve">, the child and his/her legal representative can request </w:t>
      </w:r>
      <w:r w:rsidRPr="0085107A">
        <w:t xml:space="preserve">free of charge </w:t>
      </w:r>
      <w:r w:rsidRPr="0085107A">
        <w:rPr>
          <w:bCs/>
        </w:rPr>
        <w:t>p</w:t>
      </w:r>
      <w:r w:rsidRPr="0085107A">
        <w:t xml:space="preserve">rimary legal aid and obtain initial legal advice or referral to a specialised organisation. </w:t>
      </w:r>
    </w:p>
    <w:p w14:paraId="3CB55FF2" w14:textId="77777777" w:rsidR="00D51AA0" w:rsidRDefault="00D51AA0" w:rsidP="00672BC3">
      <w:pPr>
        <w:pStyle w:val="BodyText"/>
      </w:pPr>
      <w:r w:rsidRPr="0085107A">
        <w:t>As mentioned above, as a result of the lack of legal capacity to act, the child relies on his/her legal representative’s actions. The legal representative can make submissions instead of the child without his/her consent and/or appeal without the child's consent.</w:t>
      </w:r>
    </w:p>
    <w:p w14:paraId="152E949E" w14:textId="77777777" w:rsidR="00D51AA0" w:rsidRPr="0085107A" w:rsidRDefault="00D51AA0" w:rsidP="00672BC3">
      <w:pPr>
        <w:pStyle w:val="BodyText"/>
      </w:pPr>
      <w:r w:rsidRPr="0085107A">
        <w:t>Limitation periods for a child to pursue a claim</w:t>
      </w:r>
    </w:p>
    <w:p w14:paraId="370832BD" w14:textId="77777777" w:rsidR="00D51AA0" w:rsidRPr="0085107A" w:rsidRDefault="00D51AA0" w:rsidP="00672BC3">
      <w:pPr>
        <w:pStyle w:val="BodyText"/>
        <w:rPr>
          <w:bCs/>
        </w:rPr>
      </w:pPr>
      <w:r w:rsidRPr="0085107A">
        <w:rPr>
          <w:bCs/>
        </w:rPr>
        <w:t>Limitation periods to bring a claim depend on the nature of the claim</w:t>
      </w:r>
      <w:r w:rsidRPr="004C26BC">
        <w:rPr>
          <w:bCs/>
        </w:rPr>
        <w:t>. For personal claims, the limitation period is 10 years.</w:t>
      </w:r>
      <w:r w:rsidRPr="0085107A">
        <w:rPr>
          <w:bCs/>
        </w:rPr>
        <w:t xml:space="preserve"> An action for compensation for damages resulting from extra-contractual liability</w:t>
      </w:r>
      <w:r>
        <w:rPr>
          <w:bCs/>
        </w:rPr>
        <w:t xml:space="preserve"> (i.e. related to offences)</w:t>
      </w:r>
      <w:r w:rsidRPr="0085107A">
        <w:rPr>
          <w:bCs/>
        </w:rPr>
        <w:t xml:space="preserve"> is barred after five years from the day </w:t>
      </w:r>
      <w:r w:rsidRPr="0085107A">
        <w:rPr>
          <w:bCs/>
        </w:rPr>
        <w:lastRenderedPageBreak/>
        <w:t>following the one when the injured party became aware of the damage or its aggravation and the identity of the person responsible</w:t>
      </w:r>
      <w:r w:rsidRPr="0085107A">
        <w:rPr>
          <w:rStyle w:val="FootnoteReference"/>
          <w:bCs/>
        </w:rPr>
        <w:footnoteReference w:id="197"/>
      </w:r>
      <w:r w:rsidRPr="0085107A">
        <w:rPr>
          <w:bCs/>
        </w:rPr>
        <w:t xml:space="preserve">. </w:t>
      </w:r>
    </w:p>
    <w:p w14:paraId="508F3F1F" w14:textId="77777777" w:rsidR="00D51AA0" w:rsidRPr="0085107A" w:rsidRDefault="00D51AA0" w:rsidP="00672BC3">
      <w:pPr>
        <w:pStyle w:val="BodyText"/>
        <w:rPr>
          <w:bCs/>
        </w:rPr>
      </w:pPr>
      <w:r w:rsidRPr="0085107A">
        <w:rPr>
          <w:bCs/>
        </w:rPr>
        <w:t>Additional rules on limitation periods are laid down in the law for specific cases</w:t>
      </w:r>
      <w:r w:rsidRPr="004C26BC">
        <w:rPr>
          <w:bCs/>
        </w:rPr>
        <w:t>. For example in filiation proceedings, the general rule is that the limitation period is 30 years from the birth of the child or the year when the parents stop behaving as the child’s parents</w:t>
      </w:r>
      <w:r w:rsidRPr="004C26BC">
        <w:rPr>
          <w:rStyle w:val="FootnoteReference"/>
          <w:bCs/>
        </w:rPr>
        <w:footnoteReference w:id="198"/>
      </w:r>
      <w:r w:rsidRPr="004C26BC">
        <w:rPr>
          <w:bCs/>
        </w:rPr>
        <w:t>.</w:t>
      </w:r>
      <w:r w:rsidRPr="0085107A">
        <w:rPr>
          <w:bCs/>
        </w:rPr>
        <w:t xml:space="preserve"> </w:t>
      </w:r>
    </w:p>
    <w:p w14:paraId="0CEAE97E" w14:textId="72C803BB" w:rsidR="00D51AA0" w:rsidRPr="00672BC3" w:rsidRDefault="00D51AA0" w:rsidP="00672BC3">
      <w:pPr>
        <w:pStyle w:val="BodyText"/>
        <w:rPr>
          <w:bCs/>
        </w:rPr>
      </w:pPr>
      <w:r w:rsidRPr="0085107A">
        <w:rPr>
          <w:bCs/>
        </w:rPr>
        <w:t xml:space="preserve">The general rules applicable to limitation periods also apply to children. For certain proceedings, specific limitation periods are provided to children. For example, a child of at least 12 years </w:t>
      </w:r>
      <w:r>
        <w:rPr>
          <w:bCs/>
        </w:rPr>
        <w:t>of age,</w:t>
      </w:r>
      <w:r w:rsidRPr="0085107A">
        <w:rPr>
          <w:bCs/>
        </w:rPr>
        <w:t xml:space="preserve"> until he/she turns 22 years old</w:t>
      </w:r>
      <w:r>
        <w:rPr>
          <w:bCs/>
        </w:rPr>
        <w:t>,</w:t>
      </w:r>
      <w:r w:rsidRPr="0085107A">
        <w:rPr>
          <w:bCs/>
        </w:rPr>
        <w:t xml:space="preserve"> or within a year from discovering that one of his/her parents is not his/her parent, can file a claim for filiation recognition</w:t>
      </w:r>
      <w:r w:rsidRPr="0085107A">
        <w:rPr>
          <w:rStyle w:val="FootnoteReference"/>
          <w:bCs/>
        </w:rPr>
        <w:footnoteReference w:id="199"/>
      </w:r>
      <w:r w:rsidRPr="0085107A">
        <w:rPr>
          <w:bCs/>
        </w:rPr>
        <w:t xml:space="preserve">. </w:t>
      </w:r>
    </w:p>
    <w:p w14:paraId="2B0C2CD7" w14:textId="77777777" w:rsidR="00D51AA0" w:rsidRPr="00672BC3" w:rsidRDefault="00D51AA0" w:rsidP="00672BC3">
      <w:pPr>
        <w:pStyle w:val="BodyText"/>
        <w:rPr>
          <w:rFonts w:ascii="Calibri" w:eastAsiaTheme="majorEastAsia" w:hAnsi="Calibri" w:cstheme="majorBidi"/>
          <w:b/>
          <w:bCs/>
          <w:i/>
          <w:iCs/>
          <w:color w:val="0067AC"/>
          <w:sz w:val="22"/>
        </w:rPr>
      </w:pPr>
      <w:r w:rsidRPr="00672BC3">
        <w:rPr>
          <w:rFonts w:ascii="Calibri" w:eastAsiaTheme="majorEastAsia" w:hAnsi="Calibri" w:cstheme="majorBidi"/>
          <w:b/>
          <w:bCs/>
          <w:i/>
          <w:iCs/>
          <w:color w:val="0067AC"/>
          <w:sz w:val="22"/>
        </w:rPr>
        <w:t>The child as a witness</w:t>
      </w:r>
    </w:p>
    <w:p w14:paraId="0D20F213" w14:textId="77777777" w:rsidR="00D51AA0" w:rsidRPr="0085107A" w:rsidRDefault="00D51AA0" w:rsidP="00672BC3">
      <w:pPr>
        <w:pStyle w:val="BodyText"/>
        <w:rPr>
          <w:rFonts w:eastAsia="Times New Roman"/>
          <w:bCs/>
        </w:rPr>
      </w:pPr>
      <w:r w:rsidRPr="0085107A">
        <w:rPr>
          <w:rFonts w:eastAsia="Times New Roman"/>
          <w:bCs/>
        </w:rPr>
        <w:t>A child witness is not a party to proceedings and as a result he/she (or their legal representatives) cannot appeal against court decisions.</w:t>
      </w:r>
    </w:p>
    <w:p w14:paraId="43F37EB2" w14:textId="77777777" w:rsidR="00D51AA0" w:rsidRPr="00672BC3" w:rsidRDefault="00D51AA0" w:rsidP="00672BC3">
      <w:pPr>
        <w:pStyle w:val="BodyText"/>
        <w:rPr>
          <w:rFonts w:ascii="Calibri" w:eastAsiaTheme="majorEastAsia" w:hAnsi="Calibri" w:cstheme="majorBidi"/>
          <w:b/>
          <w:bCs/>
          <w:i/>
          <w:iCs/>
          <w:color w:val="0067AC"/>
          <w:sz w:val="22"/>
        </w:rPr>
      </w:pPr>
      <w:r w:rsidRPr="00672BC3">
        <w:rPr>
          <w:rFonts w:ascii="Calibri" w:eastAsiaTheme="majorEastAsia" w:hAnsi="Calibri" w:cstheme="majorBidi"/>
          <w:b/>
          <w:bCs/>
          <w:i/>
          <w:iCs/>
          <w:color w:val="0067AC"/>
          <w:sz w:val="22"/>
        </w:rPr>
        <w:t xml:space="preserve">The child in any other role </w:t>
      </w:r>
    </w:p>
    <w:p w14:paraId="764905E5" w14:textId="5DE24C01" w:rsidR="00D51AA0" w:rsidRPr="00672BC3" w:rsidRDefault="00D51AA0" w:rsidP="00672BC3">
      <w:pPr>
        <w:pStyle w:val="BodyText"/>
        <w:rPr>
          <w:rFonts w:eastAsia="Times New Roman"/>
          <w:bCs/>
        </w:rPr>
      </w:pPr>
      <w:r w:rsidRPr="0085107A">
        <w:rPr>
          <w:rFonts w:eastAsia="Times New Roman"/>
          <w:bCs/>
        </w:rPr>
        <w:t>A child in any other role is not a party to proceedings and as a result he/she (or their legal representatives) cannot appeal against court decisions.</w:t>
      </w:r>
    </w:p>
    <w:p w14:paraId="6A741A00" w14:textId="77777777" w:rsidR="00D51AA0" w:rsidRPr="00672BC3" w:rsidRDefault="00D51AA0" w:rsidP="00672BC3">
      <w:pPr>
        <w:pStyle w:val="Heading2"/>
      </w:pPr>
      <w:bookmarkStart w:id="166" w:name="_Toc346714798"/>
      <w:bookmarkStart w:id="167" w:name="_Toc346714799"/>
      <w:bookmarkStart w:id="168" w:name="_Toc350439434"/>
      <w:bookmarkStart w:id="169" w:name="_Toc409790528"/>
      <w:bookmarkEnd w:id="166"/>
      <w:bookmarkEnd w:id="167"/>
      <w:r w:rsidRPr="00672BC3">
        <w:t>Legal costs</w:t>
      </w:r>
      <w:bookmarkEnd w:id="168"/>
      <w:bookmarkEnd w:id="169"/>
    </w:p>
    <w:p w14:paraId="03165CED" w14:textId="77777777" w:rsidR="00D51AA0" w:rsidRPr="0085107A" w:rsidRDefault="00D51AA0" w:rsidP="00672BC3">
      <w:pPr>
        <w:pStyle w:val="Heading3"/>
      </w:pPr>
      <w:bookmarkStart w:id="170" w:name="_Toc409790529"/>
      <w:r w:rsidRPr="0085107A">
        <w:t>General rules applicable to children involved in civil judicial proceedings regardless of their role</w:t>
      </w:r>
      <w:bookmarkEnd w:id="170"/>
    </w:p>
    <w:p w14:paraId="0BF7AB4B" w14:textId="77777777" w:rsidR="00D51AA0" w:rsidRPr="0085107A" w:rsidRDefault="00D51AA0" w:rsidP="00672BC3">
      <w:pPr>
        <w:pStyle w:val="BodyText"/>
      </w:pPr>
      <w:r w:rsidRPr="0085107A">
        <w:rPr>
          <w:bCs/>
        </w:rPr>
        <w:t xml:space="preserve">As explained under </w:t>
      </w:r>
      <w:hyperlink w:anchor="_Right_to_legal" w:history="1">
        <w:r w:rsidRPr="0085107A">
          <w:rPr>
            <w:rStyle w:val="Hyperlink"/>
            <w:rFonts w:cs="Arial"/>
            <w:bCs/>
          </w:rPr>
          <w:t>Section 3.7</w:t>
        </w:r>
      </w:hyperlink>
      <w:r w:rsidRPr="0085107A">
        <w:rPr>
          <w:bCs/>
        </w:rPr>
        <w:t>, the child and his/her legal representative can request p</w:t>
      </w:r>
      <w:r w:rsidRPr="0085107A">
        <w:t xml:space="preserve">rimary legal aid, which includes initial legal advice or referral to a specialised organisation free of charge. There are no conditions to access primary legal aid. </w:t>
      </w:r>
      <w:r w:rsidRPr="00EE7230">
        <w:t>The costs of primary legal aid are covered by the state.</w:t>
      </w:r>
    </w:p>
    <w:p w14:paraId="377322C2" w14:textId="77777777" w:rsidR="00D51AA0" w:rsidRPr="0085107A" w:rsidRDefault="00D51AA0" w:rsidP="00672BC3">
      <w:pPr>
        <w:pStyle w:val="BodyText"/>
        <w:rPr>
          <w:bCs/>
        </w:rPr>
      </w:pPr>
      <w:r w:rsidRPr="0085107A">
        <w:rPr>
          <w:bCs/>
        </w:rPr>
        <w:t xml:space="preserve">When the child (in any role) requests legal representation via secondary legal aid (see </w:t>
      </w:r>
      <w:hyperlink w:anchor="_Right_to_legal" w:history="1">
        <w:r w:rsidRPr="0085107A">
          <w:rPr>
            <w:rStyle w:val="Hyperlink"/>
            <w:rFonts w:cs="Arial"/>
            <w:bCs/>
          </w:rPr>
          <w:t>Section 3.7</w:t>
        </w:r>
      </w:hyperlink>
      <w:r w:rsidRPr="0085107A">
        <w:rPr>
          <w:bCs/>
        </w:rPr>
        <w:t>), the costs of the legal counsel’s assistance may be covered by the child’s parents themselves or their insurance if it covers legal protection. If a parent refuses to cover the costs, the costs of secondary legal aid will be covered via the State system</w:t>
      </w:r>
      <w:r w:rsidRPr="0085107A">
        <w:rPr>
          <w:rStyle w:val="FootnoteReference"/>
          <w:bCs/>
        </w:rPr>
        <w:footnoteReference w:id="200"/>
      </w:r>
      <w:r w:rsidRPr="0085107A">
        <w:rPr>
          <w:bCs/>
        </w:rPr>
        <w:t>.</w:t>
      </w:r>
    </w:p>
    <w:p w14:paraId="57093406" w14:textId="77777777" w:rsidR="00D51AA0" w:rsidRPr="0085107A" w:rsidRDefault="00D51AA0" w:rsidP="00672BC3">
      <w:pPr>
        <w:pStyle w:val="BodyText"/>
      </w:pPr>
      <w:r w:rsidRPr="0085107A">
        <w:t>It is noted that a reform of the legal aid system has been announced requiring beneficiaries of secondary legal aid to pay a fixed fee of EUR 10 for the legal counsel as well as a fixed fee between EUR 20 and 30 per judicial proceeding. It appears that the requirement of paying a fee will not be applicable to children</w:t>
      </w:r>
      <w:r w:rsidRPr="0085107A">
        <w:rPr>
          <w:rStyle w:val="FootnoteReference"/>
        </w:rPr>
        <w:footnoteReference w:id="201"/>
      </w:r>
      <w:r w:rsidRPr="0085107A">
        <w:t>.</w:t>
      </w:r>
    </w:p>
    <w:p w14:paraId="171DA6A5" w14:textId="77777777" w:rsidR="00D51AA0" w:rsidRPr="0085107A" w:rsidRDefault="00D51AA0" w:rsidP="00672BC3">
      <w:pPr>
        <w:pStyle w:val="BodyText"/>
      </w:pPr>
      <w:r w:rsidRPr="0085107A">
        <w:t>When the child’s legal representative mandates a legal counsel for the representation of the child, the legal representative will need to cover the legal costs of the legal counsel and of the judicial proceedings such as judicial fees, stamps, bailiffs or experts fees where applicable, unless the legal representative qualifies for legal aid (i.e. low income).</w:t>
      </w:r>
    </w:p>
    <w:p w14:paraId="678EC0F6" w14:textId="77777777" w:rsidR="00D51AA0" w:rsidRPr="00672BC3" w:rsidRDefault="00D51AA0" w:rsidP="00672BC3">
      <w:pPr>
        <w:pStyle w:val="BodyText"/>
        <w:rPr>
          <w:rFonts w:ascii="Calibri" w:eastAsiaTheme="majorEastAsia" w:hAnsi="Calibri" w:cstheme="majorBidi"/>
          <w:b/>
          <w:bCs/>
          <w:i/>
          <w:iCs/>
          <w:color w:val="0067AC"/>
          <w:sz w:val="22"/>
        </w:rPr>
      </w:pPr>
      <w:r w:rsidRPr="00672BC3">
        <w:rPr>
          <w:rFonts w:ascii="Calibri" w:eastAsiaTheme="majorEastAsia" w:hAnsi="Calibri" w:cstheme="majorBidi"/>
          <w:b/>
          <w:bCs/>
          <w:i/>
          <w:iCs/>
          <w:color w:val="0067AC"/>
          <w:sz w:val="22"/>
        </w:rPr>
        <w:t>The child as a plaintiff/complainant or defendant</w:t>
      </w:r>
    </w:p>
    <w:p w14:paraId="6A8D7FF8" w14:textId="77777777" w:rsidR="00D51AA0" w:rsidRPr="0085107A" w:rsidRDefault="00D51AA0" w:rsidP="00672BC3">
      <w:pPr>
        <w:pStyle w:val="BodyText"/>
        <w:rPr>
          <w:bCs/>
        </w:rPr>
      </w:pPr>
      <w:r w:rsidRPr="0085107A">
        <w:rPr>
          <w:bCs/>
        </w:rPr>
        <w:t>The court’s ruling may order the unsuccessful part</w:t>
      </w:r>
      <w:r>
        <w:rPr>
          <w:bCs/>
        </w:rPr>
        <w:t>y</w:t>
      </w:r>
      <w:r w:rsidRPr="0085107A">
        <w:rPr>
          <w:bCs/>
        </w:rPr>
        <w:t xml:space="preserve"> to cover the costs of the judicial proceedings of the other party. The costs include various judicial fees, registration duties, stamp costs, costs and remuneration of judicial acts, costs of </w:t>
      </w:r>
      <w:r>
        <w:rPr>
          <w:bCs/>
        </w:rPr>
        <w:t>judgement</w:t>
      </w:r>
      <w:r w:rsidRPr="0085107A">
        <w:rPr>
          <w:bCs/>
        </w:rPr>
        <w:t xml:space="preserve"> notifications, travel and accommodation expenses of judges, registrars and parties when their travel was ordered by the judge, deed costs, when they were made for the sole purpose of the trial, a rate covering the legal counsel’s fees and mediator’s fees, where applicable</w:t>
      </w:r>
      <w:r w:rsidRPr="0085107A">
        <w:rPr>
          <w:rStyle w:val="FootnoteReference"/>
          <w:bCs/>
        </w:rPr>
        <w:footnoteReference w:id="202"/>
      </w:r>
      <w:r w:rsidRPr="0085107A">
        <w:rPr>
          <w:bCs/>
        </w:rPr>
        <w:t xml:space="preserve">. The </w:t>
      </w:r>
      <w:r w:rsidRPr="0085107A">
        <w:rPr>
          <w:bCs/>
        </w:rPr>
        <w:lastRenderedPageBreak/>
        <w:t>requirement to pay the costs will be the responsibility of the child’s legal representatives. The parties to the proceedings may also conclude an agreement regulating that a party (or that both parties) will cover the costs of the judicial proceedings.</w:t>
      </w:r>
    </w:p>
    <w:p w14:paraId="51734ECB" w14:textId="77777777" w:rsidR="00D51AA0" w:rsidRPr="0085107A" w:rsidRDefault="00D51AA0" w:rsidP="00672BC3">
      <w:pPr>
        <w:pStyle w:val="BodyText"/>
        <w:rPr>
          <w:bCs/>
        </w:rPr>
      </w:pPr>
      <w:r w:rsidRPr="0085107A">
        <w:rPr>
          <w:bCs/>
        </w:rPr>
        <w:t xml:space="preserve">The exact amount is decided by the judge taking into account the importance and the nature of the claim. Upon request of one of the parties, or </w:t>
      </w:r>
      <w:r w:rsidRPr="0085107A">
        <w:rPr>
          <w:bCs/>
          <w:i/>
        </w:rPr>
        <w:t>ex officio</w:t>
      </w:r>
      <w:r w:rsidRPr="0085107A">
        <w:rPr>
          <w:bCs/>
        </w:rPr>
        <w:t xml:space="preserve">, the judge may decide to reduce or increase the amount considering, </w:t>
      </w:r>
      <w:r w:rsidRPr="0085107A">
        <w:rPr>
          <w:bCs/>
          <w:i/>
        </w:rPr>
        <w:t>inter alia,</w:t>
      </w:r>
      <w:r w:rsidRPr="0085107A">
        <w:rPr>
          <w:bCs/>
        </w:rPr>
        <w:t xml:space="preserve"> the financial capacity of the party who is ordered to pay the costs and the complexity of the case</w:t>
      </w:r>
      <w:r w:rsidRPr="0085107A">
        <w:rPr>
          <w:rStyle w:val="FootnoteReference"/>
          <w:bCs/>
        </w:rPr>
        <w:footnoteReference w:id="203"/>
      </w:r>
      <w:r w:rsidRPr="0085107A">
        <w:rPr>
          <w:bCs/>
        </w:rPr>
        <w:t>.</w:t>
      </w:r>
    </w:p>
    <w:p w14:paraId="4FA2ABB2" w14:textId="77777777" w:rsidR="00D51AA0" w:rsidRPr="0085107A" w:rsidRDefault="00D51AA0" w:rsidP="00672BC3">
      <w:pPr>
        <w:pStyle w:val="BodyText"/>
        <w:rPr>
          <w:bCs/>
        </w:rPr>
      </w:pPr>
      <w:r w:rsidRPr="0085107A">
        <w:rPr>
          <w:bCs/>
        </w:rPr>
        <w:t>The parties may decide to reach a settlement on the costs to be paid</w:t>
      </w:r>
      <w:r w:rsidRPr="0085107A">
        <w:rPr>
          <w:rStyle w:val="FootnoteReference"/>
          <w:bCs/>
        </w:rPr>
        <w:footnoteReference w:id="204"/>
      </w:r>
      <w:r w:rsidRPr="0085107A">
        <w:rPr>
          <w:bCs/>
        </w:rPr>
        <w:t>. For those benefiting from legal aid, the amount of the judicial costs is fixed by law</w:t>
      </w:r>
      <w:r w:rsidRPr="0085107A">
        <w:rPr>
          <w:rStyle w:val="FootnoteReference"/>
          <w:bCs/>
        </w:rPr>
        <w:footnoteReference w:id="205"/>
      </w:r>
      <w:r w:rsidRPr="0085107A">
        <w:rPr>
          <w:bCs/>
        </w:rPr>
        <w:t xml:space="preserve">. </w:t>
      </w:r>
    </w:p>
    <w:p w14:paraId="2EA19F5C" w14:textId="77777777" w:rsidR="00D51AA0" w:rsidRPr="00672BC3" w:rsidRDefault="00D51AA0" w:rsidP="00672BC3">
      <w:pPr>
        <w:pStyle w:val="BodyText"/>
        <w:rPr>
          <w:rFonts w:ascii="Calibri" w:eastAsiaTheme="majorEastAsia" w:hAnsi="Calibri" w:cstheme="majorBidi"/>
          <w:b/>
          <w:bCs/>
          <w:i/>
          <w:iCs/>
          <w:color w:val="0067AC"/>
          <w:sz w:val="22"/>
        </w:rPr>
      </w:pPr>
      <w:r w:rsidRPr="00672BC3">
        <w:rPr>
          <w:rFonts w:ascii="Calibri" w:eastAsiaTheme="majorEastAsia" w:hAnsi="Calibri" w:cstheme="majorBidi"/>
          <w:b/>
          <w:bCs/>
          <w:i/>
          <w:iCs/>
          <w:color w:val="0067AC"/>
          <w:sz w:val="22"/>
        </w:rPr>
        <w:t>The child as a witness</w:t>
      </w:r>
    </w:p>
    <w:p w14:paraId="096B6225" w14:textId="77777777" w:rsidR="00D51AA0" w:rsidRPr="0085107A" w:rsidRDefault="00D51AA0" w:rsidP="00672BC3">
      <w:pPr>
        <w:pStyle w:val="BodyText"/>
        <w:rPr>
          <w:rFonts w:eastAsia="Times New Roman"/>
          <w:bCs/>
        </w:rPr>
      </w:pPr>
      <w:r w:rsidRPr="00EE7230">
        <w:rPr>
          <w:rFonts w:eastAsia="Times New Roman"/>
          <w:bCs/>
        </w:rPr>
        <w:t>A child witness has the right to legal representation and legal aid.</w:t>
      </w:r>
      <w:r w:rsidRPr="0085107A">
        <w:rPr>
          <w:rFonts w:eastAsia="Times New Roman"/>
          <w:bCs/>
        </w:rPr>
        <w:t xml:space="preserve"> However, the child would need to request such assistance. A child, as with adults, always has the right to legal representation by a legal counsel. The participation of legal counsels is not mandatory in Belgium. As mentioned above, in most cases, the legal representative of the child would be in charge of mandating a legal counsel if he/she deems such legal assistance necessary.  </w:t>
      </w:r>
    </w:p>
    <w:p w14:paraId="77A0D11F" w14:textId="77777777" w:rsidR="00D51AA0" w:rsidRPr="0085107A" w:rsidRDefault="00D51AA0" w:rsidP="00672BC3">
      <w:pPr>
        <w:pStyle w:val="BodyText"/>
        <w:rPr>
          <w:rFonts w:eastAsia="Times New Roman"/>
          <w:b/>
          <w:bCs/>
        </w:rPr>
      </w:pPr>
      <w:r w:rsidRPr="0085107A">
        <w:rPr>
          <w:rFonts w:eastAsia="Times New Roman"/>
          <w:bCs/>
        </w:rPr>
        <w:t xml:space="preserve">Witnesses, including child witnesses, cannot be requested to pay the legal costs. </w:t>
      </w:r>
    </w:p>
    <w:p w14:paraId="6F838E7E" w14:textId="77777777" w:rsidR="00D51AA0" w:rsidRPr="00672BC3" w:rsidRDefault="00D51AA0" w:rsidP="00672BC3">
      <w:pPr>
        <w:pStyle w:val="BodyText"/>
        <w:rPr>
          <w:rFonts w:ascii="Calibri" w:eastAsiaTheme="majorEastAsia" w:hAnsi="Calibri" w:cstheme="majorBidi"/>
          <w:b/>
          <w:bCs/>
          <w:i/>
          <w:iCs/>
          <w:color w:val="0067AC"/>
          <w:sz w:val="22"/>
        </w:rPr>
      </w:pPr>
      <w:r w:rsidRPr="00672BC3">
        <w:rPr>
          <w:rFonts w:ascii="Calibri" w:eastAsiaTheme="majorEastAsia" w:hAnsi="Calibri" w:cstheme="majorBidi"/>
          <w:b/>
          <w:bCs/>
          <w:i/>
          <w:iCs/>
          <w:color w:val="0067AC"/>
          <w:sz w:val="22"/>
        </w:rPr>
        <w:t>The child in any other role</w:t>
      </w:r>
    </w:p>
    <w:p w14:paraId="24FE57E9" w14:textId="77777777" w:rsidR="00D51AA0" w:rsidRPr="0085107A" w:rsidRDefault="00D51AA0" w:rsidP="00672BC3">
      <w:pPr>
        <w:pStyle w:val="BodyText"/>
        <w:rPr>
          <w:rFonts w:eastAsia="Times New Roman"/>
          <w:bCs/>
        </w:rPr>
      </w:pPr>
      <w:r w:rsidRPr="0085107A">
        <w:rPr>
          <w:rFonts w:eastAsia="Times New Roman"/>
          <w:bCs/>
        </w:rPr>
        <w:t>The same rules apply to children in any other role as to child witnesses.</w:t>
      </w:r>
    </w:p>
    <w:p w14:paraId="480428D4" w14:textId="16932ECB" w:rsidR="00D51AA0" w:rsidRPr="00672BC3" w:rsidRDefault="00D51AA0" w:rsidP="00672BC3">
      <w:pPr>
        <w:pStyle w:val="BodyText"/>
        <w:rPr>
          <w:rFonts w:eastAsia="Times New Roman"/>
          <w:bCs/>
        </w:rPr>
      </w:pPr>
      <w:r w:rsidRPr="0085107A">
        <w:rPr>
          <w:rFonts w:eastAsia="Times New Roman"/>
          <w:bCs/>
        </w:rPr>
        <w:t xml:space="preserve">Children in any other role cannot be requested to pay the legal costs. </w:t>
      </w:r>
    </w:p>
    <w:p w14:paraId="629F3696" w14:textId="77777777" w:rsidR="00D51AA0" w:rsidRPr="0085107A" w:rsidRDefault="00D51AA0" w:rsidP="00672BC3">
      <w:pPr>
        <w:pStyle w:val="Heading2"/>
      </w:pPr>
      <w:bookmarkStart w:id="171" w:name="_Enforcement_of_civil"/>
      <w:bookmarkStart w:id="172" w:name="_Toc350439435"/>
      <w:bookmarkStart w:id="173" w:name="_Toc409790530"/>
      <w:bookmarkEnd w:id="171"/>
      <w:r w:rsidRPr="0085107A">
        <w:t xml:space="preserve">Enforcement of civil court </w:t>
      </w:r>
      <w:r>
        <w:t>judgement</w:t>
      </w:r>
      <w:r w:rsidRPr="0085107A">
        <w:t>s</w:t>
      </w:r>
      <w:bookmarkEnd w:id="172"/>
      <w:bookmarkEnd w:id="173"/>
    </w:p>
    <w:p w14:paraId="10FE1613" w14:textId="77777777" w:rsidR="00D51AA0" w:rsidRPr="00672BC3" w:rsidRDefault="00D51AA0" w:rsidP="00672BC3">
      <w:pPr>
        <w:pStyle w:val="BodyText"/>
        <w:rPr>
          <w:rFonts w:ascii="Calibri" w:eastAsiaTheme="majorEastAsia" w:hAnsi="Calibri" w:cstheme="majorBidi"/>
          <w:b/>
          <w:bCs/>
          <w:i/>
          <w:iCs/>
          <w:color w:val="0067AC"/>
          <w:sz w:val="22"/>
        </w:rPr>
      </w:pPr>
      <w:bookmarkStart w:id="174" w:name="_Toc336262988"/>
      <w:r w:rsidRPr="00672BC3">
        <w:rPr>
          <w:rFonts w:ascii="Calibri" w:eastAsiaTheme="majorEastAsia" w:hAnsi="Calibri" w:cstheme="majorBidi"/>
          <w:b/>
          <w:bCs/>
          <w:i/>
          <w:iCs/>
          <w:color w:val="0067AC"/>
          <w:sz w:val="22"/>
        </w:rPr>
        <w:t>The child as a plaintiff/complainant or defendant</w:t>
      </w:r>
    </w:p>
    <w:p w14:paraId="7EA19ADC" w14:textId="77777777" w:rsidR="00D51AA0" w:rsidRPr="00672BC3" w:rsidRDefault="00D51AA0" w:rsidP="00B93831">
      <w:pPr>
        <w:pStyle w:val="Heading3NoNumb"/>
        <w:ind w:firstLine="851"/>
      </w:pPr>
      <w:bookmarkStart w:id="175" w:name="_Toc409790531"/>
      <w:r w:rsidRPr="00672BC3">
        <w:t>Measures available to protect the child during enforcement proceedings</w:t>
      </w:r>
      <w:bookmarkEnd w:id="175"/>
    </w:p>
    <w:p w14:paraId="18BEE076" w14:textId="77777777" w:rsidR="00D51AA0" w:rsidRPr="0085107A" w:rsidRDefault="00D51AA0" w:rsidP="00672BC3">
      <w:pPr>
        <w:pStyle w:val="BodyText"/>
      </w:pPr>
      <w:r w:rsidRPr="0085107A">
        <w:rPr>
          <w:bCs/>
        </w:rPr>
        <w:t xml:space="preserve">As mentioned under </w:t>
      </w:r>
      <w:hyperlink w:anchor="_Protection_from_harm" w:history="1">
        <w:r w:rsidRPr="0085107A">
          <w:rPr>
            <w:rStyle w:val="Hyperlink"/>
            <w:rFonts w:cs="Arial"/>
            <w:bCs/>
          </w:rPr>
          <w:t>Section 3.4</w:t>
        </w:r>
      </w:hyperlink>
      <w:r w:rsidRPr="0085107A">
        <w:rPr>
          <w:bCs/>
        </w:rPr>
        <w:t xml:space="preserve">, the Youth Tribunal is competent to hear cases that concern children who are in danger and may order provisional protection measures. In addition, the parties can request the President of the </w:t>
      </w:r>
      <w:r w:rsidRPr="0085107A">
        <w:t xml:space="preserve">Court of First Instance to adopt interim measures in case of urgency, including in relation to the child, access rights or maintenance allowance. The Civil Magistrate’s Court is also competent to take urgent decisions and order temporary measures with regard to the parents and their children. The choice of the court will depend on the nature of the proceedings. Children cannot request courts in their own right to put in place interim measures, instead of the child it is his/her legal representative who files such a request. </w:t>
      </w:r>
    </w:p>
    <w:p w14:paraId="6DB5D021" w14:textId="77777777" w:rsidR="00D51AA0" w:rsidRPr="0085107A" w:rsidRDefault="00D51AA0" w:rsidP="00672BC3">
      <w:pPr>
        <w:pStyle w:val="BodyText"/>
      </w:pPr>
      <w:r w:rsidRPr="0085107A">
        <w:t>Where the presence of an adult person in the residence of the child poses a serious and immediate risk to the safety of the child, the Crown Prosecutor can issue a restraining order. The restraining order includes both the duty to leave the house and to refrain from contact with the child</w:t>
      </w:r>
      <w:r w:rsidRPr="0085107A">
        <w:rPr>
          <w:vertAlign w:val="superscript"/>
        </w:rPr>
        <w:footnoteReference w:id="206"/>
      </w:r>
      <w:r w:rsidRPr="0085107A">
        <w:t xml:space="preserve">. </w:t>
      </w:r>
    </w:p>
    <w:p w14:paraId="72FE63D8" w14:textId="77777777" w:rsidR="00D51AA0" w:rsidRPr="00672BC3" w:rsidRDefault="00D51AA0" w:rsidP="00B93831">
      <w:pPr>
        <w:pStyle w:val="Heading3NoNumb"/>
        <w:ind w:firstLine="851"/>
      </w:pPr>
      <w:bookmarkStart w:id="176" w:name="_Toc409790532"/>
      <w:r w:rsidRPr="00672BC3">
        <w:t>Enforceability of the judgement</w:t>
      </w:r>
      <w:bookmarkEnd w:id="176"/>
    </w:p>
    <w:p w14:paraId="24493800" w14:textId="77777777" w:rsidR="00D51AA0" w:rsidRPr="0085107A" w:rsidRDefault="00D51AA0" w:rsidP="00672BC3">
      <w:pPr>
        <w:pStyle w:val="BodyText"/>
        <w:rPr>
          <w:bCs/>
        </w:rPr>
      </w:pPr>
      <w:r w:rsidRPr="0085107A">
        <w:rPr>
          <w:bCs/>
        </w:rPr>
        <w:t xml:space="preserve">A judicial decision is enforceable if it contains an enforceability title, which is attached to the </w:t>
      </w:r>
      <w:r>
        <w:rPr>
          <w:bCs/>
        </w:rPr>
        <w:t>judgement</w:t>
      </w:r>
      <w:r w:rsidRPr="0085107A">
        <w:rPr>
          <w:rStyle w:val="FootnoteReference"/>
          <w:bCs/>
        </w:rPr>
        <w:footnoteReference w:id="207"/>
      </w:r>
      <w:r w:rsidRPr="0085107A">
        <w:rPr>
          <w:bCs/>
        </w:rPr>
        <w:t>. In addition, a judicial decision may only be enforced after having been notified to the parties</w:t>
      </w:r>
      <w:r w:rsidRPr="0085107A">
        <w:rPr>
          <w:rStyle w:val="FootnoteReference"/>
          <w:bCs/>
        </w:rPr>
        <w:footnoteReference w:id="208"/>
      </w:r>
      <w:r w:rsidRPr="0085107A">
        <w:rPr>
          <w:bCs/>
        </w:rPr>
        <w:t>.</w:t>
      </w:r>
    </w:p>
    <w:p w14:paraId="27F62C72" w14:textId="77777777" w:rsidR="00D51AA0" w:rsidRPr="0085107A" w:rsidRDefault="00D51AA0" w:rsidP="00672BC3">
      <w:pPr>
        <w:pStyle w:val="BodyText"/>
        <w:rPr>
          <w:bCs/>
        </w:rPr>
      </w:pPr>
      <w:r w:rsidRPr="0085107A">
        <w:rPr>
          <w:bCs/>
        </w:rPr>
        <w:lastRenderedPageBreak/>
        <w:t>With the exception of specific sentences/orders such as payment, a judicial decision may be enforced immediately. An appeal however, may suspend the enforcement, except if the court or the law provides that the decision/order is nevertheless enforceable</w:t>
      </w:r>
      <w:r w:rsidRPr="0085107A">
        <w:rPr>
          <w:rStyle w:val="FootnoteReference"/>
          <w:bCs/>
        </w:rPr>
        <w:footnoteReference w:id="209"/>
      </w:r>
      <w:r w:rsidRPr="0085107A">
        <w:rPr>
          <w:bCs/>
        </w:rPr>
        <w:t>. The exception concerns conservatory measures such as precautionary seizure of property</w:t>
      </w:r>
      <w:r w:rsidRPr="0085107A">
        <w:rPr>
          <w:rStyle w:val="FootnoteReference"/>
          <w:bCs/>
        </w:rPr>
        <w:footnoteReference w:id="210"/>
      </w:r>
      <w:r w:rsidRPr="0085107A">
        <w:rPr>
          <w:bCs/>
        </w:rPr>
        <w:t>. If the parties immediately enforce a decision without waiting for the appeal period to elapse, they do so at their own risks. A judge may also order the provisional enforcement of court decisions which may not be immediately enforced or for decisions requiring immediate enforcement without having to wait for the appeal term to elapse</w:t>
      </w:r>
      <w:r w:rsidRPr="0085107A">
        <w:rPr>
          <w:rStyle w:val="FootnoteReference"/>
          <w:bCs/>
        </w:rPr>
        <w:footnoteReference w:id="211"/>
      </w:r>
      <w:r w:rsidRPr="0085107A">
        <w:rPr>
          <w:bCs/>
        </w:rPr>
        <w:t>.</w:t>
      </w:r>
    </w:p>
    <w:p w14:paraId="2A13E017" w14:textId="77777777" w:rsidR="00D51AA0" w:rsidRPr="0085107A" w:rsidRDefault="00D51AA0" w:rsidP="00672BC3">
      <w:pPr>
        <w:pStyle w:val="BodyText"/>
        <w:rPr>
          <w:bCs/>
        </w:rPr>
      </w:pPr>
      <w:r w:rsidRPr="0085107A">
        <w:rPr>
          <w:bCs/>
        </w:rPr>
        <w:t xml:space="preserve">The crown prosecutor has the competence to enforce the </w:t>
      </w:r>
      <w:r>
        <w:rPr>
          <w:bCs/>
        </w:rPr>
        <w:t>judgement</w:t>
      </w:r>
      <w:r w:rsidRPr="0085107A">
        <w:rPr>
          <w:bCs/>
        </w:rPr>
        <w:t xml:space="preserve">s </w:t>
      </w:r>
      <w:r w:rsidRPr="0085107A">
        <w:rPr>
          <w:bCs/>
          <w:i/>
        </w:rPr>
        <w:t>ex officio</w:t>
      </w:r>
      <w:r w:rsidRPr="0085107A">
        <w:rPr>
          <w:bCs/>
        </w:rPr>
        <w:t xml:space="preserve"> if the decision is a matter of public order (such as parenting rights)</w:t>
      </w:r>
      <w:r w:rsidRPr="0085107A">
        <w:rPr>
          <w:rStyle w:val="FootnoteReference"/>
          <w:bCs/>
        </w:rPr>
        <w:footnoteReference w:id="212"/>
      </w:r>
      <w:r w:rsidRPr="0085107A">
        <w:rPr>
          <w:bCs/>
        </w:rPr>
        <w:t>.</w:t>
      </w:r>
    </w:p>
    <w:p w14:paraId="5788A18E" w14:textId="77777777" w:rsidR="00D51AA0" w:rsidRPr="00672BC3" w:rsidRDefault="00D51AA0" w:rsidP="00B93831">
      <w:pPr>
        <w:pStyle w:val="Heading3NoNumb"/>
        <w:ind w:firstLine="851"/>
      </w:pPr>
      <w:bookmarkStart w:id="177" w:name="_Toc409790533"/>
      <w:r w:rsidRPr="00672BC3">
        <w:t>Coercive measures available to enforce</w:t>
      </w:r>
      <w:bookmarkEnd w:id="177"/>
    </w:p>
    <w:p w14:paraId="2FAA9E34" w14:textId="77777777" w:rsidR="00D51AA0" w:rsidRPr="0085107A" w:rsidRDefault="00D51AA0" w:rsidP="00672BC3">
      <w:pPr>
        <w:pStyle w:val="BodyText"/>
        <w:rPr>
          <w:bCs/>
        </w:rPr>
      </w:pPr>
      <w:r w:rsidRPr="0085107A">
        <w:rPr>
          <w:bCs/>
        </w:rPr>
        <w:t xml:space="preserve">If the party does not comply voluntarily with the </w:t>
      </w:r>
      <w:r>
        <w:rPr>
          <w:bCs/>
        </w:rPr>
        <w:t>judgement</w:t>
      </w:r>
      <w:r w:rsidRPr="0085107A">
        <w:rPr>
          <w:bCs/>
        </w:rPr>
        <w:t>, various measures can be ordered to enforce, or to provisionally enforce, judicial decisions, including the following:</w:t>
      </w:r>
    </w:p>
    <w:p w14:paraId="3F83EDA8" w14:textId="77777777" w:rsidR="00D51AA0" w:rsidRPr="0085107A" w:rsidRDefault="00D51AA0" w:rsidP="002B15D4">
      <w:pPr>
        <w:pStyle w:val="BTBullet1Last"/>
      </w:pPr>
      <w:r w:rsidRPr="0085107A">
        <w:t>Penalty payments</w:t>
      </w:r>
    </w:p>
    <w:p w14:paraId="43412BC9" w14:textId="77777777" w:rsidR="00D51AA0" w:rsidRPr="0085107A" w:rsidRDefault="00D51AA0" w:rsidP="002B15D4">
      <w:pPr>
        <w:pStyle w:val="BTBullet1Last"/>
      </w:pPr>
      <w:r w:rsidRPr="0085107A">
        <w:t>Seizure (including provisional seizure and forced seizure)</w:t>
      </w:r>
    </w:p>
    <w:p w14:paraId="36398B1F" w14:textId="77777777" w:rsidR="00D51AA0" w:rsidRPr="0085107A" w:rsidRDefault="00D51AA0" w:rsidP="002B15D4">
      <w:pPr>
        <w:pStyle w:val="BTBullet1Last"/>
      </w:pPr>
      <w:r w:rsidRPr="0085107A">
        <w:t>Orders</w:t>
      </w:r>
    </w:p>
    <w:p w14:paraId="589AFA94" w14:textId="77777777" w:rsidR="00D51AA0" w:rsidRPr="0085107A" w:rsidRDefault="00D51AA0" w:rsidP="002B15D4">
      <w:pPr>
        <w:pStyle w:val="BodyText"/>
      </w:pPr>
      <w:r w:rsidRPr="0085107A">
        <w:t>Physical coercion cannot be used against a child, or a person who has a child under his/her care</w:t>
      </w:r>
      <w:r w:rsidRPr="0085107A">
        <w:rPr>
          <w:rStyle w:val="FootnoteReference"/>
          <w:bCs/>
        </w:rPr>
        <w:footnoteReference w:id="213"/>
      </w:r>
      <w:r w:rsidRPr="0085107A">
        <w:t>.</w:t>
      </w:r>
    </w:p>
    <w:p w14:paraId="4C8BE332" w14:textId="77777777" w:rsidR="00D51AA0" w:rsidRPr="0085107A" w:rsidRDefault="00D51AA0" w:rsidP="002B15D4">
      <w:pPr>
        <w:pStyle w:val="BodyText"/>
        <w:rPr>
          <w:b/>
        </w:rPr>
      </w:pPr>
      <w:r w:rsidRPr="0085107A">
        <w:t xml:space="preserve">While the crown prosecutor may </w:t>
      </w:r>
      <w:r w:rsidRPr="0085107A">
        <w:rPr>
          <w:i/>
        </w:rPr>
        <w:t>ex officio</w:t>
      </w:r>
      <w:r w:rsidRPr="0085107A">
        <w:t xml:space="preserve"> decide to enforce a decision in matter</w:t>
      </w:r>
      <w:r>
        <w:t>s</w:t>
      </w:r>
      <w:r w:rsidRPr="0085107A">
        <w:t xml:space="preserve"> of public order, as a general rule the (forced) enforcement of </w:t>
      </w:r>
      <w:r>
        <w:t>judgement</w:t>
      </w:r>
      <w:r w:rsidRPr="0085107A">
        <w:t>s requires the intervention of a bailiff</w:t>
      </w:r>
      <w:r w:rsidRPr="0085107A">
        <w:rPr>
          <w:rStyle w:val="FootnoteReference"/>
          <w:bCs/>
        </w:rPr>
        <w:footnoteReference w:id="214"/>
      </w:r>
      <w:r w:rsidRPr="0085107A">
        <w:t>. The bailiff will certify that the decisions are not enforced. Then the parties can petition the Seizure Judge within the First Instance Court to order enforcement measures. The bailiff will also carry out the enforcement measures ordered.</w:t>
      </w:r>
      <w:r w:rsidRPr="0085107A">
        <w:rPr>
          <w:b/>
        </w:rPr>
        <w:t xml:space="preserve"> </w:t>
      </w:r>
    </w:p>
    <w:p w14:paraId="2D97D06E" w14:textId="77777777" w:rsidR="00D51AA0" w:rsidRPr="0085107A" w:rsidRDefault="00D51AA0" w:rsidP="002B15D4">
      <w:pPr>
        <w:pStyle w:val="BodyText"/>
        <w:rPr>
          <w:b/>
        </w:rPr>
      </w:pPr>
      <w:r w:rsidRPr="0085107A">
        <w:rPr>
          <w:rFonts w:eastAsia="Times New Roman"/>
        </w:rPr>
        <w:t>As mentioned above,</w:t>
      </w:r>
      <w:r w:rsidRPr="0085107A">
        <w:t xml:space="preserve"> as a result of the child’s lack of legal capacity to act, the child will not be a formal party to the enforcement procedure, but the child’s legal representative will represent him/her.</w:t>
      </w:r>
    </w:p>
    <w:p w14:paraId="3423C894" w14:textId="77777777" w:rsidR="00D51AA0" w:rsidRPr="002B15D4" w:rsidRDefault="00D51AA0" w:rsidP="00B93831">
      <w:pPr>
        <w:pStyle w:val="Heading3NoNumb"/>
        <w:ind w:firstLine="851"/>
      </w:pPr>
      <w:bookmarkStart w:id="178" w:name="_Toc409790534"/>
      <w:r w:rsidRPr="002B15D4">
        <w:t>Information about the judgement</w:t>
      </w:r>
      <w:bookmarkEnd w:id="178"/>
    </w:p>
    <w:p w14:paraId="5BD2AD95" w14:textId="77777777" w:rsidR="00D51AA0" w:rsidRPr="0085107A" w:rsidRDefault="00D51AA0" w:rsidP="002B15D4">
      <w:pPr>
        <w:pStyle w:val="BodyText"/>
      </w:pPr>
      <w:r w:rsidRPr="0085107A">
        <w:t xml:space="preserve">As mentioned under </w:t>
      </w:r>
      <w:hyperlink w:anchor="_Provision_of_information" w:history="1">
        <w:r w:rsidRPr="0085107A">
          <w:rPr>
            <w:rStyle w:val="Hyperlink"/>
            <w:rFonts w:cs="Arial"/>
            <w:bCs/>
          </w:rPr>
          <w:t>Section 3.2</w:t>
        </w:r>
      </w:hyperlink>
      <w:r w:rsidRPr="0085107A">
        <w:t xml:space="preserve">, the delivery of an original procedural document, including the </w:t>
      </w:r>
      <w:r>
        <w:t>judgement</w:t>
      </w:r>
      <w:r w:rsidRPr="0085107A">
        <w:t>, or the copy thereof, or summon, cannot be addressed to a child who is under 16 years old, but to his/her parents</w:t>
      </w:r>
      <w:r w:rsidRPr="0085107A">
        <w:rPr>
          <w:rStyle w:val="FootnoteReference"/>
          <w:bCs/>
        </w:rPr>
        <w:footnoteReference w:id="215"/>
      </w:r>
      <w:r w:rsidRPr="0085107A">
        <w:t xml:space="preserve">. </w:t>
      </w:r>
    </w:p>
    <w:p w14:paraId="3C5A0279" w14:textId="77777777" w:rsidR="00D51AA0" w:rsidRPr="0085107A" w:rsidRDefault="00D51AA0" w:rsidP="002B15D4">
      <w:pPr>
        <w:pStyle w:val="BodyText"/>
      </w:pPr>
      <w:r w:rsidRPr="0085107A">
        <w:t xml:space="preserve">The </w:t>
      </w:r>
      <w:r>
        <w:t>judgement</w:t>
      </w:r>
      <w:r w:rsidRPr="0085107A">
        <w:t xml:space="preserve"> contains the reasoning of the court and conclusions and additional information including the purpose of the claim, the arguments of the parties and reference to the opinion of the crown prosecutor</w:t>
      </w:r>
      <w:r w:rsidRPr="0085107A">
        <w:rPr>
          <w:rStyle w:val="FootnoteReference"/>
          <w:bCs/>
        </w:rPr>
        <w:footnoteReference w:id="216"/>
      </w:r>
      <w:r w:rsidRPr="0085107A">
        <w:t>.</w:t>
      </w:r>
    </w:p>
    <w:p w14:paraId="641DB186" w14:textId="77777777" w:rsidR="00D51AA0" w:rsidRPr="0085107A" w:rsidRDefault="00D51AA0" w:rsidP="002B15D4">
      <w:pPr>
        <w:pStyle w:val="BodyText"/>
      </w:pPr>
      <w:r w:rsidRPr="0085107A">
        <w:t xml:space="preserve">Within eight days from the issuance of the </w:t>
      </w:r>
      <w:r>
        <w:t>judgement</w:t>
      </w:r>
      <w:r w:rsidRPr="0085107A">
        <w:t xml:space="preserve">, the clerk must send an unsigned copy of the </w:t>
      </w:r>
      <w:r>
        <w:t>judgement</w:t>
      </w:r>
      <w:r w:rsidRPr="0085107A">
        <w:t xml:space="preserve"> by simple letter to each party or, where appropriate, their legal counsels. For certain cases before the Labour Court and in matters of adoption, the clerk must notify the decision to the parties or parties’ legal counsels or representatives by judicial letter sent within eight days. To be valid, the letter must mention the remedies available, the time in </w:t>
      </w:r>
      <w:r w:rsidRPr="0085107A">
        <w:lastRenderedPageBreak/>
        <w:t>which these remedies should be introduced, as well as the name and address of the court having jurisdiction</w:t>
      </w:r>
      <w:r w:rsidRPr="0085107A">
        <w:rPr>
          <w:rStyle w:val="FootnoteReference"/>
          <w:bCs/>
        </w:rPr>
        <w:footnoteReference w:id="217"/>
      </w:r>
      <w:r w:rsidRPr="0085107A">
        <w:t>.</w:t>
      </w:r>
    </w:p>
    <w:p w14:paraId="62304C27" w14:textId="77777777" w:rsidR="00D51AA0" w:rsidRPr="0085107A" w:rsidRDefault="00D51AA0" w:rsidP="002B15D4">
      <w:pPr>
        <w:pStyle w:val="BodyText"/>
      </w:pPr>
      <w:r w:rsidRPr="0085107A">
        <w:t xml:space="preserve">As mentioned in </w:t>
      </w:r>
      <w:hyperlink w:anchor="_Provision_of_information" w:history="1">
        <w:r w:rsidRPr="0085107A">
          <w:rPr>
            <w:rStyle w:val="Hyperlink"/>
            <w:rFonts w:cs="Arial"/>
            <w:bCs/>
          </w:rPr>
          <w:t>Section 3.2</w:t>
        </w:r>
      </w:hyperlink>
      <w:r w:rsidRPr="0085107A">
        <w:t>, a copy of any decision taken by the Youth Tribunal at first instance or appeal, must be provided to the child’s legal counsel on the same day as the decision</w:t>
      </w:r>
      <w:r w:rsidRPr="0085107A">
        <w:rPr>
          <w:rStyle w:val="FootnoteReference"/>
          <w:bCs/>
        </w:rPr>
        <w:footnoteReference w:id="218"/>
      </w:r>
      <w:r w:rsidRPr="0085107A">
        <w:t>.</w:t>
      </w:r>
    </w:p>
    <w:p w14:paraId="71E65246" w14:textId="77777777" w:rsidR="00D51AA0" w:rsidRPr="0085107A" w:rsidRDefault="00D51AA0" w:rsidP="002B15D4">
      <w:pPr>
        <w:pStyle w:val="BodyText"/>
      </w:pPr>
      <w:r w:rsidRPr="0085107A">
        <w:t xml:space="preserve">No legal requirements have been identified on how the child’s lawyer, guardian, guardian ad litem or legal representative (e.g. parent, adult relative) communicate and explain the given decision or </w:t>
      </w:r>
      <w:r>
        <w:t>judgement</w:t>
      </w:r>
      <w:r w:rsidRPr="0085107A">
        <w:t xml:space="preserve"> to the child. No legal requirements have been identified on the language used. Moreover, it is not a legal requirement to ensure that the language is adapted to the child’s level of understanding.</w:t>
      </w:r>
    </w:p>
    <w:p w14:paraId="2BEF4D07" w14:textId="77777777" w:rsidR="00D51AA0" w:rsidRPr="002B15D4" w:rsidRDefault="00D51AA0" w:rsidP="002B15D4">
      <w:pPr>
        <w:pStyle w:val="BodyText"/>
        <w:rPr>
          <w:rFonts w:ascii="Calibri" w:eastAsiaTheme="majorEastAsia" w:hAnsi="Calibri" w:cstheme="majorBidi"/>
          <w:b/>
          <w:bCs/>
          <w:i/>
          <w:iCs/>
          <w:color w:val="0067AC"/>
          <w:sz w:val="22"/>
        </w:rPr>
      </w:pPr>
      <w:r w:rsidRPr="002B15D4">
        <w:rPr>
          <w:rFonts w:ascii="Calibri" w:eastAsiaTheme="majorEastAsia" w:hAnsi="Calibri" w:cstheme="majorBidi"/>
          <w:b/>
          <w:bCs/>
          <w:i/>
          <w:iCs/>
          <w:color w:val="0067AC"/>
          <w:sz w:val="22"/>
        </w:rPr>
        <w:t>The child as a witness</w:t>
      </w:r>
    </w:p>
    <w:p w14:paraId="166ADA4A" w14:textId="77777777" w:rsidR="00D51AA0" w:rsidRPr="0085107A" w:rsidRDefault="00D51AA0" w:rsidP="002B15D4">
      <w:pPr>
        <w:pStyle w:val="BodyText"/>
      </w:pPr>
      <w:r w:rsidRPr="0085107A">
        <w:t>A child witness is not a party to proceedings, as a result, a child witness is not involved in the enforcement of the judicial decision.</w:t>
      </w:r>
    </w:p>
    <w:p w14:paraId="20132A42" w14:textId="487FF84C" w:rsidR="00D51AA0" w:rsidRPr="002B15D4" w:rsidRDefault="00D51AA0" w:rsidP="002B15D4">
      <w:pPr>
        <w:pStyle w:val="BodyText"/>
        <w:rPr>
          <w:rFonts w:ascii="Calibri" w:eastAsiaTheme="majorEastAsia" w:hAnsi="Calibri" w:cstheme="majorBidi"/>
          <w:b/>
          <w:bCs/>
          <w:i/>
          <w:iCs/>
          <w:color w:val="0067AC"/>
          <w:sz w:val="22"/>
        </w:rPr>
      </w:pPr>
      <w:r w:rsidRPr="002B15D4">
        <w:rPr>
          <w:rFonts w:ascii="Calibri" w:eastAsiaTheme="majorEastAsia" w:hAnsi="Calibri" w:cstheme="majorBidi"/>
          <w:b/>
          <w:bCs/>
          <w:i/>
          <w:iCs/>
          <w:color w:val="0067AC"/>
          <w:sz w:val="22"/>
        </w:rPr>
        <w:t>The child in any other role</w:t>
      </w:r>
    </w:p>
    <w:p w14:paraId="68492775" w14:textId="7EDAEBD1" w:rsidR="001358F5" w:rsidRPr="002B15D4" w:rsidRDefault="00D51AA0" w:rsidP="002B15D4">
      <w:pPr>
        <w:pStyle w:val="BodyText"/>
      </w:pPr>
      <w:r w:rsidRPr="0085107A">
        <w:t xml:space="preserve">The same rules apply to children in any other role as to child plaintiffs/defendants. The only exception lies in the fact that court </w:t>
      </w:r>
      <w:r>
        <w:t>judgement</w:t>
      </w:r>
      <w:r w:rsidRPr="0085107A">
        <w:t xml:space="preserve">s are not communicated to children in any other role. Besides the rules described above, Belgian law contains some dispute-specific provisions. </w:t>
      </w:r>
    </w:p>
    <w:p w14:paraId="77FBE69C" w14:textId="77777777" w:rsidR="00D51AA0" w:rsidRPr="002B15D4" w:rsidRDefault="00D51AA0" w:rsidP="00B93831">
      <w:pPr>
        <w:pStyle w:val="Heading3NoNumb"/>
        <w:ind w:firstLine="851"/>
      </w:pPr>
      <w:bookmarkStart w:id="179" w:name="_Toc409790535"/>
      <w:r w:rsidRPr="002B15D4">
        <w:t>Family law judgements</w:t>
      </w:r>
      <w:bookmarkEnd w:id="179"/>
    </w:p>
    <w:p w14:paraId="15CAF519" w14:textId="77777777" w:rsidR="00D51AA0" w:rsidRPr="0085107A" w:rsidRDefault="00D51AA0" w:rsidP="00672BC3">
      <w:pPr>
        <w:pStyle w:val="BodyText"/>
        <w:rPr>
          <w:bCs/>
        </w:rPr>
      </w:pPr>
      <w:r w:rsidRPr="0085107A">
        <w:rPr>
          <w:bCs/>
        </w:rPr>
        <w:t xml:space="preserve">Specific fast-track procedures have been established to enforce family law </w:t>
      </w:r>
      <w:r>
        <w:rPr>
          <w:bCs/>
        </w:rPr>
        <w:t>judgement</w:t>
      </w:r>
      <w:r w:rsidRPr="0085107A">
        <w:rPr>
          <w:bCs/>
        </w:rPr>
        <w:t xml:space="preserve">s related to the housing of the child, rights to personal relationships with the child (access rights) and the arrangements agreed in a divorce agreement. In case one of the parents refuses to enforce the </w:t>
      </w:r>
      <w:r>
        <w:rPr>
          <w:bCs/>
        </w:rPr>
        <w:t>judgement</w:t>
      </w:r>
      <w:r w:rsidRPr="0085107A">
        <w:rPr>
          <w:bCs/>
        </w:rPr>
        <w:t xml:space="preserve"> or agreement with respect to children, the other party can bring the case back before the competent court, in which case, the case must be heard with priority.</w:t>
      </w:r>
      <w:r w:rsidRPr="0085107A">
        <w:t xml:space="preserve"> </w:t>
      </w:r>
      <w:r w:rsidRPr="0085107A">
        <w:rPr>
          <w:bCs/>
        </w:rPr>
        <w:t xml:space="preserve">The court may order new investigating measures such as official inquiries, attempt to conciliate the parties or suggest mediation. In addition, the court may review the decision and agreements. The other party may also petition the judge to order coercive measures. The court may order penalty payment for not complying with the </w:t>
      </w:r>
      <w:r>
        <w:rPr>
          <w:bCs/>
        </w:rPr>
        <w:t>judgement</w:t>
      </w:r>
      <w:r w:rsidRPr="0085107A">
        <w:rPr>
          <w:rStyle w:val="FootnoteReference"/>
          <w:bCs/>
        </w:rPr>
        <w:footnoteReference w:id="219"/>
      </w:r>
      <w:r w:rsidRPr="0085107A">
        <w:rPr>
          <w:bCs/>
        </w:rPr>
        <w:t>.</w:t>
      </w:r>
    </w:p>
    <w:p w14:paraId="26296E77" w14:textId="77777777" w:rsidR="00D51AA0" w:rsidRPr="0085107A" w:rsidRDefault="00D51AA0" w:rsidP="00672BC3">
      <w:pPr>
        <w:pStyle w:val="BodyText"/>
        <w:rPr>
          <w:bCs/>
          <w:highlight w:val="yellow"/>
        </w:rPr>
      </w:pPr>
      <w:r w:rsidRPr="0085107A">
        <w:rPr>
          <w:bCs/>
        </w:rPr>
        <w:t>In addition, the judge can make use of several measures to ensure the enforcement of decisions with regard to children. The judge can order the enforcement of court decisions in the absence or presence of a person. The judge can also restrict travels with the child</w:t>
      </w:r>
      <w:r w:rsidRPr="0085107A">
        <w:rPr>
          <w:rStyle w:val="FootnoteReference"/>
          <w:bCs/>
        </w:rPr>
        <w:footnoteReference w:id="220"/>
      </w:r>
      <w:r w:rsidRPr="0085107A">
        <w:rPr>
          <w:bCs/>
        </w:rPr>
        <w:t>. The judge takes into account the interests of the child when deciding on such measure.</w:t>
      </w:r>
    </w:p>
    <w:p w14:paraId="1E7F8F6B" w14:textId="77777777" w:rsidR="00D51AA0" w:rsidRPr="0085107A" w:rsidRDefault="00D51AA0" w:rsidP="00672BC3">
      <w:pPr>
        <w:pStyle w:val="BodyText"/>
        <w:rPr>
          <w:bCs/>
        </w:rPr>
      </w:pPr>
      <w:r w:rsidRPr="0085107A">
        <w:rPr>
          <w:bCs/>
        </w:rPr>
        <w:t>Lastly, the fact of not presenting the child to the parent exercising access rights is considered a criminal offence. If the parent hides the child for more than five days, he/she could be punishable with a fine and/or imprisonment of up to five years</w:t>
      </w:r>
      <w:r w:rsidRPr="0085107A">
        <w:rPr>
          <w:rStyle w:val="FootnoteReference"/>
          <w:bCs/>
        </w:rPr>
        <w:footnoteReference w:id="221"/>
      </w:r>
      <w:r w:rsidRPr="0085107A">
        <w:rPr>
          <w:bCs/>
        </w:rPr>
        <w:t>. The non-compliance with the decision on access or residence rights is not considered as an offence, if handing over the child to the other parent places the child into danger or if the child refuses to comply with the court decision</w:t>
      </w:r>
      <w:r w:rsidRPr="0085107A">
        <w:rPr>
          <w:rStyle w:val="FootnoteReference"/>
          <w:bCs/>
        </w:rPr>
        <w:footnoteReference w:id="222"/>
      </w:r>
      <w:r w:rsidRPr="0085107A">
        <w:rPr>
          <w:bCs/>
        </w:rPr>
        <w:t xml:space="preserve">. </w:t>
      </w:r>
    </w:p>
    <w:p w14:paraId="3607FC40" w14:textId="3034CF5E" w:rsidR="002E0212" w:rsidRPr="00B93831" w:rsidRDefault="00D51AA0" w:rsidP="00B93831">
      <w:pPr>
        <w:pStyle w:val="BodyText"/>
        <w:rPr>
          <w:bCs/>
        </w:rPr>
      </w:pPr>
      <w:r w:rsidRPr="0085107A">
        <w:rPr>
          <w:bCs/>
        </w:rPr>
        <w:t>When taking decisions on the arrangements, measures and their enforcement, the judge must hear the child</w:t>
      </w:r>
      <w:r w:rsidRPr="0085107A">
        <w:rPr>
          <w:rStyle w:val="FootnoteReference"/>
          <w:bCs/>
        </w:rPr>
        <w:footnoteReference w:id="223"/>
      </w:r>
      <w:bookmarkStart w:id="180" w:name="_Toc338234311"/>
      <w:bookmarkStart w:id="181" w:name="_Toc338234322"/>
      <w:bookmarkStart w:id="182" w:name="_Toc337053486"/>
      <w:bookmarkEnd w:id="174"/>
      <w:bookmarkEnd w:id="180"/>
      <w:bookmarkEnd w:id="181"/>
      <w:bookmarkEnd w:id="182"/>
    </w:p>
    <w:p w14:paraId="4B380E15" w14:textId="77777777" w:rsidR="00960EC3" w:rsidRPr="00ED163D" w:rsidRDefault="00960EC3" w:rsidP="00DD3C25">
      <w:pPr>
        <w:pStyle w:val="Heading1"/>
        <w:numPr>
          <w:ilvl w:val="0"/>
          <w:numId w:val="0"/>
        </w:numPr>
        <w:ind w:left="851"/>
      </w:pPr>
      <w:bookmarkStart w:id="183" w:name="_Toc401654882"/>
      <w:bookmarkStart w:id="184" w:name="_Toc409790536"/>
      <w:bookmarkEnd w:id="17"/>
      <w:bookmarkEnd w:id="18"/>
      <w:bookmarkEnd w:id="19"/>
      <w:r w:rsidRPr="000D323B">
        <w:lastRenderedPageBreak/>
        <w:t>Conclusions</w:t>
      </w:r>
      <w:bookmarkEnd w:id="183"/>
      <w:bookmarkEnd w:id="184"/>
    </w:p>
    <w:p w14:paraId="0B350C16" w14:textId="77777777" w:rsidR="001358F5" w:rsidRPr="00DD3C25" w:rsidRDefault="001358F5" w:rsidP="00B93831">
      <w:pPr>
        <w:pStyle w:val="Heading3NoNumb"/>
        <w:ind w:firstLine="851"/>
      </w:pPr>
      <w:bookmarkStart w:id="185" w:name="_Toc409790537"/>
      <w:r w:rsidRPr="00DD3C25">
        <w:t>Institutional and legal framework</w:t>
      </w:r>
      <w:bookmarkEnd w:id="185"/>
    </w:p>
    <w:p w14:paraId="0D1D6968" w14:textId="77777777" w:rsidR="001358F5" w:rsidRPr="0085107A" w:rsidRDefault="001358F5" w:rsidP="00DD3C25">
      <w:pPr>
        <w:pStyle w:val="BodyText"/>
      </w:pPr>
      <w:r w:rsidRPr="0085107A">
        <w:t xml:space="preserve">Rules applicable to civil judicial proceedings are mainly set out in three pieces of legislation: 1) the </w:t>
      </w:r>
      <w:hyperlink r:id="rId63" w:history="1">
        <w:r w:rsidRPr="0085107A">
          <w:rPr>
            <w:rStyle w:val="Hyperlink"/>
          </w:rPr>
          <w:t>Judicial Code</w:t>
        </w:r>
      </w:hyperlink>
      <w:r w:rsidRPr="0085107A">
        <w:t xml:space="preserve">, which lays down the general rules of judicial proceedings including civil judicial proceedings; 2) the </w:t>
      </w:r>
      <w:hyperlink r:id="rId64" w:history="1">
        <w:r w:rsidRPr="0085107A">
          <w:rPr>
            <w:rStyle w:val="Hyperlink"/>
          </w:rPr>
          <w:t>Civil Code</w:t>
        </w:r>
      </w:hyperlink>
      <w:r w:rsidRPr="0085107A">
        <w:t xml:space="preserve">, which provides the rules on substantive civil law and 3) the </w:t>
      </w:r>
      <w:hyperlink r:id="rId65" w:history="1">
        <w:r w:rsidRPr="0085107A">
          <w:rPr>
            <w:rStyle w:val="Hyperlink"/>
          </w:rPr>
          <w:t>Youth Protection Act</w:t>
        </w:r>
      </w:hyperlink>
      <w:r w:rsidRPr="0085107A">
        <w:t xml:space="preserve">, which contains the rules applicable to procedures before the Youth Tribunal. </w:t>
      </w:r>
    </w:p>
    <w:p w14:paraId="3C618436" w14:textId="77777777" w:rsidR="001358F5" w:rsidRPr="0085107A" w:rsidRDefault="001358F5" w:rsidP="00DD3C25">
      <w:pPr>
        <w:pStyle w:val="BodyText"/>
      </w:pPr>
      <w:r w:rsidRPr="0085107A">
        <w:t xml:space="preserve">Aside from the </w:t>
      </w:r>
      <w:hyperlink r:id="rId66" w:history="1">
        <w:r w:rsidRPr="0085107A">
          <w:rPr>
            <w:rStyle w:val="Hyperlink"/>
          </w:rPr>
          <w:t>Youth Protection Act</w:t>
        </w:r>
      </w:hyperlink>
      <w:r w:rsidRPr="0085107A">
        <w:t xml:space="preserve">, the above referred laws are not child-specific, but contain general rules applicable to children and adults, as well as certain child-specific provisions. </w:t>
      </w:r>
    </w:p>
    <w:p w14:paraId="70900AA8" w14:textId="689F465E" w:rsidR="001358F5" w:rsidRPr="0085107A" w:rsidRDefault="001358F5" w:rsidP="00DD3C25">
      <w:pPr>
        <w:pStyle w:val="BodyText"/>
      </w:pPr>
      <w:r w:rsidRPr="0085107A">
        <w:t>The judicial authorities dealing with children in civil judicial proceedings vary depending on the stage, nature or the subject matter of the proceedings. With regard to civil law matters, depending on the value of the dispute or the specific matter, the Civil Magistrate’s Court and the Civil Court have competence. The Commercial Court has competence over commercial cases, whereas labour law cases are heard by the Labour Court. Lastly, the Youth Tribunal is competent to hear specific issues regarding children involved in civil proceedings (i.e. related to parental authority and the child in need of protection).</w:t>
      </w:r>
    </w:p>
    <w:p w14:paraId="4E925FC5" w14:textId="415B616F" w:rsidR="001358F5" w:rsidRPr="00DD3C25" w:rsidRDefault="001358F5" w:rsidP="00B93831">
      <w:pPr>
        <w:pStyle w:val="Heading3NoNumb"/>
        <w:ind w:firstLine="851"/>
      </w:pPr>
      <w:bookmarkStart w:id="186" w:name="_Toc409790538"/>
      <w:r w:rsidRPr="00DD3C25">
        <w:t>General approach towards children under civil law</w:t>
      </w:r>
      <w:bookmarkEnd w:id="186"/>
    </w:p>
    <w:p w14:paraId="6070F390" w14:textId="77777777" w:rsidR="001358F5" w:rsidRPr="0085107A" w:rsidRDefault="001358F5" w:rsidP="00DD3C25">
      <w:pPr>
        <w:pStyle w:val="BodyText"/>
      </w:pPr>
      <w:r w:rsidRPr="0085107A">
        <w:t xml:space="preserve">In Belgium, a child is defined as a person under 18 years of age. </w:t>
      </w:r>
    </w:p>
    <w:p w14:paraId="6A98AA6B" w14:textId="69A122DE" w:rsidR="001358F5" w:rsidRPr="0085107A" w:rsidRDefault="001358F5" w:rsidP="00DD3C25">
      <w:pPr>
        <w:pStyle w:val="BodyText"/>
      </w:pPr>
      <w:r w:rsidRPr="0085107A">
        <w:t xml:space="preserve">The </w:t>
      </w:r>
      <w:hyperlink r:id="rId67" w:history="1">
        <w:r w:rsidRPr="0085107A">
          <w:rPr>
            <w:rStyle w:val="Hyperlink"/>
          </w:rPr>
          <w:t>Constitution</w:t>
        </w:r>
      </w:hyperlink>
      <w:r w:rsidRPr="0085107A">
        <w:t xml:space="preserve"> requires that, in all decisions affecting a child, the interests of the child are of primary consideration. This requirement is also specified in several specific proceedings, such as adoption or issues of parental authority. Courts are required to intervene ‘in the interests of the child’ on various specific issues, including the modification of divorce agreement against the child’s interest, child custody, maintenance of personal relationships with grandparents, administration of the child’s property, guardianship appointment and measures regarding the residence of the child. The judge is competent to assess what the best interests of children are. </w:t>
      </w:r>
    </w:p>
    <w:p w14:paraId="583EA610" w14:textId="77777777" w:rsidR="001358F5" w:rsidRPr="00DD3C25" w:rsidRDefault="001358F5" w:rsidP="00B93831">
      <w:pPr>
        <w:pStyle w:val="Heading3NoNumb"/>
        <w:ind w:firstLine="851"/>
      </w:pPr>
      <w:bookmarkStart w:id="187" w:name="_Toc409790539"/>
      <w:r w:rsidRPr="00DD3C25">
        <w:t>A child as an actor in civil judicial proceedings</w:t>
      </w:r>
      <w:bookmarkEnd w:id="187"/>
    </w:p>
    <w:p w14:paraId="7675A52D" w14:textId="77777777" w:rsidR="001358F5" w:rsidRPr="0085107A" w:rsidRDefault="001358F5" w:rsidP="00DD3C25">
      <w:pPr>
        <w:pStyle w:val="BodyText"/>
        <w:rPr>
          <w:bCs/>
        </w:rPr>
      </w:pPr>
      <w:r w:rsidRPr="0085107A">
        <w:rPr>
          <w:bCs/>
        </w:rPr>
        <w:t xml:space="preserve">Under Belgian law, children do not have legal capacity to act. As a result, children do not have the capacity to bring a case before the court, to be a party to judicial proceedings or to enter into contractual agreements in their own name. Their legal representative will initiate the judicial proceeding on behalf of the child and represent the child as a party to the proceedings. </w:t>
      </w:r>
    </w:p>
    <w:p w14:paraId="56ABF1A9" w14:textId="6F59A907" w:rsidR="001358F5" w:rsidRPr="0085107A" w:rsidRDefault="001358F5" w:rsidP="00DD3C25">
      <w:pPr>
        <w:pStyle w:val="BodyText"/>
        <w:rPr>
          <w:bCs/>
        </w:rPr>
      </w:pPr>
      <w:r w:rsidRPr="00EE7230">
        <w:t>The legislation allows for exceptions under this general rule:</w:t>
      </w:r>
      <w:r w:rsidRPr="0085107A">
        <w:t xml:space="preserve"> </w:t>
      </w:r>
      <w:r w:rsidRPr="00EE7230">
        <w:rPr>
          <w:bCs/>
        </w:rPr>
        <w:t xml:space="preserve">Emancipated children </w:t>
      </w:r>
      <w:r>
        <w:rPr>
          <w:bCs/>
        </w:rPr>
        <w:t>and cases of</w:t>
      </w:r>
      <w:r w:rsidRPr="00EE7230">
        <w:rPr>
          <w:bCs/>
        </w:rPr>
        <w:t xml:space="preserve"> extreme emergency situations</w:t>
      </w:r>
      <w:r w:rsidRPr="0085107A">
        <w:rPr>
          <w:bCs/>
        </w:rPr>
        <w:t>.</w:t>
      </w:r>
      <w:r>
        <w:rPr>
          <w:bCs/>
        </w:rPr>
        <w:t xml:space="preserve"> In addition, c</w:t>
      </w:r>
      <w:r w:rsidRPr="00EE7230">
        <w:rPr>
          <w:bCs/>
        </w:rPr>
        <w:t>ourts have allowed children in exceptional cases to bring a case before courts, e.g. in case of conflicts between the child and his/her parents, when the action is absolutely necessary and mostly relating to conservatory measures.</w:t>
      </w:r>
    </w:p>
    <w:p w14:paraId="73F34EE6" w14:textId="34D520D7" w:rsidR="001358F5" w:rsidRPr="00DD3C25" w:rsidRDefault="001358F5" w:rsidP="00DD3C25">
      <w:pPr>
        <w:pStyle w:val="BodyText"/>
        <w:rPr>
          <w:bCs/>
        </w:rPr>
      </w:pPr>
      <w:r w:rsidRPr="0085107A">
        <w:t xml:space="preserve">Children can participate in civil judicial proceedings as the subject matters of the proceeding. </w:t>
      </w:r>
      <w:r w:rsidRPr="0085107A">
        <w:rPr>
          <w:bCs/>
        </w:rPr>
        <w:t>In adoption proceedings, children of 12 years of age or above must give consent to their adoption. Similarly, the consent of a child of 12 years of age and above is required for the recognition of the filiation by a parent and to proceedings on paternity or maternity search.</w:t>
      </w:r>
    </w:p>
    <w:p w14:paraId="639C3E0D" w14:textId="5DB651F9" w:rsidR="001358F5" w:rsidRPr="00DD3C25" w:rsidRDefault="001358F5" w:rsidP="00B93831">
      <w:pPr>
        <w:pStyle w:val="Heading3NoNumb"/>
        <w:ind w:firstLine="851"/>
      </w:pPr>
      <w:bookmarkStart w:id="188" w:name="_Toc409790540"/>
      <w:r w:rsidRPr="00DD3C25">
        <w:t>Provision of information to children</w:t>
      </w:r>
      <w:bookmarkEnd w:id="188"/>
    </w:p>
    <w:p w14:paraId="7C056EF5" w14:textId="77777777" w:rsidR="001358F5" w:rsidRPr="0085107A" w:rsidRDefault="001358F5" w:rsidP="00DD3C25">
      <w:pPr>
        <w:pStyle w:val="BodyText"/>
      </w:pPr>
      <w:r w:rsidRPr="0085107A">
        <w:t xml:space="preserve">There is no right for the child to be informed in his/her own right. </w:t>
      </w:r>
      <w:r w:rsidRPr="00EE7230">
        <w:t>However, children can obtain information on civil proceedings and receive assistance from various services. Judicial assistants can also refer children and their legal representatives to specialised services and will inform children and their legal representatives on any support services available to them. For initial, free of charge, legal advice and information on legal proceedings, children and their legal representative can turn to primary legal aid.</w:t>
      </w:r>
      <w:r w:rsidRPr="0085107A">
        <w:t xml:space="preserve"> </w:t>
      </w:r>
    </w:p>
    <w:p w14:paraId="777E9EF7" w14:textId="77777777" w:rsidR="001358F5" w:rsidRPr="0085107A" w:rsidRDefault="001358F5" w:rsidP="00DD3C25">
      <w:pPr>
        <w:pStyle w:val="BodyText"/>
      </w:pPr>
    </w:p>
    <w:p w14:paraId="1975F536" w14:textId="5FE9403F" w:rsidR="001358F5" w:rsidRPr="0085107A" w:rsidRDefault="001358F5" w:rsidP="00DD3C25">
      <w:pPr>
        <w:pStyle w:val="BodyText"/>
      </w:pPr>
      <w:r w:rsidRPr="0085107A">
        <w:t xml:space="preserve">While there is no generalised practice or requirement in place for judicial authorities to make information on proceedings and rights available in a child-friendly format, </w:t>
      </w:r>
      <w:r w:rsidRPr="00EE7230">
        <w:t>specialised services and organisations make available child-friendly information or use some child-friendly leaflets.</w:t>
      </w:r>
      <w:r w:rsidRPr="0085107A">
        <w:t xml:space="preserve"> </w:t>
      </w:r>
    </w:p>
    <w:p w14:paraId="65C2EBF3" w14:textId="1252A062" w:rsidR="001358F5" w:rsidRPr="0085107A" w:rsidRDefault="001358F5" w:rsidP="00DD3C25">
      <w:pPr>
        <w:pStyle w:val="BodyText"/>
      </w:pPr>
      <w:r w:rsidRPr="0085107A">
        <w:t>The delivery of an original procedural document (e.g. subpoena or court decision), or a copy thereof, cannot be addressed to a child under 16 years old, but to his/her parents</w:t>
      </w:r>
      <w:r>
        <w:t>.</w:t>
      </w:r>
    </w:p>
    <w:p w14:paraId="72167F59" w14:textId="769FCBD4" w:rsidR="001358F5" w:rsidRPr="0085107A" w:rsidRDefault="001358F5" w:rsidP="00B93831">
      <w:pPr>
        <w:pStyle w:val="Heading3NoNumb"/>
        <w:ind w:firstLine="851"/>
      </w:pPr>
      <w:bookmarkStart w:id="189" w:name="_Toc409790541"/>
      <w:r w:rsidRPr="00DD3C25">
        <w:t>Protection of the child’s personal and family</w:t>
      </w:r>
      <w:r w:rsidRPr="0085107A">
        <w:t xml:space="preserve"> </w:t>
      </w:r>
      <w:r w:rsidRPr="00DD3C25">
        <w:t>life</w:t>
      </w:r>
      <w:bookmarkEnd w:id="189"/>
    </w:p>
    <w:p w14:paraId="4A796153" w14:textId="6B5B8830" w:rsidR="001358F5" w:rsidRPr="0085107A" w:rsidRDefault="001358F5" w:rsidP="00DD3C25">
      <w:pPr>
        <w:pStyle w:val="BodyText"/>
      </w:pPr>
      <w:r w:rsidRPr="00EE7230">
        <w:t xml:space="preserve">The right to private and family life is guaranteed in Belgium, including the treatment of personal data. The violation of this right can be punished by a fine, publication of the </w:t>
      </w:r>
      <w:r>
        <w:t>judgement</w:t>
      </w:r>
      <w:r w:rsidRPr="00EE7230">
        <w:t>, seizure of the material containing the personal data or the deletion of the personal date therefrom.</w:t>
      </w:r>
      <w:r w:rsidRPr="0085107A">
        <w:t xml:space="preserve"> </w:t>
      </w:r>
      <w:r>
        <w:t>C</w:t>
      </w:r>
      <w:r w:rsidRPr="0085107A">
        <w:t xml:space="preserve">ourts benefit from an exemption, in accordance with which they can access and use personal data when it is necessary for carrying out their work. Similarly, legal counsels </w:t>
      </w:r>
      <w:r>
        <w:t xml:space="preserve">and parties to proceedings </w:t>
      </w:r>
      <w:r w:rsidRPr="0085107A">
        <w:t xml:space="preserve">can also access and treat personal data when necessary for the defence of their clients. </w:t>
      </w:r>
    </w:p>
    <w:p w14:paraId="294DAE02" w14:textId="3184832A" w:rsidR="001358F5" w:rsidRPr="0085107A" w:rsidRDefault="001358F5" w:rsidP="00DD3C25">
      <w:pPr>
        <w:pStyle w:val="BodyText"/>
      </w:pPr>
      <w:r w:rsidRPr="0085107A">
        <w:t xml:space="preserve">While as a general principle hearings before courts and Tribunal are open to the public, a judge may, </w:t>
      </w:r>
      <w:r w:rsidRPr="0085107A">
        <w:rPr>
          <w:i/>
        </w:rPr>
        <w:t>ex officio</w:t>
      </w:r>
      <w:r w:rsidRPr="0085107A">
        <w:t xml:space="preserve"> or at the request of a party, decide to meet in closed hearing on the basis that a public hearing would go against the public order or morals, where the interests of child or the protection of privacy so requires. It is the child’s legal representative who files such a request on behalf of the child.</w:t>
      </w:r>
    </w:p>
    <w:p w14:paraId="786C0199" w14:textId="48D0C8DD" w:rsidR="001358F5" w:rsidRPr="0085107A" w:rsidRDefault="001358F5" w:rsidP="00DD3C25">
      <w:pPr>
        <w:pStyle w:val="BodyText"/>
      </w:pPr>
      <w:r w:rsidRPr="00EE7230">
        <w:t xml:space="preserve">As an established practice, the media cannot record or film any hearing or take pictures during the hearing. The Criminal Code explicitly prohibits the publication or dissemination by the media of discussions before the Youth Tribunal and its Appeal Court. </w:t>
      </w:r>
    </w:p>
    <w:p w14:paraId="566861E6" w14:textId="0CB6A719" w:rsidR="001358F5" w:rsidRPr="00DD3C25" w:rsidRDefault="001358F5" w:rsidP="00B93831">
      <w:pPr>
        <w:pStyle w:val="Heading3NoNumb"/>
        <w:ind w:firstLine="851"/>
      </w:pPr>
      <w:bookmarkStart w:id="190" w:name="_Toc409790542"/>
      <w:r w:rsidRPr="00DD3C25">
        <w:t>Protection from harm and ensuring a child friendly process</w:t>
      </w:r>
      <w:bookmarkEnd w:id="190"/>
    </w:p>
    <w:p w14:paraId="497E97DF" w14:textId="56351145" w:rsidR="001358F5" w:rsidRPr="0085107A" w:rsidRDefault="001358F5" w:rsidP="00DD3C25">
      <w:pPr>
        <w:pStyle w:val="BodyText"/>
      </w:pPr>
      <w:r w:rsidRPr="0085107A">
        <w:t xml:space="preserve">The general rule </w:t>
      </w:r>
      <w:r>
        <w:t xml:space="preserve">is </w:t>
      </w:r>
      <w:r w:rsidRPr="0085107A">
        <w:t xml:space="preserve">that the duration of the proceedings must not exceed a reasonable time. </w:t>
      </w:r>
      <w:r w:rsidRPr="00EE7230">
        <w:t>Fast-track procedures exist with regard to the enforcement of family law decisions.</w:t>
      </w:r>
      <w:r w:rsidRPr="0085107A">
        <w:t xml:space="preserve"> In divorce proceedings, after a decision is made, the case stays filed with the Youth Tribunal until the child reaches 18 years old or is emancipated. Such a system ensures a quick referral of the case back to a youth judge in cases where new elements occur.</w:t>
      </w:r>
    </w:p>
    <w:p w14:paraId="29D19871" w14:textId="4CE45DD4" w:rsidR="001358F5" w:rsidRPr="0085107A" w:rsidRDefault="001358F5" w:rsidP="00DD3C25">
      <w:pPr>
        <w:pStyle w:val="BodyText"/>
      </w:pPr>
      <w:r w:rsidRPr="0085107A">
        <w:t xml:space="preserve">Belgian legislation requires courts to hear the child in a place which is deemed to be appropriate by the judge. Some courts have child-friendly rooms, however this is not generalised. A judge may decide </w:t>
      </w:r>
      <w:r w:rsidRPr="0085107A">
        <w:rPr>
          <w:i/>
        </w:rPr>
        <w:t>ex officio,</w:t>
      </w:r>
      <w:r w:rsidRPr="0085107A">
        <w:t xml:space="preserve"> or at the request of a party, to meet in closed hearing, if a public hearing would go against public order or morals or where the interests of the child or the protection of privacy so requires. </w:t>
      </w:r>
    </w:p>
    <w:p w14:paraId="5803A455" w14:textId="02EC00EF" w:rsidR="001358F5" w:rsidRPr="0085107A" w:rsidRDefault="001358F5" w:rsidP="00DD3C25">
      <w:pPr>
        <w:pStyle w:val="BodyText"/>
      </w:pPr>
      <w:r w:rsidRPr="0085107A">
        <w:t xml:space="preserve">The Youth Tribunal can order measures to protect children in danger, including measures against parents, as well as measures relating to custody, protection, education, or placement of the child in a host family or in the care of a specialised centre. Where an adult person poses a serious and immediate risk to the safety of </w:t>
      </w:r>
      <w:r>
        <w:t>the child</w:t>
      </w:r>
      <w:r w:rsidRPr="0085107A">
        <w:t xml:space="preserve">, the crown prosecutor may issue a restraining order. </w:t>
      </w:r>
    </w:p>
    <w:p w14:paraId="6714E199" w14:textId="32EC79D0" w:rsidR="001358F5" w:rsidRPr="00DD3C25" w:rsidRDefault="001358F5" w:rsidP="00B93831">
      <w:pPr>
        <w:pStyle w:val="Heading3NoNumb"/>
        <w:ind w:firstLine="851"/>
      </w:pPr>
      <w:bookmarkStart w:id="191" w:name="_Toc409790543"/>
      <w:r w:rsidRPr="00DD3C25">
        <w:t>Protecting the child during interviews</w:t>
      </w:r>
      <w:bookmarkEnd w:id="191"/>
    </w:p>
    <w:p w14:paraId="045DB8E7" w14:textId="3509E1C1" w:rsidR="001358F5" w:rsidRPr="0085107A" w:rsidRDefault="001358F5" w:rsidP="00DD3C25">
      <w:pPr>
        <w:pStyle w:val="BodyText"/>
      </w:pPr>
      <w:r w:rsidRPr="0085107A">
        <w:t>Under Belgian law, children have the right to express their opinion in any matter concerning them. Judges are required to hear the child with respect to specific procedures (such as procedures before the Youth Tribunal). In any other proceedings related to a child, a child with sufficient maturity may be heard upon his/her request or upon the decision of a judge. If the child requests to be heard, such a request must be accepted, unless the crown prosecutor or the judge decides that the child does not have the necessary discernment. There is no age limit for a judge to hear a child in civil proceedings.</w:t>
      </w:r>
    </w:p>
    <w:p w14:paraId="68948FCA" w14:textId="572674A4" w:rsidR="001358F5" w:rsidRPr="0085107A" w:rsidRDefault="001358F5" w:rsidP="00DD3C25">
      <w:pPr>
        <w:pStyle w:val="BodyText"/>
      </w:pPr>
      <w:r w:rsidRPr="00EE7230">
        <w:t>In civil judicial proceedings, the child will be heard alone unless a judge decides that it is in the best interests of the child to be assisted.</w:t>
      </w:r>
      <w:r w:rsidRPr="0085107A">
        <w:t xml:space="preserve"> A judge (except for the youth judge) can decide that the interview should be carried out by someone else who he/she appoints. As a result, a </w:t>
      </w:r>
      <w:r w:rsidRPr="0085107A">
        <w:lastRenderedPageBreak/>
        <w:t xml:space="preserve">judge can assign the task of interviewing the child to a psychologist, social worker, doctor or even a police officer. </w:t>
      </w:r>
    </w:p>
    <w:p w14:paraId="618A2193" w14:textId="096893CA" w:rsidR="001358F5" w:rsidRPr="00DD3C25" w:rsidRDefault="001358F5" w:rsidP="00B93831">
      <w:pPr>
        <w:pStyle w:val="Heading3NoNumb"/>
        <w:ind w:firstLine="851"/>
      </w:pPr>
      <w:bookmarkStart w:id="192" w:name="_Toc409790544"/>
      <w:r w:rsidRPr="00DD3C25">
        <w:t>Right to be heard and participate in civil judicial proceedings</w:t>
      </w:r>
      <w:bookmarkEnd w:id="192"/>
    </w:p>
    <w:p w14:paraId="6684AE89" w14:textId="2247498C" w:rsidR="001358F5" w:rsidRPr="0085107A" w:rsidRDefault="001358F5" w:rsidP="00DD3C25">
      <w:pPr>
        <w:pStyle w:val="BodyText"/>
      </w:pPr>
      <w:r w:rsidRPr="0085107A">
        <w:t xml:space="preserve">The right of the child to be heard in all matters affecting him/her is guaranteed. In any proceedings related to the child, a child with sufficient discernment may be heard upon his/her request or the decision of a judge. If the child requests to be heard, such a request must be accepted, unless the crown prosecutor or the judge, in form of a reasoned decision, concludes that the child does not have the necessary maturity. In addition, the youth judge is required to hear a child who is at least 12 years old in cases related to disputes over parental authorities (e.g. disputes on the child’s property, access rights, guardianship). A youth judge may also decide to hear a child of under 12 years old. </w:t>
      </w:r>
    </w:p>
    <w:p w14:paraId="347471FC" w14:textId="23DD54FB" w:rsidR="001358F5" w:rsidRPr="0085107A" w:rsidRDefault="001358F5" w:rsidP="00DD3C25">
      <w:pPr>
        <w:pStyle w:val="BodyText"/>
      </w:pPr>
      <w:r w:rsidRPr="00EE7230">
        <w:t>Limitation periods to bring a claim depend on the nature of the claim. The general rules applicable to limitation periods also apply to children. For certain proceedings, specific limitation periods are provided to children. For example, a child of at least 12 years old until he/she turns 22 years old or within a year from discovering that one of his/her parents is not his/her parents, can file a claim for filiation recognition.</w:t>
      </w:r>
      <w:r w:rsidRPr="0085107A">
        <w:t xml:space="preserve"> </w:t>
      </w:r>
    </w:p>
    <w:p w14:paraId="73D1DEB7" w14:textId="7A551778" w:rsidR="001358F5" w:rsidRPr="0085107A" w:rsidRDefault="001358F5" w:rsidP="00DD3C25">
      <w:pPr>
        <w:pStyle w:val="BodyText"/>
      </w:pPr>
      <w:r w:rsidRPr="0085107A">
        <w:t>In certain proceedings, such as adoption and filiation cases, the child is provided with greater participation rights in the proceedings, as his/her consent is required at various stages of the proceedings. However, such participation does not grant them the status of party to the proceedings in their own right.</w:t>
      </w:r>
    </w:p>
    <w:p w14:paraId="78ABB66D" w14:textId="2D724E55" w:rsidR="001358F5" w:rsidRPr="00DD3C25" w:rsidRDefault="001358F5" w:rsidP="00B93831">
      <w:pPr>
        <w:pStyle w:val="Heading3NoNumb"/>
        <w:ind w:firstLine="851"/>
      </w:pPr>
      <w:bookmarkStart w:id="193" w:name="_Toc409790545"/>
      <w:r w:rsidRPr="00DD3C25">
        <w:t>Right to legal counsel, legal assistance and representation</w:t>
      </w:r>
      <w:bookmarkEnd w:id="193"/>
    </w:p>
    <w:p w14:paraId="6E826722" w14:textId="77777777" w:rsidR="001358F5" w:rsidRPr="0085107A" w:rsidRDefault="001358F5" w:rsidP="00DD3C25">
      <w:pPr>
        <w:pStyle w:val="BodyText"/>
      </w:pPr>
      <w:r w:rsidRPr="0085107A">
        <w:t xml:space="preserve">A child has the right to legal counsel and legal aid. However, a legal counsel is not automatically assigned for a child in civil proceedings. The child, or his/her legal representative, will need to request his/her assistance. There are two exceptions to this rule: 1) any party to the proceedings before the Youth Tribunal under 18 years of age who does not have a lawyer receives the assistance of a legal counsel, appointed </w:t>
      </w:r>
      <w:r w:rsidRPr="0085107A">
        <w:rPr>
          <w:i/>
        </w:rPr>
        <w:t>ex officio</w:t>
      </w:r>
      <w:r w:rsidRPr="0085107A">
        <w:t xml:space="preserve"> and 2) in case of emergency, the child or the judge can contact/appoint a legal counsel. The child who is provided with a legal counsel by the court or who obtains secondary legal aid can be assisted by a legal counsel free of charge. </w:t>
      </w:r>
    </w:p>
    <w:p w14:paraId="043CAA21" w14:textId="0F39BA75" w:rsidR="001358F5" w:rsidRPr="0085107A" w:rsidRDefault="001358F5" w:rsidP="00DD3C25">
      <w:pPr>
        <w:pStyle w:val="BodyText"/>
      </w:pPr>
      <w:r w:rsidRPr="0085107A">
        <w:t xml:space="preserve">Child plaintiffs and defendants lack procedural capacity to act and therefore are represented by their legal representatives in the civil judicial proceedings. </w:t>
      </w:r>
    </w:p>
    <w:p w14:paraId="023D3100" w14:textId="34B2CF08" w:rsidR="001358F5" w:rsidRPr="00DD3C25" w:rsidRDefault="001358F5" w:rsidP="00B93831">
      <w:pPr>
        <w:pStyle w:val="Heading3NoNumb"/>
        <w:ind w:firstLine="851"/>
      </w:pPr>
      <w:bookmarkStart w:id="194" w:name="_Toc409790546"/>
      <w:r w:rsidRPr="00DD3C25">
        <w:t>Alternatives to judicial proceedings</w:t>
      </w:r>
      <w:bookmarkEnd w:id="194"/>
    </w:p>
    <w:p w14:paraId="50E26A58" w14:textId="4ABD260B" w:rsidR="001358F5" w:rsidRPr="0085107A" w:rsidRDefault="001358F5" w:rsidP="00DD3C25">
      <w:pPr>
        <w:pStyle w:val="BodyText"/>
      </w:pPr>
      <w:r w:rsidRPr="0085107A">
        <w:t xml:space="preserve">There are three relevant alternative disputes resolution mechanisms available in Belgium, i.e. mediation, arbitration and conciliation. The use of alternative dispute resolutions does not prevent the parties from access to courts. </w:t>
      </w:r>
    </w:p>
    <w:p w14:paraId="14623559" w14:textId="5569606B" w:rsidR="001358F5" w:rsidRPr="0085107A" w:rsidRDefault="001358F5" w:rsidP="00DD3C25">
      <w:pPr>
        <w:pStyle w:val="BodyText"/>
      </w:pPr>
      <w:r w:rsidRPr="0085107A">
        <w:t>Mediation can be initiated for any disputes in civil commercial cases and in the area of labour law. It is particularly used in family law cases. Legislation applicable to mediation does not contain reference to the rights and obligations of children in other role aside from the ability of judges not to validate a mediation agreement that is contrary to the best interests of the child.</w:t>
      </w:r>
    </w:p>
    <w:p w14:paraId="5F8409BD" w14:textId="46A4BC57" w:rsidR="001358F5" w:rsidRPr="0085107A" w:rsidRDefault="001358F5" w:rsidP="00DD3C25">
      <w:pPr>
        <w:pStyle w:val="BodyText"/>
      </w:pPr>
      <w:r w:rsidRPr="0085107A">
        <w:t>Conciliation consultation between parties is required e.g. with respect to issues related to parental authority. The judge is required to first initiate a conciliation between the parties before carrying out the judicial proceedings. There are no legal requirements in place with regard to the participation of children in conciliation.</w:t>
      </w:r>
    </w:p>
    <w:p w14:paraId="6776819B" w14:textId="77777777" w:rsidR="001358F5" w:rsidRPr="0085107A" w:rsidRDefault="001358F5" w:rsidP="00DD3C25">
      <w:pPr>
        <w:pStyle w:val="BodyText"/>
      </w:pPr>
      <w:r w:rsidRPr="0085107A">
        <w:t>Arbitration agreement and contractual clause can be used for disputes over patrimonial matters (i.e. money). Children do not have the legal capacity to conclude agreement and therefore to be deferred before an arbitration tribunal as a party to the arbitration proceedings. There are no other legal safeguards in place with regard to children in arbitration.</w:t>
      </w:r>
    </w:p>
    <w:p w14:paraId="4857115E" w14:textId="77777777" w:rsidR="001358F5" w:rsidRPr="0085107A" w:rsidRDefault="001358F5" w:rsidP="00DD3C25">
      <w:pPr>
        <w:pStyle w:val="BodyText"/>
      </w:pPr>
    </w:p>
    <w:p w14:paraId="35C0CEB2" w14:textId="38DA3CC8" w:rsidR="001358F5" w:rsidRPr="00DD3C25" w:rsidRDefault="001358F5" w:rsidP="00B93831">
      <w:pPr>
        <w:pStyle w:val="Heading3NoNumb"/>
        <w:ind w:firstLine="851"/>
      </w:pPr>
      <w:bookmarkStart w:id="195" w:name="_Toc409790547"/>
      <w:r w:rsidRPr="00DD3C25">
        <w:lastRenderedPageBreak/>
        <w:t>Remedies and compensation for violation of rights and failure to act</w:t>
      </w:r>
      <w:bookmarkEnd w:id="195"/>
    </w:p>
    <w:p w14:paraId="143F3964" w14:textId="42C81EE4" w:rsidR="001358F5" w:rsidRPr="0085107A" w:rsidRDefault="001358F5" w:rsidP="00DD3C25">
      <w:pPr>
        <w:pStyle w:val="BodyText"/>
      </w:pPr>
      <w:r w:rsidRPr="0085107A">
        <w:t>Children plaintiffs/defendants, who do not have full procedural capacity to act, cannot file a legal challenge or appeal in their own right. This right is exercised by their legal representatives. Formally, the child’s legal representative is the party to the proceedings (not the child). In case of conflict between the child and his/her parents, the Civil Magistrate’s Court can appoint a guardian ad litem to represent the child.</w:t>
      </w:r>
    </w:p>
    <w:p w14:paraId="2DD83760" w14:textId="1255E5E0" w:rsidR="001358F5" w:rsidRPr="0085107A" w:rsidRDefault="001358F5" w:rsidP="00DD3C25">
      <w:pPr>
        <w:pStyle w:val="BodyText"/>
      </w:pPr>
      <w:r w:rsidRPr="0085107A">
        <w:t xml:space="preserve">The child or his/her legal representative (depending on the child’s legal capacity to act) can file a complaint on the grounds that his/her rights have been violated to the General Delegate for the rights of the child of the French Community or the Children Rights Commissioner of the Flemish Community. A child victim of discrimination can also file a complaint before the </w:t>
      </w:r>
      <w:r w:rsidRPr="00EF0256">
        <w:t>Interfederal Centre for Equal Opportunities</w:t>
      </w:r>
      <w:r w:rsidRPr="0085107A">
        <w:t>.</w:t>
      </w:r>
    </w:p>
    <w:p w14:paraId="24707A64" w14:textId="04607C13" w:rsidR="001358F5" w:rsidRPr="00DD3C25" w:rsidRDefault="001358F5" w:rsidP="00B93831">
      <w:pPr>
        <w:pStyle w:val="Heading3NoNumb"/>
        <w:ind w:firstLine="851"/>
      </w:pPr>
      <w:bookmarkStart w:id="196" w:name="_Toc409790548"/>
      <w:r w:rsidRPr="00DD3C25">
        <w:t>Legal costs</w:t>
      </w:r>
      <w:bookmarkEnd w:id="196"/>
    </w:p>
    <w:p w14:paraId="4002C610" w14:textId="04849323" w:rsidR="001358F5" w:rsidRPr="0085107A" w:rsidRDefault="001358F5" w:rsidP="00DD3C25">
      <w:pPr>
        <w:pStyle w:val="BodyText"/>
      </w:pPr>
      <w:r w:rsidRPr="0085107A">
        <w:t>When the child’s legal representative mandates a legal counsel for the representation of the child, the legal representative will need to cover the legal costs of the legal counsel and of the judicial proceedings, unless the legal representative qualifies for legal aid (i.e. low income).</w:t>
      </w:r>
    </w:p>
    <w:p w14:paraId="3CAFC278" w14:textId="6D0D5BF6" w:rsidR="001358F5" w:rsidRPr="0085107A" w:rsidRDefault="001358F5" w:rsidP="00DD3C25">
      <w:pPr>
        <w:pStyle w:val="BodyText"/>
      </w:pPr>
      <w:r w:rsidRPr="0085107A">
        <w:t>The court’s ruling may order the losing party to cover the costs of the judicial proceedings of the winning party. The exact amount is decided by the judge. The child’s legal representatives will pay the legal costs and not the child.</w:t>
      </w:r>
    </w:p>
    <w:p w14:paraId="2D0E9F2E" w14:textId="2E8BB8EE" w:rsidR="001358F5" w:rsidRPr="00DD3C25" w:rsidRDefault="001358F5" w:rsidP="00B93831">
      <w:pPr>
        <w:pStyle w:val="Heading3NoNumb"/>
        <w:ind w:firstLine="851"/>
      </w:pPr>
      <w:bookmarkStart w:id="197" w:name="_Toc409790549"/>
      <w:r w:rsidRPr="00DD3C25">
        <w:t>Enforcement of civil court judgements</w:t>
      </w:r>
      <w:bookmarkEnd w:id="197"/>
    </w:p>
    <w:p w14:paraId="2CCFEADA" w14:textId="4142613F" w:rsidR="001358F5" w:rsidRPr="0085107A" w:rsidRDefault="001358F5" w:rsidP="00DD3C25">
      <w:pPr>
        <w:pStyle w:val="BodyText"/>
      </w:pPr>
      <w:r w:rsidRPr="0085107A">
        <w:t xml:space="preserve">A judicial decision becomes enforceable after being notified to the parties and only if it contains an enforceability title. With the exception of specific court decisions, judicial decisions may be enforced immediately. An appeal however will suspend the enforcement. The crown prosecutor </w:t>
      </w:r>
      <w:r>
        <w:t>can</w:t>
      </w:r>
      <w:r w:rsidRPr="0085107A">
        <w:t xml:space="preserve"> enforce the </w:t>
      </w:r>
      <w:r>
        <w:t>judgement</w:t>
      </w:r>
      <w:r w:rsidRPr="0085107A">
        <w:t xml:space="preserve">s </w:t>
      </w:r>
      <w:r w:rsidRPr="0085107A">
        <w:rPr>
          <w:i/>
        </w:rPr>
        <w:t>ex officio</w:t>
      </w:r>
      <w:r w:rsidRPr="0085107A">
        <w:t xml:space="preserve"> if the decision is a matter of public order (such as parenting rights). Several measures are available to enforce the decision if the party does not comply voluntarily with the </w:t>
      </w:r>
      <w:r>
        <w:t>judgement</w:t>
      </w:r>
      <w:r w:rsidRPr="0085107A">
        <w:t xml:space="preserve"> (e.</w:t>
      </w:r>
      <w:r>
        <w:t>g.</w:t>
      </w:r>
      <w:r w:rsidRPr="0085107A">
        <w:t xml:space="preserve"> penalty payments). Physical coercion cannot be used against a child or a person who has a child under his/her care.</w:t>
      </w:r>
    </w:p>
    <w:p w14:paraId="002E2344" w14:textId="2A997F1C" w:rsidR="001358F5" w:rsidRPr="0085107A" w:rsidRDefault="001358F5" w:rsidP="00DD3C25">
      <w:pPr>
        <w:pStyle w:val="BodyText"/>
      </w:pPr>
      <w:r w:rsidRPr="0085107A">
        <w:t xml:space="preserve">Specific fast-track procedures have been established to enforce family law </w:t>
      </w:r>
      <w:r>
        <w:t>judgement</w:t>
      </w:r>
      <w:r w:rsidRPr="0085107A">
        <w:t xml:space="preserve">s related to the housing of the child, rights to personal relationships with the child (access rights) and the arrangements agreed in a divorce agreement. In case one of the parents refuses to enforce the </w:t>
      </w:r>
      <w:r>
        <w:t>judgement</w:t>
      </w:r>
      <w:r w:rsidRPr="0085107A">
        <w:t xml:space="preserve"> or agreement with respect to children, the other party can bring the case back before the competent court, in which case the case must be heard with priority. Non-compliance with access rights is considered a criminal offence. </w:t>
      </w:r>
    </w:p>
    <w:p w14:paraId="299AA1E5" w14:textId="383C2AEA" w:rsidR="001358F5" w:rsidRPr="00DD3C25" w:rsidRDefault="001358F5" w:rsidP="00B93831">
      <w:pPr>
        <w:pStyle w:val="Heading3NoNumb"/>
        <w:ind w:firstLine="851"/>
      </w:pPr>
      <w:bookmarkStart w:id="198" w:name="_Toc409790550"/>
      <w:r w:rsidRPr="00DD3C25">
        <w:t>Strengths and gaps</w:t>
      </w:r>
      <w:bookmarkEnd w:id="198"/>
    </w:p>
    <w:p w14:paraId="6AC10629" w14:textId="77473430" w:rsidR="001358F5" w:rsidRPr="0085107A" w:rsidRDefault="001358F5" w:rsidP="00DD3C25">
      <w:pPr>
        <w:pStyle w:val="BodyText"/>
      </w:pPr>
      <w:r w:rsidRPr="0085107A">
        <w:t xml:space="preserve">Overall, the Belgian legal framework guarantees safeguards to children involved in civil judicial proceedings. </w:t>
      </w:r>
      <w:r w:rsidRPr="00EE7230">
        <w:t>The right to be heard is guaranteed and children’s consent is required in several proceedings. The child has the right to legal assistance and legal aid. Several safeguards are in place to ensure the protection of the child, through the intervention of youth social service, the crown prosecutor’s office or the youth judge. While children lack legal capacity to act, case-law has allowed children to initiate proceedings in certain cases. A new Act has been adopted on the establishment of a new Youth and Family Tribunal, which will enter into force in September 2014. The new Act provides additional safeguards to children involved in civil judicial proceedings.</w:t>
      </w:r>
    </w:p>
    <w:p w14:paraId="0A164161" w14:textId="77777777" w:rsidR="001358F5" w:rsidRPr="0085107A" w:rsidRDefault="001358F5" w:rsidP="00DD3C25">
      <w:pPr>
        <w:pStyle w:val="BodyText"/>
      </w:pPr>
      <w:r w:rsidRPr="0085107A">
        <w:t xml:space="preserve">The safeguards guaranteed are however limited, mostly due to the fact that the child will not be </w:t>
      </w:r>
      <w:r>
        <w:t>a</w:t>
      </w:r>
      <w:r w:rsidRPr="0085107A">
        <w:t xml:space="preserve"> party to judicial proceedings and will always be represented by his/her legal representatives or guardian. As a result, the system relies on the child’s legal representatives’ actions.</w:t>
      </w:r>
    </w:p>
    <w:p w14:paraId="12D6E661" w14:textId="77777777" w:rsidR="001358F5" w:rsidRPr="0085107A" w:rsidRDefault="001358F5" w:rsidP="00DD3C25">
      <w:pPr>
        <w:pStyle w:val="BodyText"/>
      </w:pPr>
    </w:p>
    <w:p w14:paraId="59E90450" w14:textId="21C17F20" w:rsidR="001358F5" w:rsidRPr="001358F5" w:rsidRDefault="001358F5" w:rsidP="00B15277">
      <w:pPr>
        <w:pStyle w:val="BodyText"/>
      </w:pPr>
      <w:r w:rsidRPr="0085107A">
        <w:lastRenderedPageBreak/>
        <w:t>Moreover, the situation of children in civil judicial proceedings could be further improved by addressing some legal gaps</w:t>
      </w:r>
      <w:r>
        <w:t>, in particular to ensure</w:t>
      </w:r>
      <w:r w:rsidRPr="0085107A">
        <w:t xml:space="preserve"> </w:t>
      </w:r>
      <w:r>
        <w:t xml:space="preserve">a </w:t>
      </w:r>
      <w:r w:rsidRPr="0085107A">
        <w:t>child-friendly</w:t>
      </w:r>
      <w:r>
        <w:t xml:space="preserve"> environment and better communication with children</w:t>
      </w:r>
      <w:r w:rsidRPr="0085107A">
        <w:t xml:space="preserve">. </w:t>
      </w:r>
    </w:p>
    <w:p w14:paraId="4BD9AF13" w14:textId="77777777" w:rsidR="00374E53" w:rsidRDefault="00374E53" w:rsidP="001358F5">
      <w:pPr>
        <w:pStyle w:val="BodyText"/>
        <w:ind w:left="0"/>
      </w:pPr>
    </w:p>
    <w:p w14:paraId="791E3A93" w14:textId="77777777" w:rsidR="00404FE4" w:rsidRPr="00404FE4" w:rsidRDefault="00404FE4" w:rsidP="001358F5"/>
    <w:p w14:paraId="0ADE2245" w14:textId="02A2CE02" w:rsidR="001358F5" w:rsidRDefault="001358F5" w:rsidP="001358F5">
      <w:pPr>
        <w:pStyle w:val="AnnexHeading"/>
      </w:pPr>
      <w:bookmarkStart w:id="199" w:name="_Toc409790551"/>
      <w:r>
        <w:lastRenderedPageBreak/>
        <w:t>List of Legislation</w:t>
      </w:r>
      <w:bookmarkEnd w:id="199"/>
    </w:p>
    <w:p w14:paraId="31913B83" w14:textId="77777777" w:rsidR="001358F5" w:rsidRPr="0085107A" w:rsidRDefault="001358F5" w:rsidP="00B15277">
      <w:pPr>
        <w:pStyle w:val="BTBullet1"/>
        <w:rPr>
          <w:lang w:eastAsia="fr-FR"/>
        </w:rPr>
      </w:pPr>
      <w:r w:rsidRPr="0085107A">
        <w:rPr>
          <w:lang w:eastAsia="fr-FR"/>
        </w:rPr>
        <w:t>Constitution</w:t>
      </w:r>
    </w:p>
    <w:p w14:paraId="2BA4D1B4" w14:textId="77777777" w:rsidR="001358F5" w:rsidRPr="0085107A" w:rsidRDefault="001358F5" w:rsidP="00B15277">
      <w:pPr>
        <w:pStyle w:val="BTBullet1"/>
        <w:rPr>
          <w:lang w:eastAsia="fr-FR"/>
        </w:rPr>
      </w:pPr>
      <w:r w:rsidRPr="0085107A">
        <w:rPr>
          <w:lang w:eastAsia="fr-FR"/>
        </w:rPr>
        <w:t>Judicial Code</w:t>
      </w:r>
    </w:p>
    <w:p w14:paraId="6D0DBA4F" w14:textId="77777777" w:rsidR="001358F5" w:rsidRPr="0085107A" w:rsidRDefault="001358F5" w:rsidP="00B15277">
      <w:pPr>
        <w:pStyle w:val="BTBullet1"/>
        <w:rPr>
          <w:lang w:eastAsia="fr-FR"/>
        </w:rPr>
      </w:pPr>
      <w:r w:rsidRPr="0085107A">
        <w:rPr>
          <w:lang w:eastAsia="fr-FR"/>
        </w:rPr>
        <w:t>Civil Code</w:t>
      </w:r>
    </w:p>
    <w:p w14:paraId="42B15353" w14:textId="77777777" w:rsidR="001358F5" w:rsidRPr="0085107A" w:rsidRDefault="001358F5" w:rsidP="00B15277">
      <w:pPr>
        <w:pStyle w:val="BTBullet1"/>
        <w:rPr>
          <w:lang w:eastAsia="fr-FR"/>
        </w:rPr>
      </w:pPr>
      <w:r w:rsidRPr="0085107A">
        <w:rPr>
          <w:lang w:eastAsia="fr-FR"/>
        </w:rPr>
        <w:t>Criminal Code</w:t>
      </w:r>
    </w:p>
    <w:p w14:paraId="27D65CEA" w14:textId="77777777" w:rsidR="001358F5" w:rsidRPr="0085107A" w:rsidRDefault="001358F5" w:rsidP="00B15277">
      <w:pPr>
        <w:pStyle w:val="BTBullet1"/>
        <w:rPr>
          <w:lang w:eastAsia="fr-FR"/>
        </w:rPr>
      </w:pPr>
      <w:r w:rsidRPr="0085107A">
        <w:rPr>
          <w:lang w:eastAsia="fr-FR"/>
        </w:rPr>
        <w:t>Code of Criminal Procedure</w:t>
      </w:r>
    </w:p>
    <w:p w14:paraId="65B7349A" w14:textId="77777777" w:rsidR="001358F5" w:rsidRPr="0085107A" w:rsidRDefault="001358F5" w:rsidP="00B15277">
      <w:pPr>
        <w:pStyle w:val="BTBullet1"/>
        <w:rPr>
          <w:lang w:eastAsia="fr-FR"/>
        </w:rPr>
      </w:pPr>
      <w:r w:rsidRPr="0085107A">
        <w:rPr>
          <w:lang w:eastAsia="fr-FR"/>
        </w:rPr>
        <w:t>Act for 30 July 2013 for the creation of the Family and Youth Tribunal</w:t>
      </w:r>
    </w:p>
    <w:p w14:paraId="4069EF9B" w14:textId="77777777" w:rsidR="001358F5" w:rsidRPr="0085107A" w:rsidRDefault="001358F5" w:rsidP="00B15277">
      <w:pPr>
        <w:pStyle w:val="BTBullet1"/>
        <w:rPr>
          <w:lang w:eastAsia="fr-FR"/>
        </w:rPr>
      </w:pPr>
      <w:r w:rsidRPr="0085107A">
        <w:rPr>
          <w:lang w:eastAsia="fr-FR"/>
        </w:rPr>
        <w:t>Act of 15 May 2012 on temporary prohibition of residence in cases of domestic violence</w:t>
      </w:r>
    </w:p>
    <w:p w14:paraId="3B19EA38" w14:textId="77777777" w:rsidR="001358F5" w:rsidRPr="0085107A" w:rsidRDefault="001358F5" w:rsidP="00B15277">
      <w:pPr>
        <w:pStyle w:val="BTBullet1"/>
        <w:rPr>
          <w:lang w:eastAsia="fr-FR"/>
        </w:rPr>
      </w:pPr>
      <w:r w:rsidRPr="0085107A">
        <w:rPr>
          <w:lang w:eastAsia="fr-FR"/>
        </w:rPr>
        <w:t>Decree of the French Community of 12 December 2008 combatting certain forms of discrimination</w:t>
      </w:r>
    </w:p>
    <w:p w14:paraId="6C3B492C" w14:textId="77777777" w:rsidR="001358F5" w:rsidRPr="0085107A" w:rsidRDefault="001358F5" w:rsidP="00B15277">
      <w:pPr>
        <w:pStyle w:val="BTBullet1"/>
        <w:rPr>
          <w:lang w:eastAsia="fr-FR"/>
        </w:rPr>
      </w:pPr>
      <w:r w:rsidRPr="0085107A">
        <w:t>Decree of the Flemish Community of 7 March 2008 on special youth assistance</w:t>
      </w:r>
    </w:p>
    <w:p w14:paraId="39730D3A" w14:textId="77777777" w:rsidR="001358F5" w:rsidRPr="0085107A" w:rsidRDefault="001358F5" w:rsidP="00B15277">
      <w:pPr>
        <w:pStyle w:val="BTBullet1"/>
        <w:rPr>
          <w:lang w:eastAsia="fr-FR"/>
        </w:rPr>
      </w:pPr>
      <w:r w:rsidRPr="0085107A">
        <w:rPr>
          <w:lang w:eastAsia="fr-FR"/>
        </w:rPr>
        <w:t xml:space="preserve">Decree </w:t>
      </w:r>
      <w:r w:rsidRPr="0085107A">
        <w:t>of the Flemish Region</w:t>
      </w:r>
      <w:r w:rsidRPr="0085107A">
        <w:rPr>
          <w:lang w:eastAsia="fr-FR"/>
        </w:rPr>
        <w:t xml:space="preserve"> of 10 July 2008 on equal opportunities and treatment</w:t>
      </w:r>
    </w:p>
    <w:p w14:paraId="0DCF47CF" w14:textId="77777777" w:rsidR="001358F5" w:rsidRPr="0085107A" w:rsidRDefault="001358F5" w:rsidP="00B15277">
      <w:pPr>
        <w:pStyle w:val="BTBullet1"/>
        <w:rPr>
          <w:lang w:eastAsia="fr-FR"/>
        </w:rPr>
      </w:pPr>
      <w:r w:rsidRPr="0085107A">
        <w:rPr>
          <w:lang w:eastAsia="fr-FR"/>
        </w:rPr>
        <w:t>Royal Decree of 26 October 2007 establishing the proceedings fees mentioned in Article 1022 of the Judicial Code</w:t>
      </w:r>
    </w:p>
    <w:p w14:paraId="64028C97" w14:textId="77777777" w:rsidR="001358F5" w:rsidRPr="0085107A" w:rsidRDefault="001358F5" w:rsidP="00B15277">
      <w:pPr>
        <w:pStyle w:val="BTBullet1"/>
        <w:rPr>
          <w:lang w:eastAsia="fr-FR"/>
        </w:rPr>
      </w:pPr>
      <w:r w:rsidRPr="0085107A">
        <w:rPr>
          <w:lang w:eastAsia="fr-FR"/>
        </w:rPr>
        <w:t>Act of 10 May 2007 aiming at combatting certain forms of discrimination</w:t>
      </w:r>
    </w:p>
    <w:p w14:paraId="50D86621" w14:textId="77777777" w:rsidR="001358F5" w:rsidRPr="0085107A" w:rsidRDefault="001358F5" w:rsidP="00B15277">
      <w:pPr>
        <w:pStyle w:val="BTBullet1"/>
        <w:rPr>
          <w:lang w:eastAsia="fr-FR"/>
        </w:rPr>
      </w:pPr>
      <w:r w:rsidRPr="0085107A">
        <w:rPr>
          <w:lang w:eastAsia="fr-FR"/>
        </w:rPr>
        <w:t xml:space="preserve">Decree </w:t>
      </w:r>
      <w:r w:rsidRPr="0085107A">
        <w:t>of the Flemish Community</w:t>
      </w:r>
      <w:r w:rsidRPr="0085107A">
        <w:rPr>
          <w:lang w:eastAsia="fr-FR"/>
        </w:rPr>
        <w:t xml:space="preserve"> of 7 May 2004 on the minor status with regards to integrated youth welfare</w:t>
      </w:r>
    </w:p>
    <w:p w14:paraId="18D2E1B3" w14:textId="77777777" w:rsidR="001358F5" w:rsidRPr="0085107A" w:rsidRDefault="001358F5" w:rsidP="00B15277">
      <w:pPr>
        <w:pStyle w:val="BTBullet1"/>
        <w:rPr>
          <w:lang w:eastAsia="fr-FR"/>
        </w:rPr>
      </w:pPr>
      <w:r w:rsidRPr="0085107A">
        <w:rPr>
          <w:lang w:eastAsia="fr-FR"/>
        </w:rPr>
        <w:t>Law-Programme of 24 December 2002</w:t>
      </w:r>
    </w:p>
    <w:p w14:paraId="6D293E1B" w14:textId="77777777" w:rsidR="001358F5" w:rsidRPr="0085107A" w:rsidRDefault="001358F5" w:rsidP="00B15277">
      <w:pPr>
        <w:pStyle w:val="BTBullet1"/>
        <w:rPr>
          <w:lang w:eastAsia="fr-FR"/>
        </w:rPr>
      </w:pPr>
      <w:r w:rsidRPr="0085107A">
        <w:rPr>
          <w:lang w:eastAsia="fr-FR"/>
        </w:rPr>
        <w:t>Act of 17 February 1997 amending the Judicial Code with regard to the Registry and crown prosecutor’s offices</w:t>
      </w:r>
    </w:p>
    <w:p w14:paraId="624086D8" w14:textId="77777777" w:rsidR="001358F5" w:rsidRPr="0085107A" w:rsidRDefault="001358F5" w:rsidP="00B15277">
      <w:pPr>
        <w:pStyle w:val="BTBullet1"/>
        <w:rPr>
          <w:lang w:eastAsia="fr-FR"/>
        </w:rPr>
      </w:pPr>
      <w:r w:rsidRPr="0085107A">
        <w:rPr>
          <w:lang w:eastAsia="fr-FR"/>
        </w:rPr>
        <w:t>Act of 30 June 1994 on copyrights and related rights</w:t>
      </w:r>
    </w:p>
    <w:p w14:paraId="6082022E" w14:textId="77777777" w:rsidR="001358F5" w:rsidRPr="0085107A" w:rsidRDefault="001358F5" w:rsidP="00B15277">
      <w:pPr>
        <w:pStyle w:val="BTBullet1"/>
        <w:rPr>
          <w:lang w:eastAsia="fr-FR"/>
        </w:rPr>
      </w:pPr>
      <w:r w:rsidRPr="0085107A">
        <w:rPr>
          <w:lang w:eastAsia="fr-FR"/>
        </w:rPr>
        <w:t>Act of 8 December 1992 on the protection of private life regarding the treatment of personal data</w:t>
      </w:r>
    </w:p>
    <w:p w14:paraId="769A8642" w14:textId="77777777" w:rsidR="001358F5" w:rsidRPr="0085107A" w:rsidRDefault="001358F5" w:rsidP="00B15277">
      <w:pPr>
        <w:pStyle w:val="BTBullet1"/>
        <w:rPr>
          <w:lang w:eastAsia="fr-FR"/>
        </w:rPr>
      </w:pPr>
      <w:r w:rsidRPr="0085107A">
        <w:t xml:space="preserve">Decree of the French Community of 4 March 1991 on Youth Assistance </w:t>
      </w:r>
    </w:p>
    <w:p w14:paraId="211D933B" w14:textId="77777777" w:rsidR="001358F5" w:rsidRPr="0085107A" w:rsidRDefault="001358F5" w:rsidP="00B15277">
      <w:pPr>
        <w:pStyle w:val="BTBullet1"/>
        <w:rPr>
          <w:lang w:eastAsia="fr-FR"/>
        </w:rPr>
      </w:pPr>
      <w:r w:rsidRPr="0085107A">
        <w:rPr>
          <w:lang w:eastAsia="fr-FR"/>
        </w:rPr>
        <w:t>Act of 4 July 1985 on the capacity of the minor for certain operation with regard to saving</w:t>
      </w:r>
    </w:p>
    <w:p w14:paraId="06A5FEA7" w14:textId="77777777" w:rsidR="001358F5" w:rsidRPr="0085107A" w:rsidRDefault="001358F5" w:rsidP="00B15277">
      <w:pPr>
        <w:pStyle w:val="BTBullet1"/>
        <w:rPr>
          <w:lang w:eastAsia="fr-FR"/>
        </w:rPr>
      </w:pPr>
      <w:r w:rsidRPr="0085107A">
        <w:rPr>
          <w:lang w:eastAsia="fr-FR"/>
        </w:rPr>
        <w:t>Act of 3 July 1978 on employment contracts</w:t>
      </w:r>
    </w:p>
    <w:p w14:paraId="2926F355" w14:textId="77777777" w:rsidR="001358F5" w:rsidRPr="0085107A" w:rsidRDefault="001358F5" w:rsidP="00B15277">
      <w:pPr>
        <w:pStyle w:val="BTBullet1"/>
        <w:rPr>
          <w:lang w:eastAsia="fr-FR"/>
        </w:rPr>
      </w:pPr>
      <w:r w:rsidRPr="0085107A">
        <w:rPr>
          <w:lang w:eastAsia="fr-FR"/>
        </w:rPr>
        <w:t xml:space="preserve">Act of 8 April 1965 </w:t>
      </w:r>
      <w:r w:rsidRPr="0085107A">
        <w:t>relating to the protection of youth and the care of minor who committed acts qualified as crime</w:t>
      </w:r>
    </w:p>
    <w:p w14:paraId="09C5C1A7" w14:textId="77777777" w:rsidR="001358F5" w:rsidRPr="001358F5" w:rsidRDefault="001358F5" w:rsidP="001358F5"/>
    <w:sectPr w:rsidR="001358F5" w:rsidRPr="001358F5" w:rsidSect="00660C9C">
      <w:footerReference w:type="default" r:id="rId68"/>
      <w:pgSz w:w="11907" w:h="16840" w:code="9"/>
      <w:pgMar w:top="1848" w:right="1418" w:bottom="1021" w:left="1418" w:header="680" w:footer="56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DE6196" w14:textId="77777777" w:rsidR="0085750C" w:rsidRDefault="0085750C" w:rsidP="001E33FA">
      <w:pPr>
        <w:spacing w:after="0" w:line="240" w:lineRule="auto"/>
      </w:pPr>
      <w:r>
        <w:separator/>
      </w:r>
    </w:p>
  </w:endnote>
  <w:endnote w:type="continuationSeparator" w:id="0">
    <w:p w14:paraId="42F197CD" w14:textId="77777777" w:rsidR="0085750C" w:rsidRDefault="0085750C" w:rsidP="001E33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iberation Sans">
    <w:altName w:val="Arial Unicode MS"/>
    <w:charset w:val="80"/>
    <w:family w:val="swiss"/>
    <w:pitch w:val="variable"/>
    <w:sig w:usb0="00000001" w:usb1="08070000" w:usb2="00000010" w:usb3="00000000" w:csb0="00020000" w:csb1="00000000"/>
  </w:font>
  <w:font w:name="DejaVu Sans">
    <w:charset w:val="00"/>
    <w:family w:val="swiss"/>
    <w:pitch w:val="variable"/>
    <w:sig w:usb0="E7003EFF" w:usb1="D200FDFF" w:usb2="00042029" w:usb3="00000000" w:csb0="800001FF" w:csb1="00000000"/>
  </w:font>
  <w:font w:name="Lohit Hindi">
    <w:altName w:val="MS Mincho"/>
    <w:charset w:val="80"/>
    <w:family w:val="auto"/>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AAEB05" w14:textId="77777777" w:rsidR="0085750C" w:rsidRDefault="0085750C" w:rsidP="00D75C87">
    <w:pPr>
      <w:pStyle w:val="Footer"/>
      <w:tabs>
        <w:tab w:val="clear" w:pos="9072"/>
        <w:tab w:val="left" w:pos="249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8A773F" w14:textId="77777777" w:rsidR="0085750C" w:rsidRDefault="0085750C" w:rsidP="006D75C3">
    <w:pPr>
      <w:pStyle w:val="Header"/>
      <w:jc w:val="right"/>
    </w:pPr>
  </w:p>
  <w:p w14:paraId="730DAA4A" w14:textId="2048228A" w:rsidR="0085750C" w:rsidRPr="00943B80" w:rsidRDefault="0085750C" w:rsidP="006D75C3">
    <w:pPr>
      <w:pStyle w:val="Footer"/>
      <w:rPr>
        <w:sz w:val="16"/>
        <w:szCs w:val="16"/>
      </w:rPr>
    </w:pPr>
    <w:r w:rsidRPr="00943B80">
      <w:rPr>
        <w:sz w:val="16"/>
        <w:szCs w:val="16"/>
      </w:rPr>
      <w:t xml:space="preserve">This National Report has been prepared by </w:t>
    </w:r>
    <w:r w:rsidR="00B15277" w:rsidRPr="00121DE8">
      <w:rPr>
        <w:sz w:val="16"/>
        <w:szCs w:val="16"/>
      </w:rPr>
      <w:t>Nathalie Meurens</w:t>
    </w:r>
    <w:r w:rsidR="00B15277">
      <w:rPr>
        <w:sz w:val="16"/>
        <w:szCs w:val="16"/>
      </w:rPr>
      <w:t xml:space="preserve"> </w:t>
    </w:r>
    <w:r w:rsidRPr="00943B80">
      <w:rPr>
        <w:sz w:val="16"/>
        <w:szCs w:val="16"/>
      </w:rPr>
      <w:t xml:space="preserve">for Milieu Ltd in partnership with ICF under Contract No JUST/2011/CHIL/PR/0147/A4 with the European Commission, DG Justice. </w:t>
    </w:r>
  </w:p>
  <w:p w14:paraId="6E4AC334" w14:textId="77777777" w:rsidR="0085750C" w:rsidRPr="00943B80" w:rsidRDefault="0085750C" w:rsidP="006D75C3">
    <w:pPr>
      <w:pStyle w:val="Footer"/>
      <w:rPr>
        <w:sz w:val="16"/>
        <w:szCs w:val="16"/>
      </w:rPr>
    </w:pPr>
  </w:p>
  <w:p w14:paraId="452F9881" w14:textId="77777777" w:rsidR="0085750C" w:rsidRPr="00943B80" w:rsidRDefault="0085750C" w:rsidP="006D75C3">
    <w:pPr>
      <w:pStyle w:val="Footer"/>
      <w:rPr>
        <w:sz w:val="16"/>
        <w:szCs w:val="16"/>
      </w:rPr>
    </w:pPr>
    <w:r w:rsidRPr="00943B80">
      <w:rPr>
        <w:sz w:val="16"/>
        <w:szCs w:val="16"/>
      </w:rPr>
      <w:t>The information and views set out in this publication are those of the author(s) and do not necessarily reflect the official opinion of the European Union. Neither the European Union institutions and bodies nor any person acting on their behalf may be held responsible for the use which may be made of the information contained therein.</w:t>
    </w:r>
  </w:p>
  <w:p w14:paraId="4DFA5505" w14:textId="77777777" w:rsidR="0085750C" w:rsidRPr="00943B80" w:rsidRDefault="0085750C" w:rsidP="006D75C3">
    <w:pPr>
      <w:pStyle w:val="Footer"/>
      <w:rPr>
        <w:sz w:val="16"/>
        <w:szCs w:val="16"/>
      </w:rPr>
    </w:pPr>
  </w:p>
  <w:p w14:paraId="179C7796" w14:textId="77777777" w:rsidR="0085750C" w:rsidRPr="00943B80" w:rsidRDefault="0085750C" w:rsidP="006D75C3">
    <w:pPr>
      <w:pStyle w:val="Footer"/>
      <w:rPr>
        <w:sz w:val="16"/>
        <w:szCs w:val="16"/>
      </w:rPr>
    </w:pPr>
    <w:r w:rsidRPr="00943B80">
      <w:rPr>
        <w:sz w:val="16"/>
        <w:szCs w:val="16"/>
      </w:rPr>
      <w:t>Temporary copyright clause pending verification with regard to third party citations:</w:t>
    </w:r>
  </w:p>
  <w:p w14:paraId="68A47601" w14:textId="77777777" w:rsidR="0085750C" w:rsidRPr="006D75C3" w:rsidRDefault="0085750C" w:rsidP="006D75C3">
    <w:pPr>
      <w:rPr>
        <w:rFonts w:cs="Arial"/>
        <w:sz w:val="16"/>
        <w:szCs w:val="16"/>
      </w:rPr>
    </w:pPr>
    <w:r w:rsidRPr="00943B80">
      <w:rPr>
        <w:sz w:val="16"/>
        <w:szCs w:val="16"/>
      </w:rPr>
      <w:t>© European Union, 2014.  Reproduction is authorised provided the source is acknowledged.</w:t>
    </w:r>
    <w:r>
      <w:rPr>
        <w:sz w:val="16"/>
        <w:szCs w:val="16"/>
      </w:rPr>
      <w:t xml:space="preserve"> </w:t>
    </w:r>
    <w:r w:rsidRPr="008A3945">
      <w:rPr>
        <w:rFonts w:cs="Arial"/>
        <w:sz w:val="16"/>
        <w:szCs w:val="16"/>
      </w:rPr>
      <w:t>The reproduction of the third-party textual or artistic material included is prohibited.</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EC3CEB" w14:textId="77777777" w:rsidR="0085750C" w:rsidRDefault="0085750C">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0408888"/>
      <w:docPartObj>
        <w:docPartGallery w:val="Page Numbers (Bottom of Page)"/>
        <w:docPartUnique/>
      </w:docPartObj>
    </w:sdtPr>
    <w:sdtEndPr>
      <w:rPr>
        <w:noProof/>
      </w:rPr>
    </w:sdtEndPr>
    <w:sdtContent>
      <w:p w14:paraId="79C31ED5" w14:textId="77777777" w:rsidR="0085750C" w:rsidRDefault="0085750C">
        <w:pPr>
          <w:pStyle w:val="Footer"/>
          <w:jc w:val="right"/>
        </w:pPr>
        <w:r>
          <w:fldChar w:fldCharType="begin"/>
        </w:r>
        <w:r>
          <w:instrText xml:space="preserve"> PAGE   \* MERGEFORMAT </w:instrText>
        </w:r>
        <w:r>
          <w:fldChar w:fldCharType="separate"/>
        </w:r>
        <w:r w:rsidR="008B433C">
          <w:rPr>
            <w:noProof/>
          </w:rPr>
          <w:t>1</w:t>
        </w:r>
        <w:r>
          <w:rPr>
            <w:noProof/>
          </w:rPr>
          <w:fldChar w:fldCharType="end"/>
        </w:r>
      </w:p>
    </w:sdtContent>
  </w:sdt>
  <w:p w14:paraId="4D82C1B2" w14:textId="77777777" w:rsidR="0085750C" w:rsidRDefault="0085750C">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8665712"/>
      <w:docPartObj>
        <w:docPartGallery w:val="Page Numbers (Bottom of Page)"/>
        <w:docPartUnique/>
      </w:docPartObj>
    </w:sdtPr>
    <w:sdtEndPr>
      <w:rPr>
        <w:noProof/>
      </w:rPr>
    </w:sdtEndPr>
    <w:sdtContent>
      <w:p w14:paraId="0DF1E617" w14:textId="77777777" w:rsidR="0085750C" w:rsidRDefault="0085750C">
        <w:pPr>
          <w:pStyle w:val="Footer"/>
          <w:jc w:val="right"/>
        </w:pPr>
        <w:r>
          <w:fldChar w:fldCharType="begin"/>
        </w:r>
        <w:r>
          <w:instrText xml:space="preserve"> PAGE   \* MERGEFORMAT </w:instrText>
        </w:r>
        <w:r>
          <w:fldChar w:fldCharType="separate"/>
        </w:r>
        <w:r w:rsidR="008B433C">
          <w:rPr>
            <w:noProof/>
          </w:rPr>
          <w:t>2</w:t>
        </w:r>
        <w:r>
          <w:rPr>
            <w:noProof/>
          </w:rPr>
          <w:fldChar w:fldCharType="end"/>
        </w:r>
      </w:p>
    </w:sdtContent>
  </w:sdt>
  <w:p w14:paraId="1414AAEB" w14:textId="77777777" w:rsidR="0085750C" w:rsidRDefault="0085750C" w:rsidP="00660C9C">
    <w:pPr>
      <w:pStyle w:val="FooterLand"/>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C30345" w14:textId="77777777" w:rsidR="0085750C" w:rsidRDefault="00B93831">
    <w:pPr>
      <w:pStyle w:val="Footer"/>
    </w:pPr>
    <w:fldSimple w:instr=" DOCVARIABLE  FooterVersion  \* MERGEFORMAT ">
      <w:r w:rsidR="0085750C">
        <w:t xml:space="preserve"> </w:t>
      </w:r>
    </w:fldSimple>
    <w:r w:rsidR="0085750C">
      <w:tab/>
    </w:r>
    <w:r w:rsidR="0085750C">
      <w:fldChar w:fldCharType="begin"/>
    </w:r>
    <w:r w:rsidR="0085750C">
      <w:instrText xml:space="preserve"> PAGE   \* MERGEFORMAT </w:instrText>
    </w:r>
    <w:r w:rsidR="0085750C">
      <w:fldChar w:fldCharType="separate"/>
    </w:r>
    <w:r w:rsidR="008B433C">
      <w:rPr>
        <w:noProof/>
      </w:rPr>
      <w:t>42</w:t>
    </w:r>
    <w:r w:rsidR="0085750C">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7CD363" w14:textId="77777777" w:rsidR="0085750C" w:rsidRDefault="0085750C" w:rsidP="001E33FA">
      <w:pPr>
        <w:spacing w:after="0" w:line="240" w:lineRule="auto"/>
      </w:pPr>
      <w:r>
        <w:separator/>
      </w:r>
    </w:p>
  </w:footnote>
  <w:footnote w:type="continuationSeparator" w:id="0">
    <w:p w14:paraId="35C6FF02" w14:textId="77777777" w:rsidR="0085750C" w:rsidRDefault="0085750C" w:rsidP="001E33FA">
      <w:pPr>
        <w:spacing w:after="0" w:line="240" w:lineRule="auto"/>
      </w:pPr>
      <w:r>
        <w:continuationSeparator/>
      </w:r>
    </w:p>
  </w:footnote>
  <w:footnote w:id="1">
    <w:p w14:paraId="59E63AA0" w14:textId="77777777" w:rsidR="0085750C" w:rsidRPr="00854CB9" w:rsidRDefault="0085750C" w:rsidP="00172115">
      <w:pPr>
        <w:pStyle w:val="FootnoteText"/>
      </w:pPr>
      <w:r>
        <w:rPr>
          <w:rStyle w:val="FootnoteReference"/>
        </w:rPr>
        <w:footnoteRef/>
      </w:r>
      <w:r>
        <w:t xml:space="preserve"> </w:t>
      </w:r>
      <w:r w:rsidRPr="00854CB9">
        <w:t xml:space="preserve">This table provides an indicative summary of competent courts and relevant proceedings. However, please check </w:t>
      </w:r>
      <w:hyperlink w:anchor="Section2" w:history="1">
        <w:r w:rsidRPr="00854CB9">
          <w:rPr>
            <w:rStyle w:val="Hyperlink"/>
            <w:rFonts w:cs="Arial"/>
          </w:rPr>
          <w:t>Section 2</w:t>
        </w:r>
      </w:hyperlink>
      <w:r w:rsidRPr="00854CB9">
        <w:t xml:space="preserve"> for a complete overview of the competent courts or sections/divisions within the competent courts.</w:t>
      </w:r>
    </w:p>
  </w:footnote>
  <w:footnote w:id="2">
    <w:p w14:paraId="7063F775" w14:textId="77777777" w:rsidR="0085750C" w:rsidRPr="00710511" w:rsidRDefault="0085750C" w:rsidP="00172115">
      <w:pPr>
        <w:pStyle w:val="FootnoteText"/>
        <w:rPr>
          <w:lang w:val="en-US"/>
        </w:rPr>
      </w:pPr>
      <w:r>
        <w:rPr>
          <w:rStyle w:val="FootnoteReference"/>
        </w:rPr>
        <w:footnoteRef/>
      </w:r>
      <w:r>
        <w:t xml:space="preserve"> This study on Children’s involvement in judicial proceedings is composed of three contextual overviews i.e. contextual overview for criminal justice, contextual overview for civil justice, contextual overview for administrative justice. </w:t>
      </w:r>
      <w:r>
        <w:rPr>
          <w:lang w:val="en-US"/>
        </w:rPr>
        <w:t xml:space="preserve">The rules applying to judicial proceedings in the sectors of asylum, migration, education, health, placement into care, administrative sanction and offences committed by children below MACR are described in the </w:t>
      </w:r>
      <w:r>
        <w:t xml:space="preserve">contextual </w:t>
      </w:r>
      <w:r w:rsidRPr="00710511">
        <w:t xml:space="preserve">overview for </w:t>
      </w:r>
      <w:r>
        <w:t xml:space="preserve">administrative </w:t>
      </w:r>
      <w:r w:rsidRPr="00710511">
        <w:t>justice</w:t>
      </w:r>
      <w:r>
        <w:rPr>
          <w:lang w:val="en-US"/>
        </w:rPr>
        <w:t>.</w:t>
      </w:r>
    </w:p>
  </w:footnote>
  <w:footnote w:id="3">
    <w:p w14:paraId="46192416" w14:textId="77777777" w:rsidR="0085750C" w:rsidRPr="00AA0209" w:rsidRDefault="0085750C" w:rsidP="00172115">
      <w:pPr>
        <w:pStyle w:val="FootnoteText"/>
      </w:pPr>
      <w:r w:rsidRPr="00224AFC">
        <w:rPr>
          <w:rStyle w:val="FootnoteReference"/>
        </w:rPr>
        <w:footnoteRef/>
      </w:r>
      <w:r w:rsidRPr="00224AFC">
        <w:t>(</w:t>
      </w:r>
      <w:r w:rsidRPr="004D6770">
        <w:t xml:space="preserve">MACR) Minimum Age of Criminal Responsibility – see </w:t>
      </w:r>
      <w:hyperlink r:id="rId1" w:history="1">
        <w:r w:rsidRPr="00854CB9">
          <w:rPr>
            <w:rStyle w:val="Hyperlink"/>
            <w:rFonts w:cs="Arial"/>
          </w:rPr>
          <w:t>Table 3.1 of the EU Summary of contextual overviews on children's involvement in criminal judicial proceedings</w:t>
        </w:r>
      </w:hyperlink>
      <w:r w:rsidRPr="004D6770">
        <w:t xml:space="preserve"> on MACR in EU28 as at 1</w:t>
      </w:r>
      <w:r>
        <w:rPr>
          <w:lang w:val="en-US"/>
        </w:rPr>
        <w:t xml:space="preserve"> June </w:t>
      </w:r>
      <w:r w:rsidRPr="004D6770">
        <w:t>2012</w:t>
      </w:r>
      <w:r>
        <w:t xml:space="preserve">. </w:t>
      </w:r>
    </w:p>
  </w:footnote>
  <w:footnote w:id="4">
    <w:p w14:paraId="4D8A3F13" w14:textId="77777777" w:rsidR="0085750C" w:rsidRPr="00215765" w:rsidRDefault="0085750C" w:rsidP="00172115">
      <w:pPr>
        <w:pStyle w:val="FootnoteText"/>
        <w:jc w:val="both"/>
        <w:rPr>
          <w:sz w:val="16"/>
          <w:szCs w:val="16"/>
        </w:rPr>
      </w:pPr>
      <w:r w:rsidRPr="00215765">
        <w:rPr>
          <w:rStyle w:val="FootnoteReference"/>
          <w:rFonts w:cs="Arial"/>
          <w:sz w:val="16"/>
          <w:szCs w:val="16"/>
        </w:rPr>
        <w:footnoteRef/>
      </w:r>
      <w:r w:rsidRPr="00215765">
        <w:rPr>
          <w:sz w:val="16"/>
          <w:szCs w:val="16"/>
        </w:rPr>
        <w:t xml:space="preserve"> Legislation is available in </w:t>
      </w:r>
      <w:hyperlink r:id="rId2" w:history="1">
        <w:r w:rsidRPr="00215765">
          <w:rPr>
            <w:rStyle w:val="Hyperlink"/>
            <w:rFonts w:cs="Arial"/>
            <w:sz w:val="16"/>
            <w:szCs w:val="16"/>
          </w:rPr>
          <w:t>Dutch</w:t>
        </w:r>
      </w:hyperlink>
      <w:r w:rsidRPr="00215765">
        <w:rPr>
          <w:sz w:val="16"/>
          <w:szCs w:val="16"/>
        </w:rPr>
        <w:t xml:space="preserve"> and </w:t>
      </w:r>
      <w:hyperlink r:id="rId3" w:history="1">
        <w:r w:rsidRPr="00215765">
          <w:rPr>
            <w:rStyle w:val="Hyperlink"/>
            <w:rFonts w:cs="Arial"/>
            <w:sz w:val="16"/>
            <w:szCs w:val="16"/>
          </w:rPr>
          <w:t>French</w:t>
        </w:r>
      </w:hyperlink>
      <w:r w:rsidRPr="00215765">
        <w:rPr>
          <w:sz w:val="16"/>
          <w:szCs w:val="16"/>
        </w:rPr>
        <w:t xml:space="preserve"> via the ejustice search engine.</w:t>
      </w:r>
    </w:p>
  </w:footnote>
  <w:footnote w:id="5">
    <w:p w14:paraId="4BA2A8FF" w14:textId="77777777" w:rsidR="0085750C" w:rsidRPr="00215765" w:rsidRDefault="0085750C" w:rsidP="00356674">
      <w:pPr>
        <w:pStyle w:val="FootnoteText"/>
        <w:jc w:val="both"/>
        <w:rPr>
          <w:sz w:val="16"/>
          <w:szCs w:val="16"/>
        </w:rPr>
      </w:pPr>
      <w:r w:rsidRPr="00215765">
        <w:rPr>
          <w:rStyle w:val="FootnoteReference"/>
          <w:rFonts w:cs="Arial"/>
          <w:sz w:val="16"/>
          <w:szCs w:val="16"/>
        </w:rPr>
        <w:footnoteRef/>
      </w:r>
      <w:r w:rsidRPr="00215765">
        <w:rPr>
          <w:sz w:val="16"/>
          <w:szCs w:val="16"/>
        </w:rPr>
        <w:t xml:space="preserve"> </w:t>
      </w:r>
      <w:r w:rsidRPr="00215765">
        <w:rPr>
          <w:rStyle w:val="Hyperlink"/>
          <w:rFonts w:cs="Arial"/>
          <w:sz w:val="16"/>
          <w:szCs w:val="16"/>
        </w:rPr>
        <w:t xml:space="preserve">New </w:t>
      </w:r>
      <w:hyperlink r:id="rId4" w:history="1">
        <w:r w:rsidRPr="00215765">
          <w:rPr>
            <w:rStyle w:val="Hyperlink"/>
            <w:rFonts w:cs="Arial"/>
            <w:sz w:val="16"/>
            <w:szCs w:val="16"/>
          </w:rPr>
          <w:t>Act of 30 July 2013</w:t>
        </w:r>
      </w:hyperlink>
      <w:r w:rsidRPr="00215765">
        <w:rPr>
          <w:sz w:val="16"/>
          <w:szCs w:val="16"/>
          <w:u w:val="single"/>
        </w:rPr>
        <w:t xml:space="preserve"> </w:t>
      </w:r>
      <w:r w:rsidRPr="00215765">
        <w:rPr>
          <w:sz w:val="16"/>
          <w:szCs w:val="16"/>
        </w:rPr>
        <w:t xml:space="preserve">for the creation of a Family and Youth Tribunal, which will enter into force on 1 September 2014; see also the bill from the </w:t>
      </w:r>
      <w:hyperlink r:id="rId5" w:history="1">
        <w:r w:rsidRPr="00215765">
          <w:rPr>
            <w:rStyle w:val="Hyperlink"/>
            <w:rFonts w:cs="Arial"/>
            <w:sz w:val="16"/>
            <w:szCs w:val="16"/>
          </w:rPr>
          <w:t>House of Representative proposed Act 0682/019 on the creation of a Family and Youth Tribunal</w:t>
        </w:r>
      </w:hyperlink>
      <w:r w:rsidRPr="00215765">
        <w:rPr>
          <w:sz w:val="16"/>
          <w:szCs w:val="16"/>
        </w:rPr>
        <w:t xml:space="preserve">, version of 21 June 2013. </w:t>
      </w:r>
    </w:p>
  </w:footnote>
  <w:footnote w:id="6">
    <w:p w14:paraId="3A3A2A76" w14:textId="77777777" w:rsidR="0085750C" w:rsidRPr="00215765" w:rsidRDefault="0085750C" w:rsidP="00356674">
      <w:pPr>
        <w:pStyle w:val="FootnoteText"/>
        <w:jc w:val="both"/>
        <w:rPr>
          <w:sz w:val="16"/>
          <w:szCs w:val="16"/>
        </w:rPr>
      </w:pPr>
      <w:r w:rsidRPr="00215765">
        <w:rPr>
          <w:rStyle w:val="FootnoteReference"/>
          <w:rFonts w:cs="Arial"/>
          <w:sz w:val="16"/>
          <w:szCs w:val="16"/>
        </w:rPr>
        <w:footnoteRef/>
      </w:r>
      <w:r w:rsidRPr="00215765">
        <w:rPr>
          <w:sz w:val="16"/>
          <w:szCs w:val="16"/>
        </w:rPr>
        <w:t xml:space="preserve"> More information available at </w:t>
      </w:r>
      <w:hyperlink r:id="rId6" w:history="1">
        <w:r w:rsidRPr="00215765">
          <w:rPr>
            <w:rStyle w:val="Hyperlink"/>
            <w:rFonts w:cs="Arial"/>
            <w:sz w:val="16"/>
            <w:szCs w:val="16"/>
          </w:rPr>
          <w:t>the website of Victim Support</w:t>
        </w:r>
      </w:hyperlink>
      <w:r w:rsidRPr="00215765">
        <w:rPr>
          <w:sz w:val="16"/>
          <w:szCs w:val="16"/>
        </w:rPr>
        <w:t>.</w:t>
      </w:r>
    </w:p>
  </w:footnote>
  <w:footnote w:id="7">
    <w:p w14:paraId="647BB2F4" w14:textId="77777777" w:rsidR="0085750C" w:rsidRPr="00215765" w:rsidRDefault="0085750C" w:rsidP="00356674">
      <w:pPr>
        <w:pStyle w:val="FootnoteText"/>
        <w:jc w:val="both"/>
        <w:rPr>
          <w:sz w:val="16"/>
          <w:szCs w:val="16"/>
        </w:rPr>
      </w:pPr>
      <w:r w:rsidRPr="00215765">
        <w:rPr>
          <w:rStyle w:val="FootnoteReference"/>
          <w:rFonts w:cs="Arial"/>
          <w:sz w:val="16"/>
          <w:szCs w:val="16"/>
        </w:rPr>
        <w:footnoteRef/>
      </w:r>
      <w:r w:rsidRPr="00215765">
        <w:rPr>
          <w:sz w:val="16"/>
          <w:szCs w:val="16"/>
        </w:rPr>
        <w:t xml:space="preserve"> </w:t>
      </w:r>
      <w:hyperlink r:id="rId7" w:history="1">
        <w:r w:rsidRPr="00215765">
          <w:rPr>
            <w:rStyle w:val="Hyperlink"/>
            <w:rFonts w:cs="Arial"/>
            <w:sz w:val="16"/>
            <w:szCs w:val="16"/>
          </w:rPr>
          <w:t>Houses of Justice – Civil Social Inquiry</w:t>
        </w:r>
      </w:hyperlink>
      <w:r w:rsidRPr="00215765">
        <w:rPr>
          <w:sz w:val="16"/>
          <w:szCs w:val="16"/>
        </w:rPr>
        <w:t xml:space="preserve"> booklet.</w:t>
      </w:r>
    </w:p>
  </w:footnote>
  <w:footnote w:id="8">
    <w:p w14:paraId="1A02358B" w14:textId="77777777" w:rsidR="0085750C" w:rsidRPr="00215765" w:rsidRDefault="0085750C" w:rsidP="00A9657B">
      <w:pPr>
        <w:pStyle w:val="FootnoteText"/>
        <w:jc w:val="both"/>
        <w:rPr>
          <w:sz w:val="16"/>
          <w:szCs w:val="16"/>
        </w:rPr>
      </w:pPr>
      <w:r w:rsidRPr="00215765">
        <w:rPr>
          <w:rStyle w:val="FootnoteReference"/>
          <w:rFonts w:cs="Arial"/>
          <w:sz w:val="16"/>
          <w:szCs w:val="16"/>
        </w:rPr>
        <w:footnoteRef/>
      </w:r>
      <w:r w:rsidRPr="00215765">
        <w:rPr>
          <w:sz w:val="16"/>
          <w:szCs w:val="16"/>
        </w:rPr>
        <w:t xml:space="preserve"> </w:t>
      </w:r>
      <w:hyperlink r:id="rId8" w:history="1">
        <w:r w:rsidRPr="00215765">
          <w:rPr>
            <w:rStyle w:val="Hyperlink"/>
            <w:rFonts w:cs="Arial"/>
            <w:sz w:val="16"/>
            <w:szCs w:val="16"/>
          </w:rPr>
          <w:t>French Community Decree of 4 March 1991 on Youth Assistance</w:t>
        </w:r>
      </w:hyperlink>
      <w:r w:rsidRPr="00215765">
        <w:rPr>
          <w:sz w:val="16"/>
          <w:szCs w:val="16"/>
        </w:rPr>
        <w:t xml:space="preserve">, </w:t>
      </w:r>
      <w:hyperlink r:id="rId9" w:history="1">
        <w:r w:rsidRPr="00215765">
          <w:rPr>
            <w:rStyle w:val="Hyperlink"/>
            <w:rFonts w:cs="Arial"/>
            <w:sz w:val="16"/>
            <w:szCs w:val="16"/>
          </w:rPr>
          <w:t>Flemish Decree of 7 May 2004 on the minor status with regards to integrated youth welfare</w:t>
        </w:r>
      </w:hyperlink>
      <w:r w:rsidRPr="00215765">
        <w:rPr>
          <w:sz w:val="16"/>
          <w:szCs w:val="16"/>
        </w:rPr>
        <w:t xml:space="preserve"> and </w:t>
      </w:r>
      <w:hyperlink r:id="rId10" w:history="1">
        <w:r w:rsidRPr="00215765">
          <w:rPr>
            <w:rStyle w:val="Hyperlink"/>
            <w:rFonts w:cs="Arial"/>
            <w:sz w:val="16"/>
            <w:szCs w:val="16"/>
          </w:rPr>
          <w:t>Decree of the Flemish Community of 7 March 2008 on special youth assistance</w:t>
        </w:r>
      </w:hyperlink>
      <w:r>
        <w:rPr>
          <w:sz w:val="16"/>
          <w:szCs w:val="16"/>
        </w:rPr>
        <w:t xml:space="preserve"> (as of 2014 Decree of the Flemish Community of </w:t>
      </w:r>
      <w:r w:rsidRPr="00B222A0">
        <w:rPr>
          <w:sz w:val="16"/>
          <w:szCs w:val="16"/>
        </w:rPr>
        <w:t>12 July 2013 on integrated youth welfare</w:t>
      </w:r>
      <w:r>
        <w:rPr>
          <w:sz w:val="16"/>
          <w:szCs w:val="16"/>
        </w:rPr>
        <w:t xml:space="preserve">). </w:t>
      </w:r>
    </w:p>
  </w:footnote>
  <w:footnote w:id="9">
    <w:p w14:paraId="61CCDF00" w14:textId="77777777" w:rsidR="0085750C" w:rsidRPr="00215765" w:rsidRDefault="0085750C" w:rsidP="00A9657B">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 8 of the </w:t>
      </w:r>
      <w:hyperlink r:id="rId11" w:history="1">
        <w:r w:rsidRPr="00215765">
          <w:rPr>
            <w:rStyle w:val="Hyperlink"/>
            <w:rFonts w:cs="Arial"/>
            <w:sz w:val="16"/>
            <w:szCs w:val="16"/>
          </w:rPr>
          <w:t>Youth Protection Act</w:t>
        </w:r>
      </w:hyperlink>
      <w:r w:rsidRPr="00215765">
        <w:rPr>
          <w:sz w:val="16"/>
          <w:szCs w:val="16"/>
        </w:rPr>
        <w:t>.</w:t>
      </w:r>
    </w:p>
  </w:footnote>
  <w:footnote w:id="10">
    <w:p w14:paraId="0B93E41C" w14:textId="77777777" w:rsidR="0085750C" w:rsidRPr="00215765" w:rsidRDefault="0085750C" w:rsidP="00A9657B">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 346.2 of the </w:t>
      </w:r>
      <w:hyperlink r:id="rId12" w:history="1">
        <w:r w:rsidRPr="00215765">
          <w:rPr>
            <w:rStyle w:val="Hyperlink"/>
            <w:rFonts w:cs="Arial"/>
            <w:sz w:val="16"/>
            <w:szCs w:val="16"/>
          </w:rPr>
          <w:t>Civil Code</w:t>
        </w:r>
      </w:hyperlink>
      <w:r w:rsidRPr="00215765">
        <w:rPr>
          <w:sz w:val="16"/>
          <w:szCs w:val="16"/>
        </w:rPr>
        <w:t>.</w:t>
      </w:r>
    </w:p>
  </w:footnote>
  <w:footnote w:id="11">
    <w:p w14:paraId="43A2C93C" w14:textId="77777777" w:rsidR="0085750C" w:rsidRPr="00215765" w:rsidRDefault="0085750C" w:rsidP="00A9657B">
      <w:pPr>
        <w:pStyle w:val="FootnoteText"/>
        <w:jc w:val="both"/>
        <w:rPr>
          <w:sz w:val="16"/>
          <w:szCs w:val="16"/>
        </w:rPr>
      </w:pPr>
      <w:r w:rsidRPr="00215765">
        <w:rPr>
          <w:rStyle w:val="FootnoteReference"/>
          <w:rFonts w:cs="Arial"/>
          <w:sz w:val="16"/>
          <w:szCs w:val="16"/>
        </w:rPr>
        <w:footnoteRef/>
      </w:r>
      <w:r w:rsidRPr="00215765">
        <w:rPr>
          <w:sz w:val="16"/>
          <w:szCs w:val="16"/>
        </w:rPr>
        <w:t xml:space="preserve"> Title IX, Book I </w:t>
      </w:r>
      <w:r>
        <w:rPr>
          <w:sz w:val="16"/>
          <w:szCs w:val="16"/>
        </w:rPr>
        <w:t xml:space="preserve">and </w:t>
      </w:r>
      <w:r w:rsidRPr="00215765">
        <w:rPr>
          <w:sz w:val="16"/>
          <w:szCs w:val="16"/>
        </w:rPr>
        <w:t xml:space="preserve">Article 591 of the </w:t>
      </w:r>
      <w:hyperlink r:id="rId13" w:history="1">
        <w:r w:rsidRPr="00215765">
          <w:rPr>
            <w:rStyle w:val="Hyperlink"/>
            <w:rFonts w:cs="Arial"/>
            <w:sz w:val="16"/>
            <w:szCs w:val="16"/>
          </w:rPr>
          <w:t>Civil Code</w:t>
        </w:r>
      </w:hyperlink>
      <w:r w:rsidRPr="00215765">
        <w:rPr>
          <w:sz w:val="16"/>
          <w:szCs w:val="16"/>
        </w:rPr>
        <w:t>.</w:t>
      </w:r>
    </w:p>
  </w:footnote>
  <w:footnote w:id="12">
    <w:p w14:paraId="570ECC13" w14:textId="77777777" w:rsidR="0085750C" w:rsidRPr="00215765" w:rsidRDefault="0085750C" w:rsidP="00A9657B">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 387bis of the </w:t>
      </w:r>
      <w:hyperlink r:id="rId14" w:history="1">
        <w:r w:rsidRPr="00215765">
          <w:rPr>
            <w:rStyle w:val="Hyperlink"/>
            <w:rFonts w:cs="Arial"/>
            <w:sz w:val="16"/>
            <w:szCs w:val="16"/>
          </w:rPr>
          <w:t>Civil Code</w:t>
        </w:r>
      </w:hyperlink>
      <w:r w:rsidRPr="00215765">
        <w:rPr>
          <w:sz w:val="16"/>
          <w:szCs w:val="16"/>
        </w:rPr>
        <w:t>.</w:t>
      </w:r>
    </w:p>
  </w:footnote>
  <w:footnote w:id="13">
    <w:p w14:paraId="6DB7E777" w14:textId="77777777" w:rsidR="0085750C" w:rsidRPr="00215765" w:rsidRDefault="0085750C" w:rsidP="00A9657B">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 4 of the </w:t>
      </w:r>
      <w:hyperlink r:id="rId15" w:history="1">
        <w:r w:rsidRPr="00215765">
          <w:rPr>
            <w:rStyle w:val="Hyperlink"/>
            <w:rFonts w:cs="Arial"/>
            <w:sz w:val="16"/>
            <w:szCs w:val="16"/>
          </w:rPr>
          <w:t>Code of Criminal Procedure</w:t>
        </w:r>
      </w:hyperlink>
      <w:r w:rsidRPr="00215765">
        <w:rPr>
          <w:sz w:val="16"/>
          <w:szCs w:val="16"/>
        </w:rPr>
        <w:t>.</w:t>
      </w:r>
    </w:p>
  </w:footnote>
  <w:footnote w:id="14">
    <w:p w14:paraId="4337B605" w14:textId="77777777" w:rsidR="0085750C" w:rsidRPr="00215765" w:rsidRDefault="0085750C" w:rsidP="00A9657B">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Articles 645 and 646 of the </w:t>
      </w:r>
      <w:hyperlink r:id="rId16" w:history="1">
        <w:r w:rsidRPr="00215765">
          <w:rPr>
            <w:rStyle w:val="Hyperlink"/>
            <w:rFonts w:cs="Arial"/>
            <w:sz w:val="16"/>
            <w:szCs w:val="16"/>
          </w:rPr>
          <w:t>Judicial Code</w:t>
        </w:r>
      </w:hyperlink>
      <w:r w:rsidRPr="00215765">
        <w:rPr>
          <w:sz w:val="16"/>
          <w:szCs w:val="16"/>
        </w:rPr>
        <w:t>.</w:t>
      </w:r>
    </w:p>
  </w:footnote>
  <w:footnote w:id="15">
    <w:p w14:paraId="4B4EA5F9" w14:textId="77777777" w:rsidR="0085750C" w:rsidRPr="00215765" w:rsidRDefault="0085750C" w:rsidP="00A9657B">
      <w:pPr>
        <w:pStyle w:val="FootnoteText"/>
        <w:jc w:val="both"/>
        <w:rPr>
          <w:sz w:val="16"/>
          <w:szCs w:val="16"/>
        </w:rPr>
      </w:pPr>
      <w:r w:rsidRPr="00215765">
        <w:rPr>
          <w:rStyle w:val="FootnoteReference"/>
          <w:rFonts w:cs="Arial"/>
          <w:sz w:val="16"/>
          <w:szCs w:val="16"/>
        </w:rPr>
        <w:footnoteRef/>
      </w:r>
      <w:r w:rsidRPr="00215765">
        <w:rPr>
          <w:sz w:val="16"/>
          <w:szCs w:val="16"/>
        </w:rPr>
        <w:t xml:space="preserve"> </w:t>
      </w:r>
      <w:hyperlink r:id="rId17" w:history="1">
        <w:r>
          <w:rPr>
            <w:rStyle w:val="Hyperlink"/>
            <w:rFonts w:cs="Arial"/>
            <w:sz w:val="16"/>
            <w:szCs w:val="16"/>
          </w:rPr>
          <w:t>Guidelines of the Superior Council of Justice for the training of judges and judicial trainees</w:t>
        </w:r>
      </w:hyperlink>
      <w:r>
        <w:rPr>
          <w:sz w:val="16"/>
          <w:szCs w:val="16"/>
        </w:rPr>
        <w:t xml:space="preserve"> </w:t>
      </w:r>
      <w:r w:rsidRPr="00215765">
        <w:rPr>
          <w:sz w:val="16"/>
          <w:szCs w:val="16"/>
        </w:rPr>
        <w:t>(ratified by the General Assembly of 30 May 2012). CRC Committee noted that Belgium was correctly implementing the CRC on this aspect. See Summary record of the 1521</w:t>
      </w:r>
      <w:r w:rsidRPr="00215765">
        <w:rPr>
          <w:sz w:val="16"/>
          <w:szCs w:val="16"/>
          <w:vertAlign w:val="superscript"/>
        </w:rPr>
        <w:t>st</w:t>
      </w:r>
      <w:r w:rsidRPr="00215765">
        <w:rPr>
          <w:sz w:val="16"/>
          <w:szCs w:val="16"/>
        </w:rPr>
        <w:t xml:space="preserve"> meeting </w:t>
      </w:r>
      <w:hyperlink r:id="rId18" w:history="1">
        <w:r w:rsidRPr="00215765">
          <w:rPr>
            <w:rStyle w:val="Hyperlink"/>
            <w:rFonts w:cs="Arial"/>
            <w:sz w:val="16"/>
            <w:szCs w:val="16"/>
          </w:rPr>
          <w:t>(CRC/C/SR.1521)</w:t>
        </w:r>
      </w:hyperlink>
      <w:r w:rsidRPr="00215765">
        <w:rPr>
          <w:sz w:val="16"/>
          <w:szCs w:val="16"/>
        </w:rPr>
        <w:t>, 10 June 2010, p.9.</w:t>
      </w:r>
    </w:p>
  </w:footnote>
  <w:footnote w:id="16">
    <w:p w14:paraId="2342183A" w14:textId="77777777" w:rsidR="0085750C" w:rsidRPr="00215765" w:rsidRDefault="0085750C" w:rsidP="00A9657B">
      <w:pPr>
        <w:pStyle w:val="FootnoteText"/>
        <w:jc w:val="both"/>
        <w:rPr>
          <w:sz w:val="16"/>
          <w:szCs w:val="16"/>
        </w:rPr>
      </w:pPr>
      <w:r w:rsidRPr="00215765">
        <w:rPr>
          <w:rStyle w:val="FootnoteReference"/>
          <w:rFonts w:cs="Arial"/>
          <w:sz w:val="16"/>
          <w:szCs w:val="16"/>
        </w:rPr>
        <w:footnoteRef/>
      </w:r>
      <w:r w:rsidRPr="00215765">
        <w:rPr>
          <w:sz w:val="16"/>
          <w:szCs w:val="16"/>
        </w:rPr>
        <w:t xml:space="preserve"> </w:t>
      </w:r>
      <w:hyperlink r:id="rId19" w:history="1">
        <w:r w:rsidRPr="00215765">
          <w:rPr>
            <w:rStyle w:val="Hyperlink"/>
            <w:rFonts w:cs="Arial"/>
            <w:sz w:val="16"/>
            <w:szCs w:val="16"/>
          </w:rPr>
          <w:t>IGO-IFJ website</w:t>
        </w:r>
      </w:hyperlink>
      <w:r w:rsidRPr="00215765">
        <w:rPr>
          <w:sz w:val="16"/>
          <w:szCs w:val="16"/>
        </w:rPr>
        <w:t>.</w:t>
      </w:r>
    </w:p>
  </w:footnote>
  <w:footnote w:id="17">
    <w:p w14:paraId="39A82996" w14:textId="77777777" w:rsidR="0085750C" w:rsidRPr="00215765" w:rsidRDefault="0085750C" w:rsidP="00A9657B">
      <w:pPr>
        <w:pStyle w:val="FootnoteText"/>
        <w:jc w:val="both"/>
        <w:rPr>
          <w:sz w:val="16"/>
          <w:szCs w:val="16"/>
        </w:rPr>
      </w:pPr>
      <w:r w:rsidRPr="00215765">
        <w:rPr>
          <w:rStyle w:val="FootnoteReference"/>
          <w:rFonts w:cs="Arial"/>
          <w:sz w:val="16"/>
          <w:szCs w:val="16"/>
        </w:rPr>
        <w:footnoteRef/>
      </w:r>
      <w:r w:rsidRPr="00215765">
        <w:rPr>
          <w:sz w:val="16"/>
          <w:szCs w:val="16"/>
        </w:rPr>
        <w:t xml:space="preserve"> </w:t>
      </w:r>
      <w:hyperlink r:id="rId20" w:history="1">
        <w:r w:rsidRPr="00215765">
          <w:rPr>
            <w:rStyle w:val="Hyperlink"/>
            <w:rFonts w:cs="Arial"/>
            <w:sz w:val="16"/>
            <w:szCs w:val="16"/>
          </w:rPr>
          <w:t>Specific regulation regarding the conditions of admission and of maintenance on the list of volunteered lawyers in juvenile law</w:t>
        </w:r>
      </w:hyperlink>
      <w:r>
        <w:rPr>
          <w:sz w:val="16"/>
          <w:szCs w:val="16"/>
        </w:rPr>
        <w:t>, in</w:t>
      </w:r>
      <w:r w:rsidRPr="00215765">
        <w:rPr>
          <w:sz w:val="16"/>
          <w:szCs w:val="16"/>
        </w:rPr>
        <w:t xml:space="preserve"> force since 1 July 2013.</w:t>
      </w:r>
    </w:p>
  </w:footnote>
  <w:footnote w:id="18">
    <w:p w14:paraId="03502208" w14:textId="77777777" w:rsidR="0085750C" w:rsidRPr="00215765" w:rsidRDefault="0085750C" w:rsidP="00A9657B">
      <w:pPr>
        <w:pStyle w:val="FootnoteText"/>
        <w:jc w:val="both"/>
        <w:rPr>
          <w:sz w:val="16"/>
          <w:szCs w:val="16"/>
        </w:rPr>
      </w:pPr>
      <w:r w:rsidRPr="00215765">
        <w:rPr>
          <w:rStyle w:val="FootnoteReference"/>
          <w:rFonts w:cs="Arial"/>
          <w:sz w:val="16"/>
          <w:szCs w:val="16"/>
        </w:rPr>
        <w:footnoteRef/>
      </w:r>
      <w:r w:rsidRPr="00215765">
        <w:rPr>
          <w:sz w:val="16"/>
          <w:szCs w:val="16"/>
        </w:rPr>
        <w:t xml:space="preserve"> </w:t>
      </w:r>
      <w:hyperlink r:id="rId21" w:history="1">
        <w:r w:rsidRPr="00215765">
          <w:rPr>
            <w:rStyle w:val="Hyperlink"/>
            <w:rFonts w:cs="Arial"/>
            <w:sz w:val="16"/>
            <w:szCs w:val="16"/>
          </w:rPr>
          <w:t>Flemish Bar Association, Special training in juvenile law</w:t>
        </w:r>
      </w:hyperlink>
      <w:r w:rsidRPr="00215765">
        <w:rPr>
          <w:sz w:val="16"/>
          <w:szCs w:val="16"/>
        </w:rPr>
        <w:t>.</w:t>
      </w:r>
    </w:p>
  </w:footnote>
  <w:footnote w:id="19">
    <w:p w14:paraId="34364BC6" w14:textId="77777777" w:rsidR="0085750C" w:rsidRPr="00215765" w:rsidRDefault="0085750C" w:rsidP="00A9657B">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 1726 of the </w:t>
      </w:r>
      <w:hyperlink r:id="rId22" w:history="1">
        <w:r w:rsidRPr="00215765">
          <w:rPr>
            <w:rStyle w:val="Hyperlink"/>
            <w:rFonts w:cs="Arial"/>
            <w:sz w:val="16"/>
            <w:szCs w:val="16"/>
          </w:rPr>
          <w:t>Judicial Code</w:t>
        </w:r>
      </w:hyperlink>
      <w:r w:rsidRPr="00215765">
        <w:rPr>
          <w:sz w:val="16"/>
          <w:szCs w:val="16"/>
        </w:rPr>
        <w:t>.</w:t>
      </w:r>
    </w:p>
  </w:footnote>
  <w:footnote w:id="20">
    <w:p w14:paraId="2205AD9F" w14:textId="77777777" w:rsidR="0085750C" w:rsidRPr="00215765" w:rsidRDefault="0085750C" w:rsidP="00A9657B">
      <w:pPr>
        <w:pStyle w:val="FootnoteText"/>
        <w:jc w:val="both"/>
        <w:rPr>
          <w:sz w:val="16"/>
          <w:szCs w:val="16"/>
        </w:rPr>
      </w:pPr>
      <w:r w:rsidRPr="00215765">
        <w:rPr>
          <w:rStyle w:val="FootnoteReference"/>
          <w:rFonts w:cs="Arial"/>
          <w:sz w:val="16"/>
          <w:szCs w:val="16"/>
        </w:rPr>
        <w:footnoteRef/>
      </w:r>
      <w:r w:rsidRPr="00215765">
        <w:rPr>
          <w:sz w:val="16"/>
          <w:szCs w:val="16"/>
        </w:rPr>
        <w:t xml:space="preserve"> Website of the </w:t>
      </w:r>
      <w:hyperlink r:id="rId23" w:history="1">
        <w:r w:rsidRPr="00215765">
          <w:rPr>
            <w:rStyle w:val="Hyperlink"/>
            <w:rFonts w:cs="Arial"/>
            <w:sz w:val="16"/>
            <w:szCs w:val="16"/>
          </w:rPr>
          <w:t>Federal Mediation Commission</w:t>
        </w:r>
      </w:hyperlink>
      <w:r w:rsidRPr="00215765">
        <w:rPr>
          <w:sz w:val="16"/>
          <w:szCs w:val="16"/>
        </w:rPr>
        <w:t xml:space="preserve">. </w:t>
      </w:r>
    </w:p>
  </w:footnote>
  <w:footnote w:id="21">
    <w:p w14:paraId="4EE26A34" w14:textId="77777777" w:rsidR="0085750C" w:rsidRPr="00215765" w:rsidRDefault="0085750C" w:rsidP="00A9657B">
      <w:pPr>
        <w:pStyle w:val="FootnoteText"/>
        <w:jc w:val="both"/>
        <w:rPr>
          <w:sz w:val="16"/>
          <w:szCs w:val="16"/>
        </w:rPr>
      </w:pPr>
      <w:r w:rsidRPr="00215765">
        <w:rPr>
          <w:rStyle w:val="FootnoteReference"/>
          <w:rFonts w:cs="Arial"/>
          <w:sz w:val="16"/>
          <w:szCs w:val="16"/>
        </w:rPr>
        <w:footnoteRef/>
      </w:r>
      <w:r w:rsidRPr="00215765">
        <w:rPr>
          <w:sz w:val="16"/>
          <w:szCs w:val="16"/>
        </w:rPr>
        <w:t xml:space="preserve"> Information available on the </w:t>
      </w:r>
      <w:hyperlink r:id="rId24" w:history="1">
        <w:r w:rsidRPr="00215765">
          <w:rPr>
            <w:rStyle w:val="Hyperlink"/>
            <w:rFonts w:cs="Arial"/>
            <w:sz w:val="16"/>
            <w:szCs w:val="16"/>
          </w:rPr>
          <w:t xml:space="preserve"> e-justice</w:t>
        </w:r>
      </w:hyperlink>
      <w:r w:rsidRPr="00215765">
        <w:rPr>
          <w:sz w:val="16"/>
          <w:szCs w:val="16"/>
        </w:rPr>
        <w:t xml:space="preserve"> website.</w:t>
      </w:r>
    </w:p>
  </w:footnote>
  <w:footnote w:id="22">
    <w:p w14:paraId="5F1124A1" w14:textId="77777777" w:rsidR="0085750C" w:rsidRPr="00215765" w:rsidRDefault="0085750C" w:rsidP="00A9657B">
      <w:pPr>
        <w:pStyle w:val="FootnoteText"/>
        <w:jc w:val="both"/>
        <w:rPr>
          <w:sz w:val="16"/>
          <w:szCs w:val="16"/>
        </w:rPr>
      </w:pPr>
      <w:r w:rsidRPr="00215765">
        <w:rPr>
          <w:rStyle w:val="FootnoteReference"/>
          <w:rFonts w:cs="Arial"/>
          <w:sz w:val="16"/>
          <w:szCs w:val="16"/>
        </w:rPr>
        <w:footnoteRef/>
      </w:r>
      <w:r w:rsidRPr="00215765">
        <w:rPr>
          <w:sz w:val="16"/>
          <w:szCs w:val="16"/>
        </w:rPr>
        <w:t xml:space="preserve"> Information confirmed by stakeholder consultation with a Children’s Rights authority.</w:t>
      </w:r>
    </w:p>
  </w:footnote>
  <w:footnote w:id="23">
    <w:p w14:paraId="2FB7293A" w14:textId="77777777" w:rsidR="0085750C" w:rsidRPr="00215765" w:rsidRDefault="0085750C" w:rsidP="00A9657B">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 596 of the </w:t>
      </w:r>
      <w:hyperlink r:id="rId25" w:history="1">
        <w:r w:rsidRPr="00215765">
          <w:rPr>
            <w:rStyle w:val="Hyperlink"/>
            <w:rFonts w:cs="Arial"/>
            <w:sz w:val="16"/>
            <w:szCs w:val="16"/>
          </w:rPr>
          <w:t>Code of Criminal Procedure</w:t>
        </w:r>
      </w:hyperlink>
      <w:r w:rsidRPr="00215765">
        <w:rPr>
          <w:sz w:val="16"/>
          <w:szCs w:val="16"/>
        </w:rPr>
        <w:t>.</w:t>
      </w:r>
    </w:p>
  </w:footnote>
  <w:footnote w:id="24">
    <w:p w14:paraId="1DC83C99" w14:textId="77777777" w:rsidR="0085750C" w:rsidRPr="00215765" w:rsidRDefault="0085750C" w:rsidP="00A9657B">
      <w:pPr>
        <w:pStyle w:val="FootnoteText"/>
        <w:jc w:val="both"/>
        <w:rPr>
          <w:sz w:val="16"/>
          <w:szCs w:val="16"/>
        </w:rPr>
      </w:pPr>
      <w:r w:rsidRPr="00215765">
        <w:rPr>
          <w:rStyle w:val="FootnoteReference"/>
          <w:rFonts w:cs="Arial"/>
          <w:sz w:val="16"/>
          <w:szCs w:val="16"/>
        </w:rPr>
        <w:footnoteRef/>
      </w:r>
      <w:r w:rsidRPr="00215765">
        <w:rPr>
          <w:sz w:val="16"/>
          <w:szCs w:val="16"/>
        </w:rPr>
        <w:t xml:space="preserve"> In this study, the term ‘child’ and ‘minor’ are interchangeable and understood as a person under 18 years old. A young person is considered as an adult of 18 years old or above for the purpose of this study. </w:t>
      </w:r>
      <w:r>
        <w:rPr>
          <w:sz w:val="16"/>
          <w:szCs w:val="16"/>
        </w:rPr>
        <w:t xml:space="preserve">This is in accordance with </w:t>
      </w:r>
      <w:r w:rsidRPr="00215765">
        <w:rPr>
          <w:sz w:val="16"/>
          <w:szCs w:val="16"/>
        </w:rPr>
        <w:t xml:space="preserve">Article 388 of the </w:t>
      </w:r>
      <w:hyperlink r:id="rId26" w:history="1">
        <w:r w:rsidRPr="00215765">
          <w:rPr>
            <w:rStyle w:val="Hyperlink"/>
            <w:rFonts w:cs="Arial"/>
            <w:sz w:val="16"/>
            <w:szCs w:val="16"/>
          </w:rPr>
          <w:t>Civil Code</w:t>
        </w:r>
      </w:hyperlink>
      <w:r w:rsidRPr="00215765">
        <w:rPr>
          <w:sz w:val="16"/>
          <w:szCs w:val="16"/>
        </w:rPr>
        <w:t>.</w:t>
      </w:r>
    </w:p>
  </w:footnote>
  <w:footnote w:id="25">
    <w:p w14:paraId="25C96F62" w14:textId="77777777" w:rsidR="0085750C" w:rsidRPr="00215765" w:rsidRDefault="0085750C" w:rsidP="00A9657B">
      <w:pPr>
        <w:pStyle w:val="FootnoteText"/>
        <w:jc w:val="both"/>
        <w:rPr>
          <w:sz w:val="16"/>
          <w:szCs w:val="16"/>
        </w:rPr>
      </w:pPr>
      <w:r w:rsidRPr="00215765">
        <w:rPr>
          <w:rStyle w:val="FootnoteReference"/>
          <w:rFonts w:cs="Arial"/>
          <w:sz w:val="16"/>
          <w:szCs w:val="16"/>
        </w:rPr>
        <w:footnoteRef/>
      </w:r>
      <w:r w:rsidRPr="00215765">
        <w:rPr>
          <w:sz w:val="16"/>
          <w:szCs w:val="16"/>
        </w:rPr>
        <w:t xml:space="preserve"> Belgian Court of Cassation decision of 27 May 1971 (Case Franco-Suisse Le Ski). In several cases, courts have nevertheless been reluctant to recognise the direct applicability of the CRC provisions due to their lack of clarity.</w:t>
      </w:r>
    </w:p>
  </w:footnote>
  <w:footnote w:id="26">
    <w:p w14:paraId="3BC2C61D" w14:textId="77777777" w:rsidR="0085750C" w:rsidRPr="00215765" w:rsidRDefault="0085750C" w:rsidP="00A9657B">
      <w:pPr>
        <w:spacing w:before="0" w:after="60" w:line="240" w:lineRule="auto"/>
        <w:jc w:val="both"/>
        <w:rPr>
          <w:sz w:val="16"/>
          <w:szCs w:val="16"/>
        </w:rPr>
      </w:pPr>
      <w:r w:rsidRPr="00215765">
        <w:rPr>
          <w:rStyle w:val="FootnoteReference"/>
          <w:rFonts w:cs="Arial"/>
          <w:sz w:val="16"/>
          <w:szCs w:val="16"/>
        </w:rPr>
        <w:footnoteRef/>
      </w:r>
      <w:r w:rsidRPr="00215765">
        <w:rPr>
          <w:sz w:val="16"/>
          <w:szCs w:val="16"/>
        </w:rPr>
        <w:t xml:space="preserve"> Preliminary Title of the </w:t>
      </w:r>
      <w:hyperlink r:id="rId27" w:history="1">
        <w:r w:rsidRPr="00215765">
          <w:rPr>
            <w:rStyle w:val="Hyperlink"/>
            <w:rFonts w:cs="Arial"/>
            <w:sz w:val="16"/>
            <w:szCs w:val="16"/>
          </w:rPr>
          <w:t>Youth Protection Act</w:t>
        </w:r>
      </w:hyperlink>
      <w:r w:rsidRPr="00215765">
        <w:rPr>
          <w:i/>
          <w:sz w:val="16"/>
          <w:szCs w:val="16"/>
        </w:rPr>
        <w:t>.</w:t>
      </w:r>
    </w:p>
  </w:footnote>
  <w:footnote w:id="27">
    <w:p w14:paraId="3A371343" w14:textId="77777777" w:rsidR="0085750C" w:rsidRPr="00215765" w:rsidRDefault="0085750C" w:rsidP="00A9657B">
      <w:pPr>
        <w:pStyle w:val="FootnoteText"/>
        <w:jc w:val="both"/>
        <w:rPr>
          <w:sz w:val="16"/>
          <w:szCs w:val="16"/>
        </w:rPr>
      </w:pPr>
      <w:r w:rsidRPr="00215765">
        <w:rPr>
          <w:rStyle w:val="FootnoteReference"/>
          <w:rFonts w:cs="Arial"/>
          <w:sz w:val="16"/>
          <w:szCs w:val="16"/>
        </w:rPr>
        <w:footnoteRef/>
      </w:r>
      <w:r w:rsidRPr="00215765">
        <w:rPr>
          <w:sz w:val="16"/>
          <w:szCs w:val="16"/>
        </w:rPr>
        <w:t xml:space="preserve"> ibid.</w:t>
      </w:r>
    </w:p>
  </w:footnote>
  <w:footnote w:id="28">
    <w:p w14:paraId="6DEACB2D" w14:textId="77777777" w:rsidR="0085750C" w:rsidRPr="00215765" w:rsidRDefault="0085750C" w:rsidP="00A9657B">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 22bis of the </w:t>
      </w:r>
      <w:hyperlink r:id="rId28" w:history="1">
        <w:r w:rsidRPr="00215765">
          <w:rPr>
            <w:rStyle w:val="Hyperlink"/>
            <w:rFonts w:cs="Arial"/>
            <w:sz w:val="16"/>
            <w:szCs w:val="16"/>
          </w:rPr>
          <w:t>Belgian Constitution</w:t>
        </w:r>
      </w:hyperlink>
      <w:r w:rsidRPr="00215765">
        <w:rPr>
          <w:sz w:val="16"/>
          <w:szCs w:val="16"/>
        </w:rPr>
        <w:t>.</w:t>
      </w:r>
    </w:p>
  </w:footnote>
  <w:footnote w:id="29">
    <w:p w14:paraId="63817562" w14:textId="77777777" w:rsidR="0085750C" w:rsidRPr="00215765" w:rsidRDefault="0085750C" w:rsidP="00A9657B">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 344.1 of the </w:t>
      </w:r>
      <w:hyperlink r:id="rId29" w:history="1">
        <w:r w:rsidRPr="00215765">
          <w:rPr>
            <w:rStyle w:val="Hyperlink"/>
            <w:rFonts w:cs="Arial"/>
            <w:sz w:val="16"/>
            <w:szCs w:val="16"/>
          </w:rPr>
          <w:t>Civil Code</w:t>
        </w:r>
      </w:hyperlink>
      <w:r w:rsidRPr="00215765">
        <w:rPr>
          <w:sz w:val="16"/>
          <w:szCs w:val="16"/>
        </w:rPr>
        <w:t>.</w:t>
      </w:r>
    </w:p>
  </w:footnote>
  <w:footnote w:id="30">
    <w:p w14:paraId="78810A23" w14:textId="77777777" w:rsidR="0085750C" w:rsidRPr="00215765" w:rsidRDefault="0085750C" w:rsidP="00A9657B">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Articles 374 and 375bis of the </w:t>
      </w:r>
      <w:hyperlink r:id="rId30" w:history="1">
        <w:r w:rsidRPr="00215765">
          <w:rPr>
            <w:rStyle w:val="Hyperlink"/>
            <w:rFonts w:cs="Arial"/>
            <w:sz w:val="16"/>
            <w:szCs w:val="16"/>
          </w:rPr>
          <w:t>Civil Code</w:t>
        </w:r>
      </w:hyperlink>
      <w:r w:rsidRPr="00215765">
        <w:rPr>
          <w:sz w:val="16"/>
          <w:szCs w:val="16"/>
        </w:rPr>
        <w:t xml:space="preserve">; Articles 1290 and 1293 of the </w:t>
      </w:r>
      <w:hyperlink r:id="rId31" w:history="1">
        <w:r w:rsidRPr="00215765">
          <w:rPr>
            <w:rStyle w:val="Hyperlink"/>
            <w:rFonts w:cs="Arial"/>
            <w:sz w:val="16"/>
            <w:szCs w:val="16"/>
          </w:rPr>
          <w:t>Judicial Code</w:t>
        </w:r>
      </w:hyperlink>
      <w:r w:rsidRPr="00215765">
        <w:rPr>
          <w:sz w:val="16"/>
          <w:szCs w:val="16"/>
        </w:rPr>
        <w:t xml:space="preserve"> and see Nathalie Meurens, </w:t>
      </w:r>
      <w:hyperlink r:id="rId32" w:history="1">
        <w:r w:rsidRPr="00215765">
          <w:rPr>
            <w:rStyle w:val="Hyperlink"/>
            <w:rFonts w:cs="Arial"/>
            <w:i/>
            <w:sz w:val="16"/>
            <w:szCs w:val="16"/>
          </w:rPr>
          <w:t>Country Report on Belgium for the Study on Member States’ Policies for Children with Disabilities</w:t>
        </w:r>
      </w:hyperlink>
      <w:r w:rsidRPr="00215765">
        <w:rPr>
          <w:sz w:val="16"/>
          <w:szCs w:val="16"/>
        </w:rPr>
        <w:t>, European Parliament, Committee on Civil Liberties, Justice and Home Affairs, 2013.</w:t>
      </w:r>
    </w:p>
  </w:footnote>
  <w:footnote w:id="31">
    <w:p w14:paraId="096EE33E" w14:textId="77777777" w:rsidR="0085750C" w:rsidRPr="00215765" w:rsidRDefault="0085750C" w:rsidP="00A9657B">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 22bis of the </w:t>
      </w:r>
      <w:hyperlink r:id="rId33" w:history="1">
        <w:r w:rsidRPr="00215765">
          <w:rPr>
            <w:rStyle w:val="Hyperlink"/>
            <w:rFonts w:cs="Arial"/>
            <w:sz w:val="16"/>
            <w:szCs w:val="16"/>
          </w:rPr>
          <w:t>Belgian Constitution</w:t>
        </w:r>
      </w:hyperlink>
      <w:r w:rsidRPr="00215765">
        <w:rPr>
          <w:sz w:val="16"/>
          <w:szCs w:val="16"/>
        </w:rPr>
        <w:t>.</w:t>
      </w:r>
    </w:p>
  </w:footnote>
  <w:footnote w:id="32">
    <w:p w14:paraId="7E10852E" w14:textId="77777777" w:rsidR="0085750C" w:rsidRPr="00215765" w:rsidRDefault="0085750C" w:rsidP="00A9657B">
      <w:pPr>
        <w:pStyle w:val="FootnoteText"/>
        <w:jc w:val="both"/>
        <w:rPr>
          <w:sz w:val="16"/>
          <w:szCs w:val="16"/>
        </w:rPr>
      </w:pPr>
      <w:r w:rsidRPr="00215765">
        <w:rPr>
          <w:rStyle w:val="FootnoteReference"/>
          <w:rFonts w:cs="Arial"/>
          <w:sz w:val="16"/>
          <w:szCs w:val="16"/>
        </w:rPr>
        <w:footnoteRef/>
      </w:r>
      <w:r w:rsidRPr="00215765">
        <w:rPr>
          <w:sz w:val="16"/>
          <w:szCs w:val="16"/>
        </w:rPr>
        <w:t xml:space="preserve"> i</w:t>
      </w:r>
      <w:r>
        <w:rPr>
          <w:sz w:val="16"/>
          <w:szCs w:val="16"/>
        </w:rPr>
        <w:t>dem</w:t>
      </w:r>
      <w:r w:rsidRPr="00215765">
        <w:rPr>
          <w:sz w:val="16"/>
          <w:szCs w:val="16"/>
        </w:rPr>
        <w:t>.</w:t>
      </w:r>
      <w:r>
        <w:rPr>
          <w:sz w:val="16"/>
          <w:szCs w:val="16"/>
        </w:rPr>
        <w:t>,</w:t>
      </w:r>
      <w:r w:rsidRPr="00215765">
        <w:rPr>
          <w:sz w:val="16"/>
          <w:szCs w:val="16"/>
        </w:rPr>
        <w:t xml:space="preserve"> </w:t>
      </w:r>
      <w:hyperlink r:id="rId34" w:history="1">
        <w:r w:rsidRPr="00215765">
          <w:rPr>
            <w:rStyle w:val="Hyperlink"/>
            <w:rFonts w:cs="Arial"/>
            <w:sz w:val="16"/>
            <w:szCs w:val="16"/>
          </w:rPr>
          <w:t>Belgian Constitution</w:t>
        </w:r>
      </w:hyperlink>
      <w:r>
        <w:rPr>
          <w:rStyle w:val="Hyperlink"/>
          <w:rFonts w:cs="Arial"/>
          <w:sz w:val="16"/>
          <w:szCs w:val="16"/>
        </w:rPr>
        <w:t>.</w:t>
      </w:r>
    </w:p>
  </w:footnote>
  <w:footnote w:id="33">
    <w:p w14:paraId="5AD236BC" w14:textId="77777777" w:rsidR="0085750C" w:rsidRPr="00215765" w:rsidRDefault="0085750C" w:rsidP="00A9657B">
      <w:pPr>
        <w:pStyle w:val="FootnoteText"/>
        <w:jc w:val="both"/>
        <w:rPr>
          <w:sz w:val="16"/>
          <w:szCs w:val="16"/>
        </w:rPr>
      </w:pPr>
      <w:r w:rsidRPr="00215765">
        <w:rPr>
          <w:rStyle w:val="FootnoteReference"/>
          <w:rFonts w:cs="Arial"/>
          <w:sz w:val="16"/>
          <w:szCs w:val="16"/>
        </w:rPr>
        <w:footnoteRef/>
      </w:r>
      <w:r w:rsidRPr="00215765">
        <w:rPr>
          <w:sz w:val="16"/>
          <w:szCs w:val="16"/>
        </w:rPr>
        <w:t xml:space="preserve"> Information collected through stakeholder’s interview and Johan Put, </w:t>
      </w:r>
      <w:r w:rsidRPr="00215765">
        <w:rPr>
          <w:i/>
          <w:sz w:val="16"/>
          <w:szCs w:val="16"/>
        </w:rPr>
        <w:t>‘The Juvenile Justice System in Belgium’</w:t>
      </w:r>
      <w:r w:rsidRPr="00215765">
        <w:rPr>
          <w:sz w:val="16"/>
          <w:szCs w:val="16"/>
        </w:rPr>
        <w:t xml:space="preserve">, in </w:t>
      </w:r>
      <w:r w:rsidRPr="00215765">
        <w:rPr>
          <w:i/>
          <w:sz w:val="16"/>
          <w:szCs w:val="16"/>
        </w:rPr>
        <w:t>Juvenile Justice Systems in Europe: Current Situation and Reform Developments</w:t>
      </w:r>
      <w:r w:rsidRPr="00215765">
        <w:rPr>
          <w:sz w:val="16"/>
          <w:szCs w:val="16"/>
        </w:rPr>
        <w:t>, Volume 1, p.6.</w:t>
      </w:r>
    </w:p>
  </w:footnote>
  <w:footnote w:id="34">
    <w:p w14:paraId="4D8AC268" w14:textId="77777777" w:rsidR="0085750C" w:rsidRPr="00215765" w:rsidRDefault="0085750C" w:rsidP="00A9657B">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 22bis of the </w:t>
      </w:r>
      <w:hyperlink r:id="rId35" w:history="1">
        <w:r w:rsidRPr="00215765">
          <w:rPr>
            <w:rStyle w:val="Hyperlink"/>
            <w:rFonts w:cs="Arial"/>
            <w:sz w:val="16"/>
            <w:szCs w:val="16"/>
          </w:rPr>
          <w:t>Belgian Constitution</w:t>
        </w:r>
      </w:hyperlink>
      <w:r w:rsidRPr="00215765">
        <w:rPr>
          <w:sz w:val="16"/>
          <w:szCs w:val="16"/>
        </w:rPr>
        <w:t>.</w:t>
      </w:r>
    </w:p>
  </w:footnote>
  <w:footnote w:id="35">
    <w:p w14:paraId="5F50F023" w14:textId="77777777" w:rsidR="0085750C" w:rsidRPr="00215765" w:rsidRDefault="0085750C" w:rsidP="00A9657B">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 4 of the </w:t>
      </w:r>
      <w:hyperlink r:id="rId36" w:history="1">
        <w:r w:rsidRPr="00215765">
          <w:rPr>
            <w:rStyle w:val="Hyperlink"/>
            <w:rFonts w:cs="Arial"/>
            <w:sz w:val="16"/>
            <w:szCs w:val="16"/>
          </w:rPr>
          <w:t>Anti-discrimination Act of 10 May 2007</w:t>
        </w:r>
      </w:hyperlink>
      <w:r w:rsidRPr="00215765">
        <w:rPr>
          <w:sz w:val="16"/>
          <w:szCs w:val="16"/>
        </w:rPr>
        <w:t xml:space="preserve">. Information on the Act is available in English on the </w:t>
      </w:r>
      <w:hyperlink r:id="rId37" w:history="1">
        <w:r>
          <w:rPr>
            <w:rStyle w:val="Hyperlink"/>
            <w:rFonts w:cs="Arial"/>
            <w:sz w:val="16"/>
            <w:szCs w:val="16"/>
          </w:rPr>
          <w:t>Interfederal C</w:t>
        </w:r>
        <w:r w:rsidRPr="00215765">
          <w:rPr>
            <w:rStyle w:val="Hyperlink"/>
            <w:rFonts w:cs="Arial"/>
            <w:sz w:val="16"/>
            <w:szCs w:val="16"/>
          </w:rPr>
          <w:t>entre for Equal Opportunity website</w:t>
        </w:r>
      </w:hyperlink>
      <w:r w:rsidRPr="00215765">
        <w:rPr>
          <w:sz w:val="16"/>
          <w:szCs w:val="16"/>
        </w:rPr>
        <w:t xml:space="preserve">. See also </w:t>
      </w:r>
      <w:hyperlink r:id="rId38" w:history="1">
        <w:r w:rsidRPr="00215765">
          <w:rPr>
            <w:rStyle w:val="Hyperlink"/>
            <w:rFonts w:cs="Arial"/>
            <w:sz w:val="16"/>
            <w:szCs w:val="16"/>
          </w:rPr>
          <w:t>French Community Decree of 12 December 2008 combatting certain forms of discrimination</w:t>
        </w:r>
      </w:hyperlink>
      <w:r w:rsidRPr="00215765">
        <w:rPr>
          <w:sz w:val="16"/>
          <w:szCs w:val="16"/>
        </w:rPr>
        <w:t xml:space="preserve"> and </w:t>
      </w:r>
      <w:hyperlink r:id="rId39" w:history="1">
        <w:r w:rsidRPr="00215765">
          <w:rPr>
            <w:rStyle w:val="Hyperlink"/>
            <w:rFonts w:cs="Arial"/>
            <w:sz w:val="16"/>
            <w:szCs w:val="16"/>
          </w:rPr>
          <w:t>Flemish Region Decree of 10 July 2008 on equal opportunities and treatment</w:t>
        </w:r>
      </w:hyperlink>
      <w:r w:rsidRPr="00215765">
        <w:rPr>
          <w:sz w:val="16"/>
          <w:szCs w:val="16"/>
        </w:rPr>
        <w:t>.</w:t>
      </w:r>
    </w:p>
  </w:footnote>
  <w:footnote w:id="36">
    <w:p w14:paraId="3F195F2F" w14:textId="77777777" w:rsidR="0085750C" w:rsidRPr="00215765" w:rsidRDefault="0085750C" w:rsidP="00A9657B">
      <w:pPr>
        <w:pStyle w:val="FootnoteText"/>
        <w:jc w:val="both"/>
        <w:rPr>
          <w:sz w:val="16"/>
          <w:szCs w:val="16"/>
        </w:rPr>
      </w:pPr>
      <w:r w:rsidRPr="00215765">
        <w:rPr>
          <w:rStyle w:val="FootnoteReference"/>
          <w:rFonts w:cs="Arial"/>
          <w:sz w:val="16"/>
          <w:szCs w:val="16"/>
        </w:rPr>
        <w:footnoteRef/>
      </w:r>
      <w:r w:rsidRPr="00215765">
        <w:rPr>
          <w:sz w:val="16"/>
          <w:szCs w:val="16"/>
        </w:rPr>
        <w:t xml:space="preserve"> </w:t>
      </w:r>
      <w:hyperlink r:id="rId40" w:history="1">
        <w:r w:rsidRPr="00215765">
          <w:rPr>
            <w:rStyle w:val="Hyperlink"/>
            <w:rFonts w:cs="Arial"/>
            <w:sz w:val="16"/>
            <w:szCs w:val="16"/>
          </w:rPr>
          <w:t>Article 479 of the Law-Programme of 24 December 2002</w:t>
        </w:r>
      </w:hyperlink>
      <w:r w:rsidRPr="00215765">
        <w:rPr>
          <w:sz w:val="16"/>
          <w:szCs w:val="16"/>
        </w:rPr>
        <w:t>.</w:t>
      </w:r>
    </w:p>
  </w:footnote>
  <w:footnote w:id="37">
    <w:p w14:paraId="4B655A33" w14:textId="77777777" w:rsidR="0085750C" w:rsidRPr="00215765" w:rsidRDefault="0085750C" w:rsidP="00A9657B">
      <w:pPr>
        <w:pStyle w:val="FootnoteText"/>
        <w:jc w:val="both"/>
        <w:rPr>
          <w:sz w:val="16"/>
          <w:szCs w:val="16"/>
        </w:rPr>
      </w:pPr>
      <w:r w:rsidRPr="00215765">
        <w:rPr>
          <w:rStyle w:val="FootnoteReference"/>
          <w:rFonts w:cs="Arial"/>
          <w:sz w:val="16"/>
          <w:szCs w:val="16"/>
        </w:rPr>
        <w:footnoteRef/>
      </w:r>
      <w:r w:rsidRPr="00215765">
        <w:rPr>
          <w:sz w:val="16"/>
          <w:szCs w:val="16"/>
        </w:rPr>
        <w:t xml:space="preserve"> Nathalie Meurens, </w:t>
      </w:r>
      <w:hyperlink r:id="rId41" w:history="1">
        <w:r w:rsidRPr="00215765">
          <w:rPr>
            <w:rStyle w:val="Hyperlink"/>
            <w:rFonts w:cs="Arial"/>
            <w:i/>
            <w:sz w:val="16"/>
            <w:szCs w:val="16"/>
          </w:rPr>
          <w:t>Country Report on Belgium for the Study on Member States’ Policies for Children with Disabilities</w:t>
        </w:r>
      </w:hyperlink>
      <w:r w:rsidRPr="00215765">
        <w:rPr>
          <w:sz w:val="16"/>
          <w:szCs w:val="16"/>
        </w:rPr>
        <w:t>, European Parliament, Committee on Civil Liberties, Justice and Home Affairs, 2013.</w:t>
      </w:r>
    </w:p>
  </w:footnote>
  <w:footnote w:id="38">
    <w:p w14:paraId="0C1C67DA" w14:textId="77777777" w:rsidR="0085750C" w:rsidRPr="00215765" w:rsidRDefault="0085750C" w:rsidP="00CE5D13">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Articles 1124 and 1125 of the </w:t>
      </w:r>
      <w:hyperlink r:id="rId42" w:history="1">
        <w:r w:rsidRPr="00215765">
          <w:rPr>
            <w:rStyle w:val="Hyperlink"/>
            <w:rFonts w:cs="Arial"/>
            <w:sz w:val="16"/>
            <w:szCs w:val="16"/>
          </w:rPr>
          <w:t>Civil Code</w:t>
        </w:r>
      </w:hyperlink>
      <w:r w:rsidRPr="00215765">
        <w:rPr>
          <w:sz w:val="16"/>
          <w:szCs w:val="16"/>
        </w:rPr>
        <w:t>.</w:t>
      </w:r>
    </w:p>
  </w:footnote>
  <w:footnote w:id="39">
    <w:p w14:paraId="38C8BD02" w14:textId="77777777" w:rsidR="0085750C" w:rsidRPr="00215765" w:rsidRDefault="0085750C" w:rsidP="00CE5D13">
      <w:pPr>
        <w:pStyle w:val="FootnoteText"/>
        <w:jc w:val="both"/>
        <w:rPr>
          <w:sz w:val="16"/>
          <w:szCs w:val="16"/>
          <w:lang w:val="fr-BE"/>
        </w:rPr>
      </w:pPr>
      <w:r w:rsidRPr="00215765">
        <w:rPr>
          <w:rStyle w:val="FootnoteReference"/>
          <w:rFonts w:cs="Arial"/>
          <w:sz w:val="16"/>
          <w:szCs w:val="16"/>
        </w:rPr>
        <w:footnoteRef/>
      </w:r>
      <w:r w:rsidRPr="00215765">
        <w:rPr>
          <w:sz w:val="16"/>
          <w:szCs w:val="16"/>
        </w:rPr>
        <w:t xml:space="preserve"> The filing of a judicial action by a child results in the inadmissibility of the action, which can be overcome by the regularisation of the action. </w:t>
      </w:r>
      <w:r w:rsidRPr="00215765">
        <w:rPr>
          <w:sz w:val="16"/>
          <w:szCs w:val="16"/>
          <w:lang w:val="fr-BE"/>
        </w:rPr>
        <w:t xml:space="preserve">Kinderrechtswinkels, Services droit des jeunes and Infor Jeunes Bruxelles, </w:t>
      </w:r>
      <w:r w:rsidRPr="00215765">
        <w:rPr>
          <w:i/>
          <w:sz w:val="16"/>
          <w:szCs w:val="16"/>
          <w:lang w:val="fr-BE"/>
        </w:rPr>
        <w:t>The legal position of the minor in practice (La position juridique du mineur dans la pratique)</w:t>
      </w:r>
      <w:r w:rsidRPr="00215765">
        <w:rPr>
          <w:sz w:val="16"/>
          <w:szCs w:val="16"/>
          <w:lang w:val="fr-BE"/>
        </w:rPr>
        <w:t>, 2006, UGA, p.79.</w:t>
      </w:r>
    </w:p>
  </w:footnote>
  <w:footnote w:id="40">
    <w:p w14:paraId="0807D304" w14:textId="77777777" w:rsidR="0085750C" w:rsidRPr="00215765" w:rsidRDefault="0085750C" w:rsidP="00CE5D13">
      <w:pPr>
        <w:pStyle w:val="FootnoteText"/>
        <w:jc w:val="both"/>
        <w:rPr>
          <w:sz w:val="16"/>
          <w:szCs w:val="16"/>
        </w:rPr>
      </w:pPr>
      <w:r w:rsidRPr="00215765">
        <w:rPr>
          <w:rStyle w:val="FootnoteReference"/>
          <w:rFonts w:cs="Arial"/>
          <w:sz w:val="16"/>
          <w:szCs w:val="16"/>
        </w:rPr>
        <w:footnoteRef/>
      </w:r>
      <w:r w:rsidRPr="00215765">
        <w:rPr>
          <w:sz w:val="16"/>
          <w:szCs w:val="16"/>
        </w:rPr>
        <w:t xml:space="preserve"> Title X, Chapter 3 of the </w:t>
      </w:r>
      <w:hyperlink r:id="rId43" w:history="1">
        <w:r w:rsidRPr="00215765">
          <w:rPr>
            <w:rStyle w:val="Hyperlink"/>
            <w:rFonts w:cs="Arial"/>
            <w:sz w:val="16"/>
            <w:szCs w:val="16"/>
          </w:rPr>
          <w:t>Civil Code</w:t>
        </w:r>
      </w:hyperlink>
      <w:r w:rsidRPr="00215765">
        <w:rPr>
          <w:sz w:val="16"/>
          <w:szCs w:val="16"/>
        </w:rPr>
        <w:t>.</w:t>
      </w:r>
    </w:p>
  </w:footnote>
  <w:footnote w:id="41">
    <w:p w14:paraId="2F36F966" w14:textId="77777777" w:rsidR="0085750C" w:rsidRPr="00814D88" w:rsidRDefault="0085750C" w:rsidP="00CE5D13">
      <w:pPr>
        <w:pStyle w:val="FootnoteText"/>
        <w:jc w:val="both"/>
        <w:rPr>
          <w:sz w:val="16"/>
          <w:szCs w:val="16"/>
          <w:lang w:val="nl-BE"/>
        </w:rPr>
      </w:pPr>
      <w:r w:rsidRPr="00215765">
        <w:rPr>
          <w:rStyle w:val="FootnoteReference"/>
          <w:rFonts w:cs="Arial"/>
          <w:sz w:val="16"/>
          <w:szCs w:val="16"/>
        </w:rPr>
        <w:footnoteRef/>
      </w:r>
      <w:r w:rsidRPr="00215765">
        <w:rPr>
          <w:sz w:val="16"/>
          <w:szCs w:val="16"/>
        </w:rPr>
        <w:t xml:space="preserve"> Articles 476-486 of the </w:t>
      </w:r>
      <w:hyperlink r:id="rId44" w:history="1">
        <w:r w:rsidRPr="00215765">
          <w:rPr>
            <w:rStyle w:val="Hyperlink"/>
            <w:rFonts w:cs="Arial"/>
            <w:sz w:val="16"/>
            <w:szCs w:val="16"/>
          </w:rPr>
          <w:t>Civil Code</w:t>
        </w:r>
      </w:hyperlink>
      <w:r w:rsidRPr="00215765">
        <w:rPr>
          <w:sz w:val="16"/>
          <w:szCs w:val="16"/>
        </w:rPr>
        <w:t xml:space="preserve">. </w:t>
      </w:r>
      <w:r w:rsidRPr="00215765">
        <w:rPr>
          <w:sz w:val="16"/>
          <w:szCs w:val="16"/>
          <w:lang w:val="fr-BE"/>
        </w:rPr>
        <w:t xml:space="preserve">Kinderrechtswinkels, Services droit des jeunes and Infor Jeunes Bruxelles, </w:t>
      </w:r>
      <w:r w:rsidRPr="00215765">
        <w:rPr>
          <w:i/>
          <w:sz w:val="16"/>
          <w:szCs w:val="16"/>
          <w:lang w:val="fr-BE"/>
        </w:rPr>
        <w:t>The legal position of the minor in practice (La position juridique du mineur dans la pratique)</w:t>
      </w:r>
      <w:r w:rsidRPr="00215765">
        <w:rPr>
          <w:sz w:val="16"/>
          <w:szCs w:val="16"/>
          <w:lang w:val="fr-BE"/>
        </w:rPr>
        <w:t xml:space="preserve">, 2006, UGA, pp.84-85. </w:t>
      </w:r>
      <w:r w:rsidRPr="00814D88">
        <w:rPr>
          <w:sz w:val="16"/>
          <w:szCs w:val="16"/>
          <w:lang w:val="nl-BE"/>
        </w:rPr>
        <w:t xml:space="preserve">Kinderrechtswinkels, </w:t>
      </w:r>
      <w:r w:rsidRPr="00814D88">
        <w:rPr>
          <w:i/>
          <w:sz w:val="16"/>
          <w:szCs w:val="16"/>
          <w:lang w:val="nl-BE"/>
        </w:rPr>
        <w:t>‘The law of minors in practice’</w:t>
      </w:r>
      <w:r w:rsidRPr="00814D88">
        <w:rPr>
          <w:sz w:val="16"/>
          <w:szCs w:val="16"/>
          <w:lang w:val="nl-BE"/>
        </w:rPr>
        <w:t xml:space="preserve"> </w:t>
      </w:r>
      <w:r w:rsidRPr="00814D88">
        <w:rPr>
          <w:i/>
          <w:sz w:val="16"/>
          <w:szCs w:val="16"/>
          <w:lang w:val="nl-BE"/>
        </w:rPr>
        <w:t>‘De juridische positive van de minderjarige in de pratijk’</w:t>
      </w:r>
      <w:r w:rsidRPr="00814D88">
        <w:rPr>
          <w:sz w:val="16"/>
          <w:szCs w:val="16"/>
          <w:lang w:val="nl-BE"/>
        </w:rPr>
        <w:t>, 2007, UGA, pp.108-109.</w:t>
      </w:r>
    </w:p>
  </w:footnote>
  <w:footnote w:id="42">
    <w:p w14:paraId="6B0A99B1" w14:textId="77777777" w:rsidR="0085750C" w:rsidRPr="00215765" w:rsidRDefault="0085750C" w:rsidP="00CE5D13">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 1150 of the </w:t>
      </w:r>
      <w:hyperlink r:id="rId45" w:history="1">
        <w:r w:rsidRPr="00215765">
          <w:rPr>
            <w:rStyle w:val="Hyperlink"/>
            <w:rFonts w:cs="Arial"/>
            <w:sz w:val="16"/>
            <w:szCs w:val="16"/>
          </w:rPr>
          <w:t>Judicial Code</w:t>
        </w:r>
      </w:hyperlink>
      <w:r w:rsidRPr="00215765">
        <w:rPr>
          <w:sz w:val="16"/>
          <w:szCs w:val="16"/>
        </w:rPr>
        <w:t>.</w:t>
      </w:r>
    </w:p>
  </w:footnote>
  <w:footnote w:id="43">
    <w:p w14:paraId="10B6FAC3" w14:textId="77777777" w:rsidR="0085750C" w:rsidRPr="00215765" w:rsidRDefault="0085750C" w:rsidP="00CE5D13">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 145 of the </w:t>
      </w:r>
      <w:hyperlink r:id="rId46" w:history="1">
        <w:r w:rsidRPr="00215765">
          <w:rPr>
            <w:rStyle w:val="Hyperlink"/>
            <w:rFonts w:cs="Arial"/>
            <w:sz w:val="16"/>
            <w:szCs w:val="16"/>
          </w:rPr>
          <w:t>Civil Code</w:t>
        </w:r>
      </w:hyperlink>
      <w:r w:rsidRPr="00215765">
        <w:rPr>
          <w:sz w:val="16"/>
          <w:szCs w:val="16"/>
        </w:rPr>
        <w:t>.</w:t>
      </w:r>
    </w:p>
  </w:footnote>
  <w:footnote w:id="44">
    <w:p w14:paraId="56BECE33" w14:textId="77777777" w:rsidR="0085750C" w:rsidRPr="00215765" w:rsidRDefault="0085750C" w:rsidP="00CE5D13">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 43 of </w:t>
      </w:r>
      <w:hyperlink r:id="rId47" w:history="1">
        <w:r w:rsidRPr="00215765">
          <w:rPr>
            <w:rStyle w:val="Hyperlink"/>
            <w:rFonts w:cs="Arial"/>
            <w:sz w:val="16"/>
            <w:szCs w:val="16"/>
          </w:rPr>
          <w:t>the Act of 3 July 1978 on employment contracts</w:t>
        </w:r>
      </w:hyperlink>
      <w:r w:rsidRPr="00215765">
        <w:rPr>
          <w:sz w:val="16"/>
          <w:szCs w:val="16"/>
        </w:rPr>
        <w:t>.</w:t>
      </w:r>
    </w:p>
  </w:footnote>
  <w:footnote w:id="45">
    <w:p w14:paraId="70F95FAE" w14:textId="77777777" w:rsidR="0085750C" w:rsidRPr="00215765" w:rsidRDefault="0085750C" w:rsidP="00CE5D13">
      <w:pPr>
        <w:pStyle w:val="FootnoteText"/>
        <w:jc w:val="both"/>
        <w:rPr>
          <w:sz w:val="16"/>
          <w:szCs w:val="16"/>
        </w:rPr>
      </w:pPr>
      <w:r w:rsidRPr="00215765">
        <w:rPr>
          <w:rStyle w:val="FootnoteReference"/>
          <w:rFonts w:cs="Arial"/>
          <w:sz w:val="16"/>
          <w:szCs w:val="16"/>
        </w:rPr>
        <w:footnoteRef/>
      </w:r>
      <w:r w:rsidRPr="00215765">
        <w:rPr>
          <w:sz w:val="16"/>
          <w:szCs w:val="16"/>
        </w:rPr>
        <w:t xml:space="preserve"> A child parent can bring cases before</w:t>
      </w:r>
      <w:r>
        <w:rPr>
          <w:sz w:val="16"/>
          <w:szCs w:val="16"/>
        </w:rPr>
        <w:t xml:space="preserve"> Courts in the exercise of his/her</w:t>
      </w:r>
      <w:r w:rsidRPr="00215765">
        <w:rPr>
          <w:sz w:val="16"/>
          <w:szCs w:val="16"/>
        </w:rPr>
        <w:t xml:space="preserve"> parental authority in relation to filiation action (Articles 314, 319, 322 and following of the </w:t>
      </w:r>
      <w:hyperlink r:id="rId48" w:history="1">
        <w:r w:rsidRPr="00215765">
          <w:rPr>
            <w:rStyle w:val="Hyperlink"/>
            <w:rFonts w:cs="Arial"/>
            <w:sz w:val="16"/>
            <w:szCs w:val="16"/>
          </w:rPr>
          <w:t>Civil Code</w:t>
        </w:r>
      </w:hyperlink>
      <w:r w:rsidRPr="00215765">
        <w:rPr>
          <w:sz w:val="16"/>
          <w:szCs w:val="16"/>
        </w:rPr>
        <w:t xml:space="preserve">), maintenance action (Article 203bis and 203ter of the </w:t>
      </w:r>
      <w:hyperlink r:id="rId49" w:history="1">
        <w:r w:rsidRPr="00215765">
          <w:rPr>
            <w:rStyle w:val="Hyperlink"/>
            <w:rFonts w:cs="Arial"/>
            <w:sz w:val="16"/>
            <w:szCs w:val="16"/>
          </w:rPr>
          <w:t>Civil Code</w:t>
        </w:r>
      </w:hyperlink>
      <w:r w:rsidRPr="00215765">
        <w:rPr>
          <w:sz w:val="16"/>
          <w:szCs w:val="16"/>
        </w:rPr>
        <w:t xml:space="preserve">), adoption proceedings (Article 348.1 and following of the </w:t>
      </w:r>
      <w:hyperlink r:id="rId50" w:history="1">
        <w:r w:rsidRPr="00215765">
          <w:rPr>
            <w:rStyle w:val="Hyperlink"/>
            <w:rFonts w:cs="Arial"/>
            <w:sz w:val="16"/>
            <w:szCs w:val="16"/>
          </w:rPr>
          <w:t>Civil Code</w:t>
        </w:r>
      </w:hyperlink>
      <w:r w:rsidRPr="00215765">
        <w:rPr>
          <w:sz w:val="16"/>
          <w:szCs w:val="16"/>
        </w:rPr>
        <w:t xml:space="preserve">) and parental authority request before the Youth Tribunal (Article Article 373 and following of the </w:t>
      </w:r>
      <w:hyperlink r:id="rId51" w:history="1">
        <w:r w:rsidRPr="00215765">
          <w:rPr>
            <w:rStyle w:val="Hyperlink"/>
            <w:rFonts w:cs="Arial"/>
            <w:sz w:val="16"/>
            <w:szCs w:val="16"/>
          </w:rPr>
          <w:t>Civil Code</w:t>
        </w:r>
      </w:hyperlink>
      <w:r w:rsidRPr="00215765">
        <w:rPr>
          <w:sz w:val="16"/>
          <w:szCs w:val="16"/>
        </w:rPr>
        <w:t>).</w:t>
      </w:r>
    </w:p>
  </w:footnote>
  <w:footnote w:id="46">
    <w:p w14:paraId="29D8784B" w14:textId="77777777" w:rsidR="0085750C" w:rsidRPr="00215765" w:rsidRDefault="0085750C" w:rsidP="00CE5D13">
      <w:pPr>
        <w:pStyle w:val="FootnoteText"/>
        <w:jc w:val="both"/>
        <w:rPr>
          <w:sz w:val="16"/>
          <w:szCs w:val="16"/>
          <w:lang w:val="fr-BE"/>
        </w:rPr>
      </w:pPr>
      <w:r w:rsidRPr="00215765">
        <w:rPr>
          <w:rStyle w:val="FootnoteReference"/>
          <w:rFonts w:cs="Arial"/>
          <w:sz w:val="16"/>
          <w:szCs w:val="16"/>
        </w:rPr>
        <w:footnoteRef/>
      </w:r>
      <w:r w:rsidRPr="00215765">
        <w:rPr>
          <w:sz w:val="16"/>
          <w:szCs w:val="16"/>
          <w:lang w:val="fr-BE"/>
        </w:rPr>
        <w:t xml:space="preserve"> Civ. Gand (Réf.), arrêt du 16 mai 2002 [JDJ, n°228, oct. 2003, p. 35]. See Defence for children, ‘</w:t>
      </w:r>
      <w:hyperlink r:id="rId52" w:history="1">
        <w:r w:rsidRPr="00215765">
          <w:rPr>
            <w:rStyle w:val="Hyperlink"/>
            <w:rFonts w:cs="Arial"/>
            <w:sz w:val="16"/>
            <w:szCs w:val="16"/>
            <w:lang w:val="fr-BE"/>
          </w:rPr>
          <w:t>Children’s access to justice</w:t>
        </w:r>
      </w:hyperlink>
      <w:r w:rsidRPr="00215765">
        <w:rPr>
          <w:sz w:val="16"/>
          <w:szCs w:val="16"/>
          <w:lang w:val="fr-BE"/>
        </w:rPr>
        <w:t>’, 2009.</w:t>
      </w:r>
    </w:p>
  </w:footnote>
  <w:footnote w:id="47">
    <w:p w14:paraId="708BA63E" w14:textId="77777777" w:rsidR="0085750C" w:rsidRPr="00215765" w:rsidRDefault="0085750C" w:rsidP="00CE5D13">
      <w:pPr>
        <w:pStyle w:val="FootnoteText"/>
        <w:jc w:val="both"/>
        <w:rPr>
          <w:sz w:val="16"/>
          <w:szCs w:val="16"/>
          <w:lang w:val="fr-BE"/>
        </w:rPr>
      </w:pPr>
      <w:r w:rsidRPr="00215765">
        <w:rPr>
          <w:rStyle w:val="FootnoteReference"/>
          <w:rFonts w:cs="Arial"/>
          <w:sz w:val="16"/>
          <w:szCs w:val="16"/>
        </w:rPr>
        <w:footnoteRef/>
      </w:r>
      <w:r w:rsidRPr="00215765">
        <w:rPr>
          <w:sz w:val="16"/>
          <w:szCs w:val="16"/>
          <w:lang w:val="fr-BE"/>
        </w:rPr>
        <w:t xml:space="preserve"> Cécile De Boe, </w:t>
      </w:r>
      <w:r w:rsidRPr="00F43706">
        <w:rPr>
          <w:i/>
          <w:sz w:val="16"/>
          <w:szCs w:val="16"/>
          <w:lang w:val="fr-BE"/>
        </w:rPr>
        <w:t>‘The position of the child in civil proceedings</w:t>
      </w:r>
      <w:r>
        <w:rPr>
          <w:i/>
          <w:sz w:val="16"/>
          <w:szCs w:val="16"/>
          <w:lang w:val="fr-BE"/>
        </w:rPr>
        <w:t>’</w:t>
      </w:r>
      <w:r w:rsidRPr="00F43706">
        <w:rPr>
          <w:i/>
          <w:sz w:val="16"/>
          <w:szCs w:val="16"/>
          <w:lang w:val="fr-BE"/>
        </w:rPr>
        <w:t xml:space="preserve"> </w:t>
      </w:r>
      <w:r w:rsidRPr="00215765">
        <w:rPr>
          <w:sz w:val="16"/>
          <w:szCs w:val="16"/>
          <w:lang w:val="fr-BE"/>
        </w:rPr>
        <w:t>(</w:t>
      </w:r>
      <w:r w:rsidRPr="00215765">
        <w:rPr>
          <w:i/>
          <w:sz w:val="16"/>
          <w:szCs w:val="16"/>
          <w:lang w:val="fr-BE"/>
        </w:rPr>
        <w:t>La place de l’enfant dans le procès civil</w:t>
      </w:r>
      <w:r w:rsidRPr="00215765">
        <w:rPr>
          <w:sz w:val="16"/>
          <w:szCs w:val="16"/>
          <w:lang w:val="fr-BE"/>
        </w:rPr>
        <w:t xml:space="preserve">)’, 2009, </w:t>
      </w:r>
      <w:r w:rsidRPr="00215765">
        <w:rPr>
          <w:i/>
          <w:sz w:val="16"/>
          <w:szCs w:val="16"/>
          <w:lang w:val="fr-BE"/>
        </w:rPr>
        <w:t>Journal des Tribunaux</w:t>
      </w:r>
      <w:r w:rsidRPr="00215765">
        <w:rPr>
          <w:sz w:val="16"/>
          <w:szCs w:val="16"/>
          <w:lang w:val="fr-BE"/>
        </w:rPr>
        <w:t>, pp. 485-494.</w:t>
      </w:r>
    </w:p>
  </w:footnote>
  <w:footnote w:id="48">
    <w:p w14:paraId="38757FED" w14:textId="77777777" w:rsidR="0085750C" w:rsidRPr="00215765" w:rsidRDefault="0085750C" w:rsidP="00CE5D13">
      <w:pPr>
        <w:pStyle w:val="FootnoteText"/>
        <w:jc w:val="both"/>
        <w:rPr>
          <w:sz w:val="16"/>
          <w:szCs w:val="16"/>
        </w:rPr>
      </w:pPr>
      <w:r w:rsidRPr="00215765">
        <w:rPr>
          <w:rStyle w:val="FootnoteReference"/>
          <w:rFonts w:cs="Arial"/>
          <w:sz w:val="16"/>
          <w:szCs w:val="16"/>
        </w:rPr>
        <w:footnoteRef/>
      </w:r>
      <w:r w:rsidRPr="00215765">
        <w:rPr>
          <w:sz w:val="16"/>
          <w:szCs w:val="16"/>
        </w:rPr>
        <w:t xml:space="preserve"> </w:t>
      </w:r>
      <w:r>
        <w:rPr>
          <w:sz w:val="16"/>
          <w:szCs w:val="16"/>
        </w:rPr>
        <w:t>i</w:t>
      </w:r>
      <w:r w:rsidRPr="00215765">
        <w:rPr>
          <w:sz w:val="16"/>
          <w:szCs w:val="16"/>
        </w:rPr>
        <w:t>bid.</w:t>
      </w:r>
    </w:p>
  </w:footnote>
  <w:footnote w:id="49">
    <w:p w14:paraId="0EB9740D" w14:textId="77777777" w:rsidR="0085750C" w:rsidRPr="00215765" w:rsidRDefault="0085750C" w:rsidP="00CE5D13">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Articles 373 and 374 of the </w:t>
      </w:r>
      <w:hyperlink r:id="rId53" w:history="1">
        <w:r w:rsidRPr="00215765">
          <w:rPr>
            <w:rStyle w:val="Hyperlink"/>
            <w:rFonts w:cs="Arial"/>
            <w:sz w:val="16"/>
            <w:szCs w:val="16"/>
          </w:rPr>
          <w:t>Civil Code</w:t>
        </w:r>
      </w:hyperlink>
      <w:r w:rsidRPr="00215765">
        <w:rPr>
          <w:sz w:val="16"/>
          <w:szCs w:val="16"/>
        </w:rPr>
        <w:t>.</w:t>
      </w:r>
    </w:p>
  </w:footnote>
  <w:footnote w:id="50">
    <w:p w14:paraId="7BA5DF1A" w14:textId="77777777" w:rsidR="0085750C" w:rsidRPr="00215765" w:rsidRDefault="0085750C" w:rsidP="00CE5D13">
      <w:pPr>
        <w:pStyle w:val="FootnoteText"/>
        <w:jc w:val="both"/>
        <w:rPr>
          <w:sz w:val="16"/>
          <w:szCs w:val="16"/>
        </w:rPr>
      </w:pPr>
      <w:r w:rsidRPr="00215765">
        <w:rPr>
          <w:rStyle w:val="FootnoteReference"/>
          <w:rFonts w:cs="Arial"/>
          <w:sz w:val="16"/>
          <w:szCs w:val="16"/>
        </w:rPr>
        <w:footnoteRef/>
      </w:r>
      <w:r w:rsidRPr="00215765">
        <w:rPr>
          <w:sz w:val="16"/>
          <w:szCs w:val="16"/>
        </w:rPr>
        <w:t xml:space="preserve"> </w:t>
      </w:r>
      <w:r w:rsidRPr="00215765">
        <w:rPr>
          <w:bCs/>
          <w:sz w:val="16"/>
          <w:szCs w:val="16"/>
        </w:rPr>
        <w:t xml:space="preserve">Article 378 of the </w:t>
      </w:r>
      <w:hyperlink r:id="rId54" w:history="1">
        <w:r w:rsidRPr="00215765">
          <w:rPr>
            <w:rStyle w:val="Hyperlink"/>
            <w:rFonts w:cs="Arial"/>
            <w:sz w:val="16"/>
            <w:szCs w:val="16"/>
          </w:rPr>
          <w:t>Civil Code</w:t>
        </w:r>
      </w:hyperlink>
      <w:r w:rsidRPr="00215765">
        <w:rPr>
          <w:bCs/>
          <w:sz w:val="16"/>
          <w:szCs w:val="16"/>
        </w:rPr>
        <w:t>.</w:t>
      </w:r>
    </w:p>
  </w:footnote>
  <w:footnote w:id="51">
    <w:p w14:paraId="256CD41F" w14:textId="77777777" w:rsidR="0085750C" w:rsidRPr="00215765" w:rsidRDefault="0085750C" w:rsidP="00CE5D13">
      <w:pPr>
        <w:pStyle w:val="FootnoteText"/>
        <w:jc w:val="both"/>
        <w:rPr>
          <w:sz w:val="16"/>
          <w:szCs w:val="16"/>
        </w:rPr>
      </w:pPr>
      <w:r w:rsidRPr="00215765">
        <w:rPr>
          <w:rStyle w:val="FootnoteReference"/>
          <w:rFonts w:cs="Arial"/>
          <w:sz w:val="16"/>
          <w:szCs w:val="16"/>
        </w:rPr>
        <w:footnoteRef/>
      </w:r>
      <w:r w:rsidRPr="00215765">
        <w:rPr>
          <w:sz w:val="16"/>
          <w:szCs w:val="16"/>
        </w:rPr>
        <w:t xml:space="preserve"> Thierry Moreau, ‘</w:t>
      </w:r>
      <w:r w:rsidRPr="00F43706">
        <w:rPr>
          <w:i/>
          <w:sz w:val="16"/>
          <w:szCs w:val="16"/>
        </w:rPr>
        <w:t>The autonomy of the minor in justice</w:t>
      </w:r>
      <w:r>
        <w:rPr>
          <w:i/>
          <w:sz w:val="16"/>
          <w:szCs w:val="16"/>
        </w:rPr>
        <w:t>’</w:t>
      </w:r>
      <w:r w:rsidRPr="00215765">
        <w:rPr>
          <w:sz w:val="16"/>
          <w:szCs w:val="16"/>
        </w:rPr>
        <w:t xml:space="preserve"> (L’autonomie du mineur en justice)’, in </w:t>
      </w:r>
      <w:r w:rsidRPr="00215765">
        <w:rPr>
          <w:i/>
          <w:sz w:val="16"/>
          <w:szCs w:val="16"/>
        </w:rPr>
        <w:t>L’autonomie du mineur</w:t>
      </w:r>
      <w:r w:rsidRPr="00215765">
        <w:rPr>
          <w:sz w:val="16"/>
          <w:szCs w:val="16"/>
        </w:rPr>
        <w:t>, eds P. Jadoul, J. Sambon and B. Van Keirsblick, p.170.</w:t>
      </w:r>
    </w:p>
  </w:footnote>
  <w:footnote w:id="52">
    <w:p w14:paraId="5B125D7C" w14:textId="77777777" w:rsidR="0085750C" w:rsidRPr="00215765" w:rsidRDefault="0085750C" w:rsidP="00CE5D13">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 372 of the </w:t>
      </w:r>
      <w:hyperlink r:id="rId55" w:history="1">
        <w:r w:rsidRPr="00215765">
          <w:rPr>
            <w:rStyle w:val="Hyperlink"/>
            <w:rFonts w:cs="Arial"/>
            <w:sz w:val="16"/>
            <w:szCs w:val="16"/>
          </w:rPr>
          <w:t>Civil Code</w:t>
        </w:r>
      </w:hyperlink>
      <w:r w:rsidRPr="00215765">
        <w:rPr>
          <w:sz w:val="16"/>
          <w:szCs w:val="16"/>
        </w:rPr>
        <w:t>.</w:t>
      </w:r>
    </w:p>
  </w:footnote>
  <w:footnote w:id="53">
    <w:p w14:paraId="6A994F09" w14:textId="77777777" w:rsidR="0085750C" w:rsidRPr="00215765" w:rsidRDefault="0085750C" w:rsidP="00CE5D13">
      <w:pPr>
        <w:pStyle w:val="FootnoteText"/>
        <w:jc w:val="both"/>
        <w:rPr>
          <w:sz w:val="16"/>
          <w:szCs w:val="16"/>
          <w:lang w:val="fr-BE"/>
        </w:rPr>
      </w:pPr>
      <w:r w:rsidRPr="00215765">
        <w:rPr>
          <w:rStyle w:val="FootnoteReference"/>
          <w:rFonts w:cs="Arial"/>
          <w:sz w:val="16"/>
          <w:szCs w:val="16"/>
        </w:rPr>
        <w:footnoteRef/>
      </w:r>
      <w:r w:rsidRPr="00215765">
        <w:rPr>
          <w:sz w:val="16"/>
          <w:szCs w:val="16"/>
          <w:lang w:val="fr-BE"/>
        </w:rPr>
        <w:t xml:space="preserve"> Cécile De Boe, </w:t>
      </w:r>
      <w:r w:rsidRPr="00F43706">
        <w:rPr>
          <w:i/>
          <w:sz w:val="16"/>
          <w:szCs w:val="16"/>
          <w:lang w:val="fr-BE"/>
        </w:rPr>
        <w:t>‘The position of the child in civil proceedings</w:t>
      </w:r>
      <w:r>
        <w:rPr>
          <w:i/>
          <w:sz w:val="16"/>
          <w:szCs w:val="16"/>
          <w:lang w:val="fr-BE"/>
        </w:rPr>
        <w:t>’</w:t>
      </w:r>
      <w:r w:rsidRPr="00215765">
        <w:rPr>
          <w:sz w:val="16"/>
          <w:szCs w:val="16"/>
          <w:lang w:val="fr-BE"/>
        </w:rPr>
        <w:t xml:space="preserve"> (</w:t>
      </w:r>
      <w:r w:rsidRPr="00215765">
        <w:rPr>
          <w:i/>
          <w:sz w:val="16"/>
          <w:szCs w:val="16"/>
          <w:lang w:val="fr-BE"/>
        </w:rPr>
        <w:t>La place de l’enfant dans le procès civil</w:t>
      </w:r>
      <w:r w:rsidRPr="00215765">
        <w:rPr>
          <w:sz w:val="16"/>
          <w:szCs w:val="16"/>
          <w:lang w:val="fr-BE"/>
        </w:rPr>
        <w:t xml:space="preserve">)’, 2009, </w:t>
      </w:r>
      <w:r w:rsidRPr="00215765">
        <w:rPr>
          <w:i/>
          <w:sz w:val="16"/>
          <w:szCs w:val="16"/>
          <w:lang w:val="fr-BE"/>
        </w:rPr>
        <w:t>Journal des Tribunaux</w:t>
      </w:r>
      <w:r w:rsidRPr="00215765">
        <w:rPr>
          <w:sz w:val="16"/>
          <w:szCs w:val="16"/>
          <w:lang w:val="fr-BE"/>
        </w:rPr>
        <w:t>, p.487.</w:t>
      </w:r>
    </w:p>
  </w:footnote>
  <w:footnote w:id="54">
    <w:p w14:paraId="5251EBE7" w14:textId="77777777" w:rsidR="0085750C" w:rsidRPr="00215765" w:rsidRDefault="0085750C" w:rsidP="00CE5D13">
      <w:pPr>
        <w:pStyle w:val="FootnoteText"/>
        <w:jc w:val="both"/>
        <w:rPr>
          <w:sz w:val="16"/>
          <w:szCs w:val="16"/>
          <w:lang w:val="fr-BE"/>
        </w:rPr>
      </w:pPr>
      <w:r w:rsidRPr="00215765">
        <w:rPr>
          <w:rStyle w:val="FootnoteReference"/>
          <w:rFonts w:cs="Arial"/>
          <w:sz w:val="16"/>
          <w:szCs w:val="16"/>
        </w:rPr>
        <w:footnoteRef/>
      </w:r>
      <w:r w:rsidRPr="00215765">
        <w:rPr>
          <w:sz w:val="16"/>
          <w:szCs w:val="16"/>
          <w:lang w:val="fr-BE"/>
        </w:rPr>
        <w:t xml:space="preserve"> Kinderrechtswinkels, Services droit des jeunes and Infor Jeunes Bruxelles, </w:t>
      </w:r>
      <w:r w:rsidRPr="00215765">
        <w:rPr>
          <w:i/>
          <w:sz w:val="16"/>
          <w:szCs w:val="16"/>
          <w:lang w:val="fr-BE"/>
        </w:rPr>
        <w:t>The legal position of the minor in practice (La position juridique du mineur dans la pratique)</w:t>
      </w:r>
      <w:r w:rsidRPr="00215765">
        <w:rPr>
          <w:sz w:val="16"/>
          <w:szCs w:val="16"/>
          <w:lang w:val="fr-BE"/>
        </w:rPr>
        <w:t>, 2006, UGA, p.75.</w:t>
      </w:r>
    </w:p>
  </w:footnote>
  <w:footnote w:id="55">
    <w:p w14:paraId="2BD3EE10" w14:textId="77777777" w:rsidR="0085750C" w:rsidRPr="00215765" w:rsidRDefault="0085750C" w:rsidP="00CE5D13">
      <w:pPr>
        <w:pStyle w:val="FootnoteText"/>
        <w:jc w:val="both"/>
        <w:rPr>
          <w:sz w:val="16"/>
          <w:szCs w:val="16"/>
        </w:rPr>
      </w:pPr>
      <w:r w:rsidRPr="00215765">
        <w:rPr>
          <w:rStyle w:val="FootnoteReference"/>
          <w:rFonts w:cs="Arial"/>
          <w:sz w:val="16"/>
          <w:szCs w:val="16"/>
        </w:rPr>
        <w:footnoteRef/>
      </w:r>
      <w:r w:rsidRPr="00215765">
        <w:rPr>
          <w:sz w:val="16"/>
          <w:szCs w:val="16"/>
        </w:rPr>
        <w:t xml:space="preserve"> </w:t>
      </w:r>
      <w:hyperlink r:id="rId56" w:history="1">
        <w:r w:rsidRPr="00215765">
          <w:rPr>
            <w:rStyle w:val="Hyperlink"/>
            <w:rFonts w:cs="Arial"/>
            <w:sz w:val="16"/>
            <w:szCs w:val="16"/>
          </w:rPr>
          <w:t>Act of 4 July 1985 on the capacity of the minor for certain operation with regard to saving</w:t>
        </w:r>
      </w:hyperlink>
      <w:r w:rsidRPr="00215765">
        <w:rPr>
          <w:sz w:val="16"/>
          <w:szCs w:val="16"/>
        </w:rPr>
        <w:t>.</w:t>
      </w:r>
    </w:p>
  </w:footnote>
  <w:footnote w:id="56">
    <w:p w14:paraId="7C6099ED" w14:textId="77777777" w:rsidR="0085750C" w:rsidRPr="00215765" w:rsidRDefault="0085750C" w:rsidP="00CE5D13">
      <w:pPr>
        <w:pStyle w:val="FootnoteText"/>
        <w:jc w:val="both"/>
        <w:rPr>
          <w:sz w:val="16"/>
          <w:szCs w:val="16"/>
          <w:lang w:val="fr-BE"/>
        </w:rPr>
      </w:pPr>
      <w:r w:rsidRPr="00215765">
        <w:rPr>
          <w:rStyle w:val="FootnoteReference"/>
          <w:rFonts w:cs="Arial"/>
          <w:sz w:val="16"/>
          <w:szCs w:val="16"/>
        </w:rPr>
        <w:footnoteRef/>
      </w:r>
      <w:r w:rsidRPr="00215765">
        <w:rPr>
          <w:sz w:val="16"/>
          <w:szCs w:val="16"/>
          <w:lang w:val="fr-BE"/>
        </w:rPr>
        <w:t xml:space="preserve"> Cécile De Boe, </w:t>
      </w:r>
      <w:r w:rsidRPr="00F43706">
        <w:rPr>
          <w:i/>
          <w:sz w:val="16"/>
          <w:szCs w:val="16"/>
          <w:lang w:val="fr-BE"/>
        </w:rPr>
        <w:t>‘The position of the child in civil proceedings</w:t>
      </w:r>
      <w:r>
        <w:rPr>
          <w:i/>
          <w:sz w:val="16"/>
          <w:szCs w:val="16"/>
          <w:lang w:val="fr-BE"/>
        </w:rPr>
        <w:t>’</w:t>
      </w:r>
      <w:r w:rsidRPr="00215765">
        <w:rPr>
          <w:sz w:val="16"/>
          <w:szCs w:val="16"/>
          <w:lang w:val="fr-BE"/>
        </w:rPr>
        <w:t xml:space="preserve"> (</w:t>
      </w:r>
      <w:r w:rsidRPr="00215765">
        <w:rPr>
          <w:i/>
          <w:sz w:val="16"/>
          <w:szCs w:val="16"/>
          <w:lang w:val="fr-BE"/>
        </w:rPr>
        <w:t>La place de l’enfant dans le procès civil</w:t>
      </w:r>
      <w:r w:rsidRPr="00215765">
        <w:rPr>
          <w:sz w:val="16"/>
          <w:szCs w:val="16"/>
          <w:lang w:val="fr-BE"/>
        </w:rPr>
        <w:t xml:space="preserve">)’, 2009, </w:t>
      </w:r>
      <w:r w:rsidRPr="00215765">
        <w:rPr>
          <w:i/>
          <w:sz w:val="16"/>
          <w:szCs w:val="16"/>
          <w:lang w:val="fr-BE"/>
        </w:rPr>
        <w:t>Journal des Tribunaux</w:t>
      </w:r>
      <w:r w:rsidRPr="00215765">
        <w:rPr>
          <w:sz w:val="16"/>
          <w:szCs w:val="16"/>
          <w:lang w:val="fr-BE"/>
        </w:rPr>
        <w:t>, pp. 488-489.</w:t>
      </w:r>
    </w:p>
  </w:footnote>
  <w:footnote w:id="57">
    <w:p w14:paraId="20FE0931" w14:textId="77777777" w:rsidR="0085750C" w:rsidRPr="00215765" w:rsidRDefault="0085750C" w:rsidP="00CE5D13">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 43 of the </w:t>
      </w:r>
      <w:hyperlink r:id="rId57" w:history="1">
        <w:r w:rsidRPr="00215765">
          <w:rPr>
            <w:rStyle w:val="Hyperlink"/>
            <w:rFonts w:cs="Arial"/>
            <w:sz w:val="16"/>
            <w:szCs w:val="16"/>
          </w:rPr>
          <w:t>Act of 3 July 1978 regarding employment contracts</w:t>
        </w:r>
      </w:hyperlink>
      <w:r w:rsidRPr="00215765">
        <w:rPr>
          <w:sz w:val="16"/>
          <w:szCs w:val="16"/>
        </w:rPr>
        <w:t>.</w:t>
      </w:r>
    </w:p>
  </w:footnote>
  <w:footnote w:id="58">
    <w:p w14:paraId="4CB36C73" w14:textId="77777777" w:rsidR="0085750C" w:rsidRPr="00215765" w:rsidRDefault="0085750C" w:rsidP="00CE5D13">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 46 of the </w:t>
      </w:r>
      <w:hyperlink r:id="rId58" w:history="1">
        <w:r w:rsidRPr="00215765">
          <w:rPr>
            <w:rStyle w:val="Hyperlink"/>
            <w:rFonts w:cs="Arial"/>
            <w:sz w:val="16"/>
            <w:szCs w:val="16"/>
          </w:rPr>
          <w:t>Act of 3 July 1978 regarding employment contracts</w:t>
        </w:r>
      </w:hyperlink>
      <w:r w:rsidRPr="00215765">
        <w:rPr>
          <w:sz w:val="16"/>
          <w:szCs w:val="16"/>
        </w:rPr>
        <w:t>.</w:t>
      </w:r>
    </w:p>
  </w:footnote>
  <w:footnote w:id="59">
    <w:p w14:paraId="1A5454D7" w14:textId="77777777" w:rsidR="0085750C" w:rsidRPr="00215765" w:rsidRDefault="0085750C" w:rsidP="00CE5D13">
      <w:pPr>
        <w:pStyle w:val="FootnoteText"/>
        <w:jc w:val="both"/>
        <w:rPr>
          <w:sz w:val="16"/>
          <w:szCs w:val="16"/>
        </w:rPr>
      </w:pPr>
      <w:r w:rsidRPr="00215765">
        <w:rPr>
          <w:rStyle w:val="FootnoteReference"/>
          <w:rFonts w:cs="Arial"/>
          <w:sz w:val="16"/>
          <w:szCs w:val="16"/>
        </w:rPr>
        <w:footnoteRef/>
      </w:r>
      <w:r w:rsidRPr="00215765">
        <w:rPr>
          <w:sz w:val="16"/>
          <w:szCs w:val="16"/>
        </w:rPr>
        <w:t xml:space="preserve"> Court of </w:t>
      </w:r>
      <w:r w:rsidRPr="00215765">
        <w:rPr>
          <w:bCs/>
          <w:sz w:val="16"/>
          <w:szCs w:val="16"/>
        </w:rPr>
        <w:t xml:space="preserve">Cassation of 16 October 1970; Labour Court Tribunal of Huy of 18 September 1974 and Labour Court of Liège of 5 May 1973. Information collected via </w:t>
      </w:r>
      <w:r w:rsidRPr="00215765">
        <w:rPr>
          <w:sz w:val="16"/>
          <w:szCs w:val="16"/>
        </w:rPr>
        <w:t>stakeholder consultation with a Children’s Rights authority.</w:t>
      </w:r>
    </w:p>
  </w:footnote>
  <w:footnote w:id="60">
    <w:p w14:paraId="678513B2" w14:textId="77777777" w:rsidR="0085750C" w:rsidRPr="00215765" w:rsidRDefault="0085750C" w:rsidP="002E0212">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 1384 of the </w:t>
      </w:r>
      <w:hyperlink r:id="rId59" w:history="1">
        <w:r w:rsidRPr="00215765">
          <w:rPr>
            <w:rStyle w:val="Hyperlink"/>
            <w:rFonts w:cs="Arial"/>
            <w:sz w:val="16"/>
            <w:szCs w:val="16"/>
          </w:rPr>
          <w:t>Civil Code</w:t>
        </w:r>
      </w:hyperlink>
      <w:r w:rsidRPr="00215765">
        <w:rPr>
          <w:sz w:val="16"/>
          <w:szCs w:val="16"/>
        </w:rPr>
        <w:t>.</w:t>
      </w:r>
    </w:p>
  </w:footnote>
  <w:footnote w:id="61">
    <w:p w14:paraId="77517D4F" w14:textId="77777777" w:rsidR="0085750C" w:rsidRPr="00215765" w:rsidRDefault="0085750C" w:rsidP="002E0212">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 1382 of the </w:t>
      </w:r>
      <w:hyperlink r:id="rId60" w:history="1">
        <w:r w:rsidRPr="00215765">
          <w:rPr>
            <w:rStyle w:val="Hyperlink"/>
            <w:rFonts w:cs="Arial"/>
            <w:sz w:val="16"/>
            <w:szCs w:val="16"/>
          </w:rPr>
          <w:t>Civil Code</w:t>
        </w:r>
      </w:hyperlink>
      <w:r w:rsidRPr="00215765">
        <w:rPr>
          <w:sz w:val="16"/>
          <w:szCs w:val="16"/>
        </w:rPr>
        <w:t xml:space="preserve"> will </w:t>
      </w:r>
      <w:r>
        <w:rPr>
          <w:sz w:val="16"/>
          <w:szCs w:val="16"/>
        </w:rPr>
        <w:t>then apply where any action causes</w:t>
      </w:r>
      <w:r w:rsidRPr="00215765">
        <w:rPr>
          <w:sz w:val="16"/>
          <w:szCs w:val="16"/>
        </w:rPr>
        <w:t xml:space="preserve"> a damage to someone</w:t>
      </w:r>
      <w:r>
        <w:rPr>
          <w:sz w:val="16"/>
          <w:szCs w:val="16"/>
        </w:rPr>
        <w:t>, which</w:t>
      </w:r>
      <w:r w:rsidRPr="00215765">
        <w:rPr>
          <w:sz w:val="16"/>
          <w:szCs w:val="16"/>
        </w:rPr>
        <w:t xml:space="preserve"> must be repaired by the person by whose fault the act</w:t>
      </w:r>
      <w:r>
        <w:rPr>
          <w:sz w:val="16"/>
          <w:szCs w:val="16"/>
        </w:rPr>
        <w:t>ion</w:t>
      </w:r>
      <w:r w:rsidRPr="00215765">
        <w:rPr>
          <w:sz w:val="16"/>
          <w:szCs w:val="16"/>
        </w:rPr>
        <w:t xml:space="preserve"> happened.</w:t>
      </w:r>
    </w:p>
  </w:footnote>
  <w:footnote w:id="62">
    <w:p w14:paraId="0C414440" w14:textId="77777777" w:rsidR="0085750C" w:rsidRPr="00215765" w:rsidRDefault="0085750C" w:rsidP="002E0212">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 931 of the </w:t>
      </w:r>
      <w:hyperlink r:id="rId61" w:history="1">
        <w:r w:rsidRPr="00215765">
          <w:rPr>
            <w:rStyle w:val="Hyperlink"/>
            <w:rFonts w:cs="Arial"/>
            <w:sz w:val="16"/>
            <w:szCs w:val="16"/>
          </w:rPr>
          <w:t>Judicial Code</w:t>
        </w:r>
      </w:hyperlink>
      <w:r w:rsidRPr="00215765">
        <w:rPr>
          <w:sz w:val="16"/>
          <w:szCs w:val="16"/>
        </w:rPr>
        <w:t>.</w:t>
      </w:r>
    </w:p>
  </w:footnote>
  <w:footnote w:id="63">
    <w:p w14:paraId="3EE40B2A" w14:textId="77777777" w:rsidR="0085750C" w:rsidRPr="00215765" w:rsidRDefault="0085750C" w:rsidP="002E0212">
      <w:pPr>
        <w:pStyle w:val="FootnoteText"/>
        <w:jc w:val="both"/>
        <w:rPr>
          <w:sz w:val="16"/>
          <w:szCs w:val="16"/>
        </w:rPr>
      </w:pPr>
      <w:r w:rsidRPr="00215765">
        <w:rPr>
          <w:rStyle w:val="FootnoteReference"/>
          <w:rFonts w:cs="Arial"/>
          <w:sz w:val="16"/>
          <w:szCs w:val="16"/>
        </w:rPr>
        <w:footnoteRef/>
      </w:r>
      <w:r w:rsidRPr="00215765">
        <w:rPr>
          <w:sz w:val="16"/>
          <w:szCs w:val="16"/>
        </w:rPr>
        <w:t xml:space="preserve"> ibid.</w:t>
      </w:r>
    </w:p>
  </w:footnote>
  <w:footnote w:id="64">
    <w:p w14:paraId="4D8D21C6" w14:textId="77777777" w:rsidR="0085750C" w:rsidRPr="00215765" w:rsidRDefault="0085750C" w:rsidP="002E0212">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 348.1 of the </w:t>
      </w:r>
      <w:hyperlink r:id="rId62" w:history="1">
        <w:r w:rsidRPr="00215765">
          <w:rPr>
            <w:rStyle w:val="Hyperlink"/>
            <w:rFonts w:cs="Arial"/>
            <w:sz w:val="16"/>
            <w:szCs w:val="16"/>
          </w:rPr>
          <w:t>Civil Code</w:t>
        </w:r>
      </w:hyperlink>
      <w:r w:rsidRPr="00215765">
        <w:rPr>
          <w:sz w:val="16"/>
          <w:szCs w:val="16"/>
        </w:rPr>
        <w:t>.</w:t>
      </w:r>
    </w:p>
  </w:footnote>
  <w:footnote w:id="65">
    <w:p w14:paraId="3A5588C3" w14:textId="77777777" w:rsidR="0085750C" w:rsidRPr="00215765" w:rsidRDefault="0085750C" w:rsidP="002E0212">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 349.2 of the </w:t>
      </w:r>
      <w:hyperlink r:id="rId63" w:history="1">
        <w:r w:rsidRPr="00215765">
          <w:rPr>
            <w:rStyle w:val="Hyperlink"/>
            <w:rFonts w:cs="Arial"/>
            <w:sz w:val="16"/>
            <w:szCs w:val="16"/>
          </w:rPr>
          <w:t>Civil Code</w:t>
        </w:r>
      </w:hyperlink>
      <w:r w:rsidRPr="00215765">
        <w:rPr>
          <w:sz w:val="16"/>
          <w:szCs w:val="16"/>
        </w:rPr>
        <w:t>.</w:t>
      </w:r>
    </w:p>
  </w:footnote>
  <w:footnote w:id="66">
    <w:p w14:paraId="7E6C86E4" w14:textId="77777777" w:rsidR="0085750C" w:rsidRPr="00215765" w:rsidRDefault="0085750C" w:rsidP="002E0212">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 361.5 of the </w:t>
      </w:r>
      <w:hyperlink r:id="rId64" w:history="1">
        <w:r w:rsidRPr="00215765">
          <w:rPr>
            <w:rStyle w:val="Hyperlink"/>
            <w:rFonts w:cs="Arial"/>
            <w:sz w:val="16"/>
            <w:szCs w:val="16"/>
          </w:rPr>
          <w:t>Civil Code</w:t>
        </w:r>
      </w:hyperlink>
      <w:r w:rsidRPr="00215765">
        <w:rPr>
          <w:sz w:val="16"/>
          <w:szCs w:val="16"/>
        </w:rPr>
        <w:t>.</w:t>
      </w:r>
    </w:p>
  </w:footnote>
  <w:footnote w:id="67">
    <w:p w14:paraId="247FC1CE" w14:textId="77777777" w:rsidR="0085750C" w:rsidRPr="00215765" w:rsidRDefault="0085750C" w:rsidP="002E0212">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 354.1 of the </w:t>
      </w:r>
      <w:hyperlink r:id="rId65" w:history="1">
        <w:r w:rsidRPr="00215765">
          <w:rPr>
            <w:rStyle w:val="Hyperlink"/>
            <w:rFonts w:cs="Arial"/>
            <w:sz w:val="16"/>
            <w:szCs w:val="16"/>
          </w:rPr>
          <w:t>Civil Code</w:t>
        </w:r>
      </w:hyperlink>
      <w:r w:rsidRPr="00215765">
        <w:rPr>
          <w:sz w:val="16"/>
          <w:szCs w:val="16"/>
        </w:rPr>
        <w:t>.</w:t>
      </w:r>
    </w:p>
  </w:footnote>
  <w:footnote w:id="68">
    <w:p w14:paraId="543AC1BE" w14:textId="77777777" w:rsidR="0085750C" w:rsidRPr="00215765" w:rsidRDefault="0085750C" w:rsidP="002E0212">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 329bis of the </w:t>
      </w:r>
      <w:hyperlink r:id="rId66" w:history="1">
        <w:r w:rsidRPr="00215765">
          <w:rPr>
            <w:rStyle w:val="Hyperlink"/>
            <w:rFonts w:cs="Arial"/>
            <w:sz w:val="16"/>
            <w:szCs w:val="16"/>
          </w:rPr>
          <w:t>Civil Code</w:t>
        </w:r>
      </w:hyperlink>
      <w:r w:rsidRPr="00215765">
        <w:rPr>
          <w:sz w:val="16"/>
          <w:szCs w:val="16"/>
        </w:rPr>
        <w:t>.</w:t>
      </w:r>
    </w:p>
  </w:footnote>
  <w:footnote w:id="69">
    <w:p w14:paraId="6D2781EB" w14:textId="77777777" w:rsidR="0085750C" w:rsidRPr="00215765" w:rsidRDefault="0085750C" w:rsidP="002E0212">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Articles 330, 332ter and 331sexies of the </w:t>
      </w:r>
      <w:hyperlink r:id="rId67" w:history="1">
        <w:r w:rsidRPr="00215765">
          <w:rPr>
            <w:rStyle w:val="Hyperlink"/>
            <w:rFonts w:cs="Arial"/>
            <w:sz w:val="16"/>
            <w:szCs w:val="16"/>
          </w:rPr>
          <w:t>Civil Code</w:t>
        </w:r>
      </w:hyperlink>
      <w:r w:rsidRPr="00215765">
        <w:rPr>
          <w:sz w:val="16"/>
          <w:szCs w:val="16"/>
        </w:rPr>
        <w:t>.</w:t>
      </w:r>
    </w:p>
  </w:footnote>
  <w:footnote w:id="70">
    <w:p w14:paraId="1FB003CB" w14:textId="77777777" w:rsidR="0085750C" w:rsidRPr="00215765" w:rsidRDefault="0085750C" w:rsidP="002E0212">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 332quinquies of the </w:t>
      </w:r>
      <w:hyperlink r:id="rId68" w:history="1">
        <w:r w:rsidRPr="00215765">
          <w:rPr>
            <w:rStyle w:val="Hyperlink"/>
            <w:rFonts w:cs="Arial"/>
            <w:sz w:val="16"/>
            <w:szCs w:val="16"/>
          </w:rPr>
          <w:t>Civil Code</w:t>
        </w:r>
      </w:hyperlink>
      <w:r w:rsidRPr="00215765">
        <w:rPr>
          <w:sz w:val="16"/>
          <w:szCs w:val="16"/>
        </w:rPr>
        <w:t>.</w:t>
      </w:r>
    </w:p>
  </w:footnote>
  <w:footnote w:id="71">
    <w:p w14:paraId="3E8E3A1E" w14:textId="77777777" w:rsidR="0085750C" w:rsidRPr="00215765" w:rsidRDefault="0085750C" w:rsidP="002E0212">
      <w:pPr>
        <w:pStyle w:val="FootnoteText"/>
        <w:jc w:val="both"/>
        <w:rPr>
          <w:sz w:val="16"/>
          <w:szCs w:val="16"/>
        </w:rPr>
      </w:pPr>
      <w:r w:rsidRPr="00215765">
        <w:rPr>
          <w:rStyle w:val="FootnoteReference"/>
          <w:rFonts w:cs="Arial"/>
          <w:sz w:val="16"/>
          <w:szCs w:val="16"/>
        </w:rPr>
        <w:footnoteRef/>
      </w:r>
      <w:r w:rsidRPr="00215765">
        <w:rPr>
          <w:sz w:val="16"/>
          <w:szCs w:val="16"/>
        </w:rPr>
        <w:t xml:space="preserve"> </w:t>
      </w:r>
      <w:hyperlink r:id="rId69" w:history="1">
        <w:r w:rsidRPr="00215765">
          <w:rPr>
            <w:rStyle w:val="Hyperlink"/>
            <w:rFonts w:cs="Arial"/>
            <w:sz w:val="16"/>
            <w:szCs w:val="16"/>
          </w:rPr>
          <w:t>French Community Decree of 4 March 1991 on Youth Assistance</w:t>
        </w:r>
      </w:hyperlink>
      <w:r w:rsidRPr="00215765">
        <w:rPr>
          <w:sz w:val="16"/>
          <w:szCs w:val="16"/>
        </w:rPr>
        <w:t xml:space="preserve">, </w:t>
      </w:r>
      <w:hyperlink r:id="rId70" w:history="1">
        <w:r w:rsidRPr="00215765">
          <w:rPr>
            <w:rStyle w:val="Hyperlink"/>
            <w:rFonts w:cs="Arial"/>
            <w:sz w:val="16"/>
            <w:szCs w:val="16"/>
          </w:rPr>
          <w:t>Flemish Decree of 7 May 2004 on the minor status with regards to integrated youth welfare</w:t>
        </w:r>
      </w:hyperlink>
      <w:r w:rsidRPr="00215765">
        <w:rPr>
          <w:sz w:val="16"/>
          <w:szCs w:val="16"/>
        </w:rPr>
        <w:t xml:space="preserve"> and </w:t>
      </w:r>
      <w:hyperlink r:id="rId71" w:history="1">
        <w:r w:rsidRPr="00215765">
          <w:rPr>
            <w:rStyle w:val="Hyperlink"/>
            <w:rFonts w:cs="Arial"/>
            <w:sz w:val="16"/>
            <w:szCs w:val="16"/>
          </w:rPr>
          <w:t>Decree of the Flemish Community of 7 March 2008 on special youth assistance</w:t>
        </w:r>
      </w:hyperlink>
      <w:r>
        <w:rPr>
          <w:rStyle w:val="Hyperlink"/>
          <w:rFonts w:cs="Arial"/>
          <w:sz w:val="16"/>
          <w:szCs w:val="16"/>
        </w:rPr>
        <w:t xml:space="preserve"> </w:t>
      </w:r>
      <w:r>
        <w:rPr>
          <w:sz w:val="16"/>
          <w:szCs w:val="16"/>
        </w:rPr>
        <w:t xml:space="preserve">(as of 2014, Decree of the Flemish Community of </w:t>
      </w:r>
      <w:r w:rsidRPr="00B222A0">
        <w:rPr>
          <w:sz w:val="16"/>
          <w:szCs w:val="16"/>
        </w:rPr>
        <w:t>12 July 2013 on integrated youth welfare</w:t>
      </w:r>
      <w:r>
        <w:rPr>
          <w:sz w:val="16"/>
          <w:szCs w:val="16"/>
        </w:rPr>
        <w:t>).</w:t>
      </w:r>
      <w:r w:rsidRPr="00215765">
        <w:rPr>
          <w:sz w:val="16"/>
          <w:szCs w:val="16"/>
        </w:rPr>
        <w:t>.</w:t>
      </w:r>
    </w:p>
  </w:footnote>
  <w:footnote w:id="72">
    <w:p w14:paraId="715873A7" w14:textId="77777777" w:rsidR="0085750C" w:rsidRPr="00215765" w:rsidRDefault="0085750C" w:rsidP="002E0212">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Articles 38 and 39 of the </w:t>
      </w:r>
      <w:hyperlink r:id="rId72" w:history="1">
        <w:r w:rsidRPr="00215765">
          <w:rPr>
            <w:rStyle w:val="Hyperlink"/>
            <w:rFonts w:cs="Arial"/>
            <w:sz w:val="16"/>
            <w:szCs w:val="16"/>
          </w:rPr>
          <w:t>French Community Decree of 4 March 1991 on Youth Assistance</w:t>
        </w:r>
      </w:hyperlink>
      <w:r w:rsidRPr="00215765">
        <w:rPr>
          <w:sz w:val="16"/>
          <w:szCs w:val="16"/>
        </w:rPr>
        <w:t xml:space="preserve"> and Article 37 of the </w:t>
      </w:r>
      <w:hyperlink r:id="rId73" w:history="1">
        <w:r w:rsidRPr="00215765">
          <w:rPr>
            <w:rStyle w:val="Hyperlink"/>
            <w:rFonts w:cs="Arial"/>
            <w:sz w:val="16"/>
            <w:szCs w:val="16"/>
          </w:rPr>
          <w:t>Decree of the Flemish Community of 7 March 2008 on special youth assistance</w:t>
        </w:r>
      </w:hyperlink>
      <w:r>
        <w:rPr>
          <w:rStyle w:val="Hyperlink"/>
          <w:rFonts w:cs="Arial"/>
          <w:sz w:val="16"/>
          <w:szCs w:val="16"/>
        </w:rPr>
        <w:t xml:space="preserve"> </w:t>
      </w:r>
      <w:r>
        <w:rPr>
          <w:sz w:val="16"/>
          <w:szCs w:val="16"/>
        </w:rPr>
        <w:t xml:space="preserve">(as of 2014 Decree of the Flemish Community of </w:t>
      </w:r>
      <w:r w:rsidRPr="00B222A0">
        <w:rPr>
          <w:sz w:val="16"/>
          <w:szCs w:val="16"/>
        </w:rPr>
        <w:t>12 July 2013 on integrated youth welfare</w:t>
      </w:r>
      <w:r>
        <w:rPr>
          <w:sz w:val="16"/>
          <w:szCs w:val="16"/>
        </w:rPr>
        <w:t>)</w:t>
      </w:r>
      <w:r w:rsidRPr="00215765">
        <w:rPr>
          <w:sz w:val="16"/>
          <w:szCs w:val="16"/>
        </w:rPr>
        <w:t>.</w:t>
      </w:r>
    </w:p>
  </w:footnote>
  <w:footnote w:id="73">
    <w:p w14:paraId="35BC876E" w14:textId="77777777" w:rsidR="0085750C" w:rsidRPr="00215765" w:rsidRDefault="0085750C" w:rsidP="002E0212">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 168 of the </w:t>
      </w:r>
      <w:hyperlink r:id="rId74" w:history="1">
        <w:r w:rsidRPr="00215765">
          <w:rPr>
            <w:rStyle w:val="Hyperlink"/>
            <w:rFonts w:cs="Arial"/>
            <w:sz w:val="16"/>
            <w:szCs w:val="16"/>
          </w:rPr>
          <w:t>Judicial Code</w:t>
        </w:r>
      </w:hyperlink>
      <w:r w:rsidRPr="00215765">
        <w:rPr>
          <w:sz w:val="16"/>
          <w:szCs w:val="16"/>
        </w:rPr>
        <w:t xml:space="preserve"> and </w:t>
      </w:r>
      <w:hyperlink r:id="rId75" w:history="1">
        <w:r w:rsidRPr="00215765">
          <w:rPr>
            <w:rStyle w:val="Hyperlink"/>
            <w:rFonts w:cs="Arial"/>
            <w:sz w:val="16"/>
            <w:szCs w:val="16"/>
          </w:rPr>
          <w:t>travaux préparatoires of the Act of 17 February 1997</w:t>
        </w:r>
      </w:hyperlink>
      <w:r w:rsidRPr="00215765">
        <w:rPr>
          <w:sz w:val="16"/>
          <w:szCs w:val="16"/>
        </w:rPr>
        <w:t xml:space="preserve"> amending the Judicial Code with regard to the Registry and crown prosecutor’s offices.</w:t>
      </w:r>
    </w:p>
  </w:footnote>
  <w:footnote w:id="74">
    <w:p w14:paraId="1CA452B7" w14:textId="77777777" w:rsidR="0085750C" w:rsidRPr="00215765" w:rsidRDefault="0085750C" w:rsidP="002E0212">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 297 of the </w:t>
      </w:r>
      <w:hyperlink r:id="rId76" w:history="1">
        <w:r w:rsidRPr="00215765">
          <w:rPr>
            <w:rStyle w:val="Hyperlink"/>
            <w:rFonts w:cs="Arial"/>
            <w:sz w:val="16"/>
            <w:szCs w:val="16"/>
          </w:rPr>
          <w:t>Judicial Code</w:t>
        </w:r>
      </w:hyperlink>
      <w:r w:rsidRPr="00215765">
        <w:rPr>
          <w:sz w:val="16"/>
          <w:szCs w:val="16"/>
        </w:rPr>
        <w:t>.</w:t>
      </w:r>
    </w:p>
  </w:footnote>
  <w:footnote w:id="75">
    <w:p w14:paraId="67060275" w14:textId="77777777" w:rsidR="0085750C" w:rsidRPr="00215765" w:rsidRDefault="0085750C" w:rsidP="002E0212">
      <w:pPr>
        <w:pStyle w:val="FootnoteText"/>
        <w:jc w:val="both"/>
        <w:rPr>
          <w:sz w:val="16"/>
          <w:szCs w:val="16"/>
        </w:rPr>
      </w:pPr>
      <w:r w:rsidRPr="00215765">
        <w:rPr>
          <w:rStyle w:val="FootnoteReference"/>
          <w:rFonts w:cs="Arial"/>
          <w:sz w:val="16"/>
          <w:szCs w:val="16"/>
        </w:rPr>
        <w:footnoteRef/>
      </w:r>
      <w:r w:rsidRPr="00215765">
        <w:rPr>
          <w:sz w:val="16"/>
          <w:szCs w:val="16"/>
        </w:rPr>
        <w:t xml:space="preserve"> </w:t>
      </w:r>
      <w:hyperlink r:id="rId77" w:history="1">
        <w:r w:rsidRPr="00215765">
          <w:rPr>
            <w:rStyle w:val="Hyperlink"/>
            <w:rFonts w:cs="Arial"/>
            <w:sz w:val="16"/>
            <w:szCs w:val="16"/>
          </w:rPr>
          <w:t>UNICEF-Belgium</w:t>
        </w:r>
      </w:hyperlink>
      <w:r w:rsidRPr="00215765">
        <w:rPr>
          <w:sz w:val="16"/>
          <w:szCs w:val="16"/>
        </w:rPr>
        <w:t xml:space="preserve">; </w:t>
      </w:r>
      <w:hyperlink r:id="rId78" w:history="1">
        <w:r w:rsidRPr="00215765">
          <w:rPr>
            <w:rStyle w:val="Hyperlink"/>
            <w:rFonts w:cs="Arial"/>
            <w:sz w:val="16"/>
            <w:szCs w:val="16"/>
          </w:rPr>
          <w:t>General Delegate for Children’s Rights</w:t>
        </w:r>
      </w:hyperlink>
      <w:r w:rsidRPr="00215765">
        <w:rPr>
          <w:sz w:val="16"/>
          <w:szCs w:val="16"/>
        </w:rPr>
        <w:t xml:space="preserve">; </w:t>
      </w:r>
      <w:hyperlink r:id="rId79" w:history="1">
        <w:r w:rsidRPr="00215765">
          <w:rPr>
            <w:rStyle w:val="Hyperlink"/>
            <w:rFonts w:cs="Arial"/>
            <w:sz w:val="16"/>
            <w:szCs w:val="16"/>
          </w:rPr>
          <w:t>Kinderrechtswinkel</w:t>
        </w:r>
      </w:hyperlink>
      <w:r w:rsidRPr="00215765">
        <w:rPr>
          <w:sz w:val="16"/>
          <w:szCs w:val="16"/>
        </w:rPr>
        <w:t xml:space="preserve">; </w:t>
      </w:r>
      <w:hyperlink r:id="rId80" w:history="1">
        <w:r w:rsidRPr="00215765">
          <w:rPr>
            <w:rStyle w:val="Hyperlink"/>
            <w:rFonts w:cs="Arial"/>
            <w:sz w:val="16"/>
            <w:szCs w:val="16"/>
          </w:rPr>
          <w:t>Commissariat for Children’s Rights</w:t>
        </w:r>
      </w:hyperlink>
      <w:r w:rsidRPr="00215765">
        <w:rPr>
          <w:sz w:val="16"/>
          <w:szCs w:val="16"/>
        </w:rPr>
        <w:t xml:space="preserve">; </w:t>
      </w:r>
      <w:hyperlink r:id="rId81" w:history="1">
        <w:r w:rsidRPr="00215765">
          <w:rPr>
            <w:rStyle w:val="Hyperlink"/>
            <w:rFonts w:cs="Arial"/>
            <w:sz w:val="16"/>
            <w:szCs w:val="16"/>
          </w:rPr>
          <w:t>Children’s Rights Collective</w:t>
        </w:r>
      </w:hyperlink>
      <w:r w:rsidRPr="00215765">
        <w:rPr>
          <w:sz w:val="16"/>
          <w:szCs w:val="16"/>
        </w:rPr>
        <w:t xml:space="preserve">. </w:t>
      </w:r>
    </w:p>
  </w:footnote>
  <w:footnote w:id="76">
    <w:p w14:paraId="6C992362" w14:textId="77777777" w:rsidR="0085750C" w:rsidRPr="00215765" w:rsidRDefault="0085750C" w:rsidP="002E0212">
      <w:pPr>
        <w:pStyle w:val="FootnoteText"/>
        <w:jc w:val="both"/>
        <w:rPr>
          <w:sz w:val="16"/>
          <w:szCs w:val="16"/>
        </w:rPr>
      </w:pPr>
      <w:r w:rsidRPr="00215765">
        <w:rPr>
          <w:rStyle w:val="FootnoteReference"/>
          <w:rFonts w:cs="Arial"/>
          <w:sz w:val="16"/>
          <w:szCs w:val="16"/>
        </w:rPr>
        <w:footnoteRef/>
      </w:r>
      <w:r w:rsidRPr="00215765">
        <w:rPr>
          <w:sz w:val="16"/>
          <w:szCs w:val="16"/>
        </w:rPr>
        <w:t xml:space="preserve"> Information confirmed by stakeholder consultation with a Children’s Rights authority.</w:t>
      </w:r>
    </w:p>
  </w:footnote>
  <w:footnote w:id="77">
    <w:p w14:paraId="49EF617C" w14:textId="77777777" w:rsidR="0085750C" w:rsidRPr="00215765" w:rsidRDefault="0085750C" w:rsidP="002E0212">
      <w:pPr>
        <w:pStyle w:val="FootnoteText"/>
        <w:jc w:val="both"/>
        <w:rPr>
          <w:sz w:val="16"/>
          <w:szCs w:val="16"/>
        </w:rPr>
      </w:pPr>
      <w:r w:rsidRPr="00215765">
        <w:rPr>
          <w:rStyle w:val="FootnoteReference"/>
          <w:rFonts w:cs="Arial"/>
          <w:sz w:val="16"/>
          <w:szCs w:val="16"/>
        </w:rPr>
        <w:footnoteRef/>
      </w:r>
      <w:r w:rsidRPr="00215765">
        <w:rPr>
          <w:sz w:val="16"/>
          <w:szCs w:val="16"/>
        </w:rPr>
        <w:t xml:space="preserve"> Information confirmed by stakeholder consultation with a Children’s Rights authority.</w:t>
      </w:r>
    </w:p>
  </w:footnote>
  <w:footnote w:id="78">
    <w:p w14:paraId="388CE5A0"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 700 of the </w:t>
      </w:r>
      <w:hyperlink r:id="rId82" w:history="1">
        <w:r w:rsidRPr="00215765">
          <w:rPr>
            <w:rStyle w:val="Hyperlink"/>
            <w:rFonts w:cs="Arial"/>
            <w:sz w:val="16"/>
            <w:szCs w:val="16"/>
          </w:rPr>
          <w:t>Judicial Code</w:t>
        </w:r>
      </w:hyperlink>
      <w:r w:rsidRPr="00215765">
        <w:rPr>
          <w:sz w:val="16"/>
          <w:szCs w:val="16"/>
        </w:rPr>
        <w:t>.</w:t>
      </w:r>
    </w:p>
  </w:footnote>
  <w:footnote w:id="79">
    <w:p w14:paraId="1051EFB0"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 702 of the </w:t>
      </w:r>
      <w:hyperlink r:id="rId83" w:history="1">
        <w:r w:rsidRPr="00215765">
          <w:rPr>
            <w:rStyle w:val="Hyperlink"/>
            <w:rFonts w:cs="Arial"/>
            <w:sz w:val="16"/>
            <w:szCs w:val="16"/>
          </w:rPr>
          <w:t>Judicial Code</w:t>
        </w:r>
      </w:hyperlink>
      <w:r w:rsidRPr="00215765">
        <w:rPr>
          <w:sz w:val="16"/>
          <w:szCs w:val="16"/>
        </w:rPr>
        <w:t>.</w:t>
      </w:r>
    </w:p>
  </w:footnote>
  <w:footnote w:id="80">
    <w:p w14:paraId="3264EE22"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w:t>
      </w:r>
      <w:r w:rsidRPr="00215765">
        <w:rPr>
          <w:bCs/>
          <w:sz w:val="16"/>
          <w:szCs w:val="16"/>
        </w:rPr>
        <w:t xml:space="preserve">Article 35 of the </w:t>
      </w:r>
      <w:hyperlink r:id="rId84" w:history="1">
        <w:r w:rsidRPr="00215765">
          <w:rPr>
            <w:rStyle w:val="Hyperlink"/>
            <w:rFonts w:cs="Arial"/>
            <w:sz w:val="16"/>
            <w:szCs w:val="16"/>
          </w:rPr>
          <w:t>Judicial Code</w:t>
        </w:r>
      </w:hyperlink>
      <w:r w:rsidRPr="00215765">
        <w:rPr>
          <w:bCs/>
          <w:sz w:val="16"/>
          <w:szCs w:val="16"/>
        </w:rPr>
        <w:t>.</w:t>
      </w:r>
    </w:p>
  </w:footnote>
  <w:footnote w:id="81">
    <w:p w14:paraId="651054DB"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 780 of the </w:t>
      </w:r>
      <w:hyperlink r:id="rId85" w:history="1">
        <w:r w:rsidRPr="00215765">
          <w:rPr>
            <w:rStyle w:val="Hyperlink"/>
            <w:rFonts w:cs="Arial"/>
            <w:sz w:val="16"/>
            <w:szCs w:val="16"/>
          </w:rPr>
          <w:t>Judicial Code</w:t>
        </w:r>
      </w:hyperlink>
      <w:r w:rsidRPr="00215765">
        <w:rPr>
          <w:sz w:val="16"/>
          <w:szCs w:val="16"/>
        </w:rPr>
        <w:t>.</w:t>
      </w:r>
    </w:p>
  </w:footnote>
  <w:footnote w:id="82">
    <w:p w14:paraId="3E9452D7"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 792 of the </w:t>
      </w:r>
      <w:hyperlink r:id="rId86" w:history="1">
        <w:r w:rsidRPr="00215765">
          <w:rPr>
            <w:rStyle w:val="Hyperlink"/>
            <w:rFonts w:cs="Arial"/>
            <w:sz w:val="16"/>
            <w:szCs w:val="16"/>
          </w:rPr>
          <w:t>Judicial Code</w:t>
        </w:r>
      </w:hyperlink>
      <w:r w:rsidRPr="00215765">
        <w:rPr>
          <w:sz w:val="16"/>
          <w:szCs w:val="16"/>
        </w:rPr>
        <w:t>.</w:t>
      </w:r>
    </w:p>
  </w:footnote>
  <w:footnote w:id="83">
    <w:p w14:paraId="5B3AD08E"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 10 of the </w:t>
      </w:r>
      <w:hyperlink r:id="rId87" w:history="1">
        <w:r w:rsidRPr="00215765">
          <w:rPr>
            <w:rStyle w:val="Hyperlink"/>
            <w:rFonts w:cs="Arial"/>
            <w:sz w:val="16"/>
            <w:szCs w:val="16"/>
          </w:rPr>
          <w:t>Youth Protection Act</w:t>
        </w:r>
      </w:hyperlink>
      <w:r w:rsidRPr="00215765">
        <w:rPr>
          <w:sz w:val="16"/>
          <w:szCs w:val="16"/>
        </w:rPr>
        <w:t>.</w:t>
      </w:r>
    </w:p>
  </w:footnote>
  <w:footnote w:id="84">
    <w:p w14:paraId="6CA70F1A"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Articles 387bis and 387ter of the </w:t>
      </w:r>
      <w:hyperlink r:id="rId88" w:history="1">
        <w:r w:rsidRPr="00215765">
          <w:rPr>
            <w:rStyle w:val="Hyperlink"/>
            <w:rFonts w:cs="Arial"/>
            <w:sz w:val="16"/>
            <w:szCs w:val="16"/>
          </w:rPr>
          <w:t>Civil Code</w:t>
        </w:r>
      </w:hyperlink>
      <w:r w:rsidRPr="00215765">
        <w:rPr>
          <w:sz w:val="16"/>
          <w:szCs w:val="16"/>
        </w:rPr>
        <w:t>.</w:t>
      </w:r>
    </w:p>
  </w:footnote>
  <w:footnote w:id="85">
    <w:p w14:paraId="5FFB592C"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 61bis of the </w:t>
      </w:r>
      <w:hyperlink r:id="rId89" w:history="1">
        <w:r w:rsidRPr="00215765">
          <w:rPr>
            <w:rStyle w:val="Hyperlink"/>
            <w:rFonts w:cs="Arial"/>
            <w:sz w:val="16"/>
            <w:szCs w:val="16"/>
          </w:rPr>
          <w:t>Youth Protection Act</w:t>
        </w:r>
      </w:hyperlink>
      <w:r w:rsidRPr="00215765">
        <w:rPr>
          <w:sz w:val="16"/>
          <w:szCs w:val="16"/>
        </w:rPr>
        <w:t>.</w:t>
      </w:r>
    </w:p>
  </w:footnote>
  <w:footnote w:id="86">
    <w:p w14:paraId="4898C939"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Articles 158 and 159 of the </w:t>
      </w:r>
      <w:hyperlink r:id="rId90" w:history="1">
        <w:r w:rsidRPr="00215765">
          <w:rPr>
            <w:rStyle w:val="Hyperlink"/>
            <w:rFonts w:cs="Arial"/>
            <w:bCs/>
            <w:sz w:val="16"/>
            <w:szCs w:val="16"/>
          </w:rPr>
          <w:t>new Act of 30 July 2013 for the creation of the Family and Youth Tribunal</w:t>
        </w:r>
      </w:hyperlink>
      <w:r w:rsidRPr="00215765">
        <w:rPr>
          <w:bCs/>
          <w:sz w:val="16"/>
          <w:szCs w:val="16"/>
        </w:rPr>
        <w:t xml:space="preserve"> (to enter into force on 1 September 2014).</w:t>
      </w:r>
    </w:p>
  </w:footnote>
  <w:footnote w:id="87">
    <w:p w14:paraId="286C5A30"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 22 of the </w:t>
      </w:r>
      <w:hyperlink r:id="rId91" w:history="1">
        <w:r w:rsidRPr="00215765">
          <w:rPr>
            <w:rStyle w:val="Hyperlink"/>
            <w:rFonts w:cs="Arial"/>
            <w:sz w:val="16"/>
            <w:szCs w:val="16"/>
          </w:rPr>
          <w:t>Constitution</w:t>
        </w:r>
      </w:hyperlink>
      <w:r w:rsidRPr="00215765">
        <w:rPr>
          <w:sz w:val="16"/>
          <w:szCs w:val="16"/>
        </w:rPr>
        <w:t>.</w:t>
      </w:r>
    </w:p>
  </w:footnote>
  <w:footnote w:id="88">
    <w:p w14:paraId="5FCCAC0B"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 2 of </w:t>
      </w:r>
      <w:hyperlink r:id="rId92" w:history="1">
        <w:r w:rsidRPr="00215765">
          <w:rPr>
            <w:rStyle w:val="Hyperlink"/>
            <w:rFonts w:cs="Arial"/>
            <w:sz w:val="16"/>
            <w:szCs w:val="16"/>
          </w:rPr>
          <w:t>the Act of 8 December 1992 on the protection of private life regarding the treatment of personal data</w:t>
        </w:r>
      </w:hyperlink>
      <w:r w:rsidRPr="00215765">
        <w:rPr>
          <w:sz w:val="16"/>
          <w:szCs w:val="16"/>
        </w:rPr>
        <w:t>.</w:t>
      </w:r>
    </w:p>
  </w:footnote>
  <w:footnote w:id="89">
    <w:p w14:paraId="49F0FC36"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Chapter VIII of </w:t>
      </w:r>
      <w:hyperlink r:id="rId93" w:history="1">
        <w:r w:rsidRPr="00215765">
          <w:rPr>
            <w:rStyle w:val="Hyperlink"/>
            <w:rFonts w:cs="Arial"/>
            <w:sz w:val="16"/>
            <w:szCs w:val="16"/>
          </w:rPr>
          <w:t>the Act of 8 December 1992 on the protection of private life regarding the treatment of personal data</w:t>
        </w:r>
      </w:hyperlink>
      <w:r w:rsidRPr="00215765">
        <w:rPr>
          <w:sz w:val="16"/>
          <w:szCs w:val="16"/>
        </w:rPr>
        <w:t>.</w:t>
      </w:r>
    </w:p>
  </w:footnote>
  <w:footnote w:id="90">
    <w:p w14:paraId="3D0871C5"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 8 of the </w:t>
      </w:r>
      <w:hyperlink r:id="rId94" w:history="1">
        <w:r w:rsidRPr="00215765">
          <w:rPr>
            <w:rStyle w:val="Hyperlink"/>
            <w:rFonts w:cs="Arial"/>
            <w:sz w:val="16"/>
            <w:szCs w:val="16"/>
          </w:rPr>
          <w:t>Act of 8 December 1992 on the protection of private life regarding the treatment of personal data</w:t>
        </w:r>
      </w:hyperlink>
      <w:r w:rsidRPr="00215765">
        <w:rPr>
          <w:sz w:val="16"/>
          <w:szCs w:val="16"/>
        </w:rPr>
        <w:t>.</w:t>
      </w:r>
    </w:p>
  </w:footnote>
  <w:footnote w:id="91">
    <w:p w14:paraId="0801575B"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 721 of the </w:t>
      </w:r>
      <w:hyperlink r:id="rId95" w:history="1">
        <w:r w:rsidRPr="00215765">
          <w:rPr>
            <w:rStyle w:val="Hyperlink"/>
            <w:rFonts w:cs="Arial"/>
            <w:sz w:val="16"/>
            <w:szCs w:val="16"/>
          </w:rPr>
          <w:t>Judicial Code</w:t>
        </w:r>
      </w:hyperlink>
      <w:r w:rsidRPr="00215765">
        <w:rPr>
          <w:sz w:val="16"/>
          <w:szCs w:val="16"/>
        </w:rPr>
        <w:t>.</w:t>
      </w:r>
    </w:p>
  </w:footnote>
  <w:footnote w:id="92">
    <w:p w14:paraId="3680E7CB"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Book II, Title II, Chapter II, Section II of the </w:t>
      </w:r>
      <w:hyperlink r:id="rId96" w:history="1">
        <w:r w:rsidRPr="00215765">
          <w:rPr>
            <w:rStyle w:val="Hyperlink"/>
            <w:rFonts w:cs="Arial"/>
            <w:sz w:val="16"/>
            <w:szCs w:val="16"/>
          </w:rPr>
          <w:t>Judicial Code</w:t>
        </w:r>
      </w:hyperlink>
      <w:r w:rsidRPr="00215765">
        <w:rPr>
          <w:sz w:val="16"/>
          <w:szCs w:val="16"/>
        </w:rPr>
        <w:t>.</w:t>
      </w:r>
    </w:p>
  </w:footnote>
  <w:footnote w:id="93">
    <w:p w14:paraId="0A493742"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 725 of the </w:t>
      </w:r>
      <w:hyperlink r:id="rId97" w:history="1">
        <w:r w:rsidRPr="00215765">
          <w:rPr>
            <w:rStyle w:val="Hyperlink"/>
            <w:rFonts w:cs="Arial"/>
            <w:sz w:val="16"/>
            <w:szCs w:val="16"/>
          </w:rPr>
          <w:t>Judicial Code</w:t>
        </w:r>
      </w:hyperlink>
      <w:r w:rsidRPr="00215765">
        <w:rPr>
          <w:sz w:val="16"/>
          <w:szCs w:val="16"/>
        </w:rPr>
        <w:t>.</w:t>
      </w:r>
    </w:p>
  </w:footnote>
  <w:footnote w:id="94">
    <w:p w14:paraId="35D990A8"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 931 of the </w:t>
      </w:r>
      <w:hyperlink r:id="rId98" w:history="1">
        <w:r w:rsidRPr="00215765">
          <w:rPr>
            <w:rStyle w:val="Hyperlink"/>
            <w:rFonts w:cs="Arial"/>
            <w:sz w:val="16"/>
            <w:szCs w:val="16"/>
          </w:rPr>
          <w:t>Judicial Code</w:t>
        </w:r>
      </w:hyperlink>
      <w:r w:rsidRPr="00215765">
        <w:rPr>
          <w:sz w:val="16"/>
          <w:szCs w:val="16"/>
        </w:rPr>
        <w:t>.</w:t>
      </w:r>
    </w:p>
  </w:footnote>
  <w:footnote w:id="95">
    <w:p w14:paraId="768F40EA"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 148 of the </w:t>
      </w:r>
      <w:hyperlink r:id="rId99" w:history="1">
        <w:r w:rsidRPr="00215765">
          <w:rPr>
            <w:rStyle w:val="Hyperlink"/>
            <w:rFonts w:cs="Arial"/>
            <w:sz w:val="16"/>
            <w:szCs w:val="16"/>
          </w:rPr>
          <w:t>Constitution</w:t>
        </w:r>
      </w:hyperlink>
      <w:r w:rsidRPr="00215765">
        <w:rPr>
          <w:sz w:val="16"/>
          <w:szCs w:val="16"/>
        </w:rPr>
        <w:t xml:space="preserve"> and Article 757 of the </w:t>
      </w:r>
      <w:hyperlink r:id="rId100" w:history="1">
        <w:r w:rsidRPr="00215765">
          <w:rPr>
            <w:rStyle w:val="Hyperlink"/>
            <w:rFonts w:cs="Arial"/>
            <w:sz w:val="16"/>
            <w:szCs w:val="16"/>
          </w:rPr>
          <w:t>Judicial Code</w:t>
        </w:r>
      </w:hyperlink>
      <w:r w:rsidRPr="00215765">
        <w:rPr>
          <w:sz w:val="16"/>
          <w:szCs w:val="16"/>
        </w:rPr>
        <w:t>.</w:t>
      </w:r>
    </w:p>
  </w:footnote>
  <w:footnote w:id="96">
    <w:p w14:paraId="70BA4093"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 446ter of the </w:t>
      </w:r>
      <w:hyperlink r:id="rId101" w:history="1">
        <w:r w:rsidRPr="00215765">
          <w:rPr>
            <w:rStyle w:val="Hyperlink"/>
            <w:rFonts w:cs="Arial"/>
            <w:sz w:val="16"/>
            <w:szCs w:val="16"/>
          </w:rPr>
          <w:t>Judicial Code</w:t>
        </w:r>
      </w:hyperlink>
      <w:r w:rsidRPr="00215765">
        <w:rPr>
          <w:sz w:val="16"/>
          <w:szCs w:val="16"/>
        </w:rPr>
        <w:t>.</w:t>
      </w:r>
    </w:p>
  </w:footnote>
  <w:footnote w:id="97">
    <w:p w14:paraId="344C3313"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 433bis of the </w:t>
      </w:r>
      <w:hyperlink r:id="rId102" w:history="1">
        <w:r w:rsidRPr="00215765">
          <w:rPr>
            <w:rStyle w:val="Hyperlink"/>
            <w:rFonts w:cs="Arial"/>
            <w:sz w:val="16"/>
            <w:szCs w:val="16"/>
          </w:rPr>
          <w:t>Criminal Code</w:t>
        </w:r>
      </w:hyperlink>
      <w:r w:rsidRPr="00215765">
        <w:rPr>
          <w:sz w:val="16"/>
          <w:szCs w:val="16"/>
        </w:rPr>
        <w:t>.</w:t>
      </w:r>
    </w:p>
  </w:footnote>
  <w:footnote w:id="98">
    <w:p w14:paraId="6A503A7D"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 10 of the </w:t>
      </w:r>
      <w:hyperlink r:id="rId103" w:history="1">
        <w:r w:rsidRPr="00215765">
          <w:rPr>
            <w:rStyle w:val="Hyperlink"/>
            <w:rFonts w:cs="Arial"/>
            <w:sz w:val="16"/>
            <w:szCs w:val="16"/>
          </w:rPr>
          <w:t>Act of 30 June 1994 on copyrights and related rights</w:t>
        </w:r>
      </w:hyperlink>
      <w:r w:rsidRPr="00215765">
        <w:rPr>
          <w:sz w:val="16"/>
          <w:szCs w:val="16"/>
        </w:rPr>
        <w:t xml:space="preserve">; </w:t>
      </w:r>
      <w:hyperlink r:id="rId104" w:history="1">
        <w:r w:rsidRPr="00215765">
          <w:rPr>
            <w:rStyle w:val="Hyperlink"/>
            <w:rFonts w:cs="Arial"/>
            <w:sz w:val="16"/>
            <w:szCs w:val="16"/>
          </w:rPr>
          <w:t>Opinion No 38/2002 of the Commission for the protection of privacy of the 16 September 2002</w:t>
        </w:r>
      </w:hyperlink>
      <w:r w:rsidRPr="00215765">
        <w:rPr>
          <w:sz w:val="16"/>
          <w:szCs w:val="16"/>
        </w:rPr>
        <w:t>.</w:t>
      </w:r>
    </w:p>
  </w:footnote>
  <w:footnote w:id="99">
    <w:p w14:paraId="22E0BE67"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The </w:t>
      </w:r>
      <w:hyperlink r:id="rId105" w:history="1">
        <w:r w:rsidRPr="00215765">
          <w:rPr>
            <w:rStyle w:val="Hyperlink"/>
            <w:rFonts w:cs="Arial"/>
            <w:sz w:val="16"/>
            <w:szCs w:val="16"/>
          </w:rPr>
          <w:t>Higher Council of Justice’s Guide for Magistrates</w:t>
        </w:r>
      </w:hyperlink>
      <w:r w:rsidRPr="00215765">
        <w:rPr>
          <w:sz w:val="16"/>
          <w:szCs w:val="16"/>
        </w:rPr>
        <w:t>, approved on 27 June 2012.</w:t>
      </w:r>
    </w:p>
  </w:footnote>
  <w:footnote w:id="100">
    <w:p w14:paraId="22F54BF6"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ibid.</w:t>
      </w:r>
    </w:p>
  </w:footnote>
  <w:footnote w:id="101">
    <w:p w14:paraId="376FEE57"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w:t>
      </w:r>
      <w:hyperlink r:id="rId106" w:history="1">
        <w:r w:rsidRPr="00215765">
          <w:rPr>
            <w:rStyle w:val="Hyperlink"/>
            <w:rFonts w:cs="Arial"/>
            <w:sz w:val="16"/>
            <w:szCs w:val="16"/>
          </w:rPr>
          <w:t>Deontology Code of the Lawyer for the French and German speaking Bar</w:t>
        </w:r>
      </w:hyperlink>
      <w:r w:rsidRPr="00215765">
        <w:rPr>
          <w:sz w:val="16"/>
          <w:szCs w:val="16"/>
        </w:rPr>
        <w:t xml:space="preserve">; </w:t>
      </w:r>
      <w:hyperlink r:id="rId107" w:history="1">
        <w:r w:rsidRPr="00215765">
          <w:rPr>
            <w:rStyle w:val="Hyperlink"/>
            <w:rFonts w:cs="Arial"/>
            <w:sz w:val="16"/>
            <w:szCs w:val="16"/>
          </w:rPr>
          <w:t>Deontology Code for the Dutch speaking Bar</w:t>
        </w:r>
      </w:hyperlink>
      <w:r w:rsidRPr="00215765">
        <w:rPr>
          <w:sz w:val="16"/>
          <w:szCs w:val="16"/>
        </w:rPr>
        <w:t>.</w:t>
      </w:r>
    </w:p>
  </w:footnote>
  <w:footnote w:id="102">
    <w:p w14:paraId="5C174E81"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 77 of the </w:t>
      </w:r>
      <w:hyperlink r:id="rId108" w:history="1">
        <w:r w:rsidRPr="00215765">
          <w:rPr>
            <w:rStyle w:val="Hyperlink"/>
            <w:rFonts w:cs="Arial"/>
            <w:sz w:val="16"/>
            <w:szCs w:val="16"/>
          </w:rPr>
          <w:t>Youth Protection Act</w:t>
        </w:r>
      </w:hyperlink>
      <w:r w:rsidRPr="00215765">
        <w:rPr>
          <w:sz w:val="16"/>
          <w:szCs w:val="16"/>
        </w:rPr>
        <w:t>.</w:t>
      </w:r>
    </w:p>
  </w:footnote>
  <w:footnote w:id="103">
    <w:p w14:paraId="052B8EF9"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w:t>
      </w:r>
      <w:r>
        <w:rPr>
          <w:sz w:val="16"/>
          <w:szCs w:val="16"/>
        </w:rPr>
        <w:t>s</w:t>
      </w:r>
      <w:r w:rsidRPr="00215765">
        <w:rPr>
          <w:sz w:val="16"/>
          <w:szCs w:val="16"/>
        </w:rPr>
        <w:t xml:space="preserve"> 458 and 458bis of the </w:t>
      </w:r>
      <w:hyperlink r:id="rId109" w:history="1">
        <w:r w:rsidRPr="00215765">
          <w:rPr>
            <w:rStyle w:val="Hyperlink"/>
            <w:rFonts w:cs="Arial"/>
            <w:sz w:val="16"/>
            <w:szCs w:val="16"/>
          </w:rPr>
          <w:t>Criminal Code</w:t>
        </w:r>
      </w:hyperlink>
      <w:r w:rsidRPr="00215765">
        <w:rPr>
          <w:sz w:val="16"/>
          <w:szCs w:val="16"/>
        </w:rPr>
        <w:t>.</w:t>
      </w:r>
    </w:p>
  </w:footnote>
  <w:footnote w:id="104">
    <w:p w14:paraId="73188D58"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Information collected via stakeholder consultation with a Children’s Rights authority.</w:t>
      </w:r>
    </w:p>
  </w:footnote>
  <w:footnote w:id="105">
    <w:p w14:paraId="0FF34D3A"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w:t>
      </w:r>
      <w:r>
        <w:rPr>
          <w:sz w:val="16"/>
          <w:szCs w:val="16"/>
        </w:rPr>
        <w:t>ibid.</w:t>
      </w:r>
    </w:p>
  </w:footnote>
  <w:footnote w:id="106">
    <w:p w14:paraId="03E65F0C"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 931 of the </w:t>
      </w:r>
      <w:hyperlink r:id="rId110" w:history="1">
        <w:r w:rsidRPr="00215765">
          <w:rPr>
            <w:rStyle w:val="Hyperlink"/>
            <w:rFonts w:cs="Arial"/>
            <w:sz w:val="16"/>
            <w:szCs w:val="16"/>
          </w:rPr>
          <w:t>Judicial Code</w:t>
        </w:r>
      </w:hyperlink>
      <w:r w:rsidRPr="00215765">
        <w:rPr>
          <w:sz w:val="16"/>
          <w:szCs w:val="16"/>
        </w:rPr>
        <w:t>.</w:t>
      </w:r>
    </w:p>
  </w:footnote>
  <w:footnote w:id="107">
    <w:p w14:paraId="37D912F2"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Information collected through interview carried out for the criminal proceedings report.</w:t>
      </w:r>
    </w:p>
  </w:footnote>
  <w:footnote w:id="108">
    <w:p w14:paraId="1DB8A19D"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Decision of Brussels First Instance Court, Civil Court, of 15 October 2009, J.T., 2010/12, p. 195. The claim of the parties will be based on Articles 1382 and 1383 of the </w:t>
      </w:r>
      <w:hyperlink r:id="rId111" w:history="1">
        <w:r w:rsidRPr="00215765">
          <w:rPr>
            <w:rStyle w:val="Hyperlink"/>
            <w:rFonts w:cs="Arial"/>
            <w:sz w:val="16"/>
            <w:szCs w:val="16"/>
          </w:rPr>
          <w:t>Civil Code</w:t>
        </w:r>
      </w:hyperlink>
      <w:r w:rsidRPr="00215765">
        <w:rPr>
          <w:sz w:val="16"/>
          <w:szCs w:val="16"/>
        </w:rPr>
        <w:t xml:space="preserve"> without the need to establish negligence.</w:t>
      </w:r>
    </w:p>
  </w:footnote>
  <w:footnote w:id="109">
    <w:p w14:paraId="4F1CB364"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 584 of the </w:t>
      </w:r>
      <w:hyperlink r:id="rId112" w:history="1">
        <w:r w:rsidRPr="00215765">
          <w:rPr>
            <w:rStyle w:val="Hyperlink"/>
            <w:rFonts w:cs="Arial"/>
            <w:sz w:val="16"/>
            <w:szCs w:val="16"/>
          </w:rPr>
          <w:t>Judicial Code</w:t>
        </w:r>
      </w:hyperlink>
      <w:r w:rsidRPr="00215765">
        <w:rPr>
          <w:sz w:val="16"/>
          <w:szCs w:val="16"/>
        </w:rPr>
        <w:t>.</w:t>
      </w:r>
    </w:p>
  </w:footnote>
  <w:footnote w:id="110">
    <w:p w14:paraId="1B1AD561" w14:textId="77777777" w:rsidR="0085750C" w:rsidRPr="00215765" w:rsidRDefault="0085750C" w:rsidP="00D51AA0">
      <w:pPr>
        <w:pStyle w:val="FootnoteText"/>
        <w:jc w:val="both"/>
        <w:rPr>
          <w:sz w:val="16"/>
          <w:szCs w:val="16"/>
          <w:lang w:val="fr-BE"/>
        </w:rPr>
      </w:pPr>
      <w:r w:rsidRPr="00215765">
        <w:rPr>
          <w:rStyle w:val="FootnoteReference"/>
          <w:rFonts w:cs="Arial"/>
          <w:sz w:val="16"/>
          <w:szCs w:val="16"/>
        </w:rPr>
        <w:footnoteRef/>
      </w:r>
      <w:r w:rsidRPr="00215765">
        <w:rPr>
          <w:sz w:val="16"/>
          <w:szCs w:val="16"/>
          <w:lang w:val="fr-BE"/>
        </w:rPr>
        <w:t xml:space="preserve"> Belgian Cassation Court, 21 mars 1985, Pas., 1985, I, 908; Jacques Englebert, “</w:t>
      </w:r>
      <w:hyperlink r:id="rId113" w:history="1">
        <w:r w:rsidRPr="00215765">
          <w:rPr>
            <w:rStyle w:val="Hyperlink"/>
            <w:rFonts w:cs="Arial"/>
            <w:sz w:val="16"/>
            <w:szCs w:val="16"/>
            <w:lang w:val="fr-BE"/>
          </w:rPr>
          <w:t>The judicial interim order: principles and questions of procedure</w:t>
        </w:r>
      </w:hyperlink>
      <w:r w:rsidRPr="00215765">
        <w:rPr>
          <w:sz w:val="16"/>
          <w:szCs w:val="16"/>
          <w:lang w:val="fr-BE"/>
        </w:rPr>
        <w:t>” (</w:t>
      </w:r>
      <w:r w:rsidRPr="00215765">
        <w:rPr>
          <w:i/>
          <w:sz w:val="16"/>
          <w:szCs w:val="16"/>
          <w:lang w:val="fr-BE"/>
        </w:rPr>
        <w:t>Le référé judiciaire : principes et questions de procédure</w:t>
      </w:r>
      <w:r w:rsidRPr="00215765">
        <w:rPr>
          <w:sz w:val="16"/>
          <w:szCs w:val="16"/>
          <w:lang w:val="fr-BE"/>
        </w:rPr>
        <w:t>).</w:t>
      </w:r>
    </w:p>
  </w:footnote>
  <w:footnote w:id="111">
    <w:p w14:paraId="6F7899BE"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 931 of the </w:t>
      </w:r>
      <w:hyperlink r:id="rId114" w:history="1">
        <w:r w:rsidRPr="00215765">
          <w:rPr>
            <w:rStyle w:val="Hyperlink"/>
            <w:rFonts w:cs="Arial"/>
            <w:sz w:val="16"/>
            <w:szCs w:val="16"/>
          </w:rPr>
          <w:t>Judicial Code</w:t>
        </w:r>
      </w:hyperlink>
      <w:r w:rsidRPr="00215765">
        <w:rPr>
          <w:sz w:val="16"/>
          <w:szCs w:val="16"/>
        </w:rPr>
        <w:t xml:space="preserve">. </w:t>
      </w:r>
    </w:p>
  </w:footnote>
  <w:footnote w:id="112">
    <w:p w14:paraId="00AEEE03"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Information collected by stakeholder consultation with a Children’s Rights authority.</w:t>
      </w:r>
    </w:p>
  </w:footnote>
  <w:footnote w:id="113">
    <w:p w14:paraId="51ED906D"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w:t>
      </w:r>
      <w:r w:rsidRPr="00215765">
        <w:rPr>
          <w:bCs/>
          <w:sz w:val="16"/>
          <w:szCs w:val="16"/>
        </w:rPr>
        <w:t xml:space="preserve">Article 378 of the </w:t>
      </w:r>
      <w:hyperlink r:id="rId115" w:history="1">
        <w:r w:rsidRPr="00215765">
          <w:rPr>
            <w:rStyle w:val="Hyperlink"/>
            <w:rFonts w:cs="Arial"/>
            <w:sz w:val="16"/>
            <w:szCs w:val="16"/>
          </w:rPr>
          <w:t>Civil Code</w:t>
        </w:r>
      </w:hyperlink>
      <w:r w:rsidRPr="00215765">
        <w:rPr>
          <w:bCs/>
          <w:sz w:val="16"/>
          <w:szCs w:val="16"/>
        </w:rPr>
        <w:t>.</w:t>
      </w:r>
    </w:p>
  </w:footnote>
  <w:footnote w:id="114">
    <w:p w14:paraId="21CA8D4D"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Information confirmed by stakeholder consultation with a Children’s Rights authority.</w:t>
      </w:r>
    </w:p>
  </w:footnote>
  <w:footnote w:id="115">
    <w:p w14:paraId="729B90E5"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 148 of the </w:t>
      </w:r>
      <w:hyperlink r:id="rId116" w:history="1">
        <w:r w:rsidRPr="00215765">
          <w:rPr>
            <w:rStyle w:val="Hyperlink"/>
            <w:rFonts w:cs="Arial"/>
            <w:sz w:val="16"/>
            <w:szCs w:val="16"/>
          </w:rPr>
          <w:t>Constitution</w:t>
        </w:r>
      </w:hyperlink>
      <w:r w:rsidRPr="00215765">
        <w:rPr>
          <w:sz w:val="16"/>
          <w:szCs w:val="16"/>
        </w:rPr>
        <w:t xml:space="preserve"> and Article 757 of the </w:t>
      </w:r>
      <w:hyperlink r:id="rId117" w:history="1">
        <w:r w:rsidRPr="00215765">
          <w:rPr>
            <w:rStyle w:val="Hyperlink"/>
            <w:rFonts w:cs="Arial"/>
            <w:sz w:val="16"/>
            <w:szCs w:val="16"/>
          </w:rPr>
          <w:t>Judicial Code</w:t>
        </w:r>
      </w:hyperlink>
      <w:r w:rsidRPr="00215765">
        <w:rPr>
          <w:sz w:val="16"/>
          <w:szCs w:val="16"/>
        </w:rPr>
        <w:t>.</w:t>
      </w:r>
    </w:p>
  </w:footnote>
  <w:footnote w:id="116">
    <w:p w14:paraId="55129DCC"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 446ter of the </w:t>
      </w:r>
      <w:hyperlink r:id="rId118" w:history="1">
        <w:r w:rsidRPr="00215765">
          <w:rPr>
            <w:rStyle w:val="Hyperlink"/>
            <w:rFonts w:cs="Arial"/>
            <w:sz w:val="16"/>
            <w:szCs w:val="16"/>
          </w:rPr>
          <w:t>Judicial Code</w:t>
        </w:r>
      </w:hyperlink>
      <w:r w:rsidRPr="00215765">
        <w:rPr>
          <w:sz w:val="16"/>
          <w:szCs w:val="16"/>
        </w:rPr>
        <w:t>.</w:t>
      </w:r>
    </w:p>
  </w:footnote>
  <w:footnote w:id="117">
    <w:p w14:paraId="463C77A5"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 433bis of the </w:t>
      </w:r>
      <w:hyperlink r:id="rId119" w:history="1">
        <w:r w:rsidRPr="00215765">
          <w:rPr>
            <w:rStyle w:val="Hyperlink"/>
            <w:rFonts w:cs="Arial"/>
            <w:sz w:val="16"/>
            <w:szCs w:val="16"/>
          </w:rPr>
          <w:t>Criminal Code</w:t>
        </w:r>
      </w:hyperlink>
      <w:r w:rsidRPr="00215765">
        <w:rPr>
          <w:sz w:val="16"/>
          <w:szCs w:val="16"/>
        </w:rPr>
        <w:t>.</w:t>
      </w:r>
    </w:p>
  </w:footnote>
  <w:footnote w:id="118">
    <w:p w14:paraId="18C6DB4C"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 10 of </w:t>
      </w:r>
      <w:hyperlink r:id="rId120" w:history="1">
        <w:r w:rsidRPr="00215765">
          <w:rPr>
            <w:rStyle w:val="Hyperlink"/>
            <w:rFonts w:cs="Arial"/>
            <w:sz w:val="16"/>
            <w:szCs w:val="16"/>
          </w:rPr>
          <w:t>the Act of 30 June 1994 on copyrights and related rights</w:t>
        </w:r>
      </w:hyperlink>
      <w:r w:rsidRPr="00215765">
        <w:rPr>
          <w:sz w:val="16"/>
          <w:szCs w:val="16"/>
        </w:rPr>
        <w:t xml:space="preserve">; </w:t>
      </w:r>
      <w:hyperlink r:id="rId121" w:history="1">
        <w:r w:rsidRPr="00215765">
          <w:rPr>
            <w:rStyle w:val="Hyperlink"/>
            <w:rFonts w:cs="Arial"/>
            <w:sz w:val="16"/>
            <w:szCs w:val="16"/>
          </w:rPr>
          <w:t>Opinion No 38/2002 of the Commission for the protection of privacy of the 16 September 2002</w:t>
        </w:r>
      </w:hyperlink>
      <w:r w:rsidRPr="00215765">
        <w:rPr>
          <w:sz w:val="16"/>
          <w:szCs w:val="16"/>
        </w:rPr>
        <w:t>.</w:t>
      </w:r>
    </w:p>
  </w:footnote>
  <w:footnote w:id="119">
    <w:p w14:paraId="1FD7AABC"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Information confirmed by stakeholder consultation with a Children’s Rights authority.</w:t>
      </w:r>
    </w:p>
  </w:footnote>
  <w:footnote w:id="120">
    <w:p w14:paraId="2FBDA3A6"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Information collected via a consultation with the Ministry of Justice.</w:t>
      </w:r>
    </w:p>
  </w:footnote>
  <w:footnote w:id="121">
    <w:p w14:paraId="193BD75F"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Information confirmed by stakeholder consultation with a Children’s Rights authority.</w:t>
      </w:r>
    </w:p>
  </w:footnote>
  <w:footnote w:id="122">
    <w:p w14:paraId="27C2169A"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w:t>
      </w:r>
      <w:r>
        <w:rPr>
          <w:sz w:val="16"/>
          <w:szCs w:val="16"/>
        </w:rPr>
        <w:t>Article 8 of the Brussels Capital Region Decree of 29 April 2004, Article 39</w:t>
      </w:r>
      <w:r w:rsidRPr="00215765">
        <w:rPr>
          <w:rStyle w:val="Hyperlink"/>
          <w:rFonts w:cs="Arial"/>
          <w:sz w:val="16"/>
          <w:szCs w:val="16"/>
        </w:rPr>
        <w:t xml:space="preserve"> </w:t>
      </w:r>
      <w:r w:rsidRPr="00215765">
        <w:rPr>
          <w:sz w:val="16"/>
          <w:szCs w:val="16"/>
        </w:rPr>
        <w:t xml:space="preserve">of the </w:t>
      </w:r>
      <w:hyperlink r:id="rId122" w:history="1">
        <w:r w:rsidRPr="00215765">
          <w:rPr>
            <w:rStyle w:val="Hyperlink"/>
            <w:rFonts w:cs="Arial"/>
            <w:sz w:val="16"/>
            <w:szCs w:val="16"/>
          </w:rPr>
          <w:t>French Community Decree of 4 March 1991 on Youth Assistance</w:t>
        </w:r>
      </w:hyperlink>
      <w:r w:rsidRPr="00215765">
        <w:rPr>
          <w:sz w:val="16"/>
          <w:szCs w:val="16"/>
        </w:rPr>
        <w:t xml:space="preserve"> and Article 43 of the </w:t>
      </w:r>
      <w:hyperlink r:id="rId123" w:history="1">
        <w:r w:rsidRPr="00215765">
          <w:rPr>
            <w:rStyle w:val="Hyperlink"/>
            <w:rFonts w:cs="Arial"/>
            <w:sz w:val="16"/>
            <w:szCs w:val="16"/>
          </w:rPr>
          <w:t>Decree of the Flemish Community of 7 March 2008 on special youth assistance</w:t>
        </w:r>
      </w:hyperlink>
      <w:r w:rsidRPr="00215765">
        <w:rPr>
          <w:sz w:val="16"/>
          <w:szCs w:val="16"/>
        </w:rPr>
        <w:t>.</w:t>
      </w:r>
    </w:p>
  </w:footnote>
  <w:footnote w:id="123">
    <w:p w14:paraId="5BE9E989"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w:t>
      </w:r>
      <w:hyperlink r:id="rId124" w:history="1">
        <w:r w:rsidRPr="00215765">
          <w:rPr>
            <w:rStyle w:val="Hyperlink"/>
            <w:rFonts w:cs="Arial"/>
            <w:sz w:val="16"/>
            <w:szCs w:val="16"/>
          </w:rPr>
          <w:t>Act of 15 May 2012 on temporary prohibition of residence in cases of domestic violence</w:t>
        </w:r>
      </w:hyperlink>
      <w:r w:rsidRPr="00215765">
        <w:rPr>
          <w:sz w:val="16"/>
          <w:szCs w:val="16"/>
        </w:rPr>
        <w:t>.</w:t>
      </w:r>
    </w:p>
  </w:footnote>
  <w:footnote w:id="124">
    <w:p w14:paraId="37B11392"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 375bis of the </w:t>
      </w:r>
      <w:hyperlink r:id="rId125" w:history="1">
        <w:r w:rsidRPr="00215765">
          <w:rPr>
            <w:rStyle w:val="Hyperlink"/>
            <w:rFonts w:cs="Arial"/>
            <w:sz w:val="16"/>
            <w:szCs w:val="16"/>
          </w:rPr>
          <w:t>Civil Code</w:t>
        </w:r>
      </w:hyperlink>
      <w:r w:rsidRPr="00215765">
        <w:rPr>
          <w:sz w:val="16"/>
          <w:szCs w:val="16"/>
        </w:rPr>
        <w:t xml:space="preserve">, Court of Cassation Decision of 19 December 1975 and Marta Pertegás and Frederik Swennen, </w:t>
      </w:r>
      <w:r w:rsidRPr="00215765">
        <w:rPr>
          <w:i/>
          <w:sz w:val="16"/>
          <w:szCs w:val="16"/>
        </w:rPr>
        <w:t xml:space="preserve">Study on the Enforcement of Family Law Judgments – National Report of Belgium, </w:t>
      </w:r>
      <w:r w:rsidRPr="00215765">
        <w:rPr>
          <w:sz w:val="16"/>
          <w:szCs w:val="16"/>
        </w:rPr>
        <w:t>T.M.C. Asser Instituut, 2005-2006, pp.3-4.</w:t>
      </w:r>
    </w:p>
  </w:footnote>
  <w:footnote w:id="125">
    <w:p w14:paraId="1F48A9F9"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w:t>
      </w:r>
      <w:r w:rsidRPr="00215765">
        <w:rPr>
          <w:bCs/>
          <w:sz w:val="16"/>
          <w:szCs w:val="16"/>
        </w:rPr>
        <w:t xml:space="preserve">Article 764 of the </w:t>
      </w:r>
      <w:hyperlink r:id="rId126" w:history="1">
        <w:r w:rsidRPr="00215765">
          <w:rPr>
            <w:rStyle w:val="Hyperlink"/>
            <w:rFonts w:cs="Arial"/>
            <w:sz w:val="16"/>
            <w:szCs w:val="16"/>
          </w:rPr>
          <w:t>Judicial Code</w:t>
        </w:r>
      </w:hyperlink>
      <w:r w:rsidRPr="00215765">
        <w:rPr>
          <w:bCs/>
          <w:sz w:val="16"/>
          <w:szCs w:val="16"/>
        </w:rPr>
        <w:t>.</w:t>
      </w:r>
    </w:p>
  </w:footnote>
  <w:footnote w:id="126">
    <w:p w14:paraId="41AD7871"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Information confirmed by stakeholder consultation with a Children’s Rights authority.</w:t>
      </w:r>
    </w:p>
  </w:footnote>
  <w:footnote w:id="127">
    <w:p w14:paraId="36F26FBA"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 387bis of the </w:t>
      </w:r>
      <w:hyperlink r:id="rId127" w:history="1">
        <w:r w:rsidRPr="00215765">
          <w:rPr>
            <w:rStyle w:val="Hyperlink"/>
            <w:rFonts w:cs="Arial"/>
            <w:sz w:val="16"/>
            <w:szCs w:val="16"/>
          </w:rPr>
          <w:t>Civil Code</w:t>
        </w:r>
      </w:hyperlink>
      <w:r w:rsidRPr="00215765">
        <w:rPr>
          <w:sz w:val="16"/>
          <w:szCs w:val="16"/>
        </w:rPr>
        <w:t>.</w:t>
      </w:r>
    </w:p>
  </w:footnote>
  <w:footnote w:id="128">
    <w:p w14:paraId="0DB502E6"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 198 of the </w:t>
      </w:r>
      <w:hyperlink r:id="rId128" w:history="1">
        <w:r w:rsidRPr="00215765">
          <w:rPr>
            <w:rStyle w:val="Hyperlink"/>
            <w:rFonts w:cs="Arial"/>
            <w:bCs/>
            <w:sz w:val="16"/>
            <w:szCs w:val="16"/>
          </w:rPr>
          <w:t>new Act of 30 July 2013 for the creation of the Family and Youth Tribunal</w:t>
        </w:r>
      </w:hyperlink>
      <w:r w:rsidRPr="00215765">
        <w:rPr>
          <w:bCs/>
          <w:sz w:val="16"/>
          <w:szCs w:val="16"/>
        </w:rPr>
        <w:t xml:space="preserve"> (to enter into force on 1 September 2014).</w:t>
      </w:r>
    </w:p>
  </w:footnote>
  <w:footnote w:id="129">
    <w:p w14:paraId="743CDA3D"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 223 of the </w:t>
      </w:r>
      <w:hyperlink r:id="rId129" w:history="1">
        <w:r w:rsidRPr="00215765">
          <w:rPr>
            <w:rStyle w:val="Hyperlink"/>
            <w:rFonts w:cs="Arial"/>
            <w:sz w:val="16"/>
            <w:szCs w:val="16"/>
          </w:rPr>
          <w:t>Civil Code</w:t>
        </w:r>
      </w:hyperlink>
      <w:r w:rsidRPr="00215765">
        <w:rPr>
          <w:sz w:val="16"/>
          <w:szCs w:val="16"/>
        </w:rPr>
        <w:t>.</w:t>
      </w:r>
    </w:p>
  </w:footnote>
  <w:footnote w:id="130">
    <w:p w14:paraId="5D8D4833"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 1280 of the </w:t>
      </w:r>
      <w:hyperlink r:id="rId130" w:history="1">
        <w:r w:rsidRPr="00215765">
          <w:rPr>
            <w:rStyle w:val="Hyperlink"/>
            <w:rFonts w:cs="Arial"/>
            <w:sz w:val="16"/>
            <w:szCs w:val="16"/>
          </w:rPr>
          <w:t>Judicial Code</w:t>
        </w:r>
      </w:hyperlink>
      <w:r w:rsidRPr="00215765">
        <w:rPr>
          <w:sz w:val="16"/>
          <w:szCs w:val="16"/>
        </w:rPr>
        <w:t>.</w:t>
      </w:r>
    </w:p>
  </w:footnote>
  <w:footnote w:id="131">
    <w:p w14:paraId="1017B80D"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Articles 302 and 387bis of the </w:t>
      </w:r>
      <w:hyperlink r:id="rId131" w:history="1">
        <w:r w:rsidRPr="00215765">
          <w:rPr>
            <w:rStyle w:val="Hyperlink"/>
            <w:rFonts w:cs="Arial"/>
            <w:sz w:val="16"/>
            <w:szCs w:val="16"/>
          </w:rPr>
          <w:t>Civil Code</w:t>
        </w:r>
      </w:hyperlink>
      <w:r w:rsidRPr="00215765">
        <w:rPr>
          <w:sz w:val="16"/>
          <w:szCs w:val="16"/>
        </w:rPr>
        <w:t>.</w:t>
      </w:r>
    </w:p>
  </w:footnote>
  <w:footnote w:id="132">
    <w:p w14:paraId="78FC974C"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 387bis of the </w:t>
      </w:r>
      <w:hyperlink r:id="rId132" w:history="1">
        <w:r w:rsidRPr="00215765">
          <w:rPr>
            <w:rStyle w:val="Hyperlink"/>
            <w:rFonts w:cs="Arial"/>
            <w:sz w:val="16"/>
            <w:szCs w:val="16"/>
          </w:rPr>
          <w:t>Civil Code</w:t>
        </w:r>
      </w:hyperlink>
      <w:r w:rsidRPr="00215765">
        <w:rPr>
          <w:sz w:val="16"/>
          <w:szCs w:val="16"/>
        </w:rPr>
        <w:t>.</w:t>
      </w:r>
    </w:p>
  </w:footnote>
  <w:footnote w:id="133">
    <w:p w14:paraId="0D4530E1"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 199 of the </w:t>
      </w:r>
      <w:hyperlink r:id="rId133" w:history="1">
        <w:r w:rsidRPr="00215765">
          <w:rPr>
            <w:rStyle w:val="Hyperlink"/>
            <w:rFonts w:cs="Arial"/>
            <w:bCs/>
            <w:sz w:val="16"/>
            <w:szCs w:val="16"/>
          </w:rPr>
          <w:t>new Act of 30 July 2013 for the creation of the Family and Youth Tribunal</w:t>
        </w:r>
      </w:hyperlink>
      <w:r w:rsidRPr="00215765">
        <w:rPr>
          <w:bCs/>
          <w:sz w:val="16"/>
          <w:szCs w:val="16"/>
        </w:rPr>
        <w:t xml:space="preserve"> (to enter into force on 1 September 2014).</w:t>
      </w:r>
    </w:p>
  </w:footnote>
  <w:footnote w:id="134">
    <w:p w14:paraId="3270DB5D"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 56bis of the </w:t>
      </w:r>
      <w:hyperlink r:id="rId134" w:history="1">
        <w:r w:rsidRPr="00215765">
          <w:rPr>
            <w:rStyle w:val="Hyperlink"/>
            <w:rFonts w:cs="Arial"/>
            <w:sz w:val="16"/>
            <w:szCs w:val="16"/>
          </w:rPr>
          <w:t>Youth Protection Act</w:t>
        </w:r>
      </w:hyperlink>
      <w:r w:rsidRPr="00215765">
        <w:rPr>
          <w:rStyle w:val="Hyperlink"/>
          <w:rFonts w:cs="Arial"/>
          <w:sz w:val="16"/>
          <w:szCs w:val="16"/>
        </w:rPr>
        <w:t>.</w:t>
      </w:r>
    </w:p>
  </w:footnote>
  <w:footnote w:id="135">
    <w:p w14:paraId="2E9C5E65"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 931 of the </w:t>
      </w:r>
      <w:hyperlink r:id="rId135" w:history="1">
        <w:r w:rsidRPr="00215765">
          <w:rPr>
            <w:rStyle w:val="Hyperlink"/>
            <w:rFonts w:cs="Arial"/>
            <w:sz w:val="16"/>
            <w:szCs w:val="16"/>
          </w:rPr>
          <w:t>Judicial Code</w:t>
        </w:r>
      </w:hyperlink>
      <w:r w:rsidRPr="00215765">
        <w:rPr>
          <w:sz w:val="16"/>
          <w:szCs w:val="16"/>
        </w:rPr>
        <w:t>.</w:t>
      </w:r>
    </w:p>
  </w:footnote>
  <w:footnote w:id="136">
    <w:p w14:paraId="3FDE19D7"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The adversarial principle (</w:t>
      </w:r>
      <w:r w:rsidRPr="00215765">
        <w:rPr>
          <w:i/>
          <w:sz w:val="16"/>
          <w:szCs w:val="16"/>
        </w:rPr>
        <w:t>het beginsel van hoor en wederhoor – principe du contradictoire</w:t>
      </w:r>
      <w:r w:rsidRPr="00215765">
        <w:rPr>
          <w:sz w:val="16"/>
          <w:szCs w:val="16"/>
        </w:rPr>
        <w:t>) requires that both parties have the possibility to discuss the facts of the cases, the evidences put forward and the legal arguments made. In this case, if a party cannot access the interview report and therefore did not have the opportunity to see and discuss the report, the interview report cannot be used as a basis for the judge’s decision.</w:t>
      </w:r>
    </w:p>
  </w:footnote>
  <w:footnote w:id="137">
    <w:p w14:paraId="46921C14"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 931 of the </w:t>
      </w:r>
      <w:hyperlink r:id="rId136" w:history="1">
        <w:r w:rsidRPr="00215765">
          <w:rPr>
            <w:rStyle w:val="Hyperlink"/>
            <w:rFonts w:cs="Arial"/>
            <w:sz w:val="16"/>
            <w:szCs w:val="16"/>
          </w:rPr>
          <w:t>Judicial Code</w:t>
        </w:r>
      </w:hyperlink>
      <w:r w:rsidRPr="00215765">
        <w:rPr>
          <w:sz w:val="16"/>
          <w:szCs w:val="16"/>
        </w:rPr>
        <w:t xml:space="preserve"> and Cécile De Boe, </w:t>
      </w:r>
      <w:r w:rsidRPr="00F43706">
        <w:rPr>
          <w:i/>
          <w:sz w:val="16"/>
          <w:szCs w:val="16"/>
        </w:rPr>
        <w:t>‘The position of the child in civil proceedings</w:t>
      </w:r>
      <w:r>
        <w:rPr>
          <w:i/>
          <w:sz w:val="16"/>
          <w:szCs w:val="16"/>
        </w:rPr>
        <w:t>’</w:t>
      </w:r>
      <w:r w:rsidRPr="00215765">
        <w:rPr>
          <w:sz w:val="16"/>
          <w:szCs w:val="16"/>
        </w:rPr>
        <w:t xml:space="preserve"> (</w:t>
      </w:r>
      <w:r w:rsidRPr="00215765">
        <w:rPr>
          <w:i/>
          <w:sz w:val="16"/>
          <w:szCs w:val="16"/>
        </w:rPr>
        <w:t>La place de l’enfant dans le procès civil</w:t>
      </w:r>
      <w:r w:rsidRPr="00215765">
        <w:rPr>
          <w:sz w:val="16"/>
          <w:szCs w:val="16"/>
        </w:rPr>
        <w:t xml:space="preserve">)’, 2009, </w:t>
      </w:r>
      <w:r w:rsidRPr="00215765">
        <w:rPr>
          <w:i/>
          <w:sz w:val="16"/>
          <w:szCs w:val="16"/>
        </w:rPr>
        <w:t>Journal des Tribunaux</w:t>
      </w:r>
      <w:r w:rsidRPr="00215765">
        <w:rPr>
          <w:sz w:val="16"/>
          <w:szCs w:val="16"/>
        </w:rPr>
        <w:t>, p. 496.</w:t>
      </w:r>
    </w:p>
  </w:footnote>
  <w:footnote w:id="138">
    <w:p w14:paraId="6E4C1656"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 931 of the </w:t>
      </w:r>
      <w:hyperlink r:id="rId137" w:history="1">
        <w:r w:rsidRPr="00215765">
          <w:rPr>
            <w:rStyle w:val="Hyperlink"/>
            <w:rFonts w:cs="Arial"/>
            <w:sz w:val="16"/>
            <w:szCs w:val="16"/>
          </w:rPr>
          <w:t>Judicial Code</w:t>
        </w:r>
      </w:hyperlink>
      <w:r w:rsidRPr="00215765">
        <w:rPr>
          <w:sz w:val="16"/>
          <w:szCs w:val="16"/>
        </w:rPr>
        <w:t xml:space="preserve"> and Cécile De Boe, </w:t>
      </w:r>
      <w:r w:rsidRPr="00F43706">
        <w:rPr>
          <w:i/>
          <w:sz w:val="16"/>
          <w:szCs w:val="16"/>
        </w:rPr>
        <w:t>‘The position of the child in civil proceedings</w:t>
      </w:r>
      <w:r>
        <w:rPr>
          <w:i/>
          <w:sz w:val="16"/>
          <w:szCs w:val="16"/>
        </w:rPr>
        <w:t>’</w:t>
      </w:r>
      <w:r w:rsidRPr="00215765">
        <w:rPr>
          <w:sz w:val="16"/>
          <w:szCs w:val="16"/>
        </w:rPr>
        <w:t xml:space="preserve"> (</w:t>
      </w:r>
      <w:r w:rsidRPr="00215765">
        <w:rPr>
          <w:i/>
          <w:sz w:val="16"/>
          <w:szCs w:val="16"/>
        </w:rPr>
        <w:t>La place de l’enfant dans le procès civil</w:t>
      </w:r>
      <w:r w:rsidRPr="00215765">
        <w:rPr>
          <w:sz w:val="16"/>
          <w:szCs w:val="16"/>
        </w:rPr>
        <w:t xml:space="preserve">)’, 2009, </w:t>
      </w:r>
      <w:r w:rsidRPr="00215765">
        <w:rPr>
          <w:i/>
          <w:sz w:val="16"/>
          <w:szCs w:val="16"/>
        </w:rPr>
        <w:t>Journal des Tribunaux</w:t>
      </w:r>
      <w:r w:rsidRPr="00215765">
        <w:rPr>
          <w:sz w:val="16"/>
          <w:szCs w:val="16"/>
        </w:rPr>
        <w:t>, p. 495.</w:t>
      </w:r>
    </w:p>
  </w:footnote>
  <w:footnote w:id="139">
    <w:p w14:paraId="7801D0BB"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 47 bis of the </w:t>
      </w:r>
      <w:hyperlink r:id="rId138" w:history="1">
        <w:r w:rsidRPr="00215765">
          <w:rPr>
            <w:rStyle w:val="Hyperlink"/>
            <w:rFonts w:cs="Arial"/>
            <w:sz w:val="16"/>
            <w:szCs w:val="16"/>
          </w:rPr>
          <w:t>Criminal Procedure Cod</w:t>
        </w:r>
      </w:hyperlink>
      <w:r w:rsidRPr="00215765">
        <w:rPr>
          <w:sz w:val="16"/>
          <w:szCs w:val="16"/>
        </w:rPr>
        <w:t>e.</w:t>
      </w:r>
    </w:p>
  </w:footnote>
  <w:footnote w:id="140">
    <w:p w14:paraId="78B1A0EC"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 22bis of the </w:t>
      </w:r>
      <w:hyperlink r:id="rId139" w:history="1">
        <w:r w:rsidRPr="00215765">
          <w:rPr>
            <w:rStyle w:val="Hyperlink"/>
            <w:rFonts w:cs="Arial"/>
            <w:sz w:val="16"/>
            <w:szCs w:val="16"/>
          </w:rPr>
          <w:t>Constitution</w:t>
        </w:r>
      </w:hyperlink>
      <w:r w:rsidRPr="00215765">
        <w:rPr>
          <w:sz w:val="16"/>
          <w:szCs w:val="16"/>
        </w:rPr>
        <w:t>.</w:t>
      </w:r>
    </w:p>
  </w:footnote>
  <w:footnote w:id="141">
    <w:p w14:paraId="51777BD7"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Information confirmed by stakeholder consultation with a Children’s Rights authority.</w:t>
      </w:r>
    </w:p>
  </w:footnote>
  <w:footnote w:id="142">
    <w:p w14:paraId="6FD6B58E"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 56bis of the </w:t>
      </w:r>
      <w:hyperlink r:id="rId140" w:history="1">
        <w:r w:rsidRPr="00215765">
          <w:rPr>
            <w:rStyle w:val="Hyperlink"/>
            <w:rFonts w:cs="Arial"/>
            <w:sz w:val="16"/>
            <w:szCs w:val="16"/>
          </w:rPr>
          <w:t>Youth Protection Act</w:t>
        </w:r>
      </w:hyperlink>
      <w:r w:rsidRPr="00215765">
        <w:rPr>
          <w:sz w:val="16"/>
          <w:szCs w:val="16"/>
        </w:rPr>
        <w:t>.</w:t>
      </w:r>
    </w:p>
  </w:footnote>
  <w:footnote w:id="143">
    <w:p w14:paraId="1AFFE93F" w14:textId="77777777" w:rsidR="0085750C" w:rsidRPr="00215765" w:rsidRDefault="0085750C" w:rsidP="00D51AA0">
      <w:pPr>
        <w:pStyle w:val="FootnoteText"/>
        <w:jc w:val="both"/>
        <w:rPr>
          <w:sz w:val="16"/>
          <w:szCs w:val="16"/>
          <w:lang w:val="fr-BE"/>
        </w:rPr>
      </w:pPr>
      <w:r w:rsidRPr="00215765">
        <w:rPr>
          <w:rStyle w:val="FootnoteReference"/>
          <w:rFonts w:cs="Arial"/>
          <w:sz w:val="16"/>
          <w:szCs w:val="16"/>
        </w:rPr>
        <w:footnoteRef/>
      </w:r>
      <w:r w:rsidRPr="00215765">
        <w:rPr>
          <w:sz w:val="16"/>
          <w:szCs w:val="16"/>
          <w:lang w:val="fr-BE"/>
        </w:rPr>
        <w:t xml:space="preserve"> Cécile De Boe, </w:t>
      </w:r>
      <w:r w:rsidRPr="00F43706">
        <w:rPr>
          <w:i/>
          <w:sz w:val="16"/>
          <w:szCs w:val="16"/>
          <w:lang w:val="fr-BE"/>
        </w:rPr>
        <w:t>‘The position of the child in civil proceedings’</w:t>
      </w:r>
      <w:r w:rsidRPr="00215765">
        <w:rPr>
          <w:sz w:val="16"/>
          <w:szCs w:val="16"/>
          <w:lang w:val="fr-BE"/>
        </w:rPr>
        <w:t xml:space="preserve"> (</w:t>
      </w:r>
      <w:r w:rsidRPr="00215765">
        <w:rPr>
          <w:i/>
          <w:sz w:val="16"/>
          <w:szCs w:val="16"/>
          <w:lang w:val="fr-BE"/>
        </w:rPr>
        <w:t>La place de l’enfant dans le procès civil</w:t>
      </w:r>
      <w:r w:rsidRPr="00215765">
        <w:rPr>
          <w:sz w:val="16"/>
          <w:szCs w:val="16"/>
          <w:lang w:val="fr-BE"/>
        </w:rPr>
        <w:t xml:space="preserve">)’, 2009, </w:t>
      </w:r>
      <w:r w:rsidRPr="00215765">
        <w:rPr>
          <w:i/>
          <w:sz w:val="16"/>
          <w:szCs w:val="16"/>
          <w:lang w:val="fr-BE"/>
        </w:rPr>
        <w:t>Journal des Tribunaux</w:t>
      </w:r>
      <w:r w:rsidRPr="00215765">
        <w:rPr>
          <w:sz w:val="16"/>
          <w:szCs w:val="16"/>
          <w:lang w:val="fr-BE"/>
        </w:rPr>
        <w:t>, p. 497.</w:t>
      </w:r>
    </w:p>
  </w:footnote>
  <w:footnote w:id="144">
    <w:p w14:paraId="66A3D5A6"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Articles 244 and 158 of the </w:t>
      </w:r>
      <w:hyperlink r:id="rId141" w:history="1">
        <w:r w:rsidRPr="00215765">
          <w:rPr>
            <w:rStyle w:val="Hyperlink"/>
            <w:rFonts w:cs="Arial"/>
            <w:bCs/>
            <w:sz w:val="16"/>
            <w:szCs w:val="16"/>
          </w:rPr>
          <w:t>new Act of 30 July 2013 for the creation of the Family and Youth Tribunal</w:t>
        </w:r>
      </w:hyperlink>
      <w:r w:rsidRPr="00215765">
        <w:rPr>
          <w:bCs/>
          <w:sz w:val="16"/>
          <w:szCs w:val="16"/>
        </w:rPr>
        <w:t xml:space="preserve"> (to enter into force on 1 September 2014).</w:t>
      </w:r>
    </w:p>
  </w:footnote>
  <w:footnote w:id="145">
    <w:p w14:paraId="36483140"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 158 of the </w:t>
      </w:r>
      <w:hyperlink r:id="rId142" w:history="1">
        <w:r w:rsidRPr="00215765">
          <w:rPr>
            <w:rStyle w:val="Hyperlink"/>
            <w:rFonts w:cs="Arial"/>
            <w:bCs/>
            <w:sz w:val="16"/>
            <w:szCs w:val="16"/>
          </w:rPr>
          <w:t>new Act of 30 July 2013 for the creation of the Family and Youth Tribunal</w:t>
        </w:r>
      </w:hyperlink>
      <w:r w:rsidRPr="00215765">
        <w:rPr>
          <w:bCs/>
          <w:sz w:val="16"/>
          <w:szCs w:val="16"/>
        </w:rPr>
        <w:t xml:space="preserve"> (to enter into force on 1 September 2014).</w:t>
      </w:r>
    </w:p>
  </w:footnote>
  <w:footnote w:id="146">
    <w:p w14:paraId="0A9625F7"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w:t>
      </w:r>
      <w:hyperlink r:id="rId143" w:history="1">
        <w:r w:rsidRPr="00215765">
          <w:rPr>
            <w:rStyle w:val="Hyperlink"/>
            <w:rFonts w:cs="Arial"/>
            <w:bCs/>
            <w:sz w:val="16"/>
            <w:szCs w:val="16"/>
          </w:rPr>
          <w:t>Act of 30 July 2013 for the creation of the Family and Youth Tribunal</w:t>
        </w:r>
      </w:hyperlink>
      <w:r w:rsidRPr="00215765">
        <w:rPr>
          <w:bCs/>
          <w:sz w:val="16"/>
          <w:szCs w:val="16"/>
        </w:rPr>
        <w:t xml:space="preserve"> (to enter into force on 1 September 2014)</w:t>
      </w:r>
      <w:r w:rsidRPr="00215765">
        <w:rPr>
          <w:sz w:val="16"/>
          <w:szCs w:val="16"/>
        </w:rPr>
        <w:t xml:space="preserve">. </w:t>
      </w:r>
    </w:p>
  </w:footnote>
  <w:footnote w:id="147">
    <w:p w14:paraId="3D3B33AC" w14:textId="77777777" w:rsidR="0085750C" w:rsidRPr="00215765" w:rsidRDefault="0085750C" w:rsidP="00D51AA0">
      <w:pPr>
        <w:pStyle w:val="FootnoteText"/>
        <w:jc w:val="both"/>
        <w:rPr>
          <w:sz w:val="16"/>
          <w:szCs w:val="16"/>
          <w:lang w:val="fr-BE"/>
        </w:rPr>
      </w:pPr>
      <w:r w:rsidRPr="00215765">
        <w:rPr>
          <w:rStyle w:val="FootnoteReference"/>
          <w:rFonts w:cs="Arial"/>
          <w:sz w:val="16"/>
          <w:szCs w:val="16"/>
        </w:rPr>
        <w:footnoteRef/>
      </w:r>
      <w:r w:rsidRPr="00215765">
        <w:rPr>
          <w:sz w:val="16"/>
          <w:szCs w:val="16"/>
          <w:lang w:val="fr-BE"/>
        </w:rPr>
        <w:t xml:space="preserve"> Kinderrechtswinkels, Services droit des jeunes and Infor Jeunes Bruxelles, </w:t>
      </w:r>
      <w:r w:rsidRPr="00215765">
        <w:rPr>
          <w:i/>
          <w:sz w:val="16"/>
          <w:szCs w:val="16"/>
          <w:lang w:val="fr-BE"/>
        </w:rPr>
        <w:t>The legal position of the minor in practice (La position juridique du mineur dans la pratique)</w:t>
      </w:r>
      <w:r w:rsidRPr="00215765">
        <w:rPr>
          <w:sz w:val="16"/>
          <w:szCs w:val="16"/>
          <w:lang w:val="fr-BE"/>
        </w:rPr>
        <w:t>, 2006, UGA, p.205.</w:t>
      </w:r>
    </w:p>
  </w:footnote>
  <w:footnote w:id="148">
    <w:p w14:paraId="233A1724"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 22bis of the </w:t>
      </w:r>
      <w:hyperlink r:id="rId144" w:history="1">
        <w:r w:rsidRPr="00215765">
          <w:rPr>
            <w:rStyle w:val="Hyperlink"/>
            <w:rFonts w:cs="Arial"/>
            <w:sz w:val="16"/>
            <w:szCs w:val="16"/>
          </w:rPr>
          <w:t>Constitution</w:t>
        </w:r>
      </w:hyperlink>
      <w:r w:rsidRPr="00215765">
        <w:rPr>
          <w:sz w:val="16"/>
          <w:szCs w:val="16"/>
        </w:rPr>
        <w:t>.</w:t>
      </w:r>
    </w:p>
  </w:footnote>
  <w:footnote w:id="149">
    <w:p w14:paraId="069688C3" w14:textId="77777777" w:rsidR="0085750C" w:rsidRPr="00215765" w:rsidRDefault="0085750C" w:rsidP="00D51AA0">
      <w:pPr>
        <w:pStyle w:val="FootnoteText"/>
        <w:jc w:val="both"/>
        <w:rPr>
          <w:sz w:val="16"/>
          <w:szCs w:val="16"/>
          <w:lang w:val="fr-BE"/>
        </w:rPr>
      </w:pPr>
      <w:r w:rsidRPr="00215765">
        <w:rPr>
          <w:rStyle w:val="FootnoteReference"/>
          <w:rFonts w:cs="Arial"/>
          <w:sz w:val="16"/>
          <w:szCs w:val="16"/>
        </w:rPr>
        <w:footnoteRef/>
      </w:r>
      <w:r w:rsidRPr="00215765">
        <w:rPr>
          <w:sz w:val="16"/>
          <w:szCs w:val="16"/>
          <w:lang w:val="fr-BE"/>
        </w:rPr>
        <w:t xml:space="preserve"> Kinderrechtswinkels, Services droit des jeunes and Infor Jeunes Bruxelles, </w:t>
      </w:r>
      <w:r w:rsidRPr="00215765">
        <w:rPr>
          <w:i/>
          <w:sz w:val="16"/>
          <w:szCs w:val="16"/>
          <w:lang w:val="fr-BE"/>
        </w:rPr>
        <w:t>The legal position of the minor in practice (La position juridique du mineur dans la pratique)</w:t>
      </w:r>
      <w:r w:rsidRPr="00215765">
        <w:rPr>
          <w:sz w:val="16"/>
          <w:szCs w:val="16"/>
          <w:lang w:val="fr-BE"/>
        </w:rPr>
        <w:t>, 2006, UGA, p.203.</w:t>
      </w:r>
    </w:p>
  </w:footnote>
  <w:footnote w:id="150">
    <w:p w14:paraId="58095BA8"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w:t>
      </w:r>
      <w:r w:rsidRPr="00215765">
        <w:rPr>
          <w:bCs/>
          <w:sz w:val="16"/>
          <w:szCs w:val="16"/>
        </w:rPr>
        <w:t xml:space="preserve">Article 931 of the </w:t>
      </w:r>
      <w:hyperlink r:id="rId145" w:history="1">
        <w:r w:rsidRPr="00215765">
          <w:rPr>
            <w:rStyle w:val="Hyperlink"/>
            <w:rFonts w:cs="Arial"/>
            <w:sz w:val="16"/>
            <w:szCs w:val="16"/>
          </w:rPr>
          <w:t>Judicial Code</w:t>
        </w:r>
      </w:hyperlink>
      <w:r w:rsidRPr="00215765">
        <w:rPr>
          <w:bCs/>
          <w:sz w:val="16"/>
          <w:szCs w:val="16"/>
        </w:rPr>
        <w:t>.</w:t>
      </w:r>
    </w:p>
  </w:footnote>
  <w:footnote w:id="151">
    <w:p w14:paraId="7A0E2C6C" w14:textId="77777777" w:rsidR="0085750C" w:rsidRPr="00215765" w:rsidRDefault="0085750C" w:rsidP="00D51AA0">
      <w:pPr>
        <w:pStyle w:val="FootnoteText"/>
        <w:jc w:val="both"/>
        <w:rPr>
          <w:sz w:val="16"/>
          <w:szCs w:val="16"/>
          <w:lang w:val="fr-BE"/>
        </w:rPr>
      </w:pPr>
      <w:r w:rsidRPr="00215765">
        <w:rPr>
          <w:rStyle w:val="FootnoteReference"/>
          <w:rFonts w:cs="Arial"/>
          <w:sz w:val="16"/>
          <w:szCs w:val="16"/>
        </w:rPr>
        <w:footnoteRef/>
      </w:r>
      <w:r w:rsidRPr="00215765">
        <w:rPr>
          <w:sz w:val="16"/>
          <w:szCs w:val="16"/>
          <w:lang w:val="fr-BE"/>
        </w:rPr>
        <w:t xml:space="preserve"> Kinderrechtswinkels, Services droit des jeunes and Infor Jeunes Bruxelles, </w:t>
      </w:r>
      <w:r w:rsidRPr="00215765">
        <w:rPr>
          <w:i/>
          <w:sz w:val="16"/>
          <w:szCs w:val="16"/>
          <w:lang w:val="fr-BE"/>
        </w:rPr>
        <w:t>The legal position of the minor in practice (La position juridique du mineur dans la pratique)</w:t>
      </w:r>
      <w:r w:rsidRPr="00215765">
        <w:rPr>
          <w:sz w:val="16"/>
          <w:szCs w:val="16"/>
          <w:lang w:val="fr-BE"/>
        </w:rPr>
        <w:t>, 2006, UGA, p.204.</w:t>
      </w:r>
    </w:p>
  </w:footnote>
  <w:footnote w:id="152">
    <w:p w14:paraId="0CCB16C3"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 22bis of the </w:t>
      </w:r>
      <w:hyperlink r:id="rId146" w:history="1">
        <w:r w:rsidRPr="00215765">
          <w:rPr>
            <w:rStyle w:val="Hyperlink"/>
            <w:rFonts w:cs="Arial"/>
            <w:sz w:val="16"/>
            <w:szCs w:val="16"/>
          </w:rPr>
          <w:t>Constitution</w:t>
        </w:r>
      </w:hyperlink>
      <w:r w:rsidRPr="00215765">
        <w:rPr>
          <w:sz w:val="16"/>
          <w:szCs w:val="16"/>
        </w:rPr>
        <w:t>.</w:t>
      </w:r>
    </w:p>
  </w:footnote>
  <w:footnote w:id="153">
    <w:p w14:paraId="6634DD20"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Information confirmed by stakeholder consultation with a Children’s Rights authority.</w:t>
      </w:r>
    </w:p>
  </w:footnote>
  <w:footnote w:id="154">
    <w:p w14:paraId="15140DDD"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 54bis of the </w:t>
      </w:r>
      <w:hyperlink r:id="rId147" w:history="1">
        <w:r w:rsidRPr="00215765">
          <w:rPr>
            <w:rStyle w:val="Hyperlink"/>
            <w:rFonts w:cs="Arial"/>
            <w:sz w:val="16"/>
            <w:szCs w:val="16"/>
          </w:rPr>
          <w:t>Youth Protection Act</w:t>
        </w:r>
      </w:hyperlink>
      <w:r w:rsidRPr="00215765">
        <w:rPr>
          <w:sz w:val="16"/>
          <w:szCs w:val="16"/>
        </w:rPr>
        <w:t xml:space="preserve"> of 8 April 1965.</w:t>
      </w:r>
    </w:p>
  </w:footnote>
  <w:footnote w:id="155">
    <w:p w14:paraId="3D6486B7"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 508/23 of the </w:t>
      </w:r>
      <w:hyperlink r:id="rId148" w:history="1">
        <w:r w:rsidRPr="00215765">
          <w:rPr>
            <w:rStyle w:val="Hyperlink"/>
            <w:rFonts w:cs="Arial"/>
            <w:sz w:val="16"/>
            <w:szCs w:val="16"/>
          </w:rPr>
          <w:t>Judicial Code</w:t>
        </w:r>
      </w:hyperlink>
      <w:r w:rsidRPr="00215765">
        <w:rPr>
          <w:sz w:val="16"/>
          <w:szCs w:val="16"/>
        </w:rPr>
        <w:t>.</w:t>
      </w:r>
    </w:p>
  </w:footnote>
  <w:footnote w:id="156">
    <w:p w14:paraId="5490F37F"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 47 bis of the </w:t>
      </w:r>
      <w:hyperlink r:id="rId149" w:history="1">
        <w:r w:rsidRPr="00215765">
          <w:rPr>
            <w:rStyle w:val="Hyperlink"/>
            <w:rFonts w:cs="Arial"/>
            <w:sz w:val="16"/>
            <w:szCs w:val="16"/>
          </w:rPr>
          <w:t>Criminal Procedure Code</w:t>
        </w:r>
      </w:hyperlink>
      <w:r w:rsidRPr="00215765">
        <w:rPr>
          <w:sz w:val="16"/>
          <w:szCs w:val="16"/>
        </w:rPr>
        <w:t>.</w:t>
      </w:r>
    </w:p>
  </w:footnote>
  <w:footnote w:id="157">
    <w:p w14:paraId="57DA20E2"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Information confirmed by stakeholder consultation with a Children’s Rights authority.</w:t>
      </w:r>
    </w:p>
  </w:footnote>
  <w:footnote w:id="158">
    <w:p w14:paraId="662C5E75"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Articles 1124 and 1125 of the </w:t>
      </w:r>
      <w:hyperlink r:id="rId150" w:history="1">
        <w:r w:rsidRPr="00215765">
          <w:rPr>
            <w:rStyle w:val="Hyperlink"/>
            <w:rFonts w:cs="Arial"/>
            <w:sz w:val="16"/>
            <w:szCs w:val="16"/>
          </w:rPr>
          <w:t>Civil Code</w:t>
        </w:r>
      </w:hyperlink>
      <w:r w:rsidRPr="00215765">
        <w:rPr>
          <w:sz w:val="16"/>
          <w:szCs w:val="16"/>
        </w:rPr>
        <w:t>.</w:t>
      </w:r>
    </w:p>
  </w:footnote>
  <w:footnote w:id="159">
    <w:p w14:paraId="4F309EF8" w14:textId="77777777" w:rsidR="0085750C" w:rsidRPr="00215765" w:rsidRDefault="0085750C" w:rsidP="00D51AA0">
      <w:pPr>
        <w:pStyle w:val="FootnoteText"/>
        <w:jc w:val="both"/>
        <w:rPr>
          <w:sz w:val="16"/>
          <w:szCs w:val="16"/>
          <w:lang w:val="fr-BE"/>
        </w:rPr>
      </w:pPr>
      <w:r w:rsidRPr="00215765">
        <w:rPr>
          <w:rStyle w:val="FootnoteReference"/>
          <w:rFonts w:cs="Arial"/>
          <w:sz w:val="16"/>
          <w:szCs w:val="16"/>
        </w:rPr>
        <w:footnoteRef/>
      </w:r>
      <w:r w:rsidRPr="00215765">
        <w:rPr>
          <w:sz w:val="16"/>
          <w:szCs w:val="16"/>
        </w:rPr>
        <w:t xml:space="preserve"> The filing of a judicial action by a child results in the inadmissibility of the action which can be overcome by the regularisation of the action. </w:t>
      </w:r>
      <w:r w:rsidRPr="00215765">
        <w:rPr>
          <w:sz w:val="16"/>
          <w:szCs w:val="16"/>
          <w:lang w:val="fr-BE"/>
        </w:rPr>
        <w:t xml:space="preserve">Kinderrechtswinkels, Services droit des jeunes and Infor Jeunes Bruxelles, </w:t>
      </w:r>
      <w:r w:rsidRPr="00215765">
        <w:rPr>
          <w:i/>
          <w:sz w:val="16"/>
          <w:szCs w:val="16"/>
          <w:lang w:val="fr-BE"/>
        </w:rPr>
        <w:t>The legal position of the minor in practice (La position juridique du mineur dans la pratique)</w:t>
      </w:r>
      <w:r w:rsidRPr="00215765">
        <w:rPr>
          <w:sz w:val="16"/>
          <w:szCs w:val="16"/>
          <w:lang w:val="fr-BE"/>
        </w:rPr>
        <w:t>, 2006, UGA, p.79.</w:t>
      </w:r>
    </w:p>
  </w:footnote>
  <w:footnote w:id="160">
    <w:p w14:paraId="174F8296"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 1233 of the </w:t>
      </w:r>
      <w:hyperlink r:id="rId151" w:history="1">
        <w:r w:rsidRPr="00215765">
          <w:rPr>
            <w:rStyle w:val="Hyperlink"/>
            <w:rFonts w:cs="Arial"/>
            <w:sz w:val="16"/>
            <w:szCs w:val="16"/>
          </w:rPr>
          <w:t>Judicial Code</w:t>
        </w:r>
      </w:hyperlink>
      <w:r w:rsidRPr="00215765">
        <w:rPr>
          <w:sz w:val="16"/>
          <w:szCs w:val="16"/>
        </w:rPr>
        <w:t>.</w:t>
      </w:r>
    </w:p>
  </w:footnote>
  <w:footnote w:id="161">
    <w:p w14:paraId="60517CF2"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 2262bis of the </w:t>
      </w:r>
      <w:hyperlink r:id="rId152" w:history="1">
        <w:r w:rsidRPr="00215765">
          <w:rPr>
            <w:rStyle w:val="Hyperlink"/>
            <w:rFonts w:cs="Arial"/>
            <w:sz w:val="16"/>
            <w:szCs w:val="16"/>
          </w:rPr>
          <w:t>Civil Code</w:t>
        </w:r>
      </w:hyperlink>
      <w:r w:rsidRPr="00215765">
        <w:rPr>
          <w:sz w:val="16"/>
          <w:szCs w:val="16"/>
        </w:rPr>
        <w:t>.</w:t>
      </w:r>
    </w:p>
  </w:footnote>
  <w:footnote w:id="162">
    <w:p w14:paraId="3133428E"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 331ter of the </w:t>
      </w:r>
      <w:hyperlink r:id="rId153" w:history="1">
        <w:r w:rsidRPr="00215765">
          <w:rPr>
            <w:rStyle w:val="Hyperlink"/>
            <w:rFonts w:cs="Arial"/>
            <w:sz w:val="16"/>
            <w:szCs w:val="16"/>
          </w:rPr>
          <w:t>Civil Code</w:t>
        </w:r>
      </w:hyperlink>
      <w:r w:rsidRPr="00215765">
        <w:rPr>
          <w:sz w:val="16"/>
          <w:szCs w:val="16"/>
        </w:rPr>
        <w:t>.</w:t>
      </w:r>
    </w:p>
  </w:footnote>
  <w:footnote w:id="163">
    <w:p w14:paraId="168D17FB"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 330 of the </w:t>
      </w:r>
      <w:hyperlink r:id="rId154" w:history="1">
        <w:r w:rsidRPr="00215765">
          <w:rPr>
            <w:rStyle w:val="Hyperlink"/>
            <w:rFonts w:cs="Arial"/>
            <w:sz w:val="16"/>
            <w:szCs w:val="16"/>
          </w:rPr>
          <w:t>Civil Code</w:t>
        </w:r>
      </w:hyperlink>
      <w:r w:rsidRPr="00215765">
        <w:rPr>
          <w:sz w:val="16"/>
          <w:szCs w:val="16"/>
        </w:rPr>
        <w:t>.</w:t>
      </w:r>
    </w:p>
  </w:footnote>
  <w:footnote w:id="164">
    <w:p w14:paraId="3DDDBC38"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 35 of the </w:t>
      </w:r>
      <w:hyperlink r:id="rId155" w:history="1">
        <w:r w:rsidRPr="00215765">
          <w:rPr>
            <w:rStyle w:val="Hyperlink"/>
            <w:rFonts w:cs="Arial"/>
            <w:sz w:val="16"/>
            <w:szCs w:val="16"/>
          </w:rPr>
          <w:t>Judicial Code</w:t>
        </w:r>
      </w:hyperlink>
      <w:r w:rsidRPr="00215765">
        <w:rPr>
          <w:sz w:val="16"/>
          <w:szCs w:val="16"/>
        </w:rPr>
        <w:t>.</w:t>
      </w:r>
    </w:p>
  </w:footnote>
  <w:footnote w:id="165">
    <w:p w14:paraId="7E8A877B"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w:t>
      </w:r>
      <w:r w:rsidRPr="00215765">
        <w:rPr>
          <w:bCs/>
          <w:sz w:val="16"/>
          <w:szCs w:val="16"/>
        </w:rPr>
        <w:t xml:space="preserve">Article 931 of the </w:t>
      </w:r>
      <w:hyperlink r:id="rId156" w:history="1">
        <w:r w:rsidRPr="00215765">
          <w:rPr>
            <w:rStyle w:val="Hyperlink"/>
            <w:rFonts w:cs="Arial"/>
            <w:sz w:val="16"/>
            <w:szCs w:val="16"/>
          </w:rPr>
          <w:t>Judicial Code</w:t>
        </w:r>
      </w:hyperlink>
      <w:r w:rsidRPr="00215765">
        <w:rPr>
          <w:bCs/>
          <w:sz w:val="16"/>
          <w:szCs w:val="16"/>
        </w:rPr>
        <w:t>.</w:t>
      </w:r>
    </w:p>
  </w:footnote>
  <w:footnote w:id="166">
    <w:p w14:paraId="237C8367"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 56bis of the </w:t>
      </w:r>
      <w:hyperlink r:id="rId157" w:history="1">
        <w:r w:rsidRPr="00215765">
          <w:rPr>
            <w:rStyle w:val="Hyperlink"/>
            <w:rFonts w:cs="Arial"/>
            <w:sz w:val="16"/>
            <w:szCs w:val="16"/>
          </w:rPr>
          <w:t>Youth Protection Act</w:t>
        </w:r>
      </w:hyperlink>
      <w:r w:rsidRPr="00215765">
        <w:rPr>
          <w:sz w:val="16"/>
          <w:szCs w:val="16"/>
        </w:rPr>
        <w:t>.</w:t>
      </w:r>
    </w:p>
  </w:footnote>
  <w:footnote w:id="167">
    <w:p w14:paraId="7AC9DADC"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 158 of the </w:t>
      </w:r>
      <w:hyperlink r:id="rId158" w:history="1">
        <w:r w:rsidRPr="00215765">
          <w:rPr>
            <w:rStyle w:val="Hyperlink"/>
            <w:rFonts w:cs="Arial"/>
            <w:bCs/>
            <w:sz w:val="16"/>
            <w:szCs w:val="16"/>
          </w:rPr>
          <w:t>new Act of 30 July 2013 for the creation of the Family and Youth Tribunal</w:t>
        </w:r>
      </w:hyperlink>
      <w:r w:rsidRPr="00215765">
        <w:rPr>
          <w:bCs/>
          <w:sz w:val="16"/>
          <w:szCs w:val="16"/>
        </w:rPr>
        <w:t xml:space="preserve"> (to enter into force on 1 September 2014).</w:t>
      </w:r>
    </w:p>
  </w:footnote>
  <w:footnote w:id="168">
    <w:p w14:paraId="2CDE1EF6"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Articles 158 and 159 of the </w:t>
      </w:r>
      <w:hyperlink r:id="rId159" w:history="1">
        <w:r w:rsidRPr="00215765">
          <w:rPr>
            <w:rStyle w:val="Hyperlink"/>
            <w:rFonts w:cs="Arial"/>
            <w:bCs/>
            <w:sz w:val="16"/>
            <w:szCs w:val="16"/>
          </w:rPr>
          <w:t>new Act of 30 July 2013 for the creation of the Family and Youth Tribunal</w:t>
        </w:r>
      </w:hyperlink>
      <w:r w:rsidRPr="00215765">
        <w:rPr>
          <w:bCs/>
          <w:sz w:val="16"/>
          <w:szCs w:val="16"/>
        </w:rPr>
        <w:t xml:space="preserve"> (to enter into force on 1 September 2014).</w:t>
      </w:r>
    </w:p>
  </w:footnote>
  <w:footnote w:id="169">
    <w:p w14:paraId="605692B7"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w:t>
      </w:r>
      <w:r w:rsidRPr="00215765">
        <w:rPr>
          <w:bCs/>
          <w:sz w:val="16"/>
          <w:szCs w:val="16"/>
        </w:rPr>
        <w:t>Articles 1231.10 and</w:t>
      </w:r>
      <w:r w:rsidRPr="00215765">
        <w:rPr>
          <w:sz w:val="16"/>
          <w:szCs w:val="16"/>
        </w:rPr>
        <w:t xml:space="preserve"> 1231.11 of the </w:t>
      </w:r>
      <w:hyperlink r:id="rId160" w:history="1">
        <w:r w:rsidRPr="00215765">
          <w:rPr>
            <w:rStyle w:val="Hyperlink"/>
            <w:rFonts w:cs="Arial"/>
            <w:sz w:val="16"/>
            <w:szCs w:val="16"/>
          </w:rPr>
          <w:t>Judicial Code</w:t>
        </w:r>
      </w:hyperlink>
      <w:r w:rsidRPr="00215765">
        <w:rPr>
          <w:sz w:val="16"/>
          <w:szCs w:val="16"/>
        </w:rPr>
        <w:t>.</w:t>
      </w:r>
    </w:p>
  </w:footnote>
  <w:footnote w:id="170">
    <w:p w14:paraId="74475E07" w14:textId="77777777" w:rsidR="0085750C" w:rsidRPr="00814D88" w:rsidRDefault="0085750C" w:rsidP="00D51AA0">
      <w:pPr>
        <w:pStyle w:val="FootnoteText"/>
        <w:jc w:val="both"/>
        <w:rPr>
          <w:sz w:val="16"/>
          <w:szCs w:val="16"/>
          <w:lang w:val="fr-BE"/>
        </w:rPr>
      </w:pPr>
      <w:r w:rsidRPr="00215765">
        <w:rPr>
          <w:rStyle w:val="FootnoteReference"/>
          <w:rFonts w:cs="Arial"/>
          <w:sz w:val="16"/>
          <w:szCs w:val="16"/>
        </w:rPr>
        <w:footnoteRef/>
      </w:r>
      <w:r w:rsidRPr="00814D88">
        <w:rPr>
          <w:sz w:val="16"/>
          <w:szCs w:val="16"/>
          <w:lang w:val="fr-BE"/>
        </w:rPr>
        <w:t xml:space="preserve"> Article 931 of the </w:t>
      </w:r>
      <w:hyperlink r:id="rId161" w:history="1">
        <w:r w:rsidRPr="00814D88">
          <w:rPr>
            <w:rStyle w:val="Hyperlink"/>
            <w:rFonts w:cs="Arial"/>
            <w:sz w:val="16"/>
            <w:szCs w:val="16"/>
            <w:lang w:val="fr-BE"/>
          </w:rPr>
          <w:t>Judicial Code</w:t>
        </w:r>
      </w:hyperlink>
      <w:r w:rsidRPr="00814D88">
        <w:rPr>
          <w:sz w:val="16"/>
          <w:szCs w:val="16"/>
          <w:lang w:val="fr-BE"/>
        </w:rPr>
        <w:t xml:space="preserve"> and Kinderrechtswinkels, Services droit des jeunes and Infor Jeunes Bruxelles, </w:t>
      </w:r>
      <w:r w:rsidRPr="00814D88">
        <w:rPr>
          <w:i/>
          <w:sz w:val="16"/>
          <w:szCs w:val="16"/>
          <w:lang w:val="fr-BE"/>
        </w:rPr>
        <w:t>The legal position of the minor in practice (La position juridique du mineur dans la pratique)</w:t>
      </w:r>
      <w:r w:rsidRPr="00814D88">
        <w:rPr>
          <w:sz w:val="16"/>
          <w:szCs w:val="16"/>
          <w:lang w:val="fr-BE"/>
        </w:rPr>
        <w:t>, 2006, UGA, pp.204-205.</w:t>
      </w:r>
    </w:p>
  </w:footnote>
  <w:footnote w:id="171">
    <w:p w14:paraId="70EF33CB"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Articles 1290 and 1293 of the </w:t>
      </w:r>
      <w:hyperlink r:id="rId162" w:history="1">
        <w:r w:rsidRPr="00215765">
          <w:rPr>
            <w:rStyle w:val="Hyperlink"/>
            <w:rFonts w:cs="Arial"/>
            <w:sz w:val="16"/>
            <w:szCs w:val="16"/>
          </w:rPr>
          <w:t>Judicial Code</w:t>
        </w:r>
      </w:hyperlink>
      <w:r w:rsidRPr="00215765">
        <w:rPr>
          <w:sz w:val="16"/>
          <w:szCs w:val="16"/>
        </w:rPr>
        <w:t>.</w:t>
      </w:r>
    </w:p>
  </w:footnote>
  <w:footnote w:id="172">
    <w:p w14:paraId="23A2D953"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 61bis of the </w:t>
      </w:r>
      <w:hyperlink r:id="rId163" w:history="1">
        <w:r w:rsidRPr="00215765">
          <w:rPr>
            <w:rStyle w:val="Hyperlink"/>
            <w:rFonts w:cs="Arial"/>
            <w:sz w:val="16"/>
            <w:szCs w:val="16"/>
          </w:rPr>
          <w:t>Youth Protection Act</w:t>
        </w:r>
      </w:hyperlink>
      <w:r w:rsidRPr="00215765">
        <w:rPr>
          <w:sz w:val="16"/>
          <w:szCs w:val="16"/>
        </w:rPr>
        <w:t>.</w:t>
      </w:r>
    </w:p>
  </w:footnote>
  <w:footnote w:id="173">
    <w:p w14:paraId="39781241"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w:t>
      </w:r>
      <w:r w:rsidRPr="00215765">
        <w:rPr>
          <w:bCs/>
          <w:sz w:val="16"/>
          <w:szCs w:val="16"/>
        </w:rPr>
        <w:t xml:space="preserve">Article 764 of the </w:t>
      </w:r>
      <w:hyperlink r:id="rId164" w:history="1">
        <w:r w:rsidRPr="00215765">
          <w:rPr>
            <w:rStyle w:val="Hyperlink"/>
            <w:rFonts w:cs="Arial"/>
            <w:sz w:val="16"/>
            <w:szCs w:val="16"/>
          </w:rPr>
          <w:t>Judicial Code</w:t>
        </w:r>
      </w:hyperlink>
      <w:r w:rsidRPr="00215765">
        <w:rPr>
          <w:bCs/>
          <w:sz w:val="16"/>
          <w:szCs w:val="16"/>
        </w:rPr>
        <w:t>.</w:t>
      </w:r>
    </w:p>
  </w:footnote>
  <w:footnote w:id="174">
    <w:p w14:paraId="4E611DEE"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 23, second indent, 2° of the </w:t>
      </w:r>
      <w:hyperlink r:id="rId165" w:history="1">
        <w:r w:rsidRPr="00215765">
          <w:rPr>
            <w:rStyle w:val="Hyperlink"/>
            <w:rFonts w:cs="Arial"/>
            <w:sz w:val="16"/>
            <w:szCs w:val="16"/>
          </w:rPr>
          <w:t>Constitution</w:t>
        </w:r>
      </w:hyperlink>
      <w:r w:rsidRPr="00215765">
        <w:rPr>
          <w:sz w:val="16"/>
          <w:szCs w:val="16"/>
        </w:rPr>
        <w:t>.</w:t>
      </w:r>
    </w:p>
  </w:footnote>
  <w:footnote w:id="175">
    <w:p w14:paraId="7EC616E3"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 665 of the </w:t>
      </w:r>
      <w:hyperlink r:id="rId166" w:history="1">
        <w:r w:rsidRPr="00215765">
          <w:rPr>
            <w:rStyle w:val="Hyperlink"/>
            <w:rFonts w:cs="Arial"/>
            <w:sz w:val="16"/>
            <w:szCs w:val="16"/>
          </w:rPr>
          <w:t>Judicial Code</w:t>
        </w:r>
      </w:hyperlink>
      <w:r w:rsidRPr="00215765">
        <w:rPr>
          <w:sz w:val="16"/>
          <w:szCs w:val="16"/>
        </w:rPr>
        <w:t>.</w:t>
      </w:r>
    </w:p>
  </w:footnote>
  <w:footnote w:id="176">
    <w:p w14:paraId="10690418"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Information collected through interview with Defence for children.</w:t>
      </w:r>
    </w:p>
  </w:footnote>
  <w:footnote w:id="177">
    <w:p w14:paraId="27CEC97D"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 54bis of the </w:t>
      </w:r>
      <w:hyperlink r:id="rId167" w:history="1">
        <w:r w:rsidRPr="00215765">
          <w:rPr>
            <w:rStyle w:val="Hyperlink"/>
            <w:rFonts w:cs="Arial"/>
            <w:sz w:val="16"/>
            <w:szCs w:val="16"/>
          </w:rPr>
          <w:t>Youth Protection Act</w:t>
        </w:r>
      </w:hyperlink>
      <w:r w:rsidRPr="00215765">
        <w:rPr>
          <w:sz w:val="16"/>
          <w:szCs w:val="16"/>
        </w:rPr>
        <w:t xml:space="preserve"> of 8 April 1965.</w:t>
      </w:r>
    </w:p>
  </w:footnote>
  <w:footnote w:id="178">
    <w:p w14:paraId="43147FCD"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 508/23 of the </w:t>
      </w:r>
      <w:hyperlink r:id="rId168" w:history="1">
        <w:r w:rsidRPr="00215765">
          <w:rPr>
            <w:rStyle w:val="Hyperlink"/>
            <w:rFonts w:cs="Arial"/>
            <w:sz w:val="16"/>
            <w:szCs w:val="16"/>
          </w:rPr>
          <w:t>Judicial Code</w:t>
        </w:r>
      </w:hyperlink>
      <w:r w:rsidRPr="00215765">
        <w:rPr>
          <w:sz w:val="16"/>
          <w:szCs w:val="16"/>
        </w:rPr>
        <w:t>.</w:t>
      </w:r>
    </w:p>
  </w:footnote>
  <w:footnote w:id="179">
    <w:p w14:paraId="0477A894"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Information collected through interview with Defence for children.</w:t>
      </w:r>
    </w:p>
  </w:footnote>
  <w:footnote w:id="180">
    <w:p w14:paraId="7D8AE5B7"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w:t>
      </w:r>
      <w:r w:rsidRPr="00215765">
        <w:rPr>
          <w:bCs/>
          <w:sz w:val="16"/>
          <w:szCs w:val="16"/>
        </w:rPr>
        <w:t xml:space="preserve">Article 378 of the </w:t>
      </w:r>
      <w:hyperlink r:id="rId169" w:history="1">
        <w:r w:rsidRPr="00215765">
          <w:rPr>
            <w:rStyle w:val="Hyperlink"/>
            <w:rFonts w:cs="Arial"/>
            <w:sz w:val="16"/>
            <w:szCs w:val="16"/>
          </w:rPr>
          <w:t>Civil Code</w:t>
        </w:r>
      </w:hyperlink>
      <w:r w:rsidRPr="00215765">
        <w:rPr>
          <w:bCs/>
          <w:sz w:val="16"/>
          <w:szCs w:val="16"/>
        </w:rPr>
        <w:t>.</w:t>
      </w:r>
    </w:p>
  </w:footnote>
  <w:footnote w:id="181">
    <w:p w14:paraId="549BA746"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w:t>
      </w:r>
      <w:r w:rsidRPr="00215765">
        <w:rPr>
          <w:bCs/>
          <w:sz w:val="16"/>
          <w:szCs w:val="16"/>
        </w:rPr>
        <w:t xml:space="preserve">Article 378 of the </w:t>
      </w:r>
      <w:hyperlink r:id="rId170" w:history="1">
        <w:r w:rsidRPr="00215765">
          <w:rPr>
            <w:rStyle w:val="Hyperlink"/>
            <w:rFonts w:cs="Arial"/>
            <w:sz w:val="16"/>
            <w:szCs w:val="16"/>
          </w:rPr>
          <w:t>Civil Code</w:t>
        </w:r>
      </w:hyperlink>
      <w:r w:rsidRPr="00215765">
        <w:rPr>
          <w:bCs/>
          <w:sz w:val="16"/>
          <w:szCs w:val="16"/>
        </w:rPr>
        <w:t>.</w:t>
      </w:r>
    </w:p>
  </w:footnote>
  <w:footnote w:id="182">
    <w:p w14:paraId="726D03C4"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 1724 of the </w:t>
      </w:r>
      <w:hyperlink r:id="rId171" w:history="1">
        <w:r w:rsidRPr="00215765">
          <w:rPr>
            <w:rStyle w:val="Hyperlink"/>
            <w:rFonts w:cs="Arial"/>
            <w:sz w:val="16"/>
            <w:szCs w:val="16"/>
          </w:rPr>
          <w:t>Judicial Code</w:t>
        </w:r>
      </w:hyperlink>
      <w:r w:rsidRPr="00215765">
        <w:rPr>
          <w:sz w:val="16"/>
          <w:szCs w:val="16"/>
        </w:rPr>
        <w:t>.</w:t>
      </w:r>
    </w:p>
  </w:footnote>
  <w:footnote w:id="183">
    <w:p w14:paraId="5B366027" w14:textId="77777777" w:rsidR="0085750C" w:rsidRPr="00215765" w:rsidRDefault="0085750C" w:rsidP="00D51AA0">
      <w:pPr>
        <w:pStyle w:val="FootnoteText"/>
        <w:tabs>
          <w:tab w:val="left" w:pos="2405"/>
        </w:tabs>
        <w:jc w:val="both"/>
        <w:rPr>
          <w:sz w:val="16"/>
          <w:szCs w:val="16"/>
        </w:rPr>
      </w:pPr>
      <w:r w:rsidRPr="00215765">
        <w:rPr>
          <w:rStyle w:val="FootnoteReference"/>
          <w:rFonts w:cs="Arial"/>
          <w:sz w:val="16"/>
          <w:szCs w:val="16"/>
        </w:rPr>
        <w:footnoteRef/>
      </w:r>
      <w:r w:rsidRPr="00215765">
        <w:rPr>
          <w:sz w:val="16"/>
          <w:szCs w:val="16"/>
        </w:rPr>
        <w:t xml:space="preserve"> ibid.</w:t>
      </w:r>
    </w:p>
  </w:footnote>
  <w:footnote w:id="184">
    <w:p w14:paraId="50138C03" w14:textId="77777777" w:rsidR="0085750C" w:rsidRPr="00215765" w:rsidRDefault="0085750C" w:rsidP="00D51AA0">
      <w:pPr>
        <w:pStyle w:val="FootnoteText"/>
        <w:spacing w:after="0"/>
        <w:jc w:val="both"/>
        <w:rPr>
          <w:sz w:val="16"/>
          <w:szCs w:val="16"/>
        </w:rPr>
      </w:pPr>
      <w:r w:rsidRPr="00215765">
        <w:rPr>
          <w:rStyle w:val="FootnoteReference"/>
          <w:rFonts w:cs="Arial"/>
          <w:sz w:val="16"/>
          <w:szCs w:val="16"/>
        </w:rPr>
        <w:footnoteRef/>
      </w:r>
      <w:r w:rsidRPr="00215765">
        <w:rPr>
          <w:sz w:val="16"/>
          <w:szCs w:val="16"/>
        </w:rPr>
        <w:t xml:space="preserve"> Articles 387 bis and 387 ter of the </w:t>
      </w:r>
      <w:hyperlink r:id="rId172" w:history="1">
        <w:r w:rsidRPr="00215765">
          <w:rPr>
            <w:rStyle w:val="Hyperlink"/>
            <w:rFonts w:cs="Arial"/>
            <w:sz w:val="16"/>
            <w:szCs w:val="16"/>
          </w:rPr>
          <w:t>Civil Code</w:t>
        </w:r>
      </w:hyperlink>
      <w:r w:rsidRPr="00215765">
        <w:rPr>
          <w:sz w:val="16"/>
          <w:szCs w:val="16"/>
        </w:rPr>
        <w:t>.</w:t>
      </w:r>
    </w:p>
  </w:footnote>
  <w:footnote w:id="185">
    <w:p w14:paraId="18EF32BF"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Articles 1733 and 1736 of the </w:t>
      </w:r>
      <w:hyperlink r:id="rId173" w:history="1">
        <w:r w:rsidRPr="00215765">
          <w:rPr>
            <w:rStyle w:val="Hyperlink"/>
            <w:rFonts w:cs="Arial"/>
            <w:sz w:val="16"/>
            <w:szCs w:val="16"/>
          </w:rPr>
          <w:t>Judicial Code</w:t>
        </w:r>
      </w:hyperlink>
      <w:r w:rsidRPr="00215765">
        <w:rPr>
          <w:sz w:val="16"/>
          <w:szCs w:val="16"/>
        </w:rPr>
        <w:t>.</w:t>
      </w:r>
    </w:p>
  </w:footnote>
  <w:footnote w:id="186">
    <w:p w14:paraId="2B7A9331"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Articles 665 and 671 of the </w:t>
      </w:r>
      <w:hyperlink r:id="rId174" w:history="1">
        <w:r w:rsidRPr="00215765">
          <w:rPr>
            <w:rStyle w:val="Hyperlink"/>
            <w:rFonts w:cs="Arial"/>
            <w:sz w:val="16"/>
            <w:szCs w:val="16"/>
          </w:rPr>
          <w:t>Judicial Code</w:t>
        </w:r>
      </w:hyperlink>
      <w:r w:rsidRPr="00215765">
        <w:rPr>
          <w:sz w:val="16"/>
          <w:szCs w:val="16"/>
        </w:rPr>
        <w:t>.</w:t>
      </w:r>
    </w:p>
  </w:footnote>
  <w:footnote w:id="187">
    <w:p w14:paraId="186D956C"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Results of </w:t>
      </w:r>
      <w:hyperlink r:id="rId175" w:history="1">
        <w:r w:rsidRPr="00215765">
          <w:rPr>
            <w:rStyle w:val="Hyperlink"/>
            <w:rFonts w:cs="Arial"/>
            <w:sz w:val="16"/>
            <w:szCs w:val="16"/>
          </w:rPr>
          <w:t>Mediation Barometer 2012</w:t>
        </w:r>
      </w:hyperlink>
      <w:r w:rsidRPr="00215765">
        <w:rPr>
          <w:sz w:val="16"/>
          <w:szCs w:val="16"/>
        </w:rPr>
        <w:t xml:space="preserve"> carried out by bMediation and the Federal Mediation Commission.</w:t>
      </w:r>
    </w:p>
  </w:footnote>
  <w:footnote w:id="188">
    <w:p w14:paraId="3F0A02D0"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 734 of the </w:t>
      </w:r>
      <w:hyperlink r:id="rId176" w:history="1">
        <w:r w:rsidRPr="00215765">
          <w:rPr>
            <w:rStyle w:val="Hyperlink"/>
            <w:rFonts w:cs="Arial"/>
            <w:sz w:val="16"/>
            <w:szCs w:val="16"/>
          </w:rPr>
          <w:t>Judicial Code</w:t>
        </w:r>
      </w:hyperlink>
      <w:r w:rsidRPr="00215765">
        <w:rPr>
          <w:sz w:val="16"/>
          <w:szCs w:val="16"/>
        </w:rPr>
        <w:t>.</w:t>
      </w:r>
    </w:p>
  </w:footnote>
  <w:footnote w:id="189">
    <w:p w14:paraId="7E1AB056"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Articles 387bis, 329bis and 387ter of the </w:t>
      </w:r>
      <w:hyperlink r:id="rId177" w:history="1">
        <w:r w:rsidRPr="00215765">
          <w:rPr>
            <w:rStyle w:val="Hyperlink"/>
            <w:rFonts w:cs="Arial"/>
            <w:sz w:val="16"/>
            <w:szCs w:val="16"/>
          </w:rPr>
          <w:t>Civil Code</w:t>
        </w:r>
      </w:hyperlink>
      <w:r w:rsidRPr="00215765">
        <w:rPr>
          <w:sz w:val="16"/>
          <w:szCs w:val="16"/>
        </w:rPr>
        <w:t>.</w:t>
      </w:r>
    </w:p>
  </w:footnote>
  <w:footnote w:id="190">
    <w:p w14:paraId="60EBDE15"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Articles 103 and 151 of the </w:t>
      </w:r>
      <w:hyperlink r:id="rId178" w:history="1">
        <w:r w:rsidRPr="00215765">
          <w:rPr>
            <w:rStyle w:val="Hyperlink"/>
            <w:rFonts w:cs="Arial"/>
            <w:bCs/>
            <w:sz w:val="16"/>
            <w:szCs w:val="16"/>
          </w:rPr>
          <w:t>new Act of 30 July 2013 for the creation of the Family and Youth Tribunal</w:t>
        </w:r>
      </w:hyperlink>
      <w:r w:rsidRPr="00215765">
        <w:rPr>
          <w:bCs/>
          <w:sz w:val="16"/>
          <w:szCs w:val="16"/>
        </w:rPr>
        <w:t xml:space="preserve"> (to enter into force on 1 September 2014).</w:t>
      </w:r>
    </w:p>
  </w:footnote>
  <w:footnote w:id="191">
    <w:p w14:paraId="53B3BBCC"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 1676 of the </w:t>
      </w:r>
      <w:hyperlink r:id="rId179" w:history="1">
        <w:r w:rsidRPr="00215765">
          <w:rPr>
            <w:rStyle w:val="Hyperlink"/>
            <w:rFonts w:cs="Arial"/>
            <w:sz w:val="16"/>
            <w:szCs w:val="16"/>
          </w:rPr>
          <w:t>Judicial Code</w:t>
        </w:r>
      </w:hyperlink>
      <w:r w:rsidRPr="00215765">
        <w:rPr>
          <w:sz w:val="16"/>
          <w:szCs w:val="16"/>
        </w:rPr>
        <w:t>.</w:t>
      </w:r>
    </w:p>
  </w:footnote>
  <w:footnote w:id="192">
    <w:p w14:paraId="313857BA"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 665 of the </w:t>
      </w:r>
      <w:hyperlink r:id="rId180" w:history="1">
        <w:r w:rsidRPr="00215765">
          <w:rPr>
            <w:rStyle w:val="Hyperlink"/>
            <w:rFonts w:cs="Arial"/>
            <w:sz w:val="16"/>
            <w:szCs w:val="16"/>
          </w:rPr>
          <w:t>Judicial Code</w:t>
        </w:r>
      </w:hyperlink>
      <w:r w:rsidRPr="00215765">
        <w:rPr>
          <w:sz w:val="16"/>
          <w:szCs w:val="16"/>
        </w:rPr>
        <w:t>.</w:t>
      </w:r>
    </w:p>
  </w:footnote>
  <w:footnote w:id="193">
    <w:p w14:paraId="598A5382"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Articles 378 and 410 of the </w:t>
      </w:r>
      <w:hyperlink r:id="rId181" w:history="1">
        <w:r w:rsidRPr="00215765">
          <w:rPr>
            <w:rStyle w:val="Hyperlink"/>
            <w:rFonts w:cs="Arial"/>
            <w:sz w:val="16"/>
            <w:szCs w:val="16"/>
          </w:rPr>
          <w:t>Civil Code</w:t>
        </w:r>
      </w:hyperlink>
      <w:r w:rsidRPr="00215765">
        <w:rPr>
          <w:sz w:val="16"/>
          <w:szCs w:val="16"/>
        </w:rPr>
        <w:t>.</w:t>
      </w:r>
    </w:p>
  </w:footnote>
  <w:footnote w:id="194">
    <w:p w14:paraId="2AB2935F"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w:t>
      </w:r>
      <w:r w:rsidRPr="00215765">
        <w:rPr>
          <w:bCs/>
          <w:sz w:val="16"/>
          <w:szCs w:val="16"/>
        </w:rPr>
        <w:t xml:space="preserve">Article 764 of the </w:t>
      </w:r>
      <w:hyperlink r:id="rId182" w:history="1">
        <w:r w:rsidRPr="00215765">
          <w:rPr>
            <w:rStyle w:val="Hyperlink"/>
            <w:rFonts w:cs="Arial"/>
            <w:sz w:val="16"/>
            <w:szCs w:val="16"/>
          </w:rPr>
          <w:t>Judicial Code</w:t>
        </w:r>
      </w:hyperlink>
      <w:r w:rsidRPr="00215765">
        <w:rPr>
          <w:bCs/>
          <w:sz w:val="16"/>
          <w:szCs w:val="16"/>
        </w:rPr>
        <w:t>.</w:t>
      </w:r>
    </w:p>
  </w:footnote>
  <w:footnote w:id="195">
    <w:p w14:paraId="1FCC61A1"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More information available on the </w:t>
      </w:r>
      <w:hyperlink r:id="rId183" w:history="1">
        <w:r w:rsidRPr="00215765">
          <w:rPr>
            <w:rStyle w:val="Hyperlink"/>
            <w:rFonts w:cs="Arial"/>
            <w:sz w:val="16"/>
            <w:szCs w:val="16"/>
          </w:rPr>
          <w:t>Brussels Bar Association</w:t>
        </w:r>
      </w:hyperlink>
      <w:r w:rsidRPr="00215765">
        <w:rPr>
          <w:sz w:val="16"/>
          <w:szCs w:val="16"/>
        </w:rPr>
        <w:t xml:space="preserve"> website.</w:t>
      </w:r>
    </w:p>
  </w:footnote>
  <w:footnote w:id="196">
    <w:p w14:paraId="7ECA2737"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Decision of Brussels First Instance Court, Civil Court, of 15 October 2009, J.T., 2010/12, p. 195. The claim of the parties will be based on Articles 1382 and 1383 of the </w:t>
      </w:r>
      <w:hyperlink r:id="rId184" w:history="1">
        <w:r w:rsidRPr="00215765">
          <w:rPr>
            <w:rStyle w:val="Hyperlink"/>
            <w:rFonts w:cs="Arial"/>
            <w:sz w:val="16"/>
            <w:szCs w:val="16"/>
          </w:rPr>
          <w:t>Civil Code</w:t>
        </w:r>
      </w:hyperlink>
      <w:r w:rsidRPr="00215765">
        <w:rPr>
          <w:sz w:val="16"/>
          <w:szCs w:val="16"/>
        </w:rPr>
        <w:t xml:space="preserve"> without the need to establish negligence.</w:t>
      </w:r>
    </w:p>
  </w:footnote>
  <w:footnote w:id="197">
    <w:p w14:paraId="2C4F5EFE"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 2262bis of the </w:t>
      </w:r>
      <w:hyperlink r:id="rId185" w:history="1">
        <w:r w:rsidRPr="00215765">
          <w:rPr>
            <w:rStyle w:val="Hyperlink"/>
            <w:rFonts w:cs="Arial"/>
            <w:sz w:val="16"/>
            <w:szCs w:val="16"/>
          </w:rPr>
          <w:t>Civil Code</w:t>
        </w:r>
      </w:hyperlink>
      <w:r w:rsidRPr="00215765">
        <w:rPr>
          <w:sz w:val="16"/>
          <w:szCs w:val="16"/>
        </w:rPr>
        <w:t>.</w:t>
      </w:r>
    </w:p>
  </w:footnote>
  <w:footnote w:id="198">
    <w:p w14:paraId="7BFC1368"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 331ter of the </w:t>
      </w:r>
      <w:hyperlink r:id="rId186" w:history="1">
        <w:r w:rsidRPr="00215765">
          <w:rPr>
            <w:rStyle w:val="Hyperlink"/>
            <w:rFonts w:cs="Arial"/>
            <w:sz w:val="16"/>
            <w:szCs w:val="16"/>
          </w:rPr>
          <w:t>Civil Code</w:t>
        </w:r>
      </w:hyperlink>
      <w:r w:rsidRPr="00215765">
        <w:rPr>
          <w:sz w:val="16"/>
          <w:szCs w:val="16"/>
        </w:rPr>
        <w:t>.</w:t>
      </w:r>
    </w:p>
  </w:footnote>
  <w:footnote w:id="199">
    <w:p w14:paraId="10817485"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 330 of the </w:t>
      </w:r>
      <w:hyperlink r:id="rId187" w:history="1">
        <w:r w:rsidRPr="00215765">
          <w:rPr>
            <w:rStyle w:val="Hyperlink"/>
            <w:rFonts w:cs="Arial"/>
            <w:sz w:val="16"/>
            <w:szCs w:val="16"/>
          </w:rPr>
          <w:t>Civil Code</w:t>
        </w:r>
      </w:hyperlink>
      <w:r w:rsidRPr="00215765">
        <w:rPr>
          <w:sz w:val="16"/>
          <w:szCs w:val="16"/>
        </w:rPr>
        <w:t>.</w:t>
      </w:r>
    </w:p>
  </w:footnote>
  <w:footnote w:id="200">
    <w:p w14:paraId="515FCFFB" w14:textId="77777777" w:rsidR="0085750C" w:rsidRPr="00215765" w:rsidRDefault="0085750C" w:rsidP="00D51AA0">
      <w:pPr>
        <w:pStyle w:val="FootnoteText"/>
        <w:jc w:val="both"/>
        <w:rPr>
          <w:sz w:val="16"/>
          <w:szCs w:val="16"/>
          <w:lang w:val="fr-BE"/>
        </w:rPr>
      </w:pPr>
      <w:r w:rsidRPr="00215765">
        <w:rPr>
          <w:rStyle w:val="FootnoteReference"/>
          <w:rFonts w:cs="Arial"/>
          <w:sz w:val="16"/>
          <w:szCs w:val="16"/>
        </w:rPr>
        <w:footnoteRef/>
      </w:r>
      <w:r w:rsidRPr="00215765">
        <w:rPr>
          <w:sz w:val="16"/>
          <w:szCs w:val="16"/>
          <w:lang w:val="fr-BE"/>
        </w:rPr>
        <w:t xml:space="preserve"> Kinderrechtswinkels, Services droit des jeunes and Infor Jeunes Bruxelles, </w:t>
      </w:r>
      <w:r w:rsidRPr="00215765">
        <w:rPr>
          <w:i/>
          <w:sz w:val="16"/>
          <w:szCs w:val="16"/>
          <w:lang w:val="fr-BE"/>
        </w:rPr>
        <w:t>The legal position of the minor in practice (La position juridique du mineur dans la pratique)</w:t>
      </w:r>
      <w:r w:rsidRPr="00215765">
        <w:rPr>
          <w:sz w:val="16"/>
          <w:szCs w:val="16"/>
          <w:lang w:val="fr-BE"/>
        </w:rPr>
        <w:t>, 2006, UGA, p.93.</w:t>
      </w:r>
    </w:p>
  </w:footnote>
  <w:footnote w:id="201">
    <w:p w14:paraId="63BABCD4"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Information collected via stakeholder consultation with a Children’s Rights authority.</w:t>
      </w:r>
    </w:p>
  </w:footnote>
  <w:footnote w:id="202">
    <w:p w14:paraId="0DEAF965"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Articles 1017, 1018 and 1022 of the </w:t>
      </w:r>
      <w:hyperlink r:id="rId188" w:history="1">
        <w:r w:rsidRPr="00215765">
          <w:rPr>
            <w:rStyle w:val="Hyperlink"/>
            <w:rFonts w:cs="Arial"/>
            <w:sz w:val="16"/>
            <w:szCs w:val="16"/>
          </w:rPr>
          <w:t>Judicial Code</w:t>
        </w:r>
      </w:hyperlink>
      <w:r w:rsidRPr="00215765">
        <w:rPr>
          <w:sz w:val="16"/>
          <w:szCs w:val="16"/>
        </w:rPr>
        <w:t>.</w:t>
      </w:r>
    </w:p>
  </w:footnote>
  <w:footnote w:id="203">
    <w:p w14:paraId="0A6E4C25"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 1020 of the </w:t>
      </w:r>
      <w:hyperlink r:id="rId189" w:history="1">
        <w:r w:rsidRPr="00215765">
          <w:rPr>
            <w:rStyle w:val="Hyperlink"/>
            <w:rFonts w:cs="Arial"/>
            <w:sz w:val="16"/>
            <w:szCs w:val="16"/>
          </w:rPr>
          <w:t>Judicial Code</w:t>
        </w:r>
      </w:hyperlink>
      <w:r w:rsidRPr="00215765">
        <w:rPr>
          <w:sz w:val="16"/>
          <w:szCs w:val="16"/>
        </w:rPr>
        <w:t>.</w:t>
      </w:r>
    </w:p>
  </w:footnote>
  <w:footnote w:id="204">
    <w:p w14:paraId="446BE09D"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 1017 of the </w:t>
      </w:r>
      <w:hyperlink r:id="rId190" w:history="1">
        <w:r w:rsidRPr="00215765">
          <w:rPr>
            <w:rStyle w:val="Hyperlink"/>
            <w:rFonts w:cs="Arial"/>
            <w:sz w:val="16"/>
            <w:szCs w:val="16"/>
          </w:rPr>
          <w:t>Judicial Code</w:t>
        </w:r>
      </w:hyperlink>
      <w:r w:rsidRPr="00215765">
        <w:rPr>
          <w:sz w:val="16"/>
          <w:szCs w:val="16"/>
        </w:rPr>
        <w:t>.</w:t>
      </w:r>
    </w:p>
  </w:footnote>
  <w:footnote w:id="205">
    <w:p w14:paraId="7994B136"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w:t>
      </w:r>
      <w:hyperlink r:id="rId191" w:history="1">
        <w:r w:rsidRPr="00215765">
          <w:rPr>
            <w:rStyle w:val="Hyperlink"/>
            <w:rFonts w:cs="Arial"/>
            <w:sz w:val="16"/>
            <w:szCs w:val="16"/>
          </w:rPr>
          <w:t>Royal Decree of 26 October 2007 establishing the proceedings fees</w:t>
        </w:r>
      </w:hyperlink>
      <w:r w:rsidRPr="00215765">
        <w:rPr>
          <w:sz w:val="16"/>
          <w:szCs w:val="16"/>
        </w:rPr>
        <w:t xml:space="preserve"> mentioned in Article 1022 of the </w:t>
      </w:r>
      <w:hyperlink r:id="rId192" w:history="1">
        <w:r w:rsidRPr="00215765">
          <w:rPr>
            <w:rStyle w:val="Hyperlink"/>
            <w:rFonts w:cs="Arial"/>
            <w:sz w:val="16"/>
            <w:szCs w:val="16"/>
          </w:rPr>
          <w:t>Judicial Code</w:t>
        </w:r>
      </w:hyperlink>
      <w:r w:rsidRPr="00215765">
        <w:rPr>
          <w:sz w:val="16"/>
          <w:szCs w:val="16"/>
        </w:rPr>
        <w:t>.</w:t>
      </w:r>
    </w:p>
  </w:footnote>
  <w:footnote w:id="206">
    <w:p w14:paraId="585F5E13"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 3 of the </w:t>
      </w:r>
      <w:hyperlink r:id="rId193" w:history="1">
        <w:r w:rsidRPr="00215765">
          <w:rPr>
            <w:rStyle w:val="Hyperlink"/>
            <w:rFonts w:cs="Arial"/>
            <w:sz w:val="16"/>
            <w:szCs w:val="16"/>
          </w:rPr>
          <w:t>Act of 15 May 2012 on temporary prohibition of residence in cases of domestic violence</w:t>
        </w:r>
      </w:hyperlink>
      <w:r w:rsidRPr="00215765">
        <w:rPr>
          <w:sz w:val="16"/>
          <w:szCs w:val="16"/>
        </w:rPr>
        <w:t>.</w:t>
      </w:r>
    </w:p>
  </w:footnote>
  <w:footnote w:id="207">
    <w:p w14:paraId="5DA8E9AC"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 1386 of the </w:t>
      </w:r>
      <w:hyperlink r:id="rId194" w:history="1">
        <w:r w:rsidRPr="00215765">
          <w:rPr>
            <w:rStyle w:val="Hyperlink"/>
            <w:rFonts w:cs="Arial"/>
            <w:sz w:val="16"/>
            <w:szCs w:val="16"/>
          </w:rPr>
          <w:t>Judicial Code</w:t>
        </w:r>
      </w:hyperlink>
      <w:r w:rsidRPr="00215765">
        <w:rPr>
          <w:sz w:val="16"/>
          <w:szCs w:val="16"/>
        </w:rPr>
        <w:t>.</w:t>
      </w:r>
    </w:p>
  </w:footnote>
  <w:footnote w:id="208">
    <w:p w14:paraId="34196578"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 1495 of the </w:t>
      </w:r>
      <w:hyperlink r:id="rId195" w:history="1">
        <w:r w:rsidRPr="00215765">
          <w:rPr>
            <w:rStyle w:val="Hyperlink"/>
            <w:rFonts w:cs="Arial"/>
            <w:sz w:val="16"/>
            <w:szCs w:val="16"/>
          </w:rPr>
          <w:t>Judicial Code</w:t>
        </w:r>
      </w:hyperlink>
      <w:r w:rsidRPr="00215765">
        <w:rPr>
          <w:sz w:val="16"/>
          <w:szCs w:val="16"/>
        </w:rPr>
        <w:t>.</w:t>
      </w:r>
    </w:p>
  </w:footnote>
  <w:footnote w:id="209">
    <w:p w14:paraId="4D567B58"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Articles 1388 and 1495 of the </w:t>
      </w:r>
      <w:hyperlink r:id="rId196" w:history="1">
        <w:r w:rsidRPr="00215765">
          <w:rPr>
            <w:rStyle w:val="Hyperlink"/>
            <w:rFonts w:cs="Arial"/>
            <w:sz w:val="16"/>
            <w:szCs w:val="16"/>
          </w:rPr>
          <w:t>Judicial Code</w:t>
        </w:r>
      </w:hyperlink>
      <w:r w:rsidRPr="00215765">
        <w:rPr>
          <w:sz w:val="16"/>
          <w:szCs w:val="16"/>
        </w:rPr>
        <w:t>.</w:t>
      </w:r>
    </w:p>
  </w:footnote>
  <w:footnote w:id="210">
    <w:p w14:paraId="09C6B524"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 1414 of the </w:t>
      </w:r>
      <w:hyperlink r:id="rId197" w:history="1">
        <w:r w:rsidRPr="00215765">
          <w:rPr>
            <w:rStyle w:val="Hyperlink"/>
            <w:rFonts w:cs="Arial"/>
            <w:sz w:val="16"/>
            <w:szCs w:val="16"/>
          </w:rPr>
          <w:t>Judicial Code</w:t>
        </w:r>
      </w:hyperlink>
      <w:r w:rsidRPr="00215765">
        <w:rPr>
          <w:sz w:val="16"/>
          <w:szCs w:val="16"/>
        </w:rPr>
        <w:t>.</w:t>
      </w:r>
    </w:p>
  </w:footnote>
  <w:footnote w:id="211">
    <w:p w14:paraId="271FD536"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For the Youth Judge, see Article 58 of the </w:t>
      </w:r>
      <w:hyperlink r:id="rId198" w:history="1">
        <w:r w:rsidRPr="00215765">
          <w:rPr>
            <w:rStyle w:val="Hyperlink"/>
            <w:rFonts w:cs="Arial"/>
            <w:sz w:val="16"/>
            <w:szCs w:val="16"/>
          </w:rPr>
          <w:t>Youth Protection Act</w:t>
        </w:r>
      </w:hyperlink>
      <w:r w:rsidRPr="00215765">
        <w:rPr>
          <w:sz w:val="16"/>
          <w:szCs w:val="16"/>
        </w:rPr>
        <w:t>.</w:t>
      </w:r>
    </w:p>
  </w:footnote>
  <w:footnote w:id="212">
    <w:p w14:paraId="0B4335C3"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 139 of the </w:t>
      </w:r>
      <w:hyperlink r:id="rId199" w:history="1">
        <w:r w:rsidRPr="00215765">
          <w:rPr>
            <w:rStyle w:val="Hyperlink"/>
            <w:rFonts w:cs="Arial"/>
            <w:sz w:val="16"/>
            <w:szCs w:val="16"/>
          </w:rPr>
          <w:t>Judicial Code</w:t>
        </w:r>
      </w:hyperlink>
      <w:r w:rsidRPr="00215765">
        <w:rPr>
          <w:sz w:val="16"/>
          <w:szCs w:val="16"/>
        </w:rPr>
        <w:t xml:space="preserve">. Marta Pertegás and Frederik Swennen, </w:t>
      </w:r>
      <w:r w:rsidRPr="00215765">
        <w:rPr>
          <w:i/>
          <w:sz w:val="16"/>
          <w:szCs w:val="16"/>
        </w:rPr>
        <w:t xml:space="preserve">Study on the Enforcement of Family Law Judgments – National Report of Belgium, </w:t>
      </w:r>
      <w:r w:rsidRPr="00215765">
        <w:rPr>
          <w:sz w:val="16"/>
          <w:szCs w:val="16"/>
        </w:rPr>
        <w:t>T.M.C. Asser Instituut, 2005-2006, p.7.</w:t>
      </w:r>
    </w:p>
  </w:footnote>
  <w:footnote w:id="213">
    <w:p w14:paraId="2C7235B6"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w:t>
      </w:r>
      <w:hyperlink r:id="rId200" w:history="1">
        <w:r w:rsidRPr="00215765">
          <w:rPr>
            <w:rStyle w:val="Hyperlink"/>
            <w:rFonts w:cs="Arial"/>
            <w:sz w:val="16"/>
            <w:szCs w:val="16"/>
          </w:rPr>
          <w:t>Court of Cassation Decision</w:t>
        </w:r>
      </w:hyperlink>
      <w:r w:rsidRPr="00215765">
        <w:rPr>
          <w:sz w:val="16"/>
          <w:szCs w:val="16"/>
        </w:rPr>
        <w:t xml:space="preserve"> of 11 March 1994.</w:t>
      </w:r>
    </w:p>
  </w:footnote>
  <w:footnote w:id="214">
    <w:p w14:paraId="34833F9D"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 516 of the </w:t>
      </w:r>
      <w:hyperlink r:id="rId201" w:history="1">
        <w:r w:rsidRPr="00215765">
          <w:rPr>
            <w:rStyle w:val="Hyperlink"/>
            <w:rFonts w:cs="Arial"/>
            <w:sz w:val="16"/>
            <w:szCs w:val="16"/>
          </w:rPr>
          <w:t>Judicial Code</w:t>
        </w:r>
      </w:hyperlink>
      <w:r w:rsidRPr="00215765">
        <w:rPr>
          <w:sz w:val="16"/>
          <w:szCs w:val="16"/>
        </w:rPr>
        <w:t>.</w:t>
      </w:r>
    </w:p>
  </w:footnote>
  <w:footnote w:id="215">
    <w:p w14:paraId="2A2C423A"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w:t>
      </w:r>
      <w:r w:rsidRPr="00215765">
        <w:rPr>
          <w:bCs/>
          <w:sz w:val="16"/>
          <w:szCs w:val="16"/>
        </w:rPr>
        <w:t xml:space="preserve">Article 35 of the </w:t>
      </w:r>
      <w:hyperlink r:id="rId202" w:history="1">
        <w:r w:rsidRPr="00215765">
          <w:rPr>
            <w:rStyle w:val="Hyperlink"/>
            <w:rFonts w:cs="Arial"/>
            <w:sz w:val="16"/>
            <w:szCs w:val="16"/>
          </w:rPr>
          <w:t>Judicial Code</w:t>
        </w:r>
      </w:hyperlink>
      <w:r w:rsidRPr="00215765">
        <w:rPr>
          <w:bCs/>
          <w:sz w:val="16"/>
          <w:szCs w:val="16"/>
        </w:rPr>
        <w:t>.</w:t>
      </w:r>
    </w:p>
  </w:footnote>
  <w:footnote w:id="216">
    <w:p w14:paraId="7EF57CE3"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 780 of the </w:t>
      </w:r>
      <w:hyperlink r:id="rId203" w:history="1">
        <w:r w:rsidRPr="00215765">
          <w:rPr>
            <w:rStyle w:val="Hyperlink"/>
            <w:rFonts w:cs="Arial"/>
            <w:sz w:val="16"/>
            <w:szCs w:val="16"/>
          </w:rPr>
          <w:t>Judicial Code</w:t>
        </w:r>
      </w:hyperlink>
      <w:r w:rsidRPr="00215765">
        <w:rPr>
          <w:sz w:val="16"/>
          <w:szCs w:val="16"/>
        </w:rPr>
        <w:t>.</w:t>
      </w:r>
    </w:p>
  </w:footnote>
  <w:footnote w:id="217">
    <w:p w14:paraId="2AC51E28"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 792 of the </w:t>
      </w:r>
      <w:hyperlink r:id="rId204" w:history="1">
        <w:r w:rsidRPr="00215765">
          <w:rPr>
            <w:rStyle w:val="Hyperlink"/>
            <w:rFonts w:cs="Arial"/>
            <w:sz w:val="16"/>
            <w:szCs w:val="16"/>
          </w:rPr>
          <w:t>Judicial Code</w:t>
        </w:r>
      </w:hyperlink>
      <w:r w:rsidRPr="00215765">
        <w:rPr>
          <w:sz w:val="16"/>
          <w:szCs w:val="16"/>
        </w:rPr>
        <w:t>.</w:t>
      </w:r>
    </w:p>
  </w:footnote>
  <w:footnote w:id="218">
    <w:p w14:paraId="6722AA96"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 10 of the </w:t>
      </w:r>
      <w:hyperlink r:id="rId205" w:history="1">
        <w:r w:rsidRPr="00215765">
          <w:rPr>
            <w:rStyle w:val="Hyperlink"/>
            <w:rFonts w:cs="Arial"/>
            <w:sz w:val="16"/>
            <w:szCs w:val="16"/>
          </w:rPr>
          <w:t>Youth Protection Act</w:t>
        </w:r>
      </w:hyperlink>
      <w:r w:rsidRPr="00215765">
        <w:rPr>
          <w:sz w:val="16"/>
          <w:szCs w:val="16"/>
        </w:rPr>
        <w:t>.</w:t>
      </w:r>
    </w:p>
  </w:footnote>
  <w:footnote w:id="219">
    <w:p w14:paraId="37F73654"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 387ter of the </w:t>
      </w:r>
      <w:hyperlink r:id="rId206" w:history="1">
        <w:r w:rsidRPr="00215765">
          <w:rPr>
            <w:rStyle w:val="Hyperlink"/>
            <w:rFonts w:cs="Arial"/>
            <w:sz w:val="16"/>
            <w:szCs w:val="16"/>
          </w:rPr>
          <w:t>Civil Code</w:t>
        </w:r>
      </w:hyperlink>
      <w:r w:rsidRPr="00215765">
        <w:rPr>
          <w:sz w:val="16"/>
          <w:szCs w:val="16"/>
        </w:rPr>
        <w:t>.</w:t>
      </w:r>
    </w:p>
  </w:footnote>
  <w:footnote w:id="220">
    <w:p w14:paraId="21EBF555"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 387ter of the </w:t>
      </w:r>
      <w:hyperlink r:id="rId207" w:history="1">
        <w:r w:rsidRPr="00215765">
          <w:rPr>
            <w:rStyle w:val="Hyperlink"/>
            <w:rFonts w:cs="Arial"/>
            <w:sz w:val="16"/>
            <w:szCs w:val="16"/>
          </w:rPr>
          <w:t>Civil Code</w:t>
        </w:r>
      </w:hyperlink>
      <w:r w:rsidRPr="00215765">
        <w:rPr>
          <w:sz w:val="16"/>
          <w:szCs w:val="16"/>
        </w:rPr>
        <w:t xml:space="preserve"> and Marta Pertegás and Frederik Swennen, </w:t>
      </w:r>
      <w:r w:rsidRPr="00215765">
        <w:rPr>
          <w:i/>
          <w:sz w:val="16"/>
          <w:szCs w:val="16"/>
        </w:rPr>
        <w:t xml:space="preserve">Study on the Enforcement of Family Law Judgments – National Report of Belgium, </w:t>
      </w:r>
      <w:r w:rsidRPr="00215765">
        <w:rPr>
          <w:sz w:val="16"/>
          <w:szCs w:val="16"/>
        </w:rPr>
        <w:t>T.M.C. Asser Instituut, 2005-2006, p.7.</w:t>
      </w:r>
    </w:p>
  </w:footnote>
  <w:footnote w:id="221">
    <w:p w14:paraId="742F75EC"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Articles 431 and 432 of the </w:t>
      </w:r>
      <w:hyperlink r:id="rId208" w:history="1">
        <w:r w:rsidRPr="00215765">
          <w:rPr>
            <w:rStyle w:val="Hyperlink"/>
            <w:rFonts w:cs="Arial"/>
            <w:sz w:val="16"/>
            <w:szCs w:val="16"/>
          </w:rPr>
          <w:t>Criminal Code</w:t>
        </w:r>
      </w:hyperlink>
      <w:r w:rsidRPr="00215765">
        <w:rPr>
          <w:sz w:val="16"/>
          <w:szCs w:val="16"/>
        </w:rPr>
        <w:t xml:space="preserve">. </w:t>
      </w:r>
    </w:p>
  </w:footnote>
  <w:footnote w:id="222">
    <w:p w14:paraId="5BCBD9D7"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Marta Pertegás and Frederik Swennen, </w:t>
      </w:r>
      <w:r w:rsidRPr="00215765">
        <w:rPr>
          <w:i/>
          <w:sz w:val="16"/>
          <w:szCs w:val="16"/>
        </w:rPr>
        <w:t xml:space="preserve">Study on the Enforcement of Family Law Judgments – National Report of Belgium, </w:t>
      </w:r>
      <w:r w:rsidRPr="00215765">
        <w:rPr>
          <w:sz w:val="16"/>
          <w:szCs w:val="16"/>
        </w:rPr>
        <w:t>T.M.C. Asser Instituut, 2005-2006, p.11.</w:t>
      </w:r>
    </w:p>
  </w:footnote>
  <w:footnote w:id="223">
    <w:p w14:paraId="3670F7BB" w14:textId="77777777" w:rsidR="0085750C" w:rsidRPr="00215765" w:rsidRDefault="0085750C" w:rsidP="00D51AA0">
      <w:pPr>
        <w:pStyle w:val="FootnoteText"/>
        <w:jc w:val="both"/>
        <w:rPr>
          <w:sz w:val="16"/>
          <w:szCs w:val="16"/>
        </w:rPr>
      </w:pPr>
      <w:r w:rsidRPr="00215765">
        <w:rPr>
          <w:rStyle w:val="FootnoteReference"/>
          <w:rFonts w:cs="Arial"/>
          <w:sz w:val="16"/>
          <w:szCs w:val="16"/>
        </w:rPr>
        <w:footnoteRef/>
      </w:r>
      <w:r w:rsidRPr="00215765">
        <w:rPr>
          <w:sz w:val="16"/>
          <w:szCs w:val="16"/>
        </w:rPr>
        <w:t xml:space="preserve"> Article 931 of the </w:t>
      </w:r>
      <w:hyperlink r:id="rId209" w:history="1">
        <w:r w:rsidRPr="00215765">
          <w:rPr>
            <w:rStyle w:val="Hyperlink"/>
            <w:rFonts w:cs="Arial"/>
            <w:sz w:val="16"/>
            <w:szCs w:val="16"/>
          </w:rPr>
          <w:t>Judicial Code</w:t>
        </w:r>
      </w:hyperlink>
      <w:r w:rsidRPr="00215765">
        <w:rPr>
          <w:sz w:val="16"/>
          <w:szCs w:val="16"/>
        </w:rPr>
        <w:t xml:space="preserve"> and Article 56bis of the </w:t>
      </w:r>
      <w:hyperlink r:id="rId210" w:history="1">
        <w:r w:rsidRPr="00215765">
          <w:rPr>
            <w:rStyle w:val="Hyperlink"/>
            <w:rFonts w:cs="Arial"/>
            <w:sz w:val="16"/>
            <w:szCs w:val="16"/>
          </w:rPr>
          <w:t>Youth Protection Act</w:t>
        </w:r>
      </w:hyperlink>
      <w:r w:rsidRPr="00215765">
        <w:rPr>
          <w:sz w:val="16"/>
          <w:szCs w:val="16"/>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943"/>
      <w:gridCol w:w="1299"/>
    </w:tblGrid>
    <w:tr w:rsidR="0085750C" w14:paraId="24E280FC" w14:textId="77777777" w:rsidTr="00B67E25">
      <w:trPr>
        <w:trHeight w:hRule="exact" w:val="794"/>
      </w:trPr>
      <w:tc>
        <w:tcPr>
          <w:tcW w:w="7797" w:type="dxa"/>
        </w:tcPr>
        <w:p w14:paraId="06089025" w14:textId="77777777" w:rsidR="0085750C" w:rsidRDefault="0085750C" w:rsidP="00457F5F">
          <w:pPr>
            <w:pStyle w:val="Header"/>
          </w:pPr>
        </w:p>
      </w:tc>
      <w:tc>
        <w:tcPr>
          <w:tcW w:w="1275" w:type="dxa"/>
        </w:tcPr>
        <w:p w14:paraId="118E8DCC" w14:textId="22F45538" w:rsidR="0085750C" w:rsidRDefault="0085750C" w:rsidP="00457F5F">
          <w:pPr>
            <w:pStyle w:val="Header"/>
            <w:jc w:val="right"/>
          </w:pPr>
        </w:p>
      </w:tc>
    </w:tr>
  </w:tbl>
  <w:p w14:paraId="207B0E07" w14:textId="77777777" w:rsidR="0085750C" w:rsidRDefault="0085750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BDAAE2" w14:textId="77777777" w:rsidR="0085750C" w:rsidRDefault="0085750C" w:rsidP="00F971ED">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1"/>
    <w:multiLevelType w:val="singleLevel"/>
    <w:tmpl w:val="3DD47B08"/>
    <w:lvl w:ilvl="0">
      <w:start w:val="1"/>
      <w:numFmt w:val="bullet"/>
      <w:pStyle w:val="ListBullet4"/>
      <w:lvlText w:val=""/>
      <w:lvlJc w:val="left"/>
      <w:pPr>
        <w:tabs>
          <w:tab w:val="num" w:pos="1209"/>
        </w:tabs>
        <w:ind w:left="1209" w:hanging="360"/>
      </w:pPr>
      <w:rPr>
        <w:rFonts w:ascii="Symbol" w:hAnsi="Symbol" w:hint="default"/>
      </w:rPr>
    </w:lvl>
  </w:abstractNum>
  <w:abstractNum w:abstractNumId="1">
    <w:nsid w:val="FFFFFF82"/>
    <w:multiLevelType w:val="singleLevel"/>
    <w:tmpl w:val="9500C166"/>
    <w:lvl w:ilvl="0">
      <w:start w:val="1"/>
      <w:numFmt w:val="bullet"/>
      <w:pStyle w:val="ListBullet3"/>
      <w:lvlText w:val=""/>
      <w:lvlJc w:val="left"/>
      <w:pPr>
        <w:tabs>
          <w:tab w:val="num" w:pos="926"/>
        </w:tabs>
        <w:ind w:left="926" w:hanging="360"/>
      </w:pPr>
      <w:rPr>
        <w:rFonts w:ascii="Symbol" w:hAnsi="Symbol" w:hint="default"/>
      </w:rPr>
    </w:lvl>
  </w:abstractNum>
  <w:abstractNum w:abstractNumId="2">
    <w:nsid w:val="FFFFFF83"/>
    <w:multiLevelType w:val="singleLevel"/>
    <w:tmpl w:val="9BBE71E6"/>
    <w:lvl w:ilvl="0">
      <w:start w:val="1"/>
      <w:numFmt w:val="bullet"/>
      <w:pStyle w:val="ListBullet2"/>
      <w:lvlText w:val=""/>
      <w:lvlJc w:val="left"/>
      <w:pPr>
        <w:tabs>
          <w:tab w:val="num" w:pos="643"/>
        </w:tabs>
        <w:ind w:left="643" w:hanging="360"/>
      </w:pPr>
      <w:rPr>
        <w:rFonts w:ascii="Symbol" w:hAnsi="Symbol" w:hint="default"/>
      </w:rPr>
    </w:lvl>
  </w:abstractNum>
  <w:abstractNum w:abstractNumId="3">
    <w:nsid w:val="FFFFFF89"/>
    <w:multiLevelType w:val="singleLevel"/>
    <w:tmpl w:val="8C3077E8"/>
    <w:lvl w:ilvl="0">
      <w:start w:val="1"/>
      <w:numFmt w:val="bullet"/>
      <w:pStyle w:val="ListBullet"/>
      <w:lvlText w:val=""/>
      <w:lvlJc w:val="left"/>
      <w:pPr>
        <w:tabs>
          <w:tab w:val="num" w:pos="360"/>
        </w:tabs>
        <w:ind w:left="360" w:hanging="360"/>
      </w:pPr>
      <w:rPr>
        <w:rFonts w:ascii="Symbol" w:hAnsi="Symbol" w:hint="default"/>
      </w:rPr>
    </w:lvl>
  </w:abstractNum>
  <w:abstractNum w:abstractNumId="4">
    <w:nsid w:val="00000004"/>
    <w:multiLevelType w:val="singleLevel"/>
    <w:tmpl w:val="00000004"/>
    <w:name w:val="WW8Num4"/>
    <w:lvl w:ilvl="0">
      <w:start w:val="1"/>
      <w:numFmt w:val="bullet"/>
      <w:lvlText w:val=""/>
      <w:lvlJc w:val="left"/>
      <w:pPr>
        <w:tabs>
          <w:tab w:val="num" w:pos="643"/>
        </w:tabs>
        <w:ind w:left="643" w:hanging="360"/>
      </w:pPr>
      <w:rPr>
        <w:rFonts w:ascii="Symbol" w:hAnsi="Symbol" w:cs="Times New Roman"/>
      </w:rPr>
    </w:lvl>
  </w:abstractNum>
  <w:abstractNum w:abstractNumId="5">
    <w:nsid w:val="00000005"/>
    <w:multiLevelType w:val="multilevel"/>
    <w:tmpl w:val="00000005"/>
    <w:name w:val="WW8Num5"/>
    <w:lvl w:ilvl="0">
      <w:start w:val="1"/>
      <w:numFmt w:val="decimal"/>
      <w:lvlText w:val="%1."/>
      <w:lvlJc w:val="left"/>
      <w:pPr>
        <w:tabs>
          <w:tab w:val="num" w:pos="340"/>
        </w:tabs>
        <w:ind w:left="340" w:hanging="340"/>
      </w:pPr>
      <w:rPr>
        <w:rFonts w:ascii="Arial" w:hAnsi="Arial" w:cs="Symbol"/>
        <w:sz w:val="18"/>
        <w:szCs w:val="18"/>
      </w:rPr>
    </w:lvl>
    <w:lvl w:ilvl="1">
      <w:start w:val="1"/>
      <w:numFmt w:val="lowerLetter"/>
      <w:lvlText w:val="%2."/>
      <w:lvlJc w:val="left"/>
      <w:pPr>
        <w:tabs>
          <w:tab w:val="num" w:pos="680"/>
        </w:tabs>
        <w:ind w:left="680" w:hanging="340"/>
      </w:pPr>
      <w:rPr>
        <w:rFonts w:cs="Times New Roman"/>
      </w:rPr>
    </w:lvl>
    <w:lvl w:ilvl="2">
      <w:start w:val="1"/>
      <w:numFmt w:val="lowerRoman"/>
      <w:lvlText w:val="%3."/>
      <w:lvlJc w:val="left"/>
      <w:pPr>
        <w:tabs>
          <w:tab w:val="num" w:pos="1021"/>
        </w:tabs>
        <w:ind w:left="1021" w:hanging="341"/>
      </w:pPr>
      <w:rPr>
        <w:rFonts w:cs="Times New Roman"/>
      </w:rPr>
    </w:lvl>
    <w:lvl w:ilvl="3">
      <w:start w:val="1"/>
      <w:numFmt w:val="none"/>
      <w:suff w:val="nothing"/>
      <w:lvlText w:val=""/>
      <w:lvlJc w:val="left"/>
      <w:pPr>
        <w:tabs>
          <w:tab w:val="num" w:pos="0"/>
        </w:tabs>
        <w:ind w:left="1021" w:firstLine="0"/>
      </w:pPr>
      <w:rPr>
        <w:rFonts w:cs="Times New Roman"/>
      </w:rPr>
    </w:lvl>
    <w:lvl w:ilvl="4">
      <w:start w:val="1"/>
      <w:numFmt w:val="none"/>
      <w:suff w:val="nothing"/>
      <w:lvlText w:val=""/>
      <w:lvlJc w:val="left"/>
      <w:pPr>
        <w:tabs>
          <w:tab w:val="num" w:pos="0"/>
        </w:tabs>
        <w:ind w:left="1021" w:firstLine="0"/>
      </w:pPr>
      <w:rPr>
        <w:rFonts w:cs="Times New Roman"/>
      </w:rPr>
    </w:lvl>
    <w:lvl w:ilvl="5">
      <w:start w:val="1"/>
      <w:numFmt w:val="none"/>
      <w:suff w:val="nothing"/>
      <w:lvlText w:val=""/>
      <w:lvlJc w:val="left"/>
      <w:pPr>
        <w:tabs>
          <w:tab w:val="num" w:pos="0"/>
        </w:tabs>
        <w:ind w:left="1021" w:firstLine="0"/>
      </w:pPr>
      <w:rPr>
        <w:rFonts w:cs="Times New Roman"/>
      </w:rPr>
    </w:lvl>
    <w:lvl w:ilvl="6">
      <w:start w:val="1"/>
      <w:numFmt w:val="none"/>
      <w:suff w:val="nothing"/>
      <w:lvlText w:val=""/>
      <w:lvlJc w:val="left"/>
      <w:pPr>
        <w:tabs>
          <w:tab w:val="num" w:pos="0"/>
        </w:tabs>
        <w:ind w:left="1021" w:firstLine="0"/>
      </w:pPr>
      <w:rPr>
        <w:rFonts w:cs="Times New Roman"/>
      </w:rPr>
    </w:lvl>
    <w:lvl w:ilvl="7">
      <w:start w:val="1"/>
      <w:numFmt w:val="none"/>
      <w:suff w:val="nothing"/>
      <w:lvlText w:val=""/>
      <w:lvlJc w:val="left"/>
      <w:pPr>
        <w:tabs>
          <w:tab w:val="num" w:pos="0"/>
        </w:tabs>
        <w:ind w:left="1021" w:firstLine="0"/>
      </w:pPr>
      <w:rPr>
        <w:rFonts w:cs="Times New Roman"/>
      </w:rPr>
    </w:lvl>
    <w:lvl w:ilvl="8">
      <w:start w:val="1"/>
      <w:numFmt w:val="none"/>
      <w:suff w:val="nothing"/>
      <w:lvlText w:val=""/>
      <w:lvlJc w:val="left"/>
      <w:pPr>
        <w:tabs>
          <w:tab w:val="num" w:pos="0"/>
        </w:tabs>
        <w:ind w:left="1021" w:firstLine="0"/>
      </w:pPr>
      <w:rPr>
        <w:rFonts w:cs="Times New Roman"/>
      </w:rPr>
    </w:lvl>
  </w:abstractNum>
  <w:abstractNum w:abstractNumId="6">
    <w:nsid w:val="00515EFB"/>
    <w:multiLevelType w:val="multilevel"/>
    <w:tmpl w:val="22266CAE"/>
    <w:styleLink w:val="NumbLstMain"/>
    <w:lvl w:ilvl="0">
      <w:start w:val="1"/>
      <w:numFmt w:val="decimal"/>
      <w:pStyle w:val="Heading1"/>
      <w:lvlText w:val="%1"/>
      <w:lvlJc w:val="left"/>
      <w:pPr>
        <w:ind w:left="851" w:hanging="851"/>
      </w:pPr>
      <w:rPr>
        <w:rFonts w:hint="default"/>
      </w:rPr>
    </w:lvl>
    <w:lvl w:ilvl="1">
      <w:start w:val="1"/>
      <w:numFmt w:val="decimal"/>
      <w:pStyle w:val="Heading2"/>
      <w:lvlText w:val="%1.%2"/>
      <w:lvlJc w:val="left"/>
      <w:pPr>
        <w:ind w:left="851" w:hanging="851"/>
      </w:pPr>
      <w:rPr>
        <w:rFonts w:hint="default"/>
      </w:rPr>
    </w:lvl>
    <w:lvl w:ilvl="2">
      <w:start w:val="1"/>
      <w:numFmt w:val="decimal"/>
      <w:pStyle w:val="Heading3"/>
      <w:lvlText w:val="%1.%2.%3"/>
      <w:lvlJc w:val="left"/>
      <w:pPr>
        <w:ind w:left="851" w:hanging="851"/>
      </w:pPr>
      <w:rPr>
        <w:rFonts w:hint="default"/>
      </w:rPr>
    </w:lvl>
    <w:lvl w:ilvl="3">
      <w:start w:val="1"/>
      <w:numFmt w:val="decimal"/>
      <w:pStyle w:val="Heading4"/>
      <w:lvlText w:val="%1.%2.%3.%4"/>
      <w:lvlJc w:val="left"/>
      <w:pPr>
        <w:ind w:left="851" w:hanging="851"/>
      </w:pPr>
      <w:rPr>
        <w:rFonts w:hint="default"/>
        <w:b/>
        <w:i/>
        <w:color w:val="0067AC"/>
        <w:sz w:val="20"/>
      </w:rPr>
    </w:lvl>
    <w:lvl w:ilvl="4">
      <w:start w:val="1"/>
      <w:numFmt w:val="decimal"/>
      <w:pStyle w:val="Heading5"/>
      <w:lvlText w:val="%1.%2.%3.%4.%5"/>
      <w:lvlJc w:val="left"/>
      <w:pPr>
        <w:ind w:left="851" w:hanging="851"/>
      </w:pPr>
      <w:rPr>
        <w:rFonts w:ascii="Calibri" w:hAnsi="Calibri" w:hint="default"/>
        <w:b/>
        <w:i/>
        <w:color w:val="0067AC"/>
        <w:sz w:val="20"/>
      </w:rPr>
    </w:lvl>
    <w:lvl w:ilvl="5">
      <w:start w:val="1"/>
      <w:numFmt w:val="decimal"/>
      <w:lvlRestart w:val="1"/>
      <w:pStyle w:val="Figure"/>
      <w:lvlText w:val="Figure %1.%6"/>
      <w:lvlJc w:val="left"/>
      <w:pPr>
        <w:tabs>
          <w:tab w:val="num" w:pos="851"/>
        </w:tabs>
        <w:ind w:left="1928" w:hanging="1077"/>
      </w:pPr>
      <w:rPr>
        <w:rFonts w:ascii="Calibri" w:hAnsi="Calibri" w:hint="default"/>
        <w:color w:val="0067AC"/>
      </w:rPr>
    </w:lvl>
    <w:lvl w:ilvl="6">
      <w:start w:val="1"/>
      <w:numFmt w:val="decimal"/>
      <w:lvlRestart w:val="1"/>
      <w:pStyle w:val="Table"/>
      <w:lvlText w:val="Table %1.%7"/>
      <w:lvlJc w:val="left"/>
      <w:pPr>
        <w:tabs>
          <w:tab w:val="num" w:pos="851"/>
        </w:tabs>
        <w:ind w:left="1928" w:hanging="1077"/>
      </w:pPr>
      <w:rPr>
        <w:rFonts w:ascii="Calibri" w:hAnsi="Calibri" w:hint="default"/>
      </w:rPr>
    </w:lvl>
    <w:lvl w:ilvl="7">
      <w:start w:val="1"/>
      <w:numFmt w:val="decimal"/>
      <w:lvlRestart w:val="1"/>
      <w:pStyle w:val="Box"/>
      <w:lvlText w:val="Box %1.%8"/>
      <w:lvlJc w:val="left"/>
      <w:pPr>
        <w:ind w:left="1928" w:hanging="1077"/>
      </w:pPr>
      <w:rPr>
        <w:rFonts w:ascii="Calibri" w:hAnsi="Calibri" w:hint="default"/>
        <w:color w:val="0067AC"/>
      </w:rPr>
    </w:lvl>
    <w:lvl w:ilvl="8">
      <w:start w:val="1"/>
      <w:numFmt w:val="none"/>
      <w:lvlText w:val=""/>
      <w:lvlJc w:val="left"/>
      <w:pPr>
        <w:ind w:left="425" w:hanging="425"/>
      </w:pPr>
      <w:rPr>
        <w:rFonts w:ascii="Georgia" w:hAnsi="Georgia" w:hint="default"/>
        <w:color w:val="0067AC" w:themeColor="text2"/>
      </w:rPr>
    </w:lvl>
  </w:abstractNum>
  <w:abstractNum w:abstractNumId="7">
    <w:nsid w:val="0AEC3580"/>
    <w:multiLevelType w:val="multilevel"/>
    <w:tmpl w:val="DF12587C"/>
    <w:styleLink w:val="NumbLstTableNumb"/>
    <w:lvl w:ilvl="0">
      <w:start w:val="1"/>
      <w:numFmt w:val="decimal"/>
      <w:pStyle w:val="TableNumbList"/>
      <w:lvlText w:val="%1."/>
      <w:lvlJc w:val="left"/>
      <w:pPr>
        <w:tabs>
          <w:tab w:val="num" w:pos="340"/>
        </w:tabs>
        <w:ind w:left="340" w:hanging="340"/>
      </w:pPr>
      <w:rPr>
        <w:rFonts w:ascii="Arial" w:hAnsi="Arial" w:hint="default"/>
        <w:sz w:val="18"/>
      </w:rPr>
    </w:lvl>
    <w:lvl w:ilvl="1">
      <w:start w:val="1"/>
      <w:numFmt w:val="lowerLetter"/>
      <w:lvlText w:val="%2."/>
      <w:lvlJc w:val="left"/>
      <w:pPr>
        <w:tabs>
          <w:tab w:val="num" w:pos="680"/>
        </w:tabs>
        <w:ind w:left="680" w:hanging="340"/>
      </w:pPr>
      <w:rPr>
        <w:rFonts w:hint="default"/>
      </w:rPr>
    </w:lvl>
    <w:lvl w:ilvl="2">
      <w:start w:val="1"/>
      <w:numFmt w:val="lowerRoman"/>
      <w:lvlRestart w:val="0"/>
      <w:lvlText w:val="%3."/>
      <w:lvlJc w:val="left"/>
      <w:pPr>
        <w:tabs>
          <w:tab w:val="num" w:pos="1021"/>
        </w:tabs>
        <w:ind w:left="1021" w:hanging="341"/>
      </w:pPr>
      <w:rPr>
        <w:rFonts w:hint="default"/>
      </w:rPr>
    </w:lvl>
    <w:lvl w:ilvl="3">
      <w:start w:val="1"/>
      <w:numFmt w:val="none"/>
      <w:suff w:val="nothing"/>
      <w:lvlText w:val=""/>
      <w:lvlJc w:val="left"/>
      <w:pPr>
        <w:ind w:left="1021" w:firstLine="0"/>
      </w:pPr>
      <w:rPr>
        <w:rFonts w:hint="default"/>
      </w:rPr>
    </w:lvl>
    <w:lvl w:ilvl="4">
      <w:start w:val="1"/>
      <w:numFmt w:val="none"/>
      <w:lvlRestart w:val="0"/>
      <w:suff w:val="nothing"/>
      <w:lvlText w:val=""/>
      <w:lvlJc w:val="left"/>
      <w:pPr>
        <w:ind w:left="1021" w:firstLine="0"/>
      </w:pPr>
      <w:rPr>
        <w:rFonts w:hint="default"/>
      </w:rPr>
    </w:lvl>
    <w:lvl w:ilvl="5">
      <w:start w:val="1"/>
      <w:numFmt w:val="none"/>
      <w:suff w:val="nothing"/>
      <w:lvlText w:val=""/>
      <w:lvlJc w:val="right"/>
      <w:pPr>
        <w:ind w:left="1021" w:firstLine="0"/>
      </w:pPr>
      <w:rPr>
        <w:rFonts w:hint="default"/>
      </w:rPr>
    </w:lvl>
    <w:lvl w:ilvl="6">
      <w:start w:val="1"/>
      <w:numFmt w:val="none"/>
      <w:suff w:val="nothing"/>
      <w:lvlText w:val=""/>
      <w:lvlJc w:val="left"/>
      <w:pPr>
        <w:ind w:left="1021" w:firstLine="0"/>
      </w:pPr>
      <w:rPr>
        <w:rFonts w:hint="default"/>
      </w:rPr>
    </w:lvl>
    <w:lvl w:ilvl="7">
      <w:start w:val="1"/>
      <w:numFmt w:val="none"/>
      <w:suff w:val="nothing"/>
      <w:lvlText w:val=""/>
      <w:lvlJc w:val="left"/>
      <w:pPr>
        <w:ind w:left="1021" w:firstLine="0"/>
      </w:pPr>
      <w:rPr>
        <w:rFonts w:hint="default"/>
      </w:rPr>
    </w:lvl>
    <w:lvl w:ilvl="8">
      <w:start w:val="1"/>
      <w:numFmt w:val="none"/>
      <w:suff w:val="nothing"/>
      <w:lvlText w:val=""/>
      <w:lvlJc w:val="right"/>
      <w:pPr>
        <w:ind w:left="1021" w:firstLine="0"/>
      </w:pPr>
      <w:rPr>
        <w:rFonts w:hint="default"/>
      </w:rPr>
    </w:lvl>
  </w:abstractNum>
  <w:abstractNum w:abstractNumId="8">
    <w:nsid w:val="0BE16066"/>
    <w:multiLevelType w:val="multilevel"/>
    <w:tmpl w:val="6412989C"/>
    <w:lvl w:ilvl="0">
      <w:start w:val="1"/>
      <w:numFmt w:val="decimal"/>
      <w:pStyle w:val="BTNumbList"/>
      <w:lvlText w:val="%1."/>
      <w:lvlJc w:val="left"/>
      <w:pPr>
        <w:tabs>
          <w:tab w:val="num" w:pos="1191"/>
        </w:tabs>
        <w:ind w:left="1191" w:hanging="340"/>
      </w:pPr>
      <w:rPr>
        <w:rFonts w:hint="default"/>
      </w:rPr>
    </w:lvl>
    <w:lvl w:ilvl="1">
      <w:start w:val="1"/>
      <w:numFmt w:val="lowerLetter"/>
      <w:pStyle w:val="BTNumbList2"/>
      <w:lvlText w:val="%2."/>
      <w:lvlJc w:val="left"/>
      <w:pPr>
        <w:tabs>
          <w:tab w:val="num" w:pos="1531"/>
        </w:tabs>
        <w:ind w:left="1531" w:hanging="340"/>
      </w:pPr>
      <w:rPr>
        <w:rFonts w:hint="default"/>
      </w:rPr>
    </w:lvl>
    <w:lvl w:ilvl="2">
      <w:start w:val="1"/>
      <w:numFmt w:val="lowerRoman"/>
      <w:lvlRestart w:val="0"/>
      <w:pStyle w:val="BTNumbList3"/>
      <w:lvlText w:val="%3."/>
      <w:lvlJc w:val="left"/>
      <w:pPr>
        <w:tabs>
          <w:tab w:val="num" w:pos="1871"/>
        </w:tabs>
        <w:ind w:left="1871" w:hanging="340"/>
      </w:pPr>
      <w:rPr>
        <w:rFonts w:hint="default"/>
      </w:rPr>
    </w:lvl>
    <w:lvl w:ilvl="3">
      <w:start w:val="1"/>
      <w:numFmt w:val="none"/>
      <w:suff w:val="nothing"/>
      <w:lvlText w:val=""/>
      <w:lvlJc w:val="left"/>
      <w:pPr>
        <w:ind w:left="1871" w:firstLine="0"/>
      </w:pPr>
      <w:rPr>
        <w:rFonts w:hint="default"/>
      </w:rPr>
    </w:lvl>
    <w:lvl w:ilvl="4">
      <w:start w:val="1"/>
      <w:numFmt w:val="none"/>
      <w:lvlRestart w:val="0"/>
      <w:suff w:val="nothing"/>
      <w:lvlText w:val=""/>
      <w:lvlJc w:val="left"/>
      <w:pPr>
        <w:ind w:left="1871" w:firstLine="0"/>
      </w:pPr>
      <w:rPr>
        <w:rFonts w:hint="default"/>
      </w:rPr>
    </w:lvl>
    <w:lvl w:ilvl="5">
      <w:start w:val="1"/>
      <w:numFmt w:val="none"/>
      <w:suff w:val="nothing"/>
      <w:lvlText w:val=""/>
      <w:lvlJc w:val="right"/>
      <w:pPr>
        <w:ind w:left="1871" w:firstLine="0"/>
      </w:pPr>
      <w:rPr>
        <w:rFonts w:hint="default"/>
      </w:rPr>
    </w:lvl>
    <w:lvl w:ilvl="6">
      <w:start w:val="1"/>
      <w:numFmt w:val="none"/>
      <w:suff w:val="nothing"/>
      <w:lvlText w:val=""/>
      <w:lvlJc w:val="left"/>
      <w:pPr>
        <w:ind w:left="1871" w:firstLine="0"/>
      </w:pPr>
      <w:rPr>
        <w:rFonts w:hint="default"/>
      </w:rPr>
    </w:lvl>
    <w:lvl w:ilvl="7">
      <w:start w:val="1"/>
      <w:numFmt w:val="none"/>
      <w:suff w:val="nothing"/>
      <w:lvlText w:val=""/>
      <w:lvlJc w:val="left"/>
      <w:pPr>
        <w:ind w:left="1871" w:firstLine="0"/>
      </w:pPr>
      <w:rPr>
        <w:rFonts w:hint="default"/>
      </w:rPr>
    </w:lvl>
    <w:lvl w:ilvl="8">
      <w:start w:val="1"/>
      <w:numFmt w:val="none"/>
      <w:suff w:val="nothing"/>
      <w:lvlText w:val=""/>
      <w:lvlJc w:val="right"/>
      <w:pPr>
        <w:ind w:left="1871" w:firstLine="0"/>
      </w:pPr>
      <w:rPr>
        <w:rFonts w:hint="default"/>
      </w:rPr>
    </w:lvl>
  </w:abstractNum>
  <w:abstractNum w:abstractNumId="9">
    <w:nsid w:val="0D495BAE"/>
    <w:multiLevelType w:val="multilevel"/>
    <w:tmpl w:val="6412989C"/>
    <w:styleLink w:val="NumbLstBTNumbList"/>
    <w:lvl w:ilvl="0">
      <w:start w:val="1"/>
      <w:numFmt w:val="decimal"/>
      <w:lvlText w:val="%1."/>
      <w:lvlJc w:val="left"/>
      <w:pPr>
        <w:tabs>
          <w:tab w:val="num" w:pos="1191"/>
        </w:tabs>
        <w:ind w:left="1191" w:hanging="340"/>
      </w:pPr>
      <w:rPr>
        <w:rFonts w:ascii="Arial" w:eastAsia="Times New Roman" w:hAnsi="Arial" w:cs="Times New Roman"/>
      </w:rPr>
    </w:lvl>
    <w:lvl w:ilvl="1">
      <w:start w:val="1"/>
      <w:numFmt w:val="lowerLetter"/>
      <w:lvlText w:val="%2."/>
      <w:lvlJc w:val="left"/>
      <w:pPr>
        <w:tabs>
          <w:tab w:val="num" w:pos="1531"/>
        </w:tabs>
        <w:ind w:left="1531" w:hanging="340"/>
      </w:pPr>
      <w:rPr>
        <w:rFonts w:cs="Times New Roman" w:hint="default"/>
      </w:rPr>
    </w:lvl>
    <w:lvl w:ilvl="2">
      <w:start w:val="1"/>
      <w:numFmt w:val="lowerRoman"/>
      <w:lvlRestart w:val="0"/>
      <w:lvlText w:val="%3."/>
      <w:lvlJc w:val="left"/>
      <w:pPr>
        <w:tabs>
          <w:tab w:val="num" w:pos="1871"/>
        </w:tabs>
        <w:ind w:left="1871" w:hanging="340"/>
      </w:pPr>
      <w:rPr>
        <w:rFonts w:cs="Times New Roman" w:hint="default"/>
      </w:rPr>
    </w:lvl>
    <w:lvl w:ilvl="3">
      <w:start w:val="1"/>
      <w:numFmt w:val="none"/>
      <w:suff w:val="nothing"/>
      <w:lvlText w:val=""/>
      <w:lvlJc w:val="left"/>
      <w:pPr>
        <w:ind w:left="1871"/>
      </w:pPr>
      <w:rPr>
        <w:rFonts w:cs="Times New Roman" w:hint="default"/>
      </w:rPr>
    </w:lvl>
    <w:lvl w:ilvl="4">
      <w:start w:val="1"/>
      <w:numFmt w:val="none"/>
      <w:lvlRestart w:val="0"/>
      <w:suff w:val="nothing"/>
      <w:lvlText w:val=""/>
      <w:lvlJc w:val="left"/>
      <w:pPr>
        <w:ind w:left="1871"/>
      </w:pPr>
      <w:rPr>
        <w:rFonts w:cs="Times New Roman" w:hint="default"/>
      </w:rPr>
    </w:lvl>
    <w:lvl w:ilvl="5">
      <w:start w:val="1"/>
      <w:numFmt w:val="none"/>
      <w:suff w:val="nothing"/>
      <w:lvlText w:val=""/>
      <w:lvlJc w:val="right"/>
      <w:pPr>
        <w:ind w:left="1871"/>
      </w:pPr>
      <w:rPr>
        <w:rFonts w:cs="Times New Roman" w:hint="default"/>
      </w:rPr>
    </w:lvl>
    <w:lvl w:ilvl="6">
      <w:start w:val="1"/>
      <w:numFmt w:val="none"/>
      <w:suff w:val="nothing"/>
      <w:lvlText w:val=""/>
      <w:lvlJc w:val="left"/>
      <w:pPr>
        <w:ind w:left="1871"/>
      </w:pPr>
      <w:rPr>
        <w:rFonts w:cs="Times New Roman" w:hint="default"/>
      </w:rPr>
    </w:lvl>
    <w:lvl w:ilvl="7">
      <w:start w:val="1"/>
      <w:numFmt w:val="none"/>
      <w:suff w:val="nothing"/>
      <w:lvlText w:val=""/>
      <w:lvlJc w:val="left"/>
      <w:pPr>
        <w:ind w:left="1871"/>
      </w:pPr>
      <w:rPr>
        <w:rFonts w:cs="Times New Roman" w:hint="default"/>
      </w:rPr>
    </w:lvl>
    <w:lvl w:ilvl="8">
      <w:start w:val="1"/>
      <w:numFmt w:val="none"/>
      <w:suff w:val="nothing"/>
      <w:lvlText w:val=""/>
      <w:lvlJc w:val="right"/>
      <w:pPr>
        <w:ind w:left="1871"/>
      </w:pPr>
      <w:rPr>
        <w:rFonts w:cs="Times New Roman" w:hint="default"/>
      </w:rPr>
    </w:lvl>
  </w:abstractNum>
  <w:abstractNum w:abstractNumId="10">
    <w:nsid w:val="0F572937"/>
    <w:multiLevelType w:val="multilevel"/>
    <w:tmpl w:val="2AF08B76"/>
    <w:name w:val="Bullet"/>
    <w:lvl w:ilvl="0">
      <w:start w:val="1"/>
      <w:numFmt w:val="bullet"/>
      <w:lvlText w:val="▪"/>
      <w:lvlJc w:val="left"/>
      <w:pPr>
        <w:ind w:left="340" w:hanging="340"/>
      </w:pPr>
      <w:rPr>
        <w:rFonts w:ascii="Arial" w:hAnsi="Arial" w:hint="default"/>
        <w:color w:val="0067AC" w:themeColor="text2"/>
        <w:sz w:val="24"/>
      </w:rPr>
    </w:lvl>
    <w:lvl w:ilvl="1">
      <w:start w:val="1"/>
      <w:numFmt w:val="bullet"/>
      <w:lvlText w:val="−"/>
      <w:lvlJc w:val="left"/>
      <w:pPr>
        <w:ind w:left="680" w:hanging="340"/>
      </w:pPr>
      <w:rPr>
        <w:rFonts w:ascii="Calibri" w:hAnsi="Calibri" w:hint="default"/>
        <w:color w:val="0067AC" w:themeColor="text2"/>
      </w:rPr>
    </w:lvl>
    <w:lvl w:ilvl="2">
      <w:start w:val="1"/>
      <w:numFmt w:val="bullet"/>
      <w:lvlText w:val="◦"/>
      <w:lvlJc w:val="left"/>
      <w:pPr>
        <w:ind w:left="1021" w:hanging="341"/>
      </w:pPr>
      <w:rPr>
        <w:rFonts w:ascii="Arial" w:hAnsi="Arial" w:hint="default"/>
        <w:color w:val="0067AC" w:themeColor="text2"/>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100D7D88"/>
    <w:multiLevelType w:val="multilevel"/>
    <w:tmpl w:val="75B63B8C"/>
    <w:styleLink w:val="NumbLstStage"/>
    <w:lvl w:ilvl="0">
      <w:start w:val="1"/>
      <w:numFmt w:val="decimal"/>
      <w:pStyle w:val="Stage"/>
      <w:lvlText w:val="Stage %1"/>
      <w:lvlJc w:val="left"/>
      <w:pPr>
        <w:tabs>
          <w:tab w:val="num" w:pos="1814"/>
        </w:tabs>
        <w:ind w:left="1814" w:hanging="963"/>
      </w:pPr>
      <w:rPr>
        <w:rFonts w:hint="default"/>
      </w:rPr>
    </w:lvl>
    <w:lvl w:ilvl="1">
      <w:start w:val="1"/>
      <w:numFmt w:val="decimal"/>
      <w:pStyle w:val="Task"/>
      <w:lvlText w:val="Task %1.%2"/>
      <w:lvlJc w:val="left"/>
      <w:pPr>
        <w:tabs>
          <w:tab w:val="num" w:pos="1814"/>
        </w:tabs>
        <w:ind w:left="1814" w:hanging="963"/>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102C26B6"/>
    <w:multiLevelType w:val="multilevel"/>
    <w:tmpl w:val="1E32C318"/>
    <w:styleLink w:val="NumbLstTableBullet1"/>
    <w:lvl w:ilvl="0">
      <w:start w:val="1"/>
      <w:numFmt w:val="decimal"/>
      <w:pStyle w:val="NumbList"/>
      <w:lvlText w:val="%1."/>
      <w:lvlJc w:val="left"/>
      <w:pPr>
        <w:ind w:left="340" w:hanging="340"/>
      </w:pPr>
      <w:rPr>
        <w:rFonts w:hint="default"/>
      </w:rPr>
    </w:lvl>
    <w:lvl w:ilvl="1">
      <w:start w:val="1"/>
      <w:numFmt w:val="lowerLetter"/>
      <w:pStyle w:val="NumbList2"/>
      <w:lvlText w:val="%2."/>
      <w:lvlJc w:val="left"/>
      <w:pPr>
        <w:ind w:left="680" w:hanging="340"/>
      </w:pPr>
      <w:rPr>
        <w:rFonts w:hint="default"/>
      </w:rPr>
    </w:lvl>
    <w:lvl w:ilvl="2">
      <w:start w:val="1"/>
      <w:numFmt w:val="lowerRoman"/>
      <w:pStyle w:val="NumbList3"/>
      <w:lvlText w:val="%3."/>
      <w:lvlJc w:val="left"/>
      <w:pPr>
        <w:tabs>
          <w:tab w:val="num" w:pos="851"/>
        </w:tabs>
        <w:ind w:left="1021" w:hanging="341"/>
      </w:pPr>
      <w:rPr>
        <w:rFonts w:hint="default"/>
      </w:rPr>
    </w:lvl>
    <w:lvl w:ilvl="3">
      <w:start w:val="1"/>
      <w:numFmt w:val="none"/>
      <w:suff w:val="nothing"/>
      <w:lvlText w:val=""/>
      <w:lvlJc w:val="left"/>
      <w:pPr>
        <w:ind w:left="1021" w:firstLine="0"/>
      </w:pPr>
      <w:rPr>
        <w:rFonts w:hint="default"/>
      </w:rPr>
    </w:lvl>
    <w:lvl w:ilvl="4">
      <w:start w:val="1"/>
      <w:numFmt w:val="none"/>
      <w:lvlRestart w:val="0"/>
      <w:suff w:val="nothing"/>
      <w:lvlText w:val=""/>
      <w:lvlJc w:val="left"/>
      <w:pPr>
        <w:ind w:left="1021" w:firstLine="0"/>
      </w:pPr>
      <w:rPr>
        <w:rFonts w:hint="default"/>
      </w:rPr>
    </w:lvl>
    <w:lvl w:ilvl="5">
      <w:start w:val="1"/>
      <w:numFmt w:val="none"/>
      <w:suff w:val="nothing"/>
      <w:lvlText w:val=""/>
      <w:lvlJc w:val="right"/>
      <w:pPr>
        <w:ind w:left="1021" w:firstLine="0"/>
      </w:pPr>
      <w:rPr>
        <w:rFonts w:hint="default"/>
      </w:rPr>
    </w:lvl>
    <w:lvl w:ilvl="6">
      <w:start w:val="1"/>
      <w:numFmt w:val="none"/>
      <w:suff w:val="nothing"/>
      <w:lvlText w:val=""/>
      <w:lvlJc w:val="left"/>
      <w:pPr>
        <w:ind w:left="1021" w:firstLine="0"/>
      </w:pPr>
      <w:rPr>
        <w:rFonts w:hint="default"/>
      </w:rPr>
    </w:lvl>
    <w:lvl w:ilvl="7">
      <w:start w:val="1"/>
      <w:numFmt w:val="none"/>
      <w:suff w:val="nothing"/>
      <w:lvlText w:val=""/>
      <w:lvlJc w:val="left"/>
      <w:pPr>
        <w:ind w:left="1021" w:firstLine="0"/>
      </w:pPr>
      <w:rPr>
        <w:rFonts w:hint="default"/>
      </w:rPr>
    </w:lvl>
    <w:lvl w:ilvl="8">
      <w:start w:val="1"/>
      <w:numFmt w:val="none"/>
      <w:suff w:val="nothing"/>
      <w:lvlText w:val=""/>
      <w:lvlJc w:val="right"/>
      <w:pPr>
        <w:ind w:left="1021" w:firstLine="0"/>
      </w:pPr>
      <w:rPr>
        <w:rFonts w:hint="default"/>
      </w:rPr>
    </w:lvl>
  </w:abstractNum>
  <w:abstractNum w:abstractNumId="13">
    <w:nsid w:val="13264F5E"/>
    <w:multiLevelType w:val="multilevel"/>
    <w:tmpl w:val="89BC52E8"/>
    <w:numStyleLink w:val="NumbLstBoxes"/>
  </w:abstractNum>
  <w:abstractNum w:abstractNumId="14">
    <w:nsid w:val="13CB0134"/>
    <w:multiLevelType w:val="multilevel"/>
    <w:tmpl w:val="1E32C318"/>
    <w:styleLink w:val="NumbLstNumb"/>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tabs>
          <w:tab w:val="num" w:pos="851"/>
        </w:tabs>
        <w:ind w:left="1021" w:hanging="341"/>
      </w:pPr>
      <w:rPr>
        <w:rFonts w:hint="default"/>
      </w:rPr>
    </w:lvl>
    <w:lvl w:ilvl="3">
      <w:start w:val="1"/>
      <w:numFmt w:val="none"/>
      <w:suff w:val="nothing"/>
      <w:lvlText w:val=""/>
      <w:lvlJc w:val="left"/>
      <w:pPr>
        <w:ind w:left="1021" w:firstLine="0"/>
      </w:pPr>
      <w:rPr>
        <w:rFonts w:hint="default"/>
      </w:rPr>
    </w:lvl>
    <w:lvl w:ilvl="4">
      <w:start w:val="1"/>
      <w:numFmt w:val="none"/>
      <w:lvlRestart w:val="0"/>
      <w:suff w:val="nothing"/>
      <w:lvlText w:val=""/>
      <w:lvlJc w:val="left"/>
      <w:pPr>
        <w:ind w:left="1021" w:firstLine="0"/>
      </w:pPr>
      <w:rPr>
        <w:rFonts w:hint="default"/>
      </w:rPr>
    </w:lvl>
    <w:lvl w:ilvl="5">
      <w:start w:val="1"/>
      <w:numFmt w:val="none"/>
      <w:suff w:val="nothing"/>
      <w:lvlText w:val=""/>
      <w:lvlJc w:val="right"/>
      <w:pPr>
        <w:ind w:left="1021" w:firstLine="0"/>
      </w:pPr>
      <w:rPr>
        <w:rFonts w:hint="default"/>
      </w:rPr>
    </w:lvl>
    <w:lvl w:ilvl="6">
      <w:start w:val="1"/>
      <w:numFmt w:val="none"/>
      <w:suff w:val="nothing"/>
      <w:lvlText w:val=""/>
      <w:lvlJc w:val="left"/>
      <w:pPr>
        <w:ind w:left="1021" w:firstLine="0"/>
      </w:pPr>
      <w:rPr>
        <w:rFonts w:hint="default"/>
      </w:rPr>
    </w:lvl>
    <w:lvl w:ilvl="7">
      <w:start w:val="1"/>
      <w:numFmt w:val="none"/>
      <w:suff w:val="nothing"/>
      <w:lvlText w:val=""/>
      <w:lvlJc w:val="left"/>
      <w:pPr>
        <w:ind w:left="1021" w:firstLine="0"/>
      </w:pPr>
      <w:rPr>
        <w:rFonts w:hint="default"/>
      </w:rPr>
    </w:lvl>
    <w:lvl w:ilvl="8">
      <w:start w:val="1"/>
      <w:numFmt w:val="none"/>
      <w:suff w:val="nothing"/>
      <w:lvlText w:val=""/>
      <w:lvlJc w:val="right"/>
      <w:pPr>
        <w:ind w:left="1021" w:firstLine="0"/>
      </w:pPr>
      <w:rPr>
        <w:rFonts w:hint="default"/>
      </w:rPr>
    </w:lvl>
  </w:abstractNum>
  <w:abstractNum w:abstractNumId="15">
    <w:nsid w:val="183010F3"/>
    <w:multiLevelType w:val="multilevel"/>
    <w:tmpl w:val="E20ED5C8"/>
    <w:styleLink w:val="Style1"/>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Restart w:val="1"/>
      <w:lvlText w:val="%1.%2.%3.%4"/>
      <w:lvlJc w:val="left"/>
      <w:pPr>
        <w:ind w:left="851" w:hanging="851"/>
      </w:pPr>
      <w:rPr>
        <w:rFonts w:hint="default"/>
        <w:color w:val="auto"/>
        <w:sz w:val="20"/>
      </w:rPr>
    </w:lvl>
    <w:lvl w:ilvl="4">
      <w:start w:val="1"/>
      <w:numFmt w:val="decimal"/>
      <w:lvlRestart w:val="1"/>
      <w:lvlText w:val="Figure %1.%5"/>
      <w:lvlJc w:val="left"/>
      <w:pPr>
        <w:ind w:left="1928" w:hanging="1077"/>
      </w:pPr>
      <w:rPr>
        <w:rFonts w:ascii="Georgia" w:hAnsi="Georgia" w:hint="default"/>
        <w:color w:val="0067AC" w:themeColor="text2"/>
      </w:rPr>
    </w:lvl>
    <w:lvl w:ilvl="5">
      <w:start w:val="1"/>
      <w:numFmt w:val="decimal"/>
      <w:lvlRestart w:val="3"/>
      <w:lvlText w:val="Table %1.%6"/>
      <w:lvlJc w:val="left"/>
      <w:pPr>
        <w:tabs>
          <w:tab w:val="num" w:pos="851"/>
        </w:tabs>
        <w:ind w:left="1928" w:hanging="1077"/>
      </w:pPr>
      <w:rPr>
        <w:rFonts w:ascii="Georgia" w:hAnsi="Georgia" w:hint="default"/>
        <w:color w:val="0067AC" w:themeColor="text2"/>
      </w:rPr>
    </w:lvl>
    <w:lvl w:ilvl="6">
      <w:start w:val="1"/>
      <w:numFmt w:val="decimal"/>
      <w:lvlRestart w:val="5"/>
      <w:lvlText w:val="%7"/>
      <w:lvlJc w:val="left"/>
      <w:pPr>
        <w:ind w:left="425" w:hanging="425"/>
      </w:pPr>
      <w:rPr>
        <w:rFonts w:hint="default"/>
      </w:rPr>
    </w:lvl>
    <w:lvl w:ilvl="7">
      <w:start w:val="1"/>
      <w:numFmt w:val="lowerLetter"/>
      <w:lvlRestart w:val="0"/>
      <w:lvlText w:val="%8."/>
      <w:lvlJc w:val="left"/>
      <w:pPr>
        <w:ind w:left="425" w:hanging="425"/>
      </w:pPr>
      <w:rPr>
        <w:rFonts w:hint="default"/>
        <w:color w:val="auto"/>
      </w:rPr>
    </w:lvl>
    <w:lvl w:ilvl="8">
      <w:start w:val="1"/>
      <w:numFmt w:val="decimal"/>
      <w:lvlText w:val="Case study %9"/>
      <w:lvlJc w:val="left"/>
      <w:pPr>
        <w:ind w:left="1701" w:hanging="1701"/>
      </w:pPr>
      <w:rPr>
        <w:rFonts w:ascii="Georgia" w:hAnsi="Georgia" w:hint="default"/>
        <w:color w:val="0067AC" w:themeColor="text2"/>
      </w:rPr>
    </w:lvl>
  </w:abstractNum>
  <w:abstractNum w:abstractNumId="16">
    <w:nsid w:val="1F37420E"/>
    <w:multiLevelType w:val="multilevel"/>
    <w:tmpl w:val="A8C2921C"/>
    <w:styleLink w:val="NumbLstAnnex"/>
    <w:lvl w:ilvl="0">
      <w:start w:val="1"/>
      <w:numFmt w:val="decimal"/>
      <w:pStyle w:val="AnnexHeading"/>
      <w:lvlText w:val="Annex %1"/>
      <w:lvlJc w:val="left"/>
      <w:pPr>
        <w:tabs>
          <w:tab w:val="num" w:pos="1304"/>
        </w:tabs>
        <w:ind w:left="1304" w:hanging="1304"/>
      </w:pPr>
      <w:rPr>
        <w:rFonts w:hint="default"/>
      </w:rPr>
    </w:lvl>
    <w:lvl w:ilvl="1">
      <w:start w:val="1"/>
      <w:numFmt w:val="decimal"/>
      <w:pStyle w:val="AnnexH2"/>
      <w:lvlText w:val="A%1.%2"/>
      <w:lvlJc w:val="left"/>
      <w:pPr>
        <w:tabs>
          <w:tab w:val="num" w:pos="851"/>
        </w:tabs>
        <w:ind w:left="851" w:hanging="851"/>
      </w:pPr>
      <w:rPr>
        <w:rFonts w:hint="default"/>
      </w:rPr>
    </w:lvl>
    <w:lvl w:ilvl="2">
      <w:start w:val="1"/>
      <w:numFmt w:val="decimal"/>
      <w:pStyle w:val="AnnexH3"/>
      <w:lvlText w:val="A%1.%2.%3"/>
      <w:lvlJc w:val="left"/>
      <w:pPr>
        <w:tabs>
          <w:tab w:val="num" w:pos="851"/>
        </w:tabs>
        <w:ind w:left="851" w:hanging="851"/>
      </w:pPr>
      <w:rPr>
        <w:rFonts w:hint="default"/>
      </w:rPr>
    </w:lvl>
    <w:lvl w:ilvl="3">
      <w:start w:val="1"/>
      <w:numFmt w:val="decimal"/>
      <w:pStyle w:val="AnnexH4"/>
      <w:lvlText w:val="A%1.%2.%3.%4"/>
      <w:lvlJc w:val="left"/>
      <w:pPr>
        <w:tabs>
          <w:tab w:val="num" w:pos="851"/>
        </w:tabs>
        <w:ind w:left="851" w:hanging="851"/>
      </w:pPr>
      <w:rPr>
        <w:rFonts w:hint="default"/>
      </w:rPr>
    </w:lvl>
    <w:lvl w:ilvl="4">
      <w:start w:val="1"/>
      <w:numFmt w:val="decimal"/>
      <w:lvlRestart w:val="1"/>
      <w:pStyle w:val="AnnexTable"/>
      <w:lvlText w:val="Table A%1.%5"/>
      <w:lvlJc w:val="left"/>
      <w:pPr>
        <w:tabs>
          <w:tab w:val="num" w:pos="1247"/>
        </w:tabs>
        <w:ind w:left="1247" w:hanging="1247"/>
      </w:pPr>
      <w:rPr>
        <w:rFonts w:hint="default"/>
      </w:rPr>
    </w:lvl>
    <w:lvl w:ilvl="5">
      <w:start w:val="1"/>
      <w:numFmt w:val="decimal"/>
      <w:lvlRestart w:val="1"/>
      <w:pStyle w:val="AnnexFigure"/>
      <w:lvlText w:val="Figure A%1.%6"/>
      <w:lvlJc w:val="left"/>
      <w:pPr>
        <w:tabs>
          <w:tab w:val="num" w:pos="1247"/>
        </w:tabs>
        <w:ind w:left="1247" w:hanging="1247"/>
      </w:pPr>
      <w:rPr>
        <w:rFonts w:hint="default"/>
      </w:rPr>
    </w:lvl>
    <w:lvl w:ilvl="6">
      <w:start w:val="1"/>
      <w:numFmt w:val="none"/>
      <w:suff w:val="nothing"/>
      <w:lvlText w:val=""/>
      <w:lvlJc w:val="left"/>
      <w:pPr>
        <w:ind w:left="851" w:firstLine="0"/>
      </w:pPr>
      <w:rPr>
        <w:rFonts w:hint="default"/>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17">
    <w:nsid w:val="213056DA"/>
    <w:multiLevelType w:val="multilevel"/>
    <w:tmpl w:val="89BC52E8"/>
    <w:styleLink w:val="NumbLstBoxes"/>
    <w:lvl w:ilvl="0">
      <w:start w:val="1"/>
      <w:numFmt w:val="decimal"/>
      <w:pStyle w:val="CaseStudy"/>
      <w:suff w:val="space"/>
      <w:lvlText w:val="Case Study %1"/>
      <w:lvlJc w:val="left"/>
      <w:pPr>
        <w:ind w:left="0" w:firstLine="0"/>
      </w:pPr>
      <w:rPr>
        <w:rFonts w:hint="default"/>
      </w:rPr>
    </w:lvl>
    <w:lvl w:ilvl="1">
      <w:start w:val="1"/>
      <w:numFmt w:val="decimal"/>
      <w:lvlRestart w:val="0"/>
      <w:pStyle w:val="Evidence"/>
      <w:suff w:val="space"/>
      <w:lvlText w:val="Evidence %2"/>
      <w:lvlJc w:val="left"/>
      <w:pPr>
        <w:ind w:left="0" w:firstLine="0"/>
      </w:pPr>
      <w:rPr>
        <w:rFonts w:hint="default"/>
      </w:rPr>
    </w:lvl>
    <w:lvl w:ilvl="2">
      <w:start w:val="1"/>
      <w:numFmt w:val="decimal"/>
      <w:lvlRestart w:val="0"/>
      <w:pStyle w:val="Conclusion"/>
      <w:suff w:val="space"/>
      <w:lvlText w:val="Conclusion %3"/>
      <w:lvlJc w:val="left"/>
      <w:pPr>
        <w:ind w:left="0" w:firstLine="0"/>
      </w:pPr>
      <w:rPr>
        <w:rFonts w:hint="default"/>
      </w:rPr>
    </w:lvl>
    <w:lvl w:ilvl="3">
      <w:start w:val="1"/>
      <w:numFmt w:val="decimal"/>
      <w:lvlRestart w:val="0"/>
      <w:pStyle w:val="Recommendation"/>
      <w:suff w:val="space"/>
      <w:lvlText w:val="Recommendation %4"/>
      <w:lvlJc w:val="left"/>
      <w:pPr>
        <w:ind w:left="0" w:firstLine="0"/>
      </w:pPr>
      <w:rPr>
        <w:rFonts w:hint="default"/>
        <w:b/>
        <w:i w:val="0"/>
        <w:color w:val="0067AC"/>
        <w:sz w:val="28"/>
      </w:rPr>
    </w:lvl>
    <w:lvl w:ilvl="4">
      <w:start w:val="1"/>
      <w:numFmt w:val="decimal"/>
      <w:lvlRestart w:val="0"/>
      <w:pStyle w:val="BoxNumb"/>
      <w:suff w:val="space"/>
      <w:lvlText w:val="Box %5"/>
      <w:lvlJc w:val="left"/>
      <w:pPr>
        <w:ind w:left="0" w:firstLine="0"/>
      </w:pPr>
      <w:rPr>
        <w:rFonts w:hint="default"/>
        <w:color w:val="0067AC"/>
      </w:rPr>
    </w:lvl>
    <w:lvl w:ilvl="5">
      <w:start w:val="1"/>
      <w:numFmt w:val="none"/>
      <w:lvlRestart w:val="3"/>
      <w:lvlText w:val=""/>
      <w:lvlJc w:val="left"/>
      <w:pPr>
        <w:tabs>
          <w:tab w:val="num" w:pos="851"/>
        </w:tabs>
        <w:ind w:left="0" w:firstLine="0"/>
      </w:pPr>
      <w:rPr>
        <w:rFonts w:ascii="Georgia" w:hAnsi="Georgia" w:hint="default"/>
        <w:color w:val="336633"/>
      </w:rPr>
    </w:lvl>
    <w:lvl w:ilvl="6">
      <w:start w:val="1"/>
      <w:numFmt w:val="none"/>
      <w:lvlRestart w:val="5"/>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color w:val="auto"/>
      </w:rPr>
    </w:lvl>
    <w:lvl w:ilvl="8">
      <w:start w:val="1"/>
      <w:numFmt w:val="none"/>
      <w:suff w:val="nothing"/>
      <w:lvlText w:val=""/>
      <w:lvlJc w:val="left"/>
      <w:pPr>
        <w:ind w:left="0" w:firstLine="0"/>
      </w:pPr>
      <w:rPr>
        <w:rFonts w:ascii="Georgia" w:hAnsi="Georgia" w:hint="default"/>
        <w:color w:val="0067AC" w:themeColor="text2"/>
      </w:rPr>
    </w:lvl>
  </w:abstractNum>
  <w:abstractNum w:abstractNumId="18">
    <w:nsid w:val="26710012"/>
    <w:multiLevelType w:val="hybridMultilevel"/>
    <w:tmpl w:val="2E524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26FB2156"/>
    <w:multiLevelType w:val="multilevel"/>
    <w:tmpl w:val="106078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nsid w:val="2C4C1930"/>
    <w:multiLevelType w:val="hybridMultilevel"/>
    <w:tmpl w:val="792C21D6"/>
    <w:lvl w:ilvl="0" w:tplc="080C0003">
      <w:start w:val="1"/>
      <w:numFmt w:val="bullet"/>
      <w:lvlText w:val="o"/>
      <w:lvlJc w:val="left"/>
      <w:pPr>
        <w:ind w:left="1211" w:hanging="360"/>
      </w:pPr>
      <w:rPr>
        <w:rFonts w:ascii="Courier New" w:hAnsi="Courier New" w:cs="Courier New" w:hint="default"/>
      </w:rPr>
    </w:lvl>
    <w:lvl w:ilvl="1" w:tplc="080C0003">
      <w:start w:val="1"/>
      <w:numFmt w:val="bullet"/>
      <w:lvlText w:val="o"/>
      <w:lvlJc w:val="left"/>
      <w:pPr>
        <w:ind w:left="1931" w:hanging="360"/>
      </w:pPr>
      <w:rPr>
        <w:rFonts w:ascii="Courier New" w:hAnsi="Courier New" w:cs="Courier New" w:hint="default"/>
      </w:rPr>
    </w:lvl>
    <w:lvl w:ilvl="2" w:tplc="080C0005">
      <w:start w:val="1"/>
      <w:numFmt w:val="bullet"/>
      <w:lvlText w:val=""/>
      <w:lvlJc w:val="left"/>
      <w:pPr>
        <w:ind w:left="2651" w:hanging="360"/>
      </w:pPr>
      <w:rPr>
        <w:rFonts w:ascii="Wingdings" w:hAnsi="Wingdings" w:hint="default"/>
      </w:rPr>
    </w:lvl>
    <w:lvl w:ilvl="3" w:tplc="080C0001">
      <w:start w:val="1"/>
      <w:numFmt w:val="bullet"/>
      <w:lvlText w:val=""/>
      <w:lvlJc w:val="left"/>
      <w:pPr>
        <w:ind w:left="3371" w:hanging="360"/>
      </w:pPr>
      <w:rPr>
        <w:rFonts w:ascii="Symbol" w:hAnsi="Symbol" w:hint="default"/>
      </w:rPr>
    </w:lvl>
    <w:lvl w:ilvl="4" w:tplc="080C0003">
      <w:start w:val="1"/>
      <w:numFmt w:val="bullet"/>
      <w:lvlText w:val="o"/>
      <w:lvlJc w:val="left"/>
      <w:pPr>
        <w:ind w:left="4091" w:hanging="360"/>
      </w:pPr>
      <w:rPr>
        <w:rFonts w:ascii="Courier New" w:hAnsi="Courier New" w:cs="Courier New" w:hint="default"/>
      </w:rPr>
    </w:lvl>
    <w:lvl w:ilvl="5" w:tplc="080C0005">
      <w:start w:val="1"/>
      <w:numFmt w:val="bullet"/>
      <w:lvlText w:val=""/>
      <w:lvlJc w:val="left"/>
      <w:pPr>
        <w:ind w:left="4811" w:hanging="360"/>
      </w:pPr>
      <w:rPr>
        <w:rFonts w:ascii="Wingdings" w:hAnsi="Wingdings" w:hint="default"/>
      </w:rPr>
    </w:lvl>
    <w:lvl w:ilvl="6" w:tplc="080C0001">
      <w:start w:val="1"/>
      <w:numFmt w:val="bullet"/>
      <w:lvlText w:val=""/>
      <w:lvlJc w:val="left"/>
      <w:pPr>
        <w:ind w:left="5531" w:hanging="360"/>
      </w:pPr>
      <w:rPr>
        <w:rFonts w:ascii="Symbol" w:hAnsi="Symbol" w:hint="default"/>
      </w:rPr>
    </w:lvl>
    <w:lvl w:ilvl="7" w:tplc="080C0003">
      <w:start w:val="1"/>
      <w:numFmt w:val="bullet"/>
      <w:lvlText w:val="o"/>
      <w:lvlJc w:val="left"/>
      <w:pPr>
        <w:ind w:left="6251" w:hanging="360"/>
      </w:pPr>
      <w:rPr>
        <w:rFonts w:ascii="Courier New" w:hAnsi="Courier New" w:cs="Courier New" w:hint="default"/>
      </w:rPr>
    </w:lvl>
    <w:lvl w:ilvl="8" w:tplc="080C0005">
      <w:start w:val="1"/>
      <w:numFmt w:val="bullet"/>
      <w:lvlText w:val=""/>
      <w:lvlJc w:val="left"/>
      <w:pPr>
        <w:ind w:left="6971" w:hanging="360"/>
      </w:pPr>
      <w:rPr>
        <w:rFonts w:ascii="Wingdings" w:hAnsi="Wingdings" w:hint="default"/>
      </w:rPr>
    </w:lvl>
  </w:abstractNum>
  <w:abstractNum w:abstractNumId="21">
    <w:nsid w:val="39801475"/>
    <w:multiLevelType w:val="multilevel"/>
    <w:tmpl w:val="9F9A5336"/>
    <w:styleLink w:val="NumbLstBTBullet"/>
    <w:lvl w:ilvl="0">
      <w:start w:val="1"/>
      <w:numFmt w:val="bullet"/>
      <w:pStyle w:val="BTBullet1"/>
      <w:lvlText w:val="■"/>
      <w:lvlJc w:val="left"/>
      <w:pPr>
        <w:tabs>
          <w:tab w:val="num" w:pos="1191"/>
        </w:tabs>
        <w:ind w:left="1191" w:hanging="340"/>
      </w:pPr>
      <w:rPr>
        <w:rFonts w:ascii="Arial" w:hAnsi="Arial" w:hint="default"/>
        <w:color w:val="0067AC"/>
      </w:rPr>
    </w:lvl>
    <w:lvl w:ilvl="1">
      <w:start w:val="1"/>
      <w:numFmt w:val="bullet"/>
      <w:pStyle w:val="BTBullet2"/>
      <w:lvlText w:val="–"/>
      <w:lvlJc w:val="left"/>
      <w:pPr>
        <w:tabs>
          <w:tab w:val="num" w:pos="1531"/>
        </w:tabs>
        <w:ind w:left="1531" w:hanging="340"/>
      </w:pPr>
      <w:rPr>
        <w:rFonts w:ascii="Arial" w:hAnsi="Arial" w:hint="default"/>
        <w:color w:val="0067AC"/>
      </w:rPr>
    </w:lvl>
    <w:lvl w:ilvl="2">
      <w:start w:val="1"/>
      <w:numFmt w:val="bullet"/>
      <w:pStyle w:val="BTBullet3"/>
      <w:lvlText w:val="○"/>
      <w:lvlJc w:val="left"/>
      <w:pPr>
        <w:tabs>
          <w:tab w:val="num" w:pos="1871"/>
        </w:tabs>
        <w:ind w:left="1871" w:hanging="340"/>
      </w:pPr>
      <w:rPr>
        <w:rFonts w:ascii="Arial" w:hAnsi="Arial" w:hint="default"/>
        <w:color w:val="0067AC"/>
      </w:rPr>
    </w:lvl>
    <w:lvl w:ilvl="3">
      <w:start w:val="1"/>
      <w:numFmt w:val="none"/>
      <w:suff w:val="nothing"/>
      <w:lvlText w:val=""/>
      <w:lvlJc w:val="left"/>
      <w:pPr>
        <w:ind w:left="1871" w:firstLine="0"/>
      </w:pPr>
      <w:rPr>
        <w:rFonts w:hint="default"/>
      </w:rPr>
    </w:lvl>
    <w:lvl w:ilvl="4">
      <w:start w:val="1"/>
      <w:numFmt w:val="none"/>
      <w:suff w:val="nothing"/>
      <w:lvlText w:val=""/>
      <w:lvlJc w:val="left"/>
      <w:pPr>
        <w:ind w:left="1871" w:firstLine="0"/>
      </w:pPr>
      <w:rPr>
        <w:rFonts w:hint="default"/>
      </w:rPr>
    </w:lvl>
    <w:lvl w:ilvl="5">
      <w:start w:val="1"/>
      <w:numFmt w:val="none"/>
      <w:suff w:val="nothing"/>
      <w:lvlText w:val=""/>
      <w:lvlJc w:val="left"/>
      <w:pPr>
        <w:ind w:left="1871" w:firstLine="0"/>
      </w:pPr>
      <w:rPr>
        <w:rFonts w:hint="default"/>
      </w:rPr>
    </w:lvl>
    <w:lvl w:ilvl="6">
      <w:start w:val="1"/>
      <w:numFmt w:val="none"/>
      <w:suff w:val="nothing"/>
      <w:lvlText w:val=""/>
      <w:lvlJc w:val="left"/>
      <w:pPr>
        <w:ind w:left="1871" w:firstLine="0"/>
      </w:pPr>
      <w:rPr>
        <w:rFonts w:hint="default"/>
      </w:rPr>
    </w:lvl>
    <w:lvl w:ilvl="7">
      <w:start w:val="1"/>
      <w:numFmt w:val="none"/>
      <w:suff w:val="nothing"/>
      <w:lvlText w:val=""/>
      <w:lvlJc w:val="left"/>
      <w:pPr>
        <w:ind w:left="1871" w:firstLine="0"/>
      </w:pPr>
      <w:rPr>
        <w:rFonts w:hint="default"/>
      </w:rPr>
    </w:lvl>
    <w:lvl w:ilvl="8">
      <w:start w:val="1"/>
      <w:numFmt w:val="none"/>
      <w:lvlText w:val=""/>
      <w:lvlJc w:val="left"/>
      <w:pPr>
        <w:ind w:left="3240" w:hanging="360"/>
      </w:pPr>
      <w:rPr>
        <w:rFonts w:hint="default"/>
      </w:rPr>
    </w:lvl>
  </w:abstractNum>
  <w:abstractNum w:abstractNumId="22">
    <w:nsid w:val="3E144406"/>
    <w:multiLevelType w:val="multilevel"/>
    <w:tmpl w:val="85BCEBDA"/>
    <w:styleLink w:val="NumbLstBullet"/>
    <w:lvl w:ilvl="0">
      <w:start w:val="1"/>
      <w:numFmt w:val="bullet"/>
      <w:pStyle w:val="Bullet1"/>
      <w:lvlText w:val="■"/>
      <w:lvlJc w:val="left"/>
      <w:pPr>
        <w:tabs>
          <w:tab w:val="num" w:pos="340"/>
        </w:tabs>
        <w:ind w:left="340" w:hanging="340"/>
      </w:pPr>
      <w:rPr>
        <w:rFonts w:ascii="Arial" w:hAnsi="Arial" w:hint="default"/>
        <w:color w:val="0067AC"/>
        <w:sz w:val="18"/>
      </w:rPr>
    </w:lvl>
    <w:lvl w:ilvl="1">
      <w:start w:val="1"/>
      <w:numFmt w:val="bullet"/>
      <w:pStyle w:val="Bullet2"/>
      <w:lvlText w:val="–"/>
      <w:lvlJc w:val="left"/>
      <w:pPr>
        <w:tabs>
          <w:tab w:val="num" w:pos="680"/>
        </w:tabs>
        <w:ind w:left="680" w:hanging="340"/>
      </w:pPr>
      <w:rPr>
        <w:rFonts w:ascii="Arial" w:hAnsi="Arial" w:hint="default"/>
        <w:color w:val="0067AC"/>
      </w:rPr>
    </w:lvl>
    <w:lvl w:ilvl="2">
      <w:start w:val="1"/>
      <w:numFmt w:val="bullet"/>
      <w:pStyle w:val="Bullet3"/>
      <w:lvlText w:val="○"/>
      <w:lvlJc w:val="left"/>
      <w:pPr>
        <w:tabs>
          <w:tab w:val="num" w:pos="1021"/>
        </w:tabs>
        <w:ind w:left="1021" w:hanging="341"/>
      </w:pPr>
      <w:rPr>
        <w:rFonts w:ascii="Arial" w:hAnsi="Arial" w:hint="default"/>
        <w:color w:val="0067AC"/>
      </w:rPr>
    </w:lvl>
    <w:lvl w:ilvl="3">
      <w:start w:val="1"/>
      <w:numFmt w:val="none"/>
      <w:suff w:val="nothing"/>
      <w:lvlText w:val=""/>
      <w:lvlJc w:val="left"/>
      <w:pPr>
        <w:ind w:left="1021" w:firstLine="0"/>
      </w:pPr>
      <w:rPr>
        <w:rFonts w:hint="default"/>
      </w:rPr>
    </w:lvl>
    <w:lvl w:ilvl="4">
      <w:start w:val="1"/>
      <w:numFmt w:val="none"/>
      <w:suff w:val="nothing"/>
      <w:lvlText w:val=""/>
      <w:lvlJc w:val="left"/>
      <w:pPr>
        <w:ind w:left="1021" w:firstLine="0"/>
      </w:pPr>
      <w:rPr>
        <w:rFonts w:hint="default"/>
      </w:rPr>
    </w:lvl>
    <w:lvl w:ilvl="5">
      <w:start w:val="1"/>
      <w:numFmt w:val="none"/>
      <w:suff w:val="nothing"/>
      <w:lvlText w:val=""/>
      <w:lvlJc w:val="left"/>
      <w:pPr>
        <w:ind w:left="1021" w:firstLine="0"/>
      </w:pPr>
      <w:rPr>
        <w:rFonts w:hint="default"/>
      </w:rPr>
    </w:lvl>
    <w:lvl w:ilvl="6">
      <w:start w:val="1"/>
      <w:numFmt w:val="none"/>
      <w:suff w:val="nothing"/>
      <w:lvlText w:val=""/>
      <w:lvlJc w:val="left"/>
      <w:pPr>
        <w:ind w:left="1021" w:firstLine="0"/>
      </w:pPr>
      <w:rPr>
        <w:rFonts w:hint="default"/>
      </w:rPr>
    </w:lvl>
    <w:lvl w:ilvl="7">
      <w:start w:val="1"/>
      <w:numFmt w:val="none"/>
      <w:suff w:val="nothing"/>
      <w:lvlText w:val=""/>
      <w:lvlJc w:val="left"/>
      <w:pPr>
        <w:ind w:left="1021" w:firstLine="0"/>
      </w:pPr>
      <w:rPr>
        <w:rFonts w:hint="default"/>
      </w:rPr>
    </w:lvl>
    <w:lvl w:ilvl="8">
      <w:start w:val="1"/>
      <w:numFmt w:val="none"/>
      <w:suff w:val="nothing"/>
      <w:lvlText w:val=""/>
      <w:lvlJc w:val="left"/>
      <w:pPr>
        <w:ind w:left="1021" w:firstLine="0"/>
      </w:pPr>
      <w:rPr>
        <w:rFonts w:hint="default"/>
      </w:rPr>
    </w:lvl>
  </w:abstractNum>
  <w:abstractNum w:abstractNumId="23">
    <w:nsid w:val="43AE1DC9"/>
    <w:multiLevelType w:val="multilevel"/>
    <w:tmpl w:val="22B60E78"/>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b/>
        <w:i/>
        <w:color w:val="0067AC"/>
        <w:sz w:val="20"/>
      </w:rPr>
    </w:lvl>
    <w:lvl w:ilvl="4">
      <w:start w:val="1"/>
      <w:numFmt w:val="decimal"/>
      <w:lvlText w:val="%1.%2.%3.%4.%5"/>
      <w:lvlJc w:val="left"/>
      <w:pPr>
        <w:ind w:left="851" w:hanging="851"/>
      </w:pPr>
      <w:rPr>
        <w:rFonts w:ascii="Calibri" w:hAnsi="Calibri" w:hint="default"/>
        <w:b/>
        <w:i/>
        <w:color w:val="0067AC"/>
        <w:sz w:val="20"/>
      </w:rPr>
    </w:lvl>
    <w:lvl w:ilvl="5">
      <w:start w:val="1"/>
      <w:numFmt w:val="decimal"/>
      <w:lvlRestart w:val="1"/>
      <w:lvlText w:val="Figure %1.%6"/>
      <w:lvlJc w:val="left"/>
      <w:pPr>
        <w:tabs>
          <w:tab w:val="num" w:pos="1077"/>
        </w:tabs>
        <w:ind w:left="1077" w:hanging="1077"/>
      </w:pPr>
      <w:rPr>
        <w:rFonts w:ascii="Calibri" w:hAnsi="Calibri" w:hint="default"/>
        <w:color w:val="0067AC"/>
      </w:rPr>
    </w:lvl>
    <w:lvl w:ilvl="6">
      <w:start w:val="1"/>
      <w:numFmt w:val="decimal"/>
      <w:lvlRestart w:val="1"/>
      <w:lvlText w:val="Table %1.%7"/>
      <w:lvlJc w:val="left"/>
      <w:pPr>
        <w:tabs>
          <w:tab w:val="num" w:pos="851"/>
        </w:tabs>
        <w:ind w:left="1928" w:hanging="1077"/>
      </w:pPr>
      <w:rPr>
        <w:rFonts w:ascii="Calibri" w:hAnsi="Calibri" w:hint="default"/>
      </w:rPr>
    </w:lvl>
    <w:lvl w:ilvl="7">
      <w:start w:val="1"/>
      <w:numFmt w:val="decimal"/>
      <w:lvlRestart w:val="1"/>
      <w:lvlText w:val="Box %1.%8"/>
      <w:lvlJc w:val="left"/>
      <w:pPr>
        <w:ind w:left="1928" w:hanging="1077"/>
      </w:pPr>
      <w:rPr>
        <w:rFonts w:ascii="Calibri" w:hAnsi="Calibri" w:hint="default"/>
        <w:color w:val="0067AC"/>
      </w:rPr>
    </w:lvl>
    <w:lvl w:ilvl="8">
      <w:start w:val="1"/>
      <w:numFmt w:val="none"/>
      <w:lvlText w:val=""/>
      <w:lvlJc w:val="left"/>
      <w:pPr>
        <w:ind w:left="425" w:hanging="425"/>
      </w:pPr>
      <w:rPr>
        <w:rFonts w:ascii="Georgia" w:hAnsi="Georgia" w:hint="default"/>
        <w:color w:val="0067AC" w:themeColor="text2"/>
      </w:rPr>
    </w:lvl>
  </w:abstractNum>
  <w:abstractNum w:abstractNumId="24">
    <w:nsid w:val="49271712"/>
    <w:multiLevelType w:val="multilevel"/>
    <w:tmpl w:val="1C228E2C"/>
    <w:name w:val="BTBulletList"/>
    <w:lvl w:ilvl="0">
      <w:start w:val="1"/>
      <w:numFmt w:val="bullet"/>
      <w:lvlText w:val="▪"/>
      <w:lvlJc w:val="left"/>
      <w:pPr>
        <w:ind w:left="1191" w:hanging="340"/>
      </w:pPr>
      <w:rPr>
        <w:rFonts w:ascii="Arial" w:hAnsi="Arial" w:hint="default"/>
        <w:color w:val="0067AC" w:themeColor="text2"/>
        <w:sz w:val="24"/>
      </w:rPr>
    </w:lvl>
    <w:lvl w:ilvl="1">
      <w:start w:val="1"/>
      <w:numFmt w:val="bullet"/>
      <w:lvlText w:val="–"/>
      <w:lvlJc w:val="left"/>
      <w:pPr>
        <w:tabs>
          <w:tab w:val="num" w:pos="1990"/>
        </w:tabs>
        <w:ind w:left="1531" w:hanging="340"/>
      </w:pPr>
      <w:rPr>
        <w:rFonts w:ascii="Arial" w:hAnsi="Arial" w:hint="default"/>
        <w:color w:val="0067AC" w:themeColor="text2"/>
      </w:rPr>
    </w:lvl>
    <w:lvl w:ilvl="2">
      <w:start w:val="1"/>
      <w:numFmt w:val="bullet"/>
      <w:lvlText w:val="◦"/>
      <w:lvlJc w:val="left"/>
      <w:pPr>
        <w:ind w:left="1871" w:hanging="340"/>
      </w:pPr>
      <w:rPr>
        <w:rFonts w:ascii="Arial" w:hAnsi="Arial" w:hint="default"/>
        <w:color w:val="0067AC" w:themeColor="text2"/>
      </w:rPr>
    </w:lvl>
    <w:lvl w:ilvl="3">
      <w:start w:val="1"/>
      <w:numFmt w:val="bullet"/>
      <w:lvlText w:val=""/>
      <w:lvlJc w:val="left"/>
      <w:pPr>
        <w:ind w:left="3788" w:hanging="360"/>
      </w:pPr>
      <w:rPr>
        <w:rFonts w:ascii="Symbol" w:hAnsi="Symbol" w:hint="default"/>
      </w:rPr>
    </w:lvl>
    <w:lvl w:ilvl="4">
      <w:start w:val="1"/>
      <w:numFmt w:val="bullet"/>
      <w:lvlText w:val="o"/>
      <w:lvlJc w:val="left"/>
      <w:pPr>
        <w:ind w:left="4508" w:hanging="360"/>
      </w:pPr>
      <w:rPr>
        <w:rFonts w:ascii="Courier New" w:hAnsi="Courier New" w:cs="Courier New" w:hint="default"/>
      </w:rPr>
    </w:lvl>
    <w:lvl w:ilvl="5">
      <w:start w:val="1"/>
      <w:numFmt w:val="bullet"/>
      <w:lvlText w:val=""/>
      <w:lvlJc w:val="left"/>
      <w:pPr>
        <w:ind w:left="5228" w:hanging="360"/>
      </w:pPr>
      <w:rPr>
        <w:rFonts w:ascii="Wingdings" w:hAnsi="Wingdings" w:hint="default"/>
      </w:rPr>
    </w:lvl>
    <w:lvl w:ilvl="6">
      <w:start w:val="1"/>
      <w:numFmt w:val="bullet"/>
      <w:lvlText w:val=""/>
      <w:lvlJc w:val="left"/>
      <w:pPr>
        <w:ind w:left="5948" w:hanging="360"/>
      </w:pPr>
      <w:rPr>
        <w:rFonts w:ascii="Symbol" w:hAnsi="Symbol" w:hint="default"/>
      </w:rPr>
    </w:lvl>
    <w:lvl w:ilvl="7">
      <w:start w:val="1"/>
      <w:numFmt w:val="bullet"/>
      <w:lvlText w:val="o"/>
      <w:lvlJc w:val="left"/>
      <w:pPr>
        <w:ind w:left="6668" w:hanging="360"/>
      </w:pPr>
      <w:rPr>
        <w:rFonts w:ascii="Courier New" w:hAnsi="Courier New" w:cs="Courier New" w:hint="default"/>
      </w:rPr>
    </w:lvl>
    <w:lvl w:ilvl="8">
      <w:start w:val="1"/>
      <w:numFmt w:val="bullet"/>
      <w:lvlText w:val=""/>
      <w:lvlJc w:val="left"/>
      <w:pPr>
        <w:ind w:left="7388" w:hanging="360"/>
      </w:pPr>
      <w:rPr>
        <w:rFonts w:ascii="Wingdings" w:hAnsi="Wingdings" w:hint="default"/>
      </w:rPr>
    </w:lvl>
  </w:abstractNum>
  <w:abstractNum w:abstractNumId="25">
    <w:nsid w:val="497C5E09"/>
    <w:multiLevelType w:val="multilevel"/>
    <w:tmpl w:val="4B68369A"/>
    <w:styleLink w:val="NumbLstTableBullet"/>
    <w:lvl w:ilvl="0">
      <w:start w:val="1"/>
      <w:numFmt w:val="bullet"/>
      <w:pStyle w:val="TableBullet"/>
      <w:lvlText w:val="■"/>
      <w:lvlJc w:val="left"/>
      <w:pPr>
        <w:tabs>
          <w:tab w:val="num" w:pos="340"/>
        </w:tabs>
        <w:ind w:left="340" w:hanging="340"/>
      </w:pPr>
      <w:rPr>
        <w:rFonts w:ascii="Arial" w:hAnsi="Arial" w:hint="default"/>
        <w:color w:val="0067AC"/>
      </w:rPr>
    </w:lvl>
    <w:lvl w:ilvl="1">
      <w:start w:val="1"/>
      <w:numFmt w:val="bullet"/>
      <w:lvlText w:val="–"/>
      <w:lvlJc w:val="left"/>
      <w:pPr>
        <w:tabs>
          <w:tab w:val="num" w:pos="680"/>
        </w:tabs>
        <w:ind w:left="680" w:hanging="340"/>
      </w:pPr>
      <w:rPr>
        <w:rFonts w:ascii="Arial" w:hAnsi="Arial" w:hint="default"/>
        <w:color w:val="0067AC" w:themeColor="text2"/>
      </w:rPr>
    </w:lvl>
    <w:lvl w:ilvl="2">
      <w:start w:val="1"/>
      <w:numFmt w:val="bullet"/>
      <w:lvlText w:val="○"/>
      <w:lvlJc w:val="left"/>
      <w:pPr>
        <w:tabs>
          <w:tab w:val="num" w:pos="1021"/>
        </w:tabs>
        <w:ind w:left="1021" w:hanging="341"/>
      </w:pPr>
      <w:rPr>
        <w:rFonts w:ascii="Arial" w:hAnsi="Arial" w:hint="default"/>
        <w:color w:val="0067AC" w:themeColor="text2"/>
      </w:rPr>
    </w:lvl>
    <w:lvl w:ilvl="3">
      <w:start w:val="1"/>
      <w:numFmt w:val="none"/>
      <w:suff w:val="nothing"/>
      <w:lvlText w:val=""/>
      <w:lvlJc w:val="left"/>
      <w:pPr>
        <w:ind w:left="1021" w:firstLine="0"/>
      </w:pPr>
      <w:rPr>
        <w:rFonts w:hint="default"/>
      </w:rPr>
    </w:lvl>
    <w:lvl w:ilvl="4">
      <w:start w:val="1"/>
      <w:numFmt w:val="none"/>
      <w:suff w:val="nothing"/>
      <w:lvlText w:val=""/>
      <w:lvlJc w:val="left"/>
      <w:pPr>
        <w:ind w:left="1021" w:firstLine="0"/>
      </w:pPr>
      <w:rPr>
        <w:rFonts w:hint="default"/>
      </w:rPr>
    </w:lvl>
    <w:lvl w:ilvl="5">
      <w:start w:val="1"/>
      <w:numFmt w:val="none"/>
      <w:suff w:val="nothing"/>
      <w:lvlText w:val=""/>
      <w:lvlJc w:val="left"/>
      <w:pPr>
        <w:ind w:left="1021" w:firstLine="0"/>
      </w:pPr>
      <w:rPr>
        <w:rFonts w:hint="default"/>
      </w:rPr>
    </w:lvl>
    <w:lvl w:ilvl="6">
      <w:start w:val="1"/>
      <w:numFmt w:val="none"/>
      <w:suff w:val="nothing"/>
      <w:lvlText w:val=""/>
      <w:lvlJc w:val="left"/>
      <w:pPr>
        <w:ind w:left="1021" w:firstLine="0"/>
      </w:pPr>
      <w:rPr>
        <w:rFonts w:hint="default"/>
      </w:rPr>
    </w:lvl>
    <w:lvl w:ilvl="7">
      <w:start w:val="1"/>
      <w:numFmt w:val="none"/>
      <w:suff w:val="nothing"/>
      <w:lvlText w:val=""/>
      <w:lvlJc w:val="left"/>
      <w:pPr>
        <w:ind w:left="1021" w:firstLine="0"/>
      </w:pPr>
      <w:rPr>
        <w:rFonts w:hint="default"/>
      </w:rPr>
    </w:lvl>
    <w:lvl w:ilvl="8">
      <w:start w:val="1"/>
      <w:numFmt w:val="none"/>
      <w:suff w:val="nothing"/>
      <w:lvlText w:val=""/>
      <w:lvlJc w:val="left"/>
      <w:pPr>
        <w:ind w:left="1021" w:firstLine="0"/>
      </w:pPr>
      <w:rPr>
        <w:rFonts w:hint="default"/>
      </w:rPr>
    </w:lvl>
  </w:abstractNum>
  <w:abstractNum w:abstractNumId="26">
    <w:nsid w:val="4D4F1CD9"/>
    <w:multiLevelType w:val="hybridMultilevel"/>
    <w:tmpl w:val="23E6863E"/>
    <w:lvl w:ilvl="0" w:tplc="F9B8B0BA">
      <w:start w:val="1"/>
      <w:numFmt w:val="bullet"/>
      <w:pStyle w:val="F6ListBullet"/>
      <w:lvlText w:val=""/>
      <w:lvlJc w:val="left"/>
      <w:pPr>
        <w:tabs>
          <w:tab w:val="num" w:pos="1494"/>
        </w:tabs>
        <w:ind w:left="1474" w:hanging="340"/>
      </w:pPr>
      <w:rPr>
        <w:rFonts w:ascii="Wingdings" w:hAnsi="Wingdings" w:hint="default"/>
      </w:rPr>
    </w:lvl>
    <w:lvl w:ilvl="1" w:tplc="04090003">
      <w:start w:val="1"/>
      <w:numFmt w:val="bullet"/>
      <w:lvlText w:val="o"/>
      <w:lvlJc w:val="left"/>
      <w:pPr>
        <w:tabs>
          <w:tab w:val="num" w:pos="2347"/>
        </w:tabs>
        <w:ind w:left="2347" w:hanging="360"/>
      </w:pPr>
      <w:rPr>
        <w:rFonts w:ascii="Courier New" w:hAnsi="Courier New" w:hint="default"/>
      </w:rPr>
    </w:lvl>
    <w:lvl w:ilvl="2" w:tplc="04090005">
      <w:start w:val="1"/>
      <w:numFmt w:val="bullet"/>
      <w:lvlText w:val=""/>
      <w:lvlJc w:val="left"/>
      <w:pPr>
        <w:tabs>
          <w:tab w:val="num" w:pos="3067"/>
        </w:tabs>
        <w:ind w:left="3067" w:hanging="360"/>
      </w:pPr>
      <w:rPr>
        <w:rFonts w:ascii="Wingdings" w:hAnsi="Wingdings" w:hint="default"/>
      </w:rPr>
    </w:lvl>
    <w:lvl w:ilvl="3" w:tplc="04090001">
      <w:start w:val="1"/>
      <w:numFmt w:val="bullet"/>
      <w:lvlText w:val=""/>
      <w:lvlJc w:val="left"/>
      <w:pPr>
        <w:tabs>
          <w:tab w:val="num" w:pos="3787"/>
        </w:tabs>
        <w:ind w:left="3787" w:hanging="360"/>
      </w:pPr>
      <w:rPr>
        <w:rFonts w:ascii="Symbol" w:hAnsi="Symbol" w:hint="default"/>
      </w:rPr>
    </w:lvl>
    <w:lvl w:ilvl="4" w:tplc="04090003">
      <w:start w:val="1"/>
      <w:numFmt w:val="bullet"/>
      <w:lvlText w:val="o"/>
      <w:lvlJc w:val="left"/>
      <w:pPr>
        <w:tabs>
          <w:tab w:val="num" w:pos="4507"/>
        </w:tabs>
        <w:ind w:left="4507" w:hanging="360"/>
      </w:pPr>
      <w:rPr>
        <w:rFonts w:ascii="Courier New" w:hAnsi="Courier New" w:hint="default"/>
      </w:rPr>
    </w:lvl>
    <w:lvl w:ilvl="5" w:tplc="04090005">
      <w:start w:val="1"/>
      <w:numFmt w:val="bullet"/>
      <w:lvlText w:val=""/>
      <w:lvlJc w:val="left"/>
      <w:pPr>
        <w:tabs>
          <w:tab w:val="num" w:pos="5227"/>
        </w:tabs>
        <w:ind w:left="5227" w:hanging="360"/>
      </w:pPr>
      <w:rPr>
        <w:rFonts w:ascii="Wingdings" w:hAnsi="Wingdings" w:hint="default"/>
      </w:rPr>
    </w:lvl>
    <w:lvl w:ilvl="6" w:tplc="04090001">
      <w:start w:val="1"/>
      <w:numFmt w:val="bullet"/>
      <w:lvlText w:val=""/>
      <w:lvlJc w:val="left"/>
      <w:pPr>
        <w:tabs>
          <w:tab w:val="num" w:pos="5947"/>
        </w:tabs>
        <w:ind w:left="5947" w:hanging="360"/>
      </w:pPr>
      <w:rPr>
        <w:rFonts w:ascii="Symbol" w:hAnsi="Symbol" w:hint="default"/>
      </w:rPr>
    </w:lvl>
    <w:lvl w:ilvl="7" w:tplc="04090003">
      <w:start w:val="1"/>
      <w:numFmt w:val="bullet"/>
      <w:lvlText w:val="o"/>
      <w:lvlJc w:val="left"/>
      <w:pPr>
        <w:tabs>
          <w:tab w:val="num" w:pos="6667"/>
        </w:tabs>
        <w:ind w:left="6667" w:hanging="360"/>
      </w:pPr>
      <w:rPr>
        <w:rFonts w:ascii="Courier New" w:hAnsi="Courier New" w:hint="default"/>
      </w:rPr>
    </w:lvl>
    <w:lvl w:ilvl="8" w:tplc="04090005">
      <w:start w:val="1"/>
      <w:numFmt w:val="bullet"/>
      <w:lvlText w:val=""/>
      <w:lvlJc w:val="left"/>
      <w:pPr>
        <w:tabs>
          <w:tab w:val="num" w:pos="7387"/>
        </w:tabs>
        <w:ind w:left="7387" w:hanging="360"/>
      </w:pPr>
      <w:rPr>
        <w:rFonts w:ascii="Wingdings" w:hAnsi="Wingdings" w:hint="default"/>
      </w:rPr>
    </w:lvl>
  </w:abstractNum>
  <w:abstractNum w:abstractNumId="27">
    <w:nsid w:val="504936E5"/>
    <w:multiLevelType w:val="multilevel"/>
    <w:tmpl w:val="9F9A5336"/>
    <w:numStyleLink w:val="NumbLstBTBullet"/>
  </w:abstractNum>
  <w:abstractNum w:abstractNumId="28">
    <w:nsid w:val="507A1ADD"/>
    <w:multiLevelType w:val="hybridMultilevel"/>
    <w:tmpl w:val="8946BA38"/>
    <w:lvl w:ilvl="0" w:tplc="FFFFFFFF">
      <w:start w:val="1"/>
      <w:numFmt w:val="lowerRoman"/>
      <w:lvlText w:val="%1."/>
      <w:lvlJc w:val="left"/>
      <w:pPr>
        <w:tabs>
          <w:tab w:val="num" w:pos="1134"/>
        </w:tabs>
        <w:ind w:left="1134" w:hanging="567"/>
      </w:pPr>
      <w:rPr>
        <w:rFonts w:ascii="Arial" w:hAnsi="Arial" w:cs="Symbol" w:hint="default"/>
        <w:b w:val="0"/>
        <w:bCs w:val="0"/>
        <w:i/>
        <w:iCs/>
        <w:sz w:val="20"/>
        <w:szCs w:val="20"/>
      </w:rPr>
    </w:lvl>
    <w:lvl w:ilvl="1" w:tplc="FFFFFFFF">
      <w:start w:val="1"/>
      <w:numFmt w:val="lowerLetter"/>
      <w:pStyle w:val="SecondTierList"/>
      <w:lvlText w:val="%2)"/>
      <w:lvlJc w:val="left"/>
      <w:pPr>
        <w:tabs>
          <w:tab w:val="num" w:pos="2098"/>
        </w:tabs>
        <w:ind w:left="2098" w:hanging="680"/>
      </w:pPr>
      <w:rPr>
        <w:rFonts w:cs="Times New Roman" w:hint="default"/>
      </w:rPr>
    </w:lvl>
    <w:lvl w:ilvl="2" w:tplc="FFFFFFFF">
      <w:start w:val="1"/>
      <w:numFmt w:val="lowerRoman"/>
      <w:lvlText w:val="%3."/>
      <w:lvlJc w:val="left"/>
      <w:pPr>
        <w:tabs>
          <w:tab w:val="num" w:pos="1134"/>
        </w:tabs>
        <w:ind w:left="1134" w:hanging="567"/>
      </w:pPr>
      <w:rPr>
        <w:rFonts w:ascii="Arial" w:hAnsi="Arial" w:cs="Symbol" w:hint="default"/>
        <w:b w:val="0"/>
        <w:bCs w:val="0"/>
        <w:i/>
        <w:iCs/>
        <w:sz w:val="20"/>
        <w:szCs w:val="20"/>
      </w:rPr>
    </w:lvl>
    <w:lvl w:ilvl="3" w:tplc="FFFFFFFF">
      <w:start w:val="1"/>
      <w:numFmt w:val="lowerLetter"/>
      <w:lvlText w:val="%4)"/>
      <w:lvlJc w:val="left"/>
      <w:pPr>
        <w:tabs>
          <w:tab w:val="num" w:pos="1211"/>
        </w:tabs>
        <w:ind w:left="1191" w:hanging="340"/>
      </w:pPr>
      <w:rPr>
        <w:rFonts w:cs="Times New Roman" w:hint="default"/>
      </w:rPr>
    </w:lvl>
    <w:lvl w:ilvl="4" w:tplc="FFFFFFFF">
      <w:start w:val="1"/>
      <w:numFmt w:val="lowerRoman"/>
      <w:lvlText w:val="%5."/>
      <w:lvlJc w:val="left"/>
      <w:pPr>
        <w:tabs>
          <w:tab w:val="num" w:pos="1134"/>
        </w:tabs>
        <w:ind w:left="1134" w:hanging="567"/>
      </w:pPr>
      <w:rPr>
        <w:rFonts w:ascii="Arial" w:hAnsi="Arial" w:cs="Symbol" w:hint="default"/>
        <w:b w:val="0"/>
        <w:bCs w:val="0"/>
        <w:i/>
        <w:iCs/>
        <w:sz w:val="20"/>
        <w:szCs w:val="20"/>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9">
    <w:nsid w:val="56943CCB"/>
    <w:multiLevelType w:val="hybridMultilevel"/>
    <w:tmpl w:val="3A4250C0"/>
    <w:lvl w:ilvl="0" w:tplc="C87AA838">
      <w:start w:val="1"/>
      <w:numFmt w:val="bullet"/>
      <w:lvlText w:val="-"/>
      <w:lvlJc w:val="left"/>
      <w:pPr>
        <w:ind w:left="1215" w:hanging="360"/>
      </w:pPr>
      <w:rPr>
        <w:rFonts w:ascii="Arial" w:eastAsia="Times New Roman" w:hAnsi="Arial" w:cs="Arial" w:hint="default"/>
      </w:rPr>
    </w:lvl>
    <w:lvl w:ilvl="1" w:tplc="04090003">
      <w:start w:val="1"/>
      <w:numFmt w:val="bullet"/>
      <w:lvlText w:val="o"/>
      <w:lvlJc w:val="left"/>
      <w:pPr>
        <w:ind w:left="1935" w:hanging="360"/>
      </w:pPr>
      <w:rPr>
        <w:rFonts w:ascii="Courier New" w:hAnsi="Courier New" w:cs="Courier New" w:hint="default"/>
      </w:rPr>
    </w:lvl>
    <w:lvl w:ilvl="2" w:tplc="04090005" w:tentative="1">
      <w:start w:val="1"/>
      <w:numFmt w:val="bullet"/>
      <w:lvlText w:val=""/>
      <w:lvlJc w:val="left"/>
      <w:pPr>
        <w:ind w:left="2655" w:hanging="360"/>
      </w:pPr>
      <w:rPr>
        <w:rFonts w:ascii="Wingdings" w:hAnsi="Wingdings" w:hint="default"/>
      </w:rPr>
    </w:lvl>
    <w:lvl w:ilvl="3" w:tplc="04090001" w:tentative="1">
      <w:start w:val="1"/>
      <w:numFmt w:val="bullet"/>
      <w:lvlText w:val=""/>
      <w:lvlJc w:val="left"/>
      <w:pPr>
        <w:ind w:left="3375" w:hanging="360"/>
      </w:pPr>
      <w:rPr>
        <w:rFonts w:ascii="Symbol" w:hAnsi="Symbol" w:hint="default"/>
      </w:rPr>
    </w:lvl>
    <w:lvl w:ilvl="4" w:tplc="04090003" w:tentative="1">
      <w:start w:val="1"/>
      <w:numFmt w:val="bullet"/>
      <w:lvlText w:val="o"/>
      <w:lvlJc w:val="left"/>
      <w:pPr>
        <w:ind w:left="4095" w:hanging="360"/>
      </w:pPr>
      <w:rPr>
        <w:rFonts w:ascii="Courier New" w:hAnsi="Courier New" w:cs="Courier New" w:hint="default"/>
      </w:rPr>
    </w:lvl>
    <w:lvl w:ilvl="5" w:tplc="04090005" w:tentative="1">
      <w:start w:val="1"/>
      <w:numFmt w:val="bullet"/>
      <w:lvlText w:val=""/>
      <w:lvlJc w:val="left"/>
      <w:pPr>
        <w:ind w:left="4815" w:hanging="360"/>
      </w:pPr>
      <w:rPr>
        <w:rFonts w:ascii="Wingdings" w:hAnsi="Wingdings" w:hint="default"/>
      </w:rPr>
    </w:lvl>
    <w:lvl w:ilvl="6" w:tplc="04090001" w:tentative="1">
      <w:start w:val="1"/>
      <w:numFmt w:val="bullet"/>
      <w:lvlText w:val=""/>
      <w:lvlJc w:val="left"/>
      <w:pPr>
        <w:ind w:left="5535" w:hanging="360"/>
      </w:pPr>
      <w:rPr>
        <w:rFonts w:ascii="Symbol" w:hAnsi="Symbol" w:hint="default"/>
      </w:rPr>
    </w:lvl>
    <w:lvl w:ilvl="7" w:tplc="04090003" w:tentative="1">
      <w:start w:val="1"/>
      <w:numFmt w:val="bullet"/>
      <w:lvlText w:val="o"/>
      <w:lvlJc w:val="left"/>
      <w:pPr>
        <w:ind w:left="6255" w:hanging="360"/>
      </w:pPr>
      <w:rPr>
        <w:rFonts w:ascii="Courier New" w:hAnsi="Courier New" w:cs="Courier New" w:hint="default"/>
      </w:rPr>
    </w:lvl>
    <w:lvl w:ilvl="8" w:tplc="04090005" w:tentative="1">
      <w:start w:val="1"/>
      <w:numFmt w:val="bullet"/>
      <w:lvlText w:val=""/>
      <w:lvlJc w:val="left"/>
      <w:pPr>
        <w:ind w:left="6975" w:hanging="360"/>
      </w:pPr>
      <w:rPr>
        <w:rFonts w:ascii="Wingdings" w:hAnsi="Wingdings" w:hint="default"/>
      </w:rPr>
    </w:lvl>
  </w:abstractNum>
  <w:abstractNum w:abstractNumId="30">
    <w:nsid w:val="5A611787"/>
    <w:multiLevelType w:val="multilevel"/>
    <w:tmpl w:val="85BCEBDA"/>
    <w:numStyleLink w:val="NumbLstBullet"/>
  </w:abstractNum>
  <w:abstractNum w:abstractNumId="31">
    <w:nsid w:val="60BE17EF"/>
    <w:multiLevelType w:val="multilevel"/>
    <w:tmpl w:val="22266CAE"/>
    <w:numStyleLink w:val="NumbLstMain"/>
  </w:abstractNum>
  <w:abstractNum w:abstractNumId="32">
    <w:nsid w:val="63115E92"/>
    <w:multiLevelType w:val="multilevel"/>
    <w:tmpl w:val="AEDA72E0"/>
    <w:lvl w:ilvl="0">
      <w:start w:val="1"/>
      <w:numFmt w:val="decimal"/>
      <w:lvlText w:val="%1."/>
      <w:lvlJc w:val="left"/>
      <w:pPr>
        <w:tabs>
          <w:tab w:val="num" w:pos="360"/>
        </w:tabs>
        <w:ind w:left="360" w:hanging="360"/>
      </w:pPr>
    </w:lvl>
    <w:lvl w:ilvl="1">
      <w:start w:val="1"/>
      <w:numFmt w:val="decimal"/>
      <w:lvlText w:val="%1.%2"/>
      <w:lvlJc w:val="left"/>
      <w:pPr>
        <w:ind w:left="576" w:hanging="576"/>
      </w:pPr>
      <w:rPr>
        <w:rFonts w:cs="Times New Roman"/>
        <w:color w:val="365F91"/>
      </w:rPr>
    </w:lvl>
    <w:lvl w:ilvl="2">
      <w:start w:val="1"/>
      <w:numFmt w:val="decimal"/>
      <w:lvlText w:val="%1.%2.%3"/>
      <w:lvlJc w:val="left"/>
      <w:pPr>
        <w:ind w:left="157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33">
    <w:nsid w:val="66F10AD0"/>
    <w:multiLevelType w:val="multilevel"/>
    <w:tmpl w:val="A8C2921C"/>
    <w:numStyleLink w:val="NumbLstAnnex"/>
  </w:abstractNum>
  <w:abstractNum w:abstractNumId="34">
    <w:nsid w:val="67C12A33"/>
    <w:multiLevelType w:val="hybridMultilevel"/>
    <w:tmpl w:val="38F47A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348614B"/>
    <w:multiLevelType w:val="hybridMultilevel"/>
    <w:tmpl w:val="A6EE74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36">
    <w:nsid w:val="78D12BDA"/>
    <w:multiLevelType w:val="hybridMultilevel"/>
    <w:tmpl w:val="EB104F7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7">
    <w:nsid w:val="7CB03DC5"/>
    <w:multiLevelType w:val="multilevel"/>
    <w:tmpl w:val="4B68369A"/>
    <w:numStyleLink w:val="NumbLstTableBullet"/>
  </w:abstractNum>
  <w:num w:numId="1">
    <w:abstractNumId w:val="3"/>
  </w:num>
  <w:num w:numId="2">
    <w:abstractNumId w:val="2"/>
  </w:num>
  <w:num w:numId="3">
    <w:abstractNumId w:val="1"/>
  </w:num>
  <w:num w:numId="4">
    <w:abstractNumId w:val="0"/>
  </w:num>
  <w:num w:numId="5">
    <w:abstractNumId w:val="15"/>
  </w:num>
  <w:num w:numId="6">
    <w:abstractNumId w:val="17"/>
  </w:num>
  <w:num w:numId="7">
    <w:abstractNumId w:val="6"/>
  </w:num>
  <w:num w:numId="8">
    <w:abstractNumId w:val="7"/>
  </w:num>
  <w:num w:numId="9">
    <w:abstractNumId w:val="14"/>
  </w:num>
  <w:num w:numId="10">
    <w:abstractNumId w:val="12"/>
  </w:num>
  <w:num w:numId="11">
    <w:abstractNumId w:val="22"/>
  </w:num>
  <w:num w:numId="12">
    <w:abstractNumId w:val="25"/>
  </w:num>
  <w:num w:numId="13">
    <w:abstractNumId w:val="8"/>
  </w:num>
  <w:num w:numId="14">
    <w:abstractNumId w:val="37"/>
  </w:num>
  <w:num w:numId="15">
    <w:abstractNumId w:val="11"/>
  </w:num>
  <w:num w:numId="16">
    <w:abstractNumId w:val="13"/>
  </w:num>
  <w:num w:numId="17">
    <w:abstractNumId w:val="30"/>
  </w:num>
  <w:num w:numId="18">
    <w:abstractNumId w:val="16"/>
  </w:num>
  <w:num w:numId="19">
    <w:abstractNumId w:val="33"/>
  </w:num>
  <w:num w:numId="20">
    <w:abstractNumId w:val="31"/>
  </w:num>
  <w:num w:numId="21">
    <w:abstractNumId w:val="21"/>
  </w:num>
  <w:num w:numId="22">
    <w:abstractNumId w:val="27"/>
  </w:num>
  <w:num w:numId="23">
    <w:abstractNumId w:val="9"/>
  </w:num>
  <w:num w:numId="24">
    <w:abstractNumId w:val="26"/>
  </w:num>
  <w:num w:numId="25">
    <w:abstractNumId w:val="28"/>
  </w:num>
  <w:num w:numId="26">
    <w:abstractNumId w:val="32"/>
  </w:num>
  <w:num w:numId="27">
    <w:abstractNumId w:val="20"/>
  </w:num>
  <w:num w:numId="28">
    <w:abstractNumId w:val="34"/>
  </w:num>
  <w:num w:numId="29">
    <w:abstractNumId w:val="29"/>
  </w:num>
  <w:num w:numId="30">
    <w:abstractNumId w:val="18"/>
  </w:num>
  <w:num w:numId="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5"/>
  </w:num>
  <w:num w:numId="33">
    <w:abstractNumId w:val="36"/>
  </w:num>
  <w:num w:numId="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7B04" w:allStyles="0" w:customStyles="0" w:latentStyles="1" w:stylesInUse="0" w:headingStyles="0" w:numberingStyles="0" w:tableStyles="0" w:directFormattingOnRuns="1" w:directFormattingOnParagraphs="1" w:directFormattingOnNumbering="0" w:directFormattingOnTables="1" w:clearFormatting="1" w:top3HeadingStyles="1" w:visibleStyles="1" w:alternateStyleNames="0"/>
  <w:defaultTabStop w:val="851"/>
  <w:drawingGridHorizontalSpacing w:val="100"/>
  <w:displayHorizont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ntentsPage" w:val="True"/>
    <w:docVar w:name="ContentsPageFiguresTOC" w:val="True"/>
    <w:docVar w:name="ContentsPageTableTOC" w:val="True"/>
    <w:docVar w:name="ContentsPageTOCType1" w:val="1"/>
    <w:docVar w:name="CurrentTemplateVersion" w:val="6.9"/>
    <w:docVar w:name="ExecSummaryPage" w:val="False"/>
    <w:docVar w:name="FooterVersion" w:val=" "/>
    <w:docVar w:name="HeaderText" w:val=" "/>
    <w:docVar w:name="InitialTemplateVersion" w:val="6.9"/>
    <w:docVar w:name="InsideTitlePage" w:val="False"/>
    <w:docVar w:name="TitlePage" w:val="True"/>
  </w:docVars>
  <w:rsids>
    <w:rsidRoot w:val="00660C9C"/>
    <w:rsid w:val="00000C93"/>
    <w:rsid w:val="00005A26"/>
    <w:rsid w:val="0000759E"/>
    <w:rsid w:val="00011AAB"/>
    <w:rsid w:val="000142F4"/>
    <w:rsid w:val="000167D6"/>
    <w:rsid w:val="00022B36"/>
    <w:rsid w:val="00024986"/>
    <w:rsid w:val="00026E16"/>
    <w:rsid w:val="000576DF"/>
    <w:rsid w:val="00066A93"/>
    <w:rsid w:val="00070C78"/>
    <w:rsid w:val="000715F8"/>
    <w:rsid w:val="000770C0"/>
    <w:rsid w:val="00083B20"/>
    <w:rsid w:val="0008717B"/>
    <w:rsid w:val="00091F04"/>
    <w:rsid w:val="0009599B"/>
    <w:rsid w:val="00095BA6"/>
    <w:rsid w:val="0009675F"/>
    <w:rsid w:val="000A35C8"/>
    <w:rsid w:val="000A5F31"/>
    <w:rsid w:val="000A76DA"/>
    <w:rsid w:val="000B14B1"/>
    <w:rsid w:val="000B24D3"/>
    <w:rsid w:val="000B33DE"/>
    <w:rsid w:val="000B7B34"/>
    <w:rsid w:val="000C43B2"/>
    <w:rsid w:val="000C4B0C"/>
    <w:rsid w:val="000D354F"/>
    <w:rsid w:val="000E1441"/>
    <w:rsid w:val="000E2B5C"/>
    <w:rsid w:val="000E5D1E"/>
    <w:rsid w:val="000F2DA6"/>
    <w:rsid w:val="000F7B8B"/>
    <w:rsid w:val="000F7EC6"/>
    <w:rsid w:val="00103E28"/>
    <w:rsid w:val="0011071D"/>
    <w:rsid w:val="00111107"/>
    <w:rsid w:val="001114E8"/>
    <w:rsid w:val="00123D34"/>
    <w:rsid w:val="00124BD0"/>
    <w:rsid w:val="00130939"/>
    <w:rsid w:val="001358F5"/>
    <w:rsid w:val="00136425"/>
    <w:rsid w:val="001368FE"/>
    <w:rsid w:val="00140B79"/>
    <w:rsid w:val="00141A81"/>
    <w:rsid w:val="00141AD4"/>
    <w:rsid w:val="00147D47"/>
    <w:rsid w:val="00151369"/>
    <w:rsid w:val="00151F29"/>
    <w:rsid w:val="001578B7"/>
    <w:rsid w:val="001648BF"/>
    <w:rsid w:val="00165091"/>
    <w:rsid w:val="00165CAF"/>
    <w:rsid w:val="00171F24"/>
    <w:rsid w:val="00172115"/>
    <w:rsid w:val="001736E1"/>
    <w:rsid w:val="00174800"/>
    <w:rsid w:val="0017652E"/>
    <w:rsid w:val="00182166"/>
    <w:rsid w:val="001851C5"/>
    <w:rsid w:val="00185721"/>
    <w:rsid w:val="001858FD"/>
    <w:rsid w:val="001869F6"/>
    <w:rsid w:val="00192D1A"/>
    <w:rsid w:val="001943AC"/>
    <w:rsid w:val="001B1C20"/>
    <w:rsid w:val="001B1F0E"/>
    <w:rsid w:val="001B2443"/>
    <w:rsid w:val="001B2612"/>
    <w:rsid w:val="001B5108"/>
    <w:rsid w:val="001B6F36"/>
    <w:rsid w:val="001B7D1E"/>
    <w:rsid w:val="001C24D0"/>
    <w:rsid w:val="001C4E00"/>
    <w:rsid w:val="001C5F8E"/>
    <w:rsid w:val="001C7BA9"/>
    <w:rsid w:val="001D4A64"/>
    <w:rsid w:val="001D4ADD"/>
    <w:rsid w:val="001D69D3"/>
    <w:rsid w:val="001D7DF0"/>
    <w:rsid w:val="001E33FA"/>
    <w:rsid w:val="001E4ED8"/>
    <w:rsid w:val="001E51AE"/>
    <w:rsid w:val="001E6E8A"/>
    <w:rsid w:val="001F133B"/>
    <w:rsid w:val="001F211C"/>
    <w:rsid w:val="002023E5"/>
    <w:rsid w:val="00203D5C"/>
    <w:rsid w:val="00204C13"/>
    <w:rsid w:val="00206851"/>
    <w:rsid w:val="00207D44"/>
    <w:rsid w:val="00211076"/>
    <w:rsid w:val="002119DF"/>
    <w:rsid w:val="00212962"/>
    <w:rsid w:val="00213D1A"/>
    <w:rsid w:val="0021594A"/>
    <w:rsid w:val="00215DFA"/>
    <w:rsid w:val="00216E5C"/>
    <w:rsid w:val="002179F1"/>
    <w:rsid w:val="002218E7"/>
    <w:rsid w:val="002248F3"/>
    <w:rsid w:val="00227858"/>
    <w:rsid w:val="00230DE9"/>
    <w:rsid w:val="00234128"/>
    <w:rsid w:val="0024644F"/>
    <w:rsid w:val="0024796D"/>
    <w:rsid w:val="00250907"/>
    <w:rsid w:val="00255570"/>
    <w:rsid w:val="00256B5A"/>
    <w:rsid w:val="00256BC8"/>
    <w:rsid w:val="00263351"/>
    <w:rsid w:val="00264A31"/>
    <w:rsid w:val="002675FB"/>
    <w:rsid w:val="00273225"/>
    <w:rsid w:val="00281FA6"/>
    <w:rsid w:val="00282C0E"/>
    <w:rsid w:val="00292A18"/>
    <w:rsid w:val="00292C2B"/>
    <w:rsid w:val="002A476C"/>
    <w:rsid w:val="002A4F65"/>
    <w:rsid w:val="002B0C2C"/>
    <w:rsid w:val="002B15D4"/>
    <w:rsid w:val="002B29C2"/>
    <w:rsid w:val="002B3B7F"/>
    <w:rsid w:val="002B56FB"/>
    <w:rsid w:val="002B7716"/>
    <w:rsid w:val="002C44BC"/>
    <w:rsid w:val="002C4B6F"/>
    <w:rsid w:val="002E0212"/>
    <w:rsid w:val="002E5F2F"/>
    <w:rsid w:val="002F66D0"/>
    <w:rsid w:val="0030062C"/>
    <w:rsid w:val="00303262"/>
    <w:rsid w:val="0030346B"/>
    <w:rsid w:val="00306292"/>
    <w:rsid w:val="0031065A"/>
    <w:rsid w:val="003114F4"/>
    <w:rsid w:val="003150A0"/>
    <w:rsid w:val="0032006A"/>
    <w:rsid w:val="00323685"/>
    <w:rsid w:val="0032396D"/>
    <w:rsid w:val="00323E73"/>
    <w:rsid w:val="0033791B"/>
    <w:rsid w:val="0034310E"/>
    <w:rsid w:val="00343EA0"/>
    <w:rsid w:val="003477AD"/>
    <w:rsid w:val="003503D4"/>
    <w:rsid w:val="00350C79"/>
    <w:rsid w:val="00351252"/>
    <w:rsid w:val="00354098"/>
    <w:rsid w:val="00355A89"/>
    <w:rsid w:val="00356674"/>
    <w:rsid w:val="00360915"/>
    <w:rsid w:val="003615B0"/>
    <w:rsid w:val="00361A03"/>
    <w:rsid w:val="00364C19"/>
    <w:rsid w:val="00370C6A"/>
    <w:rsid w:val="003733D6"/>
    <w:rsid w:val="00374E53"/>
    <w:rsid w:val="003760DC"/>
    <w:rsid w:val="003777D6"/>
    <w:rsid w:val="00381826"/>
    <w:rsid w:val="003835CE"/>
    <w:rsid w:val="00383825"/>
    <w:rsid w:val="00384D14"/>
    <w:rsid w:val="00391BEC"/>
    <w:rsid w:val="003935CF"/>
    <w:rsid w:val="003A00E0"/>
    <w:rsid w:val="003A262C"/>
    <w:rsid w:val="003A4FC4"/>
    <w:rsid w:val="003A73A2"/>
    <w:rsid w:val="003C020A"/>
    <w:rsid w:val="003C04D7"/>
    <w:rsid w:val="003C1601"/>
    <w:rsid w:val="003C25EE"/>
    <w:rsid w:val="003D0514"/>
    <w:rsid w:val="003D2272"/>
    <w:rsid w:val="003D6EBF"/>
    <w:rsid w:val="003E0489"/>
    <w:rsid w:val="003E1E5C"/>
    <w:rsid w:val="003E2615"/>
    <w:rsid w:val="003E4AED"/>
    <w:rsid w:val="003E4B0D"/>
    <w:rsid w:val="003E58A8"/>
    <w:rsid w:val="003F2BEF"/>
    <w:rsid w:val="003F388F"/>
    <w:rsid w:val="003F5007"/>
    <w:rsid w:val="00401698"/>
    <w:rsid w:val="00401E38"/>
    <w:rsid w:val="00404FE4"/>
    <w:rsid w:val="0040659B"/>
    <w:rsid w:val="00410549"/>
    <w:rsid w:val="00410F10"/>
    <w:rsid w:val="00411678"/>
    <w:rsid w:val="004148E4"/>
    <w:rsid w:val="00417E8C"/>
    <w:rsid w:val="00427B8C"/>
    <w:rsid w:val="00430C1F"/>
    <w:rsid w:val="0044073E"/>
    <w:rsid w:val="00441196"/>
    <w:rsid w:val="004478B6"/>
    <w:rsid w:val="004479CE"/>
    <w:rsid w:val="00450CC9"/>
    <w:rsid w:val="00452136"/>
    <w:rsid w:val="004544C4"/>
    <w:rsid w:val="00455360"/>
    <w:rsid w:val="00455B40"/>
    <w:rsid w:val="00455F70"/>
    <w:rsid w:val="00457F5F"/>
    <w:rsid w:val="00464E05"/>
    <w:rsid w:val="00464ED6"/>
    <w:rsid w:val="00471B02"/>
    <w:rsid w:val="0047207A"/>
    <w:rsid w:val="004746CE"/>
    <w:rsid w:val="00482F4C"/>
    <w:rsid w:val="004911E8"/>
    <w:rsid w:val="0049253A"/>
    <w:rsid w:val="00492BA9"/>
    <w:rsid w:val="00494045"/>
    <w:rsid w:val="00495771"/>
    <w:rsid w:val="00497505"/>
    <w:rsid w:val="00497E94"/>
    <w:rsid w:val="004A1645"/>
    <w:rsid w:val="004A2CB9"/>
    <w:rsid w:val="004B42EF"/>
    <w:rsid w:val="004B437B"/>
    <w:rsid w:val="004B45D1"/>
    <w:rsid w:val="004B7144"/>
    <w:rsid w:val="004B7371"/>
    <w:rsid w:val="004C1F41"/>
    <w:rsid w:val="004C4BFC"/>
    <w:rsid w:val="004C5D38"/>
    <w:rsid w:val="004E7FCA"/>
    <w:rsid w:val="004F5174"/>
    <w:rsid w:val="004F696D"/>
    <w:rsid w:val="004F6A81"/>
    <w:rsid w:val="005001BC"/>
    <w:rsid w:val="0050054A"/>
    <w:rsid w:val="00500DCF"/>
    <w:rsid w:val="0050177B"/>
    <w:rsid w:val="0050437E"/>
    <w:rsid w:val="00512A89"/>
    <w:rsid w:val="00525433"/>
    <w:rsid w:val="005256EB"/>
    <w:rsid w:val="0052581F"/>
    <w:rsid w:val="00526AAE"/>
    <w:rsid w:val="0052766B"/>
    <w:rsid w:val="00532B21"/>
    <w:rsid w:val="005406E3"/>
    <w:rsid w:val="00541215"/>
    <w:rsid w:val="005423F1"/>
    <w:rsid w:val="005452A8"/>
    <w:rsid w:val="005462AE"/>
    <w:rsid w:val="00547C20"/>
    <w:rsid w:val="00552FDC"/>
    <w:rsid w:val="00561B22"/>
    <w:rsid w:val="0057033C"/>
    <w:rsid w:val="00571D3A"/>
    <w:rsid w:val="00577C28"/>
    <w:rsid w:val="005860AC"/>
    <w:rsid w:val="00593AAF"/>
    <w:rsid w:val="00593CD2"/>
    <w:rsid w:val="005A21E6"/>
    <w:rsid w:val="005A74CD"/>
    <w:rsid w:val="005B10E4"/>
    <w:rsid w:val="005B5B2C"/>
    <w:rsid w:val="005C09F2"/>
    <w:rsid w:val="005C13C9"/>
    <w:rsid w:val="005C219F"/>
    <w:rsid w:val="005C3B69"/>
    <w:rsid w:val="005D1643"/>
    <w:rsid w:val="005D3292"/>
    <w:rsid w:val="005E2D29"/>
    <w:rsid w:val="005E5044"/>
    <w:rsid w:val="005E516B"/>
    <w:rsid w:val="005F0456"/>
    <w:rsid w:val="005F359B"/>
    <w:rsid w:val="005F74B7"/>
    <w:rsid w:val="00602884"/>
    <w:rsid w:val="00604B45"/>
    <w:rsid w:val="00606D1D"/>
    <w:rsid w:val="006231F6"/>
    <w:rsid w:val="006378F1"/>
    <w:rsid w:val="00642993"/>
    <w:rsid w:val="00645801"/>
    <w:rsid w:val="006473DC"/>
    <w:rsid w:val="00654DF3"/>
    <w:rsid w:val="00656054"/>
    <w:rsid w:val="00660C9C"/>
    <w:rsid w:val="006641C5"/>
    <w:rsid w:val="00664F15"/>
    <w:rsid w:val="00666378"/>
    <w:rsid w:val="00667E05"/>
    <w:rsid w:val="00672BC3"/>
    <w:rsid w:val="006736FD"/>
    <w:rsid w:val="0067423C"/>
    <w:rsid w:val="006761D7"/>
    <w:rsid w:val="006813B2"/>
    <w:rsid w:val="00683F2D"/>
    <w:rsid w:val="00693BA0"/>
    <w:rsid w:val="00696F67"/>
    <w:rsid w:val="006A2179"/>
    <w:rsid w:val="006A3C94"/>
    <w:rsid w:val="006A577B"/>
    <w:rsid w:val="006A6862"/>
    <w:rsid w:val="006A7D56"/>
    <w:rsid w:val="006B0413"/>
    <w:rsid w:val="006B055A"/>
    <w:rsid w:val="006B7A1F"/>
    <w:rsid w:val="006D239B"/>
    <w:rsid w:val="006D24E8"/>
    <w:rsid w:val="006D74C3"/>
    <w:rsid w:val="006D75C3"/>
    <w:rsid w:val="006D79FA"/>
    <w:rsid w:val="006D7D19"/>
    <w:rsid w:val="006E0930"/>
    <w:rsid w:val="006E132C"/>
    <w:rsid w:val="006E1446"/>
    <w:rsid w:val="006E187B"/>
    <w:rsid w:val="006E19C3"/>
    <w:rsid w:val="006E2356"/>
    <w:rsid w:val="006E2A43"/>
    <w:rsid w:val="006E306D"/>
    <w:rsid w:val="006E3373"/>
    <w:rsid w:val="006E4FF5"/>
    <w:rsid w:val="006F11BC"/>
    <w:rsid w:val="006F5998"/>
    <w:rsid w:val="006F7AA0"/>
    <w:rsid w:val="006F7CF1"/>
    <w:rsid w:val="007008D2"/>
    <w:rsid w:val="00700E15"/>
    <w:rsid w:val="00710CD3"/>
    <w:rsid w:val="00712B1D"/>
    <w:rsid w:val="00714D98"/>
    <w:rsid w:val="007253EB"/>
    <w:rsid w:val="00726D9E"/>
    <w:rsid w:val="007301D5"/>
    <w:rsid w:val="007317A6"/>
    <w:rsid w:val="007342DE"/>
    <w:rsid w:val="007353F1"/>
    <w:rsid w:val="007358C8"/>
    <w:rsid w:val="007364F4"/>
    <w:rsid w:val="00740B76"/>
    <w:rsid w:val="0074120F"/>
    <w:rsid w:val="007503EB"/>
    <w:rsid w:val="00757801"/>
    <w:rsid w:val="007579EF"/>
    <w:rsid w:val="00760383"/>
    <w:rsid w:val="0076372F"/>
    <w:rsid w:val="007709DF"/>
    <w:rsid w:val="00771703"/>
    <w:rsid w:val="0077194F"/>
    <w:rsid w:val="007759BC"/>
    <w:rsid w:val="007811BF"/>
    <w:rsid w:val="00783050"/>
    <w:rsid w:val="00790FF3"/>
    <w:rsid w:val="00792D31"/>
    <w:rsid w:val="007940B1"/>
    <w:rsid w:val="007A3C01"/>
    <w:rsid w:val="007A4F61"/>
    <w:rsid w:val="007A5E42"/>
    <w:rsid w:val="007A5FFA"/>
    <w:rsid w:val="007B4457"/>
    <w:rsid w:val="007B47FB"/>
    <w:rsid w:val="007B633F"/>
    <w:rsid w:val="007C0B53"/>
    <w:rsid w:val="007C5C91"/>
    <w:rsid w:val="007E10DF"/>
    <w:rsid w:val="007E2584"/>
    <w:rsid w:val="007E2E3F"/>
    <w:rsid w:val="007F2332"/>
    <w:rsid w:val="007F2EA6"/>
    <w:rsid w:val="007F3870"/>
    <w:rsid w:val="007F571C"/>
    <w:rsid w:val="007F5CF6"/>
    <w:rsid w:val="007F5EEF"/>
    <w:rsid w:val="008016B1"/>
    <w:rsid w:val="0080748C"/>
    <w:rsid w:val="00814231"/>
    <w:rsid w:val="0081612E"/>
    <w:rsid w:val="00820F49"/>
    <w:rsid w:val="008306C1"/>
    <w:rsid w:val="00830E59"/>
    <w:rsid w:val="0083380D"/>
    <w:rsid w:val="008379EE"/>
    <w:rsid w:val="0084051B"/>
    <w:rsid w:val="00841B83"/>
    <w:rsid w:val="00844A98"/>
    <w:rsid w:val="00844B2C"/>
    <w:rsid w:val="0084572E"/>
    <w:rsid w:val="00847FCF"/>
    <w:rsid w:val="008510B2"/>
    <w:rsid w:val="00852752"/>
    <w:rsid w:val="0085593C"/>
    <w:rsid w:val="00855AFA"/>
    <w:rsid w:val="00855CEB"/>
    <w:rsid w:val="008563EE"/>
    <w:rsid w:val="0085750C"/>
    <w:rsid w:val="00864D4F"/>
    <w:rsid w:val="008707A4"/>
    <w:rsid w:val="00871FF1"/>
    <w:rsid w:val="00873695"/>
    <w:rsid w:val="008743B1"/>
    <w:rsid w:val="008826C2"/>
    <w:rsid w:val="008842E3"/>
    <w:rsid w:val="00885560"/>
    <w:rsid w:val="00885E67"/>
    <w:rsid w:val="00891503"/>
    <w:rsid w:val="008A7BF2"/>
    <w:rsid w:val="008B17AA"/>
    <w:rsid w:val="008B433C"/>
    <w:rsid w:val="008B724F"/>
    <w:rsid w:val="008B7B66"/>
    <w:rsid w:val="008C2FC2"/>
    <w:rsid w:val="008C4AB2"/>
    <w:rsid w:val="008C51A1"/>
    <w:rsid w:val="008C69F4"/>
    <w:rsid w:val="008D1672"/>
    <w:rsid w:val="008D2DA9"/>
    <w:rsid w:val="008D6B32"/>
    <w:rsid w:val="008D6CD8"/>
    <w:rsid w:val="008D7A2B"/>
    <w:rsid w:val="008E20F7"/>
    <w:rsid w:val="008E4380"/>
    <w:rsid w:val="008F1866"/>
    <w:rsid w:val="00901152"/>
    <w:rsid w:val="0091174D"/>
    <w:rsid w:val="00913F0D"/>
    <w:rsid w:val="00915F44"/>
    <w:rsid w:val="009200DD"/>
    <w:rsid w:val="00920460"/>
    <w:rsid w:val="00920BEA"/>
    <w:rsid w:val="00922A7F"/>
    <w:rsid w:val="00925F37"/>
    <w:rsid w:val="00926A9D"/>
    <w:rsid w:val="00931913"/>
    <w:rsid w:val="009370BE"/>
    <w:rsid w:val="0094009F"/>
    <w:rsid w:val="009414E1"/>
    <w:rsid w:val="00944FBE"/>
    <w:rsid w:val="00954E09"/>
    <w:rsid w:val="00955076"/>
    <w:rsid w:val="0095597A"/>
    <w:rsid w:val="00955F4F"/>
    <w:rsid w:val="00956B5F"/>
    <w:rsid w:val="00957824"/>
    <w:rsid w:val="00960DEA"/>
    <w:rsid w:val="00960EC3"/>
    <w:rsid w:val="00963671"/>
    <w:rsid w:val="00964013"/>
    <w:rsid w:val="009644DD"/>
    <w:rsid w:val="009718E1"/>
    <w:rsid w:val="00972D9E"/>
    <w:rsid w:val="00991455"/>
    <w:rsid w:val="00991E50"/>
    <w:rsid w:val="00991EA0"/>
    <w:rsid w:val="00993A29"/>
    <w:rsid w:val="00996088"/>
    <w:rsid w:val="009A072C"/>
    <w:rsid w:val="009A1256"/>
    <w:rsid w:val="009A1AE0"/>
    <w:rsid w:val="009A75D7"/>
    <w:rsid w:val="009B1E14"/>
    <w:rsid w:val="009B57E5"/>
    <w:rsid w:val="009B660B"/>
    <w:rsid w:val="009B688F"/>
    <w:rsid w:val="009C1DC5"/>
    <w:rsid w:val="009C24B4"/>
    <w:rsid w:val="009C3999"/>
    <w:rsid w:val="009C7C02"/>
    <w:rsid w:val="009D4BB0"/>
    <w:rsid w:val="009D706B"/>
    <w:rsid w:val="009D7497"/>
    <w:rsid w:val="009E57EF"/>
    <w:rsid w:val="009F0478"/>
    <w:rsid w:val="009F3599"/>
    <w:rsid w:val="009F3764"/>
    <w:rsid w:val="009F5875"/>
    <w:rsid w:val="009F7003"/>
    <w:rsid w:val="009F75F8"/>
    <w:rsid w:val="00A0040C"/>
    <w:rsid w:val="00A009FA"/>
    <w:rsid w:val="00A103C5"/>
    <w:rsid w:val="00A11851"/>
    <w:rsid w:val="00A1210C"/>
    <w:rsid w:val="00A133AB"/>
    <w:rsid w:val="00A17BF9"/>
    <w:rsid w:val="00A21150"/>
    <w:rsid w:val="00A212F2"/>
    <w:rsid w:val="00A2209A"/>
    <w:rsid w:val="00A25DBD"/>
    <w:rsid w:val="00A26555"/>
    <w:rsid w:val="00A2730E"/>
    <w:rsid w:val="00A33A56"/>
    <w:rsid w:val="00A33BEE"/>
    <w:rsid w:val="00A35597"/>
    <w:rsid w:val="00A405B1"/>
    <w:rsid w:val="00A41C86"/>
    <w:rsid w:val="00A4330C"/>
    <w:rsid w:val="00A43447"/>
    <w:rsid w:val="00A43A70"/>
    <w:rsid w:val="00A46769"/>
    <w:rsid w:val="00A50A41"/>
    <w:rsid w:val="00A50FF4"/>
    <w:rsid w:val="00A558FC"/>
    <w:rsid w:val="00A57BA4"/>
    <w:rsid w:val="00A60B9E"/>
    <w:rsid w:val="00A616B8"/>
    <w:rsid w:val="00A619B0"/>
    <w:rsid w:val="00A653C8"/>
    <w:rsid w:val="00A65659"/>
    <w:rsid w:val="00A71C20"/>
    <w:rsid w:val="00A7250A"/>
    <w:rsid w:val="00A72953"/>
    <w:rsid w:val="00A81548"/>
    <w:rsid w:val="00A8190C"/>
    <w:rsid w:val="00A83C81"/>
    <w:rsid w:val="00A83C8A"/>
    <w:rsid w:val="00A86B74"/>
    <w:rsid w:val="00A877B5"/>
    <w:rsid w:val="00A94F1B"/>
    <w:rsid w:val="00A9657B"/>
    <w:rsid w:val="00A96834"/>
    <w:rsid w:val="00A970A6"/>
    <w:rsid w:val="00AA0198"/>
    <w:rsid w:val="00AA0296"/>
    <w:rsid w:val="00AA4089"/>
    <w:rsid w:val="00AA63C9"/>
    <w:rsid w:val="00AA7264"/>
    <w:rsid w:val="00AB02BF"/>
    <w:rsid w:val="00AB6BC1"/>
    <w:rsid w:val="00AB7D8A"/>
    <w:rsid w:val="00AC7914"/>
    <w:rsid w:val="00AC7A98"/>
    <w:rsid w:val="00AD0752"/>
    <w:rsid w:val="00AD53A7"/>
    <w:rsid w:val="00AD5A0F"/>
    <w:rsid w:val="00AE0928"/>
    <w:rsid w:val="00AE177B"/>
    <w:rsid w:val="00AE74EA"/>
    <w:rsid w:val="00AF2FCB"/>
    <w:rsid w:val="00AF6149"/>
    <w:rsid w:val="00B00021"/>
    <w:rsid w:val="00B00985"/>
    <w:rsid w:val="00B0683A"/>
    <w:rsid w:val="00B10C7F"/>
    <w:rsid w:val="00B13DF3"/>
    <w:rsid w:val="00B15277"/>
    <w:rsid w:val="00B15322"/>
    <w:rsid w:val="00B175B9"/>
    <w:rsid w:val="00B2433E"/>
    <w:rsid w:val="00B253F8"/>
    <w:rsid w:val="00B3016F"/>
    <w:rsid w:val="00B31AB8"/>
    <w:rsid w:val="00B32710"/>
    <w:rsid w:val="00B327E7"/>
    <w:rsid w:val="00B335BD"/>
    <w:rsid w:val="00B33D44"/>
    <w:rsid w:val="00B343CB"/>
    <w:rsid w:val="00B35B0A"/>
    <w:rsid w:val="00B3604F"/>
    <w:rsid w:val="00B3705C"/>
    <w:rsid w:val="00B511B8"/>
    <w:rsid w:val="00B53B30"/>
    <w:rsid w:val="00B53E0A"/>
    <w:rsid w:val="00B6090D"/>
    <w:rsid w:val="00B617DE"/>
    <w:rsid w:val="00B61E9C"/>
    <w:rsid w:val="00B6594E"/>
    <w:rsid w:val="00B67513"/>
    <w:rsid w:val="00B67E25"/>
    <w:rsid w:val="00B92142"/>
    <w:rsid w:val="00B93831"/>
    <w:rsid w:val="00B94CCE"/>
    <w:rsid w:val="00B96BB6"/>
    <w:rsid w:val="00BA0B53"/>
    <w:rsid w:val="00BA1FC3"/>
    <w:rsid w:val="00BA2854"/>
    <w:rsid w:val="00BA3657"/>
    <w:rsid w:val="00BB1610"/>
    <w:rsid w:val="00BB2E33"/>
    <w:rsid w:val="00BB76EA"/>
    <w:rsid w:val="00BC45DA"/>
    <w:rsid w:val="00BC5830"/>
    <w:rsid w:val="00BC79CC"/>
    <w:rsid w:val="00BC7F0C"/>
    <w:rsid w:val="00BD01CC"/>
    <w:rsid w:val="00BD3627"/>
    <w:rsid w:val="00BD5FEA"/>
    <w:rsid w:val="00BD622D"/>
    <w:rsid w:val="00BD7CFE"/>
    <w:rsid w:val="00BE3023"/>
    <w:rsid w:val="00BE3FD4"/>
    <w:rsid w:val="00BE4B9C"/>
    <w:rsid w:val="00BE70C8"/>
    <w:rsid w:val="00BE7AC3"/>
    <w:rsid w:val="00BF02A8"/>
    <w:rsid w:val="00BF1F16"/>
    <w:rsid w:val="00BF2AEB"/>
    <w:rsid w:val="00BF361E"/>
    <w:rsid w:val="00BF5027"/>
    <w:rsid w:val="00C0140F"/>
    <w:rsid w:val="00C018EC"/>
    <w:rsid w:val="00C0486A"/>
    <w:rsid w:val="00C0584E"/>
    <w:rsid w:val="00C06832"/>
    <w:rsid w:val="00C06A4D"/>
    <w:rsid w:val="00C1097E"/>
    <w:rsid w:val="00C143CC"/>
    <w:rsid w:val="00C1649C"/>
    <w:rsid w:val="00C20887"/>
    <w:rsid w:val="00C219D4"/>
    <w:rsid w:val="00C24A78"/>
    <w:rsid w:val="00C27DE7"/>
    <w:rsid w:val="00C3336B"/>
    <w:rsid w:val="00C35FCF"/>
    <w:rsid w:val="00C40299"/>
    <w:rsid w:val="00C41137"/>
    <w:rsid w:val="00C427BB"/>
    <w:rsid w:val="00C47CDB"/>
    <w:rsid w:val="00C501A4"/>
    <w:rsid w:val="00C510E9"/>
    <w:rsid w:val="00C618D1"/>
    <w:rsid w:val="00C64421"/>
    <w:rsid w:val="00C72142"/>
    <w:rsid w:val="00C7550C"/>
    <w:rsid w:val="00C76230"/>
    <w:rsid w:val="00C852CB"/>
    <w:rsid w:val="00C87D7D"/>
    <w:rsid w:val="00C95BCB"/>
    <w:rsid w:val="00C95D16"/>
    <w:rsid w:val="00C96FBE"/>
    <w:rsid w:val="00C97199"/>
    <w:rsid w:val="00C97660"/>
    <w:rsid w:val="00CA57BD"/>
    <w:rsid w:val="00CB1281"/>
    <w:rsid w:val="00CB19B0"/>
    <w:rsid w:val="00CB3DCB"/>
    <w:rsid w:val="00CC002C"/>
    <w:rsid w:val="00CC2A89"/>
    <w:rsid w:val="00CC6760"/>
    <w:rsid w:val="00CD45A4"/>
    <w:rsid w:val="00CE548F"/>
    <w:rsid w:val="00CE5D13"/>
    <w:rsid w:val="00CF24A1"/>
    <w:rsid w:val="00CF24CB"/>
    <w:rsid w:val="00CF6BC1"/>
    <w:rsid w:val="00CF7F6E"/>
    <w:rsid w:val="00D039DB"/>
    <w:rsid w:val="00D03EC0"/>
    <w:rsid w:val="00D05848"/>
    <w:rsid w:val="00D06733"/>
    <w:rsid w:val="00D10000"/>
    <w:rsid w:val="00D10A0B"/>
    <w:rsid w:val="00D10C1D"/>
    <w:rsid w:val="00D1188F"/>
    <w:rsid w:val="00D13046"/>
    <w:rsid w:val="00D134FA"/>
    <w:rsid w:val="00D17D9A"/>
    <w:rsid w:val="00D17DB7"/>
    <w:rsid w:val="00D20A54"/>
    <w:rsid w:val="00D212F3"/>
    <w:rsid w:val="00D238C4"/>
    <w:rsid w:val="00D24E49"/>
    <w:rsid w:val="00D27A8F"/>
    <w:rsid w:val="00D303C2"/>
    <w:rsid w:val="00D35DB2"/>
    <w:rsid w:val="00D37780"/>
    <w:rsid w:val="00D40D91"/>
    <w:rsid w:val="00D41F7E"/>
    <w:rsid w:val="00D41FDF"/>
    <w:rsid w:val="00D46694"/>
    <w:rsid w:val="00D46741"/>
    <w:rsid w:val="00D46D41"/>
    <w:rsid w:val="00D51AA0"/>
    <w:rsid w:val="00D52D08"/>
    <w:rsid w:val="00D54094"/>
    <w:rsid w:val="00D5779A"/>
    <w:rsid w:val="00D626C2"/>
    <w:rsid w:val="00D63DA4"/>
    <w:rsid w:val="00D64982"/>
    <w:rsid w:val="00D652F9"/>
    <w:rsid w:val="00D65937"/>
    <w:rsid w:val="00D72F57"/>
    <w:rsid w:val="00D75C87"/>
    <w:rsid w:val="00D76235"/>
    <w:rsid w:val="00D802C4"/>
    <w:rsid w:val="00D8062D"/>
    <w:rsid w:val="00D81F02"/>
    <w:rsid w:val="00D82A32"/>
    <w:rsid w:val="00D86C8A"/>
    <w:rsid w:val="00D91CE8"/>
    <w:rsid w:val="00D94659"/>
    <w:rsid w:val="00D95D49"/>
    <w:rsid w:val="00D97692"/>
    <w:rsid w:val="00DA2657"/>
    <w:rsid w:val="00DB2DB7"/>
    <w:rsid w:val="00DC03DD"/>
    <w:rsid w:val="00DD05B7"/>
    <w:rsid w:val="00DD3C25"/>
    <w:rsid w:val="00DD4557"/>
    <w:rsid w:val="00DD4A3B"/>
    <w:rsid w:val="00DD4E16"/>
    <w:rsid w:val="00DD59C7"/>
    <w:rsid w:val="00DD78CE"/>
    <w:rsid w:val="00DE2645"/>
    <w:rsid w:val="00DF0317"/>
    <w:rsid w:val="00DF25C3"/>
    <w:rsid w:val="00DF4124"/>
    <w:rsid w:val="00DF6955"/>
    <w:rsid w:val="00E0005C"/>
    <w:rsid w:val="00E0486E"/>
    <w:rsid w:val="00E052AF"/>
    <w:rsid w:val="00E07DCC"/>
    <w:rsid w:val="00E15305"/>
    <w:rsid w:val="00E203C2"/>
    <w:rsid w:val="00E20823"/>
    <w:rsid w:val="00E2523D"/>
    <w:rsid w:val="00E316D9"/>
    <w:rsid w:val="00E348DD"/>
    <w:rsid w:val="00E36758"/>
    <w:rsid w:val="00E45E79"/>
    <w:rsid w:val="00E47244"/>
    <w:rsid w:val="00E47752"/>
    <w:rsid w:val="00E541CB"/>
    <w:rsid w:val="00E54DBD"/>
    <w:rsid w:val="00E56AF1"/>
    <w:rsid w:val="00E57C7F"/>
    <w:rsid w:val="00E61B68"/>
    <w:rsid w:val="00E66FC5"/>
    <w:rsid w:val="00E67EC9"/>
    <w:rsid w:val="00E70FE0"/>
    <w:rsid w:val="00E7205A"/>
    <w:rsid w:val="00E741E6"/>
    <w:rsid w:val="00E75958"/>
    <w:rsid w:val="00E770F8"/>
    <w:rsid w:val="00E80AEF"/>
    <w:rsid w:val="00E823A8"/>
    <w:rsid w:val="00E917AF"/>
    <w:rsid w:val="00E95895"/>
    <w:rsid w:val="00E95ECD"/>
    <w:rsid w:val="00EA5625"/>
    <w:rsid w:val="00EA7956"/>
    <w:rsid w:val="00EB024A"/>
    <w:rsid w:val="00EB2E32"/>
    <w:rsid w:val="00EB37D7"/>
    <w:rsid w:val="00EC18C4"/>
    <w:rsid w:val="00EC5A6D"/>
    <w:rsid w:val="00EC7B7F"/>
    <w:rsid w:val="00ED0340"/>
    <w:rsid w:val="00ED1983"/>
    <w:rsid w:val="00ED352A"/>
    <w:rsid w:val="00EF551D"/>
    <w:rsid w:val="00EF601A"/>
    <w:rsid w:val="00EF7B4E"/>
    <w:rsid w:val="00F02969"/>
    <w:rsid w:val="00F02B14"/>
    <w:rsid w:val="00F0405B"/>
    <w:rsid w:val="00F1014E"/>
    <w:rsid w:val="00F12D35"/>
    <w:rsid w:val="00F148E6"/>
    <w:rsid w:val="00F16EA3"/>
    <w:rsid w:val="00F2167E"/>
    <w:rsid w:val="00F22871"/>
    <w:rsid w:val="00F23AA1"/>
    <w:rsid w:val="00F321B4"/>
    <w:rsid w:val="00F36D83"/>
    <w:rsid w:val="00F45C58"/>
    <w:rsid w:val="00F46954"/>
    <w:rsid w:val="00F5083A"/>
    <w:rsid w:val="00F511E5"/>
    <w:rsid w:val="00F53912"/>
    <w:rsid w:val="00F54CEA"/>
    <w:rsid w:val="00F57564"/>
    <w:rsid w:val="00F60499"/>
    <w:rsid w:val="00F621F8"/>
    <w:rsid w:val="00F63D64"/>
    <w:rsid w:val="00F675DE"/>
    <w:rsid w:val="00F70110"/>
    <w:rsid w:val="00F739E0"/>
    <w:rsid w:val="00F74ED8"/>
    <w:rsid w:val="00F864C4"/>
    <w:rsid w:val="00F93B6A"/>
    <w:rsid w:val="00F93EBE"/>
    <w:rsid w:val="00F971ED"/>
    <w:rsid w:val="00FA0F4A"/>
    <w:rsid w:val="00FA1535"/>
    <w:rsid w:val="00FA1FFF"/>
    <w:rsid w:val="00FA6FA2"/>
    <w:rsid w:val="00FB0DB0"/>
    <w:rsid w:val="00FB7417"/>
    <w:rsid w:val="00FB74DE"/>
    <w:rsid w:val="00FC1E10"/>
    <w:rsid w:val="00FC7DE1"/>
    <w:rsid w:val="00FD1176"/>
    <w:rsid w:val="00FD3E10"/>
    <w:rsid w:val="00FD7C7E"/>
    <w:rsid w:val="00FE09F7"/>
    <w:rsid w:val="00FE34E9"/>
    <w:rsid w:val="00FE405C"/>
    <w:rsid w:val="00FE5667"/>
    <w:rsid w:val="00FE6BAF"/>
    <w:rsid w:val="00FF01EB"/>
    <w:rsid w:val="00FF0610"/>
    <w:rsid w:val="00FF06D9"/>
    <w:rsid w:val="00FF1211"/>
    <w:rsid w:val="00FF301A"/>
    <w:rsid w:val="00FF3242"/>
    <w:rsid w:val="00FF6DD5"/>
    <w:rsid w:val="00FF79A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4057EF66"/>
  <w15:docId w15:val="{6248C639-8DAC-447F-96AE-6A6FAF971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ar-SA"/>
      </w:rPr>
    </w:rPrDefault>
    <w:pPrDefault/>
  </w:docDefaults>
  <w:latentStyles w:defLockedState="0" w:defUIPriority="2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9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nhideWhenUsed="1"/>
    <w:lsdException w:name="List Number 2" w:semiHidden="1" w:unhideWhenUsed="1"/>
    <w:lsdException w:name="List Number 3" w:semiHidden="1" w:uiPriority="99" w:unhideWhenUsed="1"/>
    <w:lsdException w:name="List Number 4" w:semiHidden="1" w:unhideWhenUsed="1"/>
    <w:lsdException w:name="List Number 5" w:semiHidden="1" w:unhideWhenUsed="1"/>
    <w:lsdException w:name="Title" w:semiHidden="1" w:uiPriority="99" w:qFormat="1"/>
    <w:lsdException w:name="Closing" w:semiHidden="1" w:unhideWhenUsed="1"/>
    <w:lsdException w:name="Signature" w:semiHidden="1" w:unhideWhenUsed="1"/>
    <w:lsdException w:name="Default Paragraph Font" w:semiHidden="1" w:uiPriority="0"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9"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semiHidden="1" w:qFormat="1"/>
    <w:lsdException w:name="Emphasis" w:semiHidden="1" w:qFormat="1"/>
    <w:lsdException w:name="Document Map" w:semiHidden="1" w:uiPriority="0" w:unhideWhenUsed="1"/>
    <w:lsdException w:name="Plain Text" w:semiHidden="1" w:uiPriority="99"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iPriority="99" w:unhideWhenUsed="1"/>
    <w:lsdException w:name="No List" w:semiHidden="1" w:uiPriority="99"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99" w:unhideWhenUsed="1"/>
    <w:lsdException w:name="Table Grid" w:uiPriority="99"/>
    <w:lsdException w:name="Table Theme" w:semiHidden="1" w:uiPriority="0" w:unhideWhenUsed="1"/>
    <w:lsdException w:name="Placeholder Text" w:semiHidden="1" w:uiPriority="99"/>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99"/>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6"/>
    <w:qFormat/>
    <w:rsid w:val="00095BA6"/>
    <w:pPr>
      <w:spacing w:before="120" w:after="120" w:line="240" w:lineRule="atLeast"/>
    </w:pPr>
    <w:rPr>
      <w:rFonts w:ascii="Arial" w:hAnsi="Arial"/>
      <w:szCs w:val="24"/>
    </w:rPr>
  </w:style>
  <w:style w:type="paragraph" w:styleId="Heading1">
    <w:name w:val="heading 1"/>
    <w:aliases w:val="F3 Heading 1 - Section,(Section),h1,Numbered - 1,Section,Chapter Hdg,CH TITLE 1,Titre 1,1,H1,section head,al,section head1,h11,section head2,h12,section head3,h13,section head4,h14,Chapter Heading,IMPACT STUDY TITLE1,TITLE 1 NR,title 1 nr,1H"/>
    <w:basedOn w:val="NormalLeftAligned"/>
    <w:next w:val="BodyText"/>
    <w:link w:val="Heading1Char"/>
    <w:qFormat/>
    <w:rsid w:val="00A43447"/>
    <w:pPr>
      <w:keepNext/>
      <w:keepLines/>
      <w:pageBreakBefore/>
      <w:numPr>
        <w:numId w:val="20"/>
      </w:numPr>
      <w:spacing w:before="0" w:after="240"/>
      <w:outlineLvl w:val="0"/>
    </w:pPr>
    <w:rPr>
      <w:rFonts w:ascii="Calibri" w:eastAsiaTheme="majorEastAsia" w:hAnsi="Calibri" w:cstheme="majorBidi"/>
      <w:b/>
      <w:bCs/>
      <w:color w:val="0067AC"/>
      <w:sz w:val="32"/>
      <w:szCs w:val="28"/>
    </w:rPr>
  </w:style>
  <w:style w:type="paragraph" w:styleId="Heading2">
    <w:name w:val="heading 2"/>
    <w:aliases w:val="F4 Heading 2 - SubSection,(SubSection),h2,Para Nos,Para,Main Heading,Main Headi,Numbered - 2,(Main Heading),Paragraph,Sub Heading,ignorer2,Oscar Faber 2,Titre 2,2H,2h,2,subhead 1,ah,subhead 11,h21,subhead 12,h22,subhead 13,h23,subhead 14,h24,h"/>
    <w:basedOn w:val="NormalLeftAligned"/>
    <w:next w:val="BodyText"/>
    <w:link w:val="Heading2Char"/>
    <w:qFormat/>
    <w:rsid w:val="00A43447"/>
    <w:pPr>
      <w:keepNext/>
      <w:keepLines/>
      <w:numPr>
        <w:ilvl w:val="1"/>
        <w:numId w:val="20"/>
      </w:numPr>
      <w:spacing w:before="240" w:line="260" w:lineRule="atLeast"/>
      <w:outlineLvl w:val="1"/>
    </w:pPr>
    <w:rPr>
      <w:rFonts w:ascii="Calibri" w:eastAsiaTheme="majorEastAsia" w:hAnsi="Calibri" w:cstheme="majorBidi"/>
      <w:b/>
      <w:bCs/>
      <w:color w:val="0067AC"/>
      <w:sz w:val="26"/>
      <w:szCs w:val="26"/>
    </w:rPr>
  </w:style>
  <w:style w:type="paragraph" w:styleId="Heading3">
    <w:name w:val="heading 3"/>
    <w:aliases w:val="F5 Heading 3,h3,Numbered - 3,Titre 3,H3,Heading 31,uh,subhead 2,subhead 21,h31,subhead 22,h32,subhead 23,h33,IMPACT STUDY TITLE3,Title3,0H,0H1,0H2,0H11,0h,3h,3H,heading 3 + Indent: Left 0.25 in,ariad2-heading3,TITLE 3 NR,H31,Headline 3,Voorwo"/>
    <w:basedOn w:val="NormalLeftAligned"/>
    <w:next w:val="BodyText"/>
    <w:link w:val="Heading3Char"/>
    <w:qFormat/>
    <w:rsid w:val="00A43447"/>
    <w:pPr>
      <w:keepNext/>
      <w:keepLines/>
      <w:numPr>
        <w:ilvl w:val="2"/>
        <w:numId w:val="20"/>
      </w:numPr>
      <w:spacing w:before="200"/>
      <w:outlineLvl w:val="2"/>
    </w:pPr>
    <w:rPr>
      <w:rFonts w:ascii="Calibri" w:eastAsiaTheme="majorEastAsia" w:hAnsi="Calibri" w:cstheme="majorBidi"/>
      <w:b/>
      <w:bCs/>
      <w:color w:val="0067AC"/>
      <w:sz w:val="22"/>
    </w:rPr>
  </w:style>
  <w:style w:type="paragraph" w:styleId="Heading4">
    <w:name w:val="heading 4"/>
    <w:basedOn w:val="NormalLeftAligned"/>
    <w:next w:val="BodyText"/>
    <w:link w:val="Heading4Char"/>
    <w:qFormat/>
    <w:rsid w:val="00A43447"/>
    <w:pPr>
      <w:keepNext/>
      <w:keepLines/>
      <w:numPr>
        <w:ilvl w:val="3"/>
        <w:numId w:val="20"/>
      </w:numPr>
      <w:spacing w:after="0"/>
      <w:outlineLvl w:val="3"/>
    </w:pPr>
    <w:rPr>
      <w:rFonts w:ascii="Calibri" w:eastAsiaTheme="majorEastAsia" w:hAnsi="Calibri" w:cstheme="majorBidi"/>
      <w:b/>
      <w:bCs/>
      <w:i/>
      <w:iCs/>
      <w:color w:val="0067AC"/>
      <w:sz w:val="22"/>
    </w:rPr>
  </w:style>
  <w:style w:type="paragraph" w:styleId="Heading5">
    <w:name w:val="heading 5"/>
    <w:basedOn w:val="Normal"/>
    <w:next w:val="Normal"/>
    <w:link w:val="Heading5Char"/>
    <w:uiPriority w:val="29"/>
    <w:unhideWhenUsed/>
    <w:qFormat/>
    <w:rsid w:val="00A43447"/>
    <w:pPr>
      <w:keepNext/>
      <w:keepLines/>
      <w:numPr>
        <w:ilvl w:val="4"/>
        <w:numId w:val="20"/>
      </w:numPr>
      <w:spacing w:after="0"/>
      <w:outlineLvl w:val="4"/>
    </w:pPr>
    <w:rPr>
      <w:rFonts w:ascii="Calibri" w:eastAsiaTheme="majorEastAsia" w:hAnsi="Calibri" w:cstheme="majorBidi"/>
      <w:b/>
      <w:i/>
      <w:color w:val="0067AC"/>
      <w:sz w:val="22"/>
    </w:rPr>
  </w:style>
  <w:style w:type="paragraph" w:styleId="Heading6">
    <w:name w:val="heading 6"/>
    <w:basedOn w:val="Normal"/>
    <w:next w:val="Normal"/>
    <w:link w:val="Heading6Char"/>
    <w:uiPriority w:val="99"/>
    <w:unhideWhenUsed/>
    <w:qFormat/>
    <w:rsid w:val="002248F3"/>
    <w:pPr>
      <w:keepNext/>
      <w:keepLines/>
      <w:spacing w:before="200" w:after="0"/>
      <w:outlineLvl w:val="5"/>
    </w:pPr>
    <w:rPr>
      <w:rFonts w:ascii="Calibri" w:eastAsiaTheme="majorEastAsia" w:hAnsi="Calibri" w:cstheme="majorBidi"/>
      <w:b/>
      <w:i/>
      <w:iCs/>
      <w:color w:val="0067AC"/>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F3 Heading 1 - Section Char,(Section) Char,h1 Char,Numbered - 1 Char,Section Char,Chapter Hdg Char,CH TITLE 1 Char,Titre 1 Char,1 Char,H1 Char,section head Char,al Char,section head1 Char,h11 Char,section head2 Char,h12 Char,h13 Char"/>
    <w:basedOn w:val="DefaultParagraphFont"/>
    <w:link w:val="Heading1"/>
    <w:rsid w:val="00A43447"/>
    <w:rPr>
      <w:rFonts w:ascii="Calibri" w:eastAsiaTheme="majorEastAsia" w:hAnsi="Calibri" w:cstheme="majorBidi"/>
      <w:b/>
      <w:bCs/>
      <w:color w:val="0067AC"/>
      <w:sz w:val="32"/>
      <w:szCs w:val="28"/>
    </w:rPr>
  </w:style>
  <w:style w:type="character" w:customStyle="1" w:styleId="Heading2Char">
    <w:name w:val="Heading 2 Char"/>
    <w:aliases w:val="F4 Heading 2 - SubSection Char,(SubSection) Char,h2 Char,Para Nos Char,Para Char,Main Heading Char,Main Headi Char,Numbered - 2 Char,(Main Heading) Char,Paragraph Char,Sub Heading Char,ignorer2 Char,Oscar Faber 2 Char,Titre 2 Char,2H Char"/>
    <w:basedOn w:val="DefaultParagraphFont"/>
    <w:link w:val="Heading2"/>
    <w:uiPriority w:val="99"/>
    <w:rsid w:val="00A43447"/>
    <w:rPr>
      <w:rFonts w:ascii="Calibri" w:eastAsiaTheme="majorEastAsia" w:hAnsi="Calibri" w:cstheme="majorBidi"/>
      <w:b/>
      <w:bCs/>
      <w:color w:val="0067AC"/>
      <w:sz w:val="26"/>
      <w:szCs w:val="26"/>
    </w:rPr>
  </w:style>
  <w:style w:type="character" w:customStyle="1" w:styleId="Heading3Char">
    <w:name w:val="Heading 3 Char"/>
    <w:aliases w:val="F5 Heading 3 Char,h3 Char,Numbered - 3 Char,Titre 3 Char,H3 Char,Heading 31 Char,uh Char,subhead 2 Char,subhead 21 Char,h31 Char,subhead 22 Char,h32 Char,subhead 23 Char,h33 Char,IMPACT STUDY TITLE3 Char,Title3 Char,0H Char,0H1 Char"/>
    <w:basedOn w:val="DefaultParagraphFont"/>
    <w:link w:val="Heading3"/>
    <w:rsid w:val="00A43447"/>
    <w:rPr>
      <w:rFonts w:ascii="Calibri" w:eastAsiaTheme="majorEastAsia" w:hAnsi="Calibri" w:cstheme="majorBidi"/>
      <w:b/>
      <w:bCs/>
      <w:color w:val="0067AC"/>
      <w:sz w:val="22"/>
      <w:szCs w:val="24"/>
    </w:rPr>
  </w:style>
  <w:style w:type="paragraph" w:styleId="BlockText">
    <w:name w:val="Block Text"/>
    <w:basedOn w:val="Normal"/>
    <w:uiPriority w:val="99"/>
    <w:semiHidden/>
    <w:rsid w:val="002B3B7F"/>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paragraph" w:styleId="BodyText">
    <w:name w:val="Body Text"/>
    <w:aliases w:val="Document,Doc,Body Text2,doc,Standard paragraph,BodyText,(Norm),Body Text 12,bt,gl,uvlaka 2,heading3,Body Text - Level 2,1body,BodText,body text,Body Txt,Body Text-10,Body Text Char2,Text Char1,Τίτλος Μελέτης,- TF,Corps de texte,Text,b"/>
    <w:basedOn w:val="Normal"/>
    <w:link w:val="BodyTextChar"/>
    <w:uiPriority w:val="99"/>
    <w:qFormat/>
    <w:rsid w:val="00561B22"/>
    <w:pPr>
      <w:ind w:left="851"/>
    </w:pPr>
  </w:style>
  <w:style w:type="character" w:customStyle="1" w:styleId="BodyTextChar">
    <w:name w:val="Body Text Char"/>
    <w:aliases w:val="Document Char,Doc Char,Body Text2 Char,doc Char,Standard paragraph Char,BodyText Char,(Norm) Char,Body Text 12 Char,bt Char,gl Char,uvlaka 2 Char,heading3 Char,Body Text - Level 2 Char,1body Char,BodText Char,body text Char,Body Txt Char"/>
    <w:basedOn w:val="DefaultParagraphFont"/>
    <w:link w:val="BodyText"/>
    <w:uiPriority w:val="99"/>
    <w:rsid w:val="009F0478"/>
    <w:rPr>
      <w:rFonts w:ascii="Arial" w:hAnsi="Arial"/>
      <w:szCs w:val="24"/>
    </w:rPr>
  </w:style>
  <w:style w:type="paragraph" w:customStyle="1" w:styleId="Heading1NoNumb">
    <w:name w:val="Heading 1NoNumb"/>
    <w:basedOn w:val="Heading1"/>
    <w:next w:val="Normal"/>
    <w:uiPriority w:val="99"/>
    <w:qFormat/>
    <w:rsid w:val="009D7497"/>
    <w:pPr>
      <w:numPr>
        <w:numId w:val="0"/>
      </w:numPr>
    </w:pPr>
  </w:style>
  <w:style w:type="paragraph" w:customStyle="1" w:styleId="Heading2NoNumb">
    <w:name w:val="Heading 2NoNumb"/>
    <w:basedOn w:val="Heading2"/>
    <w:next w:val="Normal"/>
    <w:uiPriority w:val="99"/>
    <w:qFormat/>
    <w:rsid w:val="005B10E4"/>
    <w:pPr>
      <w:numPr>
        <w:ilvl w:val="0"/>
        <w:numId w:val="0"/>
      </w:numPr>
    </w:pPr>
  </w:style>
  <w:style w:type="paragraph" w:customStyle="1" w:styleId="BTBullet1">
    <w:name w:val="BTBullet1"/>
    <w:basedOn w:val="Normal"/>
    <w:uiPriority w:val="99"/>
    <w:qFormat/>
    <w:rsid w:val="0094009F"/>
    <w:pPr>
      <w:numPr>
        <w:numId w:val="22"/>
      </w:numPr>
      <w:spacing w:before="0" w:after="0"/>
    </w:pPr>
  </w:style>
  <w:style w:type="paragraph" w:customStyle="1" w:styleId="Figure">
    <w:name w:val="Figure"/>
    <w:basedOn w:val="NormalLeftAligned"/>
    <w:next w:val="BodyText"/>
    <w:uiPriority w:val="11"/>
    <w:qFormat/>
    <w:rsid w:val="00A43447"/>
    <w:pPr>
      <w:keepNext/>
      <w:numPr>
        <w:ilvl w:val="5"/>
        <w:numId w:val="20"/>
      </w:numPr>
    </w:pPr>
    <w:rPr>
      <w:rFonts w:ascii="Calibri" w:hAnsi="Calibri"/>
      <w:b/>
      <w:color w:val="0067AC"/>
    </w:rPr>
  </w:style>
  <w:style w:type="paragraph" w:styleId="BalloonText">
    <w:name w:val="Balloon Text"/>
    <w:basedOn w:val="Normal"/>
    <w:link w:val="BalloonTextChar"/>
    <w:uiPriority w:val="99"/>
    <w:semiHidden/>
    <w:rsid w:val="006E23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63C9"/>
    <w:rPr>
      <w:rFonts w:ascii="Tahoma" w:hAnsi="Tahoma" w:cs="Tahoma"/>
      <w:sz w:val="16"/>
      <w:szCs w:val="16"/>
    </w:rPr>
  </w:style>
  <w:style w:type="paragraph" w:styleId="Header">
    <w:name w:val="header"/>
    <w:basedOn w:val="NormalLeftAligned"/>
    <w:link w:val="HeaderChar"/>
    <w:uiPriority w:val="99"/>
    <w:rsid w:val="0074120F"/>
    <w:pPr>
      <w:tabs>
        <w:tab w:val="center" w:pos="4513"/>
        <w:tab w:val="right" w:pos="9026"/>
      </w:tabs>
      <w:spacing w:before="0" w:after="0" w:line="240" w:lineRule="auto"/>
    </w:pPr>
    <w:rPr>
      <w:rFonts w:ascii="Calibri" w:hAnsi="Calibri"/>
      <w:color w:val="0067AC"/>
    </w:rPr>
  </w:style>
  <w:style w:type="character" w:customStyle="1" w:styleId="HeaderChar">
    <w:name w:val="Header Char"/>
    <w:basedOn w:val="DefaultParagraphFont"/>
    <w:link w:val="Header"/>
    <w:uiPriority w:val="99"/>
    <w:rsid w:val="0074120F"/>
    <w:rPr>
      <w:rFonts w:ascii="Calibri" w:hAnsi="Calibri"/>
      <w:color w:val="0067AC"/>
      <w:szCs w:val="24"/>
    </w:rPr>
  </w:style>
  <w:style w:type="paragraph" w:styleId="Footer">
    <w:name w:val="footer"/>
    <w:basedOn w:val="NormalLeftAligned"/>
    <w:link w:val="FooterChar"/>
    <w:uiPriority w:val="99"/>
    <w:rsid w:val="00E917AF"/>
    <w:pPr>
      <w:tabs>
        <w:tab w:val="right" w:pos="9072"/>
      </w:tabs>
      <w:spacing w:before="0" w:after="0" w:line="240" w:lineRule="auto"/>
    </w:pPr>
  </w:style>
  <w:style w:type="character" w:customStyle="1" w:styleId="FooterChar">
    <w:name w:val="Footer Char"/>
    <w:basedOn w:val="DefaultParagraphFont"/>
    <w:link w:val="Footer"/>
    <w:uiPriority w:val="99"/>
    <w:rsid w:val="00FA1FFF"/>
    <w:rPr>
      <w:rFonts w:ascii="Arial" w:hAnsi="Arial"/>
      <w:szCs w:val="24"/>
    </w:rPr>
  </w:style>
  <w:style w:type="table" w:styleId="TableGrid">
    <w:name w:val="Table Grid"/>
    <w:basedOn w:val="TableNormal"/>
    <w:uiPriority w:val="99"/>
    <w:rsid w:val="001E33F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Quote">
    <w:name w:val="Quote"/>
    <w:basedOn w:val="Normal"/>
    <w:next w:val="Normal"/>
    <w:link w:val="QuoteChar"/>
    <w:uiPriority w:val="10"/>
    <w:qFormat/>
    <w:rsid w:val="00E741E6"/>
    <w:pPr>
      <w:ind w:left="851"/>
    </w:pPr>
    <w:rPr>
      <w:i/>
      <w:iCs/>
      <w:color w:val="000000" w:themeColor="text1"/>
    </w:rPr>
  </w:style>
  <w:style w:type="character" w:customStyle="1" w:styleId="QuoteChar">
    <w:name w:val="Quote Char"/>
    <w:basedOn w:val="DefaultParagraphFont"/>
    <w:link w:val="Quote"/>
    <w:uiPriority w:val="10"/>
    <w:rsid w:val="00E741E6"/>
    <w:rPr>
      <w:rFonts w:ascii="Arial" w:hAnsi="Arial"/>
      <w:i/>
      <w:iCs/>
      <w:color w:val="000000" w:themeColor="text1"/>
      <w:szCs w:val="24"/>
    </w:rPr>
  </w:style>
  <w:style w:type="paragraph" w:customStyle="1" w:styleId="Table">
    <w:name w:val="Table"/>
    <w:basedOn w:val="Normal"/>
    <w:next w:val="BodyText"/>
    <w:uiPriority w:val="11"/>
    <w:qFormat/>
    <w:rsid w:val="00A43447"/>
    <w:pPr>
      <w:keepNext/>
      <w:numPr>
        <w:ilvl w:val="6"/>
        <w:numId w:val="20"/>
      </w:numPr>
    </w:pPr>
    <w:rPr>
      <w:rFonts w:ascii="Calibri" w:hAnsi="Calibri"/>
      <w:b/>
      <w:color w:val="0067AC"/>
    </w:rPr>
  </w:style>
  <w:style w:type="paragraph" w:customStyle="1" w:styleId="TableText">
    <w:name w:val="TableText"/>
    <w:basedOn w:val="NormalLeftAligned"/>
    <w:uiPriority w:val="99"/>
    <w:qFormat/>
    <w:rsid w:val="00A86B74"/>
    <w:pPr>
      <w:spacing w:before="0" w:line="220" w:lineRule="atLeast"/>
    </w:pPr>
    <w:rPr>
      <w:sz w:val="18"/>
    </w:rPr>
  </w:style>
  <w:style w:type="paragraph" w:customStyle="1" w:styleId="TableTitle">
    <w:name w:val="TableTitle"/>
    <w:basedOn w:val="TableText"/>
    <w:uiPriority w:val="99"/>
    <w:qFormat/>
    <w:rsid w:val="00211076"/>
    <w:pPr>
      <w:spacing w:after="0"/>
    </w:pPr>
    <w:rPr>
      <w:rFonts w:ascii="Calibri" w:hAnsi="Calibri"/>
      <w:b/>
      <w:color w:val="0067AC"/>
    </w:rPr>
  </w:style>
  <w:style w:type="character" w:customStyle="1" w:styleId="Heading4Char">
    <w:name w:val="Heading 4 Char"/>
    <w:basedOn w:val="DefaultParagraphFont"/>
    <w:link w:val="Heading4"/>
    <w:rsid w:val="00A43447"/>
    <w:rPr>
      <w:rFonts w:ascii="Calibri" w:eastAsiaTheme="majorEastAsia" w:hAnsi="Calibri" w:cstheme="majorBidi"/>
      <w:b/>
      <w:bCs/>
      <w:i/>
      <w:iCs/>
      <w:color w:val="0067AC"/>
      <w:sz w:val="22"/>
      <w:szCs w:val="24"/>
    </w:rPr>
  </w:style>
  <w:style w:type="paragraph" w:customStyle="1" w:styleId="KeyMessage">
    <w:name w:val="KeyMessage"/>
    <w:basedOn w:val="BodyText"/>
    <w:uiPriority w:val="99"/>
    <w:semiHidden/>
    <w:qFormat/>
    <w:rsid w:val="00B94CCE"/>
    <w:pPr>
      <w:pBdr>
        <w:top w:val="single" w:sz="4" w:space="4" w:color="77C8FF" w:themeColor="text2" w:themeTint="66"/>
        <w:left w:val="single" w:sz="4" w:space="4" w:color="77C8FF" w:themeColor="text2" w:themeTint="66"/>
        <w:bottom w:val="single" w:sz="4" w:space="4" w:color="77C8FF" w:themeColor="text2" w:themeTint="66"/>
        <w:right w:val="single" w:sz="4" w:space="4" w:color="77C8FF" w:themeColor="text2" w:themeTint="66"/>
      </w:pBdr>
      <w:shd w:val="clear" w:color="auto" w:fill="77C8FF" w:themeFill="text2" w:themeFillTint="66"/>
      <w:ind w:left="964" w:right="113"/>
    </w:pPr>
  </w:style>
  <w:style w:type="paragraph" w:customStyle="1" w:styleId="TableNumbList">
    <w:name w:val="TableNumbList"/>
    <w:basedOn w:val="TableText"/>
    <w:uiPriority w:val="99"/>
    <w:qFormat/>
    <w:rsid w:val="00CF6BC1"/>
    <w:pPr>
      <w:numPr>
        <w:numId w:val="8"/>
      </w:numPr>
      <w:spacing w:after="0"/>
    </w:pPr>
  </w:style>
  <w:style w:type="paragraph" w:customStyle="1" w:styleId="TableTextNoSpace">
    <w:name w:val="TableTextNoSpace"/>
    <w:basedOn w:val="TableText"/>
    <w:uiPriority w:val="99"/>
    <w:qFormat/>
    <w:rsid w:val="00891503"/>
    <w:pPr>
      <w:spacing w:after="0"/>
    </w:pPr>
  </w:style>
  <w:style w:type="paragraph" w:customStyle="1" w:styleId="BTBullet2">
    <w:name w:val="BTBullet2"/>
    <w:basedOn w:val="Normal"/>
    <w:uiPriority w:val="99"/>
    <w:qFormat/>
    <w:rsid w:val="0094009F"/>
    <w:pPr>
      <w:numPr>
        <w:ilvl w:val="1"/>
        <w:numId w:val="22"/>
      </w:numPr>
      <w:spacing w:before="0" w:after="0"/>
    </w:pPr>
  </w:style>
  <w:style w:type="paragraph" w:customStyle="1" w:styleId="NumbList">
    <w:name w:val="NumbList"/>
    <w:basedOn w:val="Normal"/>
    <w:link w:val="NumbListChar"/>
    <w:uiPriority w:val="99"/>
    <w:qFormat/>
    <w:rsid w:val="00541215"/>
    <w:pPr>
      <w:numPr>
        <w:numId w:val="10"/>
      </w:numPr>
      <w:spacing w:before="0" w:after="0"/>
    </w:pPr>
  </w:style>
  <w:style w:type="paragraph" w:customStyle="1" w:styleId="FooterLand">
    <w:name w:val="FooterLand"/>
    <w:basedOn w:val="Footer"/>
    <w:uiPriority w:val="99"/>
    <w:semiHidden/>
    <w:qFormat/>
    <w:rsid w:val="007C5C91"/>
    <w:pPr>
      <w:tabs>
        <w:tab w:val="clear" w:pos="9072"/>
        <w:tab w:val="right" w:pos="14005"/>
      </w:tabs>
    </w:pPr>
  </w:style>
  <w:style w:type="paragraph" w:customStyle="1" w:styleId="TableHeading">
    <w:name w:val="TableHeading"/>
    <w:basedOn w:val="Normal"/>
    <w:next w:val="TableText"/>
    <w:uiPriority w:val="99"/>
    <w:qFormat/>
    <w:rsid w:val="003D2272"/>
    <w:rPr>
      <w:rFonts w:ascii="Calibri" w:hAnsi="Calibri"/>
      <w:color w:val="0067AC"/>
    </w:rPr>
  </w:style>
  <w:style w:type="paragraph" w:styleId="FootnoteText">
    <w:name w:val="footnote text"/>
    <w:aliases w:val="Footnote,Schriftart: 9 pt,Schriftart: 10 pt,Schriftart: 8 pt,o,Testo nota a piè di pagina Carattere,Footnote text,Fußnote,Char Char Car,Fußnotentextf,Note de bas de page Car Car Car Car Car Car Car Car Car Car,f,ft,fn,Footnote Text Char C"/>
    <w:basedOn w:val="Normal"/>
    <w:link w:val="FootnoteTextChar"/>
    <w:qFormat/>
    <w:rsid w:val="00DD05B7"/>
    <w:pPr>
      <w:spacing w:before="0" w:after="60" w:line="240" w:lineRule="auto"/>
    </w:pPr>
    <w:rPr>
      <w:sz w:val="18"/>
      <w:szCs w:val="20"/>
    </w:rPr>
  </w:style>
  <w:style w:type="character" w:customStyle="1" w:styleId="FootnoteTextChar">
    <w:name w:val="Footnote Text Char"/>
    <w:aliases w:val="Footnote Char,Schriftart: 9 pt Char,Schriftart: 10 pt Char,Schriftart: 8 pt Char,o Char,Testo nota a piè di pagina Carattere Char,Footnote text Char,Fußnote Char,Char Char Car Char,Fußnotentextf Char,f Char,ft Char,fn Char"/>
    <w:basedOn w:val="DefaultParagraphFont"/>
    <w:link w:val="FootnoteText"/>
    <w:rsid w:val="00AA63C9"/>
    <w:rPr>
      <w:rFonts w:ascii="Arial" w:hAnsi="Arial"/>
      <w:sz w:val="18"/>
    </w:rPr>
  </w:style>
  <w:style w:type="character" w:styleId="FootnoteReference">
    <w:name w:val="footnote reference"/>
    <w:aliases w:val="Footnote Reference Superscript,Footnote symbol,Footnote Reference/,richiamo note eggsi,Rimando nota a piè di pagina1,BVI fnr,Footnotes refss,Footnote Reference Number,Numbering - Footnote,nota de rodapé,Voetnootverwijzing,FR,note TESI"/>
    <w:basedOn w:val="DefaultParagraphFont"/>
    <w:uiPriority w:val="99"/>
    <w:rsid w:val="00DD05B7"/>
    <w:rPr>
      <w:vertAlign w:val="superscript"/>
    </w:rPr>
  </w:style>
  <w:style w:type="paragraph" w:customStyle="1" w:styleId="CaseStudy">
    <w:name w:val="CaseStudy"/>
    <w:basedOn w:val="BodyText"/>
    <w:next w:val="TableText"/>
    <w:uiPriority w:val="99"/>
    <w:qFormat/>
    <w:rsid w:val="001C24D0"/>
    <w:pPr>
      <w:numPr>
        <w:numId w:val="16"/>
      </w:numPr>
      <w:tabs>
        <w:tab w:val="left" w:pos="1814"/>
      </w:tabs>
    </w:pPr>
    <w:rPr>
      <w:rFonts w:ascii="Calibri" w:hAnsi="Calibri"/>
      <w:b/>
      <w:color w:val="0067AC"/>
      <w:sz w:val="28"/>
    </w:rPr>
  </w:style>
  <w:style w:type="paragraph" w:customStyle="1" w:styleId="TableLeft">
    <w:name w:val="TableLeft"/>
    <w:basedOn w:val="Table"/>
    <w:uiPriority w:val="99"/>
    <w:semiHidden/>
    <w:qFormat/>
    <w:rsid w:val="002248F3"/>
    <w:pPr>
      <w:ind w:left="1077"/>
    </w:pPr>
  </w:style>
  <w:style w:type="paragraph" w:customStyle="1" w:styleId="Heading1NoTOC">
    <w:name w:val="Heading 1NoTOC"/>
    <w:basedOn w:val="Heading1"/>
    <w:next w:val="Normal"/>
    <w:uiPriority w:val="23"/>
    <w:qFormat/>
    <w:rsid w:val="004B7371"/>
    <w:pPr>
      <w:numPr>
        <w:numId w:val="0"/>
      </w:numPr>
    </w:pPr>
  </w:style>
  <w:style w:type="paragraph" w:styleId="TOC2">
    <w:name w:val="toc 2"/>
    <w:basedOn w:val="NormalLeftAligned"/>
    <w:next w:val="Normal"/>
    <w:autoRedefine/>
    <w:uiPriority w:val="39"/>
    <w:rsid w:val="00BE4B9C"/>
    <w:pPr>
      <w:tabs>
        <w:tab w:val="right" w:leader="dot" w:pos="9061"/>
      </w:tabs>
      <w:spacing w:after="0"/>
      <w:ind w:right="284"/>
    </w:pPr>
    <w:rPr>
      <w:rFonts w:ascii="Calibri" w:hAnsi="Calibri"/>
      <w:b/>
      <w:color w:val="0067AC"/>
      <w:sz w:val="24"/>
    </w:rPr>
  </w:style>
  <w:style w:type="paragraph" w:styleId="TOC1">
    <w:name w:val="toc 1"/>
    <w:basedOn w:val="NormalLeftAligned"/>
    <w:next w:val="Normal"/>
    <w:autoRedefine/>
    <w:uiPriority w:val="39"/>
    <w:rsid w:val="00B93831"/>
    <w:pPr>
      <w:tabs>
        <w:tab w:val="left" w:pos="630"/>
        <w:tab w:val="right" w:leader="dot" w:pos="9072"/>
      </w:tabs>
      <w:spacing w:after="0"/>
      <w:ind w:left="630" w:right="161" w:hanging="630"/>
    </w:pPr>
    <w:rPr>
      <w:rFonts w:ascii="Calibri" w:hAnsi="Calibri"/>
      <w:b/>
      <w:color w:val="0067AC"/>
      <w:sz w:val="24"/>
    </w:rPr>
  </w:style>
  <w:style w:type="paragraph" w:styleId="TOC3">
    <w:name w:val="toc 3"/>
    <w:basedOn w:val="NormalLeftAligned"/>
    <w:next w:val="Normal"/>
    <w:autoRedefine/>
    <w:uiPriority w:val="39"/>
    <w:rsid w:val="00B93831"/>
    <w:pPr>
      <w:tabs>
        <w:tab w:val="left" w:pos="630"/>
        <w:tab w:val="left" w:pos="1100"/>
        <w:tab w:val="right" w:leader="dot" w:pos="9061"/>
      </w:tabs>
      <w:spacing w:before="0" w:after="0"/>
      <w:ind w:left="630" w:right="284" w:hanging="630"/>
    </w:pPr>
  </w:style>
  <w:style w:type="character" w:styleId="Hyperlink">
    <w:name w:val="Hyperlink"/>
    <w:basedOn w:val="DefaultParagraphFont"/>
    <w:uiPriority w:val="99"/>
    <w:unhideWhenUsed/>
    <w:rsid w:val="00ED0340"/>
    <w:rPr>
      <w:color w:val="0000FF" w:themeColor="hyperlink"/>
      <w:u w:val="single"/>
    </w:rPr>
  </w:style>
  <w:style w:type="paragraph" w:styleId="TOC4">
    <w:name w:val="toc 4"/>
    <w:basedOn w:val="NormalLeftAligned"/>
    <w:next w:val="Normal"/>
    <w:autoRedefine/>
    <w:uiPriority w:val="39"/>
    <w:rsid w:val="00B93831"/>
    <w:pPr>
      <w:tabs>
        <w:tab w:val="left" w:pos="630"/>
        <w:tab w:val="right" w:leader="dot" w:pos="9061"/>
      </w:tabs>
      <w:spacing w:before="0" w:after="0"/>
      <w:ind w:left="720" w:hanging="720"/>
    </w:pPr>
  </w:style>
  <w:style w:type="paragraph" w:customStyle="1" w:styleId="DocTitle">
    <w:name w:val="DocTitle"/>
    <w:basedOn w:val="NormalLeftAligned"/>
    <w:uiPriority w:val="99"/>
    <w:qFormat/>
    <w:rsid w:val="002248F3"/>
    <w:pPr>
      <w:spacing w:before="600"/>
    </w:pPr>
    <w:rPr>
      <w:rFonts w:ascii="Calibri" w:hAnsi="Calibri"/>
      <w:b/>
      <w:color w:val="0067AC"/>
      <w:sz w:val="48"/>
    </w:rPr>
  </w:style>
  <w:style w:type="paragraph" w:customStyle="1" w:styleId="DocSubTitle">
    <w:name w:val="DocSubTitle"/>
    <w:basedOn w:val="NormalLeftAligned"/>
    <w:uiPriority w:val="99"/>
    <w:qFormat/>
    <w:rsid w:val="002248F3"/>
    <w:rPr>
      <w:rFonts w:ascii="Calibri" w:hAnsi="Calibri"/>
      <w:b/>
      <w:color w:val="0067AC"/>
      <w:sz w:val="28"/>
    </w:rPr>
  </w:style>
  <w:style w:type="paragraph" w:customStyle="1" w:styleId="DocPartner">
    <w:name w:val="DocPartner"/>
    <w:basedOn w:val="NormalLeftAligned"/>
    <w:uiPriority w:val="99"/>
    <w:qFormat/>
    <w:rsid w:val="0074120F"/>
    <w:rPr>
      <w:rFonts w:ascii="Calibri" w:hAnsi="Calibri"/>
      <w:color w:val="0067AC"/>
      <w:sz w:val="24"/>
    </w:rPr>
  </w:style>
  <w:style w:type="paragraph" w:customStyle="1" w:styleId="NormalNoSpace">
    <w:name w:val="NormalNoSpace"/>
    <w:basedOn w:val="Normal"/>
    <w:uiPriority w:val="6"/>
    <w:qFormat/>
    <w:rsid w:val="00760383"/>
    <w:pPr>
      <w:spacing w:before="0" w:after="0"/>
    </w:pPr>
  </w:style>
  <w:style w:type="paragraph" w:customStyle="1" w:styleId="Divider">
    <w:name w:val="Divider"/>
    <w:basedOn w:val="NormalLeftAligned"/>
    <w:next w:val="Normal"/>
    <w:uiPriority w:val="99"/>
    <w:semiHidden/>
    <w:qFormat/>
    <w:rsid w:val="002248F3"/>
    <w:pPr>
      <w:pageBreakBefore/>
      <w:spacing w:line="240" w:lineRule="auto"/>
    </w:pPr>
    <w:rPr>
      <w:rFonts w:ascii="Calibri" w:hAnsi="Calibri"/>
      <w:b/>
      <w:color w:val="0067AC"/>
      <w:sz w:val="72"/>
    </w:rPr>
  </w:style>
  <w:style w:type="paragraph" w:customStyle="1" w:styleId="Evidence">
    <w:name w:val="Evidence"/>
    <w:basedOn w:val="TableText"/>
    <w:next w:val="Normal"/>
    <w:uiPriority w:val="99"/>
    <w:qFormat/>
    <w:rsid w:val="001C24D0"/>
    <w:pPr>
      <w:numPr>
        <w:ilvl w:val="1"/>
        <w:numId w:val="16"/>
      </w:numPr>
      <w:spacing w:before="120"/>
    </w:pPr>
    <w:rPr>
      <w:rFonts w:ascii="Calibri" w:hAnsi="Calibri"/>
      <w:b/>
      <w:color w:val="0067AC"/>
      <w:sz w:val="28"/>
    </w:rPr>
  </w:style>
  <w:style w:type="paragraph" w:customStyle="1" w:styleId="GHKContacts">
    <w:name w:val="GHKContacts"/>
    <w:basedOn w:val="NormalLeftAligned"/>
    <w:uiPriority w:val="99"/>
    <w:qFormat/>
    <w:rsid w:val="005E5044"/>
    <w:pPr>
      <w:spacing w:before="0" w:after="60" w:line="180" w:lineRule="atLeast"/>
    </w:pPr>
    <w:rPr>
      <w:sz w:val="16"/>
    </w:rPr>
  </w:style>
  <w:style w:type="paragraph" w:customStyle="1" w:styleId="GHKContactsHeading">
    <w:name w:val="GHKContactsHeading"/>
    <w:basedOn w:val="GHKContacts"/>
    <w:uiPriority w:val="99"/>
    <w:qFormat/>
    <w:rsid w:val="00211076"/>
    <w:pPr>
      <w:spacing w:before="60" w:after="0"/>
    </w:pPr>
    <w:rPr>
      <w:rFonts w:ascii="Calibri" w:hAnsi="Calibri"/>
      <w:color w:val="0067AC"/>
    </w:rPr>
  </w:style>
  <w:style w:type="paragraph" w:customStyle="1" w:styleId="HeaderTitle">
    <w:name w:val="HeaderTitle"/>
    <w:basedOn w:val="Header"/>
    <w:uiPriority w:val="99"/>
    <w:semiHidden/>
    <w:qFormat/>
    <w:rsid w:val="00B67E25"/>
    <w:pPr>
      <w:spacing w:before="80"/>
    </w:pPr>
  </w:style>
  <w:style w:type="paragraph" w:customStyle="1" w:styleId="DocDate">
    <w:name w:val="DocDate"/>
    <w:basedOn w:val="DocSubTitle"/>
    <w:uiPriority w:val="99"/>
    <w:qFormat/>
    <w:rsid w:val="00FF79A5"/>
    <w:rPr>
      <w:color w:val="000000" w:themeColor="text1"/>
    </w:rPr>
  </w:style>
  <w:style w:type="paragraph" w:customStyle="1" w:styleId="Heading3NoNumb">
    <w:name w:val="Heading 3NoNumb"/>
    <w:basedOn w:val="Heading3"/>
    <w:next w:val="Normal"/>
    <w:uiPriority w:val="99"/>
    <w:qFormat/>
    <w:rsid w:val="002248F3"/>
    <w:pPr>
      <w:numPr>
        <w:ilvl w:val="0"/>
        <w:numId w:val="0"/>
      </w:numPr>
    </w:pPr>
  </w:style>
  <w:style w:type="paragraph" w:customStyle="1" w:styleId="Heading4NoNumb">
    <w:name w:val="Heading 4NoNumb"/>
    <w:basedOn w:val="Heading4"/>
    <w:next w:val="Normal"/>
    <w:uiPriority w:val="99"/>
    <w:qFormat/>
    <w:rsid w:val="002248F3"/>
    <w:pPr>
      <w:numPr>
        <w:ilvl w:val="0"/>
        <w:numId w:val="0"/>
      </w:numPr>
    </w:pPr>
  </w:style>
  <w:style w:type="paragraph" w:styleId="TOC5">
    <w:name w:val="toc 5"/>
    <w:basedOn w:val="NormalLeftAligned"/>
    <w:next w:val="Normal"/>
    <w:autoRedefine/>
    <w:uiPriority w:val="39"/>
    <w:rsid w:val="00F12D35"/>
    <w:pPr>
      <w:spacing w:before="0" w:after="0"/>
    </w:pPr>
  </w:style>
  <w:style w:type="paragraph" w:styleId="TOC6">
    <w:name w:val="toc 6"/>
    <w:basedOn w:val="NormalLeftAligned"/>
    <w:next w:val="Normal"/>
    <w:autoRedefine/>
    <w:uiPriority w:val="39"/>
    <w:rsid w:val="00497505"/>
    <w:pPr>
      <w:spacing w:before="0" w:after="0"/>
      <w:ind w:left="680"/>
    </w:pPr>
  </w:style>
  <w:style w:type="numbering" w:customStyle="1" w:styleId="Style1">
    <w:name w:val="Style1"/>
    <w:rsid w:val="004B7371"/>
    <w:pPr>
      <w:numPr>
        <w:numId w:val="5"/>
      </w:numPr>
    </w:pPr>
  </w:style>
  <w:style w:type="paragraph" w:customStyle="1" w:styleId="BodyTextNoSpace">
    <w:name w:val="Body TextNoSpace"/>
    <w:basedOn w:val="BodyText"/>
    <w:uiPriority w:val="99"/>
    <w:qFormat/>
    <w:rsid w:val="009F75F8"/>
    <w:pPr>
      <w:spacing w:before="0" w:after="0"/>
    </w:pPr>
  </w:style>
  <w:style w:type="paragraph" w:customStyle="1" w:styleId="BTBullet3">
    <w:name w:val="BTBullet3"/>
    <w:basedOn w:val="Normal"/>
    <w:uiPriority w:val="99"/>
    <w:qFormat/>
    <w:rsid w:val="0094009F"/>
    <w:pPr>
      <w:numPr>
        <w:ilvl w:val="2"/>
        <w:numId w:val="22"/>
      </w:numPr>
      <w:spacing w:before="0" w:after="0"/>
    </w:pPr>
  </w:style>
  <w:style w:type="paragraph" w:customStyle="1" w:styleId="NumbListLast">
    <w:name w:val="NumbListLast"/>
    <w:basedOn w:val="NumbList"/>
    <w:uiPriority w:val="99"/>
    <w:qFormat/>
    <w:rsid w:val="00D238C4"/>
    <w:pPr>
      <w:spacing w:after="120"/>
    </w:pPr>
  </w:style>
  <w:style w:type="paragraph" w:customStyle="1" w:styleId="BoxText">
    <w:name w:val="BoxText"/>
    <w:basedOn w:val="NormalLeftAligned"/>
    <w:uiPriority w:val="99"/>
    <w:semiHidden/>
    <w:qFormat/>
    <w:rsid w:val="00381826"/>
    <w:pPr>
      <w:spacing w:before="60" w:after="60" w:line="220" w:lineRule="atLeast"/>
    </w:pPr>
    <w:rPr>
      <w:sz w:val="18"/>
    </w:rPr>
  </w:style>
  <w:style w:type="character" w:styleId="PlaceholderText">
    <w:name w:val="Placeholder Text"/>
    <w:basedOn w:val="DefaultParagraphFont"/>
    <w:uiPriority w:val="99"/>
    <w:semiHidden/>
    <w:rsid w:val="00381826"/>
    <w:rPr>
      <w:color w:val="808080"/>
    </w:rPr>
  </w:style>
  <w:style w:type="paragraph" w:customStyle="1" w:styleId="TableNumbListLast">
    <w:name w:val="TableNumbListLast"/>
    <w:basedOn w:val="TableNumbList"/>
    <w:uiPriority w:val="99"/>
    <w:qFormat/>
    <w:rsid w:val="00256BC8"/>
    <w:pPr>
      <w:spacing w:after="120"/>
    </w:pPr>
  </w:style>
  <w:style w:type="paragraph" w:customStyle="1" w:styleId="BoxTitle">
    <w:name w:val="BoxTitle"/>
    <w:basedOn w:val="NormalLeftAligned"/>
    <w:uiPriority w:val="99"/>
    <w:qFormat/>
    <w:rsid w:val="002248F3"/>
    <w:pPr>
      <w:spacing w:line="320" w:lineRule="atLeast"/>
    </w:pPr>
    <w:rPr>
      <w:rFonts w:ascii="Calibri" w:hAnsi="Calibri"/>
      <w:b/>
      <w:color w:val="0067AC"/>
      <w:sz w:val="28"/>
    </w:rPr>
  </w:style>
  <w:style w:type="paragraph" w:customStyle="1" w:styleId="BTNumbList">
    <w:name w:val="BTNumbList"/>
    <w:basedOn w:val="Normal"/>
    <w:link w:val="BTNumbListChar"/>
    <w:uiPriority w:val="99"/>
    <w:qFormat/>
    <w:rsid w:val="00192D1A"/>
    <w:pPr>
      <w:numPr>
        <w:numId w:val="13"/>
      </w:numPr>
      <w:spacing w:before="0" w:after="0"/>
    </w:pPr>
  </w:style>
  <w:style w:type="paragraph" w:customStyle="1" w:styleId="BTNumbListLast">
    <w:name w:val="BTNumbListLast"/>
    <w:basedOn w:val="BTNumbList"/>
    <w:uiPriority w:val="99"/>
    <w:qFormat/>
    <w:rsid w:val="00D46741"/>
    <w:pPr>
      <w:spacing w:after="120"/>
    </w:pPr>
  </w:style>
  <w:style w:type="character" w:customStyle="1" w:styleId="NumbListChar">
    <w:name w:val="NumbList Char"/>
    <w:basedOn w:val="DefaultParagraphFont"/>
    <w:link w:val="NumbList"/>
    <w:uiPriority w:val="99"/>
    <w:rsid w:val="00541215"/>
    <w:rPr>
      <w:rFonts w:ascii="Arial" w:hAnsi="Arial"/>
      <w:szCs w:val="24"/>
    </w:rPr>
  </w:style>
  <w:style w:type="character" w:customStyle="1" w:styleId="BTNumbListChar">
    <w:name w:val="BTNumbList Char"/>
    <w:basedOn w:val="NumbListChar"/>
    <w:link w:val="BTNumbList"/>
    <w:uiPriority w:val="99"/>
    <w:rsid w:val="00192D1A"/>
    <w:rPr>
      <w:rFonts w:ascii="Arial" w:hAnsi="Arial"/>
      <w:szCs w:val="24"/>
    </w:rPr>
  </w:style>
  <w:style w:type="paragraph" w:customStyle="1" w:styleId="BTNumbList2Last">
    <w:name w:val="BTNumbList2Last"/>
    <w:basedOn w:val="BTNumbList2"/>
    <w:uiPriority w:val="99"/>
    <w:qFormat/>
    <w:rsid w:val="00D46741"/>
    <w:pPr>
      <w:spacing w:after="120"/>
    </w:pPr>
  </w:style>
  <w:style w:type="paragraph" w:customStyle="1" w:styleId="NormalIndent">
    <w:name w:val="NormalIndent"/>
    <w:basedOn w:val="Normal"/>
    <w:uiPriority w:val="99"/>
    <w:qFormat/>
    <w:rsid w:val="00F23AA1"/>
    <w:pPr>
      <w:ind w:left="340"/>
    </w:pPr>
  </w:style>
  <w:style w:type="paragraph" w:customStyle="1" w:styleId="BodyTextIndent">
    <w:name w:val="Body TextIndent"/>
    <w:basedOn w:val="BodyText"/>
    <w:uiPriority w:val="99"/>
    <w:qFormat/>
    <w:rsid w:val="00F23AA1"/>
    <w:pPr>
      <w:ind w:left="1191"/>
    </w:pPr>
  </w:style>
  <w:style w:type="paragraph" w:styleId="ListBullet">
    <w:name w:val="List Bullet"/>
    <w:basedOn w:val="Normal"/>
    <w:uiPriority w:val="99"/>
    <w:semiHidden/>
    <w:rsid w:val="00EB37D7"/>
    <w:pPr>
      <w:numPr>
        <w:numId w:val="1"/>
      </w:numPr>
      <w:contextualSpacing/>
    </w:pPr>
  </w:style>
  <w:style w:type="paragraph" w:styleId="ListBullet2">
    <w:name w:val="List Bullet 2"/>
    <w:basedOn w:val="Normal"/>
    <w:uiPriority w:val="99"/>
    <w:semiHidden/>
    <w:rsid w:val="00EB37D7"/>
    <w:pPr>
      <w:numPr>
        <w:numId w:val="2"/>
      </w:numPr>
      <w:contextualSpacing/>
    </w:pPr>
  </w:style>
  <w:style w:type="paragraph" w:styleId="ListBullet3">
    <w:name w:val="List Bullet 3"/>
    <w:basedOn w:val="Normal"/>
    <w:uiPriority w:val="99"/>
    <w:semiHidden/>
    <w:rsid w:val="00EB37D7"/>
    <w:pPr>
      <w:numPr>
        <w:numId w:val="3"/>
      </w:numPr>
      <w:contextualSpacing/>
    </w:pPr>
  </w:style>
  <w:style w:type="paragraph" w:styleId="ListBullet4">
    <w:name w:val="List Bullet 4"/>
    <w:basedOn w:val="Normal"/>
    <w:uiPriority w:val="99"/>
    <w:semiHidden/>
    <w:rsid w:val="00EB37D7"/>
    <w:pPr>
      <w:numPr>
        <w:numId w:val="4"/>
      </w:numPr>
      <w:contextualSpacing/>
    </w:pPr>
  </w:style>
  <w:style w:type="paragraph" w:customStyle="1" w:styleId="BTBullet1Last">
    <w:name w:val="BTBullet1Last"/>
    <w:basedOn w:val="BTBullet1"/>
    <w:uiPriority w:val="99"/>
    <w:qFormat/>
    <w:rsid w:val="009A75D7"/>
    <w:pPr>
      <w:spacing w:after="120"/>
    </w:pPr>
  </w:style>
  <w:style w:type="paragraph" w:customStyle="1" w:styleId="BTBullet2Last">
    <w:name w:val="BTBullet2Last"/>
    <w:basedOn w:val="BTBullet2"/>
    <w:uiPriority w:val="99"/>
    <w:qFormat/>
    <w:rsid w:val="009A75D7"/>
    <w:pPr>
      <w:spacing w:after="120"/>
    </w:pPr>
  </w:style>
  <w:style w:type="paragraph" w:customStyle="1" w:styleId="Stage">
    <w:name w:val="Stage"/>
    <w:basedOn w:val="BodyText"/>
    <w:next w:val="BodyText"/>
    <w:uiPriority w:val="99"/>
    <w:qFormat/>
    <w:rsid w:val="00EF551D"/>
    <w:pPr>
      <w:numPr>
        <w:numId w:val="15"/>
      </w:numPr>
    </w:pPr>
    <w:rPr>
      <w:rFonts w:ascii="Calibri" w:hAnsi="Calibri"/>
      <w:color w:val="0067AC"/>
      <w:sz w:val="24"/>
    </w:rPr>
  </w:style>
  <w:style w:type="paragraph" w:customStyle="1" w:styleId="Task">
    <w:name w:val="Task"/>
    <w:basedOn w:val="BodyText"/>
    <w:next w:val="BodyText"/>
    <w:uiPriority w:val="99"/>
    <w:qFormat/>
    <w:rsid w:val="00EF551D"/>
    <w:pPr>
      <w:numPr>
        <w:ilvl w:val="1"/>
        <w:numId w:val="15"/>
      </w:numPr>
    </w:pPr>
    <w:rPr>
      <w:rFonts w:ascii="Calibri" w:hAnsi="Calibri"/>
      <w:color w:val="0067AC"/>
    </w:rPr>
  </w:style>
  <w:style w:type="paragraph" w:styleId="TOC7">
    <w:name w:val="toc 7"/>
    <w:basedOn w:val="NormalLeftAligned"/>
    <w:next w:val="Normal"/>
    <w:autoRedefine/>
    <w:uiPriority w:val="39"/>
    <w:rsid w:val="0044073E"/>
    <w:pPr>
      <w:tabs>
        <w:tab w:val="right" w:leader="dot" w:pos="9061"/>
      </w:tabs>
      <w:spacing w:before="0" w:after="0"/>
      <w:ind w:left="851" w:hanging="851"/>
    </w:pPr>
  </w:style>
  <w:style w:type="paragraph" w:customStyle="1" w:styleId="Recommendation">
    <w:name w:val="Recommendation"/>
    <w:basedOn w:val="BoxTitle"/>
    <w:next w:val="TableText"/>
    <w:uiPriority w:val="99"/>
    <w:qFormat/>
    <w:rsid w:val="001C24D0"/>
    <w:pPr>
      <w:numPr>
        <w:ilvl w:val="3"/>
        <w:numId w:val="16"/>
      </w:numPr>
    </w:pPr>
  </w:style>
  <w:style w:type="paragraph" w:customStyle="1" w:styleId="Conclusion">
    <w:name w:val="Conclusion"/>
    <w:basedOn w:val="BoxTitle"/>
    <w:next w:val="TableText"/>
    <w:uiPriority w:val="99"/>
    <w:qFormat/>
    <w:rsid w:val="001C24D0"/>
    <w:pPr>
      <w:numPr>
        <w:ilvl w:val="2"/>
        <w:numId w:val="16"/>
      </w:numPr>
    </w:pPr>
  </w:style>
  <w:style w:type="paragraph" w:customStyle="1" w:styleId="Heading1noPg">
    <w:name w:val="Heading 1noPg"/>
    <w:basedOn w:val="Heading1"/>
    <w:uiPriority w:val="99"/>
    <w:qFormat/>
    <w:rsid w:val="008016B1"/>
    <w:pPr>
      <w:pageBreakBefore w:val="0"/>
      <w:spacing w:before="360"/>
    </w:pPr>
  </w:style>
  <w:style w:type="paragraph" w:customStyle="1" w:styleId="NumbList2">
    <w:name w:val="NumbList2"/>
    <w:basedOn w:val="Normal"/>
    <w:uiPriority w:val="99"/>
    <w:qFormat/>
    <w:rsid w:val="00541215"/>
    <w:pPr>
      <w:numPr>
        <w:ilvl w:val="1"/>
        <w:numId w:val="10"/>
      </w:numPr>
      <w:spacing w:before="0" w:after="0"/>
    </w:pPr>
  </w:style>
  <w:style w:type="paragraph" w:customStyle="1" w:styleId="NumbList2Last">
    <w:name w:val="NumbList2Last"/>
    <w:basedOn w:val="NumbList2"/>
    <w:uiPriority w:val="99"/>
    <w:qFormat/>
    <w:rsid w:val="00F60499"/>
    <w:pPr>
      <w:spacing w:after="120"/>
    </w:pPr>
  </w:style>
  <w:style w:type="paragraph" w:customStyle="1" w:styleId="BTNumbList2">
    <w:name w:val="BTNumbList2"/>
    <w:basedOn w:val="Normal"/>
    <w:uiPriority w:val="99"/>
    <w:qFormat/>
    <w:rsid w:val="00192D1A"/>
    <w:pPr>
      <w:numPr>
        <w:ilvl w:val="1"/>
        <w:numId w:val="13"/>
      </w:numPr>
      <w:spacing w:before="0" w:after="0"/>
    </w:pPr>
  </w:style>
  <w:style w:type="paragraph" w:customStyle="1" w:styleId="NormalIndent2">
    <w:name w:val="NormalIndent2"/>
    <w:basedOn w:val="Normal"/>
    <w:uiPriority w:val="99"/>
    <w:qFormat/>
    <w:rsid w:val="00C97199"/>
    <w:pPr>
      <w:ind w:left="680"/>
    </w:pPr>
  </w:style>
  <w:style w:type="paragraph" w:customStyle="1" w:styleId="BodyTextIndent2">
    <w:name w:val="Body TextIndent2"/>
    <w:basedOn w:val="BodyTextIndent"/>
    <w:uiPriority w:val="99"/>
    <w:qFormat/>
    <w:rsid w:val="00656054"/>
    <w:pPr>
      <w:ind w:left="1531"/>
    </w:pPr>
  </w:style>
  <w:style w:type="paragraph" w:customStyle="1" w:styleId="TableSource">
    <w:name w:val="TableSource"/>
    <w:basedOn w:val="BodyText"/>
    <w:uiPriority w:val="99"/>
    <w:qFormat/>
    <w:rsid w:val="001E4ED8"/>
    <w:pPr>
      <w:spacing w:line="200" w:lineRule="atLeast"/>
    </w:pPr>
    <w:rPr>
      <w:i/>
      <w:sz w:val="18"/>
    </w:rPr>
  </w:style>
  <w:style w:type="paragraph" w:customStyle="1" w:styleId="NormalLeftAligned">
    <w:name w:val="NormalLeftAligned"/>
    <w:basedOn w:val="Normal"/>
    <w:uiPriority w:val="99"/>
    <w:qFormat/>
    <w:rsid w:val="00495771"/>
  </w:style>
  <w:style w:type="paragraph" w:styleId="TOC8">
    <w:name w:val="toc 8"/>
    <w:basedOn w:val="NormalLeftAligned"/>
    <w:next w:val="Normal"/>
    <w:autoRedefine/>
    <w:uiPriority w:val="39"/>
    <w:rsid w:val="00F148E6"/>
    <w:pPr>
      <w:spacing w:before="60" w:after="60"/>
      <w:ind w:left="1134" w:hanging="1134"/>
    </w:pPr>
    <w:rPr>
      <w:rFonts w:ascii="Georgia" w:hAnsi="Georgia"/>
    </w:rPr>
  </w:style>
  <w:style w:type="paragraph" w:styleId="TOC9">
    <w:name w:val="toc 9"/>
    <w:basedOn w:val="NormalLeftAligned"/>
    <w:next w:val="Normal"/>
    <w:autoRedefine/>
    <w:uiPriority w:val="39"/>
    <w:rsid w:val="00495771"/>
    <w:pPr>
      <w:spacing w:after="100"/>
      <w:ind w:left="1600"/>
    </w:pPr>
  </w:style>
  <w:style w:type="numbering" w:customStyle="1" w:styleId="NumbLstBoxes">
    <w:name w:val="NumbLstBoxes"/>
    <w:rsid w:val="001C24D0"/>
    <w:pPr>
      <w:numPr>
        <w:numId w:val="6"/>
      </w:numPr>
    </w:pPr>
  </w:style>
  <w:style w:type="paragraph" w:customStyle="1" w:styleId="Heading2NoNumbNoToc">
    <w:name w:val="Heading 2NoNumbNoToc"/>
    <w:basedOn w:val="Heading2NoNumb"/>
    <w:uiPriority w:val="6"/>
    <w:qFormat/>
    <w:rsid w:val="000142F4"/>
    <w:pPr>
      <w:spacing w:before="0"/>
    </w:pPr>
  </w:style>
  <w:style w:type="character" w:customStyle="1" w:styleId="Heading5Char">
    <w:name w:val="Heading 5 Char"/>
    <w:basedOn w:val="DefaultParagraphFont"/>
    <w:link w:val="Heading5"/>
    <w:uiPriority w:val="29"/>
    <w:rsid w:val="00A43447"/>
    <w:rPr>
      <w:rFonts w:ascii="Calibri" w:eastAsiaTheme="majorEastAsia" w:hAnsi="Calibri" w:cstheme="majorBidi"/>
      <w:b/>
      <w:i/>
      <w:color w:val="0067AC"/>
      <w:sz w:val="22"/>
      <w:szCs w:val="24"/>
    </w:rPr>
  </w:style>
  <w:style w:type="numbering" w:customStyle="1" w:styleId="NumbLstMain">
    <w:name w:val="NumbLstMain"/>
    <w:uiPriority w:val="99"/>
    <w:rsid w:val="00A43447"/>
    <w:pPr>
      <w:numPr>
        <w:numId w:val="7"/>
      </w:numPr>
    </w:pPr>
  </w:style>
  <w:style w:type="paragraph" w:customStyle="1" w:styleId="BoxNumb">
    <w:name w:val="BoxNumb"/>
    <w:basedOn w:val="BoxTitle"/>
    <w:next w:val="Normal"/>
    <w:uiPriority w:val="99"/>
    <w:qFormat/>
    <w:rsid w:val="001C24D0"/>
    <w:pPr>
      <w:numPr>
        <w:ilvl w:val="4"/>
        <w:numId w:val="16"/>
      </w:numPr>
    </w:pPr>
  </w:style>
  <w:style w:type="paragraph" w:customStyle="1" w:styleId="TaskManual">
    <w:name w:val="TaskManual"/>
    <w:basedOn w:val="Task"/>
    <w:uiPriority w:val="99"/>
    <w:qFormat/>
    <w:rsid w:val="00EF551D"/>
    <w:pPr>
      <w:numPr>
        <w:ilvl w:val="0"/>
        <w:numId w:val="0"/>
      </w:numPr>
      <w:ind w:left="1815" w:hanging="964"/>
    </w:pPr>
  </w:style>
  <w:style w:type="paragraph" w:customStyle="1" w:styleId="Box">
    <w:name w:val="Box"/>
    <w:basedOn w:val="Normal"/>
    <w:next w:val="BodyText"/>
    <w:uiPriority w:val="6"/>
    <w:qFormat/>
    <w:rsid w:val="00A43447"/>
    <w:pPr>
      <w:numPr>
        <w:ilvl w:val="7"/>
        <w:numId w:val="20"/>
      </w:numPr>
    </w:pPr>
    <w:rPr>
      <w:rFonts w:ascii="Calibri" w:hAnsi="Calibri"/>
      <w:b/>
      <w:color w:val="0067AC"/>
    </w:rPr>
  </w:style>
  <w:style w:type="character" w:customStyle="1" w:styleId="Heading6Char">
    <w:name w:val="Heading 6 Char"/>
    <w:basedOn w:val="DefaultParagraphFont"/>
    <w:link w:val="Heading6"/>
    <w:uiPriority w:val="99"/>
    <w:semiHidden/>
    <w:rsid w:val="002248F3"/>
    <w:rPr>
      <w:rFonts w:ascii="Calibri" w:eastAsiaTheme="majorEastAsia" w:hAnsi="Calibri" w:cstheme="majorBidi"/>
      <w:b/>
      <w:i/>
      <w:iCs/>
      <w:color w:val="0067AC"/>
      <w:szCs w:val="24"/>
    </w:rPr>
  </w:style>
  <w:style w:type="numbering" w:customStyle="1" w:styleId="NumbLstTableNumb">
    <w:name w:val="NumbLstTableNumb"/>
    <w:rsid w:val="00CF6BC1"/>
    <w:pPr>
      <w:numPr>
        <w:numId w:val="8"/>
      </w:numPr>
    </w:pPr>
  </w:style>
  <w:style w:type="numbering" w:customStyle="1" w:styleId="NumbLstNumb">
    <w:name w:val="NumbLstNumb"/>
    <w:rsid w:val="00541215"/>
    <w:pPr>
      <w:numPr>
        <w:numId w:val="9"/>
      </w:numPr>
    </w:pPr>
  </w:style>
  <w:style w:type="paragraph" w:customStyle="1" w:styleId="NumbList3">
    <w:name w:val="NumbList3"/>
    <w:basedOn w:val="Normal"/>
    <w:uiPriority w:val="99"/>
    <w:rsid w:val="00541215"/>
    <w:pPr>
      <w:numPr>
        <w:ilvl w:val="2"/>
        <w:numId w:val="10"/>
      </w:numPr>
      <w:spacing w:before="0" w:after="0"/>
    </w:pPr>
  </w:style>
  <w:style w:type="paragraph" w:customStyle="1" w:styleId="Bullet1">
    <w:name w:val="Bullet1"/>
    <w:basedOn w:val="Normal"/>
    <w:uiPriority w:val="99"/>
    <w:qFormat/>
    <w:rsid w:val="00666378"/>
    <w:pPr>
      <w:numPr>
        <w:numId w:val="17"/>
      </w:numPr>
      <w:spacing w:before="0" w:after="0"/>
    </w:pPr>
  </w:style>
  <w:style w:type="paragraph" w:customStyle="1" w:styleId="Bullet2">
    <w:name w:val="Bullet2"/>
    <w:basedOn w:val="Normal"/>
    <w:uiPriority w:val="99"/>
    <w:qFormat/>
    <w:rsid w:val="00666378"/>
    <w:pPr>
      <w:numPr>
        <w:ilvl w:val="1"/>
        <w:numId w:val="17"/>
      </w:numPr>
      <w:spacing w:before="0" w:after="0"/>
    </w:pPr>
  </w:style>
  <w:style w:type="paragraph" w:customStyle="1" w:styleId="Bullet3">
    <w:name w:val="Bullet3"/>
    <w:basedOn w:val="Normal"/>
    <w:uiPriority w:val="99"/>
    <w:qFormat/>
    <w:rsid w:val="00666378"/>
    <w:pPr>
      <w:numPr>
        <w:ilvl w:val="2"/>
        <w:numId w:val="17"/>
      </w:numPr>
      <w:spacing w:before="0" w:after="0"/>
    </w:pPr>
  </w:style>
  <w:style w:type="numbering" w:customStyle="1" w:styleId="NumbLstBullet">
    <w:name w:val="NumbLstBullet"/>
    <w:rsid w:val="00666378"/>
    <w:pPr>
      <w:numPr>
        <w:numId w:val="11"/>
      </w:numPr>
    </w:pPr>
  </w:style>
  <w:style w:type="paragraph" w:customStyle="1" w:styleId="Bullet1Last">
    <w:name w:val="Bullet1Last"/>
    <w:basedOn w:val="Bullet1"/>
    <w:uiPriority w:val="99"/>
    <w:qFormat/>
    <w:rsid w:val="00D41F7E"/>
    <w:pPr>
      <w:spacing w:after="120"/>
    </w:pPr>
  </w:style>
  <w:style w:type="paragraph" w:customStyle="1" w:styleId="Bullet2Last">
    <w:name w:val="Bullet2Last"/>
    <w:basedOn w:val="Bullet2"/>
    <w:uiPriority w:val="99"/>
    <w:qFormat/>
    <w:rsid w:val="00D41F7E"/>
    <w:pPr>
      <w:spacing w:after="120"/>
    </w:pPr>
  </w:style>
  <w:style w:type="paragraph" w:customStyle="1" w:styleId="Bullet3Last">
    <w:name w:val="Bullet3Last"/>
    <w:basedOn w:val="Bullet3"/>
    <w:uiPriority w:val="99"/>
    <w:qFormat/>
    <w:rsid w:val="00D41F7E"/>
    <w:pPr>
      <w:spacing w:after="120"/>
    </w:pPr>
  </w:style>
  <w:style w:type="paragraph" w:customStyle="1" w:styleId="BTBullet3Last">
    <w:name w:val="BTBullet3Last"/>
    <w:basedOn w:val="BTBullet3"/>
    <w:uiPriority w:val="99"/>
    <w:qFormat/>
    <w:rsid w:val="009A75D7"/>
    <w:pPr>
      <w:spacing w:after="120"/>
    </w:pPr>
  </w:style>
  <w:style w:type="paragraph" w:customStyle="1" w:styleId="TableBullet">
    <w:name w:val="TableBullet"/>
    <w:basedOn w:val="TableText"/>
    <w:uiPriority w:val="99"/>
    <w:qFormat/>
    <w:rsid w:val="00C06A4D"/>
    <w:pPr>
      <w:numPr>
        <w:numId w:val="14"/>
      </w:numPr>
      <w:spacing w:after="0"/>
    </w:pPr>
  </w:style>
  <w:style w:type="numbering" w:customStyle="1" w:styleId="NumbLstTableBullet">
    <w:name w:val="NumbLstTableBullet"/>
    <w:rsid w:val="004B7144"/>
    <w:pPr>
      <w:numPr>
        <w:numId w:val="12"/>
      </w:numPr>
    </w:pPr>
  </w:style>
  <w:style w:type="paragraph" w:customStyle="1" w:styleId="NumbList3Last">
    <w:name w:val="NumbList3Last"/>
    <w:basedOn w:val="NumbList3"/>
    <w:uiPriority w:val="99"/>
    <w:qFormat/>
    <w:rsid w:val="00192D1A"/>
    <w:pPr>
      <w:spacing w:after="120"/>
      <w:ind w:left="1020" w:hanging="340"/>
    </w:pPr>
  </w:style>
  <w:style w:type="paragraph" w:customStyle="1" w:styleId="BTNumbList3">
    <w:name w:val="BTNumbList3"/>
    <w:basedOn w:val="Normal"/>
    <w:uiPriority w:val="99"/>
    <w:qFormat/>
    <w:rsid w:val="003A4FC4"/>
    <w:pPr>
      <w:numPr>
        <w:ilvl w:val="2"/>
        <w:numId w:val="13"/>
      </w:numPr>
      <w:spacing w:before="0" w:after="0"/>
    </w:pPr>
  </w:style>
  <w:style w:type="paragraph" w:customStyle="1" w:styleId="BTNumbList3Last">
    <w:name w:val="BTNumbList3Last"/>
    <w:basedOn w:val="BTNumbList3"/>
    <w:uiPriority w:val="99"/>
    <w:qFormat/>
    <w:rsid w:val="003A4FC4"/>
    <w:pPr>
      <w:spacing w:after="120"/>
    </w:pPr>
  </w:style>
  <w:style w:type="numbering" w:customStyle="1" w:styleId="NumbLstStage">
    <w:name w:val="NumbLstStage"/>
    <w:rsid w:val="00C06A4D"/>
    <w:pPr>
      <w:numPr>
        <w:numId w:val="15"/>
      </w:numPr>
    </w:pPr>
  </w:style>
  <w:style w:type="paragraph" w:customStyle="1" w:styleId="TableBulletLast">
    <w:name w:val="TableBulletLast"/>
    <w:basedOn w:val="TableBullet"/>
    <w:uiPriority w:val="99"/>
    <w:qFormat/>
    <w:rsid w:val="00C06A4D"/>
    <w:pPr>
      <w:spacing w:after="120"/>
    </w:pPr>
  </w:style>
  <w:style w:type="paragraph" w:styleId="Title">
    <w:name w:val="Title"/>
    <w:basedOn w:val="Normal"/>
    <w:next w:val="Normal"/>
    <w:link w:val="TitleChar"/>
    <w:uiPriority w:val="99"/>
    <w:qFormat/>
    <w:rsid w:val="003150A0"/>
    <w:pPr>
      <w:pBdr>
        <w:bottom w:val="single" w:sz="8" w:space="4" w:color="4F81BD" w:themeColor="accent1"/>
      </w:pBdr>
      <w:spacing w:before="0" w:after="300" w:line="240" w:lineRule="auto"/>
      <w:contextualSpacing/>
    </w:pPr>
    <w:rPr>
      <w:rFonts w:asciiTheme="majorHAnsi" w:eastAsiaTheme="majorEastAsia" w:hAnsiTheme="majorHAnsi" w:cstheme="majorBidi"/>
      <w:color w:val="0067AC"/>
      <w:spacing w:val="5"/>
      <w:kern w:val="28"/>
      <w:sz w:val="52"/>
      <w:szCs w:val="52"/>
    </w:rPr>
  </w:style>
  <w:style w:type="character" w:customStyle="1" w:styleId="TitleChar">
    <w:name w:val="Title Char"/>
    <w:basedOn w:val="DefaultParagraphFont"/>
    <w:link w:val="Title"/>
    <w:uiPriority w:val="99"/>
    <w:semiHidden/>
    <w:rsid w:val="003150A0"/>
    <w:rPr>
      <w:rFonts w:asciiTheme="majorHAnsi" w:eastAsiaTheme="majorEastAsia" w:hAnsiTheme="majorHAnsi" w:cstheme="majorBidi"/>
      <w:color w:val="0067AC"/>
      <w:spacing w:val="5"/>
      <w:kern w:val="28"/>
      <w:sz w:val="52"/>
      <w:szCs w:val="52"/>
    </w:rPr>
  </w:style>
  <w:style w:type="paragraph" w:customStyle="1" w:styleId="AnnexHeading">
    <w:name w:val="AnnexHeading"/>
    <w:basedOn w:val="Normal"/>
    <w:next w:val="Normal"/>
    <w:uiPriority w:val="99"/>
    <w:qFormat/>
    <w:rsid w:val="00404FE4"/>
    <w:pPr>
      <w:keepNext/>
      <w:pageBreakBefore/>
      <w:numPr>
        <w:numId w:val="19"/>
      </w:numPr>
      <w:spacing w:before="0" w:after="240"/>
    </w:pPr>
    <w:rPr>
      <w:rFonts w:ascii="Calibri" w:hAnsi="Calibri"/>
      <w:b/>
      <w:color w:val="0067AC"/>
      <w:sz w:val="32"/>
    </w:rPr>
  </w:style>
  <w:style w:type="paragraph" w:customStyle="1" w:styleId="AnnexH2">
    <w:name w:val="AnnexH2"/>
    <w:basedOn w:val="Normal"/>
    <w:next w:val="BodyText"/>
    <w:uiPriority w:val="99"/>
    <w:qFormat/>
    <w:rsid w:val="00404FE4"/>
    <w:pPr>
      <w:keepNext/>
      <w:numPr>
        <w:ilvl w:val="1"/>
        <w:numId w:val="19"/>
      </w:numPr>
      <w:spacing w:before="200"/>
    </w:pPr>
    <w:rPr>
      <w:rFonts w:ascii="Calibri" w:hAnsi="Calibri"/>
      <w:b/>
      <w:color w:val="0067AC"/>
      <w:sz w:val="26"/>
    </w:rPr>
  </w:style>
  <w:style w:type="paragraph" w:customStyle="1" w:styleId="AnnexH3">
    <w:name w:val="AnnexH3"/>
    <w:basedOn w:val="Normal"/>
    <w:next w:val="BodyText"/>
    <w:uiPriority w:val="99"/>
    <w:qFormat/>
    <w:rsid w:val="00404FE4"/>
    <w:pPr>
      <w:keepNext/>
      <w:numPr>
        <w:ilvl w:val="2"/>
        <w:numId w:val="19"/>
      </w:numPr>
      <w:spacing w:before="200"/>
    </w:pPr>
    <w:rPr>
      <w:rFonts w:ascii="Calibri" w:hAnsi="Calibri"/>
      <w:b/>
      <w:color w:val="0067AC"/>
      <w:sz w:val="22"/>
    </w:rPr>
  </w:style>
  <w:style w:type="paragraph" w:customStyle="1" w:styleId="AnnexH4">
    <w:name w:val="AnnexH4"/>
    <w:basedOn w:val="Normal"/>
    <w:next w:val="BodyText"/>
    <w:uiPriority w:val="99"/>
    <w:qFormat/>
    <w:rsid w:val="00404FE4"/>
    <w:pPr>
      <w:keepNext/>
      <w:numPr>
        <w:ilvl w:val="3"/>
        <w:numId w:val="19"/>
      </w:numPr>
    </w:pPr>
    <w:rPr>
      <w:rFonts w:ascii="Calibri" w:hAnsi="Calibri"/>
      <w:b/>
      <w:i/>
      <w:color w:val="0067AC"/>
      <w:sz w:val="22"/>
    </w:rPr>
  </w:style>
  <w:style w:type="paragraph" w:customStyle="1" w:styleId="AnnexTable">
    <w:name w:val="AnnexTable"/>
    <w:basedOn w:val="Normal"/>
    <w:next w:val="BodyText"/>
    <w:uiPriority w:val="99"/>
    <w:qFormat/>
    <w:rsid w:val="00404FE4"/>
    <w:pPr>
      <w:keepNext/>
      <w:numPr>
        <w:ilvl w:val="4"/>
        <w:numId w:val="19"/>
      </w:numPr>
    </w:pPr>
    <w:rPr>
      <w:rFonts w:ascii="Calibri" w:hAnsi="Calibri"/>
      <w:b/>
      <w:color w:val="0067AC"/>
    </w:rPr>
  </w:style>
  <w:style w:type="paragraph" w:customStyle="1" w:styleId="AnnexFigure">
    <w:name w:val="AnnexFigure"/>
    <w:basedOn w:val="Normal"/>
    <w:next w:val="BodyText"/>
    <w:uiPriority w:val="99"/>
    <w:qFormat/>
    <w:rsid w:val="00404FE4"/>
    <w:pPr>
      <w:keepNext/>
      <w:numPr>
        <w:ilvl w:val="5"/>
        <w:numId w:val="19"/>
      </w:numPr>
    </w:pPr>
    <w:rPr>
      <w:rFonts w:ascii="Calibri" w:hAnsi="Calibri"/>
      <w:b/>
      <w:color w:val="0067AC"/>
    </w:rPr>
  </w:style>
  <w:style w:type="numbering" w:customStyle="1" w:styleId="NumbLstAnnex">
    <w:name w:val="NumbLstAnnex"/>
    <w:rsid w:val="00404FE4"/>
    <w:pPr>
      <w:numPr>
        <w:numId w:val="18"/>
      </w:numPr>
    </w:pPr>
  </w:style>
  <w:style w:type="paragraph" w:customStyle="1" w:styleId="AnnexHeadingNoPage">
    <w:name w:val="AnnexHeading NoPage"/>
    <w:basedOn w:val="AnnexHeading"/>
    <w:next w:val="Normal"/>
    <w:uiPriority w:val="99"/>
    <w:qFormat/>
    <w:rsid w:val="00844A98"/>
    <w:pPr>
      <w:pageBreakBefore w:val="0"/>
    </w:pPr>
  </w:style>
  <w:style w:type="paragraph" w:customStyle="1" w:styleId="StyleTableTextNoSpace8pt">
    <w:name w:val="Style TableTextNoSpace + 8 pt"/>
    <w:basedOn w:val="TableTextNoSpace"/>
    <w:rsid w:val="00095BA6"/>
    <w:rPr>
      <w:sz w:val="16"/>
    </w:rPr>
  </w:style>
  <w:style w:type="numbering" w:customStyle="1" w:styleId="NumbLstBTBullet">
    <w:name w:val="NumbLstBTBullet"/>
    <w:rsid w:val="0094009F"/>
    <w:pPr>
      <w:numPr>
        <w:numId w:val="21"/>
      </w:numPr>
    </w:pPr>
  </w:style>
  <w:style w:type="paragraph" w:customStyle="1" w:styleId="Otherheading1">
    <w:name w:val="Other heading 1"/>
    <w:basedOn w:val="Heading1"/>
    <w:uiPriority w:val="99"/>
    <w:rsid w:val="00660C9C"/>
    <w:pPr>
      <w:keepLines w:val="0"/>
      <w:pageBreakBefore w:val="0"/>
      <w:numPr>
        <w:numId w:val="0"/>
      </w:numPr>
      <w:tabs>
        <w:tab w:val="left" w:pos="1021"/>
        <w:tab w:val="left" w:pos="1418"/>
        <w:tab w:val="left" w:pos="1786"/>
        <w:tab w:val="left" w:pos="2381"/>
        <w:tab w:val="left" w:pos="2948"/>
        <w:tab w:val="left" w:pos="3572"/>
        <w:tab w:val="left" w:pos="4139"/>
        <w:tab w:val="left" w:pos="4763"/>
        <w:tab w:val="left" w:pos="5387"/>
        <w:tab w:val="left" w:pos="5954"/>
        <w:tab w:val="left" w:pos="6577"/>
        <w:tab w:val="left" w:pos="7144"/>
      </w:tabs>
      <w:spacing w:before="120" w:after="120" w:line="240" w:lineRule="auto"/>
    </w:pPr>
    <w:rPr>
      <w:rFonts w:ascii="Verdana" w:eastAsia="Calibri" w:hAnsi="Verdana" w:cs="Verdana"/>
      <w:caps/>
      <w:color w:val="000080"/>
      <w:kern w:val="28"/>
      <w:sz w:val="28"/>
      <w:lang w:val="x-none" w:eastAsia="en-GB"/>
    </w:rPr>
  </w:style>
  <w:style w:type="paragraph" w:customStyle="1" w:styleId="ColorfulList-Accent12">
    <w:name w:val="Colorful List - Accent 12"/>
    <w:basedOn w:val="Normal"/>
    <w:uiPriority w:val="34"/>
    <w:qFormat/>
    <w:rsid w:val="00660C9C"/>
    <w:pPr>
      <w:ind w:left="720"/>
    </w:pPr>
    <w:rPr>
      <w:rFonts w:eastAsia="Calibri" w:cs="Arial"/>
      <w:szCs w:val="20"/>
    </w:rPr>
  </w:style>
  <w:style w:type="numbering" w:customStyle="1" w:styleId="NumbLstTableBullet1">
    <w:name w:val="NumbLstTableBullet1"/>
    <w:rsid w:val="00660C9C"/>
    <w:pPr>
      <w:numPr>
        <w:numId w:val="10"/>
      </w:numPr>
    </w:pPr>
  </w:style>
  <w:style w:type="character" w:customStyle="1" w:styleId="newdocreference">
    <w:name w:val="newdocreference"/>
    <w:rsid w:val="00660C9C"/>
  </w:style>
  <w:style w:type="character" w:customStyle="1" w:styleId="a">
    <w:name w:val="Знаци за бележки под линия"/>
    <w:rsid w:val="00660C9C"/>
    <w:rPr>
      <w:vertAlign w:val="superscript"/>
    </w:rPr>
  </w:style>
  <w:style w:type="paragraph" w:customStyle="1" w:styleId="Footnoteuser">
    <w:name w:val="Footnote (user)"/>
    <w:basedOn w:val="Normal"/>
    <w:rsid w:val="00660C9C"/>
    <w:pPr>
      <w:suppressLineNumbers/>
      <w:suppressAutoHyphens/>
      <w:ind w:left="283" w:hanging="283"/>
      <w:textAlignment w:val="baseline"/>
    </w:pPr>
    <w:rPr>
      <w:rFonts w:eastAsia="Calibri" w:cs="Arial"/>
      <w:kern w:val="1"/>
      <w:szCs w:val="20"/>
      <w:lang w:eastAsia="ar-SA"/>
    </w:rPr>
  </w:style>
  <w:style w:type="character" w:customStyle="1" w:styleId="FootnoteCharacters">
    <w:name w:val="Footnote Characters"/>
    <w:rsid w:val="00AC7914"/>
    <w:rPr>
      <w:rFonts w:cs="Times New Roman"/>
      <w:vertAlign w:val="superscript"/>
    </w:rPr>
  </w:style>
  <w:style w:type="paragraph" w:customStyle="1" w:styleId="Standarduser">
    <w:name w:val="Standard (user)"/>
    <w:rsid w:val="00AC7914"/>
    <w:pPr>
      <w:suppressAutoHyphens/>
      <w:spacing w:before="120" w:after="120" w:line="240" w:lineRule="atLeast"/>
      <w:textAlignment w:val="baseline"/>
    </w:pPr>
    <w:rPr>
      <w:rFonts w:ascii="Arial" w:eastAsia="Calibri" w:hAnsi="Arial" w:cs="Arial"/>
      <w:kern w:val="1"/>
      <w:lang w:eastAsia="ar-SA"/>
    </w:rPr>
  </w:style>
  <w:style w:type="paragraph" w:customStyle="1" w:styleId="ColorfulList-Accent11">
    <w:name w:val="Colorful List - Accent 11"/>
    <w:basedOn w:val="Normal"/>
    <w:uiPriority w:val="99"/>
    <w:qFormat/>
    <w:rsid w:val="00AC7914"/>
    <w:pPr>
      <w:spacing w:before="0" w:line="240" w:lineRule="auto"/>
      <w:ind w:left="720"/>
    </w:pPr>
    <w:rPr>
      <w:rFonts w:ascii="Calibri" w:eastAsia="Times New Roman" w:hAnsi="Calibri" w:cs="Calibri"/>
      <w:sz w:val="22"/>
      <w:szCs w:val="22"/>
      <w:lang w:val="en-US"/>
    </w:rPr>
  </w:style>
  <w:style w:type="character" w:customStyle="1" w:styleId="Heading2Char4">
    <w:name w:val="Heading 2 Char4"/>
    <w:aliases w:val="F4 Heading 2 - SubSection Char4,(SubSection) Char4,h2 Char4,Para Nos Char4,Para Char4,Main Heading Char4,Main Headi Char4,Numbered - 2 Char4,(Main Heading) Char4,Paragraph Char4,Sub Heading Char4,ignorer2 Char4,Oscar Faber 2 Char4,2H Cha"/>
    <w:uiPriority w:val="99"/>
    <w:semiHidden/>
    <w:rsid w:val="00AC7914"/>
    <w:rPr>
      <w:rFonts w:ascii="Cambria" w:hAnsi="Cambria" w:cs="Times New Roman"/>
      <w:b/>
      <w:bCs/>
      <w:i/>
      <w:iCs/>
      <w:sz w:val="28"/>
      <w:szCs w:val="28"/>
      <w:lang w:eastAsia="en-US"/>
    </w:rPr>
  </w:style>
  <w:style w:type="character" w:customStyle="1" w:styleId="Heading2Char3">
    <w:name w:val="Heading 2 Char3"/>
    <w:aliases w:val="F4 Heading 2 - SubSection Char3,(SubSection) Char3,h2 Char3,Para Nos Char3,Para Char3,Main Heading Char3,Main Headi Char3,Numbered - 2 Char3,(Main Heading) Char3,Paragraph Char3,Sub Heading Char3,ignorer2 Char3,Oscar Faber 2 Char3,2H Ch"/>
    <w:uiPriority w:val="99"/>
    <w:semiHidden/>
    <w:rsid w:val="00AC7914"/>
    <w:rPr>
      <w:rFonts w:ascii="Cambria" w:hAnsi="Cambria" w:cs="Cambria"/>
      <w:b/>
      <w:bCs/>
      <w:i/>
      <w:iCs/>
      <w:sz w:val="28"/>
      <w:szCs w:val="28"/>
      <w:lang w:eastAsia="en-US"/>
    </w:rPr>
  </w:style>
  <w:style w:type="character" w:customStyle="1" w:styleId="Heading2Char2">
    <w:name w:val="Heading 2 Char2"/>
    <w:aliases w:val="F4 Heading 2 - SubSection Char2,(SubSection) Char2,h2 Char2,Para Nos Char2,Para Char2,Main Heading Char2,Main Headi Char2,Numbered - 2 Char2,(Main Heading) Char2,Paragraph Char2,Sub Heading Char2,ignorer2 Char2,Oscar Faber 2 Char2,2H Ch1"/>
    <w:uiPriority w:val="99"/>
    <w:semiHidden/>
    <w:rsid w:val="00AC7914"/>
    <w:rPr>
      <w:rFonts w:ascii="Cambria" w:hAnsi="Cambria" w:cs="Cambria"/>
      <w:b/>
      <w:bCs/>
      <w:i/>
      <w:iCs/>
      <w:sz w:val="28"/>
      <w:szCs w:val="28"/>
      <w:lang w:eastAsia="en-US"/>
    </w:rPr>
  </w:style>
  <w:style w:type="character" w:customStyle="1" w:styleId="Heading2Char1">
    <w:name w:val="Heading 2 Char1"/>
    <w:aliases w:val="F4 Heading 2 - SubSection Char1,(SubSection) Char1,h2 Char1,Para Nos Char1,Para Char1,Main Heading Char1,Main Headi Char1,Numbered - 2 Char1,(Main Heading) Char1,Paragraph Char1,Sub Heading Char1,ignorer2 Char1,Oscar Faber 2 Char1,2 Char"/>
    <w:uiPriority w:val="99"/>
    <w:locked/>
    <w:rsid w:val="00AC7914"/>
    <w:rPr>
      <w:rFonts w:ascii="Calibri" w:eastAsia="Calibri" w:hAnsi="Calibri"/>
      <w:b/>
      <w:bCs/>
      <w:color w:val="0067AC"/>
      <w:sz w:val="26"/>
      <w:szCs w:val="26"/>
      <w:lang w:val="x-none" w:eastAsia="x-none" w:bidi="ar-SA"/>
    </w:rPr>
  </w:style>
  <w:style w:type="paragraph" w:customStyle="1" w:styleId="ColorfulGrid-Accent11">
    <w:name w:val="Colorful Grid - Accent 11"/>
    <w:basedOn w:val="Normal"/>
    <w:next w:val="Normal"/>
    <w:link w:val="ColorfulGrid-Accent1Char"/>
    <w:uiPriority w:val="99"/>
    <w:qFormat/>
    <w:rsid w:val="00AC7914"/>
    <w:pPr>
      <w:ind w:left="851"/>
    </w:pPr>
    <w:rPr>
      <w:rFonts w:eastAsia="Calibri"/>
      <w:i/>
      <w:iCs/>
      <w:color w:val="000000"/>
      <w:sz w:val="24"/>
      <w:lang w:val="x-none" w:eastAsia="x-none"/>
    </w:rPr>
  </w:style>
  <w:style w:type="character" w:customStyle="1" w:styleId="ColorfulGrid-Accent1Char">
    <w:name w:val="Colorful Grid - Accent 1 Char"/>
    <w:link w:val="ColorfulGrid-Accent11"/>
    <w:uiPriority w:val="99"/>
    <w:locked/>
    <w:rsid w:val="00AC7914"/>
    <w:rPr>
      <w:rFonts w:ascii="Arial" w:eastAsia="Calibri" w:hAnsi="Arial"/>
      <w:i/>
      <w:iCs/>
      <w:color w:val="000000"/>
      <w:sz w:val="24"/>
      <w:szCs w:val="24"/>
      <w:lang w:val="x-none" w:eastAsia="x-none"/>
    </w:rPr>
  </w:style>
  <w:style w:type="character" w:customStyle="1" w:styleId="MediumGrid11">
    <w:name w:val="Medium Grid 11"/>
    <w:uiPriority w:val="99"/>
    <w:semiHidden/>
    <w:rsid w:val="00AC7914"/>
    <w:rPr>
      <w:rFonts w:cs="Times New Roman"/>
      <w:color w:val="808080"/>
    </w:rPr>
  </w:style>
  <w:style w:type="paragraph" w:customStyle="1" w:styleId="F6ListBullet">
    <w:name w:val="F6 List Bullet"/>
    <w:basedOn w:val="Normal"/>
    <w:uiPriority w:val="99"/>
    <w:rsid w:val="00AC7914"/>
    <w:pPr>
      <w:numPr>
        <w:numId w:val="24"/>
      </w:numPr>
      <w:spacing w:before="0" w:line="264" w:lineRule="auto"/>
      <w:jc w:val="both"/>
    </w:pPr>
    <w:rPr>
      <w:rFonts w:eastAsia="Calibri" w:cs="Arial"/>
      <w:szCs w:val="20"/>
    </w:rPr>
  </w:style>
  <w:style w:type="character" w:styleId="CommentReference">
    <w:name w:val="annotation reference"/>
    <w:uiPriority w:val="99"/>
    <w:rsid w:val="00AC7914"/>
    <w:rPr>
      <w:rFonts w:cs="Times New Roman"/>
      <w:sz w:val="16"/>
      <w:szCs w:val="16"/>
    </w:rPr>
  </w:style>
  <w:style w:type="paragraph" w:styleId="CommentText">
    <w:name w:val="annotation text"/>
    <w:basedOn w:val="Normal"/>
    <w:link w:val="CommentTextChar"/>
    <w:uiPriority w:val="99"/>
    <w:rsid w:val="00AC7914"/>
    <w:pPr>
      <w:spacing w:line="240" w:lineRule="auto"/>
    </w:pPr>
    <w:rPr>
      <w:rFonts w:eastAsia="Calibri"/>
      <w:szCs w:val="20"/>
      <w:lang w:val="x-none" w:eastAsia="x-none"/>
    </w:rPr>
  </w:style>
  <w:style w:type="character" w:customStyle="1" w:styleId="CommentTextChar">
    <w:name w:val="Comment Text Char"/>
    <w:basedOn w:val="DefaultParagraphFont"/>
    <w:link w:val="CommentText"/>
    <w:uiPriority w:val="99"/>
    <w:rsid w:val="00AC7914"/>
    <w:rPr>
      <w:rFonts w:ascii="Arial" w:eastAsia="Calibri" w:hAnsi="Arial"/>
      <w:lang w:val="x-none" w:eastAsia="x-none"/>
    </w:rPr>
  </w:style>
  <w:style w:type="paragraph" w:styleId="CommentSubject">
    <w:name w:val="annotation subject"/>
    <w:basedOn w:val="CommentText"/>
    <w:next w:val="CommentText"/>
    <w:link w:val="CommentSubjectChar"/>
    <w:uiPriority w:val="99"/>
    <w:semiHidden/>
    <w:rsid w:val="00AC7914"/>
    <w:rPr>
      <w:b/>
      <w:bCs/>
    </w:rPr>
  </w:style>
  <w:style w:type="character" w:customStyle="1" w:styleId="CommentSubjectChar">
    <w:name w:val="Comment Subject Char"/>
    <w:basedOn w:val="CommentTextChar"/>
    <w:link w:val="CommentSubject"/>
    <w:uiPriority w:val="99"/>
    <w:semiHidden/>
    <w:rsid w:val="00AC7914"/>
    <w:rPr>
      <w:rFonts w:ascii="Arial" w:eastAsia="Calibri" w:hAnsi="Arial"/>
      <w:b/>
      <w:bCs/>
      <w:lang w:val="x-none" w:eastAsia="x-none"/>
    </w:rPr>
  </w:style>
  <w:style w:type="paragraph" w:customStyle="1" w:styleId="Default">
    <w:name w:val="Default"/>
    <w:uiPriority w:val="99"/>
    <w:rsid w:val="00AC7914"/>
    <w:pPr>
      <w:autoSpaceDE w:val="0"/>
      <w:autoSpaceDN w:val="0"/>
      <w:adjustRightInd w:val="0"/>
    </w:pPr>
    <w:rPr>
      <w:rFonts w:ascii="Arial" w:eastAsia="Calibri" w:hAnsi="Arial" w:cs="Arial"/>
      <w:color w:val="000000"/>
      <w:sz w:val="24"/>
      <w:szCs w:val="24"/>
    </w:rPr>
  </w:style>
  <w:style w:type="paragraph" w:customStyle="1" w:styleId="SecondTierList">
    <w:name w:val="Second Tier List"/>
    <w:basedOn w:val="Normal"/>
    <w:uiPriority w:val="99"/>
    <w:rsid w:val="00AC7914"/>
    <w:pPr>
      <w:numPr>
        <w:ilvl w:val="1"/>
        <w:numId w:val="25"/>
      </w:numPr>
      <w:spacing w:before="0" w:line="264" w:lineRule="auto"/>
    </w:pPr>
    <w:rPr>
      <w:rFonts w:eastAsia="Times New Roman" w:cs="Arial"/>
      <w:szCs w:val="20"/>
    </w:rPr>
  </w:style>
  <w:style w:type="paragraph" w:customStyle="1" w:styleId="ListBullet0">
    <w:name w:val="ListBullet"/>
    <w:basedOn w:val="Normal"/>
    <w:uiPriority w:val="99"/>
    <w:rsid w:val="00AC7914"/>
    <w:pPr>
      <w:tabs>
        <w:tab w:val="num" w:pos="1778"/>
      </w:tabs>
      <w:spacing w:before="0" w:line="264" w:lineRule="auto"/>
      <w:ind w:left="1758" w:hanging="340"/>
      <w:jc w:val="both"/>
    </w:pPr>
    <w:rPr>
      <w:rFonts w:eastAsia="Times New Roman" w:cs="Arial"/>
      <w:szCs w:val="20"/>
    </w:rPr>
  </w:style>
  <w:style w:type="paragraph" w:customStyle="1" w:styleId="BodyTextBold">
    <w:name w:val="Body Text Bold"/>
    <w:basedOn w:val="Normal"/>
    <w:uiPriority w:val="99"/>
    <w:rsid w:val="00AC7914"/>
    <w:pPr>
      <w:spacing w:line="264" w:lineRule="auto"/>
      <w:ind w:left="907"/>
      <w:jc w:val="both"/>
    </w:pPr>
    <w:rPr>
      <w:rFonts w:eastAsia="Calibri" w:cs="Arial"/>
      <w:b/>
      <w:bCs/>
      <w:szCs w:val="20"/>
    </w:rPr>
  </w:style>
  <w:style w:type="character" w:customStyle="1" w:styleId="field-content">
    <w:name w:val="field-content"/>
    <w:uiPriority w:val="99"/>
    <w:rsid w:val="00AC7914"/>
    <w:rPr>
      <w:rFonts w:cs="Times New Roman"/>
    </w:rPr>
  </w:style>
  <w:style w:type="character" w:customStyle="1" w:styleId="d3">
    <w:name w:val="d3"/>
    <w:uiPriority w:val="99"/>
    <w:rsid w:val="00AC7914"/>
    <w:rPr>
      <w:rFonts w:cs="Times New Roman"/>
    </w:rPr>
  </w:style>
  <w:style w:type="paragraph" w:styleId="ListNumber3">
    <w:name w:val="List Number 3"/>
    <w:basedOn w:val="Normal"/>
    <w:uiPriority w:val="99"/>
    <w:rsid w:val="00AC7914"/>
    <w:pPr>
      <w:tabs>
        <w:tab w:val="num" w:pos="926"/>
      </w:tabs>
      <w:spacing w:before="0" w:line="264" w:lineRule="auto"/>
      <w:ind w:left="926" w:hanging="360"/>
      <w:jc w:val="both"/>
    </w:pPr>
    <w:rPr>
      <w:rFonts w:eastAsia="Times New Roman" w:cs="Arial"/>
      <w:szCs w:val="20"/>
    </w:rPr>
  </w:style>
  <w:style w:type="character" w:styleId="FollowedHyperlink">
    <w:name w:val="FollowedHyperlink"/>
    <w:uiPriority w:val="99"/>
    <w:semiHidden/>
    <w:rsid w:val="00AC7914"/>
    <w:rPr>
      <w:rFonts w:cs="Times New Roman"/>
      <w:color w:val="800080"/>
      <w:u w:val="single"/>
    </w:rPr>
  </w:style>
  <w:style w:type="paragraph" w:styleId="BodyText3">
    <w:name w:val="Body Text 3"/>
    <w:basedOn w:val="Normal"/>
    <w:link w:val="BodyText3Char"/>
    <w:uiPriority w:val="99"/>
    <w:semiHidden/>
    <w:rsid w:val="00AC7914"/>
    <w:rPr>
      <w:rFonts w:eastAsia="Calibri"/>
      <w:sz w:val="16"/>
      <w:szCs w:val="16"/>
      <w:lang w:val="x-none" w:eastAsia="x-none"/>
    </w:rPr>
  </w:style>
  <w:style w:type="character" w:customStyle="1" w:styleId="BodyText3Char">
    <w:name w:val="Body Text 3 Char"/>
    <w:basedOn w:val="DefaultParagraphFont"/>
    <w:link w:val="BodyText3"/>
    <w:uiPriority w:val="99"/>
    <w:semiHidden/>
    <w:rsid w:val="00AC7914"/>
    <w:rPr>
      <w:rFonts w:ascii="Arial" w:eastAsia="Calibri" w:hAnsi="Arial"/>
      <w:sz w:val="16"/>
      <w:szCs w:val="16"/>
      <w:lang w:val="x-none" w:eastAsia="x-none"/>
    </w:rPr>
  </w:style>
  <w:style w:type="paragraph" w:styleId="Subtitle">
    <w:name w:val="Subtitle"/>
    <w:aliases w:val="Annex"/>
    <w:basedOn w:val="Normal"/>
    <w:next w:val="Normal"/>
    <w:link w:val="SubtitleChar"/>
    <w:uiPriority w:val="99"/>
    <w:qFormat/>
    <w:rsid w:val="00AC7914"/>
    <w:pPr>
      <w:numPr>
        <w:ilvl w:val="1"/>
      </w:numPr>
      <w:spacing w:before="0" w:after="0" w:line="240" w:lineRule="auto"/>
    </w:pPr>
    <w:rPr>
      <w:rFonts w:ascii="Century Gothic" w:eastAsia="Calibri" w:hAnsi="Century Gothic"/>
      <w:b/>
      <w:bCs/>
      <w:spacing w:val="15"/>
      <w:sz w:val="24"/>
      <w:lang w:val="x-none" w:eastAsia="fr-FR"/>
    </w:rPr>
  </w:style>
  <w:style w:type="character" w:customStyle="1" w:styleId="SubtitleChar">
    <w:name w:val="Subtitle Char"/>
    <w:aliases w:val="Annex Char"/>
    <w:basedOn w:val="DefaultParagraphFont"/>
    <w:link w:val="Subtitle"/>
    <w:uiPriority w:val="99"/>
    <w:rsid w:val="00AC7914"/>
    <w:rPr>
      <w:rFonts w:ascii="Century Gothic" w:eastAsia="Calibri" w:hAnsi="Century Gothic"/>
      <w:b/>
      <w:bCs/>
      <w:spacing w:val="15"/>
      <w:sz w:val="24"/>
      <w:szCs w:val="24"/>
      <w:lang w:val="x-none" w:eastAsia="fr-FR"/>
    </w:rPr>
  </w:style>
  <w:style w:type="table" w:styleId="LightGrid-Accent6">
    <w:name w:val="Light Grid Accent 6"/>
    <w:basedOn w:val="TableNormal"/>
    <w:uiPriority w:val="99"/>
    <w:rsid w:val="00AC7914"/>
    <w:rPr>
      <w:rFonts w:ascii="Calibri" w:eastAsia="Calibri" w:hAnsi="Calibri" w:cs="Calibri"/>
      <w:color w:val="000000"/>
      <w:lang w:val="en-US"/>
    </w:rPr>
    <w:tblPr>
      <w:tblStyleRowBandSize w:val="1"/>
      <w:tblStyleColBandSize w:val="1"/>
    </w:tblPr>
    <w:tcPr>
      <w:shd w:val="clear" w:color="auto" w:fill="F2EFF6"/>
    </w:tcPr>
    <w:tblStylePr w:type="firstRow">
      <w:rPr>
        <w:rFonts w:cs="Wingdings"/>
        <w:b/>
        <w:bCs/>
        <w:color w:val="FFFFFF"/>
      </w:rPr>
      <w:tblPr/>
      <w:tcPr>
        <w:tcBorders>
          <w:bottom w:val="single" w:sz="12" w:space="0" w:color="FFFFFF"/>
        </w:tcBorders>
        <w:shd w:val="clear" w:color="auto" w:fill="7E9C40"/>
      </w:tcPr>
    </w:tblStylePr>
    <w:tblStylePr w:type="lastRow">
      <w:rPr>
        <w:rFonts w:cs="Wingdings"/>
        <w:b/>
        <w:bCs/>
        <w:color w:val="7E9C40"/>
      </w:rPr>
      <w:tblPr/>
      <w:tcPr>
        <w:tcBorders>
          <w:top w:val="single" w:sz="12" w:space="0" w:color="000000"/>
        </w:tcBorders>
        <w:shd w:val="clear" w:color="auto" w:fill="FFFFFF"/>
      </w:tcPr>
    </w:tblStylePr>
    <w:tblStylePr w:type="firstCol">
      <w:rPr>
        <w:rFonts w:cs="Wingdings"/>
        <w:b/>
        <w:bCs/>
      </w:rPr>
    </w:tblStylePr>
    <w:tblStylePr w:type="lastCol">
      <w:rPr>
        <w:rFonts w:cs="Wingdings"/>
        <w:b/>
        <w:bCs/>
      </w:rPr>
    </w:tblStylePr>
    <w:tblStylePr w:type="band1Vert">
      <w:rPr>
        <w:rFonts w:cs="Wingdings"/>
      </w:rPr>
      <w:tblPr/>
      <w:tcPr>
        <w:tcBorders>
          <w:top w:val="nil"/>
          <w:left w:val="nil"/>
          <w:bottom w:val="nil"/>
          <w:right w:val="nil"/>
          <w:insideH w:val="nil"/>
          <w:insideV w:val="nil"/>
        </w:tcBorders>
        <w:shd w:val="clear" w:color="auto" w:fill="DFD8E8"/>
      </w:tcPr>
    </w:tblStylePr>
    <w:tblStylePr w:type="band1Horz">
      <w:rPr>
        <w:rFonts w:cs="Wingdings"/>
      </w:rPr>
      <w:tblPr/>
      <w:tcPr>
        <w:shd w:val="clear" w:color="auto" w:fill="E5DFEC"/>
      </w:tcPr>
    </w:tblStylePr>
  </w:style>
  <w:style w:type="table" w:customStyle="1" w:styleId="ColorfulList-Accent61">
    <w:name w:val="Colorful List - Accent 61"/>
    <w:basedOn w:val="TableNormal"/>
    <w:uiPriority w:val="99"/>
    <w:rsid w:val="00AC7914"/>
    <w:rPr>
      <w:rFonts w:ascii="Calibri" w:eastAsia="Calibri" w:hAnsi="Calibri" w:cs="Calibri"/>
      <w:color w:val="000000"/>
      <w:lang w:val="en-US"/>
    </w:rPr>
    <w:tblPr>
      <w:tblStyleRowBandSize w:val="1"/>
      <w:tblStyleColBandSize w:val="1"/>
    </w:tblPr>
    <w:tcPr>
      <w:shd w:val="clear" w:color="auto" w:fill="FEF4EC"/>
    </w:tcPr>
    <w:tblStylePr w:type="firstRow">
      <w:rPr>
        <w:rFonts w:cs="Wingdings"/>
        <w:b/>
        <w:bCs/>
        <w:color w:val="FFFFFF"/>
      </w:rPr>
      <w:tblPr/>
      <w:tcPr>
        <w:tcBorders>
          <w:bottom w:val="single" w:sz="12" w:space="0" w:color="FFFFFF"/>
        </w:tcBorders>
        <w:shd w:val="clear" w:color="auto" w:fill="348DA5"/>
      </w:tcPr>
    </w:tblStylePr>
    <w:tblStylePr w:type="lastRow">
      <w:rPr>
        <w:rFonts w:cs="Wingdings"/>
        <w:b/>
        <w:bCs/>
        <w:color w:val="348DA5"/>
      </w:rPr>
      <w:tblPr/>
      <w:tcPr>
        <w:tcBorders>
          <w:top w:val="single" w:sz="12" w:space="0" w:color="000000"/>
        </w:tcBorders>
        <w:shd w:val="clear" w:color="auto" w:fill="FFFFFF"/>
      </w:tcPr>
    </w:tblStylePr>
    <w:tblStylePr w:type="firstCol">
      <w:rPr>
        <w:rFonts w:cs="Wingdings"/>
        <w:b/>
        <w:bCs/>
      </w:rPr>
    </w:tblStylePr>
    <w:tblStylePr w:type="lastCol">
      <w:rPr>
        <w:rFonts w:cs="Wingdings"/>
        <w:b/>
        <w:bCs/>
      </w:rPr>
    </w:tblStylePr>
    <w:tblStylePr w:type="band1Vert">
      <w:rPr>
        <w:rFonts w:cs="Wingdings"/>
      </w:rPr>
      <w:tblPr/>
      <w:tcPr>
        <w:tcBorders>
          <w:top w:val="nil"/>
          <w:left w:val="nil"/>
          <w:bottom w:val="nil"/>
          <w:right w:val="nil"/>
          <w:insideH w:val="nil"/>
          <w:insideV w:val="nil"/>
        </w:tcBorders>
        <w:shd w:val="clear" w:color="auto" w:fill="FDE4D0"/>
      </w:tcPr>
    </w:tblStylePr>
    <w:tblStylePr w:type="band1Horz">
      <w:rPr>
        <w:rFonts w:cs="Wingdings"/>
      </w:rPr>
      <w:tblPr/>
      <w:tcPr>
        <w:shd w:val="clear" w:color="auto" w:fill="FDE9D9"/>
      </w:tcPr>
    </w:tblStylePr>
  </w:style>
  <w:style w:type="character" w:customStyle="1" w:styleId="apple-converted-space">
    <w:name w:val="apple-converted-space"/>
    <w:uiPriority w:val="99"/>
    <w:rsid w:val="00AC7914"/>
    <w:rPr>
      <w:rFonts w:cs="Times New Roman"/>
    </w:rPr>
  </w:style>
  <w:style w:type="paragraph" w:styleId="NormalWeb">
    <w:name w:val="Normal (Web)"/>
    <w:basedOn w:val="Normal"/>
    <w:uiPriority w:val="99"/>
    <w:rsid w:val="00AC7914"/>
    <w:pPr>
      <w:spacing w:before="100" w:beforeAutospacing="1" w:after="100" w:afterAutospacing="1" w:line="240" w:lineRule="auto"/>
    </w:pPr>
    <w:rPr>
      <w:rFonts w:eastAsia="Calibri" w:cs="Arial"/>
      <w:sz w:val="24"/>
      <w:lang w:eastAsia="en-GB"/>
    </w:rPr>
  </w:style>
  <w:style w:type="paragraph" w:styleId="PlainText">
    <w:name w:val="Plain Text"/>
    <w:basedOn w:val="Normal"/>
    <w:link w:val="PlainTextChar"/>
    <w:uiPriority w:val="99"/>
    <w:semiHidden/>
    <w:rsid w:val="00AC7914"/>
    <w:pPr>
      <w:spacing w:before="0" w:after="0" w:line="240" w:lineRule="auto"/>
    </w:pPr>
    <w:rPr>
      <w:rFonts w:ascii="Calibri" w:eastAsia="Calibri" w:hAnsi="Calibri"/>
      <w:sz w:val="21"/>
      <w:szCs w:val="21"/>
      <w:lang w:val="x-none"/>
    </w:rPr>
  </w:style>
  <w:style w:type="character" w:customStyle="1" w:styleId="PlainTextChar">
    <w:name w:val="Plain Text Char"/>
    <w:basedOn w:val="DefaultParagraphFont"/>
    <w:link w:val="PlainText"/>
    <w:uiPriority w:val="99"/>
    <w:semiHidden/>
    <w:rsid w:val="00AC7914"/>
    <w:rPr>
      <w:rFonts w:ascii="Calibri" w:eastAsia="Calibri" w:hAnsi="Calibri"/>
      <w:sz w:val="21"/>
      <w:szCs w:val="21"/>
      <w:lang w:val="x-none"/>
    </w:rPr>
  </w:style>
  <w:style w:type="paragraph" w:customStyle="1" w:styleId="ColorfulShading-Accent11">
    <w:name w:val="Colorful Shading - Accent 11"/>
    <w:hidden/>
    <w:uiPriority w:val="99"/>
    <w:semiHidden/>
    <w:rsid w:val="00AC7914"/>
    <w:rPr>
      <w:rFonts w:ascii="Arial" w:eastAsia="Calibri" w:hAnsi="Arial" w:cs="Arial"/>
    </w:rPr>
  </w:style>
  <w:style w:type="paragraph" w:customStyle="1" w:styleId="Normaa">
    <w:name w:val="Normaa"/>
    <w:uiPriority w:val="99"/>
    <w:rsid w:val="00AC7914"/>
    <w:pPr>
      <w:spacing w:before="120" w:after="120" w:line="240" w:lineRule="atLeast"/>
    </w:pPr>
    <w:rPr>
      <w:rFonts w:ascii="Arial" w:eastAsia="Calibri" w:hAnsi="Arial" w:cs="Arial"/>
    </w:rPr>
  </w:style>
  <w:style w:type="character" w:customStyle="1" w:styleId="IntenseEmphasis1">
    <w:name w:val="Intense Emphasis1"/>
    <w:uiPriority w:val="99"/>
    <w:qFormat/>
    <w:rsid w:val="00AC7914"/>
    <w:rPr>
      <w:rFonts w:cs="Times New Roman"/>
      <w:b/>
      <w:bCs/>
      <w:i/>
      <w:iCs/>
      <w:color w:val="4F81BD"/>
    </w:rPr>
  </w:style>
  <w:style w:type="numbering" w:customStyle="1" w:styleId="NumbLstBTNumbList">
    <w:name w:val="NumbLstBTNumbList"/>
    <w:rsid w:val="00AC7914"/>
    <w:pPr>
      <w:numPr>
        <w:numId w:val="23"/>
      </w:numPr>
    </w:pPr>
  </w:style>
  <w:style w:type="paragraph" w:customStyle="1" w:styleId="ColorfulShading-Accent12">
    <w:name w:val="Colorful Shading - Accent 12"/>
    <w:hidden/>
    <w:uiPriority w:val="99"/>
    <w:semiHidden/>
    <w:rsid w:val="00AC7914"/>
    <w:rPr>
      <w:rFonts w:ascii="Arial" w:eastAsia="Calibri" w:hAnsi="Arial" w:cs="Arial"/>
    </w:rPr>
  </w:style>
  <w:style w:type="paragraph" w:customStyle="1" w:styleId="Title1">
    <w:name w:val="Title1"/>
    <w:basedOn w:val="Normal"/>
    <w:rsid w:val="00AC7914"/>
    <w:pPr>
      <w:spacing w:before="100" w:beforeAutospacing="1" w:after="100" w:afterAutospacing="1" w:line="240" w:lineRule="auto"/>
    </w:pPr>
    <w:rPr>
      <w:rFonts w:ascii="Times New Roman" w:eastAsia="Times New Roman" w:hAnsi="Times New Roman"/>
      <w:sz w:val="24"/>
      <w:lang w:val="en-US"/>
    </w:rPr>
  </w:style>
  <w:style w:type="character" w:customStyle="1" w:styleId="WW8Num9z0">
    <w:name w:val="WW8Num9z0"/>
    <w:rsid w:val="00AC7914"/>
    <w:rPr>
      <w:rFonts w:cs="Times New Roman"/>
    </w:rPr>
  </w:style>
  <w:style w:type="character" w:customStyle="1" w:styleId="WW8Num32z3">
    <w:name w:val="WW8Num32z3"/>
    <w:rsid w:val="00AC7914"/>
    <w:rPr>
      <w:rFonts w:ascii="Symbol" w:hAnsi="Symbol"/>
    </w:rPr>
  </w:style>
  <w:style w:type="character" w:customStyle="1" w:styleId="FootnoteSymboluser">
    <w:name w:val="Footnote Symbol (user)"/>
    <w:rsid w:val="00AC7914"/>
  </w:style>
  <w:style w:type="character" w:customStyle="1" w:styleId="Footnoteanchoruser">
    <w:name w:val="Footnote anchor (user)"/>
    <w:rsid w:val="00AC7914"/>
    <w:rPr>
      <w:vertAlign w:val="superscript"/>
    </w:rPr>
  </w:style>
  <w:style w:type="character" w:customStyle="1" w:styleId="CommentTextChar1">
    <w:name w:val="Comment Text Char1"/>
    <w:rsid w:val="00AC7914"/>
    <w:rPr>
      <w:rFonts w:ascii="Arial" w:eastAsia="Calibri" w:hAnsi="Arial"/>
      <w:lang w:eastAsia="ar-SA"/>
    </w:rPr>
  </w:style>
  <w:style w:type="paragraph" w:customStyle="1" w:styleId="Textbodyuser">
    <w:name w:val="Text body (user)"/>
    <w:basedOn w:val="Normal"/>
    <w:rsid w:val="00AC7914"/>
    <w:pPr>
      <w:suppressAutoHyphens/>
      <w:ind w:left="851"/>
      <w:textAlignment w:val="baseline"/>
    </w:pPr>
    <w:rPr>
      <w:rFonts w:eastAsia="Calibri" w:cs="Arial"/>
      <w:kern w:val="1"/>
      <w:szCs w:val="20"/>
      <w:lang w:eastAsia="ar-SA"/>
    </w:rPr>
  </w:style>
  <w:style w:type="character" w:customStyle="1" w:styleId="Internetlink">
    <w:name w:val="Internet link"/>
    <w:rsid w:val="00AC7914"/>
    <w:rPr>
      <w:color w:val="0000FF"/>
      <w:u w:val="single"/>
    </w:rPr>
  </w:style>
  <w:style w:type="paragraph" w:customStyle="1" w:styleId="a0">
    <w:name w:val="Заглавие"/>
    <w:basedOn w:val="Normal"/>
    <w:next w:val="BodyText"/>
    <w:rsid w:val="00AC7914"/>
    <w:pPr>
      <w:keepNext/>
      <w:suppressAutoHyphens/>
      <w:spacing w:before="240"/>
    </w:pPr>
    <w:rPr>
      <w:rFonts w:ascii="Liberation Sans" w:eastAsia="DejaVu Sans" w:hAnsi="Liberation Sans" w:cs="Lohit Hindi"/>
      <w:sz w:val="28"/>
      <w:szCs w:val="28"/>
      <w:lang w:eastAsia="ar-SA"/>
    </w:rPr>
  </w:style>
  <w:style w:type="paragraph" w:customStyle="1" w:styleId="Standard">
    <w:name w:val="Standard"/>
    <w:rsid w:val="00AC7914"/>
    <w:pPr>
      <w:suppressAutoHyphens/>
      <w:spacing w:before="120" w:after="120" w:line="240" w:lineRule="atLeast"/>
      <w:textAlignment w:val="baseline"/>
    </w:pPr>
    <w:rPr>
      <w:rFonts w:ascii="Arial" w:eastAsia="Calibri" w:hAnsi="Arial" w:cs="Arial"/>
      <w:kern w:val="1"/>
      <w:lang w:eastAsia="ar-SA"/>
    </w:rPr>
  </w:style>
  <w:style w:type="paragraph" w:customStyle="1" w:styleId="WW-Textbody">
    <w:name w:val="WW-Text body"/>
    <w:basedOn w:val="Standard"/>
    <w:rsid w:val="00AC7914"/>
    <w:pPr>
      <w:ind w:left="851"/>
    </w:pPr>
  </w:style>
  <w:style w:type="character" w:customStyle="1" w:styleId="FootnoteSymbol">
    <w:name w:val="Footnote Symbol"/>
    <w:rsid w:val="00AC7914"/>
  </w:style>
  <w:style w:type="character" w:customStyle="1" w:styleId="BookTitle1">
    <w:name w:val="Book Title1"/>
    <w:uiPriority w:val="33"/>
    <w:qFormat/>
    <w:rsid w:val="00AC7914"/>
    <w:rPr>
      <w:b/>
      <w:bCs/>
      <w:smallCaps/>
      <w:spacing w:val="5"/>
    </w:rPr>
  </w:style>
  <w:style w:type="paragraph" w:styleId="EndnoteText">
    <w:name w:val="endnote text"/>
    <w:basedOn w:val="Normal"/>
    <w:link w:val="EndnoteTextChar"/>
    <w:uiPriority w:val="99"/>
    <w:semiHidden/>
    <w:unhideWhenUsed/>
    <w:rsid w:val="00AC7914"/>
    <w:rPr>
      <w:rFonts w:eastAsia="Calibri"/>
      <w:szCs w:val="20"/>
      <w:lang w:eastAsia="x-none"/>
    </w:rPr>
  </w:style>
  <w:style w:type="character" w:customStyle="1" w:styleId="EndnoteTextChar">
    <w:name w:val="Endnote Text Char"/>
    <w:basedOn w:val="DefaultParagraphFont"/>
    <w:link w:val="EndnoteText"/>
    <w:uiPriority w:val="99"/>
    <w:semiHidden/>
    <w:rsid w:val="00AC7914"/>
    <w:rPr>
      <w:rFonts w:ascii="Arial" w:eastAsia="Calibri" w:hAnsi="Arial"/>
      <w:lang w:eastAsia="x-none"/>
    </w:rPr>
  </w:style>
  <w:style w:type="character" w:styleId="EndnoteReference">
    <w:name w:val="endnote reference"/>
    <w:uiPriority w:val="99"/>
    <w:semiHidden/>
    <w:unhideWhenUsed/>
    <w:rsid w:val="00AC7914"/>
    <w:rPr>
      <w:vertAlign w:val="superscript"/>
    </w:rPr>
  </w:style>
  <w:style w:type="character" w:customStyle="1" w:styleId="hw">
    <w:name w:val="hw"/>
    <w:basedOn w:val="DefaultParagraphFont"/>
    <w:rsid w:val="00AC7914"/>
  </w:style>
  <w:style w:type="character" w:customStyle="1" w:styleId="sb">
    <w:name w:val="sb"/>
    <w:semiHidden/>
    <w:rsid w:val="00AC7914"/>
    <w:rPr>
      <w:rFonts w:ascii="Arial" w:hAnsi="Arial" w:cs="Arial"/>
      <w:color w:val="auto"/>
      <w:sz w:val="20"/>
      <w:szCs w:val="20"/>
    </w:rPr>
  </w:style>
  <w:style w:type="character" w:customStyle="1" w:styleId="emailstyle17">
    <w:name w:val="emailstyle17"/>
    <w:semiHidden/>
    <w:rsid w:val="00AC7914"/>
    <w:rPr>
      <w:rFonts w:ascii="Arial" w:hAnsi="Arial" w:cs="Arial" w:hint="default"/>
      <w:color w:val="auto"/>
      <w:sz w:val="20"/>
      <w:szCs w:val="20"/>
    </w:rPr>
  </w:style>
  <w:style w:type="paragraph" w:customStyle="1" w:styleId="msolistparagraph0">
    <w:name w:val="msolistparagraph"/>
    <w:basedOn w:val="Normal"/>
    <w:rsid w:val="00AC7914"/>
    <w:pPr>
      <w:spacing w:before="0" w:after="0" w:line="240" w:lineRule="auto"/>
      <w:ind w:left="720"/>
    </w:pPr>
    <w:rPr>
      <w:rFonts w:ascii="Times New Roman" w:eastAsia="Times New Roman" w:hAnsi="Times New Roman"/>
      <w:sz w:val="24"/>
      <w:lang w:val="en-US"/>
    </w:rPr>
  </w:style>
  <w:style w:type="character" w:customStyle="1" w:styleId="WW-FootnoteReference">
    <w:name w:val="WW-Footnote Reference"/>
    <w:rsid w:val="00AC7914"/>
    <w:rPr>
      <w:vertAlign w:val="superscript"/>
    </w:rPr>
  </w:style>
  <w:style w:type="paragraph" w:styleId="ListParagraph">
    <w:name w:val="List Paragraph"/>
    <w:basedOn w:val="Normal"/>
    <w:uiPriority w:val="34"/>
    <w:qFormat/>
    <w:rsid w:val="00AC7914"/>
    <w:pPr>
      <w:ind w:left="720"/>
    </w:pPr>
    <w:rPr>
      <w:rFonts w:eastAsia="Calibri" w:cs="Arial"/>
      <w:szCs w:val="20"/>
    </w:rPr>
  </w:style>
  <w:style w:type="paragraph" w:styleId="Revision">
    <w:name w:val="Revision"/>
    <w:hidden/>
    <w:uiPriority w:val="99"/>
    <w:semiHidden/>
    <w:rsid w:val="00AC7914"/>
    <w:rPr>
      <w:rFonts w:ascii="Arial" w:eastAsia="Calibri" w:hAnsi="Arial" w:cs="Arial"/>
    </w:rPr>
  </w:style>
  <w:style w:type="paragraph" w:customStyle="1" w:styleId="ColorfulList-Accent31">
    <w:name w:val="Colorful List - Accent 31"/>
    <w:basedOn w:val="Normal"/>
    <w:next w:val="Normal"/>
    <w:link w:val="ColorfulList-Accent3Char"/>
    <w:uiPriority w:val="99"/>
    <w:qFormat/>
    <w:rsid w:val="00D51AA0"/>
    <w:pPr>
      <w:ind w:left="851"/>
    </w:pPr>
    <w:rPr>
      <w:rFonts w:eastAsia="Calibri" w:cs="Arial"/>
      <w:i/>
      <w:iCs/>
      <w:color w:val="000000"/>
      <w:szCs w:val="20"/>
    </w:rPr>
  </w:style>
  <w:style w:type="character" w:customStyle="1" w:styleId="ColorfulList-Accent3Char">
    <w:name w:val="Colorful List - Accent 3 Char"/>
    <w:link w:val="ColorfulList-Accent31"/>
    <w:uiPriority w:val="99"/>
    <w:locked/>
    <w:rsid w:val="00D51AA0"/>
    <w:rPr>
      <w:rFonts w:ascii="Arial" w:eastAsia="Calibri" w:hAnsi="Arial" w:cs="Arial"/>
      <w:i/>
      <w:iCs/>
      <w:color w:val="000000"/>
    </w:rPr>
  </w:style>
  <w:style w:type="character" w:customStyle="1" w:styleId="LightGrid-Accent21">
    <w:name w:val="Light Grid - Accent 21"/>
    <w:uiPriority w:val="99"/>
    <w:semiHidden/>
    <w:rsid w:val="00D51AA0"/>
    <w:rPr>
      <w:rFonts w:cs="Times New Roman"/>
      <w:color w:val="808080"/>
    </w:rPr>
  </w:style>
  <w:style w:type="paragraph" w:customStyle="1" w:styleId="ColorfulShading-Accent31">
    <w:name w:val="Colorful Shading - Accent 31"/>
    <w:basedOn w:val="Normal"/>
    <w:uiPriority w:val="99"/>
    <w:qFormat/>
    <w:rsid w:val="00D51AA0"/>
    <w:pPr>
      <w:spacing w:before="0" w:line="240" w:lineRule="auto"/>
      <w:ind w:left="720"/>
    </w:pPr>
    <w:rPr>
      <w:rFonts w:ascii="Calibri" w:eastAsia="Times New Roman" w:hAnsi="Calibri" w:cs="Calibri"/>
      <w:sz w:val="22"/>
      <w:szCs w:val="22"/>
      <w:lang w:val="en-US"/>
    </w:rPr>
  </w:style>
  <w:style w:type="table" w:customStyle="1" w:styleId="TOCHeading1">
    <w:name w:val="TOC Heading1"/>
    <w:basedOn w:val="TableNormal"/>
    <w:uiPriority w:val="99"/>
    <w:qFormat/>
    <w:rsid w:val="00D51AA0"/>
    <w:rPr>
      <w:rFonts w:ascii="Calibri" w:eastAsia="Calibri" w:hAnsi="Calibri" w:cs="Calibri"/>
      <w:color w:val="000000"/>
      <w:lang w:val="en-US" w:eastAsia="en-GB"/>
    </w:rPr>
    <w:tblPr>
      <w:tblStyleRowBandSize w:val="1"/>
      <w:tblStyleColBandSize w:val="1"/>
    </w:tblPr>
    <w:tcPr>
      <w:shd w:val="clear" w:color="auto" w:fill="F2EFF6"/>
    </w:tcPr>
    <w:tblStylePr w:type="firstRow">
      <w:rPr>
        <w:rFonts w:cs="Wingdings"/>
        <w:b/>
        <w:bCs/>
        <w:color w:val="FFFFFF"/>
      </w:rPr>
      <w:tblPr/>
      <w:tcPr>
        <w:tcBorders>
          <w:bottom w:val="single" w:sz="12" w:space="0" w:color="FFFFFF"/>
        </w:tcBorders>
        <w:shd w:val="clear" w:color="auto" w:fill="7E9C40"/>
      </w:tcPr>
    </w:tblStylePr>
    <w:tblStylePr w:type="lastRow">
      <w:rPr>
        <w:rFonts w:cs="Wingdings"/>
        <w:b/>
        <w:bCs/>
        <w:color w:val="7E9C40"/>
      </w:rPr>
      <w:tblPr/>
      <w:tcPr>
        <w:tcBorders>
          <w:top w:val="single" w:sz="12" w:space="0" w:color="000000"/>
        </w:tcBorders>
        <w:shd w:val="clear" w:color="auto" w:fill="FFFFFF"/>
      </w:tcPr>
    </w:tblStylePr>
    <w:tblStylePr w:type="firstCol">
      <w:rPr>
        <w:rFonts w:cs="Wingdings"/>
        <w:b/>
        <w:bCs/>
      </w:rPr>
    </w:tblStylePr>
    <w:tblStylePr w:type="lastCol">
      <w:rPr>
        <w:rFonts w:cs="Wingdings"/>
        <w:b/>
        <w:bCs/>
      </w:rPr>
    </w:tblStylePr>
    <w:tblStylePr w:type="band1Vert">
      <w:rPr>
        <w:rFonts w:cs="Wingdings"/>
      </w:rPr>
      <w:tblPr/>
      <w:tcPr>
        <w:tcBorders>
          <w:top w:val="nil"/>
          <w:left w:val="nil"/>
          <w:bottom w:val="nil"/>
          <w:right w:val="nil"/>
          <w:insideH w:val="nil"/>
          <w:insideV w:val="nil"/>
        </w:tcBorders>
        <w:shd w:val="clear" w:color="auto" w:fill="DFD8E8"/>
      </w:tcPr>
    </w:tblStylePr>
    <w:tblStylePr w:type="band1Horz">
      <w:rPr>
        <w:rFonts w:cs="Wingdings"/>
      </w:rPr>
      <w:tblPr/>
      <w:tcPr>
        <w:shd w:val="clear" w:color="auto" w:fill="E5DFEC"/>
      </w:tcPr>
    </w:tblStylePr>
  </w:style>
  <w:style w:type="paragraph" w:customStyle="1" w:styleId="DarkList-Accent31">
    <w:name w:val="Dark List - Accent 31"/>
    <w:hidden/>
    <w:uiPriority w:val="99"/>
    <w:semiHidden/>
    <w:rsid w:val="00D51AA0"/>
    <w:rPr>
      <w:rFonts w:ascii="Arial" w:eastAsia="Calibri" w:hAnsi="Arial" w:cs="Arial"/>
    </w:rPr>
  </w:style>
  <w:style w:type="paragraph" w:customStyle="1" w:styleId="LightList-Accent31">
    <w:name w:val="Light List - Accent 31"/>
    <w:hidden/>
    <w:uiPriority w:val="99"/>
    <w:semiHidden/>
    <w:rsid w:val="00D51AA0"/>
    <w:rPr>
      <w:rFonts w:ascii="Arial" w:eastAsia="Calibri" w:hAnsi="Arial" w:cs="Arial"/>
    </w:rPr>
  </w:style>
  <w:style w:type="paragraph" w:styleId="DocumentMap">
    <w:name w:val="Document Map"/>
    <w:basedOn w:val="Normal"/>
    <w:link w:val="DocumentMapChar"/>
    <w:semiHidden/>
    <w:rsid w:val="00D51AA0"/>
    <w:pPr>
      <w:shd w:val="clear" w:color="auto" w:fill="000080"/>
    </w:pPr>
    <w:rPr>
      <w:rFonts w:ascii="Tahoma" w:eastAsia="Calibri" w:hAnsi="Tahoma" w:cs="Tahoma"/>
      <w:szCs w:val="20"/>
    </w:rPr>
  </w:style>
  <w:style w:type="character" w:customStyle="1" w:styleId="DocumentMapChar">
    <w:name w:val="Document Map Char"/>
    <w:basedOn w:val="DefaultParagraphFont"/>
    <w:link w:val="DocumentMap"/>
    <w:semiHidden/>
    <w:rsid w:val="00D51AA0"/>
    <w:rPr>
      <w:rFonts w:ascii="Tahoma" w:eastAsia="Calibri" w:hAnsi="Tahoma" w:cs="Tahoma"/>
      <w:shd w:val="clear" w:color="auto" w:fill="000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4061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footer" Target="footer5.xml"/><Relationship Id="rId26" Type="http://schemas.openxmlformats.org/officeDocument/2006/relationships/hyperlink" Target="http://www.ejustice.just.fgov.be/wet/wet.htm" TargetMode="External"/><Relationship Id="rId39" Type="http://schemas.openxmlformats.org/officeDocument/2006/relationships/hyperlink" Target="http://www.sdj.be/" TargetMode="External"/><Relationship Id="rId21" Type="http://schemas.openxmlformats.org/officeDocument/2006/relationships/hyperlink" Target="http://www.ejustice.just.fgov.be/wet/wet.htm" TargetMode="External"/><Relationship Id="rId34" Type="http://schemas.openxmlformats.org/officeDocument/2006/relationships/hyperlink" Target="http://www.dekamer.be/kvvcr/pdf_sections/publications/constitution/grondwetEN.pdf" TargetMode="External"/><Relationship Id="rId42" Type="http://schemas.openxmlformats.org/officeDocument/2006/relationships/hyperlink" Target="http://www.ejustice.just.fgov.be/wet/wet.htm" TargetMode="External"/><Relationship Id="rId47" Type="http://schemas.openxmlformats.org/officeDocument/2006/relationships/hyperlink" Target="http://www.rvdj.be/node/210" TargetMode="External"/><Relationship Id="rId50" Type="http://schemas.openxmlformats.org/officeDocument/2006/relationships/hyperlink" Target="http://www.ejustice.just.fgov.be/loi/loi.htm" TargetMode="External"/><Relationship Id="rId55" Type="http://schemas.openxmlformats.org/officeDocument/2006/relationships/hyperlink" Target="http://www.dekamer.be/kvvcr/pdf_sections/publications/constitution/grondwetEN.pdf" TargetMode="External"/><Relationship Id="rId63" Type="http://schemas.openxmlformats.org/officeDocument/2006/relationships/hyperlink" Target="http://www.ejustice.just.fgov.be/wet/wet.htm" TargetMode="External"/><Relationship Id="rId68" Type="http://schemas.openxmlformats.org/officeDocument/2006/relationships/footer" Target="footer6.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bookshop.europa.eu/children-in-administrative-judicial-proceedings" TargetMode="External"/><Relationship Id="rId29" Type="http://schemas.openxmlformats.org/officeDocument/2006/relationships/hyperlink" Target="http://www.dgde.cfwb.b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dekamer.be/kvvcr/pdf_sections/publications/constitution/grondwetEN.pdf" TargetMode="External"/><Relationship Id="rId32" Type="http://schemas.openxmlformats.org/officeDocument/2006/relationships/hyperlink" Target="http://www.dekamer.be/kvvcr/pdf_sections/publications/constitution/grondwetEN.pdf" TargetMode="External"/><Relationship Id="rId37" Type="http://schemas.openxmlformats.org/officeDocument/2006/relationships/hyperlink" Target="http://www.diversiteit.be/" TargetMode="External"/><Relationship Id="rId40" Type="http://schemas.openxmlformats.org/officeDocument/2006/relationships/hyperlink" Target="http://justice.belgium.be/fr/themes_et_dossiers/" TargetMode="External"/><Relationship Id="rId45" Type="http://schemas.openxmlformats.org/officeDocument/2006/relationships/hyperlink" Target="http://www.privacycommission.be/en" TargetMode="External"/><Relationship Id="rId53" Type="http://schemas.openxmlformats.org/officeDocument/2006/relationships/hyperlink" Target="http://www.lachambre.be/FLWB/pdf/53/0682/53K0682019.pdf" TargetMode="External"/><Relationship Id="rId58" Type="http://schemas.openxmlformats.org/officeDocument/2006/relationships/hyperlink" Target="http://www.dekamer.be/kvvcr/pdf_sections/publications/constitution/grondwetEN.pdf" TargetMode="External"/><Relationship Id="rId66" Type="http://schemas.openxmlformats.org/officeDocument/2006/relationships/hyperlink" Target="http://www.ejustice.just.fgov.be/cgi_loi/change_lg.pl?language=fr&amp;la=F&amp;table_name=loi&amp;cn=1965040803" TargetMode="External"/><Relationship Id="rId5" Type="http://schemas.openxmlformats.org/officeDocument/2006/relationships/webSettings" Target="webSettings.xml"/><Relationship Id="rId15" Type="http://schemas.openxmlformats.org/officeDocument/2006/relationships/hyperlink" Target="http://www.coe.int/t/dghl/standardsetting/childjustice/publicationsavailable_en.asp" TargetMode="External"/><Relationship Id="rId23" Type="http://schemas.openxmlformats.org/officeDocument/2006/relationships/hyperlink" Target="http://www.lachambre.be/FLWB/pdf/53/0682/53K0682019.pdf" TargetMode="External"/><Relationship Id="rId28" Type="http://schemas.openxmlformats.org/officeDocument/2006/relationships/hyperlink" Target="http://www.ejustice.just.fgov.be/cgi_loi/change_lg.pl?language=fr&amp;la=F&amp;table_name=loi&amp;cn=1965040803" TargetMode="External"/><Relationship Id="rId36" Type="http://schemas.openxmlformats.org/officeDocument/2006/relationships/hyperlink" Target="http://www.ejustice.just.fgov.be/wet/wet.htm" TargetMode="External"/><Relationship Id="rId49" Type="http://schemas.openxmlformats.org/officeDocument/2006/relationships/hyperlink" Target="http://www.ejustice.just.fgov.be/cgi_loi/change_lg.pl?language=fr&amp;la=F&amp;table_name=loi&amp;cn=1965040803" TargetMode="External"/><Relationship Id="rId57" Type="http://schemas.openxmlformats.org/officeDocument/2006/relationships/hyperlink" Target="http://www.lachambre.be/FLWB/pdf/53/0682/53K0682019.pdf" TargetMode="External"/><Relationship Id="rId61" Type="http://schemas.openxmlformats.org/officeDocument/2006/relationships/hyperlink" Target="http://www.lachambre.be/FLWB/pdf/53/0682/53K0682019.pdf" TargetMode="External"/><Relationship Id="rId10" Type="http://schemas.openxmlformats.org/officeDocument/2006/relationships/header" Target="header2.xml"/><Relationship Id="rId19" Type="http://schemas.openxmlformats.org/officeDocument/2006/relationships/hyperlink" Target="http://www.dekamer.be/kvvcr/pdf_sections/publications/constitution/grondwetEN.pdf" TargetMode="External"/><Relationship Id="rId31" Type="http://schemas.openxmlformats.org/officeDocument/2006/relationships/hyperlink" Target="http://www.ejustice.just.fgov.be/cgi_loi/change_lg.pl?language=fr&amp;la=F&amp;table_name=loi&amp;cn=1965040803" TargetMode="External"/><Relationship Id="rId44" Type="http://schemas.openxmlformats.org/officeDocument/2006/relationships/hyperlink" Target="http://www.dekamer.be/kvvcr/pdf_sections/publications/constitution/grondwetEN.pdf" TargetMode="External"/><Relationship Id="rId52" Type="http://schemas.openxmlformats.org/officeDocument/2006/relationships/hyperlink" Target="http://www.lachambre.be/FLWB/pdf/53/0682/53K0682019.pdf" TargetMode="External"/><Relationship Id="rId60" Type="http://schemas.openxmlformats.org/officeDocument/2006/relationships/hyperlink" Target="http://www.lachambre.be/FLWB/pdf/53/0682/53K0682019.pdf" TargetMode="External"/><Relationship Id="rId65" Type="http://schemas.openxmlformats.org/officeDocument/2006/relationships/hyperlink" Target="http://www.ejustice.just.fgov.be/cgi_loi/change_lg.pl?language=fr&amp;la=F&amp;table_name=loi&amp;cn=1965040803"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hyperlink" Target="http://www.ejustice.just.fgov.be/wet/wet.htm" TargetMode="External"/><Relationship Id="rId27" Type="http://schemas.openxmlformats.org/officeDocument/2006/relationships/hyperlink" Target="http://www.ejustice.just.fgov.be/cgi_loi/change_lg.pl?language=fr&amp;la=F&amp;table_name=loi&amp;cn=1965040803" TargetMode="External"/><Relationship Id="rId30" Type="http://schemas.openxmlformats.org/officeDocument/2006/relationships/hyperlink" Target="http://www.kinderrechtencommissariaat.be/" TargetMode="External"/><Relationship Id="rId35" Type="http://schemas.openxmlformats.org/officeDocument/2006/relationships/hyperlink" Target="http://www.dekamer.be/kvvcr/pdf_sections/publications/constitution/grondwetEN.pdf" TargetMode="External"/><Relationship Id="rId43" Type="http://schemas.openxmlformats.org/officeDocument/2006/relationships/hyperlink" Target="http://www.lachambre.be/FLWB/pdf/53/0682/53K0682019.pdf" TargetMode="External"/><Relationship Id="rId48" Type="http://schemas.openxmlformats.org/officeDocument/2006/relationships/hyperlink" Target="http://www.deontologiejournalistique.be/?english" TargetMode="External"/><Relationship Id="rId56" Type="http://schemas.openxmlformats.org/officeDocument/2006/relationships/hyperlink" Target="http://www.lachambre.be/FLWB/pdf/53/0682/53K0682019.pdf" TargetMode="External"/><Relationship Id="rId64" Type="http://schemas.openxmlformats.org/officeDocument/2006/relationships/hyperlink" Target="http://www.ejustice.just.fgov.be/wet/wet.htm" TargetMode="External"/><Relationship Id="rId69"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yperlink" Target="http://www.ejustice.just.fgov.be/loi/loi.htm" TargetMode="Externa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4.xml"/><Relationship Id="rId25" Type="http://schemas.openxmlformats.org/officeDocument/2006/relationships/hyperlink" Target="http://www.ejustice.just.fgov.be/wet/wet.htm" TargetMode="External"/><Relationship Id="rId33" Type="http://schemas.openxmlformats.org/officeDocument/2006/relationships/hyperlink" Target="http://www.dekamer.be/kvvcr/pdf_sections/publications/constitution/grondwetEN.pdf" TargetMode="External"/><Relationship Id="rId38" Type="http://schemas.openxmlformats.org/officeDocument/2006/relationships/hyperlink" Target="http://www.kinderrechtswinkel.be/" TargetMode="External"/><Relationship Id="rId46" Type="http://schemas.openxmlformats.org/officeDocument/2006/relationships/hyperlink" Target="http://www.ejustice.just.fgov.be/loi/loi.htm" TargetMode="External"/><Relationship Id="rId59" Type="http://schemas.openxmlformats.org/officeDocument/2006/relationships/hyperlink" Target="http://www.dekamer.be/kvvcr/pdf_sections/publications/constitution/grondwetEN.pdf" TargetMode="External"/><Relationship Id="rId67" Type="http://schemas.openxmlformats.org/officeDocument/2006/relationships/hyperlink" Target="http://www.dekamer.be/kvvcr/pdf_sections/publications/constitution/grondwetEN.pdf" TargetMode="External"/><Relationship Id="rId20" Type="http://schemas.openxmlformats.org/officeDocument/2006/relationships/hyperlink" Target="http://www.ejustice.just.fgov.be/wet/wet.htm" TargetMode="External"/><Relationship Id="rId41" Type="http://schemas.openxmlformats.org/officeDocument/2006/relationships/hyperlink" Target="http://www.belgium.be/en/justice/" TargetMode="External"/><Relationship Id="rId54" Type="http://schemas.openxmlformats.org/officeDocument/2006/relationships/hyperlink" Target="http://www.dekamer.be/kvvcr/pdf_sections/publications/constitution/grondwetEN.pdf" TargetMode="External"/><Relationship Id="rId62" Type="http://schemas.openxmlformats.org/officeDocument/2006/relationships/hyperlink" Target="http://www.lachambre.be/FLWB/pdf/53/0682/53K0682019.pdf" TargetMode="External"/><Relationship Id="rId70" Type="http://schemas.openxmlformats.org/officeDocument/2006/relationships/theme" Target="theme/theme1.xml"/></Relationships>
</file>

<file path=word/_rels/footnotes.xml.rels><?xml version="1.0" encoding="UTF-8" standalone="yes"?>
<Relationships xmlns="http://schemas.openxmlformats.org/package/2006/relationships"><Relationship Id="rId117" Type="http://schemas.openxmlformats.org/officeDocument/2006/relationships/hyperlink" Target="http://www.ejustice.just.fgov.be/wet/wet.htm" TargetMode="External"/><Relationship Id="rId21" Type="http://schemas.openxmlformats.org/officeDocument/2006/relationships/hyperlink" Target="http://www.advocaat.be/page.aspx?genericid=86&amp;textpageid=32" TargetMode="External"/><Relationship Id="rId42" Type="http://schemas.openxmlformats.org/officeDocument/2006/relationships/hyperlink" Target="http://www.ejustice.just.fgov.be/wet/wet.htm" TargetMode="External"/><Relationship Id="rId63" Type="http://schemas.openxmlformats.org/officeDocument/2006/relationships/hyperlink" Target="http://www.ejustice.just.fgov.be/wet/wet.htm" TargetMode="External"/><Relationship Id="rId84" Type="http://schemas.openxmlformats.org/officeDocument/2006/relationships/hyperlink" Target="http://www.ejustice.just.fgov.be/wet/wet.htm" TargetMode="External"/><Relationship Id="rId138" Type="http://schemas.openxmlformats.org/officeDocument/2006/relationships/hyperlink" Target="http://www.ejustice.just.fgov.be/wet/wet.htm" TargetMode="External"/><Relationship Id="rId159" Type="http://schemas.openxmlformats.org/officeDocument/2006/relationships/hyperlink" Target="http://www.lachambre.be/FLWB/pdf/53/0682/53K0682019.pdf" TargetMode="External"/><Relationship Id="rId170" Type="http://schemas.openxmlformats.org/officeDocument/2006/relationships/hyperlink" Target="http://www.ejustice.just.fgov.be/wet/wet.htm" TargetMode="External"/><Relationship Id="rId191" Type="http://schemas.openxmlformats.org/officeDocument/2006/relationships/hyperlink" Target="http://www.ejustice.just.fgov.be/loi/loi.htm" TargetMode="External"/><Relationship Id="rId205" Type="http://schemas.openxmlformats.org/officeDocument/2006/relationships/hyperlink" Target="http://www.ejustice.just.fgov.be/cgi_loi/change_lg.pl?language=fr&amp;la=F&amp;table_name=loi&amp;cn=1965040803" TargetMode="External"/><Relationship Id="rId16" Type="http://schemas.openxmlformats.org/officeDocument/2006/relationships/hyperlink" Target="http://www.ejustice.just.fgov.be/wet/wet.htm" TargetMode="External"/><Relationship Id="rId107" Type="http://schemas.openxmlformats.org/officeDocument/2006/relationships/hyperlink" Target="https://www.google.be/url?sa=t&amp;rct=j&amp;q=&amp;esrc=s&amp;source=web&amp;cd=4&amp;ved=0CE4QFjAD&amp;url=http%3A%2F%2Fwww.baliebrussel.be%2Fnl%2Fdownload%2Fmedia%2F112&amp;ei=J7UpUpfQJoq60wXj-oGoDQ&amp;usg=AFQjCNEMvrn3hkZz2Qg9tL9oq7A4TL8s5Q&amp;sig2=iAE4MW1PnNHUQtGFxqhTgg&amp;bvm=bv.51773540,d.d2k&amp;cad=rja" TargetMode="External"/><Relationship Id="rId11" Type="http://schemas.openxmlformats.org/officeDocument/2006/relationships/hyperlink" Target="http://www.ejustice.just.fgov.be/cgi_loi/change_lg.pl?language=fr&amp;la=F&amp;table_name=loi&amp;cn=1965040803" TargetMode="External"/><Relationship Id="rId32" Type="http://schemas.openxmlformats.org/officeDocument/2006/relationships/hyperlink" Target="http://www.europarl.europa.eu/delegations/it/studiesdownload.html?languageDocument=EN&amp;file=95050" TargetMode="External"/><Relationship Id="rId37" Type="http://schemas.openxmlformats.org/officeDocument/2006/relationships/hyperlink" Target="http://www.diversiteit.be/?action=onderdeel&amp;onderdeel=63&amp;titel=De+antidiscriminatiewet+van+10+mei+2007&amp;setLanguage=3" TargetMode="External"/><Relationship Id="rId53" Type="http://schemas.openxmlformats.org/officeDocument/2006/relationships/hyperlink" Target="http://www.ejustice.just.fgov.be/wet/wet.htm" TargetMode="External"/><Relationship Id="rId58" Type="http://schemas.openxmlformats.org/officeDocument/2006/relationships/hyperlink" Target="http://www.ejustice.just.fgov.be/wet/wet.htm" TargetMode="External"/><Relationship Id="rId74" Type="http://schemas.openxmlformats.org/officeDocument/2006/relationships/hyperlink" Target="http://www.ejustice.just.fgov.be/wet/wet.htm" TargetMode="External"/><Relationship Id="rId79" Type="http://schemas.openxmlformats.org/officeDocument/2006/relationships/hyperlink" Target="http://www.kinderrechtswinkel.be/" TargetMode="External"/><Relationship Id="rId102" Type="http://schemas.openxmlformats.org/officeDocument/2006/relationships/hyperlink" Target="http://www.ejustice.just.fgov.be/wet/wet.htm" TargetMode="External"/><Relationship Id="rId123" Type="http://schemas.openxmlformats.org/officeDocument/2006/relationships/hyperlink" Target="http://www.ejustice.just.fgov.be/wet/wet.htm" TargetMode="External"/><Relationship Id="rId128" Type="http://schemas.openxmlformats.org/officeDocument/2006/relationships/hyperlink" Target="http://www.lachambre.be/FLWB/pdf/53/0682/53K0682019.pdf" TargetMode="External"/><Relationship Id="rId144" Type="http://schemas.openxmlformats.org/officeDocument/2006/relationships/hyperlink" Target="http://www.dekamer.be/kvvcr/pdf_sections/publications/constitution/grondwetEN.pdf" TargetMode="External"/><Relationship Id="rId149" Type="http://schemas.openxmlformats.org/officeDocument/2006/relationships/hyperlink" Target="http://www.ejustice.just.fgov.be/wet/wet.htm" TargetMode="External"/><Relationship Id="rId5" Type="http://schemas.openxmlformats.org/officeDocument/2006/relationships/hyperlink" Target="http://www.lachambre.be/FLWB/pdf/53/0682/53K0682019.pdf" TargetMode="External"/><Relationship Id="rId90" Type="http://schemas.openxmlformats.org/officeDocument/2006/relationships/hyperlink" Target="http://www.lachambre.be/FLWB/pdf/53/0682/53K0682019.pdf" TargetMode="External"/><Relationship Id="rId95" Type="http://schemas.openxmlformats.org/officeDocument/2006/relationships/hyperlink" Target="http://www.ejustice.just.fgov.be/wet/wet.htm" TargetMode="External"/><Relationship Id="rId160" Type="http://schemas.openxmlformats.org/officeDocument/2006/relationships/hyperlink" Target="http://www.ejustice.just.fgov.be/wet/wet.htm" TargetMode="External"/><Relationship Id="rId165" Type="http://schemas.openxmlformats.org/officeDocument/2006/relationships/hyperlink" Target="http://www.dekamer.be/kvvcr/pdf_sections/publications/constitution/grondwetEN.pdf" TargetMode="External"/><Relationship Id="rId181" Type="http://schemas.openxmlformats.org/officeDocument/2006/relationships/hyperlink" Target="http://www.ejustice.just.fgov.be/wet/wet.htm" TargetMode="External"/><Relationship Id="rId186" Type="http://schemas.openxmlformats.org/officeDocument/2006/relationships/hyperlink" Target="http://www.ejustice.just.fgov.be/wet/wet.htm" TargetMode="External"/><Relationship Id="rId22" Type="http://schemas.openxmlformats.org/officeDocument/2006/relationships/hyperlink" Target="http://www.ejustice.just.fgov.be/wet/wet.htm" TargetMode="External"/><Relationship Id="rId27" Type="http://schemas.openxmlformats.org/officeDocument/2006/relationships/hyperlink" Target="http://www.ejustice.just.fgov.be/cgi_loi/change_lg.pl?language=fr&amp;la=F&amp;table_name=loi&amp;cn=1965040803" TargetMode="External"/><Relationship Id="rId43" Type="http://schemas.openxmlformats.org/officeDocument/2006/relationships/hyperlink" Target="http://www.ejustice.just.fgov.be/wet/wet.htm" TargetMode="External"/><Relationship Id="rId48" Type="http://schemas.openxmlformats.org/officeDocument/2006/relationships/hyperlink" Target="http://www.ejustice.just.fgov.be/wet/wet.htm" TargetMode="External"/><Relationship Id="rId64" Type="http://schemas.openxmlformats.org/officeDocument/2006/relationships/hyperlink" Target="http://www.ejustice.just.fgov.be/wet/wet.htm" TargetMode="External"/><Relationship Id="rId69" Type="http://schemas.openxmlformats.org/officeDocument/2006/relationships/hyperlink" Target="http://www.ejustice.just.fgov.be/loi/loi.htm" TargetMode="External"/><Relationship Id="rId113" Type="http://schemas.openxmlformats.org/officeDocument/2006/relationships/hyperlink" Target="http://www.procedurecivile.be/fileadmin/fichiers/refere.pdf" TargetMode="External"/><Relationship Id="rId118" Type="http://schemas.openxmlformats.org/officeDocument/2006/relationships/hyperlink" Target="http://www.ejustice.just.fgov.be/wet/wet.htm" TargetMode="External"/><Relationship Id="rId134" Type="http://schemas.openxmlformats.org/officeDocument/2006/relationships/hyperlink" Target="http://www.ejustice.just.fgov.be/cgi_loi/change_lg.pl?language=fr&amp;la=F&amp;table_name=loi&amp;cn=1965040803" TargetMode="External"/><Relationship Id="rId139" Type="http://schemas.openxmlformats.org/officeDocument/2006/relationships/hyperlink" Target="http://www.dekamer.be/kvvcr/pdf_sections/publications/constitution/grondwetEN.pdf" TargetMode="External"/><Relationship Id="rId80" Type="http://schemas.openxmlformats.org/officeDocument/2006/relationships/hyperlink" Target="http://www.kinderrechten.be/" TargetMode="External"/><Relationship Id="rId85" Type="http://schemas.openxmlformats.org/officeDocument/2006/relationships/hyperlink" Target="http://www.ejustice.just.fgov.be/wet/wet.htm" TargetMode="External"/><Relationship Id="rId150" Type="http://schemas.openxmlformats.org/officeDocument/2006/relationships/hyperlink" Target="http://www.ejustice.just.fgov.be/wet/wet.htm" TargetMode="External"/><Relationship Id="rId155" Type="http://schemas.openxmlformats.org/officeDocument/2006/relationships/hyperlink" Target="http://www.ejustice.just.fgov.be/wet/wet.htm" TargetMode="External"/><Relationship Id="rId171" Type="http://schemas.openxmlformats.org/officeDocument/2006/relationships/hyperlink" Target="http://www.ejustice.just.fgov.be/wet/wet.htm" TargetMode="External"/><Relationship Id="rId176" Type="http://schemas.openxmlformats.org/officeDocument/2006/relationships/hyperlink" Target="http://www.ejustice.just.fgov.be/wet/wet.htm" TargetMode="External"/><Relationship Id="rId192" Type="http://schemas.openxmlformats.org/officeDocument/2006/relationships/hyperlink" Target="http://www.ejustice.just.fgov.be/wet/wet.htm" TargetMode="External"/><Relationship Id="rId197" Type="http://schemas.openxmlformats.org/officeDocument/2006/relationships/hyperlink" Target="http://www.ejustice.just.fgov.be/wet/wet.htm" TargetMode="External"/><Relationship Id="rId206" Type="http://schemas.openxmlformats.org/officeDocument/2006/relationships/hyperlink" Target="http://www.ejustice.just.fgov.be/wet/wet.htm" TargetMode="External"/><Relationship Id="rId201" Type="http://schemas.openxmlformats.org/officeDocument/2006/relationships/hyperlink" Target="http://www.ejustice.just.fgov.be/wet/wet.htm" TargetMode="External"/><Relationship Id="rId12" Type="http://schemas.openxmlformats.org/officeDocument/2006/relationships/hyperlink" Target="http://www.ejustice.just.fgov.be/wet/wet.htm" TargetMode="External"/><Relationship Id="rId17" Type="http://schemas.openxmlformats.org/officeDocument/2006/relationships/hyperlink" Target="http://www.csj.be/sites/5023.b.fedimbo.belgium.be/files/press_publications/o0019f_3.pdf" TargetMode="External"/><Relationship Id="rId33" Type="http://schemas.openxmlformats.org/officeDocument/2006/relationships/hyperlink" Target="http://www.dekamer.be/kvvcr/pdf_sections/publications/constitution/grondwetEN.pdf" TargetMode="External"/><Relationship Id="rId38" Type="http://schemas.openxmlformats.org/officeDocument/2006/relationships/hyperlink" Target="http://www.ejustice.just.fgov.be/loi/loi.htm" TargetMode="External"/><Relationship Id="rId59" Type="http://schemas.openxmlformats.org/officeDocument/2006/relationships/hyperlink" Target="http://www.ejustice.just.fgov.be/wet/wet.htm" TargetMode="External"/><Relationship Id="rId103" Type="http://schemas.openxmlformats.org/officeDocument/2006/relationships/hyperlink" Target="http://www.ejustice.just.fgov.be/loi/loi.htm" TargetMode="External"/><Relationship Id="rId108" Type="http://schemas.openxmlformats.org/officeDocument/2006/relationships/hyperlink" Target="http://www.ejustice.just.fgov.be/cgi_loi/change_lg.pl?language=fr&amp;la=F&amp;table_name=loi&amp;cn=1965040803" TargetMode="External"/><Relationship Id="rId124" Type="http://schemas.openxmlformats.org/officeDocument/2006/relationships/hyperlink" Target="http://www.ejustice.just.fgov.be/wet/wet.htm" TargetMode="External"/><Relationship Id="rId129" Type="http://schemas.openxmlformats.org/officeDocument/2006/relationships/hyperlink" Target="http://www.ejustice.just.fgov.be/wet/wet.htm" TargetMode="External"/><Relationship Id="rId54" Type="http://schemas.openxmlformats.org/officeDocument/2006/relationships/hyperlink" Target="http://www.ejustice.just.fgov.be/wet/wet.htm" TargetMode="External"/><Relationship Id="rId70" Type="http://schemas.openxmlformats.org/officeDocument/2006/relationships/hyperlink" Target="http://www.ejustice.just.fgov.be/wet/wet.htm" TargetMode="External"/><Relationship Id="rId75" Type="http://schemas.openxmlformats.org/officeDocument/2006/relationships/hyperlink" Target="http://www.senate.be/www/?MIval=/dossier&amp;LEG=1&amp;NR=270&amp;LANG=fr" TargetMode="External"/><Relationship Id="rId91" Type="http://schemas.openxmlformats.org/officeDocument/2006/relationships/hyperlink" Target="http://www.dekamer.be/kvvcr/pdf_sections/publications/constitution/grondwetEN.pdf" TargetMode="External"/><Relationship Id="rId96" Type="http://schemas.openxmlformats.org/officeDocument/2006/relationships/hyperlink" Target="http://www.ejustice.just.fgov.be/wet/wet.htm" TargetMode="External"/><Relationship Id="rId140" Type="http://schemas.openxmlformats.org/officeDocument/2006/relationships/hyperlink" Target="http://www.ejustice.just.fgov.be/cgi_loi/change_lg.pl?language=fr&amp;la=F&amp;table_name=loi&amp;cn=1965040803" TargetMode="External"/><Relationship Id="rId145" Type="http://schemas.openxmlformats.org/officeDocument/2006/relationships/hyperlink" Target="http://www.ejustice.just.fgov.be/wet/wet.htm" TargetMode="External"/><Relationship Id="rId161" Type="http://schemas.openxmlformats.org/officeDocument/2006/relationships/hyperlink" Target="http://www.ejustice.just.fgov.be/wet/wet.htm" TargetMode="External"/><Relationship Id="rId166" Type="http://schemas.openxmlformats.org/officeDocument/2006/relationships/hyperlink" Target="http://www.ejustice.just.fgov.be/wet/wet.htm" TargetMode="External"/><Relationship Id="rId182" Type="http://schemas.openxmlformats.org/officeDocument/2006/relationships/hyperlink" Target="http://www.ejustice.just.fgov.be/wet/wet.htm" TargetMode="External"/><Relationship Id="rId187" Type="http://schemas.openxmlformats.org/officeDocument/2006/relationships/hyperlink" Target="http://www.ejustice.just.fgov.be/wet/wet.htm" TargetMode="External"/><Relationship Id="rId1" Type="http://schemas.openxmlformats.org/officeDocument/2006/relationships/hyperlink" Target="http://bookshop.europa.eu/en/summary-of-contextual-overviews-on-children-s-involvement-in-criminal-judicial-proceedings-in-the-28-member-states-of-the-european-union-pbDS0313659/related/?PublicationKey=DS0313659&amp;CatalogCategoryID=WTQKABsteF0AAAEjKpEY4e5L" TargetMode="External"/><Relationship Id="rId6" Type="http://schemas.openxmlformats.org/officeDocument/2006/relationships/hyperlink" Target="http://www.lemondejudiciaire.be/maisons.htm" TargetMode="External"/><Relationship Id="rId23" Type="http://schemas.openxmlformats.org/officeDocument/2006/relationships/hyperlink" Target="http://www.mediation-justice.be" TargetMode="External"/><Relationship Id="rId28" Type="http://schemas.openxmlformats.org/officeDocument/2006/relationships/hyperlink" Target="http://www.dekamer.be/kvvcr/pdf_sections/publications/constitution/grondwetEN.pdf" TargetMode="External"/><Relationship Id="rId49" Type="http://schemas.openxmlformats.org/officeDocument/2006/relationships/hyperlink" Target="http://www.ejustice.just.fgov.be/wet/wet.htm" TargetMode="External"/><Relationship Id="rId114" Type="http://schemas.openxmlformats.org/officeDocument/2006/relationships/hyperlink" Target="http://www.ejustice.just.fgov.be/wet/wet.htm" TargetMode="External"/><Relationship Id="rId119" Type="http://schemas.openxmlformats.org/officeDocument/2006/relationships/hyperlink" Target="http://www.ejustice.just.fgov.be/wet/wet.htm" TargetMode="External"/><Relationship Id="rId44" Type="http://schemas.openxmlformats.org/officeDocument/2006/relationships/hyperlink" Target="http://www.ejustice.just.fgov.be/wet/wet.htm" TargetMode="External"/><Relationship Id="rId60" Type="http://schemas.openxmlformats.org/officeDocument/2006/relationships/hyperlink" Target="http://www.ejustice.just.fgov.be/wet/wet.htm" TargetMode="External"/><Relationship Id="rId65" Type="http://schemas.openxmlformats.org/officeDocument/2006/relationships/hyperlink" Target="http://www.ejustice.just.fgov.be/wet/wet.htm" TargetMode="External"/><Relationship Id="rId81" Type="http://schemas.openxmlformats.org/officeDocument/2006/relationships/hyperlink" Target="http://www.kinderrechten.nl/p/1/70/" TargetMode="External"/><Relationship Id="rId86" Type="http://schemas.openxmlformats.org/officeDocument/2006/relationships/hyperlink" Target="http://www.ejustice.just.fgov.be/wet/wet.htm" TargetMode="External"/><Relationship Id="rId130" Type="http://schemas.openxmlformats.org/officeDocument/2006/relationships/hyperlink" Target="http://www.ejustice.just.fgov.be/wet/wet.htm" TargetMode="External"/><Relationship Id="rId135" Type="http://schemas.openxmlformats.org/officeDocument/2006/relationships/hyperlink" Target="http://www.ejustice.just.fgov.be/wet/wet.htm" TargetMode="External"/><Relationship Id="rId151" Type="http://schemas.openxmlformats.org/officeDocument/2006/relationships/hyperlink" Target="http://www.ejustice.just.fgov.be/wet/wet.htm" TargetMode="External"/><Relationship Id="rId156" Type="http://schemas.openxmlformats.org/officeDocument/2006/relationships/hyperlink" Target="http://www.ejustice.just.fgov.be/wet/wet.htm" TargetMode="External"/><Relationship Id="rId177" Type="http://schemas.openxmlformats.org/officeDocument/2006/relationships/hyperlink" Target="http://www.ejustice.just.fgov.be/wet/wet.htm" TargetMode="External"/><Relationship Id="rId198" Type="http://schemas.openxmlformats.org/officeDocument/2006/relationships/hyperlink" Target="http://www.ejustice.just.fgov.be/cgi_loi/change_lg.pl?language=fr&amp;la=F&amp;table_name=loi&amp;cn=1965040803" TargetMode="External"/><Relationship Id="rId172" Type="http://schemas.openxmlformats.org/officeDocument/2006/relationships/hyperlink" Target="http://www.ejustice.just.fgov.be/wet/wet.htm" TargetMode="External"/><Relationship Id="rId193" Type="http://schemas.openxmlformats.org/officeDocument/2006/relationships/hyperlink" Target="http://www.ejustice.just.fgov.be/wet/wet.htm" TargetMode="External"/><Relationship Id="rId202" Type="http://schemas.openxmlformats.org/officeDocument/2006/relationships/hyperlink" Target="http://www.ejustice.just.fgov.be/wet/wet.htm" TargetMode="External"/><Relationship Id="rId207" Type="http://schemas.openxmlformats.org/officeDocument/2006/relationships/hyperlink" Target="http://www.ejustice.just.fgov.be/wet/wet.htm" TargetMode="External"/><Relationship Id="rId13" Type="http://schemas.openxmlformats.org/officeDocument/2006/relationships/hyperlink" Target="http://www.ejustice.just.fgov.be/wet/wet.htm" TargetMode="External"/><Relationship Id="rId18" Type="http://schemas.openxmlformats.org/officeDocument/2006/relationships/hyperlink" Target="http://daccess-dds-ny.un.org/doc/UNDOC/GEN/G10/428/35/PDF/G1042835.pdf?OpenElement" TargetMode="External"/><Relationship Id="rId39" Type="http://schemas.openxmlformats.org/officeDocument/2006/relationships/hyperlink" Target="http://www.ejustice.just.fgov.be/wet/wet.htm" TargetMode="External"/><Relationship Id="rId109" Type="http://schemas.openxmlformats.org/officeDocument/2006/relationships/hyperlink" Target="http://www.ejustice.just.fgov.be/wet/wet.htm" TargetMode="External"/><Relationship Id="rId34" Type="http://schemas.openxmlformats.org/officeDocument/2006/relationships/hyperlink" Target="http://www.dekamer.be/kvvcr/pdf_sections/publications/constitution/grondwetEN.pdf" TargetMode="External"/><Relationship Id="rId50" Type="http://schemas.openxmlformats.org/officeDocument/2006/relationships/hyperlink" Target="http://www.ejustice.just.fgov.be/wet/wet.htm" TargetMode="External"/><Relationship Id="rId55" Type="http://schemas.openxmlformats.org/officeDocument/2006/relationships/hyperlink" Target="http://www.ejustice.just.fgov.be/wet/wet.htm" TargetMode="External"/><Relationship Id="rId76" Type="http://schemas.openxmlformats.org/officeDocument/2006/relationships/hyperlink" Target="http://www.ejustice.just.fgov.be/wet/wet.htm" TargetMode="External"/><Relationship Id="rId97" Type="http://schemas.openxmlformats.org/officeDocument/2006/relationships/hyperlink" Target="http://www.ejustice.just.fgov.be/wet/wet.htm" TargetMode="External"/><Relationship Id="rId104" Type="http://schemas.openxmlformats.org/officeDocument/2006/relationships/hyperlink" Target="http://www.privacycommission.be/sites/privacycommission/files/documents/avis_38_2002_0.pdf" TargetMode="External"/><Relationship Id="rId120" Type="http://schemas.openxmlformats.org/officeDocument/2006/relationships/hyperlink" Target="http://www.ejustice.just.fgov.be/wet/wet.htm" TargetMode="External"/><Relationship Id="rId125" Type="http://schemas.openxmlformats.org/officeDocument/2006/relationships/hyperlink" Target="http://www.ejustice.just.fgov.be/wet/wet.htm" TargetMode="External"/><Relationship Id="rId141" Type="http://schemas.openxmlformats.org/officeDocument/2006/relationships/hyperlink" Target="http://www.lachambre.be/FLWB/pdf/53/0682/53K0682019.pdf" TargetMode="External"/><Relationship Id="rId146" Type="http://schemas.openxmlformats.org/officeDocument/2006/relationships/hyperlink" Target="http://www.dekamer.be/kvvcr/pdf_sections/publications/constitution/grondwetEN.pdf" TargetMode="External"/><Relationship Id="rId167" Type="http://schemas.openxmlformats.org/officeDocument/2006/relationships/hyperlink" Target="http://www.ejustice.just.fgov.be/cgi_loi/change_lg.pl?language=fr&amp;la=F&amp;table_name=loi&amp;cn=1965040803" TargetMode="External"/><Relationship Id="rId188" Type="http://schemas.openxmlformats.org/officeDocument/2006/relationships/hyperlink" Target="http://www.ejustice.just.fgov.be/wet/wet.htm" TargetMode="External"/><Relationship Id="rId7" Type="http://schemas.openxmlformats.org/officeDocument/2006/relationships/hyperlink" Target="http://justice.belgium.be/fr/publications/etude_sociale_civile_mjh_.jsp" TargetMode="External"/><Relationship Id="rId71" Type="http://schemas.openxmlformats.org/officeDocument/2006/relationships/hyperlink" Target="http://www.ejustice.just.fgov.be/wet/wet.htm" TargetMode="External"/><Relationship Id="rId92" Type="http://schemas.openxmlformats.org/officeDocument/2006/relationships/hyperlink" Target="http://www.ejustice.just.fgov.be/wet/wet.htm" TargetMode="External"/><Relationship Id="rId162" Type="http://schemas.openxmlformats.org/officeDocument/2006/relationships/hyperlink" Target="http://www.ejustice.just.fgov.be/wet/wet.htm" TargetMode="External"/><Relationship Id="rId183" Type="http://schemas.openxmlformats.org/officeDocument/2006/relationships/hyperlink" Target="http://www.barreaudebruxelles.be/index.php?option=com_content&amp;view=article&amp;id=80&amp;Itemid=94" TargetMode="External"/><Relationship Id="rId2" Type="http://schemas.openxmlformats.org/officeDocument/2006/relationships/hyperlink" Target="http://www.ejustice.just.fgov.be/wet/wet.htm" TargetMode="External"/><Relationship Id="rId29" Type="http://schemas.openxmlformats.org/officeDocument/2006/relationships/hyperlink" Target="http://www.ejustice.just.fgov.be/wet/wet.htm" TargetMode="External"/><Relationship Id="rId24" Type="http://schemas.openxmlformats.org/officeDocument/2006/relationships/hyperlink" Target="https://e-justice.europa.eu/content_mediation_in_member_states-64-be-nl.do?member=1" TargetMode="External"/><Relationship Id="rId40" Type="http://schemas.openxmlformats.org/officeDocument/2006/relationships/hyperlink" Target="http://www.ejustice.just.fgov.be/cgi_loi/change_lg.pl?language=fr&amp;la=F&amp;table_name=loi&amp;cn=2002122445" TargetMode="External"/><Relationship Id="rId45" Type="http://schemas.openxmlformats.org/officeDocument/2006/relationships/hyperlink" Target="http://www.ejustice.just.fgov.be/wet/wet.htm" TargetMode="External"/><Relationship Id="rId66" Type="http://schemas.openxmlformats.org/officeDocument/2006/relationships/hyperlink" Target="http://www.ejustice.just.fgov.be/wet/wet.htm" TargetMode="External"/><Relationship Id="rId87" Type="http://schemas.openxmlformats.org/officeDocument/2006/relationships/hyperlink" Target="http://www.ejustice.just.fgov.be/cgi_loi/change_lg.pl?language=fr&amp;la=F&amp;table_name=loi&amp;cn=1965040803" TargetMode="External"/><Relationship Id="rId110" Type="http://schemas.openxmlformats.org/officeDocument/2006/relationships/hyperlink" Target="http://www.ejustice.just.fgov.be/wet/wet.htm" TargetMode="External"/><Relationship Id="rId115" Type="http://schemas.openxmlformats.org/officeDocument/2006/relationships/hyperlink" Target="http://www.ejustice.just.fgov.be/wet/wet.htm" TargetMode="External"/><Relationship Id="rId131" Type="http://schemas.openxmlformats.org/officeDocument/2006/relationships/hyperlink" Target="http://www.ejustice.just.fgov.be/wet/wet.htm" TargetMode="External"/><Relationship Id="rId136" Type="http://schemas.openxmlformats.org/officeDocument/2006/relationships/hyperlink" Target="http://www.ejustice.just.fgov.be/wet/wet.htm" TargetMode="External"/><Relationship Id="rId157" Type="http://schemas.openxmlformats.org/officeDocument/2006/relationships/hyperlink" Target="http://www.ejustice.just.fgov.be/cgi_loi/change_lg.pl?language=fr&amp;la=F&amp;table_name=loi&amp;cn=1965040803" TargetMode="External"/><Relationship Id="rId178" Type="http://schemas.openxmlformats.org/officeDocument/2006/relationships/hyperlink" Target="http://www.lachambre.be/FLWB/pdf/53/0682/53K0682019.pdf" TargetMode="External"/><Relationship Id="rId61" Type="http://schemas.openxmlformats.org/officeDocument/2006/relationships/hyperlink" Target="http://www.ejustice.just.fgov.be/wet/wet.htm" TargetMode="External"/><Relationship Id="rId82" Type="http://schemas.openxmlformats.org/officeDocument/2006/relationships/hyperlink" Target="http://www.ejustice.just.fgov.be/wet/wet.htm" TargetMode="External"/><Relationship Id="rId152" Type="http://schemas.openxmlformats.org/officeDocument/2006/relationships/hyperlink" Target="http://www.ejustice.just.fgov.be/wet/wet.htm" TargetMode="External"/><Relationship Id="rId173" Type="http://schemas.openxmlformats.org/officeDocument/2006/relationships/hyperlink" Target="http://www.ejustice.just.fgov.be/wet/wet.htm" TargetMode="External"/><Relationship Id="rId194" Type="http://schemas.openxmlformats.org/officeDocument/2006/relationships/hyperlink" Target="http://www.ejustice.just.fgov.be/wet/wet.htm" TargetMode="External"/><Relationship Id="rId199" Type="http://schemas.openxmlformats.org/officeDocument/2006/relationships/hyperlink" Target="http://www.ejustice.just.fgov.be/wet/wet.htm" TargetMode="External"/><Relationship Id="rId203" Type="http://schemas.openxmlformats.org/officeDocument/2006/relationships/hyperlink" Target="http://www.ejustice.just.fgov.be/wet/wet.htm" TargetMode="External"/><Relationship Id="rId208" Type="http://schemas.openxmlformats.org/officeDocument/2006/relationships/hyperlink" Target="http://www.ejustice.just.fgov.be/wet/wet.htm" TargetMode="External"/><Relationship Id="rId19" Type="http://schemas.openxmlformats.org/officeDocument/2006/relationships/hyperlink" Target="http://www.igo-ifj.be" TargetMode="External"/><Relationship Id="rId14" Type="http://schemas.openxmlformats.org/officeDocument/2006/relationships/hyperlink" Target="http://www.ejustice.just.fgov.be/wet/wet.htm" TargetMode="External"/><Relationship Id="rId30" Type="http://schemas.openxmlformats.org/officeDocument/2006/relationships/hyperlink" Target="http://www.ejustice.just.fgov.be/wet/wet.htm" TargetMode="External"/><Relationship Id="rId35" Type="http://schemas.openxmlformats.org/officeDocument/2006/relationships/hyperlink" Target="http://www.dekamer.be/kvvcr/pdf_sections/publications/constitution/grondwetEN.pdf" TargetMode="External"/><Relationship Id="rId56" Type="http://schemas.openxmlformats.org/officeDocument/2006/relationships/hyperlink" Target="http://www.ejustice.just.fgov.be/wet/wet.htm" TargetMode="External"/><Relationship Id="rId77" Type="http://schemas.openxmlformats.org/officeDocument/2006/relationships/hyperlink" Target="http://www.unicef.be/kids/?lang=fr" TargetMode="External"/><Relationship Id="rId100" Type="http://schemas.openxmlformats.org/officeDocument/2006/relationships/hyperlink" Target="http://www.ejustice.just.fgov.be/wet/wet.htm" TargetMode="External"/><Relationship Id="rId105" Type="http://schemas.openxmlformats.org/officeDocument/2006/relationships/hyperlink" Target="http://www.juridat.be/tribunal_commerce/verviers/images/guide_magistrats.pdf" TargetMode="External"/><Relationship Id="rId126" Type="http://schemas.openxmlformats.org/officeDocument/2006/relationships/hyperlink" Target="http://www.ejustice.just.fgov.be/wet/wet.htm" TargetMode="External"/><Relationship Id="rId147" Type="http://schemas.openxmlformats.org/officeDocument/2006/relationships/hyperlink" Target="http://www.ejustice.just.fgov.be/cgi_loi/change_lg.pl?language=fr&amp;la=F&amp;table_name=loi&amp;cn=1965040803" TargetMode="External"/><Relationship Id="rId168" Type="http://schemas.openxmlformats.org/officeDocument/2006/relationships/hyperlink" Target="http://www.ejustice.just.fgov.be/wet/wet.htm" TargetMode="External"/><Relationship Id="rId8" Type="http://schemas.openxmlformats.org/officeDocument/2006/relationships/hyperlink" Target="http://www.ejustice.just.fgov.be/loi/loi.htm" TargetMode="External"/><Relationship Id="rId51" Type="http://schemas.openxmlformats.org/officeDocument/2006/relationships/hyperlink" Target="http://www.ejustice.just.fgov.be/wet/wet.htm" TargetMode="External"/><Relationship Id="rId72" Type="http://schemas.openxmlformats.org/officeDocument/2006/relationships/hyperlink" Target="http://www.ejustice.just.fgov.be/loi/loi.htm" TargetMode="External"/><Relationship Id="rId93" Type="http://schemas.openxmlformats.org/officeDocument/2006/relationships/hyperlink" Target="http://www.ejustice.just.fgov.be/wet/wet.htm" TargetMode="External"/><Relationship Id="rId98" Type="http://schemas.openxmlformats.org/officeDocument/2006/relationships/hyperlink" Target="http://www.ejustice.just.fgov.be/wet/wet.htm" TargetMode="External"/><Relationship Id="rId121" Type="http://schemas.openxmlformats.org/officeDocument/2006/relationships/hyperlink" Target="http://www.privacycommission.be/sites/privacycommission/files/documents/avis_38_2002_0.pdf" TargetMode="External"/><Relationship Id="rId142" Type="http://schemas.openxmlformats.org/officeDocument/2006/relationships/hyperlink" Target="http://www.lachambre.be/FLWB/pdf/53/0682/53K0682019.pdf" TargetMode="External"/><Relationship Id="rId163" Type="http://schemas.openxmlformats.org/officeDocument/2006/relationships/hyperlink" Target="http://www.ejustice.just.fgov.be/cgi_loi/change_lg.pl?language=fr&amp;la=F&amp;table_name=loi&amp;cn=1965040803" TargetMode="External"/><Relationship Id="rId184" Type="http://schemas.openxmlformats.org/officeDocument/2006/relationships/hyperlink" Target="http://www.ejustice.just.fgov.be/wet/wet.htm" TargetMode="External"/><Relationship Id="rId189" Type="http://schemas.openxmlformats.org/officeDocument/2006/relationships/hyperlink" Target="http://www.ejustice.just.fgov.be/wet/wet.htm" TargetMode="External"/><Relationship Id="rId3" Type="http://schemas.openxmlformats.org/officeDocument/2006/relationships/hyperlink" Target="http://www.ejustice.just.fgov.be/loi/loi.htm" TargetMode="External"/><Relationship Id="rId25" Type="http://schemas.openxmlformats.org/officeDocument/2006/relationships/hyperlink" Target="http://www.ejustice.just.fgov.be/wet/wet.htm" TargetMode="External"/><Relationship Id="rId46" Type="http://schemas.openxmlformats.org/officeDocument/2006/relationships/hyperlink" Target="http://www.ejustice.just.fgov.be/wet/wet.htm" TargetMode="External"/><Relationship Id="rId67" Type="http://schemas.openxmlformats.org/officeDocument/2006/relationships/hyperlink" Target="http://www.ejustice.just.fgov.be/wet/wet.htm" TargetMode="External"/><Relationship Id="rId116" Type="http://schemas.openxmlformats.org/officeDocument/2006/relationships/hyperlink" Target="http://www.dekamer.be/kvvcr/pdf_sections/publications/constitution/grondwetEN.pdf" TargetMode="External"/><Relationship Id="rId137" Type="http://schemas.openxmlformats.org/officeDocument/2006/relationships/hyperlink" Target="http://www.ejustice.just.fgov.be/wet/wet.htm" TargetMode="External"/><Relationship Id="rId158" Type="http://schemas.openxmlformats.org/officeDocument/2006/relationships/hyperlink" Target="http://www.lachambre.be/FLWB/pdf/53/0682/53K0682019.pdf" TargetMode="External"/><Relationship Id="rId20" Type="http://schemas.openxmlformats.org/officeDocument/2006/relationships/hyperlink" Target="http://liege.obfg.be/deo/r%C3%A8glement%20particulier%20droit%20jeunesse.pdf" TargetMode="External"/><Relationship Id="rId41" Type="http://schemas.openxmlformats.org/officeDocument/2006/relationships/hyperlink" Target="http://www.europarl.europa.eu/delegations/it/studiesdownload.html?languageDocument=EN&amp;file=95050" TargetMode="External"/><Relationship Id="rId62" Type="http://schemas.openxmlformats.org/officeDocument/2006/relationships/hyperlink" Target="http://www.ejustice.just.fgov.be/wet/wet.htm" TargetMode="External"/><Relationship Id="rId83" Type="http://schemas.openxmlformats.org/officeDocument/2006/relationships/hyperlink" Target="http://www.ejustice.just.fgov.be/wet/wet.htm" TargetMode="External"/><Relationship Id="rId88" Type="http://schemas.openxmlformats.org/officeDocument/2006/relationships/hyperlink" Target="http://www.ejustice.just.fgov.be/wet/wet.htm" TargetMode="External"/><Relationship Id="rId111" Type="http://schemas.openxmlformats.org/officeDocument/2006/relationships/hyperlink" Target="http://www.ejustice.just.fgov.be/wet/wet.htm" TargetMode="External"/><Relationship Id="rId132" Type="http://schemas.openxmlformats.org/officeDocument/2006/relationships/hyperlink" Target="http://www.ejustice.just.fgov.be/wet/wet.htm" TargetMode="External"/><Relationship Id="rId153" Type="http://schemas.openxmlformats.org/officeDocument/2006/relationships/hyperlink" Target="http://www.ejustice.just.fgov.be/wet/wet.htm" TargetMode="External"/><Relationship Id="rId174" Type="http://schemas.openxmlformats.org/officeDocument/2006/relationships/hyperlink" Target="http://www.ejustice.just.fgov.be/wet/wet.htm" TargetMode="External"/><Relationship Id="rId179" Type="http://schemas.openxmlformats.org/officeDocument/2006/relationships/hyperlink" Target="http://www.ejustice.just.fgov.be/wet/wet.htm" TargetMode="External"/><Relationship Id="rId195" Type="http://schemas.openxmlformats.org/officeDocument/2006/relationships/hyperlink" Target="http://www.ejustice.just.fgov.be/wet/wet.htm" TargetMode="External"/><Relationship Id="rId209" Type="http://schemas.openxmlformats.org/officeDocument/2006/relationships/hyperlink" Target="http://www.ejustice.just.fgov.be/wet/wet.htm" TargetMode="External"/><Relationship Id="rId190" Type="http://schemas.openxmlformats.org/officeDocument/2006/relationships/hyperlink" Target="http://www.ejustice.just.fgov.be/wet/wet.htm" TargetMode="External"/><Relationship Id="rId204" Type="http://schemas.openxmlformats.org/officeDocument/2006/relationships/hyperlink" Target="http://www.ejustice.just.fgov.be/wet/wet.htm" TargetMode="External"/><Relationship Id="rId15" Type="http://schemas.openxmlformats.org/officeDocument/2006/relationships/hyperlink" Target="http://www.ejustice.just.fgov.be/wet/wet.htm" TargetMode="External"/><Relationship Id="rId36" Type="http://schemas.openxmlformats.org/officeDocument/2006/relationships/hyperlink" Target="http://www.ejustice.just.fgov.be/wet/wet.htm" TargetMode="External"/><Relationship Id="rId57" Type="http://schemas.openxmlformats.org/officeDocument/2006/relationships/hyperlink" Target="http://www.ejustice.just.fgov.be/wet/wet.htm" TargetMode="External"/><Relationship Id="rId106" Type="http://schemas.openxmlformats.org/officeDocument/2006/relationships/hyperlink" Target="http://www.barreaudebruxelles.be/images/Bar_pdf/code_deonto_2013.pdf" TargetMode="External"/><Relationship Id="rId127" Type="http://schemas.openxmlformats.org/officeDocument/2006/relationships/hyperlink" Target="http://www.ejustice.just.fgov.be/wet/wet.htm" TargetMode="External"/><Relationship Id="rId10" Type="http://schemas.openxmlformats.org/officeDocument/2006/relationships/hyperlink" Target="http://www.ejustice.just.fgov.be/wet/wet.htm" TargetMode="External"/><Relationship Id="rId31" Type="http://schemas.openxmlformats.org/officeDocument/2006/relationships/hyperlink" Target="http://www.ejustice.just.fgov.be/wet/wet.htm" TargetMode="External"/><Relationship Id="rId52" Type="http://schemas.openxmlformats.org/officeDocument/2006/relationships/hyperlink" Target="http://www.dei-belgique.be/docs_outils/Fiche%202009-6%20-%20Acces%20a%20la%20justice%20des%20enfants%20DEF.pdf" TargetMode="External"/><Relationship Id="rId73" Type="http://schemas.openxmlformats.org/officeDocument/2006/relationships/hyperlink" Target="http://www.ejustice.just.fgov.be/wet/wet.htm" TargetMode="External"/><Relationship Id="rId78" Type="http://schemas.openxmlformats.org/officeDocument/2006/relationships/hyperlink" Target="http://www.dgde.cfwb.be/index.php?id=2630" TargetMode="External"/><Relationship Id="rId94" Type="http://schemas.openxmlformats.org/officeDocument/2006/relationships/hyperlink" Target="http://www.ejustice.just.fgov.be/wet/wet.htm" TargetMode="External"/><Relationship Id="rId99" Type="http://schemas.openxmlformats.org/officeDocument/2006/relationships/hyperlink" Target="http://www.dekamer.be/kvvcr/pdf_sections/publications/constitution/grondwetEN.pdf" TargetMode="External"/><Relationship Id="rId101" Type="http://schemas.openxmlformats.org/officeDocument/2006/relationships/hyperlink" Target="http://www.ejustice.just.fgov.be/wet/wet.htm" TargetMode="External"/><Relationship Id="rId122" Type="http://schemas.openxmlformats.org/officeDocument/2006/relationships/hyperlink" Target="http://www.ejustice.just.fgov.be/loi/loi.htm" TargetMode="External"/><Relationship Id="rId143" Type="http://schemas.openxmlformats.org/officeDocument/2006/relationships/hyperlink" Target="http://www.lachambre.be/FLWB/pdf/53/0682/53K0682019.pdf" TargetMode="External"/><Relationship Id="rId148" Type="http://schemas.openxmlformats.org/officeDocument/2006/relationships/hyperlink" Target="http://www.ejustice.just.fgov.be/wet/wet.htm" TargetMode="External"/><Relationship Id="rId164" Type="http://schemas.openxmlformats.org/officeDocument/2006/relationships/hyperlink" Target="http://www.ejustice.just.fgov.be/wet/wet.htm" TargetMode="External"/><Relationship Id="rId169" Type="http://schemas.openxmlformats.org/officeDocument/2006/relationships/hyperlink" Target="http://www.ejustice.just.fgov.be/wet/wet.htm" TargetMode="External"/><Relationship Id="rId185" Type="http://schemas.openxmlformats.org/officeDocument/2006/relationships/hyperlink" Target="http://www.ejustice.just.fgov.be/wet/wet.htm" TargetMode="External"/><Relationship Id="rId4" Type="http://schemas.openxmlformats.org/officeDocument/2006/relationships/hyperlink" Target="http://www.ejustice.just.fgov.be/loi/loi.htm" TargetMode="External"/><Relationship Id="rId9" Type="http://schemas.openxmlformats.org/officeDocument/2006/relationships/hyperlink" Target="http://www.ejustice.just.fgov.be/wet/wet.htm" TargetMode="External"/><Relationship Id="rId180" Type="http://schemas.openxmlformats.org/officeDocument/2006/relationships/hyperlink" Target="http://www.ejustice.just.fgov.be/wet/wet.htm" TargetMode="External"/><Relationship Id="rId210" Type="http://schemas.openxmlformats.org/officeDocument/2006/relationships/hyperlink" Target="http://www.ejustice.just.fgov.be/cgi_loi/change_lg.pl?language=fr&amp;la=F&amp;table_name=loi&amp;cn=1965040803" TargetMode="External"/><Relationship Id="rId26" Type="http://schemas.openxmlformats.org/officeDocument/2006/relationships/hyperlink" Target="http://www.ejustice.just.fgov.be/wet/wet.htm" TargetMode="External"/><Relationship Id="rId47" Type="http://schemas.openxmlformats.org/officeDocument/2006/relationships/hyperlink" Target="http://www.ejustice.just.fgov.be/loi/loi.htm" TargetMode="External"/><Relationship Id="rId68" Type="http://schemas.openxmlformats.org/officeDocument/2006/relationships/hyperlink" Target="http://www.ejustice.just.fgov.be/wet/wet.htm" TargetMode="External"/><Relationship Id="rId89" Type="http://schemas.openxmlformats.org/officeDocument/2006/relationships/hyperlink" Target="http://www.ejustice.just.fgov.be/cgi_loi/change_lg.pl?language=fr&amp;la=F&amp;table_name=loi&amp;cn=1965040803" TargetMode="External"/><Relationship Id="rId112" Type="http://schemas.openxmlformats.org/officeDocument/2006/relationships/hyperlink" Target="http://www.ejustice.just.fgov.be/wet/wet.htm" TargetMode="External"/><Relationship Id="rId133" Type="http://schemas.openxmlformats.org/officeDocument/2006/relationships/hyperlink" Target="http://www.lachambre.be/FLWB/pdf/53/0682/53K0682019.pdf" TargetMode="External"/><Relationship Id="rId154" Type="http://schemas.openxmlformats.org/officeDocument/2006/relationships/hyperlink" Target="http://www.ejustice.just.fgov.be/wet/wet.htm" TargetMode="External"/><Relationship Id="rId175" Type="http://schemas.openxmlformats.org/officeDocument/2006/relationships/hyperlink" Target="http://www.bmediation.eu/images/stories/News/barometre_de_la_mediation_2012.pdf" TargetMode="External"/><Relationship Id="rId196" Type="http://schemas.openxmlformats.org/officeDocument/2006/relationships/hyperlink" Target="http://www.ejustice.just.fgov.be/wet/wet.htm" TargetMode="External"/><Relationship Id="rId200" Type="http://schemas.openxmlformats.org/officeDocument/2006/relationships/hyperlink" Target="http://jure.juridat.just.fgov.be/?lang=f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ICF%20Templates\ICF%20Report%202014.dotm" TargetMode="External"/></Relationships>
</file>

<file path=word/theme/theme1.xml><?xml version="1.0" encoding="utf-8"?>
<a:theme xmlns:a="http://schemas.openxmlformats.org/drawingml/2006/main" name="Office Theme">
  <a:themeElements>
    <a:clrScheme name="ICF GHK">
      <a:dk1>
        <a:sysClr val="windowText" lastClr="000000"/>
      </a:dk1>
      <a:lt1>
        <a:sysClr val="window" lastClr="FFFFFF"/>
      </a:lt1>
      <a:dk2>
        <a:srgbClr val="0067AC"/>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C4C151-BDE2-4D0F-8593-3E1239076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ICF Report 2014</Template>
  <TotalTime>1</TotalTime>
  <Pages>49</Pages>
  <Words>22294</Words>
  <Characters>127078</Characters>
  <Application>Microsoft Office Word</Application>
  <DocSecurity>0</DocSecurity>
  <Lines>1058</Lines>
  <Paragraphs>298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149074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Clemente, Jolandie</dc:creator>
  <cp:lastModifiedBy>Clemente, Jolandie</cp:lastModifiedBy>
  <cp:revision>4</cp:revision>
  <cp:lastPrinted>2010-04-16T13:59:00Z</cp:lastPrinted>
  <dcterms:created xsi:type="dcterms:W3CDTF">2014-12-18T16:30:00Z</dcterms:created>
  <dcterms:modified xsi:type="dcterms:W3CDTF">2015-01-23T15:32:00Z</dcterms:modified>
</cp:coreProperties>
</file>