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rsidTr="00B13DF3">
        <w:trPr>
          <w:trHeight w:hRule="exact" w:val="567"/>
        </w:trPr>
        <w:tc>
          <w:tcPr>
            <w:tcW w:w="9072" w:type="dxa"/>
          </w:tcPr>
          <w:p w:rsidR="00B13DF3" w:rsidRDefault="00B13DF3" w:rsidP="00771703">
            <w:pPr>
              <w:pStyle w:val="NormalNoSpace"/>
              <w:spacing w:line="240" w:lineRule="auto"/>
              <w:ind w:left="-57"/>
              <w:rPr>
                <w:noProof/>
                <w:lang w:eastAsia="en-GB"/>
              </w:rPr>
            </w:pPr>
            <w:bookmarkStart w:id="0" w:name="TitlePage"/>
            <w:bookmarkStart w:id="1" w:name="TitlePages"/>
          </w:p>
        </w:tc>
      </w:tr>
      <w:tr w:rsidR="00B13DF3" w:rsidRPr="007B47FB" w:rsidTr="00F46954">
        <w:trPr>
          <w:trHeight w:hRule="exact" w:val="5443"/>
        </w:trPr>
        <w:tc>
          <w:tcPr>
            <w:tcW w:w="9072" w:type="dxa"/>
          </w:tcPr>
          <w:p w:rsidR="00660C9C" w:rsidRDefault="00660C9C" w:rsidP="00A41C86">
            <w:pPr>
              <w:pStyle w:val="NormalNoSpace"/>
              <w:spacing w:line="240" w:lineRule="auto"/>
              <w:ind w:left="-57"/>
              <w:jc w:val="right"/>
            </w:pPr>
          </w:p>
          <w:p w:rsidR="00660C9C" w:rsidRPr="00660C9C" w:rsidRDefault="00660C9C" w:rsidP="00660C9C"/>
          <w:p w:rsidR="00660C9C" w:rsidRPr="00660C9C" w:rsidRDefault="00660C9C" w:rsidP="00660C9C"/>
          <w:p w:rsidR="00660C9C" w:rsidRDefault="00660C9C" w:rsidP="00660C9C"/>
          <w:p w:rsidR="00B13DF3" w:rsidRPr="00660C9C" w:rsidRDefault="00B13DF3" w:rsidP="00660C9C"/>
        </w:tc>
      </w:tr>
      <w:tr w:rsidR="00760383" w:rsidRPr="007B47FB" w:rsidTr="00482F4C">
        <w:trPr>
          <w:trHeight w:hRule="exact" w:val="3724"/>
        </w:trPr>
        <w:tc>
          <w:tcPr>
            <w:tcW w:w="9072" w:type="dxa"/>
          </w:tcPr>
          <w:p w:rsidR="00760383" w:rsidRPr="007B47FB" w:rsidRDefault="0049253A" w:rsidP="00457F5F">
            <w:pPr>
              <w:pStyle w:val="DocSubTitle"/>
            </w:pPr>
            <w:r w:rsidRPr="0049253A">
              <w:rPr>
                <w:sz w:val="48"/>
              </w:rPr>
              <w:t xml:space="preserve">Study on children's involvement in judicial proceedings – contextual overview for civil justice – </w:t>
            </w:r>
            <w:bookmarkStart w:id="2" w:name="DocSubTitle1"/>
            <w:bookmarkEnd w:id="2"/>
            <w:r w:rsidR="008804DD">
              <w:rPr>
                <w:sz w:val="48"/>
              </w:rPr>
              <w:t>Malta</w:t>
            </w:r>
          </w:p>
          <w:p w:rsidR="00811568" w:rsidRDefault="00811568" w:rsidP="00811568">
            <w:pPr>
              <w:pStyle w:val="DocDate"/>
            </w:pPr>
            <w:r w:rsidRPr="0049253A">
              <w:t>July 2014 (Research carried out between March 2013 and October 2013)</w:t>
            </w:r>
          </w:p>
          <w:p w:rsidR="00660C9C" w:rsidRPr="007B47FB" w:rsidRDefault="00660C9C" w:rsidP="00FF79A5">
            <w:pPr>
              <w:pStyle w:val="DocDate"/>
            </w:pPr>
          </w:p>
        </w:tc>
      </w:tr>
    </w:tbl>
    <w:p w:rsidR="00C219D4" w:rsidRDefault="00660C9C">
      <w:pPr>
        <w:sectPr w:rsidR="00C219D4" w:rsidSect="007A5E42">
          <w:headerReference w:type="default" r:id="rId8"/>
          <w:headerReference w:type="first" r:id="rId9"/>
          <w:footerReference w:type="first" r:id="rId10"/>
          <w:type w:val="oddPage"/>
          <w:pgSz w:w="11907" w:h="16840" w:code="9"/>
          <w:pgMar w:top="1418" w:right="1418" w:bottom="1021" w:left="1418" w:header="680" w:footer="567" w:gutter="0"/>
          <w:pgNumType w:start="1"/>
          <w:cols w:space="708"/>
          <w:titlePg/>
          <w:docGrid w:linePitch="360"/>
        </w:sectPr>
      </w:pPr>
      <w:r>
        <w:rPr>
          <w:noProof/>
          <w:lang w:val="en-US"/>
        </w:rPr>
        <w:drawing>
          <wp:anchor distT="0" distB="0" distL="114300" distR="114300" simplePos="0" relativeHeight="251680768" behindDoc="0" locked="0" layoutInCell="1" allowOverlap="1" wp14:anchorId="44A0343D" wp14:editId="5100D3FD">
            <wp:simplePos x="0" y="0"/>
            <wp:positionH relativeFrom="margin">
              <wp:posOffset>1031875</wp:posOffset>
            </wp:positionH>
            <wp:positionV relativeFrom="margin">
              <wp:posOffset>6420485</wp:posOffset>
            </wp:positionV>
            <wp:extent cx="933450"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r>
        <w:rPr>
          <w:noProof/>
          <w:lang w:val="en-US"/>
        </w:rPr>
        <w:drawing>
          <wp:anchor distT="0" distB="0" distL="114300" distR="114300" simplePos="0" relativeHeight="251675648" behindDoc="0" locked="0" layoutInCell="1" allowOverlap="1" wp14:anchorId="27D163DC" wp14:editId="26F0A552">
            <wp:simplePos x="0" y="0"/>
            <wp:positionH relativeFrom="margin">
              <wp:posOffset>-57150</wp:posOffset>
            </wp:positionH>
            <wp:positionV relativeFrom="margin">
              <wp:posOffset>6427470</wp:posOffset>
            </wp:positionV>
            <wp:extent cx="942975" cy="942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anchor>
        </w:drawing>
      </w:r>
    </w:p>
    <w:p w:rsidR="00ED0340" w:rsidRPr="007B47FB" w:rsidRDefault="00ED0340" w:rsidP="00ED0340">
      <w:pPr>
        <w:pStyle w:val="Heading1NoTOC"/>
      </w:pPr>
      <w:bookmarkStart w:id="3" w:name="DocSubTitle2"/>
      <w:bookmarkStart w:id="4" w:name="ContentsPage"/>
      <w:bookmarkStart w:id="5" w:name="Section2"/>
      <w:bookmarkEnd w:id="3"/>
      <w:bookmarkEnd w:id="0"/>
      <w:bookmarkEnd w:id="1"/>
      <w:r w:rsidRPr="007B47FB">
        <w:lastRenderedPageBreak/>
        <w:t>Contents</w:t>
      </w:r>
    </w:p>
    <w:bookmarkStart w:id="6" w:name="ContentsOpt2"/>
    <w:p w:rsidR="008558C6" w:rsidRDefault="00C7550C">
      <w:pPr>
        <w:pStyle w:val="TOC2"/>
        <w:rPr>
          <w:rFonts w:asciiTheme="minorHAnsi" w:eastAsiaTheme="minorEastAsia" w:hAnsiTheme="minorHAnsi" w:cstheme="minorBidi"/>
          <w:b w:val="0"/>
          <w:noProof/>
          <w:color w:val="auto"/>
          <w:sz w:val="22"/>
          <w:szCs w:val="22"/>
          <w:lang w:val="en-US"/>
        </w:rPr>
      </w:pPr>
      <w:r w:rsidRPr="007B47FB">
        <w:rPr>
          <w:color w:val="0067AC" w:themeColor="text2"/>
        </w:rPr>
        <w:fldChar w:fldCharType="begin"/>
      </w:r>
      <w:r w:rsidR="00FE34E9" w:rsidRPr="007B47FB">
        <w:instrText xml:space="preserve"> TOC \h \z \t "Heading 1,1,</w:instrText>
      </w:r>
      <w:r w:rsidR="00F739E0" w:rsidRPr="007B47FB">
        <w:instrText>Heading 1</w:instrText>
      </w:r>
      <w:r w:rsidR="00F739E0">
        <w:instrText>NoPg</w:instrText>
      </w:r>
      <w:r w:rsidR="00F739E0" w:rsidRPr="007B47FB">
        <w:instrText>,1,</w:instrText>
      </w:r>
      <w:r w:rsidR="00FE34E9" w:rsidRPr="007B47FB">
        <w:instrText>Heading 2,3,Heading 3,4,Heading 1NoNumb,2</w:instrText>
      </w:r>
      <w:r w:rsidR="00497505" w:rsidRPr="007B47FB">
        <w:instrText>,Heading 2NoNumb,5,Heading 3NoNumb,6</w:instrText>
      </w:r>
      <w:r w:rsidR="00B327E7">
        <w:instrText>,AnnexHeading</w:instrText>
      </w:r>
      <w:r w:rsidR="00B327E7" w:rsidRPr="007B47FB">
        <w:instrText>,2</w:instrText>
      </w:r>
      <w:r w:rsidR="0044073E">
        <w:instrText>,</w:instrText>
      </w:r>
      <w:r w:rsidR="00F739E0">
        <w:instrText>AnnexHeading NoPage</w:instrText>
      </w:r>
      <w:r w:rsidR="00F739E0" w:rsidRPr="007B47FB">
        <w:instrText>,2</w:instrText>
      </w:r>
      <w:r w:rsidR="00F739E0">
        <w:instrText>,</w:instrText>
      </w:r>
      <w:r w:rsidR="0044073E">
        <w:instrText>Stage,7</w:instrText>
      </w:r>
      <w:r w:rsidR="00FE34E9" w:rsidRPr="007B47FB">
        <w:instrText xml:space="preserve">" </w:instrText>
      </w:r>
      <w:r w:rsidRPr="007B47FB">
        <w:rPr>
          <w:color w:val="0067AC" w:themeColor="text2"/>
        </w:rPr>
        <w:fldChar w:fldCharType="separate"/>
      </w:r>
      <w:hyperlink w:anchor="_Toc407962102" w:history="1">
        <w:r w:rsidR="008558C6" w:rsidRPr="002734B4">
          <w:rPr>
            <w:rStyle w:val="Hyperlink"/>
            <w:noProof/>
          </w:rPr>
          <w:t>Abbreviations</w:t>
        </w:r>
        <w:r w:rsidR="008558C6">
          <w:rPr>
            <w:noProof/>
            <w:webHidden/>
          </w:rPr>
          <w:tab/>
        </w:r>
        <w:r w:rsidR="008558C6">
          <w:rPr>
            <w:noProof/>
            <w:webHidden/>
          </w:rPr>
          <w:fldChar w:fldCharType="begin"/>
        </w:r>
        <w:r w:rsidR="008558C6">
          <w:rPr>
            <w:noProof/>
            <w:webHidden/>
          </w:rPr>
          <w:instrText xml:space="preserve"> PAGEREF _Toc407962102 \h </w:instrText>
        </w:r>
        <w:r w:rsidR="008558C6">
          <w:rPr>
            <w:noProof/>
            <w:webHidden/>
          </w:rPr>
        </w:r>
        <w:r w:rsidR="008558C6">
          <w:rPr>
            <w:noProof/>
            <w:webHidden/>
          </w:rPr>
          <w:fldChar w:fldCharType="separate"/>
        </w:r>
        <w:r w:rsidR="008558C6">
          <w:rPr>
            <w:noProof/>
            <w:webHidden/>
          </w:rPr>
          <w:t>iii</w:t>
        </w:r>
        <w:r w:rsidR="008558C6">
          <w:rPr>
            <w:noProof/>
            <w:webHidden/>
          </w:rPr>
          <w:fldChar w:fldCharType="end"/>
        </w:r>
      </w:hyperlink>
    </w:p>
    <w:p w:rsidR="008558C6" w:rsidRDefault="008558C6" w:rsidP="008558C6">
      <w:pPr>
        <w:pStyle w:val="TOC1"/>
        <w:rPr>
          <w:rFonts w:asciiTheme="minorHAnsi" w:eastAsiaTheme="minorEastAsia" w:hAnsiTheme="minorHAnsi" w:cstheme="minorBidi"/>
          <w:noProof/>
          <w:color w:val="auto"/>
          <w:sz w:val="22"/>
          <w:szCs w:val="22"/>
          <w:lang w:val="en-US"/>
        </w:rPr>
      </w:pPr>
      <w:hyperlink w:anchor="_Toc407962103" w:history="1">
        <w:r w:rsidRPr="002734B4">
          <w:rPr>
            <w:rStyle w:val="Hyperlink"/>
            <w:noProof/>
          </w:rPr>
          <w:t>1</w:t>
        </w:r>
        <w:r>
          <w:rPr>
            <w:rFonts w:asciiTheme="minorHAnsi" w:eastAsiaTheme="minorEastAsia" w:hAnsiTheme="minorHAnsi" w:cstheme="minorBidi"/>
            <w:noProof/>
            <w:color w:val="auto"/>
            <w:sz w:val="22"/>
            <w:szCs w:val="22"/>
            <w:lang w:val="en-US"/>
          </w:rPr>
          <w:tab/>
        </w:r>
        <w:r w:rsidRPr="002734B4">
          <w:rPr>
            <w:rStyle w:val="Hyperlink"/>
            <w:noProof/>
          </w:rPr>
          <w:t>Introduction</w:t>
        </w:r>
        <w:r>
          <w:rPr>
            <w:noProof/>
            <w:webHidden/>
          </w:rPr>
          <w:tab/>
        </w:r>
        <w:r>
          <w:rPr>
            <w:noProof/>
            <w:webHidden/>
          </w:rPr>
          <w:fldChar w:fldCharType="begin"/>
        </w:r>
        <w:r>
          <w:rPr>
            <w:noProof/>
            <w:webHidden/>
          </w:rPr>
          <w:instrText xml:space="preserve"> PAGEREF _Toc407962103 \h </w:instrText>
        </w:r>
        <w:r>
          <w:rPr>
            <w:noProof/>
            <w:webHidden/>
          </w:rPr>
        </w:r>
        <w:r>
          <w:rPr>
            <w:noProof/>
            <w:webHidden/>
          </w:rPr>
          <w:fldChar w:fldCharType="separate"/>
        </w:r>
        <w:r>
          <w:rPr>
            <w:noProof/>
            <w:webHidden/>
          </w:rPr>
          <w:t>1</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04" w:history="1">
        <w:r w:rsidRPr="002734B4">
          <w:rPr>
            <w:rStyle w:val="Hyperlink"/>
            <w:noProof/>
          </w:rPr>
          <w:t>Introduction and context</w:t>
        </w:r>
        <w:r>
          <w:rPr>
            <w:noProof/>
            <w:webHidden/>
          </w:rPr>
          <w:tab/>
        </w:r>
        <w:r>
          <w:rPr>
            <w:noProof/>
            <w:webHidden/>
          </w:rPr>
          <w:fldChar w:fldCharType="begin"/>
        </w:r>
        <w:r>
          <w:rPr>
            <w:noProof/>
            <w:webHidden/>
          </w:rPr>
          <w:instrText xml:space="preserve"> PAGEREF _Toc407962104 \h </w:instrText>
        </w:r>
        <w:r>
          <w:rPr>
            <w:noProof/>
            <w:webHidden/>
          </w:rPr>
        </w:r>
        <w:r>
          <w:rPr>
            <w:noProof/>
            <w:webHidden/>
          </w:rPr>
          <w:fldChar w:fldCharType="separate"/>
        </w:r>
        <w:r>
          <w:rPr>
            <w:noProof/>
            <w:webHidden/>
          </w:rPr>
          <w:t>1</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05" w:history="1">
        <w:r w:rsidRPr="002734B4">
          <w:rPr>
            <w:rStyle w:val="Hyperlink"/>
            <w:noProof/>
          </w:rPr>
          <w:t>Structure and scope</w:t>
        </w:r>
        <w:r>
          <w:rPr>
            <w:noProof/>
            <w:webHidden/>
          </w:rPr>
          <w:tab/>
        </w:r>
        <w:r>
          <w:rPr>
            <w:noProof/>
            <w:webHidden/>
          </w:rPr>
          <w:fldChar w:fldCharType="begin"/>
        </w:r>
        <w:r>
          <w:rPr>
            <w:noProof/>
            <w:webHidden/>
          </w:rPr>
          <w:instrText xml:space="preserve"> PAGEREF _Toc407962105 \h </w:instrText>
        </w:r>
        <w:r>
          <w:rPr>
            <w:noProof/>
            <w:webHidden/>
          </w:rPr>
        </w:r>
        <w:r>
          <w:rPr>
            <w:noProof/>
            <w:webHidden/>
          </w:rPr>
          <w:fldChar w:fldCharType="separate"/>
        </w:r>
        <w:r>
          <w:rPr>
            <w:noProof/>
            <w:webHidden/>
          </w:rPr>
          <w:t>1</w:t>
        </w:r>
        <w:r>
          <w:rPr>
            <w:noProof/>
            <w:webHidden/>
          </w:rPr>
          <w:fldChar w:fldCharType="end"/>
        </w:r>
      </w:hyperlink>
    </w:p>
    <w:p w:rsidR="008558C6" w:rsidRDefault="008558C6" w:rsidP="008558C6">
      <w:pPr>
        <w:pStyle w:val="TOC1"/>
        <w:rPr>
          <w:rFonts w:asciiTheme="minorHAnsi" w:eastAsiaTheme="minorEastAsia" w:hAnsiTheme="minorHAnsi" w:cstheme="minorBidi"/>
          <w:noProof/>
          <w:color w:val="auto"/>
          <w:sz w:val="22"/>
          <w:szCs w:val="22"/>
          <w:lang w:val="en-US"/>
        </w:rPr>
      </w:pPr>
      <w:hyperlink w:anchor="_Toc407962106" w:history="1">
        <w:r w:rsidRPr="002734B4">
          <w:rPr>
            <w:rStyle w:val="Hyperlink"/>
            <w:noProof/>
          </w:rPr>
          <w:t>2</w:t>
        </w:r>
        <w:r>
          <w:rPr>
            <w:rFonts w:asciiTheme="minorHAnsi" w:eastAsiaTheme="minorEastAsia" w:hAnsiTheme="minorHAnsi" w:cstheme="minorBidi"/>
            <w:noProof/>
            <w:color w:val="auto"/>
            <w:sz w:val="22"/>
            <w:szCs w:val="22"/>
            <w:lang w:val="en-US"/>
          </w:rPr>
          <w:tab/>
        </w:r>
        <w:r w:rsidRPr="002734B4">
          <w:rPr>
            <w:rStyle w:val="Hyperlink"/>
            <w:noProof/>
          </w:rPr>
          <w:t>Overview of Member State’s approach to children in civil judicial proceedings and specialised services dealing with such children</w:t>
        </w:r>
        <w:r>
          <w:rPr>
            <w:noProof/>
            <w:webHidden/>
          </w:rPr>
          <w:tab/>
        </w:r>
        <w:r>
          <w:rPr>
            <w:noProof/>
            <w:webHidden/>
          </w:rPr>
          <w:fldChar w:fldCharType="begin"/>
        </w:r>
        <w:r>
          <w:rPr>
            <w:noProof/>
            <w:webHidden/>
          </w:rPr>
          <w:instrText xml:space="preserve"> PAGEREF _Toc407962106 \h </w:instrText>
        </w:r>
        <w:r>
          <w:rPr>
            <w:noProof/>
            <w:webHidden/>
          </w:rPr>
        </w:r>
        <w:r>
          <w:rPr>
            <w:noProof/>
            <w:webHidden/>
          </w:rPr>
          <w:fldChar w:fldCharType="separate"/>
        </w:r>
        <w:r>
          <w:rPr>
            <w:noProof/>
            <w:webHidden/>
          </w:rPr>
          <w:t>3</w:t>
        </w:r>
        <w:r>
          <w:rPr>
            <w:noProof/>
            <w:webHidden/>
          </w:rPr>
          <w:fldChar w:fldCharType="end"/>
        </w:r>
      </w:hyperlink>
    </w:p>
    <w:p w:rsidR="008558C6" w:rsidRDefault="008558C6" w:rsidP="008558C6">
      <w:pPr>
        <w:pStyle w:val="TOC3"/>
        <w:rPr>
          <w:rFonts w:asciiTheme="minorHAnsi" w:eastAsiaTheme="minorEastAsia" w:hAnsiTheme="minorHAnsi" w:cstheme="minorBidi"/>
          <w:noProof/>
          <w:sz w:val="22"/>
          <w:szCs w:val="22"/>
          <w:lang w:val="en-US"/>
        </w:rPr>
      </w:pPr>
      <w:hyperlink w:anchor="_Toc407962107" w:history="1">
        <w:r w:rsidRPr="002734B4">
          <w:rPr>
            <w:rStyle w:val="Hyperlink"/>
            <w:rFonts w:eastAsia="Calibri"/>
            <w:noProof/>
          </w:rPr>
          <w:t>2.1</w:t>
        </w:r>
        <w:r>
          <w:rPr>
            <w:rFonts w:asciiTheme="minorHAnsi" w:eastAsiaTheme="minorEastAsia" w:hAnsiTheme="minorHAnsi" w:cstheme="minorBidi"/>
            <w:noProof/>
            <w:sz w:val="22"/>
            <w:szCs w:val="22"/>
            <w:lang w:val="en-US"/>
          </w:rPr>
          <w:tab/>
        </w:r>
        <w:r w:rsidRPr="002734B4">
          <w:rPr>
            <w:rStyle w:val="Hyperlink"/>
            <w:rFonts w:eastAsia="Calibri"/>
            <w:noProof/>
          </w:rPr>
          <w:t>Brief description of judicial system and institutions</w:t>
        </w:r>
        <w:r>
          <w:rPr>
            <w:noProof/>
            <w:webHidden/>
          </w:rPr>
          <w:tab/>
        </w:r>
        <w:r>
          <w:rPr>
            <w:noProof/>
            <w:webHidden/>
          </w:rPr>
          <w:fldChar w:fldCharType="begin"/>
        </w:r>
        <w:r>
          <w:rPr>
            <w:noProof/>
            <w:webHidden/>
          </w:rPr>
          <w:instrText xml:space="preserve"> PAGEREF _Toc407962107 \h </w:instrText>
        </w:r>
        <w:r>
          <w:rPr>
            <w:noProof/>
            <w:webHidden/>
          </w:rPr>
        </w:r>
        <w:r>
          <w:rPr>
            <w:noProof/>
            <w:webHidden/>
          </w:rPr>
          <w:fldChar w:fldCharType="separate"/>
        </w:r>
        <w:r>
          <w:rPr>
            <w:noProof/>
            <w:webHidden/>
          </w:rPr>
          <w:t>3</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08" w:history="1">
        <w:r w:rsidRPr="002734B4">
          <w:rPr>
            <w:rStyle w:val="Hyperlink"/>
            <w:noProof/>
          </w:rPr>
          <w:t>Courts of civil jurisdiction</w:t>
        </w:r>
        <w:r>
          <w:rPr>
            <w:noProof/>
            <w:webHidden/>
          </w:rPr>
          <w:tab/>
        </w:r>
        <w:r>
          <w:rPr>
            <w:noProof/>
            <w:webHidden/>
          </w:rPr>
          <w:fldChar w:fldCharType="begin"/>
        </w:r>
        <w:r>
          <w:rPr>
            <w:noProof/>
            <w:webHidden/>
          </w:rPr>
          <w:instrText xml:space="preserve"> PAGEREF _Toc407962108 \h </w:instrText>
        </w:r>
        <w:r>
          <w:rPr>
            <w:noProof/>
            <w:webHidden/>
          </w:rPr>
        </w:r>
        <w:r>
          <w:rPr>
            <w:noProof/>
            <w:webHidden/>
          </w:rPr>
          <w:fldChar w:fldCharType="separate"/>
        </w:r>
        <w:r>
          <w:rPr>
            <w:noProof/>
            <w:webHidden/>
          </w:rPr>
          <w:t>3</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09" w:history="1">
        <w:r w:rsidRPr="002734B4">
          <w:rPr>
            <w:rStyle w:val="Hyperlink"/>
            <w:noProof/>
          </w:rPr>
          <w:t>Specialist institutions protecting children’s rights</w:t>
        </w:r>
        <w:r>
          <w:rPr>
            <w:noProof/>
            <w:webHidden/>
          </w:rPr>
          <w:tab/>
        </w:r>
        <w:r>
          <w:rPr>
            <w:noProof/>
            <w:webHidden/>
          </w:rPr>
          <w:fldChar w:fldCharType="begin"/>
        </w:r>
        <w:r>
          <w:rPr>
            <w:noProof/>
            <w:webHidden/>
          </w:rPr>
          <w:instrText xml:space="preserve"> PAGEREF _Toc407962109 \h </w:instrText>
        </w:r>
        <w:r>
          <w:rPr>
            <w:noProof/>
            <w:webHidden/>
          </w:rPr>
        </w:r>
        <w:r>
          <w:rPr>
            <w:noProof/>
            <w:webHidden/>
          </w:rPr>
          <w:fldChar w:fldCharType="separate"/>
        </w:r>
        <w:r>
          <w:rPr>
            <w:noProof/>
            <w:webHidden/>
          </w:rPr>
          <w:t>5</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10" w:history="1">
        <w:r w:rsidRPr="002734B4">
          <w:rPr>
            <w:rStyle w:val="Hyperlink"/>
            <w:noProof/>
          </w:rPr>
          <w:t>The Office of the Commissioner for Children</w:t>
        </w:r>
        <w:r>
          <w:rPr>
            <w:noProof/>
            <w:webHidden/>
          </w:rPr>
          <w:tab/>
        </w:r>
        <w:r>
          <w:rPr>
            <w:noProof/>
            <w:webHidden/>
          </w:rPr>
          <w:fldChar w:fldCharType="begin"/>
        </w:r>
        <w:r>
          <w:rPr>
            <w:noProof/>
            <w:webHidden/>
          </w:rPr>
          <w:instrText xml:space="preserve"> PAGEREF _Toc407962110 \h </w:instrText>
        </w:r>
        <w:r>
          <w:rPr>
            <w:noProof/>
            <w:webHidden/>
          </w:rPr>
        </w:r>
        <w:r>
          <w:rPr>
            <w:noProof/>
            <w:webHidden/>
          </w:rPr>
          <w:fldChar w:fldCharType="separate"/>
        </w:r>
        <w:r>
          <w:rPr>
            <w:noProof/>
            <w:webHidden/>
          </w:rPr>
          <w:t>5</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11" w:history="1">
        <w:r w:rsidRPr="002734B4">
          <w:rPr>
            <w:rStyle w:val="Hyperlink"/>
            <w:noProof/>
          </w:rPr>
          <w:t>Aġenzija Appoġġ (welfare agency for children)</w:t>
        </w:r>
        <w:r>
          <w:rPr>
            <w:noProof/>
            <w:webHidden/>
          </w:rPr>
          <w:tab/>
        </w:r>
        <w:r>
          <w:rPr>
            <w:noProof/>
            <w:webHidden/>
          </w:rPr>
          <w:fldChar w:fldCharType="begin"/>
        </w:r>
        <w:r>
          <w:rPr>
            <w:noProof/>
            <w:webHidden/>
          </w:rPr>
          <w:instrText xml:space="preserve"> PAGEREF _Toc407962111 \h </w:instrText>
        </w:r>
        <w:r>
          <w:rPr>
            <w:noProof/>
            <w:webHidden/>
          </w:rPr>
        </w:r>
        <w:r>
          <w:rPr>
            <w:noProof/>
            <w:webHidden/>
          </w:rPr>
          <w:fldChar w:fldCharType="separate"/>
        </w:r>
        <w:r>
          <w:rPr>
            <w:noProof/>
            <w:webHidden/>
          </w:rPr>
          <w:t>5</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12" w:history="1">
        <w:r w:rsidRPr="002734B4">
          <w:rPr>
            <w:rStyle w:val="Hyperlink"/>
            <w:noProof/>
          </w:rPr>
          <w:t>Coordination and training</w:t>
        </w:r>
        <w:r>
          <w:rPr>
            <w:noProof/>
            <w:webHidden/>
          </w:rPr>
          <w:tab/>
        </w:r>
        <w:r>
          <w:rPr>
            <w:noProof/>
            <w:webHidden/>
          </w:rPr>
          <w:fldChar w:fldCharType="begin"/>
        </w:r>
        <w:r>
          <w:rPr>
            <w:noProof/>
            <w:webHidden/>
          </w:rPr>
          <w:instrText xml:space="preserve"> PAGEREF _Toc407962112 \h </w:instrText>
        </w:r>
        <w:r>
          <w:rPr>
            <w:noProof/>
            <w:webHidden/>
          </w:rPr>
        </w:r>
        <w:r>
          <w:rPr>
            <w:noProof/>
            <w:webHidden/>
          </w:rPr>
          <w:fldChar w:fldCharType="separate"/>
        </w:r>
        <w:r>
          <w:rPr>
            <w:noProof/>
            <w:webHidden/>
          </w:rPr>
          <w:t>6</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13" w:history="1">
        <w:r w:rsidRPr="002734B4">
          <w:rPr>
            <w:rStyle w:val="Hyperlink"/>
            <w:noProof/>
          </w:rPr>
          <w:t>Relationship between civil, criminal and administrative proceedings</w:t>
        </w:r>
        <w:r>
          <w:rPr>
            <w:noProof/>
            <w:webHidden/>
          </w:rPr>
          <w:tab/>
        </w:r>
        <w:r>
          <w:rPr>
            <w:noProof/>
            <w:webHidden/>
          </w:rPr>
          <w:fldChar w:fldCharType="begin"/>
        </w:r>
        <w:r>
          <w:rPr>
            <w:noProof/>
            <w:webHidden/>
          </w:rPr>
          <w:instrText xml:space="preserve"> PAGEREF _Toc407962113 \h </w:instrText>
        </w:r>
        <w:r>
          <w:rPr>
            <w:noProof/>
            <w:webHidden/>
          </w:rPr>
        </w:r>
        <w:r>
          <w:rPr>
            <w:noProof/>
            <w:webHidden/>
          </w:rPr>
          <w:fldChar w:fldCharType="separate"/>
        </w:r>
        <w:r>
          <w:rPr>
            <w:noProof/>
            <w:webHidden/>
          </w:rPr>
          <w:t>7</w:t>
        </w:r>
        <w:r>
          <w:rPr>
            <w:noProof/>
            <w:webHidden/>
          </w:rPr>
          <w:fldChar w:fldCharType="end"/>
        </w:r>
      </w:hyperlink>
    </w:p>
    <w:p w:rsidR="008558C6" w:rsidRDefault="008558C6" w:rsidP="008558C6">
      <w:pPr>
        <w:pStyle w:val="TOC3"/>
        <w:rPr>
          <w:rFonts w:asciiTheme="minorHAnsi" w:eastAsiaTheme="minorEastAsia" w:hAnsiTheme="minorHAnsi" w:cstheme="minorBidi"/>
          <w:noProof/>
          <w:sz w:val="22"/>
          <w:szCs w:val="22"/>
          <w:lang w:val="en-US"/>
        </w:rPr>
      </w:pPr>
      <w:hyperlink w:anchor="_Toc407962114" w:history="1">
        <w:r w:rsidRPr="002734B4">
          <w:rPr>
            <w:rStyle w:val="Hyperlink"/>
            <w:noProof/>
          </w:rPr>
          <w:t>2.2</w:t>
        </w:r>
        <w:r>
          <w:rPr>
            <w:rFonts w:asciiTheme="minorHAnsi" w:eastAsiaTheme="minorEastAsia" w:hAnsiTheme="minorHAnsi" w:cstheme="minorBidi"/>
            <w:noProof/>
            <w:sz w:val="22"/>
            <w:szCs w:val="22"/>
            <w:lang w:val="en-US"/>
          </w:rPr>
          <w:tab/>
        </w:r>
        <w:r w:rsidRPr="002734B4">
          <w:rPr>
            <w:rStyle w:val="Hyperlink"/>
            <w:rFonts w:eastAsia="Calibri"/>
            <w:noProof/>
          </w:rPr>
          <w:t>General approach towards children under civil law: definition of child, principle of evolving capacities, best interests of the child, principle of non-discrimination</w:t>
        </w:r>
        <w:r>
          <w:rPr>
            <w:noProof/>
            <w:webHidden/>
          </w:rPr>
          <w:tab/>
        </w:r>
        <w:r>
          <w:rPr>
            <w:noProof/>
            <w:webHidden/>
          </w:rPr>
          <w:fldChar w:fldCharType="begin"/>
        </w:r>
        <w:r>
          <w:rPr>
            <w:noProof/>
            <w:webHidden/>
          </w:rPr>
          <w:instrText xml:space="preserve"> PAGEREF _Toc407962114 \h </w:instrText>
        </w:r>
        <w:r>
          <w:rPr>
            <w:noProof/>
            <w:webHidden/>
          </w:rPr>
        </w:r>
        <w:r>
          <w:rPr>
            <w:noProof/>
            <w:webHidden/>
          </w:rPr>
          <w:fldChar w:fldCharType="separate"/>
        </w:r>
        <w:r>
          <w:rPr>
            <w:noProof/>
            <w:webHidden/>
          </w:rPr>
          <w:t>7</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15" w:history="1">
        <w:r w:rsidRPr="002734B4">
          <w:rPr>
            <w:rStyle w:val="Hyperlink"/>
            <w:noProof/>
          </w:rPr>
          <w:t>The definition of ‘child’</w:t>
        </w:r>
        <w:r>
          <w:rPr>
            <w:noProof/>
            <w:webHidden/>
          </w:rPr>
          <w:tab/>
        </w:r>
        <w:r>
          <w:rPr>
            <w:noProof/>
            <w:webHidden/>
          </w:rPr>
          <w:fldChar w:fldCharType="begin"/>
        </w:r>
        <w:r>
          <w:rPr>
            <w:noProof/>
            <w:webHidden/>
          </w:rPr>
          <w:instrText xml:space="preserve"> PAGEREF _Toc407962115 \h </w:instrText>
        </w:r>
        <w:r>
          <w:rPr>
            <w:noProof/>
            <w:webHidden/>
          </w:rPr>
        </w:r>
        <w:r>
          <w:rPr>
            <w:noProof/>
            <w:webHidden/>
          </w:rPr>
          <w:fldChar w:fldCharType="separate"/>
        </w:r>
        <w:r>
          <w:rPr>
            <w:noProof/>
            <w:webHidden/>
          </w:rPr>
          <w:t>7</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16" w:history="1">
        <w:r w:rsidRPr="002734B4">
          <w:rPr>
            <w:rStyle w:val="Hyperlink"/>
            <w:noProof/>
          </w:rPr>
          <w:t>The child’s best interests</w:t>
        </w:r>
        <w:r>
          <w:rPr>
            <w:noProof/>
            <w:webHidden/>
          </w:rPr>
          <w:tab/>
        </w:r>
        <w:r>
          <w:rPr>
            <w:noProof/>
            <w:webHidden/>
          </w:rPr>
          <w:fldChar w:fldCharType="begin"/>
        </w:r>
        <w:r>
          <w:rPr>
            <w:noProof/>
            <w:webHidden/>
          </w:rPr>
          <w:instrText xml:space="preserve"> PAGEREF _Toc407962116 \h </w:instrText>
        </w:r>
        <w:r>
          <w:rPr>
            <w:noProof/>
            <w:webHidden/>
          </w:rPr>
        </w:r>
        <w:r>
          <w:rPr>
            <w:noProof/>
            <w:webHidden/>
          </w:rPr>
          <w:fldChar w:fldCharType="separate"/>
        </w:r>
        <w:r>
          <w:rPr>
            <w:noProof/>
            <w:webHidden/>
          </w:rPr>
          <w:t>8</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17" w:history="1">
        <w:r w:rsidRPr="002734B4">
          <w:rPr>
            <w:rStyle w:val="Hyperlink"/>
            <w:noProof/>
          </w:rPr>
          <w:t>The child’s dignity and evolving capacity</w:t>
        </w:r>
        <w:r>
          <w:rPr>
            <w:noProof/>
            <w:webHidden/>
          </w:rPr>
          <w:tab/>
        </w:r>
        <w:r>
          <w:rPr>
            <w:noProof/>
            <w:webHidden/>
          </w:rPr>
          <w:fldChar w:fldCharType="begin"/>
        </w:r>
        <w:r>
          <w:rPr>
            <w:noProof/>
            <w:webHidden/>
          </w:rPr>
          <w:instrText xml:space="preserve"> PAGEREF _Toc407962117 \h </w:instrText>
        </w:r>
        <w:r>
          <w:rPr>
            <w:noProof/>
            <w:webHidden/>
          </w:rPr>
        </w:r>
        <w:r>
          <w:rPr>
            <w:noProof/>
            <w:webHidden/>
          </w:rPr>
          <w:fldChar w:fldCharType="separate"/>
        </w:r>
        <w:r>
          <w:rPr>
            <w:noProof/>
            <w:webHidden/>
          </w:rPr>
          <w:t>9</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18" w:history="1">
        <w:r w:rsidRPr="002734B4">
          <w:rPr>
            <w:rStyle w:val="Hyperlink"/>
            <w:noProof/>
          </w:rPr>
          <w:t>Protection from discrimination</w:t>
        </w:r>
        <w:r>
          <w:rPr>
            <w:noProof/>
            <w:webHidden/>
          </w:rPr>
          <w:tab/>
        </w:r>
        <w:r>
          <w:rPr>
            <w:noProof/>
            <w:webHidden/>
          </w:rPr>
          <w:fldChar w:fldCharType="begin"/>
        </w:r>
        <w:r>
          <w:rPr>
            <w:noProof/>
            <w:webHidden/>
          </w:rPr>
          <w:instrText xml:space="preserve"> PAGEREF _Toc407962118 \h </w:instrText>
        </w:r>
        <w:r>
          <w:rPr>
            <w:noProof/>
            <w:webHidden/>
          </w:rPr>
        </w:r>
        <w:r>
          <w:rPr>
            <w:noProof/>
            <w:webHidden/>
          </w:rPr>
          <w:fldChar w:fldCharType="separate"/>
        </w:r>
        <w:r>
          <w:rPr>
            <w:noProof/>
            <w:webHidden/>
          </w:rPr>
          <w:t>9</w:t>
        </w:r>
        <w:r>
          <w:rPr>
            <w:noProof/>
            <w:webHidden/>
          </w:rPr>
          <w:fldChar w:fldCharType="end"/>
        </w:r>
      </w:hyperlink>
    </w:p>
    <w:p w:rsidR="008558C6" w:rsidRDefault="008558C6" w:rsidP="008558C6">
      <w:pPr>
        <w:pStyle w:val="TOC1"/>
        <w:rPr>
          <w:rFonts w:asciiTheme="minorHAnsi" w:eastAsiaTheme="minorEastAsia" w:hAnsiTheme="minorHAnsi" w:cstheme="minorBidi"/>
          <w:noProof/>
          <w:color w:val="auto"/>
          <w:sz w:val="22"/>
          <w:szCs w:val="22"/>
          <w:lang w:val="en-US"/>
        </w:rPr>
      </w:pPr>
      <w:hyperlink w:anchor="_Toc407962119" w:history="1">
        <w:r w:rsidRPr="002734B4">
          <w:rPr>
            <w:rStyle w:val="Hyperlink"/>
            <w:rFonts w:cs="Arial"/>
            <w:noProof/>
          </w:rPr>
          <w:t>3</w:t>
        </w:r>
        <w:r>
          <w:rPr>
            <w:rFonts w:asciiTheme="minorHAnsi" w:eastAsiaTheme="minorEastAsia" w:hAnsiTheme="minorHAnsi" w:cstheme="minorBidi"/>
            <w:noProof/>
            <w:color w:val="auto"/>
            <w:sz w:val="22"/>
            <w:szCs w:val="22"/>
            <w:lang w:val="en-US"/>
          </w:rPr>
          <w:tab/>
        </w:r>
        <w:r w:rsidRPr="002734B4">
          <w:rPr>
            <w:rStyle w:val="Hyperlink"/>
            <w:noProof/>
          </w:rPr>
          <w:t>Child-friendly justice in civil judicial proceedings</w:t>
        </w:r>
        <w:r>
          <w:rPr>
            <w:noProof/>
            <w:webHidden/>
          </w:rPr>
          <w:tab/>
        </w:r>
        <w:r>
          <w:rPr>
            <w:noProof/>
            <w:webHidden/>
          </w:rPr>
          <w:fldChar w:fldCharType="begin"/>
        </w:r>
        <w:r>
          <w:rPr>
            <w:noProof/>
            <w:webHidden/>
          </w:rPr>
          <w:instrText xml:space="preserve"> PAGEREF _Toc407962119 \h </w:instrText>
        </w:r>
        <w:r>
          <w:rPr>
            <w:noProof/>
            <w:webHidden/>
          </w:rPr>
        </w:r>
        <w:r>
          <w:rPr>
            <w:noProof/>
            <w:webHidden/>
          </w:rPr>
          <w:fldChar w:fldCharType="separate"/>
        </w:r>
        <w:r>
          <w:rPr>
            <w:noProof/>
            <w:webHidden/>
          </w:rPr>
          <w:t>10</w:t>
        </w:r>
        <w:r>
          <w:rPr>
            <w:noProof/>
            <w:webHidden/>
          </w:rPr>
          <w:fldChar w:fldCharType="end"/>
        </w:r>
      </w:hyperlink>
    </w:p>
    <w:p w:rsidR="008558C6" w:rsidRDefault="008558C6" w:rsidP="008558C6">
      <w:pPr>
        <w:pStyle w:val="TOC3"/>
        <w:rPr>
          <w:rFonts w:asciiTheme="minorHAnsi" w:eastAsiaTheme="minorEastAsia" w:hAnsiTheme="minorHAnsi" w:cstheme="minorBidi"/>
          <w:noProof/>
          <w:sz w:val="22"/>
          <w:szCs w:val="22"/>
          <w:lang w:val="en-US"/>
        </w:rPr>
      </w:pPr>
      <w:hyperlink w:anchor="_Toc407962120" w:history="1">
        <w:r w:rsidRPr="002734B4">
          <w:rPr>
            <w:rStyle w:val="Hyperlink"/>
            <w:noProof/>
          </w:rPr>
          <w:t>3.1</w:t>
        </w:r>
        <w:r>
          <w:rPr>
            <w:rFonts w:asciiTheme="minorHAnsi" w:eastAsiaTheme="minorEastAsia" w:hAnsiTheme="minorHAnsi" w:cstheme="minorBidi"/>
            <w:noProof/>
            <w:sz w:val="22"/>
            <w:szCs w:val="22"/>
            <w:lang w:val="en-US"/>
          </w:rPr>
          <w:tab/>
        </w:r>
        <w:r w:rsidRPr="002734B4">
          <w:rPr>
            <w:rStyle w:val="Hyperlink"/>
            <w:noProof/>
          </w:rPr>
          <w:t>The child as an actor in civil judicial proceedings</w:t>
        </w:r>
        <w:r>
          <w:rPr>
            <w:noProof/>
            <w:webHidden/>
          </w:rPr>
          <w:tab/>
        </w:r>
        <w:r>
          <w:rPr>
            <w:noProof/>
            <w:webHidden/>
          </w:rPr>
          <w:fldChar w:fldCharType="begin"/>
        </w:r>
        <w:r>
          <w:rPr>
            <w:noProof/>
            <w:webHidden/>
          </w:rPr>
          <w:instrText xml:space="preserve"> PAGEREF _Toc407962120 \h </w:instrText>
        </w:r>
        <w:r>
          <w:rPr>
            <w:noProof/>
            <w:webHidden/>
          </w:rPr>
        </w:r>
        <w:r>
          <w:rPr>
            <w:noProof/>
            <w:webHidden/>
          </w:rPr>
          <w:fldChar w:fldCharType="separate"/>
        </w:r>
        <w:r>
          <w:rPr>
            <w:noProof/>
            <w:webHidden/>
          </w:rPr>
          <w:t>10</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21" w:history="1">
        <w:r w:rsidRPr="002734B4">
          <w:rPr>
            <w:rStyle w:val="Hyperlink"/>
            <w:noProof/>
          </w:rPr>
          <w:t>Interim measures</w:t>
        </w:r>
        <w:r>
          <w:rPr>
            <w:noProof/>
            <w:webHidden/>
          </w:rPr>
          <w:tab/>
        </w:r>
        <w:r>
          <w:rPr>
            <w:noProof/>
            <w:webHidden/>
          </w:rPr>
          <w:fldChar w:fldCharType="begin"/>
        </w:r>
        <w:r>
          <w:rPr>
            <w:noProof/>
            <w:webHidden/>
          </w:rPr>
          <w:instrText xml:space="preserve"> PAGEREF _Toc407962121 \h </w:instrText>
        </w:r>
        <w:r>
          <w:rPr>
            <w:noProof/>
            <w:webHidden/>
          </w:rPr>
        </w:r>
        <w:r>
          <w:rPr>
            <w:noProof/>
            <w:webHidden/>
          </w:rPr>
          <w:fldChar w:fldCharType="separate"/>
        </w:r>
        <w:r>
          <w:rPr>
            <w:noProof/>
            <w:webHidden/>
          </w:rPr>
          <w:t>12</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22" w:history="1">
        <w:r w:rsidRPr="002734B4">
          <w:rPr>
            <w:rStyle w:val="Hyperlink"/>
            <w:noProof/>
          </w:rPr>
          <w:t>Child protection cases</w:t>
        </w:r>
        <w:r>
          <w:rPr>
            <w:noProof/>
            <w:webHidden/>
          </w:rPr>
          <w:tab/>
        </w:r>
        <w:r>
          <w:rPr>
            <w:noProof/>
            <w:webHidden/>
          </w:rPr>
          <w:fldChar w:fldCharType="begin"/>
        </w:r>
        <w:r>
          <w:rPr>
            <w:noProof/>
            <w:webHidden/>
          </w:rPr>
          <w:instrText xml:space="preserve"> PAGEREF _Toc407962122 \h </w:instrText>
        </w:r>
        <w:r>
          <w:rPr>
            <w:noProof/>
            <w:webHidden/>
          </w:rPr>
        </w:r>
        <w:r>
          <w:rPr>
            <w:noProof/>
            <w:webHidden/>
          </w:rPr>
          <w:fldChar w:fldCharType="separate"/>
        </w:r>
        <w:r>
          <w:rPr>
            <w:noProof/>
            <w:webHidden/>
          </w:rPr>
          <w:t>13</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23" w:history="1">
        <w:r w:rsidRPr="002734B4">
          <w:rPr>
            <w:rStyle w:val="Hyperlink"/>
            <w:noProof/>
          </w:rPr>
          <w:t>Children as interveners</w:t>
        </w:r>
        <w:r>
          <w:rPr>
            <w:noProof/>
            <w:webHidden/>
          </w:rPr>
          <w:tab/>
        </w:r>
        <w:r>
          <w:rPr>
            <w:noProof/>
            <w:webHidden/>
          </w:rPr>
          <w:fldChar w:fldCharType="begin"/>
        </w:r>
        <w:r>
          <w:rPr>
            <w:noProof/>
            <w:webHidden/>
          </w:rPr>
          <w:instrText xml:space="preserve"> PAGEREF _Toc407962123 \h </w:instrText>
        </w:r>
        <w:r>
          <w:rPr>
            <w:noProof/>
            <w:webHidden/>
          </w:rPr>
        </w:r>
        <w:r>
          <w:rPr>
            <w:noProof/>
            <w:webHidden/>
          </w:rPr>
          <w:fldChar w:fldCharType="separate"/>
        </w:r>
        <w:r>
          <w:rPr>
            <w:noProof/>
            <w:webHidden/>
          </w:rPr>
          <w:t>13</w:t>
        </w:r>
        <w:r>
          <w:rPr>
            <w:noProof/>
            <w:webHidden/>
          </w:rPr>
          <w:fldChar w:fldCharType="end"/>
        </w:r>
      </w:hyperlink>
    </w:p>
    <w:p w:rsidR="008558C6" w:rsidRDefault="008558C6" w:rsidP="008558C6">
      <w:pPr>
        <w:pStyle w:val="TOC3"/>
        <w:rPr>
          <w:rFonts w:asciiTheme="minorHAnsi" w:eastAsiaTheme="minorEastAsia" w:hAnsiTheme="minorHAnsi" w:cstheme="minorBidi"/>
          <w:noProof/>
          <w:sz w:val="22"/>
          <w:szCs w:val="22"/>
          <w:lang w:val="en-US"/>
        </w:rPr>
      </w:pPr>
      <w:hyperlink w:anchor="_Toc407962124" w:history="1">
        <w:r w:rsidRPr="002734B4">
          <w:rPr>
            <w:rStyle w:val="Hyperlink"/>
            <w:noProof/>
          </w:rPr>
          <w:t>3.2</w:t>
        </w:r>
        <w:r>
          <w:rPr>
            <w:rFonts w:asciiTheme="minorHAnsi" w:eastAsiaTheme="minorEastAsia" w:hAnsiTheme="minorHAnsi" w:cstheme="minorBidi"/>
            <w:noProof/>
            <w:sz w:val="22"/>
            <w:szCs w:val="22"/>
            <w:lang w:val="en-US"/>
          </w:rPr>
          <w:tab/>
        </w:r>
        <w:r w:rsidRPr="002734B4">
          <w:rPr>
            <w:rStyle w:val="Hyperlink"/>
            <w:noProof/>
          </w:rPr>
          <w:t>Provision of information</w:t>
        </w:r>
        <w:r>
          <w:rPr>
            <w:noProof/>
            <w:webHidden/>
          </w:rPr>
          <w:tab/>
        </w:r>
        <w:r>
          <w:rPr>
            <w:noProof/>
            <w:webHidden/>
          </w:rPr>
          <w:fldChar w:fldCharType="begin"/>
        </w:r>
        <w:r>
          <w:rPr>
            <w:noProof/>
            <w:webHidden/>
          </w:rPr>
          <w:instrText xml:space="preserve"> PAGEREF _Toc407962124 \h </w:instrText>
        </w:r>
        <w:r>
          <w:rPr>
            <w:noProof/>
            <w:webHidden/>
          </w:rPr>
        </w:r>
        <w:r>
          <w:rPr>
            <w:noProof/>
            <w:webHidden/>
          </w:rPr>
          <w:fldChar w:fldCharType="separate"/>
        </w:r>
        <w:r>
          <w:rPr>
            <w:noProof/>
            <w:webHidden/>
          </w:rPr>
          <w:t>13</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25" w:history="1">
        <w:r w:rsidRPr="002734B4">
          <w:rPr>
            <w:rStyle w:val="Hyperlink"/>
            <w:noProof/>
          </w:rPr>
          <w:t>Remedies</w:t>
        </w:r>
        <w:r>
          <w:rPr>
            <w:noProof/>
            <w:webHidden/>
          </w:rPr>
          <w:tab/>
        </w:r>
        <w:r>
          <w:rPr>
            <w:noProof/>
            <w:webHidden/>
          </w:rPr>
          <w:fldChar w:fldCharType="begin"/>
        </w:r>
        <w:r>
          <w:rPr>
            <w:noProof/>
            <w:webHidden/>
          </w:rPr>
          <w:instrText xml:space="preserve"> PAGEREF _Toc407962125 \h </w:instrText>
        </w:r>
        <w:r>
          <w:rPr>
            <w:noProof/>
            <w:webHidden/>
          </w:rPr>
        </w:r>
        <w:r>
          <w:rPr>
            <w:noProof/>
            <w:webHidden/>
          </w:rPr>
          <w:fldChar w:fldCharType="separate"/>
        </w:r>
        <w:r>
          <w:rPr>
            <w:noProof/>
            <w:webHidden/>
          </w:rPr>
          <w:t>14</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26" w:history="1">
        <w:r w:rsidRPr="002734B4">
          <w:rPr>
            <w:rStyle w:val="Hyperlink"/>
            <w:noProof/>
          </w:rPr>
          <w:t>Support services</w:t>
        </w:r>
        <w:r>
          <w:rPr>
            <w:noProof/>
            <w:webHidden/>
          </w:rPr>
          <w:tab/>
        </w:r>
        <w:r>
          <w:rPr>
            <w:noProof/>
            <w:webHidden/>
          </w:rPr>
          <w:fldChar w:fldCharType="begin"/>
        </w:r>
        <w:r>
          <w:rPr>
            <w:noProof/>
            <w:webHidden/>
          </w:rPr>
          <w:instrText xml:space="preserve"> PAGEREF _Toc407962126 \h </w:instrText>
        </w:r>
        <w:r>
          <w:rPr>
            <w:noProof/>
            <w:webHidden/>
          </w:rPr>
        </w:r>
        <w:r>
          <w:rPr>
            <w:noProof/>
            <w:webHidden/>
          </w:rPr>
          <w:fldChar w:fldCharType="separate"/>
        </w:r>
        <w:r>
          <w:rPr>
            <w:noProof/>
            <w:webHidden/>
          </w:rPr>
          <w:t>14</w:t>
        </w:r>
        <w:r>
          <w:rPr>
            <w:noProof/>
            <w:webHidden/>
          </w:rPr>
          <w:fldChar w:fldCharType="end"/>
        </w:r>
      </w:hyperlink>
    </w:p>
    <w:p w:rsidR="008558C6" w:rsidRDefault="008558C6" w:rsidP="008558C6">
      <w:pPr>
        <w:pStyle w:val="TOC3"/>
        <w:rPr>
          <w:rFonts w:asciiTheme="minorHAnsi" w:eastAsiaTheme="minorEastAsia" w:hAnsiTheme="minorHAnsi" w:cstheme="minorBidi"/>
          <w:noProof/>
          <w:sz w:val="22"/>
          <w:szCs w:val="22"/>
          <w:lang w:val="en-US"/>
        </w:rPr>
      </w:pPr>
      <w:hyperlink w:anchor="_Toc407962127" w:history="1">
        <w:r w:rsidRPr="002734B4">
          <w:rPr>
            <w:rStyle w:val="Hyperlink"/>
            <w:noProof/>
          </w:rPr>
          <w:t>3.3</w:t>
        </w:r>
        <w:r>
          <w:rPr>
            <w:rFonts w:asciiTheme="minorHAnsi" w:eastAsiaTheme="minorEastAsia" w:hAnsiTheme="minorHAnsi" w:cstheme="minorBidi"/>
            <w:noProof/>
            <w:sz w:val="22"/>
            <w:szCs w:val="22"/>
            <w:lang w:val="en-US"/>
          </w:rPr>
          <w:tab/>
        </w:r>
        <w:r w:rsidRPr="002734B4">
          <w:rPr>
            <w:rStyle w:val="Hyperlink"/>
            <w:noProof/>
          </w:rPr>
          <w:t>Protection of the child’s private and family life</w:t>
        </w:r>
        <w:r>
          <w:rPr>
            <w:noProof/>
            <w:webHidden/>
          </w:rPr>
          <w:tab/>
        </w:r>
        <w:r>
          <w:rPr>
            <w:noProof/>
            <w:webHidden/>
          </w:rPr>
          <w:fldChar w:fldCharType="begin"/>
        </w:r>
        <w:r>
          <w:rPr>
            <w:noProof/>
            <w:webHidden/>
          </w:rPr>
          <w:instrText xml:space="preserve"> PAGEREF _Toc407962127 \h </w:instrText>
        </w:r>
        <w:r>
          <w:rPr>
            <w:noProof/>
            <w:webHidden/>
          </w:rPr>
        </w:r>
        <w:r>
          <w:rPr>
            <w:noProof/>
            <w:webHidden/>
          </w:rPr>
          <w:fldChar w:fldCharType="separate"/>
        </w:r>
        <w:r>
          <w:rPr>
            <w:noProof/>
            <w:webHidden/>
          </w:rPr>
          <w:t>15</w:t>
        </w:r>
        <w:r>
          <w:rPr>
            <w:noProof/>
            <w:webHidden/>
          </w:rPr>
          <w:fldChar w:fldCharType="end"/>
        </w:r>
      </w:hyperlink>
    </w:p>
    <w:p w:rsidR="008558C6" w:rsidRDefault="008558C6" w:rsidP="008558C6">
      <w:pPr>
        <w:pStyle w:val="TOC4"/>
        <w:rPr>
          <w:rFonts w:asciiTheme="minorHAnsi" w:eastAsiaTheme="minorEastAsia" w:hAnsiTheme="minorHAnsi" w:cstheme="minorBidi"/>
          <w:noProof/>
          <w:sz w:val="22"/>
          <w:szCs w:val="22"/>
          <w:lang w:val="en-US"/>
        </w:rPr>
      </w:pPr>
      <w:hyperlink w:anchor="_Toc407962128" w:history="1">
        <w:r w:rsidRPr="002734B4">
          <w:rPr>
            <w:rStyle w:val="Hyperlink"/>
            <w:noProof/>
          </w:rPr>
          <w:t>3.3.1</w:t>
        </w:r>
        <w:r>
          <w:rPr>
            <w:rFonts w:asciiTheme="minorHAnsi" w:eastAsiaTheme="minorEastAsia" w:hAnsiTheme="minorHAnsi" w:cstheme="minorBidi"/>
            <w:noProof/>
            <w:sz w:val="22"/>
            <w:szCs w:val="22"/>
            <w:lang w:val="en-US"/>
          </w:rPr>
          <w:tab/>
        </w:r>
        <w:r w:rsidRPr="002734B4">
          <w:rPr>
            <w:rStyle w:val="Hyperlink"/>
            <w:noProof/>
          </w:rPr>
          <w:t>General procedural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_Toc407962128 \h </w:instrText>
        </w:r>
        <w:r>
          <w:rPr>
            <w:noProof/>
            <w:webHidden/>
          </w:rPr>
        </w:r>
        <w:r>
          <w:rPr>
            <w:noProof/>
            <w:webHidden/>
          </w:rPr>
          <w:fldChar w:fldCharType="separate"/>
        </w:r>
        <w:r>
          <w:rPr>
            <w:noProof/>
            <w:webHidden/>
          </w:rPr>
          <w:t>15</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29" w:history="1">
        <w:r w:rsidRPr="002734B4">
          <w:rPr>
            <w:rStyle w:val="Hyperlink"/>
            <w:noProof/>
          </w:rPr>
          <w:t>Publicity of trials</w:t>
        </w:r>
        <w:r>
          <w:rPr>
            <w:noProof/>
            <w:webHidden/>
          </w:rPr>
          <w:tab/>
        </w:r>
        <w:r>
          <w:rPr>
            <w:noProof/>
            <w:webHidden/>
          </w:rPr>
          <w:fldChar w:fldCharType="begin"/>
        </w:r>
        <w:r>
          <w:rPr>
            <w:noProof/>
            <w:webHidden/>
          </w:rPr>
          <w:instrText xml:space="preserve"> PAGEREF _Toc407962129 \h </w:instrText>
        </w:r>
        <w:r>
          <w:rPr>
            <w:noProof/>
            <w:webHidden/>
          </w:rPr>
        </w:r>
        <w:r>
          <w:rPr>
            <w:noProof/>
            <w:webHidden/>
          </w:rPr>
          <w:fldChar w:fldCharType="separate"/>
        </w:r>
        <w:r>
          <w:rPr>
            <w:noProof/>
            <w:webHidden/>
          </w:rPr>
          <w:t>15</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30" w:history="1">
        <w:r w:rsidRPr="002734B4">
          <w:rPr>
            <w:rStyle w:val="Hyperlink"/>
            <w:noProof/>
          </w:rPr>
          <w:t>Protection of the data of children involved in civil judicial proceedings</w:t>
        </w:r>
        <w:r>
          <w:rPr>
            <w:noProof/>
            <w:webHidden/>
          </w:rPr>
          <w:tab/>
        </w:r>
        <w:r>
          <w:rPr>
            <w:noProof/>
            <w:webHidden/>
          </w:rPr>
          <w:fldChar w:fldCharType="begin"/>
        </w:r>
        <w:r>
          <w:rPr>
            <w:noProof/>
            <w:webHidden/>
          </w:rPr>
          <w:instrText xml:space="preserve"> PAGEREF _Toc407962130 \h </w:instrText>
        </w:r>
        <w:r>
          <w:rPr>
            <w:noProof/>
            <w:webHidden/>
          </w:rPr>
        </w:r>
        <w:r>
          <w:rPr>
            <w:noProof/>
            <w:webHidden/>
          </w:rPr>
          <w:fldChar w:fldCharType="separate"/>
        </w:r>
        <w:r>
          <w:rPr>
            <w:noProof/>
            <w:webHidden/>
          </w:rPr>
          <w:t>15</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31" w:history="1">
        <w:r w:rsidRPr="002734B4">
          <w:rPr>
            <w:rStyle w:val="Hyperlink"/>
            <w:noProof/>
          </w:rPr>
          <w:t>Protection of children’s data in the media</w:t>
        </w:r>
        <w:r>
          <w:rPr>
            <w:noProof/>
            <w:webHidden/>
          </w:rPr>
          <w:tab/>
        </w:r>
        <w:r>
          <w:rPr>
            <w:noProof/>
            <w:webHidden/>
          </w:rPr>
          <w:fldChar w:fldCharType="begin"/>
        </w:r>
        <w:r>
          <w:rPr>
            <w:noProof/>
            <w:webHidden/>
          </w:rPr>
          <w:instrText xml:space="preserve"> PAGEREF _Toc407962131 \h </w:instrText>
        </w:r>
        <w:r>
          <w:rPr>
            <w:noProof/>
            <w:webHidden/>
          </w:rPr>
        </w:r>
        <w:r>
          <w:rPr>
            <w:noProof/>
            <w:webHidden/>
          </w:rPr>
          <w:fldChar w:fldCharType="separate"/>
        </w:r>
        <w:r>
          <w:rPr>
            <w:noProof/>
            <w:webHidden/>
          </w:rPr>
          <w:t>16</w:t>
        </w:r>
        <w:r>
          <w:rPr>
            <w:noProof/>
            <w:webHidden/>
          </w:rPr>
          <w:fldChar w:fldCharType="end"/>
        </w:r>
      </w:hyperlink>
    </w:p>
    <w:p w:rsidR="008558C6" w:rsidRDefault="008558C6" w:rsidP="008558C6">
      <w:pPr>
        <w:pStyle w:val="TOC3"/>
        <w:rPr>
          <w:rFonts w:asciiTheme="minorHAnsi" w:eastAsiaTheme="minorEastAsia" w:hAnsiTheme="minorHAnsi" w:cstheme="minorBidi"/>
          <w:noProof/>
          <w:sz w:val="22"/>
          <w:szCs w:val="22"/>
          <w:lang w:val="en-US"/>
        </w:rPr>
      </w:pPr>
      <w:hyperlink w:anchor="_Toc407962132" w:history="1">
        <w:r w:rsidRPr="002734B4">
          <w:rPr>
            <w:rStyle w:val="Hyperlink"/>
            <w:noProof/>
          </w:rPr>
          <w:t>3.4</w:t>
        </w:r>
        <w:r>
          <w:rPr>
            <w:rFonts w:asciiTheme="minorHAnsi" w:eastAsiaTheme="minorEastAsia" w:hAnsiTheme="minorHAnsi" w:cstheme="minorBidi"/>
            <w:noProof/>
            <w:sz w:val="22"/>
            <w:szCs w:val="22"/>
            <w:lang w:val="en-US"/>
          </w:rPr>
          <w:tab/>
        </w:r>
        <w:r w:rsidRPr="002734B4">
          <w:rPr>
            <w:rStyle w:val="Hyperlink"/>
            <w:noProof/>
          </w:rPr>
          <w:t>Protection from harm and ensuring a child-friendly process</w:t>
        </w:r>
        <w:r>
          <w:rPr>
            <w:noProof/>
            <w:webHidden/>
          </w:rPr>
          <w:tab/>
        </w:r>
        <w:r>
          <w:rPr>
            <w:noProof/>
            <w:webHidden/>
          </w:rPr>
          <w:fldChar w:fldCharType="begin"/>
        </w:r>
        <w:r>
          <w:rPr>
            <w:noProof/>
            <w:webHidden/>
          </w:rPr>
          <w:instrText xml:space="preserve"> PAGEREF _Toc407962132 \h </w:instrText>
        </w:r>
        <w:r>
          <w:rPr>
            <w:noProof/>
            <w:webHidden/>
          </w:rPr>
        </w:r>
        <w:r>
          <w:rPr>
            <w:noProof/>
            <w:webHidden/>
          </w:rPr>
          <w:fldChar w:fldCharType="separate"/>
        </w:r>
        <w:r>
          <w:rPr>
            <w:noProof/>
            <w:webHidden/>
          </w:rPr>
          <w:t>17</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33" w:history="1">
        <w:r w:rsidRPr="002734B4">
          <w:rPr>
            <w:rStyle w:val="Hyperlink"/>
            <w:noProof/>
          </w:rPr>
          <w:t>Court delays</w:t>
        </w:r>
        <w:r>
          <w:rPr>
            <w:noProof/>
            <w:webHidden/>
          </w:rPr>
          <w:tab/>
        </w:r>
        <w:r>
          <w:rPr>
            <w:noProof/>
            <w:webHidden/>
          </w:rPr>
          <w:fldChar w:fldCharType="begin"/>
        </w:r>
        <w:r>
          <w:rPr>
            <w:noProof/>
            <w:webHidden/>
          </w:rPr>
          <w:instrText xml:space="preserve"> PAGEREF _Toc407962133 \h </w:instrText>
        </w:r>
        <w:r>
          <w:rPr>
            <w:noProof/>
            <w:webHidden/>
          </w:rPr>
        </w:r>
        <w:r>
          <w:rPr>
            <w:noProof/>
            <w:webHidden/>
          </w:rPr>
          <w:fldChar w:fldCharType="separate"/>
        </w:r>
        <w:r>
          <w:rPr>
            <w:noProof/>
            <w:webHidden/>
          </w:rPr>
          <w:t>17</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34" w:history="1">
        <w:r w:rsidRPr="002734B4">
          <w:rPr>
            <w:rStyle w:val="Hyperlink"/>
            <w:noProof/>
          </w:rPr>
          <w:t>Child-friendly premises and measures</w:t>
        </w:r>
        <w:r>
          <w:rPr>
            <w:noProof/>
            <w:webHidden/>
          </w:rPr>
          <w:tab/>
        </w:r>
        <w:r>
          <w:rPr>
            <w:noProof/>
            <w:webHidden/>
          </w:rPr>
          <w:fldChar w:fldCharType="begin"/>
        </w:r>
        <w:r>
          <w:rPr>
            <w:noProof/>
            <w:webHidden/>
          </w:rPr>
          <w:instrText xml:space="preserve"> PAGEREF _Toc407962134 \h </w:instrText>
        </w:r>
        <w:r>
          <w:rPr>
            <w:noProof/>
            <w:webHidden/>
          </w:rPr>
        </w:r>
        <w:r>
          <w:rPr>
            <w:noProof/>
            <w:webHidden/>
          </w:rPr>
          <w:fldChar w:fldCharType="separate"/>
        </w:r>
        <w:r>
          <w:rPr>
            <w:noProof/>
            <w:webHidden/>
          </w:rPr>
          <w:t>18</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35" w:history="1">
        <w:r w:rsidRPr="002734B4">
          <w:rPr>
            <w:rStyle w:val="Hyperlink"/>
            <w:noProof/>
          </w:rPr>
          <w:t>Protection, treatment and restraining orders</w:t>
        </w:r>
        <w:r>
          <w:rPr>
            <w:noProof/>
            <w:webHidden/>
          </w:rPr>
          <w:tab/>
        </w:r>
        <w:r>
          <w:rPr>
            <w:noProof/>
            <w:webHidden/>
          </w:rPr>
          <w:fldChar w:fldCharType="begin"/>
        </w:r>
        <w:r>
          <w:rPr>
            <w:noProof/>
            <w:webHidden/>
          </w:rPr>
          <w:instrText xml:space="preserve"> PAGEREF _Toc407962135 \h </w:instrText>
        </w:r>
        <w:r>
          <w:rPr>
            <w:noProof/>
            <w:webHidden/>
          </w:rPr>
        </w:r>
        <w:r>
          <w:rPr>
            <w:noProof/>
            <w:webHidden/>
          </w:rPr>
          <w:fldChar w:fldCharType="separate"/>
        </w:r>
        <w:r>
          <w:rPr>
            <w:noProof/>
            <w:webHidden/>
          </w:rPr>
          <w:t>18</w:t>
        </w:r>
        <w:r>
          <w:rPr>
            <w:noProof/>
            <w:webHidden/>
          </w:rPr>
          <w:fldChar w:fldCharType="end"/>
        </w:r>
      </w:hyperlink>
    </w:p>
    <w:p w:rsidR="008558C6" w:rsidRDefault="008558C6" w:rsidP="008558C6">
      <w:pPr>
        <w:pStyle w:val="TOC3"/>
        <w:rPr>
          <w:rFonts w:asciiTheme="minorHAnsi" w:eastAsiaTheme="minorEastAsia" w:hAnsiTheme="minorHAnsi" w:cstheme="minorBidi"/>
          <w:noProof/>
          <w:sz w:val="22"/>
          <w:szCs w:val="22"/>
          <w:lang w:val="en-US"/>
        </w:rPr>
      </w:pPr>
      <w:hyperlink w:anchor="_Toc407962136" w:history="1">
        <w:r w:rsidRPr="002734B4">
          <w:rPr>
            <w:rStyle w:val="Hyperlink"/>
            <w:noProof/>
          </w:rPr>
          <w:t>3.5</w:t>
        </w:r>
        <w:r>
          <w:rPr>
            <w:rFonts w:asciiTheme="minorHAnsi" w:eastAsiaTheme="minorEastAsia" w:hAnsiTheme="minorHAnsi" w:cstheme="minorBidi"/>
            <w:noProof/>
            <w:sz w:val="22"/>
            <w:szCs w:val="22"/>
            <w:lang w:val="en-US"/>
          </w:rPr>
          <w:tab/>
        </w:r>
        <w:r w:rsidRPr="002734B4">
          <w:rPr>
            <w:rStyle w:val="Hyperlink"/>
            <w:noProof/>
          </w:rPr>
          <w:t>Protecting the child during interviews and when giving testimony</w:t>
        </w:r>
        <w:r>
          <w:rPr>
            <w:noProof/>
            <w:webHidden/>
          </w:rPr>
          <w:tab/>
        </w:r>
        <w:r>
          <w:rPr>
            <w:noProof/>
            <w:webHidden/>
          </w:rPr>
          <w:fldChar w:fldCharType="begin"/>
        </w:r>
        <w:r>
          <w:rPr>
            <w:noProof/>
            <w:webHidden/>
          </w:rPr>
          <w:instrText xml:space="preserve"> PAGEREF _Toc407962136 \h </w:instrText>
        </w:r>
        <w:r>
          <w:rPr>
            <w:noProof/>
            <w:webHidden/>
          </w:rPr>
        </w:r>
        <w:r>
          <w:rPr>
            <w:noProof/>
            <w:webHidden/>
          </w:rPr>
          <w:fldChar w:fldCharType="separate"/>
        </w:r>
        <w:r>
          <w:rPr>
            <w:noProof/>
            <w:webHidden/>
          </w:rPr>
          <w:t>19</w:t>
        </w:r>
        <w:r>
          <w:rPr>
            <w:noProof/>
            <w:webHidden/>
          </w:rPr>
          <w:fldChar w:fldCharType="end"/>
        </w:r>
      </w:hyperlink>
    </w:p>
    <w:p w:rsidR="008558C6" w:rsidRDefault="008558C6" w:rsidP="008558C6">
      <w:pPr>
        <w:pStyle w:val="TOC4"/>
        <w:rPr>
          <w:rFonts w:asciiTheme="minorHAnsi" w:eastAsiaTheme="minorEastAsia" w:hAnsiTheme="minorHAnsi" w:cstheme="minorBidi"/>
          <w:noProof/>
          <w:sz w:val="22"/>
          <w:szCs w:val="22"/>
          <w:lang w:val="en-US"/>
        </w:rPr>
      </w:pPr>
      <w:hyperlink w:anchor="_Toc407962137" w:history="1">
        <w:r w:rsidRPr="002734B4">
          <w:rPr>
            <w:rStyle w:val="Hyperlink"/>
            <w:noProof/>
          </w:rPr>
          <w:t>3.5.1</w:t>
        </w:r>
        <w:r>
          <w:rPr>
            <w:rFonts w:asciiTheme="minorHAnsi" w:eastAsiaTheme="minorEastAsia" w:hAnsiTheme="minorHAnsi" w:cstheme="minorBidi"/>
            <w:noProof/>
            <w:sz w:val="22"/>
            <w:szCs w:val="22"/>
            <w:lang w:val="en-US"/>
          </w:rPr>
          <w:tab/>
        </w:r>
        <w:r w:rsidRPr="002734B4">
          <w:rPr>
            <w:rStyle w:val="Hyperlink"/>
            <w:noProof/>
          </w:rPr>
          <w:t>General procedural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_Toc407962137 \h </w:instrText>
        </w:r>
        <w:r>
          <w:rPr>
            <w:noProof/>
            <w:webHidden/>
          </w:rPr>
        </w:r>
        <w:r>
          <w:rPr>
            <w:noProof/>
            <w:webHidden/>
          </w:rPr>
          <w:fldChar w:fldCharType="separate"/>
        </w:r>
        <w:r>
          <w:rPr>
            <w:noProof/>
            <w:webHidden/>
          </w:rPr>
          <w:t>19</w:t>
        </w:r>
        <w:r>
          <w:rPr>
            <w:noProof/>
            <w:webHidden/>
          </w:rPr>
          <w:fldChar w:fldCharType="end"/>
        </w:r>
      </w:hyperlink>
    </w:p>
    <w:p w:rsidR="008558C6" w:rsidRDefault="008558C6" w:rsidP="008558C6">
      <w:pPr>
        <w:pStyle w:val="TOC3"/>
        <w:rPr>
          <w:rFonts w:asciiTheme="minorHAnsi" w:eastAsiaTheme="minorEastAsia" w:hAnsiTheme="minorHAnsi" w:cstheme="minorBidi"/>
          <w:noProof/>
          <w:sz w:val="22"/>
          <w:szCs w:val="22"/>
          <w:lang w:val="en-US"/>
        </w:rPr>
      </w:pPr>
      <w:hyperlink w:anchor="_Toc407962138" w:history="1">
        <w:r w:rsidRPr="002734B4">
          <w:rPr>
            <w:rStyle w:val="Hyperlink"/>
            <w:noProof/>
          </w:rPr>
          <w:t>3.6</w:t>
        </w:r>
        <w:r>
          <w:rPr>
            <w:rFonts w:asciiTheme="minorHAnsi" w:eastAsiaTheme="minorEastAsia" w:hAnsiTheme="minorHAnsi" w:cstheme="minorBidi"/>
            <w:noProof/>
            <w:sz w:val="22"/>
            <w:szCs w:val="22"/>
            <w:lang w:val="en-US"/>
          </w:rPr>
          <w:tab/>
        </w:r>
        <w:r w:rsidRPr="002734B4">
          <w:rPr>
            <w:rStyle w:val="Hyperlink"/>
            <w:noProof/>
          </w:rPr>
          <w:t>Right to be heard and to participate in civil judicial proceedings</w:t>
        </w:r>
        <w:r>
          <w:rPr>
            <w:noProof/>
            <w:webHidden/>
          </w:rPr>
          <w:tab/>
        </w:r>
        <w:r>
          <w:rPr>
            <w:noProof/>
            <w:webHidden/>
          </w:rPr>
          <w:fldChar w:fldCharType="begin"/>
        </w:r>
        <w:r>
          <w:rPr>
            <w:noProof/>
            <w:webHidden/>
          </w:rPr>
          <w:instrText xml:space="preserve"> PAGEREF _Toc407962138 \h </w:instrText>
        </w:r>
        <w:r>
          <w:rPr>
            <w:noProof/>
            <w:webHidden/>
          </w:rPr>
        </w:r>
        <w:r>
          <w:rPr>
            <w:noProof/>
            <w:webHidden/>
          </w:rPr>
          <w:fldChar w:fldCharType="separate"/>
        </w:r>
        <w:r>
          <w:rPr>
            <w:noProof/>
            <w:webHidden/>
          </w:rPr>
          <w:t>20</w:t>
        </w:r>
        <w:r>
          <w:rPr>
            <w:noProof/>
            <w:webHidden/>
          </w:rPr>
          <w:fldChar w:fldCharType="end"/>
        </w:r>
      </w:hyperlink>
    </w:p>
    <w:p w:rsidR="008558C6" w:rsidRDefault="008558C6" w:rsidP="008558C6">
      <w:pPr>
        <w:pStyle w:val="TOC4"/>
        <w:rPr>
          <w:rFonts w:asciiTheme="minorHAnsi" w:eastAsiaTheme="minorEastAsia" w:hAnsiTheme="minorHAnsi" w:cstheme="minorBidi"/>
          <w:noProof/>
          <w:sz w:val="22"/>
          <w:szCs w:val="22"/>
          <w:lang w:val="en-US"/>
        </w:rPr>
      </w:pPr>
      <w:hyperlink w:anchor="_Toc407962139" w:history="1">
        <w:r w:rsidRPr="002734B4">
          <w:rPr>
            <w:rStyle w:val="Hyperlink"/>
            <w:noProof/>
          </w:rPr>
          <w:t>3.6.1</w:t>
        </w:r>
        <w:r>
          <w:rPr>
            <w:rFonts w:asciiTheme="minorHAnsi" w:eastAsiaTheme="minorEastAsia" w:hAnsiTheme="minorHAnsi" w:cstheme="minorBidi"/>
            <w:noProof/>
            <w:sz w:val="22"/>
            <w:szCs w:val="22"/>
            <w:lang w:val="en-US"/>
          </w:rPr>
          <w:tab/>
        </w:r>
        <w:r w:rsidRPr="002734B4">
          <w:rPr>
            <w:rStyle w:val="Hyperlink"/>
            <w:noProof/>
          </w:rPr>
          <w:t>General procedural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_Toc407962139 \h </w:instrText>
        </w:r>
        <w:r>
          <w:rPr>
            <w:noProof/>
            <w:webHidden/>
          </w:rPr>
        </w:r>
        <w:r>
          <w:rPr>
            <w:noProof/>
            <w:webHidden/>
          </w:rPr>
          <w:fldChar w:fldCharType="separate"/>
        </w:r>
        <w:r>
          <w:rPr>
            <w:noProof/>
            <w:webHidden/>
          </w:rPr>
          <w:t>20</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40" w:history="1">
        <w:r w:rsidRPr="002734B4">
          <w:rPr>
            <w:rStyle w:val="Hyperlink"/>
            <w:noProof/>
          </w:rPr>
          <w:t>Family law proceedings</w:t>
        </w:r>
        <w:r>
          <w:rPr>
            <w:noProof/>
            <w:webHidden/>
          </w:rPr>
          <w:tab/>
        </w:r>
        <w:r>
          <w:rPr>
            <w:noProof/>
            <w:webHidden/>
          </w:rPr>
          <w:fldChar w:fldCharType="begin"/>
        </w:r>
        <w:r>
          <w:rPr>
            <w:noProof/>
            <w:webHidden/>
          </w:rPr>
          <w:instrText xml:space="preserve"> PAGEREF _Toc407962140 \h </w:instrText>
        </w:r>
        <w:r>
          <w:rPr>
            <w:noProof/>
            <w:webHidden/>
          </w:rPr>
        </w:r>
        <w:r>
          <w:rPr>
            <w:noProof/>
            <w:webHidden/>
          </w:rPr>
          <w:fldChar w:fldCharType="separate"/>
        </w:r>
        <w:r>
          <w:rPr>
            <w:noProof/>
            <w:webHidden/>
          </w:rPr>
          <w:t>21</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41" w:history="1">
        <w:r w:rsidRPr="002734B4">
          <w:rPr>
            <w:rStyle w:val="Hyperlink"/>
            <w:noProof/>
          </w:rPr>
          <w:t>Adoption proceedings</w:t>
        </w:r>
        <w:r>
          <w:rPr>
            <w:noProof/>
            <w:webHidden/>
          </w:rPr>
          <w:tab/>
        </w:r>
        <w:r>
          <w:rPr>
            <w:noProof/>
            <w:webHidden/>
          </w:rPr>
          <w:fldChar w:fldCharType="begin"/>
        </w:r>
        <w:r>
          <w:rPr>
            <w:noProof/>
            <w:webHidden/>
          </w:rPr>
          <w:instrText xml:space="preserve"> PAGEREF _Toc407962141 \h </w:instrText>
        </w:r>
        <w:r>
          <w:rPr>
            <w:noProof/>
            <w:webHidden/>
          </w:rPr>
        </w:r>
        <w:r>
          <w:rPr>
            <w:noProof/>
            <w:webHidden/>
          </w:rPr>
          <w:fldChar w:fldCharType="separate"/>
        </w:r>
        <w:r>
          <w:rPr>
            <w:noProof/>
            <w:webHidden/>
          </w:rPr>
          <w:t>22</w:t>
        </w:r>
        <w:r>
          <w:rPr>
            <w:noProof/>
            <w:webHidden/>
          </w:rPr>
          <w:fldChar w:fldCharType="end"/>
        </w:r>
      </w:hyperlink>
    </w:p>
    <w:p w:rsidR="008558C6" w:rsidRDefault="008558C6" w:rsidP="008558C6">
      <w:pPr>
        <w:pStyle w:val="TOC3"/>
        <w:rPr>
          <w:rFonts w:asciiTheme="minorHAnsi" w:eastAsiaTheme="minorEastAsia" w:hAnsiTheme="minorHAnsi" w:cstheme="minorBidi"/>
          <w:noProof/>
          <w:sz w:val="22"/>
          <w:szCs w:val="22"/>
          <w:lang w:val="en-US"/>
        </w:rPr>
      </w:pPr>
      <w:hyperlink w:anchor="_Toc407962142" w:history="1">
        <w:r w:rsidRPr="002734B4">
          <w:rPr>
            <w:rStyle w:val="Hyperlink"/>
            <w:noProof/>
          </w:rPr>
          <w:t>3.7</w:t>
        </w:r>
        <w:r>
          <w:rPr>
            <w:rFonts w:asciiTheme="minorHAnsi" w:eastAsiaTheme="minorEastAsia" w:hAnsiTheme="minorHAnsi" w:cstheme="minorBidi"/>
            <w:noProof/>
            <w:sz w:val="22"/>
            <w:szCs w:val="22"/>
            <w:lang w:val="en-US"/>
          </w:rPr>
          <w:tab/>
        </w:r>
        <w:r w:rsidRPr="002734B4">
          <w:rPr>
            <w:rStyle w:val="Hyperlink"/>
            <w:noProof/>
          </w:rPr>
          <w:t>Right to legal counsel, legal assistance and representation</w:t>
        </w:r>
        <w:r>
          <w:rPr>
            <w:noProof/>
            <w:webHidden/>
          </w:rPr>
          <w:tab/>
        </w:r>
        <w:r>
          <w:rPr>
            <w:noProof/>
            <w:webHidden/>
          </w:rPr>
          <w:fldChar w:fldCharType="begin"/>
        </w:r>
        <w:r>
          <w:rPr>
            <w:noProof/>
            <w:webHidden/>
          </w:rPr>
          <w:instrText xml:space="preserve"> PAGEREF _Toc407962142 \h </w:instrText>
        </w:r>
        <w:r>
          <w:rPr>
            <w:noProof/>
            <w:webHidden/>
          </w:rPr>
        </w:r>
        <w:r>
          <w:rPr>
            <w:noProof/>
            <w:webHidden/>
          </w:rPr>
          <w:fldChar w:fldCharType="separate"/>
        </w:r>
        <w:r>
          <w:rPr>
            <w:noProof/>
            <w:webHidden/>
          </w:rPr>
          <w:t>22</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43" w:history="1">
        <w:r w:rsidRPr="002734B4">
          <w:rPr>
            <w:rStyle w:val="Hyperlink"/>
            <w:noProof/>
          </w:rPr>
          <w:t>Children’s procedural capacity and capacity to communicate with the court</w:t>
        </w:r>
        <w:r>
          <w:rPr>
            <w:noProof/>
            <w:webHidden/>
          </w:rPr>
          <w:tab/>
        </w:r>
        <w:r>
          <w:rPr>
            <w:noProof/>
            <w:webHidden/>
          </w:rPr>
          <w:fldChar w:fldCharType="begin"/>
        </w:r>
        <w:r>
          <w:rPr>
            <w:noProof/>
            <w:webHidden/>
          </w:rPr>
          <w:instrText xml:space="preserve"> PAGEREF _Toc407962143 \h </w:instrText>
        </w:r>
        <w:r>
          <w:rPr>
            <w:noProof/>
            <w:webHidden/>
          </w:rPr>
        </w:r>
        <w:r>
          <w:rPr>
            <w:noProof/>
            <w:webHidden/>
          </w:rPr>
          <w:fldChar w:fldCharType="separate"/>
        </w:r>
        <w:r>
          <w:rPr>
            <w:noProof/>
            <w:webHidden/>
          </w:rPr>
          <w:t>22</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44" w:history="1">
        <w:r w:rsidRPr="002734B4">
          <w:rPr>
            <w:rStyle w:val="Hyperlink"/>
            <w:noProof/>
          </w:rPr>
          <w:t>Curators and children’s advocates</w:t>
        </w:r>
        <w:r>
          <w:rPr>
            <w:noProof/>
            <w:webHidden/>
          </w:rPr>
          <w:tab/>
        </w:r>
        <w:r>
          <w:rPr>
            <w:noProof/>
            <w:webHidden/>
          </w:rPr>
          <w:fldChar w:fldCharType="begin"/>
        </w:r>
        <w:r>
          <w:rPr>
            <w:noProof/>
            <w:webHidden/>
          </w:rPr>
          <w:instrText xml:space="preserve"> PAGEREF _Toc407962144 \h </w:instrText>
        </w:r>
        <w:r>
          <w:rPr>
            <w:noProof/>
            <w:webHidden/>
          </w:rPr>
        </w:r>
        <w:r>
          <w:rPr>
            <w:noProof/>
            <w:webHidden/>
          </w:rPr>
          <w:fldChar w:fldCharType="separate"/>
        </w:r>
        <w:r>
          <w:rPr>
            <w:noProof/>
            <w:webHidden/>
          </w:rPr>
          <w:t>23</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45" w:history="1">
        <w:r w:rsidRPr="002734B4">
          <w:rPr>
            <w:rStyle w:val="Hyperlink"/>
            <w:noProof/>
          </w:rPr>
          <w:t>Conflicting interests</w:t>
        </w:r>
        <w:r>
          <w:rPr>
            <w:noProof/>
            <w:webHidden/>
          </w:rPr>
          <w:tab/>
        </w:r>
        <w:r>
          <w:rPr>
            <w:noProof/>
            <w:webHidden/>
          </w:rPr>
          <w:fldChar w:fldCharType="begin"/>
        </w:r>
        <w:r>
          <w:rPr>
            <w:noProof/>
            <w:webHidden/>
          </w:rPr>
          <w:instrText xml:space="preserve"> PAGEREF _Toc407962145 \h </w:instrText>
        </w:r>
        <w:r>
          <w:rPr>
            <w:noProof/>
            <w:webHidden/>
          </w:rPr>
        </w:r>
        <w:r>
          <w:rPr>
            <w:noProof/>
            <w:webHidden/>
          </w:rPr>
          <w:fldChar w:fldCharType="separate"/>
        </w:r>
        <w:r>
          <w:rPr>
            <w:noProof/>
            <w:webHidden/>
          </w:rPr>
          <w:t>23</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46" w:history="1">
        <w:r w:rsidRPr="002734B4">
          <w:rPr>
            <w:rStyle w:val="Hyperlink"/>
            <w:noProof/>
          </w:rPr>
          <w:t>Legal aid</w:t>
        </w:r>
        <w:r>
          <w:rPr>
            <w:noProof/>
            <w:webHidden/>
          </w:rPr>
          <w:tab/>
        </w:r>
        <w:r>
          <w:rPr>
            <w:noProof/>
            <w:webHidden/>
          </w:rPr>
          <w:fldChar w:fldCharType="begin"/>
        </w:r>
        <w:r>
          <w:rPr>
            <w:noProof/>
            <w:webHidden/>
          </w:rPr>
          <w:instrText xml:space="preserve"> PAGEREF _Toc407962146 \h </w:instrText>
        </w:r>
        <w:r>
          <w:rPr>
            <w:noProof/>
            <w:webHidden/>
          </w:rPr>
        </w:r>
        <w:r>
          <w:rPr>
            <w:noProof/>
            <w:webHidden/>
          </w:rPr>
          <w:fldChar w:fldCharType="separate"/>
        </w:r>
        <w:r>
          <w:rPr>
            <w:noProof/>
            <w:webHidden/>
          </w:rPr>
          <w:t>23</w:t>
        </w:r>
        <w:r>
          <w:rPr>
            <w:noProof/>
            <w:webHidden/>
          </w:rPr>
          <w:fldChar w:fldCharType="end"/>
        </w:r>
      </w:hyperlink>
    </w:p>
    <w:p w:rsidR="008558C6" w:rsidRDefault="008558C6" w:rsidP="008558C6">
      <w:pPr>
        <w:pStyle w:val="TOC3"/>
        <w:rPr>
          <w:rFonts w:asciiTheme="minorHAnsi" w:eastAsiaTheme="minorEastAsia" w:hAnsiTheme="minorHAnsi" w:cstheme="minorBidi"/>
          <w:noProof/>
          <w:sz w:val="22"/>
          <w:szCs w:val="22"/>
          <w:lang w:val="en-US"/>
        </w:rPr>
      </w:pPr>
      <w:hyperlink w:anchor="_Toc407962147" w:history="1">
        <w:r w:rsidRPr="002734B4">
          <w:rPr>
            <w:rStyle w:val="Hyperlink"/>
            <w:noProof/>
          </w:rPr>
          <w:t>3.8</w:t>
        </w:r>
        <w:r>
          <w:rPr>
            <w:rFonts w:asciiTheme="minorHAnsi" w:eastAsiaTheme="minorEastAsia" w:hAnsiTheme="minorHAnsi" w:cstheme="minorBidi"/>
            <w:noProof/>
            <w:sz w:val="22"/>
            <w:szCs w:val="22"/>
            <w:lang w:val="en-US"/>
          </w:rPr>
          <w:tab/>
        </w:r>
        <w:r w:rsidRPr="002734B4">
          <w:rPr>
            <w:rStyle w:val="Hyperlink"/>
            <w:noProof/>
          </w:rPr>
          <w:t>Alternatives to judicial proceedings</w:t>
        </w:r>
        <w:r>
          <w:rPr>
            <w:noProof/>
            <w:webHidden/>
          </w:rPr>
          <w:tab/>
        </w:r>
        <w:r>
          <w:rPr>
            <w:noProof/>
            <w:webHidden/>
          </w:rPr>
          <w:fldChar w:fldCharType="begin"/>
        </w:r>
        <w:r>
          <w:rPr>
            <w:noProof/>
            <w:webHidden/>
          </w:rPr>
          <w:instrText xml:space="preserve"> PAGEREF _Toc407962147 \h </w:instrText>
        </w:r>
        <w:r>
          <w:rPr>
            <w:noProof/>
            <w:webHidden/>
          </w:rPr>
        </w:r>
        <w:r>
          <w:rPr>
            <w:noProof/>
            <w:webHidden/>
          </w:rPr>
          <w:fldChar w:fldCharType="separate"/>
        </w:r>
        <w:r>
          <w:rPr>
            <w:noProof/>
            <w:webHidden/>
          </w:rPr>
          <w:t>24</w:t>
        </w:r>
        <w:r>
          <w:rPr>
            <w:noProof/>
            <w:webHidden/>
          </w:rPr>
          <w:fldChar w:fldCharType="end"/>
        </w:r>
      </w:hyperlink>
    </w:p>
    <w:p w:rsidR="008558C6" w:rsidRDefault="008558C6" w:rsidP="008558C6">
      <w:pPr>
        <w:pStyle w:val="TOC3"/>
        <w:rPr>
          <w:rFonts w:asciiTheme="minorHAnsi" w:eastAsiaTheme="minorEastAsia" w:hAnsiTheme="minorHAnsi" w:cstheme="minorBidi"/>
          <w:noProof/>
          <w:sz w:val="22"/>
          <w:szCs w:val="22"/>
          <w:lang w:val="en-US"/>
        </w:rPr>
      </w:pPr>
      <w:hyperlink w:anchor="_Toc407962148" w:history="1">
        <w:r w:rsidRPr="002734B4">
          <w:rPr>
            <w:rStyle w:val="Hyperlink"/>
            <w:noProof/>
          </w:rPr>
          <w:t>3.9</w:t>
        </w:r>
        <w:r>
          <w:rPr>
            <w:rFonts w:asciiTheme="minorHAnsi" w:eastAsiaTheme="minorEastAsia" w:hAnsiTheme="minorHAnsi" w:cstheme="minorBidi"/>
            <w:noProof/>
            <w:sz w:val="22"/>
            <w:szCs w:val="22"/>
            <w:lang w:val="en-US"/>
          </w:rPr>
          <w:tab/>
        </w:r>
        <w:r w:rsidRPr="002734B4">
          <w:rPr>
            <w:rStyle w:val="Hyperlink"/>
            <w:noProof/>
          </w:rPr>
          <w:t>Remedies or compensation for violation of rights and failure to act</w:t>
        </w:r>
        <w:r>
          <w:rPr>
            <w:noProof/>
            <w:webHidden/>
          </w:rPr>
          <w:tab/>
        </w:r>
        <w:r>
          <w:rPr>
            <w:noProof/>
            <w:webHidden/>
          </w:rPr>
          <w:fldChar w:fldCharType="begin"/>
        </w:r>
        <w:r>
          <w:rPr>
            <w:noProof/>
            <w:webHidden/>
          </w:rPr>
          <w:instrText xml:space="preserve"> PAGEREF _Toc407962148 \h </w:instrText>
        </w:r>
        <w:r>
          <w:rPr>
            <w:noProof/>
            <w:webHidden/>
          </w:rPr>
        </w:r>
        <w:r>
          <w:rPr>
            <w:noProof/>
            <w:webHidden/>
          </w:rPr>
          <w:fldChar w:fldCharType="separate"/>
        </w:r>
        <w:r>
          <w:rPr>
            <w:noProof/>
            <w:webHidden/>
          </w:rPr>
          <w:t>26</w:t>
        </w:r>
        <w:r>
          <w:rPr>
            <w:noProof/>
            <w:webHidden/>
          </w:rPr>
          <w:fldChar w:fldCharType="end"/>
        </w:r>
      </w:hyperlink>
    </w:p>
    <w:p w:rsidR="008558C6" w:rsidRDefault="008558C6" w:rsidP="008558C6">
      <w:pPr>
        <w:pStyle w:val="TOC3"/>
        <w:rPr>
          <w:rFonts w:asciiTheme="minorHAnsi" w:eastAsiaTheme="minorEastAsia" w:hAnsiTheme="minorHAnsi" w:cstheme="minorBidi"/>
          <w:noProof/>
          <w:sz w:val="22"/>
          <w:szCs w:val="22"/>
          <w:lang w:val="en-US"/>
        </w:rPr>
      </w:pPr>
      <w:hyperlink w:anchor="_Toc407962149" w:history="1">
        <w:r w:rsidRPr="002734B4">
          <w:rPr>
            <w:rStyle w:val="Hyperlink"/>
            <w:noProof/>
          </w:rPr>
          <w:t>3.10</w:t>
        </w:r>
        <w:r>
          <w:rPr>
            <w:rFonts w:asciiTheme="minorHAnsi" w:eastAsiaTheme="minorEastAsia" w:hAnsiTheme="minorHAnsi" w:cstheme="minorBidi"/>
            <w:noProof/>
            <w:sz w:val="22"/>
            <w:szCs w:val="22"/>
            <w:lang w:val="en-US"/>
          </w:rPr>
          <w:tab/>
        </w:r>
        <w:r w:rsidRPr="002734B4">
          <w:rPr>
            <w:rStyle w:val="Hyperlink"/>
            <w:noProof/>
          </w:rPr>
          <w:t>Legal costs</w:t>
        </w:r>
        <w:r>
          <w:rPr>
            <w:noProof/>
            <w:webHidden/>
          </w:rPr>
          <w:tab/>
        </w:r>
        <w:r>
          <w:rPr>
            <w:noProof/>
            <w:webHidden/>
          </w:rPr>
          <w:fldChar w:fldCharType="begin"/>
        </w:r>
        <w:r>
          <w:rPr>
            <w:noProof/>
            <w:webHidden/>
          </w:rPr>
          <w:instrText xml:space="preserve"> PAGEREF _Toc407962149 \h </w:instrText>
        </w:r>
        <w:r>
          <w:rPr>
            <w:noProof/>
            <w:webHidden/>
          </w:rPr>
        </w:r>
        <w:r>
          <w:rPr>
            <w:noProof/>
            <w:webHidden/>
          </w:rPr>
          <w:fldChar w:fldCharType="separate"/>
        </w:r>
        <w:r>
          <w:rPr>
            <w:noProof/>
            <w:webHidden/>
          </w:rPr>
          <w:t>27</w:t>
        </w:r>
        <w:r>
          <w:rPr>
            <w:noProof/>
            <w:webHidden/>
          </w:rPr>
          <w:fldChar w:fldCharType="end"/>
        </w:r>
      </w:hyperlink>
    </w:p>
    <w:p w:rsidR="008558C6" w:rsidRDefault="008558C6" w:rsidP="008558C6">
      <w:pPr>
        <w:pStyle w:val="TOC3"/>
        <w:rPr>
          <w:rFonts w:asciiTheme="minorHAnsi" w:eastAsiaTheme="minorEastAsia" w:hAnsiTheme="minorHAnsi" w:cstheme="minorBidi"/>
          <w:noProof/>
          <w:sz w:val="22"/>
          <w:szCs w:val="22"/>
          <w:lang w:val="en-US"/>
        </w:rPr>
      </w:pPr>
      <w:hyperlink w:anchor="_Toc407962150" w:history="1">
        <w:r w:rsidRPr="002734B4">
          <w:rPr>
            <w:rStyle w:val="Hyperlink"/>
            <w:noProof/>
          </w:rPr>
          <w:t>3.11</w:t>
        </w:r>
        <w:r>
          <w:rPr>
            <w:rFonts w:asciiTheme="minorHAnsi" w:eastAsiaTheme="minorEastAsia" w:hAnsiTheme="minorHAnsi" w:cstheme="minorBidi"/>
            <w:noProof/>
            <w:sz w:val="22"/>
            <w:szCs w:val="22"/>
            <w:lang w:val="en-US"/>
          </w:rPr>
          <w:tab/>
        </w:r>
        <w:r w:rsidRPr="002734B4">
          <w:rPr>
            <w:rStyle w:val="Hyperlink"/>
            <w:noProof/>
          </w:rPr>
          <w:t>Enforcement of civil court judgements</w:t>
        </w:r>
        <w:r>
          <w:rPr>
            <w:noProof/>
            <w:webHidden/>
          </w:rPr>
          <w:tab/>
        </w:r>
        <w:r>
          <w:rPr>
            <w:noProof/>
            <w:webHidden/>
          </w:rPr>
          <w:fldChar w:fldCharType="begin"/>
        </w:r>
        <w:r>
          <w:rPr>
            <w:noProof/>
            <w:webHidden/>
          </w:rPr>
          <w:instrText xml:space="preserve"> PAGEREF _Toc407962150 \h </w:instrText>
        </w:r>
        <w:r>
          <w:rPr>
            <w:noProof/>
            <w:webHidden/>
          </w:rPr>
        </w:r>
        <w:r>
          <w:rPr>
            <w:noProof/>
            <w:webHidden/>
          </w:rPr>
          <w:fldChar w:fldCharType="separate"/>
        </w:r>
        <w:r>
          <w:rPr>
            <w:noProof/>
            <w:webHidden/>
          </w:rPr>
          <w:t>27</w:t>
        </w:r>
        <w:r>
          <w:rPr>
            <w:noProof/>
            <w:webHidden/>
          </w:rPr>
          <w:fldChar w:fldCharType="end"/>
        </w:r>
      </w:hyperlink>
    </w:p>
    <w:p w:rsidR="008558C6" w:rsidRDefault="008558C6">
      <w:pPr>
        <w:pStyle w:val="TOC2"/>
        <w:rPr>
          <w:rFonts w:asciiTheme="minorHAnsi" w:eastAsiaTheme="minorEastAsia" w:hAnsiTheme="minorHAnsi" w:cstheme="minorBidi"/>
          <w:b w:val="0"/>
          <w:noProof/>
          <w:color w:val="auto"/>
          <w:sz w:val="22"/>
          <w:szCs w:val="22"/>
          <w:lang w:val="en-US"/>
        </w:rPr>
      </w:pPr>
      <w:hyperlink w:anchor="_Toc407962151" w:history="1">
        <w:r w:rsidRPr="002734B4">
          <w:rPr>
            <w:rStyle w:val="Hyperlink"/>
            <w:noProof/>
          </w:rPr>
          <w:t>Conclusions</w:t>
        </w:r>
        <w:r>
          <w:rPr>
            <w:noProof/>
            <w:webHidden/>
          </w:rPr>
          <w:tab/>
        </w:r>
        <w:r>
          <w:rPr>
            <w:noProof/>
            <w:webHidden/>
          </w:rPr>
          <w:fldChar w:fldCharType="begin"/>
        </w:r>
        <w:r>
          <w:rPr>
            <w:noProof/>
            <w:webHidden/>
          </w:rPr>
          <w:instrText xml:space="preserve"> PAGEREF _Toc407962151 \h </w:instrText>
        </w:r>
        <w:r>
          <w:rPr>
            <w:noProof/>
            <w:webHidden/>
          </w:rPr>
        </w:r>
        <w:r>
          <w:rPr>
            <w:noProof/>
            <w:webHidden/>
          </w:rPr>
          <w:fldChar w:fldCharType="separate"/>
        </w:r>
        <w:r>
          <w:rPr>
            <w:noProof/>
            <w:webHidden/>
          </w:rPr>
          <w:t>29</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52" w:history="1">
        <w:r w:rsidRPr="002734B4">
          <w:rPr>
            <w:rStyle w:val="Hyperlink"/>
            <w:noProof/>
          </w:rPr>
          <w:t>Institutional and legal framework</w:t>
        </w:r>
        <w:r>
          <w:rPr>
            <w:noProof/>
            <w:webHidden/>
          </w:rPr>
          <w:tab/>
        </w:r>
        <w:r>
          <w:rPr>
            <w:noProof/>
            <w:webHidden/>
          </w:rPr>
          <w:fldChar w:fldCharType="begin"/>
        </w:r>
        <w:r>
          <w:rPr>
            <w:noProof/>
            <w:webHidden/>
          </w:rPr>
          <w:instrText xml:space="preserve"> PAGEREF _Toc407962152 \h </w:instrText>
        </w:r>
        <w:r>
          <w:rPr>
            <w:noProof/>
            <w:webHidden/>
          </w:rPr>
        </w:r>
        <w:r>
          <w:rPr>
            <w:noProof/>
            <w:webHidden/>
          </w:rPr>
          <w:fldChar w:fldCharType="separate"/>
        </w:r>
        <w:r>
          <w:rPr>
            <w:noProof/>
            <w:webHidden/>
          </w:rPr>
          <w:t>29</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53" w:history="1">
        <w:r w:rsidRPr="002734B4">
          <w:rPr>
            <w:rStyle w:val="Hyperlink"/>
            <w:noProof/>
          </w:rPr>
          <w:t>General approach towards children under civil law</w:t>
        </w:r>
        <w:r>
          <w:rPr>
            <w:noProof/>
            <w:webHidden/>
          </w:rPr>
          <w:tab/>
        </w:r>
        <w:r>
          <w:rPr>
            <w:noProof/>
            <w:webHidden/>
          </w:rPr>
          <w:fldChar w:fldCharType="begin"/>
        </w:r>
        <w:r>
          <w:rPr>
            <w:noProof/>
            <w:webHidden/>
          </w:rPr>
          <w:instrText xml:space="preserve"> PAGEREF _Toc407962153 \h </w:instrText>
        </w:r>
        <w:r>
          <w:rPr>
            <w:noProof/>
            <w:webHidden/>
          </w:rPr>
        </w:r>
        <w:r>
          <w:rPr>
            <w:noProof/>
            <w:webHidden/>
          </w:rPr>
          <w:fldChar w:fldCharType="separate"/>
        </w:r>
        <w:r>
          <w:rPr>
            <w:noProof/>
            <w:webHidden/>
          </w:rPr>
          <w:t>29</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54" w:history="1">
        <w:r w:rsidRPr="002734B4">
          <w:rPr>
            <w:rStyle w:val="Hyperlink"/>
            <w:noProof/>
          </w:rPr>
          <w:t>A child as an actor in civil judicial proceedings</w:t>
        </w:r>
        <w:r>
          <w:rPr>
            <w:noProof/>
            <w:webHidden/>
          </w:rPr>
          <w:tab/>
        </w:r>
        <w:r>
          <w:rPr>
            <w:noProof/>
            <w:webHidden/>
          </w:rPr>
          <w:fldChar w:fldCharType="begin"/>
        </w:r>
        <w:r>
          <w:rPr>
            <w:noProof/>
            <w:webHidden/>
          </w:rPr>
          <w:instrText xml:space="preserve"> PAGEREF _Toc407962154 \h </w:instrText>
        </w:r>
        <w:r>
          <w:rPr>
            <w:noProof/>
            <w:webHidden/>
          </w:rPr>
        </w:r>
        <w:r>
          <w:rPr>
            <w:noProof/>
            <w:webHidden/>
          </w:rPr>
          <w:fldChar w:fldCharType="separate"/>
        </w:r>
        <w:r>
          <w:rPr>
            <w:noProof/>
            <w:webHidden/>
          </w:rPr>
          <w:t>29</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55" w:history="1">
        <w:r w:rsidRPr="002734B4">
          <w:rPr>
            <w:rStyle w:val="Hyperlink"/>
            <w:noProof/>
          </w:rPr>
          <w:t>Provision of information to children</w:t>
        </w:r>
        <w:r>
          <w:rPr>
            <w:noProof/>
            <w:webHidden/>
          </w:rPr>
          <w:tab/>
        </w:r>
        <w:r>
          <w:rPr>
            <w:noProof/>
            <w:webHidden/>
          </w:rPr>
          <w:fldChar w:fldCharType="begin"/>
        </w:r>
        <w:r>
          <w:rPr>
            <w:noProof/>
            <w:webHidden/>
          </w:rPr>
          <w:instrText xml:space="preserve"> PAGEREF _Toc407962155 \h </w:instrText>
        </w:r>
        <w:r>
          <w:rPr>
            <w:noProof/>
            <w:webHidden/>
          </w:rPr>
        </w:r>
        <w:r>
          <w:rPr>
            <w:noProof/>
            <w:webHidden/>
          </w:rPr>
          <w:fldChar w:fldCharType="separate"/>
        </w:r>
        <w:r>
          <w:rPr>
            <w:noProof/>
            <w:webHidden/>
          </w:rPr>
          <w:t>29</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56" w:history="1">
        <w:r w:rsidRPr="002734B4">
          <w:rPr>
            <w:rStyle w:val="Hyperlink"/>
            <w:noProof/>
          </w:rPr>
          <w:t>Protection of the child’s personal and family life</w:t>
        </w:r>
        <w:r>
          <w:rPr>
            <w:noProof/>
            <w:webHidden/>
          </w:rPr>
          <w:tab/>
        </w:r>
        <w:r>
          <w:rPr>
            <w:noProof/>
            <w:webHidden/>
          </w:rPr>
          <w:fldChar w:fldCharType="begin"/>
        </w:r>
        <w:r>
          <w:rPr>
            <w:noProof/>
            <w:webHidden/>
          </w:rPr>
          <w:instrText xml:space="preserve"> PAGEREF _Toc407962156 \h </w:instrText>
        </w:r>
        <w:r>
          <w:rPr>
            <w:noProof/>
            <w:webHidden/>
          </w:rPr>
        </w:r>
        <w:r>
          <w:rPr>
            <w:noProof/>
            <w:webHidden/>
          </w:rPr>
          <w:fldChar w:fldCharType="separate"/>
        </w:r>
        <w:r>
          <w:rPr>
            <w:noProof/>
            <w:webHidden/>
          </w:rPr>
          <w:t>30</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57" w:history="1">
        <w:r w:rsidRPr="002734B4">
          <w:rPr>
            <w:rStyle w:val="Hyperlink"/>
            <w:noProof/>
          </w:rPr>
          <w:t>Protection from harm and ensuring a child-friendly process</w:t>
        </w:r>
        <w:r>
          <w:rPr>
            <w:noProof/>
            <w:webHidden/>
          </w:rPr>
          <w:tab/>
        </w:r>
        <w:r>
          <w:rPr>
            <w:noProof/>
            <w:webHidden/>
          </w:rPr>
          <w:fldChar w:fldCharType="begin"/>
        </w:r>
        <w:r>
          <w:rPr>
            <w:noProof/>
            <w:webHidden/>
          </w:rPr>
          <w:instrText xml:space="preserve"> PAGEREF _Toc407962157 \h </w:instrText>
        </w:r>
        <w:r>
          <w:rPr>
            <w:noProof/>
            <w:webHidden/>
          </w:rPr>
        </w:r>
        <w:r>
          <w:rPr>
            <w:noProof/>
            <w:webHidden/>
          </w:rPr>
          <w:fldChar w:fldCharType="separate"/>
        </w:r>
        <w:r>
          <w:rPr>
            <w:noProof/>
            <w:webHidden/>
          </w:rPr>
          <w:t>30</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58" w:history="1">
        <w:r w:rsidRPr="002734B4">
          <w:rPr>
            <w:rStyle w:val="Hyperlink"/>
            <w:noProof/>
          </w:rPr>
          <w:t>Protecting the child during interviews</w:t>
        </w:r>
        <w:r>
          <w:rPr>
            <w:noProof/>
            <w:webHidden/>
          </w:rPr>
          <w:tab/>
        </w:r>
        <w:r>
          <w:rPr>
            <w:noProof/>
            <w:webHidden/>
          </w:rPr>
          <w:fldChar w:fldCharType="begin"/>
        </w:r>
        <w:r>
          <w:rPr>
            <w:noProof/>
            <w:webHidden/>
          </w:rPr>
          <w:instrText xml:space="preserve"> PAGEREF _Toc407962158 \h </w:instrText>
        </w:r>
        <w:r>
          <w:rPr>
            <w:noProof/>
            <w:webHidden/>
          </w:rPr>
        </w:r>
        <w:r>
          <w:rPr>
            <w:noProof/>
            <w:webHidden/>
          </w:rPr>
          <w:fldChar w:fldCharType="separate"/>
        </w:r>
        <w:r>
          <w:rPr>
            <w:noProof/>
            <w:webHidden/>
          </w:rPr>
          <w:t>30</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59" w:history="1">
        <w:r w:rsidRPr="002734B4">
          <w:rPr>
            <w:rStyle w:val="Hyperlink"/>
            <w:noProof/>
          </w:rPr>
          <w:t>Right to be heard and participate in civil judicial proceedings</w:t>
        </w:r>
        <w:r>
          <w:rPr>
            <w:noProof/>
            <w:webHidden/>
          </w:rPr>
          <w:tab/>
        </w:r>
        <w:r>
          <w:rPr>
            <w:noProof/>
            <w:webHidden/>
          </w:rPr>
          <w:fldChar w:fldCharType="begin"/>
        </w:r>
        <w:r>
          <w:rPr>
            <w:noProof/>
            <w:webHidden/>
          </w:rPr>
          <w:instrText xml:space="preserve"> PAGEREF _Toc407962159 \h </w:instrText>
        </w:r>
        <w:r>
          <w:rPr>
            <w:noProof/>
            <w:webHidden/>
          </w:rPr>
        </w:r>
        <w:r>
          <w:rPr>
            <w:noProof/>
            <w:webHidden/>
          </w:rPr>
          <w:fldChar w:fldCharType="separate"/>
        </w:r>
        <w:r>
          <w:rPr>
            <w:noProof/>
            <w:webHidden/>
          </w:rPr>
          <w:t>30</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60" w:history="1">
        <w:r w:rsidRPr="002734B4">
          <w:rPr>
            <w:rStyle w:val="Hyperlink"/>
            <w:noProof/>
          </w:rPr>
          <w:t>Right to legal counsel, legal assistance and representation</w:t>
        </w:r>
        <w:r>
          <w:rPr>
            <w:noProof/>
            <w:webHidden/>
          </w:rPr>
          <w:tab/>
        </w:r>
        <w:r>
          <w:rPr>
            <w:noProof/>
            <w:webHidden/>
          </w:rPr>
          <w:fldChar w:fldCharType="begin"/>
        </w:r>
        <w:r>
          <w:rPr>
            <w:noProof/>
            <w:webHidden/>
          </w:rPr>
          <w:instrText xml:space="preserve"> PAGEREF _Toc407962160 \h </w:instrText>
        </w:r>
        <w:r>
          <w:rPr>
            <w:noProof/>
            <w:webHidden/>
          </w:rPr>
        </w:r>
        <w:r>
          <w:rPr>
            <w:noProof/>
            <w:webHidden/>
          </w:rPr>
          <w:fldChar w:fldCharType="separate"/>
        </w:r>
        <w:r>
          <w:rPr>
            <w:noProof/>
            <w:webHidden/>
          </w:rPr>
          <w:t>30</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61" w:history="1">
        <w:r w:rsidRPr="002734B4">
          <w:rPr>
            <w:rStyle w:val="Hyperlink"/>
            <w:noProof/>
          </w:rPr>
          <w:t>Alternatives to judicial proceedings</w:t>
        </w:r>
        <w:r>
          <w:rPr>
            <w:noProof/>
            <w:webHidden/>
          </w:rPr>
          <w:tab/>
        </w:r>
        <w:r>
          <w:rPr>
            <w:noProof/>
            <w:webHidden/>
          </w:rPr>
          <w:fldChar w:fldCharType="begin"/>
        </w:r>
        <w:r>
          <w:rPr>
            <w:noProof/>
            <w:webHidden/>
          </w:rPr>
          <w:instrText xml:space="preserve"> PAGEREF _Toc407962161 \h </w:instrText>
        </w:r>
        <w:r>
          <w:rPr>
            <w:noProof/>
            <w:webHidden/>
          </w:rPr>
        </w:r>
        <w:r>
          <w:rPr>
            <w:noProof/>
            <w:webHidden/>
          </w:rPr>
          <w:fldChar w:fldCharType="separate"/>
        </w:r>
        <w:r>
          <w:rPr>
            <w:noProof/>
            <w:webHidden/>
          </w:rPr>
          <w:t>31</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62" w:history="1">
        <w:r w:rsidRPr="002734B4">
          <w:rPr>
            <w:rStyle w:val="Hyperlink"/>
            <w:noProof/>
          </w:rPr>
          <w:t>Remedies and compensation for violation of rights a</w:t>
        </w:r>
        <w:bookmarkStart w:id="7" w:name="_GoBack"/>
        <w:bookmarkEnd w:id="7"/>
        <w:r w:rsidRPr="002734B4">
          <w:rPr>
            <w:rStyle w:val="Hyperlink"/>
            <w:noProof/>
          </w:rPr>
          <w:t>nd failure to act</w:t>
        </w:r>
        <w:r>
          <w:rPr>
            <w:noProof/>
            <w:webHidden/>
          </w:rPr>
          <w:tab/>
        </w:r>
        <w:r>
          <w:rPr>
            <w:noProof/>
            <w:webHidden/>
          </w:rPr>
          <w:fldChar w:fldCharType="begin"/>
        </w:r>
        <w:r>
          <w:rPr>
            <w:noProof/>
            <w:webHidden/>
          </w:rPr>
          <w:instrText xml:space="preserve"> PAGEREF _Toc407962162 \h </w:instrText>
        </w:r>
        <w:r>
          <w:rPr>
            <w:noProof/>
            <w:webHidden/>
          </w:rPr>
        </w:r>
        <w:r>
          <w:rPr>
            <w:noProof/>
            <w:webHidden/>
          </w:rPr>
          <w:fldChar w:fldCharType="separate"/>
        </w:r>
        <w:r>
          <w:rPr>
            <w:noProof/>
            <w:webHidden/>
          </w:rPr>
          <w:t>31</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63" w:history="1">
        <w:r w:rsidRPr="002734B4">
          <w:rPr>
            <w:rStyle w:val="Hyperlink"/>
            <w:noProof/>
          </w:rPr>
          <w:t>Legal costs</w:t>
        </w:r>
        <w:r>
          <w:rPr>
            <w:noProof/>
            <w:webHidden/>
          </w:rPr>
          <w:tab/>
        </w:r>
        <w:r>
          <w:rPr>
            <w:noProof/>
            <w:webHidden/>
          </w:rPr>
          <w:fldChar w:fldCharType="begin"/>
        </w:r>
        <w:r>
          <w:rPr>
            <w:noProof/>
            <w:webHidden/>
          </w:rPr>
          <w:instrText xml:space="preserve"> PAGEREF _Toc407962163 \h </w:instrText>
        </w:r>
        <w:r>
          <w:rPr>
            <w:noProof/>
            <w:webHidden/>
          </w:rPr>
        </w:r>
        <w:r>
          <w:rPr>
            <w:noProof/>
            <w:webHidden/>
          </w:rPr>
          <w:fldChar w:fldCharType="separate"/>
        </w:r>
        <w:r>
          <w:rPr>
            <w:noProof/>
            <w:webHidden/>
          </w:rPr>
          <w:t>31</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64" w:history="1">
        <w:r w:rsidRPr="002734B4">
          <w:rPr>
            <w:rStyle w:val="Hyperlink"/>
            <w:noProof/>
          </w:rPr>
          <w:t>Enforcement of civil court judgements</w:t>
        </w:r>
        <w:r>
          <w:rPr>
            <w:noProof/>
            <w:webHidden/>
          </w:rPr>
          <w:tab/>
        </w:r>
        <w:r>
          <w:rPr>
            <w:noProof/>
            <w:webHidden/>
          </w:rPr>
          <w:fldChar w:fldCharType="begin"/>
        </w:r>
        <w:r>
          <w:rPr>
            <w:noProof/>
            <w:webHidden/>
          </w:rPr>
          <w:instrText xml:space="preserve"> PAGEREF _Toc407962164 \h </w:instrText>
        </w:r>
        <w:r>
          <w:rPr>
            <w:noProof/>
            <w:webHidden/>
          </w:rPr>
        </w:r>
        <w:r>
          <w:rPr>
            <w:noProof/>
            <w:webHidden/>
          </w:rPr>
          <w:fldChar w:fldCharType="separate"/>
        </w:r>
        <w:r>
          <w:rPr>
            <w:noProof/>
            <w:webHidden/>
          </w:rPr>
          <w:t>31</w:t>
        </w:r>
        <w:r>
          <w:rPr>
            <w:noProof/>
            <w:webHidden/>
          </w:rPr>
          <w:fldChar w:fldCharType="end"/>
        </w:r>
      </w:hyperlink>
    </w:p>
    <w:p w:rsidR="008558C6" w:rsidRDefault="008558C6">
      <w:pPr>
        <w:pStyle w:val="TOC6"/>
        <w:tabs>
          <w:tab w:val="right" w:leader="dot" w:pos="9061"/>
        </w:tabs>
        <w:rPr>
          <w:rFonts w:asciiTheme="minorHAnsi" w:eastAsiaTheme="minorEastAsia" w:hAnsiTheme="minorHAnsi" w:cstheme="minorBidi"/>
          <w:noProof/>
          <w:sz w:val="22"/>
          <w:szCs w:val="22"/>
          <w:lang w:val="en-US"/>
        </w:rPr>
      </w:pPr>
      <w:hyperlink w:anchor="_Toc407962165" w:history="1">
        <w:r w:rsidRPr="002734B4">
          <w:rPr>
            <w:rStyle w:val="Hyperlink"/>
            <w:noProof/>
          </w:rPr>
          <w:t>Strengths and gaps</w:t>
        </w:r>
        <w:r>
          <w:rPr>
            <w:noProof/>
            <w:webHidden/>
          </w:rPr>
          <w:tab/>
        </w:r>
        <w:r>
          <w:rPr>
            <w:noProof/>
            <w:webHidden/>
          </w:rPr>
          <w:fldChar w:fldCharType="begin"/>
        </w:r>
        <w:r>
          <w:rPr>
            <w:noProof/>
            <w:webHidden/>
          </w:rPr>
          <w:instrText xml:space="preserve"> PAGEREF _Toc407962165 \h </w:instrText>
        </w:r>
        <w:r>
          <w:rPr>
            <w:noProof/>
            <w:webHidden/>
          </w:rPr>
        </w:r>
        <w:r>
          <w:rPr>
            <w:noProof/>
            <w:webHidden/>
          </w:rPr>
          <w:fldChar w:fldCharType="separate"/>
        </w:r>
        <w:r>
          <w:rPr>
            <w:noProof/>
            <w:webHidden/>
          </w:rPr>
          <w:t>31</w:t>
        </w:r>
        <w:r>
          <w:rPr>
            <w:noProof/>
            <w:webHidden/>
          </w:rPr>
          <w:fldChar w:fldCharType="end"/>
        </w:r>
      </w:hyperlink>
    </w:p>
    <w:p w:rsidR="008558C6" w:rsidRDefault="008558C6">
      <w:pPr>
        <w:pStyle w:val="TOC2"/>
        <w:tabs>
          <w:tab w:val="left" w:pos="1531"/>
        </w:tabs>
        <w:rPr>
          <w:rFonts w:asciiTheme="minorHAnsi" w:eastAsiaTheme="minorEastAsia" w:hAnsiTheme="minorHAnsi" w:cstheme="minorBidi"/>
          <w:b w:val="0"/>
          <w:noProof/>
          <w:color w:val="auto"/>
          <w:sz w:val="22"/>
          <w:szCs w:val="22"/>
          <w:lang w:val="en-US"/>
        </w:rPr>
      </w:pPr>
      <w:hyperlink w:anchor="_Toc407962166" w:history="1">
        <w:r w:rsidRPr="002734B4">
          <w:rPr>
            <w:rStyle w:val="Hyperlink"/>
            <w:noProof/>
            <w:lang w:val="fr-BE"/>
          </w:rPr>
          <w:t>Annex 1</w:t>
        </w:r>
        <w:r>
          <w:rPr>
            <w:rFonts w:asciiTheme="minorHAnsi" w:eastAsiaTheme="minorEastAsia" w:hAnsiTheme="minorHAnsi" w:cstheme="minorBidi"/>
            <w:b w:val="0"/>
            <w:noProof/>
            <w:color w:val="auto"/>
            <w:sz w:val="22"/>
            <w:szCs w:val="22"/>
            <w:lang w:val="en-US"/>
          </w:rPr>
          <w:tab/>
        </w:r>
        <w:r w:rsidRPr="002734B4">
          <w:rPr>
            <w:rStyle w:val="Hyperlink"/>
            <w:noProof/>
          </w:rPr>
          <w:t>L</w:t>
        </w:r>
        <w:r w:rsidRPr="002734B4">
          <w:rPr>
            <w:rStyle w:val="Hyperlink"/>
            <w:noProof/>
            <w:lang w:val="en-US"/>
          </w:rPr>
          <w:t>ist of l</w:t>
        </w:r>
        <w:r w:rsidRPr="002734B4">
          <w:rPr>
            <w:rStyle w:val="Hyperlink"/>
            <w:noProof/>
          </w:rPr>
          <w:t>egislation</w:t>
        </w:r>
        <w:r>
          <w:rPr>
            <w:noProof/>
            <w:webHidden/>
          </w:rPr>
          <w:tab/>
        </w:r>
        <w:r>
          <w:rPr>
            <w:noProof/>
            <w:webHidden/>
          </w:rPr>
          <w:fldChar w:fldCharType="begin"/>
        </w:r>
        <w:r>
          <w:rPr>
            <w:noProof/>
            <w:webHidden/>
          </w:rPr>
          <w:instrText xml:space="preserve"> PAGEREF _Toc407962166 \h </w:instrText>
        </w:r>
        <w:r>
          <w:rPr>
            <w:noProof/>
            <w:webHidden/>
          </w:rPr>
        </w:r>
        <w:r>
          <w:rPr>
            <w:noProof/>
            <w:webHidden/>
          </w:rPr>
          <w:fldChar w:fldCharType="separate"/>
        </w:r>
        <w:r>
          <w:rPr>
            <w:noProof/>
            <w:webHidden/>
          </w:rPr>
          <w:t>33</w:t>
        </w:r>
        <w:r>
          <w:rPr>
            <w:noProof/>
            <w:webHidden/>
          </w:rPr>
          <w:fldChar w:fldCharType="end"/>
        </w:r>
      </w:hyperlink>
    </w:p>
    <w:p w:rsidR="00FE34E9" w:rsidRDefault="00C7550C" w:rsidP="00526AAE">
      <w:pPr>
        <w:pStyle w:val="TOC2"/>
        <w:tabs>
          <w:tab w:val="left" w:pos="1531"/>
        </w:tabs>
      </w:pPr>
      <w:r w:rsidRPr="007B47FB">
        <w:fldChar w:fldCharType="end"/>
      </w:r>
    </w:p>
    <w:bookmarkEnd w:id="6"/>
    <w:p w:rsidR="00660C9C" w:rsidRDefault="00660C9C" w:rsidP="00ED0340"/>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r>
        <w:br w:type="page"/>
      </w:r>
    </w:p>
    <w:p w:rsidR="00660C9C" w:rsidRPr="00660C9C" w:rsidRDefault="00660C9C" w:rsidP="00960EC3">
      <w:pPr>
        <w:pStyle w:val="Heading1NoNumb"/>
      </w:pPr>
      <w:bookmarkStart w:id="8" w:name="_Toc401654864"/>
      <w:bookmarkStart w:id="9" w:name="_Toc407962102"/>
      <w:r w:rsidRPr="00660C9C">
        <w:lastRenderedPageBreak/>
        <w:t>Abbreviations</w:t>
      </w:r>
      <w:bookmarkEnd w:id="8"/>
      <w:bookmarkEnd w:id="9"/>
    </w:p>
    <w:p w:rsidR="00660C9C" w:rsidRPr="00660C9C" w:rsidRDefault="00660C9C" w:rsidP="00660C9C">
      <w:pPr>
        <w:widowControl w:val="0"/>
        <w:spacing w:before="0" w:after="0" w:line="240" w:lineRule="auto"/>
        <w:jc w:val="both"/>
        <w:rPr>
          <w:rFonts w:eastAsia="Calibri" w:cs="Arial"/>
          <w:szCs w:val="20"/>
        </w:rPr>
      </w:pPr>
    </w:p>
    <w:p w:rsidR="008804DD" w:rsidRDefault="008804DD" w:rsidP="008804DD">
      <w:r>
        <w:t>COCP</w:t>
      </w:r>
      <w:r>
        <w:tab/>
      </w:r>
      <w:r>
        <w:tab/>
        <w:t>Code of Organization and Civil Procedure</w:t>
      </w:r>
    </w:p>
    <w:p w:rsidR="00F148E6" w:rsidRPr="00660C9C" w:rsidRDefault="008804DD" w:rsidP="008804DD">
      <w:r>
        <w:t>DPA</w:t>
      </w:r>
      <w:r>
        <w:tab/>
      </w:r>
      <w:r>
        <w:tab/>
        <w:t>Data Protection Act</w:t>
      </w:r>
    </w:p>
    <w:bookmarkEnd w:id="4"/>
    <w:p w:rsidR="00660C9C" w:rsidRPr="00660C9C" w:rsidRDefault="00660C9C" w:rsidP="00660C9C"/>
    <w:p w:rsidR="00660C9C" w:rsidRPr="00660C9C" w:rsidRDefault="00660C9C" w:rsidP="00660C9C"/>
    <w:p w:rsidR="00D17D9A" w:rsidRPr="00660C9C" w:rsidRDefault="00D17D9A" w:rsidP="00660C9C">
      <w:pPr>
        <w:sectPr w:rsidR="00D17D9A" w:rsidRPr="00660C9C" w:rsidSect="00525433">
          <w:headerReference w:type="default" r:id="rId13"/>
          <w:footerReference w:type="default" r:id="rId14"/>
          <w:headerReference w:type="first" r:id="rId15"/>
          <w:footerReference w:type="first" r:id="rId16"/>
          <w:pgSz w:w="11907" w:h="16840" w:code="9"/>
          <w:pgMar w:top="1848" w:right="1418" w:bottom="1021" w:left="1418" w:header="680" w:footer="567" w:gutter="0"/>
          <w:pgNumType w:fmt="lowerRoman" w:start="1"/>
          <w:cols w:space="708"/>
          <w:titlePg/>
          <w:docGrid w:linePitch="360"/>
        </w:sectPr>
      </w:pPr>
    </w:p>
    <w:p w:rsidR="00660C9C" w:rsidRDefault="00660C9C" w:rsidP="00660C9C">
      <w:pPr>
        <w:pStyle w:val="Heading1"/>
      </w:pPr>
      <w:bookmarkStart w:id="10" w:name="_Toc401219644"/>
      <w:bookmarkStart w:id="11" w:name="_Toc401221472"/>
      <w:bookmarkStart w:id="12" w:name="_Toc401221549"/>
      <w:bookmarkStart w:id="13" w:name="_Toc401232305"/>
      <w:bookmarkStart w:id="14" w:name="_Toc401232460"/>
      <w:bookmarkStart w:id="15" w:name="_Toc401654865"/>
      <w:bookmarkStart w:id="16" w:name="_Toc401070014"/>
      <w:bookmarkStart w:id="17" w:name="_Toc336262933"/>
      <w:bookmarkStart w:id="18" w:name="_Toc334778901"/>
      <w:bookmarkStart w:id="19" w:name="_Toc336332184"/>
      <w:bookmarkStart w:id="20" w:name="_Toc407962103"/>
      <w:bookmarkEnd w:id="5"/>
      <w:r w:rsidRPr="0022162F">
        <w:lastRenderedPageBreak/>
        <w:t>Introduction</w:t>
      </w:r>
      <w:bookmarkEnd w:id="10"/>
      <w:bookmarkEnd w:id="11"/>
      <w:bookmarkEnd w:id="12"/>
      <w:bookmarkEnd w:id="13"/>
      <w:bookmarkEnd w:id="14"/>
      <w:bookmarkEnd w:id="15"/>
      <w:bookmarkEnd w:id="20"/>
      <w:r w:rsidRPr="0022162F">
        <w:t xml:space="preserve"> </w:t>
      </w:r>
    </w:p>
    <w:p w:rsidR="00660C9C" w:rsidRDefault="00660C9C" w:rsidP="008558C6">
      <w:pPr>
        <w:pStyle w:val="Heading3NoNumb"/>
        <w:ind w:firstLine="851"/>
      </w:pPr>
      <w:bookmarkStart w:id="21" w:name="_Toc401219645"/>
      <w:bookmarkStart w:id="22" w:name="_Toc401221473"/>
      <w:bookmarkStart w:id="23" w:name="_Toc401221550"/>
      <w:bookmarkStart w:id="24" w:name="_Toc401654866"/>
      <w:bookmarkStart w:id="25" w:name="_Toc407962104"/>
      <w:r>
        <w:t xml:space="preserve">Introduction </w:t>
      </w:r>
      <w:r w:rsidRPr="0022162F">
        <w:t>and context</w:t>
      </w:r>
      <w:bookmarkEnd w:id="16"/>
      <w:bookmarkEnd w:id="21"/>
      <w:bookmarkEnd w:id="22"/>
      <w:bookmarkEnd w:id="23"/>
      <w:bookmarkEnd w:id="24"/>
      <w:bookmarkEnd w:id="25"/>
    </w:p>
    <w:p w:rsidR="0049253A" w:rsidRPr="00A1012E" w:rsidRDefault="0049253A" w:rsidP="0049253A">
      <w:pPr>
        <w:pStyle w:val="BodyText"/>
      </w:pPr>
      <w:bookmarkStart w:id="26" w:name="_Toc401654867"/>
      <w:r w:rsidRPr="00A1012E">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w:t>
      </w:r>
      <w:hyperlink r:id="rId17" w:history="1">
        <w:r w:rsidRPr="00A1012E">
          <w:rPr>
            <w:color w:val="0000FF"/>
            <w:u w:val="single"/>
          </w:rPr>
          <w:t>An EU Agenda for the rights of the child’</w:t>
        </w:r>
      </w:hyperlink>
      <w:r w:rsidRPr="00A1012E">
        <w:t>, which identified the lack of reliable, comparable and official data on the situation of children in the Member States (MS). This deficiency is a serious obstacle to the development and implementation of evidence-based poli</w:t>
      </w:r>
      <w:r w:rsidRPr="00A1012E">
        <w:softHyphen/>
        <w:t>cies and is particularly evident in the context of child-friendly justice and the protection of children in vulnerable situations. Making the justice system more child-friendly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p>
    <w:p w:rsidR="0049253A" w:rsidRDefault="0049253A" w:rsidP="0049253A">
      <w:pPr>
        <w:pStyle w:val="BodyText"/>
      </w:pPr>
      <w:r>
        <w:t>The objective of this study is:</w:t>
      </w:r>
    </w:p>
    <w:p w:rsidR="0049253A" w:rsidRDefault="0049253A" w:rsidP="008558C6">
      <w:pPr>
        <w:pStyle w:val="BTBullet1"/>
      </w:pPr>
      <w:r>
        <w:t>to establish statistics and collect data based on structural, process and outcome indicators on children involved in civil judicial proceedings for the years 2008-2010 (and 2011 if available) for all 28 EU Member States;</w:t>
      </w:r>
    </w:p>
    <w:p w:rsidR="0049253A" w:rsidRDefault="0049253A" w:rsidP="008558C6">
      <w:pPr>
        <w:pStyle w:val="BTBullet1"/>
      </w:pPr>
      <w:r>
        <w:t>to provide a narrative overview of children's involvement in civil judicial proceedings in the EU. The report describes the situation in each Member State as at 1 June 2012.</w:t>
      </w:r>
    </w:p>
    <w:p w:rsidR="0049253A" w:rsidRPr="00A1012E" w:rsidRDefault="0049253A" w:rsidP="008558C6">
      <w:pPr>
        <w:pStyle w:val="BTBullet1"/>
        <w:rPr>
          <w:lang w:val="en-US"/>
        </w:rPr>
      </w:pPr>
      <w:r w:rsidRPr="00A1012E">
        <w:rPr>
          <w:lang w:val="en-US"/>
        </w:rPr>
        <w:t xml:space="preserve">This report examines the safeguards in place for children involved in </w:t>
      </w:r>
      <w:r w:rsidRPr="00A1012E">
        <w:rPr>
          <w:b/>
          <w:lang w:val="en-US"/>
        </w:rPr>
        <w:t>civil judicial proceedings</w:t>
      </w:r>
      <w:r w:rsidRPr="00A1012E">
        <w:rPr>
          <w:lang w:val="en-US"/>
        </w:rPr>
        <w:t xml:space="preserve">. The </w:t>
      </w:r>
      <w:hyperlink r:id="rId18" w:history="1">
        <w:r w:rsidRPr="00A1012E">
          <w:rPr>
            <w:color w:val="0000FF"/>
            <w:u w:val="single"/>
            <w:lang w:val="en-US"/>
          </w:rPr>
          <w:t>Council of Europe Guidelines on child-friendly justice</w:t>
        </w:r>
      </w:hyperlink>
      <w:r w:rsidRPr="00A1012E">
        <w:rPr>
          <w:lang w:val="en-US"/>
        </w:rPr>
        <w:t xml:space="preserve"> serve as a basis for the analysis of the provisions affecting children in civil judicial proceedings in each Member State. </w:t>
      </w:r>
    </w:p>
    <w:p w:rsidR="00660C9C" w:rsidRPr="008558C6" w:rsidRDefault="00660C9C" w:rsidP="008558C6">
      <w:pPr>
        <w:pStyle w:val="Heading3NoNumb"/>
        <w:ind w:firstLine="851"/>
      </w:pPr>
      <w:bookmarkStart w:id="27" w:name="_Toc407962105"/>
      <w:r w:rsidRPr="000D323B">
        <w:t>Structure and scope</w:t>
      </w:r>
      <w:bookmarkEnd w:id="26"/>
      <w:bookmarkEnd w:id="27"/>
    </w:p>
    <w:p w:rsidR="0049253A" w:rsidRPr="00A1012E" w:rsidRDefault="0049253A" w:rsidP="0049253A">
      <w:pPr>
        <w:pStyle w:val="BodyText"/>
        <w:rPr>
          <w:lang w:val="en-US"/>
        </w:rPr>
      </w:pPr>
      <w:r w:rsidRPr="00A1012E">
        <w:rPr>
          <w:lang w:val="en-US"/>
        </w:rPr>
        <w:t xml:space="preserve">This report describes the national </w:t>
      </w:r>
      <w:r w:rsidRPr="00A1012E">
        <w:rPr>
          <w:b/>
          <w:lang w:val="en-US"/>
        </w:rPr>
        <w:t>civil justice system</w:t>
      </w:r>
      <w:r w:rsidRPr="00A1012E">
        <w:rPr>
          <w:lang w:val="en-US"/>
        </w:rPr>
        <w:t xml:space="preserve"> insofar as children’s involvement is concerned. If, in addition to general rules in civil judicial proceedings, there are specific rules in the fields of </w:t>
      </w:r>
      <w:r w:rsidRPr="00A1012E">
        <w:rPr>
          <w:b/>
          <w:lang w:val="en-US"/>
        </w:rPr>
        <w:t>family and employment law</w:t>
      </w:r>
      <w:r w:rsidRPr="00A1012E">
        <w:rPr>
          <w:lang w:val="en-US"/>
        </w:rPr>
        <w:t xml:space="preserve">, the safeguards in place for children involved in judicial proceedings in those two specific sectors will also be described. </w:t>
      </w:r>
    </w:p>
    <w:p w:rsidR="0049253A" w:rsidRPr="00A1012E" w:rsidRDefault="0049253A" w:rsidP="0049253A">
      <w:pPr>
        <w:pStyle w:val="BodyText"/>
        <w:rPr>
          <w:lang w:val="en-US"/>
        </w:rPr>
      </w:pPr>
      <w:r w:rsidRPr="00A1012E">
        <w:rPr>
          <w:b/>
          <w:lang w:val="en-US"/>
        </w:rPr>
        <w:t>Chapter 2</w:t>
      </w:r>
      <w:r w:rsidRPr="00A1012E">
        <w:rPr>
          <w:lang w:val="en-US"/>
        </w:rPr>
        <w:t xml:space="preserve"> of this report provides an overview of the Member State’s approach to children’s involvement in civil judicial proceedings. It includes a description of the competent authorities and services.</w:t>
      </w:r>
    </w:p>
    <w:p w:rsidR="0049253A" w:rsidRPr="00A1012E" w:rsidRDefault="0049253A" w:rsidP="0049253A">
      <w:pPr>
        <w:pStyle w:val="BodyText"/>
        <w:rPr>
          <w:lang w:val="en-US"/>
        </w:rPr>
      </w:pPr>
      <w:r w:rsidRPr="00A1012E">
        <w:rPr>
          <w:b/>
          <w:lang w:val="en-US"/>
        </w:rPr>
        <w:t>Chapter 3</w:t>
      </w:r>
      <w:r w:rsidRPr="00A1012E">
        <w:rPr>
          <w:lang w:val="en-US"/>
        </w:rPr>
        <w:t xml:space="preserve"> of this report is divided in sections (3.1, 3.2, etc.) according to the different safeguards examined (e.g. the right to be heard, the right to information, etc.). Each of these sections is divided into subsections describing the different rules applying to children according to the different role they may have in a civil judicial proceeding (plaintiff; defendant; witness; other roles). </w:t>
      </w:r>
    </w:p>
    <w:p w:rsidR="0049253A" w:rsidRPr="00A1012E" w:rsidRDefault="0049253A" w:rsidP="0049253A">
      <w:pPr>
        <w:pStyle w:val="BodyText"/>
      </w:pPr>
      <w:r w:rsidRPr="00A1012E">
        <w:rPr>
          <w:lang w:val="en-US"/>
        </w:rPr>
        <w:t xml:space="preserve">The table below summarises the type of judicial proceedings applicable to the fields of family and employment law and the competent courts. For the sake of completeness, the table also indicates which sectors are examined in the </w:t>
      </w:r>
      <w:hyperlink r:id="rId19" w:history="1">
        <w:r w:rsidRPr="005035D1">
          <w:rPr>
            <w:rStyle w:val="Hyperlink"/>
            <w:rFonts w:cs="Arial"/>
            <w:lang w:val="en-US"/>
          </w:rPr>
          <w:t>overview for administrative justice</w:t>
        </w:r>
      </w:hyperlink>
      <w:r w:rsidRPr="00A1012E">
        <w:t xml:space="preserve">, i.e. </w:t>
      </w:r>
      <w:r w:rsidRPr="00A1012E">
        <w:rPr>
          <w:lang w:val="en-US"/>
        </w:rPr>
        <w:t xml:space="preserve">asylum, migration, education, health, placement into care, administrative sanctions, and offences committed by children below the minimum age of criminal responsibility (MACR). In fact, in some countries, civil procedural rules also apply to judicial proceedings in some of these sectors, but in order to ensure a degree of consistency among the overviews on </w:t>
      </w:r>
      <w:r>
        <w:rPr>
          <w:lang w:val="en-US"/>
        </w:rPr>
        <w:t xml:space="preserve">the </w:t>
      </w:r>
      <w:r w:rsidRPr="00A1012E">
        <w:rPr>
          <w:lang w:val="en-US"/>
        </w:rPr>
        <w:t xml:space="preserve">29 jurisdictions covered by this study, the breakdown set out in the table below has been applied for each and every country overview.  </w:t>
      </w: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BodyText"/>
        <w:sectPr w:rsidR="00660C9C" w:rsidSect="00525433">
          <w:headerReference w:type="default" r:id="rId20"/>
          <w:footerReference w:type="default" r:id="rId21"/>
          <w:pgSz w:w="11907" w:h="16840" w:code="9"/>
          <w:pgMar w:top="1418" w:right="1418" w:bottom="1021" w:left="1418" w:header="680" w:footer="567" w:gutter="0"/>
          <w:pgNumType w:start="1"/>
          <w:cols w:space="708"/>
          <w:docGrid w:linePitch="360"/>
        </w:sectPr>
      </w:pPr>
    </w:p>
    <w:p w:rsidR="0049253A" w:rsidRDefault="0049253A" w:rsidP="00660C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204"/>
        <w:gridCol w:w="1218"/>
        <w:gridCol w:w="1391"/>
        <w:gridCol w:w="1520"/>
        <w:gridCol w:w="1520"/>
        <w:gridCol w:w="1520"/>
        <w:gridCol w:w="1520"/>
        <w:gridCol w:w="1520"/>
        <w:gridCol w:w="1509"/>
      </w:tblGrid>
      <w:tr w:rsidR="008804DD" w:rsidRPr="004465B8" w:rsidTr="00811568">
        <w:trPr>
          <w:trHeight w:val="833"/>
        </w:trPr>
        <w:tc>
          <w:tcPr>
            <w:tcW w:w="5000" w:type="pct"/>
            <w:gridSpan w:val="10"/>
            <w:shd w:val="clear" w:color="auto" w:fill="DBE5F1"/>
            <w:vAlign w:val="center"/>
          </w:tcPr>
          <w:p w:rsidR="008804DD" w:rsidRPr="004465B8" w:rsidRDefault="008804DD" w:rsidP="00811568">
            <w:pPr>
              <w:spacing w:before="0" w:after="0" w:line="240" w:lineRule="auto"/>
              <w:jc w:val="center"/>
              <w:rPr>
                <w:b/>
                <w:sz w:val="22"/>
                <w:szCs w:val="22"/>
              </w:rPr>
            </w:pPr>
            <w:r w:rsidRPr="004465B8">
              <w:rPr>
                <w:b/>
                <w:sz w:val="22"/>
                <w:szCs w:val="22"/>
              </w:rPr>
              <w:t>Type of judicial proceedings and court competence per sector</w:t>
            </w:r>
            <w:r>
              <w:rPr>
                <w:rStyle w:val="FootnoteReference"/>
                <w:b/>
                <w:sz w:val="22"/>
                <w:szCs w:val="22"/>
              </w:rPr>
              <w:footnoteReference w:id="1"/>
            </w:r>
          </w:p>
        </w:tc>
      </w:tr>
      <w:tr w:rsidR="008804DD" w:rsidRPr="004465B8" w:rsidTr="00811568">
        <w:trPr>
          <w:trHeight w:val="703"/>
        </w:trPr>
        <w:tc>
          <w:tcPr>
            <w:tcW w:w="384" w:type="pct"/>
            <w:shd w:val="clear" w:color="auto" w:fill="D6E3BC"/>
            <w:vAlign w:val="center"/>
          </w:tcPr>
          <w:p w:rsidR="008804DD" w:rsidRPr="004465B8" w:rsidRDefault="008804DD" w:rsidP="00811568">
            <w:pPr>
              <w:spacing w:before="0" w:after="0" w:line="240" w:lineRule="auto"/>
              <w:jc w:val="center"/>
              <w:rPr>
                <w:b/>
              </w:rPr>
            </w:pPr>
          </w:p>
        </w:tc>
        <w:tc>
          <w:tcPr>
            <w:tcW w:w="430"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Contextual overview for civil justice</w:t>
            </w:r>
          </w:p>
        </w:tc>
        <w:tc>
          <w:tcPr>
            <w:tcW w:w="435"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Contextual overview for civil justice</w:t>
            </w:r>
          </w:p>
        </w:tc>
        <w:tc>
          <w:tcPr>
            <w:tcW w:w="497"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Contextual overview for administrative justice</w:t>
            </w:r>
            <w:r w:rsidRPr="004465B8">
              <w:rPr>
                <w:b/>
                <w:sz w:val="22"/>
                <w:szCs w:val="22"/>
                <w:vertAlign w:val="superscript"/>
              </w:rPr>
              <w:footnoteReference w:id="2"/>
            </w:r>
          </w:p>
        </w:tc>
        <w:tc>
          <w:tcPr>
            <w:tcW w:w="543"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Contextual overview for administrative justice</w:t>
            </w:r>
          </w:p>
        </w:tc>
        <w:tc>
          <w:tcPr>
            <w:tcW w:w="543"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Contextual overview for administrative justice</w:t>
            </w:r>
          </w:p>
        </w:tc>
        <w:tc>
          <w:tcPr>
            <w:tcW w:w="543"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Contextual overview for administrative justice</w:t>
            </w:r>
          </w:p>
        </w:tc>
        <w:tc>
          <w:tcPr>
            <w:tcW w:w="543"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Contextual overview for administrative justice</w:t>
            </w:r>
          </w:p>
        </w:tc>
        <w:tc>
          <w:tcPr>
            <w:tcW w:w="543"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Contextual overview for administrative justice</w:t>
            </w:r>
          </w:p>
        </w:tc>
        <w:tc>
          <w:tcPr>
            <w:tcW w:w="539"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Contextual overview for administrative justice</w:t>
            </w:r>
          </w:p>
        </w:tc>
      </w:tr>
      <w:tr w:rsidR="008804DD" w:rsidRPr="004465B8" w:rsidTr="00811568">
        <w:trPr>
          <w:trHeight w:val="703"/>
        </w:trPr>
        <w:tc>
          <w:tcPr>
            <w:tcW w:w="384"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Sectors:</w:t>
            </w:r>
          </w:p>
        </w:tc>
        <w:tc>
          <w:tcPr>
            <w:tcW w:w="430"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Family</w:t>
            </w:r>
          </w:p>
        </w:tc>
        <w:tc>
          <w:tcPr>
            <w:tcW w:w="435"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Employment</w:t>
            </w:r>
          </w:p>
        </w:tc>
        <w:tc>
          <w:tcPr>
            <w:tcW w:w="497"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Asylum</w:t>
            </w:r>
          </w:p>
        </w:tc>
        <w:tc>
          <w:tcPr>
            <w:tcW w:w="543"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Migration</w:t>
            </w:r>
          </w:p>
        </w:tc>
        <w:tc>
          <w:tcPr>
            <w:tcW w:w="543"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Education</w:t>
            </w:r>
          </w:p>
        </w:tc>
        <w:tc>
          <w:tcPr>
            <w:tcW w:w="543"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Health</w:t>
            </w:r>
          </w:p>
        </w:tc>
        <w:tc>
          <w:tcPr>
            <w:tcW w:w="543"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Placement in care</w:t>
            </w:r>
          </w:p>
        </w:tc>
        <w:tc>
          <w:tcPr>
            <w:tcW w:w="543"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Administrative sanctions</w:t>
            </w:r>
          </w:p>
        </w:tc>
        <w:tc>
          <w:tcPr>
            <w:tcW w:w="539"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Offences &lt; MACR</w:t>
            </w:r>
            <w:r w:rsidRPr="004465B8">
              <w:rPr>
                <w:b/>
                <w:sz w:val="16"/>
                <w:szCs w:val="16"/>
                <w:vertAlign w:val="superscript"/>
              </w:rPr>
              <w:footnoteReference w:id="3"/>
            </w:r>
          </w:p>
        </w:tc>
      </w:tr>
      <w:tr w:rsidR="008804DD" w:rsidRPr="004465B8" w:rsidTr="00811568">
        <w:trPr>
          <w:trHeight w:val="1263"/>
        </w:trPr>
        <w:tc>
          <w:tcPr>
            <w:tcW w:w="384"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Type of proceeding applying in the sector</w:t>
            </w:r>
          </w:p>
        </w:tc>
        <w:tc>
          <w:tcPr>
            <w:tcW w:w="430" w:type="pct"/>
            <w:shd w:val="clear" w:color="auto" w:fill="FFFFFF"/>
          </w:tcPr>
          <w:p w:rsidR="008804DD" w:rsidRPr="004465B8" w:rsidRDefault="008804DD" w:rsidP="00811568">
            <w:pPr>
              <w:spacing w:before="0" w:after="0" w:line="240" w:lineRule="auto"/>
              <w:rPr>
                <w:sz w:val="16"/>
                <w:szCs w:val="16"/>
              </w:rPr>
            </w:pPr>
            <w:r w:rsidRPr="004465B8">
              <w:rPr>
                <w:sz w:val="16"/>
                <w:szCs w:val="16"/>
              </w:rPr>
              <w:t>Civil judicial proceedings</w:t>
            </w:r>
          </w:p>
        </w:tc>
        <w:tc>
          <w:tcPr>
            <w:tcW w:w="435" w:type="pct"/>
            <w:shd w:val="clear" w:color="auto" w:fill="FFFFFF"/>
          </w:tcPr>
          <w:p w:rsidR="008804DD" w:rsidRPr="004465B8" w:rsidRDefault="008804DD" w:rsidP="00811568">
            <w:pPr>
              <w:spacing w:before="0" w:after="0" w:line="240" w:lineRule="auto"/>
              <w:rPr>
                <w:sz w:val="16"/>
                <w:szCs w:val="16"/>
              </w:rPr>
            </w:pPr>
            <w:r w:rsidRPr="004465B8">
              <w:rPr>
                <w:sz w:val="16"/>
                <w:szCs w:val="16"/>
              </w:rPr>
              <w:t>Civil judicial proceedings</w:t>
            </w:r>
          </w:p>
        </w:tc>
        <w:tc>
          <w:tcPr>
            <w:tcW w:w="497" w:type="pct"/>
            <w:shd w:val="clear" w:color="auto" w:fill="FFFFFF"/>
          </w:tcPr>
          <w:p w:rsidR="008804DD" w:rsidRPr="004465B8" w:rsidRDefault="008804DD" w:rsidP="00811568">
            <w:pPr>
              <w:spacing w:before="0" w:after="0" w:line="240" w:lineRule="auto"/>
              <w:rPr>
                <w:sz w:val="16"/>
                <w:szCs w:val="16"/>
              </w:rPr>
            </w:pPr>
            <w:r w:rsidRPr="004465B8">
              <w:rPr>
                <w:sz w:val="16"/>
                <w:szCs w:val="16"/>
              </w:rPr>
              <w:t>Civil judicial proceedings</w:t>
            </w:r>
          </w:p>
        </w:tc>
        <w:tc>
          <w:tcPr>
            <w:tcW w:w="543" w:type="pct"/>
            <w:shd w:val="clear" w:color="auto" w:fill="FFFFFF"/>
          </w:tcPr>
          <w:p w:rsidR="008804DD" w:rsidRPr="004465B8" w:rsidRDefault="008804DD" w:rsidP="00811568">
            <w:pPr>
              <w:spacing w:before="0" w:after="0" w:line="240" w:lineRule="auto"/>
              <w:rPr>
                <w:sz w:val="16"/>
                <w:szCs w:val="16"/>
              </w:rPr>
            </w:pPr>
            <w:r w:rsidRPr="004465B8">
              <w:rPr>
                <w:sz w:val="16"/>
                <w:szCs w:val="16"/>
              </w:rPr>
              <w:t>Civil judicial proceedings</w:t>
            </w:r>
          </w:p>
        </w:tc>
        <w:tc>
          <w:tcPr>
            <w:tcW w:w="543" w:type="pct"/>
            <w:shd w:val="clear" w:color="auto" w:fill="FFFFFF"/>
          </w:tcPr>
          <w:p w:rsidR="008804DD" w:rsidRPr="004465B8" w:rsidRDefault="008804DD" w:rsidP="00811568">
            <w:pPr>
              <w:spacing w:before="0" w:after="0" w:line="240" w:lineRule="auto"/>
              <w:rPr>
                <w:sz w:val="16"/>
                <w:szCs w:val="16"/>
              </w:rPr>
            </w:pPr>
            <w:r w:rsidRPr="004465B8">
              <w:rPr>
                <w:sz w:val="16"/>
                <w:szCs w:val="16"/>
              </w:rPr>
              <w:t xml:space="preserve">Civil judicial proceedings </w:t>
            </w:r>
          </w:p>
          <w:p w:rsidR="008804DD" w:rsidRPr="004465B8" w:rsidRDefault="008804DD" w:rsidP="00811568">
            <w:pPr>
              <w:spacing w:before="0" w:after="0" w:line="240" w:lineRule="auto"/>
              <w:rPr>
                <w:sz w:val="16"/>
                <w:szCs w:val="16"/>
              </w:rPr>
            </w:pPr>
          </w:p>
        </w:tc>
        <w:tc>
          <w:tcPr>
            <w:tcW w:w="543" w:type="pct"/>
            <w:shd w:val="clear" w:color="auto" w:fill="FFFFFF"/>
          </w:tcPr>
          <w:p w:rsidR="008804DD" w:rsidRPr="004465B8" w:rsidRDefault="008804DD" w:rsidP="00811568">
            <w:pPr>
              <w:spacing w:before="0" w:after="0" w:line="240" w:lineRule="auto"/>
              <w:rPr>
                <w:sz w:val="16"/>
                <w:szCs w:val="16"/>
              </w:rPr>
            </w:pPr>
            <w:r w:rsidRPr="004465B8">
              <w:rPr>
                <w:sz w:val="16"/>
                <w:szCs w:val="16"/>
              </w:rPr>
              <w:t>Civil judicial proceedings</w:t>
            </w:r>
          </w:p>
          <w:p w:rsidR="008804DD" w:rsidRPr="004465B8" w:rsidRDefault="008804DD" w:rsidP="00811568">
            <w:pPr>
              <w:spacing w:before="0" w:after="0" w:line="240" w:lineRule="auto"/>
              <w:ind w:left="708"/>
              <w:rPr>
                <w:sz w:val="16"/>
                <w:szCs w:val="16"/>
              </w:rPr>
            </w:pPr>
          </w:p>
        </w:tc>
        <w:tc>
          <w:tcPr>
            <w:tcW w:w="543" w:type="pct"/>
            <w:shd w:val="clear" w:color="auto" w:fill="FFFFFF"/>
          </w:tcPr>
          <w:p w:rsidR="008804DD" w:rsidRPr="004465B8" w:rsidRDefault="008804DD" w:rsidP="00811568">
            <w:pPr>
              <w:spacing w:before="0" w:after="0" w:line="240" w:lineRule="auto"/>
              <w:rPr>
                <w:sz w:val="16"/>
                <w:szCs w:val="16"/>
              </w:rPr>
            </w:pPr>
            <w:r w:rsidRPr="004465B8">
              <w:rPr>
                <w:sz w:val="16"/>
                <w:szCs w:val="16"/>
              </w:rPr>
              <w:t>Civil judicial proceedings</w:t>
            </w:r>
          </w:p>
        </w:tc>
        <w:tc>
          <w:tcPr>
            <w:tcW w:w="543" w:type="pct"/>
            <w:shd w:val="clear" w:color="auto" w:fill="FFFFFF"/>
          </w:tcPr>
          <w:p w:rsidR="008804DD" w:rsidRPr="004465B8" w:rsidRDefault="008804DD" w:rsidP="00811568">
            <w:pPr>
              <w:spacing w:before="0" w:after="0" w:line="240" w:lineRule="auto"/>
              <w:rPr>
                <w:sz w:val="16"/>
                <w:szCs w:val="16"/>
              </w:rPr>
            </w:pPr>
            <w:r w:rsidRPr="004465B8">
              <w:rPr>
                <w:sz w:val="16"/>
                <w:szCs w:val="16"/>
              </w:rPr>
              <w:t>Criminal judicial proceedings</w:t>
            </w:r>
          </w:p>
        </w:tc>
        <w:tc>
          <w:tcPr>
            <w:tcW w:w="539" w:type="pct"/>
            <w:shd w:val="clear" w:color="auto" w:fill="FFFFFF"/>
          </w:tcPr>
          <w:p w:rsidR="008804DD" w:rsidRPr="004465B8" w:rsidRDefault="008804DD" w:rsidP="00811568">
            <w:pPr>
              <w:spacing w:before="0" w:after="0" w:line="240" w:lineRule="auto"/>
              <w:rPr>
                <w:sz w:val="16"/>
                <w:szCs w:val="16"/>
              </w:rPr>
            </w:pPr>
            <w:r w:rsidRPr="004465B8">
              <w:rPr>
                <w:sz w:val="16"/>
                <w:szCs w:val="16"/>
              </w:rPr>
              <w:t>Social services are presumably competent to take decisions in this sector.</w:t>
            </w:r>
          </w:p>
        </w:tc>
      </w:tr>
      <w:tr w:rsidR="008804DD" w:rsidRPr="004465B8" w:rsidTr="00811568">
        <w:trPr>
          <w:trHeight w:val="1410"/>
        </w:trPr>
        <w:tc>
          <w:tcPr>
            <w:tcW w:w="384" w:type="pct"/>
            <w:shd w:val="clear" w:color="auto" w:fill="D6E3BC"/>
            <w:vAlign w:val="center"/>
          </w:tcPr>
          <w:p w:rsidR="008804DD" w:rsidRPr="004465B8" w:rsidRDefault="008804DD" w:rsidP="00811568">
            <w:pPr>
              <w:spacing w:before="0" w:after="0" w:line="240" w:lineRule="auto"/>
              <w:jc w:val="center"/>
              <w:rPr>
                <w:b/>
                <w:sz w:val="16"/>
                <w:szCs w:val="16"/>
              </w:rPr>
            </w:pPr>
            <w:r w:rsidRPr="004465B8">
              <w:rPr>
                <w:b/>
                <w:sz w:val="16"/>
                <w:szCs w:val="16"/>
              </w:rPr>
              <w:t>Competent court(s)</w:t>
            </w:r>
          </w:p>
        </w:tc>
        <w:tc>
          <w:tcPr>
            <w:tcW w:w="430" w:type="pct"/>
            <w:shd w:val="clear" w:color="auto" w:fill="FFFFFF"/>
          </w:tcPr>
          <w:p w:rsidR="008804DD" w:rsidRPr="004465B8" w:rsidRDefault="008804DD" w:rsidP="00811568">
            <w:pPr>
              <w:spacing w:before="0" w:after="0" w:line="240" w:lineRule="auto"/>
              <w:rPr>
                <w:sz w:val="16"/>
                <w:szCs w:val="16"/>
              </w:rPr>
            </w:pPr>
            <w:r w:rsidRPr="004465B8">
              <w:rPr>
                <w:sz w:val="16"/>
                <w:szCs w:val="16"/>
              </w:rPr>
              <w:t>Civil Court (Family Section)</w:t>
            </w:r>
          </w:p>
        </w:tc>
        <w:tc>
          <w:tcPr>
            <w:tcW w:w="435" w:type="pct"/>
            <w:shd w:val="clear" w:color="auto" w:fill="FFFFFF"/>
          </w:tcPr>
          <w:p w:rsidR="008804DD" w:rsidRPr="004465B8" w:rsidRDefault="008804DD" w:rsidP="00811568">
            <w:pPr>
              <w:spacing w:before="0" w:after="0" w:line="240" w:lineRule="auto"/>
              <w:rPr>
                <w:sz w:val="16"/>
                <w:szCs w:val="16"/>
              </w:rPr>
            </w:pPr>
            <w:r w:rsidRPr="004465B8">
              <w:rPr>
                <w:sz w:val="16"/>
                <w:szCs w:val="16"/>
              </w:rPr>
              <w:t>Civil courts</w:t>
            </w:r>
          </w:p>
        </w:tc>
        <w:tc>
          <w:tcPr>
            <w:tcW w:w="497" w:type="pct"/>
            <w:shd w:val="clear" w:color="auto" w:fill="FFFFFF"/>
          </w:tcPr>
          <w:p w:rsidR="008804DD" w:rsidRPr="004465B8" w:rsidRDefault="008804DD" w:rsidP="00811568">
            <w:pPr>
              <w:spacing w:before="0" w:after="0" w:line="240" w:lineRule="auto"/>
              <w:rPr>
                <w:sz w:val="16"/>
                <w:szCs w:val="16"/>
              </w:rPr>
            </w:pPr>
            <w:r w:rsidRPr="004465B8">
              <w:rPr>
                <w:sz w:val="16"/>
                <w:szCs w:val="16"/>
              </w:rPr>
              <w:t>Refugee Appeals Board</w:t>
            </w:r>
          </w:p>
        </w:tc>
        <w:tc>
          <w:tcPr>
            <w:tcW w:w="543" w:type="pct"/>
            <w:shd w:val="clear" w:color="auto" w:fill="FFFFFF"/>
          </w:tcPr>
          <w:p w:rsidR="008804DD" w:rsidRPr="004465B8" w:rsidRDefault="008804DD" w:rsidP="00811568">
            <w:pPr>
              <w:spacing w:before="0" w:after="0" w:line="240" w:lineRule="auto"/>
              <w:rPr>
                <w:sz w:val="16"/>
                <w:szCs w:val="16"/>
              </w:rPr>
            </w:pPr>
            <w:r w:rsidRPr="004465B8">
              <w:rPr>
                <w:sz w:val="16"/>
                <w:szCs w:val="16"/>
              </w:rPr>
              <w:t>Immigration Appeals Board</w:t>
            </w:r>
          </w:p>
        </w:tc>
        <w:tc>
          <w:tcPr>
            <w:tcW w:w="543" w:type="pct"/>
            <w:shd w:val="clear" w:color="auto" w:fill="FFFFFF"/>
          </w:tcPr>
          <w:p w:rsidR="008804DD" w:rsidRPr="004465B8" w:rsidRDefault="008804DD" w:rsidP="00811568">
            <w:pPr>
              <w:spacing w:before="0" w:after="0" w:line="240" w:lineRule="auto"/>
              <w:rPr>
                <w:sz w:val="16"/>
                <w:szCs w:val="16"/>
              </w:rPr>
            </w:pPr>
            <w:r w:rsidRPr="004465B8">
              <w:rPr>
                <w:sz w:val="16"/>
                <w:szCs w:val="16"/>
              </w:rPr>
              <w:t>Civil courts</w:t>
            </w:r>
          </w:p>
        </w:tc>
        <w:tc>
          <w:tcPr>
            <w:tcW w:w="543" w:type="pct"/>
            <w:shd w:val="clear" w:color="auto" w:fill="FFFFFF"/>
          </w:tcPr>
          <w:p w:rsidR="008804DD" w:rsidRPr="004465B8" w:rsidRDefault="008804DD" w:rsidP="00811568">
            <w:pPr>
              <w:spacing w:before="0" w:after="0" w:line="240" w:lineRule="auto"/>
              <w:rPr>
                <w:sz w:val="16"/>
                <w:szCs w:val="16"/>
              </w:rPr>
            </w:pPr>
            <w:r w:rsidRPr="004465B8">
              <w:rPr>
                <w:sz w:val="16"/>
                <w:szCs w:val="16"/>
              </w:rPr>
              <w:t>Civil courts</w:t>
            </w:r>
          </w:p>
        </w:tc>
        <w:tc>
          <w:tcPr>
            <w:tcW w:w="543" w:type="pct"/>
            <w:shd w:val="clear" w:color="auto" w:fill="FFFFFF"/>
          </w:tcPr>
          <w:p w:rsidR="008804DD" w:rsidRPr="004465B8" w:rsidRDefault="008804DD" w:rsidP="00811568">
            <w:pPr>
              <w:spacing w:before="0" w:after="0" w:line="240" w:lineRule="auto"/>
              <w:contextualSpacing/>
              <w:rPr>
                <w:sz w:val="16"/>
                <w:szCs w:val="16"/>
              </w:rPr>
            </w:pPr>
            <w:r w:rsidRPr="004465B8">
              <w:rPr>
                <w:sz w:val="16"/>
                <w:szCs w:val="16"/>
              </w:rPr>
              <w:t>Civil courts</w:t>
            </w:r>
          </w:p>
        </w:tc>
        <w:tc>
          <w:tcPr>
            <w:tcW w:w="543" w:type="pct"/>
            <w:shd w:val="clear" w:color="auto" w:fill="FFFFFF"/>
          </w:tcPr>
          <w:p w:rsidR="008804DD" w:rsidRPr="004465B8" w:rsidRDefault="008804DD" w:rsidP="00811568">
            <w:pPr>
              <w:spacing w:before="0" w:after="0" w:line="240" w:lineRule="auto"/>
              <w:ind w:left="56"/>
              <w:rPr>
                <w:sz w:val="16"/>
                <w:szCs w:val="16"/>
              </w:rPr>
            </w:pPr>
            <w:r w:rsidRPr="004465B8">
              <w:rPr>
                <w:sz w:val="16"/>
                <w:szCs w:val="16"/>
              </w:rPr>
              <w:t>Criminal courts</w:t>
            </w:r>
          </w:p>
        </w:tc>
        <w:tc>
          <w:tcPr>
            <w:tcW w:w="539" w:type="pct"/>
            <w:shd w:val="clear" w:color="auto" w:fill="FFFFFF"/>
          </w:tcPr>
          <w:p w:rsidR="008804DD" w:rsidRPr="004465B8" w:rsidRDefault="008804DD" w:rsidP="00811568">
            <w:pPr>
              <w:spacing w:before="0" w:after="0" w:line="240" w:lineRule="auto"/>
              <w:rPr>
                <w:sz w:val="16"/>
                <w:szCs w:val="16"/>
              </w:rPr>
            </w:pPr>
            <w:r w:rsidRPr="004465B8">
              <w:rPr>
                <w:sz w:val="16"/>
                <w:szCs w:val="16"/>
              </w:rPr>
              <w:t>No courts seem to be competent to decide in this sector. Presumably social services are competent to take decisions in this sector.</w:t>
            </w:r>
          </w:p>
        </w:tc>
      </w:tr>
    </w:tbl>
    <w:p w:rsidR="0049253A" w:rsidRDefault="0049253A" w:rsidP="0049253A"/>
    <w:p w:rsidR="00660C9C" w:rsidRPr="0049253A" w:rsidRDefault="00660C9C" w:rsidP="0049253A">
      <w:pPr>
        <w:sectPr w:rsidR="00660C9C" w:rsidRPr="0049253A" w:rsidSect="00660C9C">
          <w:headerReference w:type="default" r:id="rId22"/>
          <w:footerReference w:type="default" r:id="rId23"/>
          <w:pgSz w:w="16840" w:h="11907" w:orient="landscape" w:code="9"/>
          <w:pgMar w:top="1417" w:right="1417" w:bottom="1020" w:left="1417" w:header="680" w:footer="567" w:gutter="0"/>
          <w:cols w:space="708"/>
          <w:docGrid w:linePitch="360"/>
        </w:sectPr>
      </w:pPr>
    </w:p>
    <w:p w:rsidR="0049253A" w:rsidRDefault="0049253A" w:rsidP="0049253A">
      <w:pPr>
        <w:pStyle w:val="Heading1"/>
      </w:pPr>
      <w:bookmarkStart w:id="28" w:name="_Toc350439423"/>
      <w:bookmarkStart w:id="29" w:name="_Toc401222920"/>
      <w:bookmarkStart w:id="30" w:name="_Toc401231473"/>
      <w:bookmarkStart w:id="31" w:name="_Toc336262936"/>
      <w:bookmarkStart w:id="32" w:name="_Toc401654869"/>
      <w:bookmarkStart w:id="33" w:name="_Toc407962106"/>
      <w:r w:rsidRPr="006E016E">
        <w:lastRenderedPageBreak/>
        <w:t>Overview of Member State’s approach to children in civil judicial proceedings and specialised services dealing with such children</w:t>
      </w:r>
      <w:bookmarkEnd w:id="28"/>
      <w:bookmarkEnd w:id="29"/>
      <w:bookmarkEnd w:id="30"/>
      <w:bookmarkEnd w:id="33"/>
      <w:r>
        <w:t xml:space="preserve"> </w:t>
      </w:r>
    </w:p>
    <w:p w:rsidR="00660C9C" w:rsidRPr="00660C9C" w:rsidRDefault="00660C9C" w:rsidP="00660C9C">
      <w:pPr>
        <w:pStyle w:val="Heading2"/>
        <w:rPr>
          <w:rFonts w:eastAsia="Calibri"/>
        </w:rPr>
      </w:pPr>
      <w:bookmarkStart w:id="34" w:name="_Toc407962107"/>
      <w:bookmarkEnd w:id="31"/>
      <w:r w:rsidRPr="00660C9C">
        <w:rPr>
          <w:rFonts w:eastAsia="Calibri"/>
        </w:rPr>
        <w:t>Brief description of judicial system and institutions</w:t>
      </w:r>
      <w:bookmarkEnd w:id="32"/>
      <w:bookmarkEnd w:id="34"/>
    </w:p>
    <w:p w:rsidR="008804DD" w:rsidRPr="007B0F82" w:rsidRDefault="008804DD" w:rsidP="008804DD">
      <w:pPr>
        <w:ind w:left="851"/>
        <w:jc w:val="both"/>
      </w:pPr>
      <w:r w:rsidRPr="007B0F82">
        <w:t xml:space="preserve">The civil legal system of Malta is mainly regulated by the </w:t>
      </w:r>
      <w:hyperlink r:id="rId24" w:history="1">
        <w:r w:rsidRPr="007B0F82">
          <w:rPr>
            <w:rStyle w:val="Hyperlink"/>
            <w:rFonts w:cs="Arial"/>
          </w:rPr>
          <w:t>Civil Code</w:t>
        </w:r>
      </w:hyperlink>
      <w:r w:rsidRPr="007B0F82">
        <w:rPr>
          <w:rStyle w:val="FootnoteReference"/>
        </w:rPr>
        <w:footnoteReference w:id="4"/>
      </w:r>
      <w:r w:rsidRPr="007B0F82">
        <w:t xml:space="preserve"> for substantive civil law (including family law) and the </w:t>
      </w:r>
      <w:hyperlink r:id="rId25" w:history="1">
        <w:r w:rsidRPr="007B0F82">
          <w:rPr>
            <w:rStyle w:val="Hyperlink"/>
            <w:rFonts w:cs="Arial"/>
          </w:rPr>
          <w:t>Code of Organization and Civil Procedure</w:t>
        </w:r>
      </w:hyperlink>
      <w:r w:rsidRPr="007B0F82">
        <w:t xml:space="preserve"> (COCP)</w:t>
      </w:r>
      <w:r w:rsidRPr="007B0F82">
        <w:rPr>
          <w:rStyle w:val="FootnoteReference"/>
        </w:rPr>
        <w:footnoteReference w:id="5"/>
      </w:r>
      <w:r w:rsidRPr="007B0F82">
        <w:t xml:space="preserve"> for procedural matters. Secondary legislation issued under these Codes is also relevant. </w:t>
      </w:r>
    </w:p>
    <w:p w:rsidR="008804DD" w:rsidRPr="007B0F82" w:rsidRDefault="008804DD" w:rsidP="008804DD">
      <w:pPr>
        <w:ind w:left="851"/>
        <w:jc w:val="both"/>
      </w:pPr>
      <w:r w:rsidRPr="007B0F82">
        <w:t>Malta’s approach to children in civil judicial proceedings is somewhat limited. Whilst special provisions related to children exist with respect to family law issues, they are otherwise sparce. Proceedings in which the court makes decisions about the care of a child (namely, where a care order is issued to place a child in the care of the Minister responsible for social welfare) are dealt with under administrative proceedings</w:t>
      </w:r>
      <w:r w:rsidRPr="007B0F82">
        <w:rPr>
          <w:rStyle w:val="FootnoteReference"/>
        </w:rPr>
        <w:footnoteReference w:id="6"/>
      </w:r>
      <w:r w:rsidRPr="007B0F82">
        <w:t xml:space="preserve">. </w:t>
      </w:r>
    </w:p>
    <w:p w:rsidR="008804DD" w:rsidRPr="00A13073" w:rsidRDefault="008804DD" w:rsidP="00811568">
      <w:pPr>
        <w:ind w:left="851"/>
        <w:jc w:val="both"/>
      </w:pPr>
      <w:r w:rsidRPr="007B0F82">
        <w:t>The following paragraphs describe the general and special institutions or bodies that are relevant to children’s involvement</w:t>
      </w:r>
      <w:r>
        <w:t xml:space="preserve"> in civil judicial proceedings.</w:t>
      </w:r>
    </w:p>
    <w:p w:rsidR="008804DD" w:rsidRPr="007B0F82" w:rsidRDefault="008804DD" w:rsidP="008558C6">
      <w:pPr>
        <w:pStyle w:val="Heading3NoNumb"/>
        <w:ind w:firstLine="851"/>
      </w:pPr>
      <w:bookmarkStart w:id="35" w:name="_Toc407962108"/>
      <w:r w:rsidRPr="007B0F82">
        <w:t>Courts of civil jurisdiction</w:t>
      </w:r>
      <w:bookmarkEnd w:id="35"/>
    </w:p>
    <w:p w:rsidR="008804DD" w:rsidRPr="007B0F82" w:rsidRDefault="008804DD" w:rsidP="008804DD">
      <w:pPr>
        <w:ind w:left="851"/>
        <w:jc w:val="both"/>
      </w:pPr>
      <w:r w:rsidRPr="007B0F82">
        <w:t xml:space="preserve">The institutions dealing with children in civil judicial proceedings are primarily the ordinary courts of civil jurisdiction. </w:t>
      </w:r>
    </w:p>
    <w:p w:rsidR="008804DD" w:rsidRPr="007B0F82" w:rsidRDefault="008804DD" w:rsidP="008804DD">
      <w:pPr>
        <w:ind w:left="851"/>
        <w:jc w:val="both"/>
      </w:pPr>
      <w:r w:rsidRPr="007B0F82">
        <w:t>The courts of justice of civil jurisdiction for Malta are either superior or inferior. The superior courts are the Civil Court, the Court of Appeal and the Constitutional Court. The inferior courts are the Court of Magistrates (Malta) for the Island of Malta and the Court of Magistrates (Gozo) for the Islands of Gozo and Comino. Judges sit in the superior courts and magistrates sit in the inferior courts</w:t>
      </w:r>
      <w:r w:rsidRPr="007B0F82">
        <w:rPr>
          <w:rStyle w:val="FootnoteReference"/>
        </w:rPr>
        <w:footnoteReference w:id="7"/>
      </w:r>
      <w:r w:rsidRPr="007B0F82">
        <w:t>.</w:t>
      </w:r>
    </w:p>
    <w:p w:rsidR="008804DD" w:rsidRPr="007B0F82" w:rsidRDefault="008804DD" w:rsidP="008804DD">
      <w:pPr>
        <w:ind w:left="851"/>
        <w:jc w:val="both"/>
      </w:pPr>
      <w:r w:rsidRPr="007B0F82">
        <w:t>The Civil Court deals with all cases of a civil and commercial nature, and all cases that are expressly assigned by law to the Civil Court. The exercise of voluntary jurisdiction in matters of a civil nature is also assigned to the Civil Court</w:t>
      </w:r>
      <w:r w:rsidRPr="007B0F82">
        <w:rPr>
          <w:rStyle w:val="FootnoteReference"/>
        </w:rPr>
        <w:footnoteReference w:id="8"/>
      </w:r>
      <w:r w:rsidRPr="007B0F82">
        <w:t xml:space="preserve">. </w:t>
      </w:r>
    </w:p>
    <w:p w:rsidR="008804DD" w:rsidRPr="007B0F82" w:rsidRDefault="008804DD" w:rsidP="008804DD">
      <w:pPr>
        <w:ind w:left="851"/>
        <w:jc w:val="both"/>
      </w:pPr>
      <w:r w:rsidRPr="007B0F82">
        <w:t>There are in fact three sections in the Civil Court: the Family Section, the Voluntary Jurisdiction Section and a general jurisdiction section referred to as the First Hall of the Civil Court</w:t>
      </w:r>
      <w:r w:rsidRPr="007B0F82">
        <w:rPr>
          <w:vertAlign w:val="superscript"/>
        </w:rPr>
        <w:footnoteReference w:id="9"/>
      </w:r>
      <w:r w:rsidRPr="007B0F82">
        <w:t>.</w:t>
      </w:r>
    </w:p>
    <w:p w:rsidR="008804DD" w:rsidRPr="007B0F82" w:rsidRDefault="008804DD" w:rsidP="008804DD">
      <w:pPr>
        <w:ind w:left="851"/>
        <w:jc w:val="both"/>
      </w:pPr>
      <w:r w:rsidRPr="007B0F82">
        <w:t xml:space="preserve">The </w:t>
      </w:r>
      <w:r w:rsidRPr="007B0F82">
        <w:rPr>
          <w:b/>
        </w:rPr>
        <w:t>Civil Court (Family Section)</w:t>
      </w:r>
      <w:r w:rsidRPr="007B0F82">
        <w:rPr>
          <w:vertAlign w:val="superscript"/>
        </w:rPr>
        <w:footnoteReference w:id="10"/>
      </w:r>
      <w:r w:rsidRPr="007B0F82">
        <w:t xml:space="preserve"> deals with cases relating to matters regulated by the Civil Code provisions on the law of persons, filiation and parental authority; the </w:t>
      </w:r>
      <w:hyperlink r:id="rId26" w:history="1">
        <w:r w:rsidRPr="007B0F82">
          <w:rPr>
            <w:rStyle w:val="Hyperlink"/>
          </w:rPr>
          <w:t>Maintenance Orders (Facilities for Enforcement) Ordinance</w:t>
        </w:r>
      </w:hyperlink>
      <w:r w:rsidRPr="007B0F82">
        <w:rPr>
          <w:rStyle w:val="FootnoteReference"/>
        </w:rPr>
        <w:footnoteReference w:id="11"/>
      </w:r>
      <w:r w:rsidRPr="007B0F82">
        <w:t xml:space="preserve">; the </w:t>
      </w:r>
      <w:hyperlink r:id="rId27" w:history="1">
        <w:r w:rsidRPr="007B0F82">
          <w:rPr>
            <w:rStyle w:val="Hyperlink"/>
          </w:rPr>
          <w:t>Maintenance Orders (Reciprocal Enforcement) Act</w:t>
        </w:r>
      </w:hyperlink>
      <w:r w:rsidRPr="007B0F82">
        <w:rPr>
          <w:rStyle w:val="FootnoteReference"/>
        </w:rPr>
        <w:footnoteReference w:id="12"/>
      </w:r>
      <w:r w:rsidRPr="007B0F82">
        <w:t xml:space="preserve">; the </w:t>
      </w:r>
      <w:hyperlink r:id="rId28" w:history="1">
        <w:r w:rsidRPr="007B0F82">
          <w:rPr>
            <w:rStyle w:val="Hyperlink"/>
          </w:rPr>
          <w:t>Marriage Act</w:t>
        </w:r>
      </w:hyperlink>
      <w:r w:rsidRPr="007B0F82">
        <w:rPr>
          <w:rStyle w:val="FootnoteReference"/>
        </w:rPr>
        <w:footnoteReference w:id="13"/>
      </w:r>
      <w:r w:rsidRPr="007B0F82">
        <w:t xml:space="preserve"> and the </w:t>
      </w:r>
      <w:hyperlink r:id="rId29" w:history="1">
        <w:r w:rsidRPr="007B0F82">
          <w:rPr>
            <w:rStyle w:val="Hyperlink"/>
          </w:rPr>
          <w:t>Child Abduction and Child Custody Act</w:t>
        </w:r>
      </w:hyperlink>
      <w:r w:rsidRPr="007B0F82">
        <w:rPr>
          <w:rStyle w:val="FootnoteReference"/>
        </w:rPr>
        <w:footnoteReference w:id="14"/>
      </w:r>
      <w:r w:rsidRPr="007B0F82">
        <w:t>.</w:t>
      </w:r>
    </w:p>
    <w:p w:rsidR="008804DD" w:rsidRPr="007B0F82" w:rsidRDefault="008804DD" w:rsidP="008804DD">
      <w:pPr>
        <w:widowControl w:val="0"/>
        <w:autoSpaceDE w:val="0"/>
        <w:autoSpaceDN w:val="0"/>
        <w:adjustRightInd w:val="0"/>
        <w:spacing w:before="0" w:after="0" w:line="240" w:lineRule="auto"/>
        <w:ind w:left="851"/>
        <w:jc w:val="both"/>
      </w:pPr>
      <w:r w:rsidRPr="007B0F82">
        <w:t xml:space="preserve">Within the context of the Civil Court (Family Section) reference must be made to </w:t>
      </w:r>
      <w:r w:rsidRPr="007B0F82">
        <w:rPr>
          <w:b/>
        </w:rPr>
        <w:t>mediators</w:t>
      </w:r>
      <w:r w:rsidRPr="007B0F82">
        <w:t xml:space="preserve"> and </w:t>
      </w:r>
      <w:r w:rsidRPr="007B0F82">
        <w:rPr>
          <w:b/>
        </w:rPr>
        <w:t>children’s advocates</w:t>
      </w:r>
      <w:r w:rsidRPr="007B0F82">
        <w:t xml:space="preserve">. </w:t>
      </w:r>
    </w:p>
    <w:p w:rsidR="008804DD" w:rsidRPr="007B0F82" w:rsidRDefault="008804DD" w:rsidP="008804DD">
      <w:pPr>
        <w:widowControl w:val="0"/>
        <w:autoSpaceDE w:val="0"/>
        <w:autoSpaceDN w:val="0"/>
        <w:adjustRightInd w:val="0"/>
        <w:spacing w:before="0" w:after="0" w:line="240" w:lineRule="auto"/>
        <w:ind w:left="851"/>
        <w:jc w:val="both"/>
      </w:pPr>
    </w:p>
    <w:p w:rsidR="008804DD" w:rsidRDefault="008804DD" w:rsidP="008804DD">
      <w:pPr>
        <w:widowControl w:val="0"/>
        <w:autoSpaceDE w:val="0"/>
        <w:autoSpaceDN w:val="0"/>
        <w:adjustRightInd w:val="0"/>
        <w:spacing w:before="0" w:after="0" w:line="240" w:lineRule="auto"/>
        <w:ind w:left="851"/>
        <w:jc w:val="both"/>
      </w:pPr>
      <w:r w:rsidRPr="007B0F82">
        <w:lastRenderedPageBreak/>
        <w:t xml:space="preserve">The Minister responsible for justice appoints panels of experts (called mediators). These are persons who in the Minister’s opinion have the necessary qualities to undertake the functions assigned to mediators as described in </w:t>
      </w:r>
      <w:hyperlink w:anchor="_Alternatives_to_judicial" w:history="1">
        <w:r w:rsidRPr="007B0F82">
          <w:rPr>
            <w:rStyle w:val="Hyperlink"/>
            <w:rFonts w:cs="Arial"/>
          </w:rPr>
          <w:t>Section 3.8</w:t>
        </w:r>
      </w:hyperlink>
      <w:r w:rsidRPr="007B0F82">
        <w:t xml:space="preserve">. The panel consists of two lists: </w:t>
      </w:r>
    </w:p>
    <w:p w:rsidR="008804DD" w:rsidRPr="007B0F82" w:rsidRDefault="008804DD" w:rsidP="008804DD">
      <w:pPr>
        <w:widowControl w:val="0"/>
        <w:autoSpaceDE w:val="0"/>
        <w:autoSpaceDN w:val="0"/>
        <w:adjustRightInd w:val="0"/>
        <w:spacing w:before="0" w:after="0" w:line="240" w:lineRule="auto"/>
        <w:ind w:left="851"/>
        <w:jc w:val="both"/>
      </w:pPr>
    </w:p>
    <w:p w:rsidR="008804DD" w:rsidRPr="007B0F82" w:rsidRDefault="008804DD" w:rsidP="008558C6">
      <w:pPr>
        <w:pStyle w:val="BTBullet1"/>
      </w:pPr>
      <w:r w:rsidRPr="007B0F82">
        <w:t xml:space="preserve">a list of qualified persons from amongst whom the parties in a case may select by mutual consent a person to act as mediator; and </w:t>
      </w:r>
    </w:p>
    <w:p w:rsidR="008804DD" w:rsidRPr="00811568" w:rsidRDefault="008804DD" w:rsidP="008558C6">
      <w:pPr>
        <w:pStyle w:val="BTBullet1"/>
        <w:rPr>
          <w:color w:val="1B1B1B"/>
        </w:rPr>
      </w:pPr>
      <w:r w:rsidRPr="007B0F82">
        <w:t>a list of qualified persons who are appointed by the Court on a roster basis to act as mediators in a particular case</w:t>
      </w:r>
      <w:r w:rsidRPr="007B0F82">
        <w:rPr>
          <w:rStyle w:val="FootnoteReference"/>
        </w:rPr>
        <w:footnoteReference w:id="15"/>
      </w:r>
      <w:r w:rsidRPr="007B0F82">
        <w:t xml:space="preserve">. </w:t>
      </w:r>
    </w:p>
    <w:p w:rsidR="008558C6" w:rsidRDefault="008558C6" w:rsidP="008804DD">
      <w:pPr>
        <w:widowControl w:val="0"/>
        <w:autoSpaceDE w:val="0"/>
        <w:autoSpaceDN w:val="0"/>
        <w:adjustRightInd w:val="0"/>
        <w:spacing w:before="0" w:after="0" w:line="240" w:lineRule="auto"/>
        <w:ind w:left="851"/>
        <w:jc w:val="both"/>
      </w:pPr>
    </w:p>
    <w:p w:rsidR="008804DD" w:rsidRPr="007B0F82" w:rsidRDefault="008804DD" w:rsidP="008804DD">
      <w:pPr>
        <w:widowControl w:val="0"/>
        <w:autoSpaceDE w:val="0"/>
        <w:autoSpaceDN w:val="0"/>
        <w:adjustRightInd w:val="0"/>
        <w:spacing w:before="0" w:after="0" w:line="240" w:lineRule="auto"/>
        <w:ind w:left="851"/>
        <w:jc w:val="both"/>
        <w:rPr>
          <w:color w:val="1B1B1B"/>
        </w:rPr>
      </w:pPr>
      <w:r w:rsidRPr="007B0F82">
        <w:t>The Minister also appoints a panel of experts in family law (called children’s advocates). Children’s advocates must be qualified lawyers who can practice in the Maltese courts</w:t>
      </w:r>
      <w:r w:rsidRPr="007B0F82">
        <w:rPr>
          <w:rStyle w:val="FootnoteReference"/>
        </w:rPr>
        <w:footnoteReference w:id="16"/>
      </w:r>
      <w:r w:rsidRPr="007B0F82">
        <w:t xml:space="preserve">. </w:t>
      </w:r>
      <w:r w:rsidRPr="007B0F82">
        <w:rPr>
          <w:color w:val="1B1B1B"/>
        </w:rPr>
        <w:t>In matters involving children, the Civil Court (Family Section) can appoint a child advocate to represent and promote the best interests of the children concerned even if for the purpose of the litigation in hand they may be represented by one of the parents</w:t>
      </w:r>
      <w:r w:rsidRPr="007B0F82">
        <w:rPr>
          <w:rStyle w:val="FootnoteReference"/>
          <w:color w:val="1B1B1B"/>
        </w:rPr>
        <w:footnoteReference w:id="17"/>
      </w:r>
      <w:r w:rsidRPr="007B0F82">
        <w:rPr>
          <w:color w:val="1B1B1B"/>
        </w:rPr>
        <w:t xml:space="preserve">. </w:t>
      </w:r>
    </w:p>
    <w:p w:rsidR="008804DD" w:rsidRPr="007B0F82" w:rsidRDefault="008804DD" w:rsidP="008804DD">
      <w:pPr>
        <w:pStyle w:val="BodyText"/>
        <w:widowControl w:val="0"/>
        <w:jc w:val="both"/>
      </w:pPr>
      <w:r w:rsidRPr="007B0F82">
        <w:rPr>
          <w:szCs w:val="20"/>
        </w:rPr>
        <w:t xml:space="preserve">The </w:t>
      </w:r>
      <w:r w:rsidRPr="007B0F82">
        <w:rPr>
          <w:b/>
          <w:szCs w:val="20"/>
        </w:rPr>
        <w:t xml:space="preserve">Civil Court (Voluntary Jurisdiction Section) </w:t>
      </w:r>
      <w:r w:rsidRPr="007B0F82">
        <w:rPr>
          <w:szCs w:val="20"/>
        </w:rPr>
        <w:t>is assigned applications falling within the competence of the Civil Court and which relate to matters regulated by the Civil Code provisions on adoption, minority and tutorship, majority, guardianship, incapacitation and by the procedural rules for the court of voluntary jurisdiction stipulated in the COCP</w:t>
      </w:r>
      <w:r w:rsidRPr="007B0F82">
        <w:rPr>
          <w:szCs w:val="20"/>
          <w:vertAlign w:val="superscript"/>
        </w:rPr>
        <w:footnoteReference w:id="18"/>
      </w:r>
      <w:r w:rsidRPr="007B0F82">
        <w:rPr>
          <w:szCs w:val="20"/>
        </w:rPr>
        <w:t xml:space="preserve">. </w:t>
      </w:r>
    </w:p>
    <w:p w:rsidR="008804DD" w:rsidRPr="007B0F82" w:rsidRDefault="008804DD" w:rsidP="008804DD">
      <w:pPr>
        <w:pStyle w:val="BodyText"/>
        <w:widowControl w:val="0"/>
        <w:jc w:val="both"/>
      </w:pPr>
      <w:r w:rsidRPr="007B0F82">
        <w:t xml:space="preserve">The </w:t>
      </w:r>
      <w:r w:rsidRPr="007B0F82">
        <w:rPr>
          <w:b/>
          <w:szCs w:val="20"/>
        </w:rPr>
        <w:t>Civil Court, First Hall</w:t>
      </w:r>
      <w:r w:rsidRPr="007B0F82">
        <w:rPr>
          <w:szCs w:val="20"/>
        </w:rPr>
        <w:t xml:space="preserve"> is assigned all cases within the competence of the Civil Court and not assigned to the Family Section or the Voluntary Jurisdiction Section</w:t>
      </w:r>
      <w:r w:rsidRPr="007B0F82">
        <w:rPr>
          <w:szCs w:val="20"/>
          <w:vertAlign w:val="superscript"/>
        </w:rPr>
        <w:footnoteReference w:id="19"/>
      </w:r>
      <w:r w:rsidRPr="007B0F82">
        <w:rPr>
          <w:szCs w:val="20"/>
        </w:rPr>
        <w:t>.</w:t>
      </w:r>
      <w:r w:rsidRPr="007B0F82">
        <w:t xml:space="preserve"> </w:t>
      </w:r>
    </w:p>
    <w:p w:rsidR="008804DD" w:rsidRPr="007B0F82" w:rsidRDefault="008804DD" w:rsidP="008804DD">
      <w:pPr>
        <w:ind w:left="851"/>
        <w:jc w:val="both"/>
      </w:pPr>
      <w:r w:rsidRPr="007B0F82">
        <w:t xml:space="preserve">The </w:t>
      </w:r>
      <w:r w:rsidRPr="007B0F82">
        <w:rPr>
          <w:b/>
        </w:rPr>
        <w:t>Court of Magistrates</w:t>
      </w:r>
      <w:r w:rsidRPr="007B0F82">
        <w:t xml:space="preserve"> exercises both a civil and a criminal jurisdiction. The Court of Magistrates (Malta), in civil matters, has an inferior jurisdiction of first instance. It hears and determines all claims of an amount not exceeding EUR11,646.87 against persons residing or having their ordinary place of residence in any part of the Island of Malta</w:t>
      </w:r>
      <w:r w:rsidRPr="007B0F82">
        <w:rPr>
          <w:rStyle w:val="FootnoteReference"/>
        </w:rPr>
        <w:footnoteReference w:id="20"/>
      </w:r>
      <w:r w:rsidRPr="007B0F82">
        <w:t>. The Court of Magistrates (Gozo) has a twofold jurisdiction: an inferior jurisdiction similar to that of the Court of Magistrates (Malta) and a superior jurisdiction for cases triable in Malta by the Civil Court</w:t>
      </w:r>
      <w:r w:rsidRPr="007B0F82">
        <w:rPr>
          <w:rStyle w:val="FootnoteReference"/>
        </w:rPr>
        <w:footnoteReference w:id="21"/>
      </w:r>
      <w:r w:rsidRPr="007B0F82">
        <w:t>. In its superior jurisdiction, the Court of Magistrates (Gozo) consists of the Family Section (having the same competence as the Civil Court (Family Section)) and the General Jurisdiction Section (having the same competence as the Civil Court, First Hall and the Civil Court in its voluntary jurisdiction)</w:t>
      </w:r>
      <w:r w:rsidRPr="007B0F82">
        <w:rPr>
          <w:rStyle w:val="FootnoteReference"/>
        </w:rPr>
        <w:footnoteReference w:id="22"/>
      </w:r>
      <w:r w:rsidRPr="007B0F82">
        <w:t xml:space="preserve">. </w:t>
      </w:r>
    </w:p>
    <w:p w:rsidR="008804DD" w:rsidRPr="007B0F82" w:rsidRDefault="008804DD" w:rsidP="008804DD">
      <w:pPr>
        <w:ind w:left="851"/>
        <w:jc w:val="both"/>
      </w:pPr>
      <w:r w:rsidRPr="007B0F82">
        <w:t xml:space="preserve">Appeals from </w:t>
      </w:r>
      <w:r>
        <w:t>judgement</w:t>
      </w:r>
      <w:r w:rsidRPr="007B0F82">
        <w:t xml:space="preserve">s of the Civil Court First Hall, the Civil Court (Family Section) and the Court of Magistrates (Gozo) in its superior jurisdiction are heard by the </w:t>
      </w:r>
      <w:r w:rsidRPr="007B0F82">
        <w:rPr>
          <w:b/>
        </w:rPr>
        <w:t xml:space="preserve">Court of Appeal </w:t>
      </w:r>
      <w:r w:rsidRPr="007B0F82">
        <w:t>composed of three judges</w:t>
      </w:r>
      <w:r w:rsidRPr="007B0F82">
        <w:rPr>
          <w:rStyle w:val="FootnoteReference"/>
        </w:rPr>
        <w:footnoteReference w:id="23"/>
      </w:r>
      <w:r w:rsidRPr="007B0F82">
        <w:t>. There is no appeal from decrees of the court of voluntary jurisdiction, but it is lawful for any party who deems him/herself to be aggrieved to bring an action before the Civil Court, First Hall, for the necessary order</w:t>
      </w:r>
      <w:r w:rsidRPr="007B0F82">
        <w:rPr>
          <w:vertAlign w:val="superscript"/>
        </w:rPr>
        <w:footnoteReference w:id="24"/>
      </w:r>
      <w:r w:rsidRPr="007B0F82">
        <w:t xml:space="preserve">. Appeals from </w:t>
      </w:r>
      <w:r>
        <w:t>judgement</w:t>
      </w:r>
      <w:r w:rsidRPr="007B0F82">
        <w:t>s of the courts of inferior jurisdiction are heard by the Court of Appeal composed of one judge</w:t>
      </w:r>
      <w:r w:rsidRPr="007B0F82">
        <w:rPr>
          <w:rStyle w:val="FootnoteReference"/>
        </w:rPr>
        <w:footnoteReference w:id="25"/>
      </w:r>
      <w:r w:rsidRPr="007B0F82">
        <w:t xml:space="preserve">. </w:t>
      </w:r>
    </w:p>
    <w:p w:rsidR="008804DD" w:rsidRPr="00811568" w:rsidRDefault="008804DD" w:rsidP="00811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pPr>
      <w:r w:rsidRPr="007B0F82">
        <w:rPr>
          <w:rFonts w:cs="Times"/>
        </w:rPr>
        <w:t>The courts of</w:t>
      </w:r>
      <w:r w:rsidRPr="007B0F82">
        <w:rPr>
          <w:rFonts w:cs="Helvetica"/>
        </w:rPr>
        <w:t xml:space="preserve"> </w:t>
      </w:r>
      <w:r w:rsidRPr="007B0F82">
        <w:rPr>
          <w:rFonts w:cs="Times"/>
        </w:rPr>
        <w:t>justice of civil jurisdiction may also enquire into the validity of any</w:t>
      </w:r>
      <w:r w:rsidRPr="007B0F82">
        <w:rPr>
          <w:rFonts w:cs="Helvetica"/>
        </w:rPr>
        <w:t xml:space="preserve"> </w:t>
      </w:r>
      <w:r w:rsidRPr="007B0F82">
        <w:rPr>
          <w:rFonts w:cs="Times"/>
        </w:rPr>
        <w:t>administrative act or declare such act null, invalid or without effect</w:t>
      </w:r>
      <w:r w:rsidRPr="007B0F82">
        <w:rPr>
          <w:rStyle w:val="FootnoteReference"/>
        </w:rPr>
        <w:footnoteReference w:id="26"/>
      </w:r>
      <w:r w:rsidRPr="007B0F82">
        <w:rPr>
          <w:rFonts w:cs="Helvetica"/>
        </w:rPr>
        <w:t xml:space="preserve">. </w:t>
      </w:r>
      <w:r w:rsidRPr="007B0F82">
        <w:t xml:space="preserve">The administrative law remedies are judicial review, review by independent administrative tribunals, internal review by the </w:t>
      </w:r>
      <w:r w:rsidRPr="007B0F82">
        <w:lastRenderedPageBreak/>
        <w:t>administrative authorities and review of the Ombudsman type.</w:t>
      </w:r>
    </w:p>
    <w:p w:rsidR="008804DD" w:rsidRPr="008804DD" w:rsidRDefault="008804DD" w:rsidP="008558C6">
      <w:pPr>
        <w:pStyle w:val="Heading3NoNumb"/>
        <w:ind w:firstLine="851"/>
      </w:pPr>
      <w:bookmarkStart w:id="36" w:name="_Toc407962109"/>
      <w:r w:rsidRPr="008804DD">
        <w:t>Specialist institutions protecting children’s rights</w:t>
      </w:r>
      <w:bookmarkEnd w:id="36"/>
    </w:p>
    <w:p w:rsidR="008804DD" w:rsidRPr="008804DD" w:rsidRDefault="008804DD" w:rsidP="008558C6">
      <w:pPr>
        <w:pStyle w:val="Heading3NoNumb"/>
        <w:ind w:firstLine="851"/>
      </w:pPr>
      <w:bookmarkStart w:id="37" w:name="_Toc407962110"/>
      <w:r w:rsidRPr="008804DD">
        <w:t>The Office of the Commissioner for Children</w:t>
      </w:r>
      <w:bookmarkEnd w:id="37"/>
    </w:p>
    <w:p w:rsidR="008804DD" w:rsidRPr="007B0F82" w:rsidRDefault="008804DD" w:rsidP="008804DD">
      <w:pPr>
        <w:widowControl w:val="0"/>
        <w:autoSpaceDE w:val="0"/>
        <w:autoSpaceDN w:val="0"/>
        <w:adjustRightInd w:val="0"/>
        <w:spacing w:before="0" w:after="220" w:line="240" w:lineRule="auto"/>
        <w:ind w:left="851"/>
        <w:jc w:val="both"/>
        <w:rPr>
          <w:rFonts w:cs="Verdana"/>
          <w:lang w:eastAsia="en-GB"/>
        </w:rPr>
      </w:pPr>
      <w:r w:rsidRPr="007B0F82">
        <w:rPr>
          <w:rFonts w:cs="Verdana"/>
          <w:lang w:eastAsia="en-GB"/>
        </w:rPr>
        <w:t xml:space="preserve">The </w:t>
      </w:r>
      <w:hyperlink r:id="rId30" w:history="1">
        <w:r w:rsidRPr="007B0F82">
          <w:rPr>
            <w:rStyle w:val="Hyperlink"/>
            <w:rFonts w:cs="Verdana"/>
            <w:lang w:eastAsia="en-GB"/>
          </w:rPr>
          <w:t>Commissioner for Children Act</w:t>
        </w:r>
      </w:hyperlink>
      <w:r w:rsidRPr="007B0F82">
        <w:rPr>
          <w:rStyle w:val="FootnoteReference"/>
          <w:lang w:eastAsia="en-GB"/>
        </w:rPr>
        <w:footnoteReference w:id="27"/>
      </w:r>
      <w:r w:rsidRPr="007B0F82">
        <w:rPr>
          <w:rFonts w:cs="Verdana"/>
          <w:lang w:eastAsia="en-GB"/>
        </w:rPr>
        <w:t xml:space="preserve"> set up the Office of the Commissioner for Children to promote the welfare of children and compliance with the UN Convention on the Rights of the Child</w:t>
      </w:r>
      <w:r w:rsidRPr="007B0F82">
        <w:rPr>
          <w:rStyle w:val="FootnoteReference"/>
          <w:lang w:eastAsia="en-GB"/>
        </w:rPr>
        <w:footnoteReference w:id="28"/>
      </w:r>
      <w:r w:rsidRPr="007B0F82">
        <w:rPr>
          <w:rFonts w:cs="Verdana"/>
          <w:lang w:eastAsia="en-GB"/>
        </w:rPr>
        <w:t xml:space="preserve">, and other international treaties, conventions or agreements relating to children. </w:t>
      </w:r>
    </w:p>
    <w:p w:rsidR="008804DD" w:rsidRPr="007B0F82" w:rsidRDefault="008804DD" w:rsidP="008804DD">
      <w:pPr>
        <w:widowControl w:val="0"/>
        <w:autoSpaceDE w:val="0"/>
        <w:autoSpaceDN w:val="0"/>
        <w:adjustRightInd w:val="0"/>
        <w:spacing w:before="0" w:after="220" w:line="240" w:lineRule="auto"/>
        <w:ind w:left="851"/>
        <w:jc w:val="both"/>
        <w:rPr>
          <w:rFonts w:cs="Verdana"/>
          <w:lang w:eastAsia="en-GB"/>
        </w:rPr>
      </w:pPr>
      <w:r w:rsidRPr="007B0F82">
        <w:rPr>
          <w:rFonts w:cs="Verdana"/>
          <w:lang w:eastAsia="en-GB"/>
        </w:rPr>
        <w:t>The establishment of this Office was a significant step in recognising the rights of the child at national level. It focuses on the protection of children, the promotion of children’s rights and the provision of necessary services for children. The Office acts as a focal point monitoring the current social and cultural situation relating to children in Malta, so that it can contribute substantially in the co-ordination that needs to take place across all sectors in order to have family-friendly policies that are also child oriented</w:t>
      </w:r>
      <w:r w:rsidRPr="007B0F82">
        <w:rPr>
          <w:rStyle w:val="FootnoteReference"/>
          <w:lang w:eastAsia="en-GB"/>
        </w:rPr>
        <w:footnoteReference w:id="29"/>
      </w:r>
      <w:r w:rsidRPr="007B0F82">
        <w:rPr>
          <w:rFonts w:cs="Verdana"/>
          <w:lang w:eastAsia="en-GB"/>
        </w:rPr>
        <w:t xml:space="preserve">. </w:t>
      </w:r>
    </w:p>
    <w:p w:rsidR="008804DD" w:rsidRPr="007B0F82" w:rsidRDefault="008804DD" w:rsidP="008804DD">
      <w:pPr>
        <w:pStyle w:val="BodyText"/>
        <w:jc w:val="both"/>
        <w:rPr>
          <w:szCs w:val="20"/>
        </w:rPr>
      </w:pPr>
      <w:r w:rsidRPr="007B0F82">
        <w:rPr>
          <w:szCs w:val="20"/>
        </w:rPr>
        <w:t>The Commissioner for Children must seek to ensure that the rights and interests of children are properly taken into account by government departments, local authorities, other public bodies and voluntary and public organisations when decisions on policies affecting children are taken</w:t>
      </w:r>
      <w:r w:rsidRPr="007B0F82">
        <w:rPr>
          <w:rStyle w:val="FootnoteReference"/>
          <w:szCs w:val="20"/>
        </w:rPr>
        <w:footnoteReference w:id="30"/>
      </w:r>
      <w:r w:rsidRPr="007B0F82">
        <w:rPr>
          <w:szCs w:val="20"/>
        </w:rPr>
        <w:t>.  The Commissioner has a number of functions aimed at promoting and safeguarding the best interests of children. In particular, the Commissioner must collect information and investigate any alleged breaches of the rights of children, including the death of any child, if the Commissioner considers an investigation to be necessary; ensure that legislation relating to the protection of children’s interests is observed; advise the government and propose to the government measures that may be required in order to provide for the rights and interests of children</w:t>
      </w:r>
      <w:r w:rsidRPr="007B0F82">
        <w:rPr>
          <w:rStyle w:val="FootnoteReference"/>
          <w:szCs w:val="20"/>
        </w:rPr>
        <w:footnoteReference w:id="31"/>
      </w:r>
      <w:r w:rsidRPr="007B0F82">
        <w:rPr>
          <w:szCs w:val="20"/>
        </w:rPr>
        <w:t>.</w:t>
      </w:r>
    </w:p>
    <w:p w:rsidR="008804DD" w:rsidRPr="00811568" w:rsidRDefault="008804DD" w:rsidP="00811568">
      <w:pPr>
        <w:autoSpaceDE w:val="0"/>
        <w:autoSpaceDN w:val="0"/>
        <w:adjustRightInd w:val="0"/>
        <w:spacing w:before="0" w:after="0" w:line="240" w:lineRule="auto"/>
        <w:ind w:left="851"/>
        <w:jc w:val="both"/>
        <w:rPr>
          <w:rFonts w:cs="ArnoMalti"/>
          <w:lang w:eastAsia="en-GB"/>
        </w:rPr>
      </w:pPr>
      <w:r w:rsidRPr="007B0F82">
        <w:rPr>
          <w:rFonts w:cs="ArnoMalti"/>
          <w:lang w:eastAsia="en-GB"/>
        </w:rPr>
        <w:t>Although it is acknowledged that the role of the Commissioner for Children is central to the protection of children’s rights, the Commissioner does not have the powers to initiate and/or support legal action, and to intervene in court cases on behalf of children</w:t>
      </w:r>
      <w:r w:rsidRPr="007B0F82">
        <w:rPr>
          <w:rStyle w:val="FootnoteReference"/>
          <w:lang w:eastAsia="en-GB"/>
        </w:rPr>
        <w:footnoteReference w:id="32"/>
      </w:r>
      <w:r w:rsidRPr="007B0F82">
        <w:rPr>
          <w:rFonts w:cs="ArnoMalti"/>
          <w:lang w:eastAsia="en-GB"/>
        </w:rPr>
        <w:t>.</w:t>
      </w:r>
    </w:p>
    <w:p w:rsidR="008804DD" w:rsidRPr="008804DD" w:rsidRDefault="008804DD" w:rsidP="008558C6">
      <w:pPr>
        <w:pStyle w:val="Heading3NoNumb"/>
        <w:ind w:firstLine="851"/>
      </w:pPr>
      <w:bookmarkStart w:id="38" w:name="_Toc407962111"/>
      <w:r w:rsidRPr="008804DD">
        <w:t>Aġenzija Appoġġ (welfare agency for children)</w:t>
      </w:r>
      <w:bookmarkEnd w:id="38"/>
    </w:p>
    <w:p w:rsidR="008804DD" w:rsidRPr="007B0F82" w:rsidRDefault="008804DD" w:rsidP="008804DD">
      <w:pPr>
        <w:widowControl w:val="0"/>
        <w:autoSpaceDE w:val="0"/>
        <w:autoSpaceDN w:val="0"/>
        <w:adjustRightInd w:val="0"/>
        <w:spacing w:before="0" w:after="200" w:line="240" w:lineRule="auto"/>
        <w:ind w:left="851"/>
        <w:jc w:val="both"/>
        <w:rPr>
          <w:rFonts w:cs="Verdana"/>
          <w:color w:val="272727"/>
          <w:lang w:eastAsia="en-GB"/>
        </w:rPr>
      </w:pPr>
      <w:r w:rsidRPr="007B0F82">
        <w:rPr>
          <w:rFonts w:cs="Verdana"/>
          <w:i/>
          <w:color w:val="272727"/>
          <w:lang w:eastAsia="en-GB"/>
        </w:rPr>
        <w:t>Aġenzija Appoġġ</w:t>
      </w:r>
      <w:r w:rsidRPr="007B0F82">
        <w:rPr>
          <w:rFonts w:cs="Verdana"/>
          <w:color w:val="272727"/>
          <w:lang w:eastAsia="en-GB"/>
        </w:rPr>
        <w:t xml:space="preserve"> is the national agency for children and families in need. It offers community-based and specialised social welfare services with the ultimate aim of providing professional care and support to those in need</w:t>
      </w:r>
      <w:r w:rsidRPr="007B0F82">
        <w:rPr>
          <w:rStyle w:val="FootnoteReference"/>
          <w:color w:val="272727"/>
          <w:lang w:eastAsia="en-GB"/>
        </w:rPr>
        <w:footnoteReference w:id="33"/>
      </w:r>
      <w:r w:rsidRPr="007B0F82">
        <w:rPr>
          <w:rFonts w:cs="Verdana"/>
          <w:color w:val="272727"/>
          <w:lang w:eastAsia="en-GB"/>
        </w:rPr>
        <w:t xml:space="preserve">. Its </w:t>
      </w:r>
      <w:r w:rsidRPr="007B0F82">
        <w:rPr>
          <w:rFonts w:cs="Verdana"/>
          <w:bCs/>
          <w:color w:val="272727"/>
          <w:lang w:eastAsia="en-GB"/>
        </w:rPr>
        <w:t>Children, Young Persons and Support Services</w:t>
      </w:r>
      <w:r w:rsidRPr="007B0F82">
        <w:rPr>
          <w:rFonts w:cs="Verdana"/>
          <w:color w:val="272727"/>
          <w:lang w:eastAsia="en-GB"/>
        </w:rPr>
        <w:t xml:space="preserve"> aim at working with children and their families, in order to promote their well-being, protect their rights and enhance their potential. With the involvement and participation of children themselves, workers in this field develop care plans, take action to promote and protect children's rights and ensure that the well-being of children is given the highest priority</w:t>
      </w:r>
      <w:r w:rsidRPr="007B0F82">
        <w:rPr>
          <w:rStyle w:val="FootnoteReference"/>
          <w:color w:val="272727"/>
          <w:lang w:eastAsia="en-GB"/>
        </w:rPr>
        <w:footnoteReference w:id="34"/>
      </w:r>
      <w:r w:rsidRPr="007B0F82">
        <w:rPr>
          <w:rFonts w:cs="Verdana"/>
          <w:color w:val="272727"/>
          <w:lang w:eastAsia="en-GB"/>
        </w:rPr>
        <w:t>.</w:t>
      </w:r>
    </w:p>
    <w:p w:rsidR="008804DD" w:rsidRPr="007B0F82" w:rsidRDefault="008804DD" w:rsidP="008804DD">
      <w:pPr>
        <w:pStyle w:val="BodyText"/>
        <w:widowControl w:val="0"/>
        <w:spacing w:before="0" w:after="0"/>
        <w:jc w:val="both"/>
        <w:rPr>
          <w:szCs w:val="20"/>
        </w:rPr>
      </w:pPr>
      <w:r w:rsidRPr="007B0F82">
        <w:rPr>
          <w:szCs w:val="20"/>
        </w:rPr>
        <w:t xml:space="preserve">In the context of civil judicial proceedings, </w:t>
      </w:r>
      <w:r w:rsidRPr="007B0F82">
        <w:rPr>
          <w:i/>
          <w:szCs w:val="20"/>
        </w:rPr>
        <w:t>Aġenzija Appoġġ</w:t>
      </w:r>
      <w:r w:rsidRPr="007B0F82">
        <w:rPr>
          <w:szCs w:val="20"/>
        </w:rPr>
        <w:t xml:space="preserve"> offers support through its </w:t>
      </w:r>
      <w:r w:rsidRPr="007B0F82">
        <w:rPr>
          <w:b/>
          <w:szCs w:val="20"/>
        </w:rPr>
        <w:t>Court Services</w:t>
      </w:r>
      <w:r w:rsidRPr="007B0F82">
        <w:rPr>
          <w:szCs w:val="20"/>
        </w:rPr>
        <w:t xml:space="preserve"> in Civil Court (Family Section) cases related to care and custody of children in cases of separation. Its aim is to assist the judges in an impartial and objective way. Social workers carry out an assessment, and compile a report together with a set of recommendations which is then presented in court. Through the Court Monitoring Service, a court appointed social work professional, continues to follow the family through home visits, office visits, school visits and access visits. Court Services may also be appointed by the court to investigate allegations of child abuse. As part of the investigation, court experts (at times also with the involvement </w:t>
      </w:r>
      <w:r w:rsidRPr="007B0F82">
        <w:rPr>
          <w:szCs w:val="20"/>
        </w:rPr>
        <w:lastRenderedPageBreak/>
        <w:t xml:space="preserve">of the Child Protection Services) interview the parents and children as well as other professionals who are, or have been, in contact with the family. The court expert will draw up recommendations, taking into consideration the feedback from all the parties involved. The court expert acts independently from other professionals and the final recommendation reflects his professional </w:t>
      </w:r>
      <w:r>
        <w:rPr>
          <w:szCs w:val="20"/>
        </w:rPr>
        <w:t>judgement</w:t>
      </w:r>
      <w:r w:rsidRPr="007B0F82">
        <w:rPr>
          <w:szCs w:val="20"/>
        </w:rPr>
        <w:t xml:space="preserve"> as an expert of the court</w:t>
      </w:r>
      <w:r w:rsidRPr="007B0F82">
        <w:rPr>
          <w:rStyle w:val="FootnoteReference"/>
          <w:szCs w:val="20"/>
        </w:rPr>
        <w:footnoteReference w:id="35"/>
      </w:r>
      <w:r w:rsidRPr="007B0F82">
        <w:rPr>
          <w:szCs w:val="20"/>
        </w:rPr>
        <w:t xml:space="preserve">. </w:t>
      </w:r>
    </w:p>
    <w:p w:rsidR="008804DD" w:rsidRPr="007B0F82" w:rsidRDefault="008804DD" w:rsidP="00811568">
      <w:pPr>
        <w:pStyle w:val="BodyText"/>
        <w:widowControl w:val="0"/>
        <w:spacing w:before="0" w:after="0"/>
        <w:jc w:val="both"/>
        <w:rPr>
          <w:szCs w:val="20"/>
        </w:rPr>
      </w:pPr>
      <w:r w:rsidRPr="007B0F82">
        <w:rPr>
          <w:szCs w:val="20"/>
        </w:rPr>
        <w:br/>
        <w:t>The service seeks to ensure that the children's views are made known to the court through representations made by the court expert; that the children's interests are given paramount importance above all other interests; and that children's rights are safeguarded and promoted during court proceedings</w:t>
      </w:r>
      <w:r w:rsidRPr="007B0F82">
        <w:rPr>
          <w:rStyle w:val="FootnoteReference"/>
          <w:szCs w:val="20"/>
        </w:rPr>
        <w:footnoteReference w:id="36"/>
      </w:r>
      <w:r w:rsidRPr="007B0F82">
        <w:rPr>
          <w:szCs w:val="20"/>
        </w:rPr>
        <w:t xml:space="preserve">. </w:t>
      </w:r>
    </w:p>
    <w:p w:rsidR="008804DD" w:rsidRPr="008804DD" w:rsidRDefault="008804DD" w:rsidP="008558C6">
      <w:pPr>
        <w:pStyle w:val="Heading3NoNumb"/>
        <w:ind w:firstLine="851"/>
      </w:pPr>
      <w:bookmarkStart w:id="39" w:name="_Toc407962112"/>
      <w:r w:rsidRPr="008804DD">
        <w:t>Coordination and training</w:t>
      </w:r>
      <w:bookmarkEnd w:id="39"/>
    </w:p>
    <w:p w:rsidR="008804DD" w:rsidRPr="006E2143" w:rsidRDefault="008804DD" w:rsidP="008804DD">
      <w:pPr>
        <w:autoSpaceDE w:val="0"/>
        <w:autoSpaceDN w:val="0"/>
        <w:adjustRightInd w:val="0"/>
        <w:spacing w:before="0" w:after="0" w:line="240" w:lineRule="auto"/>
        <w:ind w:left="851"/>
        <w:jc w:val="both"/>
        <w:rPr>
          <w:rFonts w:cs="ArnoMalti-Italic"/>
          <w:iCs/>
          <w:color w:val="0000FF"/>
          <w:u w:val="single"/>
          <w:lang w:eastAsia="en-GB"/>
        </w:rPr>
      </w:pPr>
      <w:r w:rsidRPr="007B0F82">
        <w:t xml:space="preserve">There do not seem to be specific legal measures in place to ensure that the relevant organisations co-ordinate their activities. It would seem that in practice the different professionals cooperate in order to obtain a comprehensive understanding of the child, and assess his/her legal, psychological, social, emotional, physical and cognitive situation with full respect for the child's right to private and family life. </w:t>
      </w:r>
      <w:r w:rsidRPr="007B0F82">
        <w:rPr>
          <w:rFonts w:cs="ArnoMalti"/>
          <w:lang w:eastAsia="en-GB"/>
        </w:rPr>
        <w:t xml:space="preserve">The </w:t>
      </w:r>
      <w:hyperlink r:id="rId31" w:history="1">
        <w:r>
          <w:rPr>
            <w:rStyle w:val="Hyperlink"/>
            <w:rFonts w:cs="ArnoMalti-Italic"/>
            <w:iCs/>
            <w:lang w:eastAsia="en-GB"/>
          </w:rPr>
          <w:t>D</w:t>
        </w:r>
        <w:r w:rsidRPr="00435CDB">
          <w:rPr>
            <w:rStyle w:val="Hyperlink"/>
            <w:rFonts w:cs="ArnoMalti-Italic"/>
            <w:iCs/>
            <w:lang w:eastAsia="en-GB"/>
          </w:rPr>
          <w:t xml:space="preserve">raft </w:t>
        </w:r>
        <w:r w:rsidRPr="00435CDB">
          <w:rPr>
            <w:rStyle w:val="Hyperlink"/>
            <w:rFonts w:cs="ArnoMalti"/>
            <w:lang w:eastAsia="en-GB"/>
          </w:rPr>
          <w:t>National Children’s Policy</w:t>
        </w:r>
      </w:hyperlink>
      <w:r w:rsidRPr="007B0F82">
        <w:rPr>
          <w:rFonts w:cs="ArnoMalti"/>
          <w:lang w:eastAsia="en-GB"/>
        </w:rPr>
        <w:t xml:space="preserve"> encourages professionals working with children to operate in multidisciplinary teams, with the objective of understanding the respective role and responsibilities of each, and organising services around the needs of the child. Such a holistic approach would avoid the fragmentation of services, and create more continuity and stability for the child in need of protection. It is recognised that vulnerable children may interact with a number of professionals from different spheres and should not receive conflicting messages from the persons who are intended to offer guidance and support. Hence, effective dialogue and information sharing should be central</w:t>
      </w:r>
      <w:r w:rsidRPr="007B0F82">
        <w:rPr>
          <w:rStyle w:val="FootnoteReference"/>
          <w:lang w:eastAsia="en-GB"/>
        </w:rPr>
        <w:footnoteReference w:id="37"/>
      </w:r>
      <w:r w:rsidRPr="007B0F82">
        <w:rPr>
          <w:rFonts w:cs="ArnoMalti"/>
          <w:lang w:eastAsia="en-GB"/>
        </w:rPr>
        <w:t>.</w:t>
      </w:r>
    </w:p>
    <w:p w:rsidR="008804DD" w:rsidRPr="007B0F82" w:rsidRDefault="008804DD" w:rsidP="008804DD">
      <w:pPr>
        <w:pStyle w:val="BodyText"/>
        <w:widowControl w:val="0"/>
        <w:spacing w:before="0" w:after="0" w:line="240" w:lineRule="auto"/>
        <w:jc w:val="both"/>
        <w:rPr>
          <w:rFonts w:cs="Arial"/>
          <w:szCs w:val="20"/>
        </w:rPr>
      </w:pPr>
    </w:p>
    <w:p w:rsidR="008804DD" w:rsidRPr="007B0F82" w:rsidRDefault="008804DD" w:rsidP="008804DD">
      <w:pPr>
        <w:pStyle w:val="BodyText"/>
        <w:widowControl w:val="0"/>
        <w:spacing w:before="0" w:after="0" w:line="240" w:lineRule="auto"/>
        <w:jc w:val="both"/>
        <w:rPr>
          <w:rFonts w:cs="Arial"/>
          <w:szCs w:val="20"/>
        </w:rPr>
      </w:pPr>
      <w:r w:rsidRPr="007B0F82">
        <w:rPr>
          <w:rFonts w:cs="Arial"/>
          <w:szCs w:val="20"/>
        </w:rPr>
        <w:t>The relevant actors who are in contact with the child during the proceedings such as judges, lawyers and social workers will have fulfilled the relevant training requirements for admission to their profession e.g. judges and lawyers would have studied civil law, including family law</w:t>
      </w:r>
      <w:r>
        <w:rPr>
          <w:rFonts w:cs="Arial"/>
          <w:szCs w:val="20"/>
        </w:rPr>
        <w:t xml:space="preserve"> and children’s rights</w:t>
      </w:r>
      <w:r w:rsidRPr="007B0F82">
        <w:rPr>
          <w:rFonts w:cs="Arial"/>
          <w:szCs w:val="20"/>
        </w:rPr>
        <w:t>, and civil procedural law as part of their basic training; mediators in the Civil Court (Family Section) must have completed a course on mediation and are trained through placements with other mediators</w:t>
      </w:r>
      <w:r w:rsidRPr="007B0F82">
        <w:rPr>
          <w:rStyle w:val="FootnoteReference"/>
          <w:szCs w:val="20"/>
        </w:rPr>
        <w:footnoteReference w:id="38"/>
      </w:r>
      <w:r w:rsidRPr="007B0F82">
        <w:rPr>
          <w:rFonts w:cs="Arial"/>
          <w:szCs w:val="20"/>
        </w:rPr>
        <w:t>;  children’s advocates must be qualified lawyers</w:t>
      </w:r>
      <w:r w:rsidRPr="007B0F82">
        <w:rPr>
          <w:rStyle w:val="FootnoteReference"/>
          <w:szCs w:val="20"/>
        </w:rPr>
        <w:footnoteReference w:id="39"/>
      </w:r>
      <w:r w:rsidRPr="007B0F82">
        <w:rPr>
          <w:rFonts w:cs="Arial"/>
          <w:szCs w:val="20"/>
        </w:rPr>
        <w:t xml:space="preserve">. Persons dealing with children involved in civil judicial proceedings would reasonably further develop relevant expertise on the job, however, no requirements for their continuing training have been identified. </w:t>
      </w:r>
    </w:p>
    <w:p w:rsidR="008804DD" w:rsidRPr="007B0F82" w:rsidRDefault="008804DD" w:rsidP="008804DD">
      <w:pPr>
        <w:autoSpaceDE w:val="0"/>
        <w:autoSpaceDN w:val="0"/>
        <w:adjustRightInd w:val="0"/>
        <w:spacing w:before="0" w:after="0" w:line="240" w:lineRule="auto"/>
        <w:ind w:left="851"/>
        <w:jc w:val="both"/>
        <w:rPr>
          <w:rFonts w:cs="ArnoMalti"/>
          <w:lang w:eastAsia="en-GB"/>
        </w:rPr>
      </w:pPr>
    </w:p>
    <w:p w:rsidR="008804DD" w:rsidRPr="007B0F82" w:rsidRDefault="008804DD" w:rsidP="008804DD">
      <w:pPr>
        <w:autoSpaceDE w:val="0"/>
        <w:autoSpaceDN w:val="0"/>
        <w:adjustRightInd w:val="0"/>
        <w:spacing w:before="0" w:after="0" w:line="240" w:lineRule="auto"/>
        <w:ind w:left="851"/>
        <w:jc w:val="both"/>
        <w:rPr>
          <w:rFonts w:cs="ArnoMalti"/>
          <w:lang w:eastAsia="en-GB"/>
        </w:rPr>
      </w:pPr>
      <w:r w:rsidRPr="007B0F82">
        <w:rPr>
          <w:rFonts w:cs="ArnoMalti"/>
          <w:lang w:eastAsia="en-GB"/>
        </w:rPr>
        <w:t>The draft National Children’s Policy considers multi-agency training to be central to the protection of children. It recommends that practitioners working with children receive specialised training in child protection, to complement the training already received in their field of work. Moreover, it is recommended that at university, social work students are asked to specialise in the first year of their studies. Professionals are to ensure that they are adequately trained in the legal framework related to children, and that they understand the importance of adopting a child-focused approach which involves children directly</w:t>
      </w:r>
      <w:r w:rsidRPr="007B0F82">
        <w:rPr>
          <w:rStyle w:val="FootnoteReference"/>
          <w:lang w:eastAsia="en-GB"/>
        </w:rPr>
        <w:footnoteReference w:id="40"/>
      </w:r>
      <w:r w:rsidRPr="007B0F82">
        <w:rPr>
          <w:rFonts w:cs="ArnoMalti"/>
          <w:lang w:eastAsia="en-GB"/>
        </w:rPr>
        <w:t>.</w:t>
      </w:r>
    </w:p>
    <w:p w:rsidR="008804DD" w:rsidRPr="007B0F82" w:rsidRDefault="008804DD" w:rsidP="008804DD">
      <w:pPr>
        <w:pStyle w:val="BodyText"/>
        <w:widowControl w:val="0"/>
        <w:spacing w:before="0" w:after="0" w:line="240" w:lineRule="auto"/>
        <w:jc w:val="both"/>
        <w:rPr>
          <w:rFonts w:cs="Arial"/>
          <w:szCs w:val="20"/>
        </w:rPr>
      </w:pPr>
    </w:p>
    <w:p w:rsidR="008804DD" w:rsidRPr="007B0F82" w:rsidRDefault="008804DD" w:rsidP="008804DD">
      <w:pPr>
        <w:pStyle w:val="BodyText"/>
        <w:widowControl w:val="0"/>
        <w:spacing w:before="0" w:after="0" w:line="240" w:lineRule="auto"/>
        <w:jc w:val="both"/>
        <w:rPr>
          <w:rFonts w:cs="Arial"/>
          <w:szCs w:val="20"/>
        </w:rPr>
      </w:pPr>
      <w:r w:rsidRPr="007B0F82">
        <w:rPr>
          <w:rFonts w:cs="Arial"/>
          <w:szCs w:val="20"/>
        </w:rPr>
        <w:t>No specific measures were identified to ensure that professionals working with and for children are subjected to regular vetting to ensure their suitability to work with children.</w:t>
      </w:r>
    </w:p>
    <w:p w:rsidR="008804DD" w:rsidRPr="007B0F82" w:rsidRDefault="008804DD" w:rsidP="008804DD">
      <w:pPr>
        <w:pStyle w:val="BodyText"/>
        <w:widowControl w:val="0"/>
        <w:spacing w:before="0" w:after="0" w:line="240" w:lineRule="auto"/>
        <w:jc w:val="both"/>
        <w:rPr>
          <w:szCs w:val="20"/>
        </w:rPr>
      </w:pPr>
    </w:p>
    <w:p w:rsidR="008804DD" w:rsidRPr="008804DD" w:rsidRDefault="008804DD" w:rsidP="008558C6">
      <w:pPr>
        <w:pStyle w:val="Heading3NoNumb"/>
        <w:ind w:firstLine="851"/>
      </w:pPr>
      <w:bookmarkStart w:id="40" w:name="_Toc407962113"/>
      <w:r w:rsidRPr="008804DD">
        <w:lastRenderedPageBreak/>
        <w:t>Relationship between civil, criminal and administrative proceedings</w:t>
      </w:r>
      <w:bookmarkEnd w:id="40"/>
      <w:r w:rsidRPr="008804DD">
        <w:t xml:space="preserve"> </w:t>
      </w:r>
    </w:p>
    <w:p w:rsidR="008804DD" w:rsidRPr="007B0F82" w:rsidRDefault="008804DD" w:rsidP="008804DD">
      <w:pPr>
        <w:keepNext/>
        <w:ind w:left="851"/>
        <w:jc w:val="both"/>
      </w:pPr>
      <w:r w:rsidRPr="007B0F82">
        <w:rPr>
          <w:lang w:eastAsia="en-GB"/>
        </w:rPr>
        <w:t xml:space="preserve">The relationship between civil and criminal proceedings is dealt with </w:t>
      </w:r>
      <w:r>
        <w:rPr>
          <w:lang w:eastAsia="en-GB"/>
        </w:rPr>
        <w:t>briefly</w:t>
      </w:r>
      <w:r w:rsidRPr="007B0F82">
        <w:rPr>
          <w:lang w:eastAsia="en-GB"/>
        </w:rPr>
        <w:t xml:space="preserve"> in the </w:t>
      </w:r>
      <w:hyperlink r:id="rId32" w:history="1">
        <w:r w:rsidRPr="007B0F82">
          <w:rPr>
            <w:rStyle w:val="Hyperlink"/>
            <w:rFonts w:cs="Arial"/>
            <w:lang w:eastAsia="en-GB"/>
          </w:rPr>
          <w:t>Criminal Code</w:t>
        </w:r>
      </w:hyperlink>
      <w:r w:rsidRPr="007B0F82">
        <w:rPr>
          <w:rStyle w:val="FootnoteReference"/>
          <w:lang w:eastAsia="en-GB"/>
        </w:rPr>
        <w:footnoteReference w:id="41"/>
      </w:r>
      <w:r w:rsidRPr="007B0F82">
        <w:rPr>
          <w:lang w:eastAsia="en-GB"/>
        </w:rPr>
        <w:t xml:space="preserve">. </w:t>
      </w:r>
      <w:r w:rsidRPr="007B0F82">
        <w:t>A criminal offence can give rise to a criminal action and a civil action. The criminal action is prosecuted before the courts of criminal jurisdiction, and the punishment of the offender is demanded. The civil action is prosecuted before the courts of civil jurisdiction, and compensation for the damage caused by the offence is demanded</w:t>
      </w:r>
      <w:r w:rsidRPr="007B0F82">
        <w:rPr>
          <w:rStyle w:val="FootnoteReference"/>
          <w:rFonts w:cs="Arial"/>
        </w:rPr>
        <w:footnoteReference w:id="42"/>
      </w:r>
      <w:r w:rsidRPr="007B0F82">
        <w:t>. The criminal proceedings do not affect the right of civil action. Typically the civil action will be decided after the criminal one. Any sentence to a punishment in criminal proceedings is without prejudice to the civil proceedings. A pardon commuting or remitting a punishment does not bar civil action</w:t>
      </w:r>
      <w:r w:rsidRPr="007B0F82">
        <w:rPr>
          <w:rStyle w:val="FootnoteReference"/>
        </w:rPr>
        <w:footnoteReference w:id="43"/>
      </w:r>
      <w:r w:rsidRPr="007B0F82">
        <w:t>.</w:t>
      </w:r>
    </w:p>
    <w:p w:rsidR="008804DD" w:rsidRPr="00811568" w:rsidRDefault="008804DD" w:rsidP="00811568">
      <w:pPr>
        <w:autoSpaceDE w:val="0"/>
        <w:autoSpaceDN w:val="0"/>
        <w:adjustRightInd w:val="0"/>
        <w:spacing w:before="0" w:after="0" w:line="240" w:lineRule="auto"/>
        <w:ind w:left="851"/>
        <w:jc w:val="both"/>
        <w:rPr>
          <w:lang w:eastAsia="en-GB"/>
        </w:rPr>
      </w:pPr>
      <w:r w:rsidRPr="007B0F82">
        <w:rPr>
          <w:lang w:eastAsia="en-GB"/>
        </w:rPr>
        <w:t>No information was found on the relationship between criminal or civil judicial proceedings and administrative judicial proceedings. Administrative judicial proceedings are of limited relevance in Malta and would typically fall within the scope of civil proceedings.</w:t>
      </w:r>
    </w:p>
    <w:p w:rsidR="004E3628" w:rsidRPr="004E3628" w:rsidRDefault="008804DD" w:rsidP="00811568">
      <w:pPr>
        <w:pStyle w:val="Heading2"/>
      </w:pPr>
      <w:bookmarkStart w:id="41" w:name="_Toc407962114"/>
      <w:r w:rsidRPr="004E3628">
        <w:rPr>
          <w:rFonts w:eastAsia="Calibri"/>
        </w:rPr>
        <w:t>General approach towards children under civil law: definition of child, principle of evolving capacities, best interests of the child, principle of non-discrimination</w:t>
      </w:r>
      <w:bookmarkEnd w:id="41"/>
    </w:p>
    <w:p w:rsidR="008804DD" w:rsidRPr="004E3628" w:rsidRDefault="008804DD" w:rsidP="008558C6">
      <w:pPr>
        <w:pStyle w:val="Heading3NoNumb"/>
        <w:ind w:firstLine="851"/>
      </w:pPr>
      <w:bookmarkStart w:id="42" w:name="_Toc407962115"/>
      <w:r w:rsidRPr="004E3628">
        <w:t>The definition of ‘child’</w:t>
      </w:r>
      <w:bookmarkEnd w:id="42"/>
    </w:p>
    <w:p w:rsidR="008804DD" w:rsidRPr="007B0F82" w:rsidRDefault="008804DD" w:rsidP="008804DD">
      <w:pPr>
        <w:autoSpaceDE w:val="0"/>
        <w:autoSpaceDN w:val="0"/>
        <w:adjustRightInd w:val="0"/>
        <w:spacing w:before="0" w:after="0" w:line="240" w:lineRule="auto"/>
        <w:ind w:left="851"/>
        <w:jc w:val="both"/>
        <w:rPr>
          <w:lang w:eastAsia="en-GB"/>
        </w:rPr>
      </w:pPr>
      <w:r w:rsidRPr="007B0F82">
        <w:t>Maltese law has a variable approach to the definition of ‘child’. The Civil Code defines a ‘minor’ as a person of either sex who has not yet attained the age of 18</w:t>
      </w:r>
      <w:r w:rsidRPr="007B0F82">
        <w:rPr>
          <w:rStyle w:val="FootnoteReference"/>
        </w:rPr>
        <w:footnoteReference w:id="44"/>
      </w:r>
      <w:r w:rsidRPr="007B0F82">
        <w:t xml:space="preserve">. </w:t>
      </w:r>
      <w:r w:rsidRPr="007B0F82">
        <w:rPr>
          <w:lang w:eastAsia="en-GB"/>
        </w:rPr>
        <w:t>Majority is fixed at the completion of the eighteenth year of age. A person over 18 years of age is capable of performing all the acts of civil life, subject to the restrictions contained in other special provisions of law</w:t>
      </w:r>
      <w:r w:rsidRPr="007B0F82">
        <w:rPr>
          <w:rStyle w:val="FootnoteReference"/>
          <w:lang w:eastAsia="en-GB"/>
        </w:rPr>
        <w:footnoteReference w:id="45"/>
      </w:r>
      <w:r w:rsidRPr="007B0F82">
        <w:rPr>
          <w:lang w:eastAsia="en-GB"/>
        </w:rPr>
        <w:t xml:space="preserve">. It is also noted that where a child, who has attained the age of 16 years, has been authorised under the </w:t>
      </w:r>
      <w:hyperlink r:id="rId33" w:history="1">
        <w:r w:rsidRPr="007B0F82">
          <w:rPr>
            <w:rStyle w:val="Hyperlink"/>
            <w:rFonts w:cs="Arial"/>
            <w:lang w:eastAsia="en-GB"/>
          </w:rPr>
          <w:t>Commercial Code</w:t>
        </w:r>
      </w:hyperlink>
      <w:r w:rsidRPr="007B0F82">
        <w:rPr>
          <w:rStyle w:val="FootnoteReference"/>
          <w:lang w:eastAsia="en-GB"/>
        </w:rPr>
        <w:footnoteReference w:id="46"/>
      </w:r>
      <w:r w:rsidRPr="007B0F82">
        <w:rPr>
          <w:lang w:eastAsia="en-GB"/>
        </w:rPr>
        <w:t>, to trade, or to perform certain acts of trade, in regard to all matters relating to his trade, or in regard to such acts, he will be considered as being of age</w:t>
      </w:r>
      <w:r w:rsidRPr="007B0F82">
        <w:rPr>
          <w:rStyle w:val="FootnoteReference"/>
          <w:lang w:eastAsia="en-GB"/>
        </w:rPr>
        <w:footnoteReference w:id="47"/>
      </w:r>
      <w:r w:rsidRPr="007B0F82">
        <w:rPr>
          <w:lang w:eastAsia="en-GB"/>
        </w:rPr>
        <w:t xml:space="preserve">. The </w:t>
      </w:r>
      <w:hyperlink r:id="rId34" w:history="1">
        <w:r w:rsidRPr="007B0F82">
          <w:rPr>
            <w:rStyle w:val="Hyperlink"/>
            <w:rFonts w:cs="Arial"/>
            <w:lang w:eastAsia="en-GB"/>
          </w:rPr>
          <w:t>Young Persons (Employment) Regulations</w:t>
        </w:r>
      </w:hyperlink>
      <w:r w:rsidRPr="007B0F82">
        <w:rPr>
          <w:lang w:eastAsia="en-GB"/>
        </w:rPr>
        <w:t xml:space="preserve"> define ‘child’ as young persons under 16 years of age</w:t>
      </w:r>
      <w:r w:rsidRPr="007B0F82">
        <w:rPr>
          <w:rStyle w:val="FootnoteReference"/>
          <w:lang w:eastAsia="en-GB"/>
        </w:rPr>
        <w:footnoteReference w:id="48"/>
      </w:r>
      <w:r w:rsidRPr="007B0F82">
        <w:rPr>
          <w:lang w:eastAsia="en-GB"/>
        </w:rPr>
        <w:t xml:space="preserve"> and as regards their employment contracts these children will have the same procedural rights as adults.</w:t>
      </w:r>
    </w:p>
    <w:p w:rsidR="008804DD" w:rsidRPr="007B0F82" w:rsidRDefault="008804DD" w:rsidP="008804DD">
      <w:pPr>
        <w:autoSpaceDE w:val="0"/>
        <w:autoSpaceDN w:val="0"/>
        <w:adjustRightInd w:val="0"/>
        <w:spacing w:before="0" w:after="0" w:line="240" w:lineRule="auto"/>
        <w:ind w:left="851"/>
        <w:jc w:val="both"/>
        <w:rPr>
          <w:lang w:eastAsia="en-GB"/>
        </w:rPr>
      </w:pPr>
    </w:p>
    <w:p w:rsidR="008804DD" w:rsidRPr="007B0F82" w:rsidRDefault="008804DD" w:rsidP="008804DD">
      <w:pPr>
        <w:autoSpaceDE w:val="0"/>
        <w:autoSpaceDN w:val="0"/>
        <w:adjustRightInd w:val="0"/>
        <w:spacing w:before="0" w:after="0" w:line="240" w:lineRule="auto"/>
        <w:ind w:left="851"/>
        <w:jc w:val="both"/>
        <w:rPr>
          <w:lang w:eastAsia="en-GB"/>
        </w:rPr>
      </w:pPr>
      <w:r w:rsidRPr="007B0F82">
        <w:rPr>
          <w:lang w:eastAsia="en-GB"/>
        </w:rPr>
        <w:t>Children are subjected to the parental authority of their parents. The parents jointly represent their children in all civil matters</w:t>
      </w:r>
      <w:r w:rsidRPr="007B0F82">
        <w:rPr>
          <w:rStyle w:val="FootnoteReference"/>
          <w:lang w:eastAsia="en-GB"/>
        </w:rPr>
        <w:footnoteReference w:id="49"/>
      </w:r>
      <w:r w:rsidRPr="007B0F82">
        <w:rPr>
          <w:lang w:eastAsia="en-GB"/>
        </w:rPr>
        <w:t>. Parental authority ceases in a number of cases including on the death of both parents; when the child attains 18 years of age and when the child gets married</w:t>
      </w:r>
      <w:r w:rsidRPr="007B0F82">
        <w:rPr>
          <w:rStyle w:val="FootnoteReference"/>
          <w:lang w:eastAsia="en-GB"/>
        </w:rPr>
        <w:footnoteReference w:id="50"/>
      </w:r>
      <w:r w:rsidRPr="007B0F82">
        <w:rPr>
          <w:lang w:eastAsia="en-GB"/>
        </w:rPr>
        <w:t>. Any child, whose parents have died or have forfeited parental authority and who has not married, is subject to be placed under tutorship until s/he reaches 18 years of age or gets married. A tutor is appointed by the court on the demand of any person.</w:t>
      </w:r>
      <w:r w:rsidRPr="007B0F82">
        <w:rPr>
          <w:b/>
          <w:bCs/>
          <w:lang w:eastAsia="en-GB"/>
        </w:rPr>
        <w:t xml:space="preserve"> </w:t>
      </w:r>
      <w:r w:rsidRPr="007B0F82">
        <w:rPr>
          <w:lang w:eastAsia="en-GB"/>
        </w:rPr>
        <w:t>Where among the child’s relatives there are competent persons, the court will appoint a relative, giving preference, subject always to the child’s best interests, to the nearest relative by consanguinity</w:t>
      </w:r>
      <w:r w:rsidRPr="007B0F82">
        <w:rPr>
          <w:rStyle w:val="FootnoteReference"/>
          <w:lang w:eastAsia="en-GB"/>
        </w:rPr>
        <w:footnoteReference w:id="51"/>
      </w:r>
      <w:r w:rsidRPr="007B0F82">
        <w:rPr>
          <w:lang w:eastAsia="en-GB"/>
        </w:rPr>
        <w:t>.</w:t>
      </w:r>
      <w:r w:rsidRPr="007B0F82">
        <w:t xml:space="preserve"> The tutor will have the care of the child; represent him/her in all civil matters, and administer his/her property as </w:t>
      </w:r>
      <w:r w:rsidRPr="007B0F82">
        <w:rPr>
          <w:i/>
          <w:iCs/>
        </w:rPr>
        <w:t>a bonus paterfamilia</w:t>
      </w:r>
      <w:r w:rsidRPr="007B0F82">
        <w:t>s</w:t>
      </w:r>
      <w:r w:rsidRPr="007B0F82">
        <w:rPr>
          <w:rStyle w:val="FootnoteReference"/>
        </w:rPr>
        <w:footnoteReference w:id="52"/>
      </w:r>
      <w:r w:rsidRPr="007B0F82">
        <w:t>.</w:t>
      </w:r>
    </w:p>
    <w:p w:rsidR="008804DD" w:rsidRPr="007B0F82" w:rsidRDefault="008804DD" w:rsidP="008804DD">
      <w:pPr>
        <w:pStyle w:val="BodyText"/>
        <w:widowControl w:val="0"/>
        <w:spacing w:before="0" w:after="0" w:line="240" w:lineRule="auto"/>
        <w:jc w:val="both"/>
        <w:rPr>
          <w:rFonts w:cs="Arial"/>
          <w:szCs w:val="20"/>
        </w:rPr>
      </w:pPr>
    </w:p>
    <w:p w:rsidR="008804DD" w:rsidRPr="00811568" w:rsidRDefault="008804DD" w:rsidP="00811568">
      <w:pPr>
        <w:pStyle w:val="BodyText"/>
        <w:widowControl w:val="0"/>
        <w:spacing w:before="0" w:after="0" w:line="240" w:lineRule="auto"/>
        <w:jc w:val="both"/>
        <w:rPr>
          <w:szCs w:val="20"/>
        </w:rPr>
      </w:pPr>
      <w:r w:rsidRPr="007B0F82">
        <w:rPr>
          <w:szCs w:val="20"/>
        </w:rPr>
        <w:t xml:space="preserve">The Commissioner for Children Act defines ‘child’ as any person who has not attained majority </w:t>
      </w:r>
      <w:r w:rsidRPr="007B0F82">
        <w:rPr>
          <w:szCs w:val="20"/>
        </w:rPr>
        <w:lastRenderedPageBreak/>
        <w:t>i.e. 18 years of age</w:t>
      </w:r>
      <w:r w:rsidRPr="007B0F82">
        <w:rPr>
          <w:szCs w:val="20"/>
          <w:vertAlign w:val="superscript"/>
        </w:rPr>
        <w:footnoteReference w:id="53"/>
      </w:r>
      <w:r w:rsidRPr="007B0F82">
        <w:rPr>
          <w:szCs w:val="20"/>
        </w:rPr>
        <w:t>. This is consistent with the Civil Code definition of ‘minor’. However, some legal instruments refer more specifically to the ‘child or young person’ defined as a person who is under the age of 16 years</w:t>
      </w:r>
      <w:r w:rsidRPr="007B0F82">
        <w:rPr>
          <w:szCs w:val="20"/>
          <w:vertAlign w:val="superscript"/>
        </w:rPr>
        <w:footnoteReference w:id="54"/>
      </w:r>
      <w:r w:rsidRPr="007B0F82">
        <w:rPr>
          <w:szCs w:val="20"/>
        </w:rPr>
        <w:t xml:space="preserve"> or define ‘child’ as a person under the age of 16 years</w:t>
      </w:r>
      <w:r w:rsidRPr="007B0F82">
        <w:rPr>
          <w:rStyle w:val="FootnoteReference"/>
          <w:szCs w:val="20"/>
        </w:rPr>
        <w:footnoteReference w:id="55"/>
      </w:r>
      <w:r w:rsidRPr="007B0F82">
        <w:rPr>
          <w:szCs w:val="20"/>
        </w:rPr>
        <w:t>. In such situations, persons between 16 and 18 years of age are not considered as children.</w:t>
      </w:r>
      <w:r>
        <w:rPr>
          <w:szCs w:val="20"/>
        </w:rPr>
        <w:t xml:space="preserve"> </w:t>
      </w:r>
    </w:p>
    <w:p w:rsidR="008804DD" w:rsidRPr="00813E61" w:rsidRDefault="008804DD" w:rsidP="008558C6">
      <w:pPr>
        <w:pStyle w:val="Heading3NoNumb"/>
        <w:ind w:firstLine="851"/>
      </w:pPr>
      <w:bookmarkStart w:id="43" w:name="_Toc407962116"/>
      <w:r w:rsidRPr="00813E61">
        <w:t>The child’s best interests</w:t>
      </w:r>
      <w:bookmarkEnd w:id="43"/>
    </w:p>
    <w:p w:rsidR="008804DD" w:rsidRDefault="008804DD" w:rsidP="008804DD">
      <w:pPr>
        <w:pStyle w:val="BodyText"/>
        <w:widowControl w:val="0"/>
        <w:spacing w:before="0" w:after="0" w:line="240" w:lineRule="auto"/>
        <w:jc w:val="both"/>
        <w:rPr>
          <w:rFonts w:cs="Arial"/>
          <w:szCs w:val="20"/>
        </w:rPr>
      </w:pPr>
      <w:r w:rsidRPr="007B0F82">
        <w:rPr>
          <w:rFonts w:cs="Arial"/>
          <w:szCs w:val="20"/>
        </w:rPr>
        <w:t xml:space="preserve">The main objective for children’s involvement in judicial proceedings is to ensure that their best interests are taken into account. This is seen primarily in the case of </w:t>
      </w:r>
      <w:r w:rsidRPr="007B0F82">
        <w:rPr>
          <w:rFonts w:cs="Arial"/>
          <w:b/>
          <w:szCs w:val="20"/>
        </w:rPr>
        <w:t>personal separation</w:t>
      </w:r>
      <w:r w:rsidRPr="007B0F82">
        <w:rPr>
          <w:rFonts w:cs="Arial"/>
          <w:szCs w:val="20"/>
        </w:rPr>
        <w:t xml:space="preserve"> </w:t>
      </w:r>
      <w:r w:rsidRPr="007B0F82">
        <w:rPr>
          <w:rFonts w:cs="Arial"/>
          <w:b/>
          <w:szCs w:val="20"/>
        </w:rPr>
        <w:t>proceedings</w:t>
      </w:r>
      <w:r w:rsidRPr="007B0F82">
        <w:rPr>
          <w:rFonts w:cs="Arial"/>
          <w:szCs w:val="20"/>
        </w:rPr>
        <w:t>:</w:t>
      </w:r>
    </w:p>
    <w:p w:rsidR="00813E61" w:rsidRPr="007B0F82" w:rsidRDefault="00813E61" w:rsidP="008804DD">
      <w:pPr>
        <w:pStyle w:val="BodyText"/>
        <w:widowControl w:val="0"/>
        <w:spacing w:before="0" w:after="0" w:line="240" w:lineRule="auto"/>
        <w:jc w:val="both"/>
        <w:rPr>
          <w:rFonts w:cs="Arial"/>
          <w:szCs w:val="20"/>
        </w:rPr>
      </w:pPr>
    </w:p>
    <w:p w:rsidR="008804DD" w:rsidRPr="00813E61" w:rsidRDefault="008804DD" w:rsidP="008558C6">
      <w:pPr>
        <w:pStyle w:val="BTBullet1"/>
      </w:pPr>
      <w:r w:rsidRPr="00813E61">
        <w:t>Where evidence of acts of domestic violence has been produced, the court may, on an application of one of the parties or on its own motion in order to protect the best interests of the child or children, issue a protection order or treatment order</w:t>
      </w:r>
      <w:r w:rsidRPr="00813E61">
        <w:rPr>
          <w:vertAlign w:val="superscript"/>
        </w:rPr>
        <w:footnoteReference w:id="56"/>
      </w:r>
      <w:r w:rsidRPr="00813E61">
        <w:t xml:space="preserve">. </w:t>
      </w:r>
    </w:p>
    <w:p w:rsidR="008804DD" w:rsidRPr="00813E61" w:rsidRDefault="008804DD" w:rsidP="008558C6">
      <w:pPr>
        <w:pStyle w:val="BTBullet1"/>
      </w:pPr>
      <w:r w:rsidRPr="00813E61">
        <w:t>During the pendency of the action the court will give directions concerning the custody of the children, and in so doing the paramount consideration will be the welfare of the children</w:t>
      </w:r>
      <w:r w:rsidRPr="00813E61">
        <w:rPr>
          <w:vertAlign w:val="superscript"/>
        </w:rPr>
        <w:footnoteReference w:id="57"/>
      </w:r>
      <w:r w:rsidRPr="00813E61">
        <w:t xml:space="preserve">. </w:t>
      </w:r>
    </w:p>
    <w:p w:rsidR="008804DD" w:rsidRPr="00813E61" w:rsidRDefault="008804DD" w:rsidP="008558C6">
      <w:pPr>
        <w:pStyle w:val="BTBullet1"/>
      </w:pPr>
      <w:r w:rsidRPr="00813E61">
        <w:t>The amount of maintenance must have regard to the needs of the children, after considering all their circumstances</w:t>
      </w:r>
      <w:r w:rsidRPr="00813E61">
        <w:rPr>
          <w:vertAlign w:val="superscript"/>
        </w:rPr>
        <w:footnoteReference w:id="58"/>
      </w:r>
      <w:r w:rsidRPr="00813E61">
        <w:t xml:space="preserve">. </w:t>
      </w:r>
    </w:p>
    <w:p w:rsidR="008804DD" w:rsidRPr="00813E61" w:rsidRDefault="008804DD" w:rsidP="008558C6">
      <w:pPr>
        <w:pStyle w:val="BTBullet1"/>
      </w:pPr>
      <w:r w:rsidRPr="00813E61">
        <w:t>In pronouncing judgement on the right to reside in the matrimonial home, the court must consider the children’s best interests, including the impact that there may be on the children</w:t>
      </w:r>
      <w:r w:rsidRPr="00813E61">
        <w:rPr>
          <w:vertAlign w:val="superscript"/>
        </w:rPr>
        <w:footnoteReference w:id="59"/>
      </w:r>
      <w:r w:rsidRPr="00813E61">
        <w:t>.</w:t>
      </w:r>
    </w:p>
    <w:p w:rsidR="008804DD" w:rsidRPr="00813E61" w:rsidRDefault="008804DD" w:rsidP="008558C6">
      <w:pPr>
        <w:pStyle w:val="BTBullet1"/>
      </w:pPr>
      <w:r w:rsidRPr="00813E61">
        <w:t>On separation being pronounced the court will direct which of the spouses will have custody of the children, the paramount consideration being their welfare. The court can give any such directions in the judgement of separation, even if in the action relating thereto no demand was made respecting the custody of the children. The court may, at any time, revoke or vary such directions, where the children’s interests so require</w:t>
      </w:r>
      <w:r w:rsidRPr="00813E61">
        <w:rPr>
          <w:vertAlign w:val="superscript"/>
        </w:rPr>
        <w:footnoteReference w:id="60"/>
      </w:r>
      <w:r w:rsidRPr="00813E61">
        <w:t>.</w:t>
      </w:r>
    </w:p>
    <w:p w:rsidR="008804DD" w:rsidRPr="00813E61" w:rsidRDefault="008804DD" w:rsidP="008558C6">
      <w:pPr>
        <w:pStyle w:val="BTBullet1"/>
      </w:pPr>
      <w:r w:rsidRPr="00813E61">
        <w:t>The court can forbid access to the children if it may be detrimental to their welfare</w:t>
      </w:r>
      <w:r w:rsidRPr="00813E61">
        <w:rPr>
          <w:vertAlign w:val="superscript"/>
        </w:rPr>
        <w:footnoteReference w:id="61"/>
      </w:r>
      <w:r w:rsidRPr="00813E61">
        <w:t>.</w:t>
      </w:r>
    </w:p>
    <w:p w:rsidR="008804DD" w:rsidRPr="00813E61" w:rsidRDefault="008804DD" w:rsidP="008558C6">
      <w:pPr>
        <w:pStyle w:val="BTBullet1"/>
      </w:pPr>
      <w:r w:rsidRPr="00813E61">
        <w:t>Any agreement between the spouses respecting the custody of the children may at any time, on the demand of either of the spouses, or of any relative of either of the spouses, be annulled by the court, where the interests of the children so require. In any such case, the court will give the necessary directions as to the person in whose custody the children are to be placed, and as to the mode of their maintenance and education</w:t>
      </w:r>
      <w:r w:rsidRPr="00813E61">
        <w:rPr>
          <w:vertAlign w:val="superscript"/>
        </w:rPr>
        <w:footnoteReference w:id="62"/>
      </w:r>
      <w:r w:rsidRPr="00813E61">
        <w:t xml:space="preserve">. </w:t>
      </w:r>
    </w:p>
    <w:p w:rsidR="008804DD" w:rsidRPr="007B0F82" w:rsidRDefault="008804DD" w:rsidP="008804DD">
      <w:pPr>
        <w:pStyle w:val="BodyText"/>
        <w:widowControl w:val="0"/>
        <w:jc w:val="both"/>
        <w:rPr>
          <w:szCs w:val="20"/>
        </w:rPr>
      </w:pPr>
      <w:r w:rsidRPr="007B0F82">
        <w:rPr>
          <w:szCs w:val="20"/>
        </w:rPr>
        <w:t xml:space="preserve">In </w:t>
      </w:r>
      <w:r w:rsidRPr="007B0F82">
        <w:rPr>
          <w:b/>
          <w:szCs w:val="20"/>
        </w:rPr>
        <w:t>adoption proceedings</w:t>
      </w:r>
      <w:r w:rsidRPr="007B0F82">
        <w:rPr>
          <w:szCs w:val="20"/>
        </w:rPr>
        <w:t>, the court will appoint a person to act as special curator of the person to be adopted with the duty of safeguarding that person’s interests before the court. Upon an application for an adoption decree the court may also appoint a child’s advocate and/or a social worker to ensure that the child is adequately represented and his/her best interests safeguarded</w:t>
      </w:r>
      <w:r w:rsidRPr="007B0F82">
        <w:rPr>
          <w:rStyle w:val="FootnoteReference"/>
          <w:szCs w:val="20"/>
        </w:rPr>
        <w:footnoteReference w:id="63"/>
      </w:r>
      <w:r w:rsidRPr="007B0F82">
        <w:rPr>
          <w:szCs w:val="20"/>
        </w:rPr>
        <w:t xml:space="preserve">. </w:t>
      </w:r>
    </w:p>
    <w:p w:rsidR="008804DD" w:rsidRPr="007B0F82" w:rsidRDefault="008804DD" w:rsidP="008804DD">
      <w:pPr>
        <w:pStyle w:val="BodyText"/>
        <w:widowControl w:val="0"/>
        <w:spacing w:before="0" w:after="0" w:line="240" w:lineRule="auto"/>
        <w:jc w:val="both"/>
        <w:rPr>
          <w:rFonts w:cs="Arial"/>
          <w:szCs w:val="20"/>
        </w:rPr>
      </w:pPr>
      <w:r w:rsidRPr="007B0F82">
        <w:rPr>
          <w:rFonts w:cs="Arial"/>
          <w:szCs w:val="20"/>
        </w:rPr>
        <w:t>The law does not specify who decides or describes what the best interests of the child would be or how this would be determined. Similarly, there are no checklists or protocols in place to determine the child’s best interests. However, the court will consider the best interests of the child to be supreme and to have priority over the interests of the parents</w:t>
      </w:r>
      <w:r>
        <w:rPr>
          <w:rStyle w:val="FootnoteReference"/>
          <w:szCs w:val="20"/>
        </w:rPr>
        <w:footnoteReference w:id="64"/>
      </w:r>
      <w:r w:rsidRPr="007B0F82">
        <w:rPr>
          <w:rFonts w:cs="Arial"/>
          <w:szCs w:val="20"/>
        </w:rPr>
        <w:t xml:space="preserve">. Usually several </w:t>
      </w:r>
      <w:r w:rsidRPr="007B0F82">
        <w:rPr>
          <w:rFonts w:cs="Arial"/>
          <w:szCs w:val="20"/>
        </w:rPr>
        <w:lastRenderedPageBreak/>
        <w:t>professionals such as psychologists, child advocates and social workers will be appointed to make recommendations which the court will take into account. The child would be given the opportunity to talk to these professionals</w:t>
      </w:r>
      <w:r w:rsidRPr="007B0F82">
        <w:rPr>
          <w:rStyle w:val="FootnoteReference"/>
          <w:szCs w:val="20"/>
        </w:rPr>
        <w:footnoteReference w:id="65"/>
      </w:r>
      <w:r w:rsidRPr="007B0F82">
        <w:rPr>
          <w:rFonts w:cs="Arial"/>
          <w:szCs w:val="20"/>
        </w:rPr>
        <w:t xml:space="preserve">.  </w:t>
      </w:r>
    </w:p>
    <w:p w:rsidR="008804DD" w:rsidRPr="007B0F82" w:rsidRDefault="008804DD" w:rsidP="008804DD">
      <w:pPr>
        <w:autoSpaceDE w:val="0"/>
        <w:autoSpaceDN w:val="0"/>
        <w:adjustRightInd w:val="0"/>
        <w:spacing w:before="0" w:after="0" w:line="240" w:lineRule="auto"/>
        <w:ind w:left="851"/>
        <w:jc w:val="both"/>
        <w:rPr>
          <w:rFonts w:ascii="ArnoMalti" w:hAnsi="ArnoMalti" w:cs="ArnoMalti"/>
          <w:lang w:eastAsia="en-GB"/>
        </w:rPr>
      </w:pPr>
    </w:p>
    <w:p w:rsidR="008804DD" w:rsidRPr="00811568" w:rsidRDefault="008804DD" w:rsidP="00811568">
      <w:pPr>
        <w:widowControl w:val="0"/>
        <w:spacing w:before="0" w:after="0" w:line="240" w:lineRule="auto"/>
        <w:ind w:left="851"/>
        <w:jc w:val="both"/>
      </w:pPr>
      <w:r w:rsidRPr="007B0F82">
        <w:t>There is no specific measure stating how the best interests of each child are separately assessed, where more than one child is involved in the same procedure or case, however, children can be assessed separately or together</w:t>
      </w:r>
      <w:r w:rsidRPr="007B0F82">
        <w:rPr>
          <w:rStyle w:val="FootnoteReference"/>
        </w:rPr>
        <w:footnoteReference w:id="66"/>
      </w:r>
      <w:r>
        <w:t>.</w:t>
      </w:r>
    </w:p>
    <w:p w:rsidR="008804DD" w:rsidRPr="007B0F82" w:rsidRDefault="008804DD" w:rsidP="008558C6">
      <w:pPr>
        <w:pStyle w:val="Heading3NoNumb"/>
        <w:ind w:firstLine="851"/>
        <w:rPr>
          <w:rFonts w:cs="Arial"/>
          <w:sz w:val="20"/>
          <w:szCs w:val="20"/>
        </w:rPr>
      </w:pPr>
      <w:bookmarkStart w:id="44" w:name="_Toc407962117"/>
      <w:r w:rsidRPr="00813E61">
        <w:t>The child’s dignity and evolving capacity</w:t>
      </w:r>
      <w:bookmarkEnd w:id="44"/>
    </w:p>
    <w:p w:rsidR="008804DD" w:rsidRPr="007B0F82" w:rsidRDefault="008804DD" w:rsidP="008804DD">
      <w:pPr>
        <w:pStyle w:val="NormalWeb"/>
        <w:spacing w:beforeLines="1" w:before="2" w:beforeAutospacing="0" w:afterLines="1" w:after="2" w:afterAutospacing="0"/>
        <w:ind w:left="851"/>
        <w:jc w:val="both"/>
      </w:pPr>
      <w:r w:rsidRPr="007B0F82">
        <w:rPr>
          <w:sz w:val="20"/>
          <w:szCs w:val="20"/>
          <w:lang w:eastAsia="en-US"/>
        </w:rPr>
        <w:t xml:space="preserve">There are no specific measures in place to ensure that the child is treated with </w:t>
      </w:r>
      <w:r w:rsidRPr="007B0F82">
        <w:rPr>
          <w:bCs/>
          <w:sz w:val="20"/>
          <w:szCs w:val="20"/>
          <w:lang w:eastAsia="en-US"/>
        </w:rPr>
        <w:t>dignity and respect</w:t>
      </w:r>
      <w:r w:rsidRPr="007B0F82">
        <w:rPr>
          <w:sz w:val="20"/>
          <w:szCs w:val="20"/>
          <w:lang w:eastAsia="en-US"/>
        </w:rPr>
        <w:t xml:space="preserve">. However, the spirit of the legal provisions is that the child’s dignity and welfare will be respected and be given paramount importance in civil proceedings. It is also one of the guiding principles of the Commissioner for Children that </w:t>
      </w:r>
      <w:r w:rsidRPr="007B0F82">
        <w:rPr>
          <w:rFonts w:cs="Times New Roman"/>
          <w:sz w:val="20"/>
          <w:szCs w:val="20"/>
          <w:lang w:eastAsia="en-US"/>
        </w:rPr>
        <w:t>all children are to be treated with dignity, respect and fairness</w:t>
      </w:r>
      <w:r w:rsidRPr="007B0F82">
        <w:rPr>
          <w:rStyle w:val="FootnoteReference"/>
          <w:sz w:val="20"/>
          <w:szCs w:val="20"/>
          <w:lang w:eastAsia="en-US"/>
        </w:rPr>
        <w:footnoteReference w:id="67"/>
      </w:r>
      <w:r w:rsidRPr="007B0F82">
        <w:rPr>
          <w:rFonts w:cs="Times New Roman"/>
          <w:sz w:val="20"/>
          <w:szCs w:val="20"/>
          <w:lang w:eastAsia="en-US"/>
        </w:rPr>
        <w:t>.</w:t>
      </w:r>
    </w:p>
    <w:p w:rsidR="00813E61" w:rsidRPr="007B0F82" w:rsidRDefault="008804DD" w:rsidP="00811568">
      <w:pPr>
        <w:pStyle w:val="BodyText"/>
        <w:widowControl w:val="0"/>
        <w:jc w:val="both"/>
        <w:rPr>
          <w:szCs w:val="20"/>
        </w:rPr>
      </w:pPr>
      <w:r w:rsidRPr="007B0F82">
        <w:rPr>
          <w:rFonts w:cs="Arial"/>
          <w:szCs w:val="20"/>
        </w:rPr>
        <w:t xml:space="preserve">The child’s evolving capacity is addressed limitedly through statutory age limits for expressing views. </w:t>
      </w:r>
      <w:r w:rsidRPr="007B0F82">
        <w:rPr>
          <w:szCs w:val="20"/>
        </w:rPr>
        <w:t>For example, in case of any disagreement either spouse may apply to the competent court for its assistance and the judge will seek to bring about an amicable settlement. The judge will hear the spouses and if deemed opportune any of the children above the age of 14 years residing with the spouses</w:t>
      </w:r>
      <w:r w:rsidRPr="007B0F82">
        <w:rPr>
          <w:rStyle w:val="FootnoteReference"/>
          <w:szCs w:val="20"/>
        </w:rPr>
        <w:footnoteReference w:id="68"/>
      </w:r>
      <w:r>
        <w:rPr>
          <w:szCs w:val="20"/>
        </w:rPr>
        <w:t xml:space="preserve">. </w:t>
      </w:r>
    </w:p>
    <w:p w:rsidR="008804DD" w:rsidRPr="00813E61" w:rsidRDefault="008804DD" w:rsidP="008558C6">
      <w:pPr>
        <w:pStyle w:val="Heading3NoNumb"/>
        <w:ind w:firstLine="851"/>
      </w:pPr>
      <w:bookmarkStart w:id="45" w:name="_Toc407962118"/>
      <w:r w:rsidRPr="00813E61">
        <w:t>Protection from discrimination</w:t>
      </w:r>
      <w:bookmarkEnd w:id="45"/>
    </w:p>
    <w:p w:rsidR="008804DD" w:rsidRPr="007B0F82" w:rsidRDefault="008804DD" w:rsidP="008804DD">
      <w:pPr>
        <w:pStyle w:val="BodyText"/>
        <w:widowControl w:val="0"/>
        <w:jc w:val="both"/>
        <w:rPr>
          <w:szCs w:val="20"/>
        </w:rPr>
      </w:pPr>
      <w:r w:rsidRPr="007B0F82">
        <w:rPr>
          <w:szCs w:val="20"/>
        </w:rPr>
        <w:t xml:space="preserve">Children are granted a general protection from discrimination through the general prohibition of discrimination in the </w:t>
      </w:r>
      <w:hyperlink r:id="rId35" w:history="1">
        <w:r w:rsidRPr="007B0F82">
          <w:rPr>
            <w:rStyle w:val="Hyperlink"/>
            <w:szCs w:val="20"/>
          </w:rPr>
          <w:t>Constitution of Malta</w:t>
        </w:r>
      </w:hyperlink>
      <w:r w:rsidRPr="007B0F82">
        <w:rPr>
          <w:szCs w:val="20"/>
        </w:rPr>
        <w:t xml:space="preserve">, the </w:t>
      </w:r>
      <w:hyperlink r:id="rId36" w:history="1">
        <w:r w:rsidRPr="007B0F82">
          <w:rPr>
            <w:rStyle w:val="Hyperlink"/>
            <w:szCs w:val="20"/>
          </w:rPr>
          <w:t>European Convention Act</w:t>
        </w:r>
      </w:hyperlink>
      <w:r w:rsidRPr="007B0F82">
        <w:rPr>
          <w:rStyle w:val="FootnoteReference"/>
          <w:szCs w:val="20"/>
        </w:rPr>
        <w:footnoteReference w:id="69"/>
      </w:r>
      <w:r w:rsidRPr="007B0F82">
        <w:rPr>
          <w:szCs w:val="20"/>
        </w:rPr>
        <w:t xml:space="preserve"> and other legal instruments. There are no specific provisions on discrimination against children. Similarly, there is no special protection for more vulnerable children. These could be granted the same assistance that is available to all children through </w:t>
      </w:r>
      <w:r w:rsidRPr="007B0F82">
        <w:rPr>
          <w:i/>
          <w:szCs w:val="20"/>
        </w:rPr>
        <w:t>Aġenzija Appoġġ</w:t>
      </w:r>
      <w:r w:rsidRPr="007B0F82">
        <w:rPr>
          <w:szCs w:val="20"/>
        </w:rPr>
        <w:t xml:space="preserve"> and other institutions as described in</w:t>
      </w:r>
      <w:r w:rsidRPr="009D09FF">
        <w:rPr>
          <w:szCs w:val="20"/>
        </w:rPr>
        <w:t xml:space="preserve"> </w:t>
      </w:r>
      <w:hyperlink w:anchor="Section2" w:history="1">
        <w:r w:rsidRPr="009D09FF">
          <w:rPr>
            <w:rStyle w:val="Hyperlink"/>
            <w:szCs w:val="20"/>
          </w:rPr>
          <w:t>Section 2a</w:t>
        </w:r>
      </w:hyperlink>
      <w:r w:rsidRPr="007B0F82">
        <w:rPr>
          <w:szCs w:val="20"/>
        </w:rPr>
        <w:t xml:space="preserve"> above.</w:t>
      </w:r>
    </w:p>
    <w:p w:rsidR="008804DD" w:rsidRPr="007B0F82" w:rsidRDefault="008804DD" w:rsidP="008804DD">
      <w:pPr>
        <w:pStyle w:val="BodyText"/>
        <w:widowControl w:val="0"/>
        <w:jc w:val="both"/>
        <w:rPr>
          <w:szCs w:val="20"/>
        </w:rPr>
      </w:pPr>
      <w:r w:rsidRPr="007B0F82">
        <w:rPr>
          <w:szCs w:val="20"/>
        </w:rPr>
        <w:t xml:space="preserve">Children are not competent to start a legal action by themselves and therefore a curator will need to be appointed to represent the child in discrimination and other cases as described in </w:t>
      </w:r>
      <w:hyperlink w:anchor="_The_child_as" w:history="1">
        <w:r w:rsidRPr="007B0F82">
          <w:rPr>
            <w:rStyle w:val="Hyperlink"/>
            <w:szCs w:val="20"/>
          </w:rPr>
          <w:t>Section 3.1</w:t>
        </w:r>
      </w:hyperlink>
      <w:r w:rsidRPr="007B0F82">
        <w:rPr>
          <w:szCs w:val="20"/>
        </w:rPr>
        <w:t xml:space="preserve"> below.</w:t>
      </w:r>
    </w:p>
    <w:p w:rsidR="00AC7914" w:rsidRPr="00AC7914" w:rsidRDefault="00AC7914" w:rsidP="00AC7914"/>
    <w:p w:rsidR="00AC7914" w:rsidRDefault="00AC7914" w:rsidP="00AC7914"/>
    <w:p w:rsidR="00AC7914" w:rsidRDefault="00AC7914" w:rsidP="00AC7914"/>
    <w:p w:rsidR="0049253A" w:rsidRPr="006E016E" w:rsidRDefault="0049253A" w:rsidP="0049253A">
      <w:pPr>
        <w:pStyle w:val="Heading1"/>
        <w:rPr>
          <w:rFonts w:cs="Arial"/>
        </w:rPr>
      </w:pPr>
      <w:bookmarkStart w:id="46" w:name="_The_child_as"/>
      <w:bookmarkStart w:id="47" w:name="_Toc350439424"/>
      <w:bookmarkStart w:id="48" w:name="_Toc401222930"/>
      <w:bookmarkStart w:id="49" w:name="_Toc401231483"/>
      <w:bookmarkStart w:id="50" w:name="_Toc338234110"/>
      <w:bookmarkStart w:id="51" w:name="_Toc401654871"/>
      <w:bookmarkStart w:id="52" w:name="_Toc407962119"/>
      <w:bookmarkEnd w:id="46"/>
      <w:r w:rsidRPr="006E016E">
        <w:lastRenderedPageBreak/>
        <w:t>Child-friendly justice in civil judicial proceedings</w:t>
      </w:r>
      <w:bookmarkEnd w:id="47"/>
      <w:bookmarkEnd w:id="48"/>
      <w:bookmarkEnd w:id="49"/>
      <w:bookmarkEnd w:id="52"/>
    </w:p>
    <w:p w:rsidR="0049253A" w:rsidRPr="006E016E" w:rsidRDefault="0049253A" w:rsidP="0049253A">
      <w:pPr>
        <w:pStyle w:val="Heading2"/>
      </w:pPr>
      <w:bookmarkStart w:id="53" w:name="_Ref260582416"/>
      <w:bookmarkStart w:id="54" w:name="_Toc401222931"/>
      <w:bookmarkStart w:id="55" w:name="_Toc401231484"/>
      <w:bookmarkStart w:id="56" w:name="_Toc350439425"/>
      <w:bookmarkStart w:id="57" w:name="_Ref225699717"/>
      <w:bookmarkStart w:id="58" w:name="_Ref225757900"/>
      <w:bookmarkStart w:id="59" w:name="_Ref225763794"/>
      <w:bookmarkStart w:id="60" w:name="_Ref225924848"/>
      <w:bookmarkStart w:id="61" w:name="_Ref227300210"/>
      <w:bookmarkStart w:id="62" w:name="_Ref366658269"/>
      <w:bookmarkStart w:id="63" w:name="_Ref366658284"/>
      <w:bookmarkStart w:id="64" w:name="_Ref366658443"/>
      <w:bookmarkStart w:id="65" w:name="_Ref366658666"/>
      <w:bookmarkStart w:id="66" w:name="_Ref366658784"/>
      <w:bookmarkStart w:id="67" w:name="_Ref366658818"/>
      <w:bookmarkStart w:id="68" w:name="section31"/>
      <w:bookmarkStart w:id="69" w:name="_Toc407962120"/>
      <w:bookmarkEnd w:id="50"/>
      <w:bookmarkEnd w:id="51"/>
      <w:r w:rsidRPr="006E016E">
        <w:t>The child as an actor in civil judicial proceedings</w:t>
      </w:r>
      <w:bookmarkEnd w:id="53"/>
      <w:bookmarkEnd w:id="54"/>
      <w:bookmarkEnd w:id="55"/>
      <w:bookmarkEnd w:id="69"/>
      <w:r w:rsidRPr="006E016E">
        <w:t xml:space="preserve"> </w:t>
      </w:r>
      <w:bookmarkEnd w:id="56"/>
      <w:bookmarkEnd w:id="57"/>
      <w:bookmarkEnd w:id="58"/>
      <w:bookmarkEnd w:id="59"/>
      <w:bookmarkEnd w:id="60"/>
      <w:bookmarkEnd w:id="61"/>
      <w:bookmarkEnd w:id="62"/>
      <w:bookmarkEnd w:id="63"/>
      <w:bookmarkEnd w:id="64"/>
      <w:bookmarkEnd w:id="65"/>
      <w:bookmarkEnd w:id="66"/>
      <w:bookmarkEnd w:id="67"/>
    </w:p>
    <w:bookmarkEnd w:id="68"/>
    <w:p w:rsidR="0095241C" w:rsidRPr="007B0F82" w:rsidRDefault="0095241C" w:rsidP="002A04D4">
      <w:pPr>
        <w:pStyle w:val="Heading4NoNumb"/>
        <w:spacing w:after="240"/>
        <w:ind w:left="851"/>
        <w:rPr>
          <w:rFonts w:cs="Arial"/>
          <w:b w:val="0"/>
          <w:bCs w:val="0"/>
          <w:sz w:val="20"/>
          <w:szCs w:val="20"/>
        </w:rPr>
      </w:pPr>
      <w:r w:rsidRPr="002A04D4">
        <w:t>The child as a plaintiff/defendant</w:t>
      </w:r>
    </w:p>
    <w:p w:rsidR="0095241C" w:rsidRPr="007B0F82" w:rsidRDefault="0095241C" w:rsidP="009104E8">
      <w:pPr>
        <w:pStyle w:val="BodyText"/>
        <w:widowControl w:val="0"/>
        <w:spacing w:before="0" w:after="0" w:line="240" w:lineRule="auto"/>
        <w:jc w:val="both"/>
        <w:rPr>
          <w:szCs w:val="20"/>
        </w:rPr>
      </w:pPr>
      <w:r w:rsidRPr="007B0F82">
        <w:rPr>
          <w:rFonts w:cs="Arial"/>
          <w:bCs/>
          <w:szCs w:val="20"/>
        </w:rPr>
        <w:t xml:space="preserve">According to Maltese law, </w:t>
      </w:r>
      <w:r w:rsidRPr="007B0F82">
        <w:rPr>
          <w:szCs w:val="20"/>
        </w:rPr>
        <w:t>children cannot sue or be sued, except in the person of the parent exercising parental authority, or, in the absence of such parent, of a tutor or a curator</w:t>
      </w:r>
      <w:r w:rsidRPr="007B0F82">
        <w:rPr>
          <w:rStyle w:val="FootnoteReference"/>
          <w:rFonts w:cs="Arial"/>
          <w:szCs w:val="20"/>
        </w:rPr>
        <w:footnoteReference w:id="70"/>
      </w:r>
      <w:r w:rsidRPr="007B0F82">
        <w:rPr>
          <w:szCs w:val="20"/>
        </w:rPr>
        <w:t xml:space="preserve">. </w:t>
      </w:r>
    </w:p>
    <w:p w:rsidR="0095241C" w:rsidRPr="007B0F82" w:rsidRDefault="0095241C" w:rsidP="009104E8">
      <w:pPr>
        <w:pStyle w:val="BodyText"/>
        <w:widowControl w:val="0"/>
        <w:spacing w:before="0" w:after="0" w:line="240" w:lineRule="auto"/>
        <w:jc w:val="both"/>
        <w:rPr>
          <w:rFonts w:cs="Arial"/>
          <w:b/>
          <w:bCs/>
          <w:szCs w:val="20"/>
        </w:rPr>
      </w:pPr>
    </w:p>
    <w:p w:rsidR="0095241C" w:rsidRPr="007B0F82" w:rsidRDefault="0095241C" w:rsidP="009104E8">
      <w:pPr>
        <w:pStyle w:val="BodyText"/>
        <w:widowControl w:val="0"/>
        <w:spacing w:before="0" w:after="0" w:line="240" w:lineRule="auto"/>
        <w:jc w:val="both"/>
        <w:rPr>
          <w:rFonts w:cs="Arial"/>
          <w:bCs/>
          <w:szCs w:val="20"/>
        </w:rPr>
      </w:pPr>
      <w:r w:rsidRPr="007B0F82">
        <w:rPr>
          <w:rFonts w:cs="Arial"/>
          <w:bCs/>
          <w:szCs w:val="20"/>
        </w:rPr>
        <w:t xml:space="preserve">Children cannot start a legal action by themselves. A curator needs to be appointed to represent the child. The child him/herself can file an application for a curator to be appointed. A parent can represent the child as long as the parent’s interests do not conflict with the child’s. </w:t>
      </w:r>
      <w:r>
        <w:rPr>
          <w:rFonts w:cs="Arial"/>
          <w:bCs/>
          <w:szCs w:val="20"/>
        </w:rPr>
        <w:t xml:space="preserve">Presumably the court would always need to ascertain whether such conflict exists, irrespective of whether it does so </w:t>
      </w:r>
      <w:r w:rsidRPr="006E6803">
        <w:rPr>
          <w:rFonts w:cs="Arial"/>
          <w:bCs/>
          <w:i/>
          <w:szCs w:val="20"/>
        </w:rPr>
        <w:t>ex officio</w:t>
      </w:r>
      <w:r>
        <w:rPr>
          <w:rFonts w:cs="Arial"/>
          <w:bCs/>
          <w:szCs w:val="20"/>
        </w:rPr>
        <w:t xml:space="preserve"> or because the issue is raised by the child or an interested person such as a social worker.</w:t>
      </w:r>
    </w:p>
    <w:p w:rsidR="0095241C" w:rsidRPr="007B0F82" w:rsidRDefault="0095241C" w:rsidP="009104E8">
      <w:pPr>
        <w:pStyle w:val="BodyText"/>
        <w:widowControl w:val="0"/>
        <w:spacing w:before="0" w:after="0" w:line="240" w:lineRule="auto"/>
        <w:jc w:val="both"/>
        <w:rPr>
          <w:rFonts w:cs="Arial"/>
          <w:bCs/>
          <w:szCs w:val="20"/>
        </w:rPr>
      </w:pPr>
    </w:p>
    <w:p w:rsidR="0095241C" w:rsidRDefault="0095241C" w:rsidP="009104E8">
      <w:pPr>
        <w:pStyle w:val="BodyText"/>
        <w:widowControl w:val="0"/>
        <w:spacing w:before="0" w:after="0" w:line="240" w:lineRule="auto"/>
        <w:jc w:val="both"/>
        <w:rPr>
          <w:szCs w:val="20"/>
        </w:rPr>
      </w:pPr>
      <w:r w:rsidRPr="007B0F82">
        <w:rPr>
          <w:szCs w:val="20"/>
        </w:rPr>
        <w:t xml:space="preserve">There are exceptions to this rule: </w:t>
      </w:r>
    </w:p>
    <w:p w:rsidR="0095241C" w:rsidRPr="007B0F82" w:rsidRDefault="0095241C" w:rsidP="009104E8">
      <w:pPr>
        <w:pStyle w:val="BodyText"/>
        <w:widowControl w:val="0"/>
        <w:spacing w:before="0" w:after="0" w:line="240" w:lineRule="auto"/>
        <w:jc w:val="both"/>
        <w:rPr>
          <w:szCs w:val="20"/>
        </w:rPr>
      </w:pPr>
    </w:p>
    <w:p w:rsidR="0095241C" w:rsidRPr="00AC1EA6" w:rsidRDefault="0095241C" w:rsidP="008558C6">
      <w:pPr>
        <w:pStyle w:val="BTBullet1"/>
      </w:pPr>
      <w:r w:rsidRPr="00AC1EA6">
        <w:t xml:space="preserve">If the child carries on trade with the consent of the parent exercising parental authority even though the action touches matters not relating to trade, or if the said parent has expressly given his assent for the child to sue or be sued without his/her assistance; and </w:t>
      </w:r>
    </w:p>
    <w:p w:rsidR="0095241C" w:rsidRPr="00AC1EA6" w:rsidRDefault="0095241C" w:rsidP="008558C6">
      <w:pPr>
        <w:pStyle w:val="BTBullet1"/>
      </w:pPr>
      <w:r w:rsidRPr="00AC1EA6">
        <w:t>For children in an action against the said parent provided the child is represented by a curator ad litem</w:t>
      </w:r>
      <w:r w:rsidRPr="00AC1EA6">
        <w:rPr>
          <w:vertAlign w:val="superscript"/>
        </w:rPr>
        <w:footnoteReference w:id="71"/>
      </w:r>
      <w:r w:rsidRPr="00AC1EA6">
        <w:t xml:space="preserve">. </w:t>
      </w:r>
    </w:p>
    <w:p w:rsidR="0095241C" w:rsidRPr="00AC1EA6" w:rsidRDefault="0095241C" w:rsidP="008558C6">
      <w:pPr>
        <w:pStyle w:val="BTBullet1"/>
      </w:pPr>
      <w:r w:rsidRPr="00AC1EA6">
        <w:t>Maltese employment law allows children over 16 years of age to work and enter into a contract of employment</w:t>
      </w:r>
      <w:r w:rsidRPr="00AC1EA6">
        <w:rPr>
          <w:vertAlign w:val="superscript"/>
        </w:rPr>
        <w:footnoteReference w:id="72"/>
      </w:r>
      <w:r w:rsidRPr="00AC1EA6">
        <w:t xml:space="preserve">. These children can file a lawsuit in their own right if a dispute arises in connection with their employment contracts. </w:t>
      </w:r>
    </w:p>
    <w:p w:rsidR="0095241C" w:rsidRPr="007B0F82" w:rsidRDefault="0095241C" w:rsidP="009104E8">
      <w:pPr>
        <w:pStyle w:val="BodyText"/>
        <w:widowControl w:val="0"/>
        <w:spacing w:before="0" w:after="0" w:line="240" w:lineRule="auto"/>
        <w:jc w:val="both"/>
        <w:rPr>
          <w:szCs w:val="20"/>
        </w:rPr>
      </w:pPr>
    </w:p>
    <w:p w:rsidR="0095241C" w:rsidRPr="007B0F82" w:rsidRDefault="0095241C" w:rsidP="009104E8">
      <w:pPr>
        <w:pStyle w:val="BodyText"/>
        <w:widowControl w:val="0"/>
        <w:spacing w:before="0" w:after="0" w:line="240" w:lineRule="auto"/>
        <w:jc w:val="both"/>
        <w:rPr>
          <w:szCs w:val="20"/>
        </w:rPr>
      </w:pPr>
      <w:r w:rsidRPr="007B0F82">
        <w:rPr>
          <w:szCs w:val="20"/>
        </w:rPr>
        <w:t>It is also noted that a person who is subject to parental authority or to tutorship may not validly contract marriage without the consent of the person exercising such authority, or of the tutor. The court of voluntary jurisdiction, may upon good cause being shown, authorise the celebration of a marriage where the consent of the person exercising parental authority or of the tutor is not obtained. For the purposes of these proceedings the requirement to exercise the action through a parent, tutor or curator may be derogated from</w:t>
      </w:r>
      <w:r w:rsidRPr="007B0F82">
        <w:rPr>
          <w:rStyle w:val="FootnoteReference"/>
          <w:szCs w:val="20"/>
        </w:rPr>
        <w:footnoteReference w:id="73"/>
      </w:r>
      <w:r w:rsidRPr="007B0F82">
        <w:rPr>
          <w:szCs w:val="20"/>
        </w:rPr>
        <w:t>. Married children are no longer subject to parental authority and can sue or be sued in their own name without the need to appoint a curator.</w:t>
      </w:r>
    </w:p>
    <w:p w:rsidR="0095241C" w:rsidRPr="007B0F82" w:rsidRDefault="0095241C" w:rsidP="009104E8">
      <w:pPr>
        <w:pStyle w:val="BodyText"/>
        <w:widowControl w:val="0"/>
        <w:spacing w:before="0" w:after="0" w:line="240" w:lineRule="auto"/>
        <w:jc w:val="both"/>
        <w:rPr>
          <w:szCs w:val="20"/>
        </w:rPr>
      </w:pPr>
    </w:p>
    <w:p w:rsidR="0095241C" w:rsidRPr="007B0F82" w:rsidRDefault="0095241C" w:rsidP="009104E8">
      <w:pPr>
        <w:spacing w:before="0" w:after="0" w:line="240" w:lineRule="auto"/>
        <w:ind w:left="851"/>
        <w:jc w:val="both"/>
      </w:pPr>
      <w:r w:rsidRPr="007B0F82">
        <w:rPr>
          <w:bCs/>
        </w:rPr>
        <w:t>The</w:t>
      </w:r>
      <w:r w:rsidRPr="007B0F82">
        <w:t xml:space="preserve"> curator </w:t>
      </w:r>
      <w:r w:rsidRPr="007B0F82">
        <w:rPr>
          <w:i/>
          <w:iCs/>
        </w:rPr>
        <w:t xml:space="preserve">ad litem </w:t>
      </w:r>
      <w:r w:rsidRPr="007B0F82">
        <w:t>may be appointed by the court before which the action has been brought, or is about to be brought, upon the application of any interested person. The application for the appointment of a curator to represent a child wishing to sue may be made by any person. The court will refuse an application for the appointment of a curator if the person in respect of whom such appointment is applied for is already represented by a tutor or a curator, unless the action is against such tutor or curator</w:t>
      </w:r>
      <w:r w:rsidRPr="007B0F82">
        <w:rPr>
          <w:rStyle w:val="FootnoteReference"/>
          <w:rFonts w:cs="Arial"/>
        </w:rPr>
        <w:footnoteReference w:id="74"/>
      </w:r>
      <w:r w:rsidRPr="007B0F82">
        <w:t>.</w:t>
      </w:r>
    </w:p>
    <w:p w:rsidR="0095241C" w:rsidRPr="007B0F82" w:rsidRDefault="0095241C" w:rsidP="009104E8">
      <w:pPr>
        <w:pStyle w:val="NormalWeb"/>
        <w:spacing w:before="0" w:beforeAutospacing="0" w:after="0" w:afterAutospacing="0"/>
        <w:ind w:left="851"/>
        <w:jc w:val="both"/>
        <w:rPr>
          <w:sz w:val="20"/>
          <w:szCs w:val="20"/>
        </w:rPr>
      </w:pPr>
    </w:p>
    <w:p w:rsidR="0095241C" w:rsidRPr="007B0F82" w:rsidRDefault="0095241C" w:rsidP="009104E8">
      <w:pPr>
        <w:pStyle w:val="NormalWeb"/>
        <w:spacing w:before="0" w:beforeAutospacing="0" w:after="0" w:afterAutospacing="0"/>
        <w:ind w:left="851"/>
        <w:jc w:val="both"/>
        <w:rPr>
          <w:sz w:val="20"/>
          <w:szCs w:val="20"/>
          <w:lang w:eastAsia="en-US"/>
        </w:rPr>
      </w:pPr>
      <w:r w:rsidRPr="007B0F82">
        <w:rPr>
          <w:sz w:val="20"/>
          <w:szCs w:val="20"/>
        </w:rPr>
        <w:t xml:space="preserve">If the parent exercising parental authority, owing to absence or for other reasons, is unable or refuses to appear for the child, or is unable or refuses to give his/her assent for the child to sue, the requisite authority may be granted by the court of voluntary jurisdiction. </w:t>
      </w:r>
      <w:r w:rsidRPr="007B0F82">
        <w:rPr>
          <w:sz w:val="20"/>
          <w:szCs w:val="20"/>
          <w:lang w:eastAsia="en-US"/>
        </w:rPr>
        <w:t xml:space="preserve">In these cases the court of voluntary jurisdiction can grant the child a general authorisation to sue or be sued in any action which may be pending at the time, or which may thereafter be brought. </w:t>
      </w:r>
      <w:r w:rsidRPr="007B0F82">
        <w:rPr>
          <w:sz w:val="20"/>
          <w:szCs w:val="20"/>
        </w:rPr>
        <w:t>The court may grant such authorisation under such conditions as it deems proper, according to circumstances</w:t>
      </w:r>
      <w:r w:rsidRPr="007B0F82">
        <w:rPr>
          <w:rStyle w:val="FootnoteReference"/>
          <w:sz w:val="20"/>
          <w:szCs w:val="20"/>
        </w:rPr>
        <w:footnoteReference w:id="75"/>
      </w:r>
      <w:r w:rsidRPr="007B0F82">
        <w:rPr>
          <w:sz w:val="20"/>
          <w:szCs w:val="20"/>
        </w:rPr>
        <w:t xml:space="preserve">. </w:t>
      </w:r>
    </w:p>
    <w:p w:rsidR="0095241C" w:rsidRPr="007B0F82" w:rsidRDefault="0095241C" w:rsidP="009104E8">
      <w:pPr>
        <w:spacing w:before="0" w:after="0" w:line="240" w:lineRule="auto"/>
        <w:ind w:left="851"/>
      </w:pPr>
    </w:p>
    <w:p w:rsidR="0095241C" w:rsidRPr="007B0F82" w:rsidRDefault="0095241C" w:rsidP="009104E8">
      <w:pPr>
        <w:spacing w:before="0" w:after="0" w:line="240" w:lineRule="auto"/>
        <w:ind w:left="851"/>
        <w:jc w:val="both"/>
      </w:pPr>
      <w:r w:rsidRPr="007B0F82">
        <w:t>Any judicial act performed by, or against, any person who is under disability to sue or be sued, and not duly authorised for the purpose, is null. Nullity resulting from minority may only be alleged by the child him/herself or his/her heir. Any nullity from lack of the parent’s assent, may only be alleged by the parent and only whilst the child is still subject to parental authority. The defect of nullity may be cured, if the parent exercising parental authority or the curator affirms the acts</w:t>
      </w:r>
      <w:r w:rsidRPr="007B0F82">
        <w:rPr>
          <w:rStyle w:val="FootnoteReference"/>
        </w:rPr>
        <w:footnoteReference w:id="76"/>
      </w:r>
      <w:r w:rsidRPr="007B0F82">
        <w:t xml:space="preserve">. </w:t>
      </w:r>
    </w:p>
    <w:p w:rsidR="0095241C" w:rsidRPr="007B0F82" w:rsidRDefault="0095241C" w:rsidP="009104E8">
      <w:pPr>
        <w:spacing w:before="0" w:after="0" w:line="240" w:lineRule="auto"/>
        <w:ind w:left="851"/>
        <w:jc w:val="both"/>
      </w:pPr>
    </w:p>
    <w:p w:rsidR="0095241C" w:rsidRPr="00811568" w:rsidRDefault="0095241C" w:rsidP="00811568">
      <w:pPr>
        <w:spacing w:before="0" w:after="0" w:line="240" w:lineRule="auto"/>
        <w:ind w:left="851"/>
        <w:jc w:val="both"/>
      </w:pPr>
      <w:r w:rsidRPr="007B0F82">
        <w:t>When a child reaches the age of 18 during the proceedings, the proceedings will continue. However, issues of maintenance and custody and access will be extinguished. As regards maintenance, it is noted that the obligation of the parents to provide maintenance continues where it is not reasonably possible for the child to maintain him/herself adequately because s/he is a student participating in full-time education, training or learning and is under the age of 23</w:t>
      </w:r>
      <w:r w:rsidRPr="007B0F82">
        <w:rPr>
          <w:rStyle w:val="FootnoteReference"/>
        </w:rPr>
        <w:footnoteReference w:id="77"/>
      </w:r>
      <w:r w:rsidRPr="007B0F82">
        <w:t xml:space="preserve">. </w:t>
      </w:r>
    </w:p>
    <w:p w:rsidR="0095241C" w:rsidRPr="007B0F82" w:rsidRDefault="0095241C" w:rsidP="00AC1EA6">
      <w:pPr>
        <w:pStyle w:val="Heading4NoNumb"/>
        <w:spacing w:after="240"/>
        <w:ind w:left="851"/>
        <w:rPr>
          <w:rFonts w:cs="Arial"/>
          <w:b w:val="0"/>
          <w:sz w:val="20"/>
          <w:szCs w:val="20"/>
        </w:rPr>
      </w:pPr>
      <w:r w:rsidRPr="00AC1EA6">
        <w:t>The child as a witness</w:t>
      </w:r>
    </w:p>
    <w:p w:rsidR="0095241C" w:rsidRPr="007B0F82" w:rsidRDefault="0095241C" w:rsidP="009104E8">
      <w:pPr>
        <w:pStyle w:val="BodyText"/>
        <w:widowControl w:val="0"/>
        <w:spacing w:before="0" w:after="0"/>
        <w:jc w:val="both"/>
        <w:rPr>
          <w:rFonts w:cs="Arial"/>
          <w:szCs w:val="20"/>
        </w:rPr>
      </w:pPr>
      <w:r w:rsidRPr="007B0F82">
        <w:rPr>
          <w:rFonts w:cs="Arial"/>
          <w:szCs w:val="20"/>
        </w:rPr>
        <w:t>Children can participate in civil judicial proceedings as witnesses. In fact, all persons of sound mind can be admitted as witnesses, unless there are objections against their competency. There is no minimum age stated in the law and age does not constitute a ground of inadmissibility. The only requirement is that the witness understands that it is wrong to give false testimony</w:t>
      </w:r>
      <w:r w:rsidRPr="007B0F82">
        <w:rPr>
          <w:rStyle w:val="FootnoteReference"/>
          <w:szCs w:val="20"/>
        </w:rPr>
        <w:footnoteReference w:id="78"/>
      </w:r>
      <w:r w:rsidRPr="007B0F82">
        <w:rPr>
          <w:rFonts w:cs="Arial"/>
          <w:szCs w:val="20"/>
        </w:rPr>
        <w:t>. There is no provision stating that the agreement of the parent/guardian is necessary for the participation of the child in the proceedings as a witness. Nor are there special provisions for child witnesses.</w:t>
      </w:r>
    </w:p>
    <w:p w:rsidR="0095241C" w:rsidRPr="007B0F82" w:rsidRDefault="0095241C" w:rsidP="009104E8">
      <w:pPr>
        <w:pStyle w:val="BodyText"/>
        <w:widowControl w:val="0"/>
        <w:spacing w:before="0" w:after="0"/>
        <w:jc w:val="both"/>
        <w:rPr>
          <w:rFonts w:cs="Arial"/>
          <w:szCs w:val="20"/>
        </w:rPr>
      </w:pPr>
    </w:p>
    <w:p w:rsidR="0095241C" w:rsidRPr="00811568" w:rsidRDefault="0095241C" w:rsidP="00811568">
      <w:pPr>
        <w:pStyle w:val="BodyText"/>
        <w:widowControl w:val="0"/>
        <w:spacing w:before="0" w:after="0"/>
        <w:jc w:val="both"/>
        <w:rPr>
          <w:rFonts w:cs="Arial"/>
          <w:szCs w:val="20"/>
        </w:rPr>
      </w:pPr>
      <w:r w:rsidRPr="007B0F82">
        <w:rPr>
          <w:rFonts w:cs="Arial"/>
          <w:szCs w:val="20"/>
        </w:rPr>
        <w:t xml:space="preserve">Witnesses, including child witnesses, are examined in open court and </w:t>
      </w:r>
      <w:r w:rsidRPr="007B0F82">
        <w:rPr>
          <w:rFonts w:cs="Arial"/>
          <w:i/>
          <w:szCs w:val="20"/>
        </w:rPr>
        <w:t>viva voce</w:t>
      </w:r>
      <w:r w:rsidRPr="007B0F82">
        <w:rPr>
          <w:rFonts w:cs="Arial"/>
          <w:szCs w:val="20"/>
        </w:rPr>
        <w:t xml:space="preserve"> and may not be assisted or advised by any person.</w:t>
      </w:r>
      <w:r w:rsidRPr="007B0F82">
        <w:rPr>
          <w:szCs w:val="20"/>
        </w:rPr>
        <w:t xml:space="preserve"> Witnesses must answer any question allowed by the court and the court can compel them to do so by committing them to detention until they have sworn and </w:t>
      </w:r>
      <w:r w:rsidRPr="007B0F82">
        <w:rPr>
          <w:rFonts w:cs="Arial"/>
          <w:szCs w:val="20"/>
        </w:rPr>
        <w:t>answered. However, witnesses cannot be compelled to answer questions the answer to which may subject them to criminal prosecution. The court can also decide that a witness is not bound to answer a particular question on the ground that the answer might expose him/her to his/her own degradation</w:t>
      </w:r>
      <w:r w:rsidRPr="007B0F82">
        <w:rPr>
          <w:rStyle w:val="FootnoteReference"/>
          <w:szCs w:val="20"/>
        </w:rPr>
        <w:footnoteReference w:id="79"/>
      </w:r>
      <w:r w:rsidRPr="007B0F82">
        <w:rPr>
          <w:rFonts w:cs="Arial"/>
          <w:szCs w:val="20"/>
        </w:rPr>
        <w:t>. The law does not contain any statement, additional to these general rules, as to the conditions in which a child can refuse to be a witness.</w:t>
      </w:r>
    </w:p>
    <w:p w:rsidR="0095241C" w:rsidRPr="00AC1EA6" w:rsidRDefault="0095241C" w:rsidP="00AC1EA6">
      <w:pPr>
        <w:pStyle w:val="Heading4NoNumb"/>
        <w:spacing w:after="240"/>
        <w:ind w:left="851"/>
      </w:pPr>
      <w:r w:rsidRPr="00AC1EA6">
        <w:t xml:space="preserve">The child in any other role </w:t>
      </w:r>
    </w:p>
    <w:p w:rsidR="0095241C" w:rsidRPr="007B0F82" w:rsidRDefault="0095241C" w:rsidP="009104E8">
      <w:pPr>
        <w:pStyle w:val="BodyText"/>
        <w:widowControl w:val="0"/>
        <w:spacing w:before="0" w:after="0" w:line="240" w:lineRule="auto"/>
        <w:jc w:val="both"/>
        <w:rPr>
          <w:szCs w:val="20"/>
        </w:rPr>
      </w:pPr>
      <w:r w:rsidRPr="007B0F82">
        <w:rPr>
          <w:rFonts w:cs="Arial"/>
          <w:szCs w:val="20"/>
        </w:rPr>
        <w:t>The Civil Code grants children the right to be heard in civil judicial proceedings where the outcome has a direct impact on their present or future well-being</w:t>
      </w:r>
      <w:r w:rsidRPr="007B0F82">
        <w:rPr>
          <w:rStyle w:val="FootnoteReference"/>
          <w:szCs w:val="20"/>
        </w:rPr>
        <w:footnoteReference w:id="80"/>
      </w:r>
      <w:r w:rsidRPr="007B0F82">
        <w:rPr>
          <w:rFonts w:cs="Arial"/>
          <w:szCs w:val="20"/>
        </w:rPr>
        <w:t>. I</w:t>
      </w:r>
      <w:r w:rsidRPr="007B0F82">
        <w:rPr>
          <w:szCs w:val="20"/>
        </w:rPr>
        <w:t xml:space="preserve">n case of any </w:t>
      </w:r>
      <w:r w:rsidRPr="007B0F82">
        <w:rPr>
          <w:b/>
          <w:szCs w:val="20"/>
        </w:rPr>
        <w:t>disagreement between spouses</w:t>
      </w:r>
      <w:r w:rsidRPr="007B0F82">
        <w:rPr>
          <w:szCs w:val="20"/>
        </w:rPr>
        <w:t>, either spouse may apply to the competent court for its assistance. After hearing the spouses and if deemed opportune any of the children above 14 years of age residing with the spouses, the judge will seek to settle the disagreement amicably. Where an amicable settlement is not obtained and the disagreement relates to the establishment or change of the matrimonial home or to other matters of fundamental importance, the judge, if expressly requested by the spouses jointly, will determine the matter him/herself by providing the solution which s/he deems most suitable in the interest of the family and family life</w:t>
      </w:r>
      <w:r w:rsidRPr="007B0F82">
        <w:rPr>
          <w:rStyle w:val="FootnoteReference"/>
          <w:szCs w:val="20"/>
        </w:rPr>
        <w:footnoteReference w:id="81"/>
      </w:r>
      <w:r w:rsidRPr="007B0F82">
        <w:rPr>
          <w:szCs w:val="20"/>
        </w:rPr>
        <w:t>.  Where the children are less than 14 years old, this does not mean that they will be automatically excluded from the hearing but inclusion is at the court’s discretion</w:t>
      </w:r>
      <w:r w:rsidRPr="007B0F82">
        <w:rPr>
          <w:rStyle w:val="FootnoteReference"/>
          <w:szCs w:val="20"/>
        </w:rPr>
        <w:footnoteReference w:id="82"/>
      </w:r>
      <w:r w:rsidRPr="007B0F82">
        <w:rPr>
          <w:szCs w:val="20"/>
        </w:rPr>
        <w:t xml:space="preserve">. </w:t>
      </w:r>
    </w:p>
    <w:p w:rsidR="0095241C" w:rsidRPr="007B0F82" w:rsidRDefault="0095241C" w:rsidP="009104E8">
      <w:pPr>
        <w:pStyle w:val="BodyText"/>
        <w:widowControl w:val="0"/>
        <w:spacing w:before="0" w:after="0" w:line="240" w:lineRule="auto"/>
        <w:jc w:val="both"/>
        <w:rPr>
          <w:szCs w:val="20"/>
        </w:rPr>
      </w:pPr>
    </w:p>
    <w:p w:rsidR="0095241C" w:rsidRPr="007B0F82" w:rsidRDefault="0095241C" w:rsidP="009104E8">
      <w:pPr>
        <w:pStyle w:val="BodyText"/>
        <w:widowControl w:val="0"/>
        <w:spacing w:before="0" w:after="0" w:line="240" w:lineRule="auto"/>
        <w:jc w:val="both"/>
        <w:rPr>
          <w:szCs w:val="20"/>
        </w:rPr>
      </w:pPr>
      <w:r w:rsidRPr="007B0F82">
        <w:rPr>
          <w:szCs w:val="20"/>
        </w:rPr>
        <w:lastRenderedPageBreak/>
        <w:t xml:space="preserve">The Civil Code also states in the provisions on </w:t>
      </w:r>
      <w:r w:rsidRPr="007B0F82">
        <w:rPr>
          <w:b/>
          <w:szCs w:val="20"/>
        </w:rPr>
        <w:t>parental authority</w:t>
      </w:r>
      <w:r w:rsidRPr="007B0F82">
        <w:rPr>
          <w:szCs w:val="20"/>
        </w:rPr>
        <w:t xml:space="preserve"> that where the parents disagree on matters of particular importance, they can ask the court for directions. The court will hear the parents and the children who have reached 14 years of age and make those suggestions that it deems best in the interests of the children and the unity of the family. In the case of an imminent danger of serious harm to the child either parent can take those measures that are urgent and cannot be postponed</w:t>
      </w:r>
      <w:r w:rsidRPr="007B0F82">
        <w:rPr>
          <w:rStyle w:val="FootnoteReference"/>
          <w:szCs w:val="20"/>
        </w:rPr>
        <w:footnoteReference w:id="83"/>
      </w:r>
      <w:r w:rsidRPr="007B0F82">
        <w:rPr>
          <w:szCs w:val="20"/>
        </w:rPr>
        <w:t>.</w:t>
      </w:r>
    </w:p>
    <w:p w:rsidR="0095241C" w:rsidRPr="007B0F82" w:rsidRDefault="0095241C" w:rsidP="009104E8">
      <w:pPr>
        <w:spacing w:before="0" w:after="0" w:line="240" w:lineRule="auto"/>
        <w:ind w:left="851"/>
        <w:jc w:val="both"/>
        <w:rPr>
          <w:b/>
        </w:rPr>
      </w:pPr>
    </w:p>
    <w:p w:rsidR="0095241C" w:rsidRPr="00811568" w:rsidRDefault="0095241C" w:rsidP="00811568">
      <w:pPr>
        <w:spacing w:before="0" w:after="0" w:line="240" w:lineRule="auto"/>
        <w:ind w:left="851"/>
        <w:jc w:val="both"/>
      </w:pPr>
      <w:r w:rsidRPr="007B0F82">
        <w:t xml:space="preserve">In </w:t>
      </w:r>
      <w:r w:rsidRPr="007B0F82">
        <w:rPr>
          <w:b/>
        </w:rPr>
        <w:t>adoption proceedings</w:t>
      </w:r>
      <w:r w:rsidRPr="007B0F82">
        <w:t>, before an adoption decree is made, the court must hear the person who has the care and custody of the child to be adopted and must hear the child’s advocate and/or social worker appointed by the court to protect the best interests of the child and to secure his/her representation</w:t>
      </w:r>
      <w:r w:rsidRPr="007B0F82">
        <w:rPr>
          <w:rStyle w:val="FootnoteReference"/>
        </w:rPr>
        <w:footnoteReference w:id="84"/>
      </w:r>
      <w:r w:rsidRPr="007B0F82">
        <w:t>. The court must be satisfied that the decree will be for the welfare of the person to be adopted</w:t>
      </w:r>
      <w:r w:rsidRPr="007B0F82">
        <w:rPr>
          <w:rStyle w:val="FootnoteReference"/>
        </w:rPr>
        <w:footnoteReference w:id="85"/>
      </w:r>
      <w:r w:rsidRPr="007B0F82">
        <w:t>.</w:t>
      </w:r>
    </w:p>
    <w:p w:rsidR="0095241C" w:rsidRPr="00AC1EA6" w:rsidRDefault="0095241C" w:rsidP="008558C6">
      <w:pPr>
        <w:pStyle w:val="Heading3NoNumb"/>
        <w:ind w:firstLine="851"/>
      </w:pPr>
      <w:bookmarkStart w:id="70" w:name="_Toc407962121"/>
      <w:r w:rsidRPr="00AC1EA6">
        <w:t>Interim measures</w:t>
      </w:r>
      <w:bookmarkEnd w:id="70"/>
    </w:p>
    <w:p w:rsidR="0095241C" w:rsidRDefault="0095241C" w:rsidP="009104E8">
      <w:pPr>
        <w:pStyle w:val="BodyText"/>
        <w:widowControl w:val="0"/>
        <w:spacing w:before="0" w:after="0" w:line="240" w:lineRule="auto"/>
        <w:jc w:val="both"/>
        <w:rPr>
          <w:szCs w:val="20"/>
        </w:rPr>
      </w:pPr>
      <w:r w:rsidRPr="007B0F82">
        <w:rPr>
          <w:szCs w:val="20"/>
        </w:rPr>
        <w:t>The court can also give certain directions relating to children pending proceedings. These measures were identified with respect to separation or divorce proceedings as follows:</w:t>
      </w:r>
    </w:p>
    <w:p w:rsidR="0095241C" w:rsidRPr="007B0F82" w:rsidRDefault="0095241C" w:rsidP="009104E8">
      <w:pPr>
        <w:pStyle w:val="BodyText"/>
        <w:widowControl w:val="0"/>
        <w:spacing w:before="0" w:after="0" w:line="240" w:lineRule="auto"/>
        <w:jc w:val="both"/>
        <w:rPr>
          <w:szCs w:val="20"/>
        </w:rPr>
      </w:pPr>
    </w:p>
    <w:p w:rsidR="0095241C" w:rsidRPr="00AC1EA6" w:rsidRDefault="0095241C" w:rsidP="008558C6">
      <w:pPr>
        <w:pStyle w:val="BTBullet1"/>
      </w:pPr>
      <w:r w:rsidRPr="00AC1EA6">
        <w:t>During separation proceedings the court may order that one party pays the other a sum (periodic payments), to maintain any of their children. This sum is to be paid if the court is satisfied that such party would according to law be liable to pay maintenance (i.e. at this stage the court makes a prima facie assessment and decides whether one would likely be liable to pay maintenance at the outcome of the separation process or not)</w:t>
      </w:r>
      <w:r w:rsidRPr="00AC1EA6">
        <w:rPr>
          <w:vertAlign w:val="superscript"/>
        </w:rPr>
        <w:footnoteReference w:id="86"/>
      </w:r>
      <w:r w:rsidRPr="00AC1EA6">
        <w:t xml:space="preserve">. </w:t>
      </w:r>
    </w:p>
    <w:p w:rsidR="0095241C" w:rsidRPr="00AC1EA6" w:rsidRDefault="0095241C" w:rsidP="008558C6">
      <w:pPr>
        <w:pStyle w:val="BTBullet1"/>
      </w:pPr>
      <w:r w:rsidRPr="00AC1EA6">
        <w:t>Pending the outcome of separation proceedings, the court will give directions concerning the custody of the children. The paramount consideration will be the children’s welfare</w:t>
      </w:r>
      <w:r w:rsidRPr="00AC1EA6">
        <w:rPr>
          <w:vertAlign w:val="superscript"/>
        </w:rPr>
        <w:footnoteReference w:id="87"/>
      </w:r>
      <w:r w:rsidRPr="00AC1EA6">
        <w:t>. These directions are given by the court on its own initiative, without the requirement for one of the parties to request them.</w:t>
      </w:r>
    </w:p>
    <w:p w:rsidR="0095241C" w:rsidRPr="00AC1EA6" w:rsidRDefault="0095241C" w:rsidP="008558C6">
      <w:pPr>
        <w:pStyle w:val="BTBullet1"/>
      </w:pPr>
      <w:r w:rsidRPr="00AC1EA6">
        <w:t>The court can suspend an action for separation where it is in the interest of the spouses and the children. In such case it will give such interim directions as circumstances may require</w:t>
      </w:r>
      <w:r w:rsidRPr="00AC1EA6">
        <w:rPr>
          <w:vertAlign w:val="superscript"/>
        </w:rPr>
        <w:footnoteReference w:id="88"/>
      </w:r>
      <w:r w:rsidRPr="00AC1EA6">
        <w:t xml:space="preserve">. </w:t>
      </w:r>
    </w:p>
    <w:p w:rsidR="0095241C" w:rsidRPr="00AC1EA6" w:rsidRDefault="0095241C" w:rsidP="008558C6">
      <w:pPr>
        <w:pStyle w:val="BTBullet1"/>
      </w:pPr>
      <w:r w:rsidRPr="00AC1EA6">
        <w:t>Where the competent civil court accepts a demand for divorce, and upon a demand of that party to whom, during the hearing of the case maintenance was due for the party or for the children, from the other party, it may order that the payment of maintenance from the other party be safeguarded through a guarantee. The guarantee will not be of an amount exceeding the amount of maintenance for five years. The court will only grant this order where there is evidence that during the hearing or prior to the start of proceedings, the party from whom the guarantee is demanded did not fulfil the obligation to pay maintenance, or where serious objective circumstances show the necessity of the guarantee</w:t>
      </w:r>
      <w:r w:rsidRPr="00AC1EA6">
        <w:rPr>
          <w:vertAlign w:val="superscript"/>
        </w:rPr>
        <w:footnoteReference w:id="89"/>
      </w:r>
      <w:r w:rsidRPr="00AC1EA6">
        <w:t xml:space="preserve">. </w:t>
      </w:r>
    </w:p>
    <w:p w:rsidR="0095241C" w:rsidRPr="007B0F82" w:rsidRDefault="0095241C" w:rsidP="009104E8">
      <w:pPr>
        <w:pStyle w:val="BodyText"/>
        <w:widowControl w:val="0"/>
        <w:spacing w:before="0" w:after="0" w:line="240" w:lineRule="auto"/>
        <w:jc w:val="both"/>
        <w:rPr>
          <w:bCs/>
          <w:szCs w:val="20"/>
        </w:rPr>
      </w:pPr>
    </w:p>
    <w:p w:rsidR="0095241C" w:rsidRPr="007B0F82" w:rsidRDefault="0095241C" w:rsidP="00811568">
      <w:pPr>
        <w:pStyle w:val="BodyText"/>
        <w:widowControl w:val="0"/>
        <w:spacing w:before="0" w:after="0" w:line="240" w:lineRule="auto"/>
        <w:jc w:val="both"/>
        <w:rPr>
          <w:bCs/>
          <w:szCs w:val="20"/>
        </w:rPr>
      </w:pPr>
      <w:r w:rsidRPr="007B0F82">
        <w:rPr>
          <w:bCs/>
          <w:szCs w:val="20"/>
        </w:rPr>
        <w:t xml:space="preserve">In the case of international child abduction, the </w:t>
      </w:r>
      <w:hyperlink r:id="rId37" w:history="1">
        <w:r w:rsidRPr="007B0F82">
          <w:rPr>
            <w:rStyle w:val="Hyperlink"/>
            <w:bCs/>
            <w:szCs w:val="20"/>
          </w:rPr>
          <w:t>Child Abduction and Custody Act</w:t>
        </w:r>
      </w:hyperlink>
      <w:r w:rsidRPr="007B0F82">
        <w:rPr>
          <w:rStyle w:val="FootnoteReference"/>
          <w:bCs/>
          <w:szCs w:val="20"/>
        </w:rPr>
        <w:footnoteReference w:id="90"/>
      </w:r>
      <w:r w:rsidRPr="007B0F82">
        <w:rPr>
          <w:bCs/>
          <w:szCs w:val="20"/>
        </w:rPr>
        <w:t xml:space="preserve"> specifically grants the court interim powers. Where an application has been made under the Convention on the Civil Aspects of International Child Abduction, the First Hall of the Civil Court may, at any time before the application is determined, give the interim measures it thinks fit for the purpose of securing the welfare of the child concerned or of preventing changes in the circumstances relevant to the determination of the application</w:t>
      </w:r>
      <w:r w:rsidRPr="007B0F82">
        <w:rPr>
          <w:rStyle w:val="FootnoteReference"/>
          <w:bCs/>
          <w:szCs w:val="20"/>
        </w:rPr>
        <w:footnoteReference w:id="91"/>
      </w:r>
      <w:r w:rsidRPr="007B0F82">
        <w:rPr>
          <w:bCs/>
          <w:szCs w:val="20"/>
        </w:rPr>
        <w:t xml:space="preserve">. Custody decisions made by </w:t>
      </w:r>
      <w:r w:rsidRPr="007B0F82">
        <w:rPr>
          <w:bCs/>
          <w:szCs w:val="20"/>
        </w:rPr>
        <w:lastRenderedPageBreak/>
        <w:t>an authority in a Contracting State to the European Convention</w:t>
      </w:r>
      <w:r w:rsidRPr="007B0F82">
        <w:rPr>
          <w:rFonts w:cs="Arial"/>
          <w:szCs w:val="20"/>
        </w:rPr>
        <w:t xml:space="preserve"> </w:t>
      </w:r>
      <w:r w:rsidRPr="007B0F82">
        <w:rPr>
          <w:bCs/>
          <w:szCs w:val="20"/>
        </w:rPr>
        <w:t>on Recognition and Enforcement of Decisions concerning Custody of Children and on the Restoration of Custody of Children are registered in the Court of Appeal. The Court of Appeal also has interim powers. It may, at any time before the application for the registration of a decision is determined, give interim directions as it thinks fit for securing the welfare of the child concerned or of preventing changes in the circumstances relevant to the determination of the application or to the determination of any subsequent application for the enforcement of the decision</w:t>
      </w:r>
      <w:r w:rsidRPr="007B0F82">
        <w:rPr>
          <w:rStyle w:val="FootnoteReference"/>
          <w:bCs/>
          <w:szCs w:val="20"/>
        </w:rPr>
        <w:footnoteReference w:id="92"/>
      </w:r>
      <w:r>
        <w:rPr>
          <w:bCs/>
          <w:szCs w:val="20"/>
        </w:rPr>
        <w:t>.</w:t>
      </w:r>
    </w:p>
    <w:p w:rsidR="0095241C" w:rsidRPr="00AC1EA6" w:rsidRDefault="0095241C" w:rsidP="008558C6">
      <w:pPr>
        <w:pStyle w:val="Heading3NoNumb"/>
        <w:ind w:firstLine="851"/>
      </w:pPr>
      <w:bookmarkStart w:id="71" w:name="_Toc407962122"/>
      <w:r w:rsidRPr="00AC1EA6">
        <w:t>Child protection cases</w:t>
      </w:r>
      <w:bookmarkEnd w:id="71"/>
    </w:p>
    <w:p w:rsidR="0095241C" w:rsidRPr="007B0F82" w:rsidRDefault="0095241C" w:rsidP="00811568">
      <w:pPr>
        <w:pStyle w:val="BodyText"/>
        <w:widowControl w:val="0"/>
        <w:spacing w:before="0" w:after="0" w:line="240" w:lineRule="auto"/>
        <w:jc w:val="both"/>
        <w:rPr>
          <w:rFonts w:cs="Arial"/>
          <w:szCs w:val="20"/>
        </w:rPr>
      </w:pPr>
      <w:r w:rsidRPr="007B0F82">
        <w:rPr>
          <w:rFonts w:cs="Arial"/>
          <w:szCs w:val="20"/>
        </w:rPr>
        <w:t xml:space="preserve">Child protection cases can be started by the legal department of </w:t>
      </w:r>
      <w:r w:rsidRPr="007B0F82">
        <w:rPr>
          <w:i/>
          <w:szCs w:val="20"/>
        </w:rPr>
        <w:t>Aġenzija Appoġġ</w:t>
      </w:r>
      <w:r w:rsidRPr="007B0F82">
        <w:rPr>
          <w:szCs w:val="20"/>
        </w:rPr>
        <w:t xml:space="preserve"> </w:t>
      </w:r>
      <w:r w:rsidRPr="007B0F82">
        <w:rPr>
          <w:rFonts w:cs="Arial"/>
          <w:szCs w:val="20"/>
        </w:rPr>
        <w:t xml:space="preserve">or by a private lawyer. Usually </w:t>
      </w:r>
      <w:r w:rsidRPr="007B0F82">
        <w:rPr>
          <w:i/>
          <w:szCs w:val="20"/>
        </w:rPr>
        <w:t>Aġenzija Appoġġ</w:t>
      </w:r>
      <w:r w:rsidRPr="007B0F82">
        <w:rPr>
          <w:rFonts w:cs="Arial"/>
          <w:szCs w:val="20"/>
        </w:rPr>
        <w:t xml:space="preserve"> takes care of these matters and children are taken away from their home and a care order</w:t>
      </w:r>
      <w:r w:rsidRPr="007B0F82">
        <w:rPr>
          <w:rStyle w:val="FootnoteReference"/>
          <w:szCs w:val="20"/>
        </w:rPr>
        <w:footnoteReference w:id="93"/>
      </w:r>
      <w:r w:rsidRPr="007B0F82">
        <w:rPr>
          <w:rFonts w:cs="Arial"/>
          <w:szCs w:val="20"/>
        </w:rPr>
        <w:t xml:space="preserve"> is issued by the Children and Young Persons Advisory Board</w:t>
      </w:r>
      <w:r w:rsidRPr="007B0F82">
        <w:rPr>
          <w:rStyle w:val="FootnoteReference"/>
          <w:szCs w:val="20"/>
        </w:rPr>
        <w:footnoteReference w:id="94"/>
      </w:r>
      <w:r w:rsidRPr="007B0F82">
        <w:rPr>
          <w:rFonts w:cs="Arial"/>
          <w:szCs w:val="20"/>
        </w:rPr>
        <w:t>.</w:t>
      </w:r>
    </w:p>
    <w:p w:rsidR="0095241C" w:rsidRPr="00AC1EA6" w:rsidRDefault="0095241C" w:rsidP="008558C6">
      <w:pPr>
        <w:pStyle w:val="Heading3NoNumb"/>
        <w:ind w:firstLine="851"/>
      </w:pPr>
      <w:bookmarkStart w:id="72" w:name="_Toc407962123"/>
      <w:r w:rsidRPr="00AC1EA6">
        <w:t>Children as interveners</w:t>
      </w:r>
      <w:bookmarkEnd w:id="72"/>
    </w:p>
    <w:p w:rsidR="0095241C" w:rsidRPr="007B0F82" w:rsidRDefault="0095241C" w:rsidP="00AC1EA6">
      <w:pPr>
        <w:pStyle w:val="BodyText"/>
        <w:widowControl w:val="0"/>
        <w:spacing w:before="0"/>
        <w:jc w:val="both"/>
        <w:rPr>
          <w:bCs/>
          <w:szCs w:val="20"/>
        </w:rPr>
      </w:pPr>
      <w:r w:rsidRPr="00435CDB">
        <w:rPr>
          <w:bCs/>
          <w:szCs w:val="20"/>
        </w:rPr>
        <w:t xml:space="preserve">Any person who shows to the satisfaction of the court that s/he is interested in a case already pending between other parties, may, on an application, be admitted </w:t>
      </w:r>
      <w:r w:rsidRPr="00435CDB">
        <w:rPr>
          <w:bCs/>
          <w:iCs/>
          <w:szCs w:val="20"/>
        </w:rPr>
        <w:t>to enter the proceedings</w:t>
      </w:r>
      <w:r w:rsidRPr="00435CDB">
        <w:rPr>
          <w:bCs/>
          <w:szCs w:val="20"/>
        </w:rPr>
        <w:t xml:space="preserve">, as a party to the suit at any stage. Such admission does not suspend the proceedings of the suit. A third party can also by decree of the court, at any stage of the proceedings before the </w:t>
      </w:r>
      <w:r>
        <w:rPr>
          <w:bCs/>
          <w:szCs w:val="20"/>
        </w:rPr>
        <w:t>judgement</w:t>
      </w:r>
      <w:r w:rsidRPr="00435CDB">
        <w:rPr>
          <w:bCs/>
          <w:szCs w:val="20"/>
        </w:rPr>
        <w:t xml:space="preserve">, be joined in any suit pending between other parties in a court of first instance, whether upon the demand of either of such parties, or without any such demand. The third party joined in the suit will be served with the application, and for all purposes will be considered as a defendant; and as such s/he shall be entitled to file any written pleading, raise any plea and avail him/herself of any other benefit which the law allows to a defendant. The claim may, according to circumstances, be allowed or disallowed in his regard, </w:t>
      </w:r>
      <w:r w:rsidRPr="007B0F82">
        <w:rPr>
          <w:bCs/>
          <w:szCs w:val="20"/>
        </w:rPr>
        <w:t>as if he were an original defendant</w:t>
      </w:r>
      <w:r w:rsidRPr="007B0F82">
        <w:rPr>
          <w:rStyle w:val="FootnoteReference"/>
          <w:bCs/>
          <w:szCs w:val="20"/>
        </w:rPr>
        <w:footnoteReference w:id="95"/>
      </w:r>
      <w:r w:rsidRPr="007B0F82">
        <w:rPr>
          <w:bCs/>
          <w:szCs w:val="20"/>
        </w:rPr>
        <w:t>.</w:t>
      </w:r>
    </w:p>
    <w:p w:rsidR="0095241C" w:rsidRPr="007B0F82" w:rsidRDefault="0095241C" w:rsidP="00811568">
      <w:pPr>
        <w:pStyle w:val="BodyText"/>
        <w:widowControl w:val="0"/>
        <w:jc w:val="both"/>
        <w:rPr>
          <w:bCs/>
          <w:szCs w:val="20"/>
        </w:rPr>
      </w:pPr>
      <w:r w:rsidRPr="007B0F82">
        <w:rPr>
          <w:bCs/>
          <w:szCs w:val="20"/>
        </w:rPr>
        <w:t>The right to intervene in or join a case would need to be exercised by the parents or other legal representative of the child in accordance with the rules described above under the child as plaintiff/defendant’.</w:t>
      </w:r>
    </w:p>
    <w:p w:rsidR="0095241C" w:rsidRPr="00435CDB" w:rsidRDefault="0095241C" w:rsidP="00AC1EA6">
      <w:pPr>
        <w:pStyle w:val="Heading2"/>
      </w:pPr>
      <w:bookmarkStart w:id="73" w:name="_Provision_of_information"/>
      <w:bookmarkStart w:id="74" w:name="_Toc338234111"/>
      <w:bookmarkStart w:id="75" w:name="_Toc350439426"/>
      <w:bookmarkStart w:id="76" w:name="_Toc407962124"/>
      <w:bookmarkEnd w:id="73"/>
      <w:r w:rsidRPr="007B0F82">
        <w:t>Provision of information</w:t>
      </w:r>
      <w:bookmarkEnd w:id="74"/>
      <w:bookmarkEnd w:id="75"/>
      <w:bookmarkEnd w:id="76"/>
    </w:p>
    <w:p w:rsidR="0095241C" w:rsidRPr="00AC1EA6" w:rsidRDefault="0095241C" w:rsidP="00AC1EA6">
      <w:pPr>
        <w:pStyle w:val="Heading4NoNumb"/>
        <w:spacing w:after="240"/>
        <w:ind w:left="851"/>
      </w:pPr>
      <w:r w:rsidRPr="00AC1EA6">
        <w:t>The child as a plaintiff/defendant</w:t>
      </w:r>
    </w:p>
    <w:p w:rsidR="0095241C" w:rsidRPr="007B0F82" w:rsidRDefault="0095241C" w:rsidP="009104E8">
      <w:pPr>
        <w:pStyle w:val="BodyText"/>
        <w:jc w:val="both"/>
        <w:rPr>
          <w:rFonts w:cs="Arial"/>
          <w:b/>
          <w:szCs w:val="20"/>
        </w:rPr>
      </w:pPr>
      <w:r w:rsidRPr="007B0F82">
        <w:rPr>
          <w:rFonts w:cs="Arial"/>
          <w:szCs w:val="20"/>
        </w:rPr>
        <w:t xml:space="preserve">There do not seem to be any specific </w:t>
      </w:r>
      <w:r w:rsidRPr="007B0F82">
        <w:rPr>
          <w:rFonts w:cs="Arial"/>
          <w:bCs/>
          <w:szCs w:val="20"/>
        </w:rPr>
        <w:t xml:space="preserve">legal requirements/policies </w:t>
      </w:r>
      <w:r w:rsidRPr="007B0F82">
        <w:rPr>
          <w:rFonts w:cs="Arial"/>
          <w:szCs w:val="20"/>
        </w:rPr>
        <w:t xml:space="preserve">in place to ensure that children are promptly and adequately informed of their rights and obligations and that this information is provided in a child-friendly manner. </w:t>
      </w:r>
      <w:r w:rsidRPr="007B0F82">
        <w:rPr>
          <w:szCs w:val="20"/>
        </w:rPr>
        <w:t xml:space="preserve">Likewise, no special measures seem to exist to ensure that parents or other representatives of the child are informed of all aspects of judicial proceedings. </w:t>
      </w:r>
      <w:r w:rsidRPr="007B0F82">
        <w:rPr>
          <w:rFonts w:cs="Arial"/>
          <w:szCs w:val="20"/>
        </w:rPr>
        <w:t>This information is typically provided by lawyers and will therefore depend on the lawyer in question.</w:t>
      </w:r>
    </w:p>
    <w:p w:rsidR="0095241C" w:rsidRPr="007B0F82" w:rsidRDefault="0095241C" w:rsidP="009104E8">
      <w:pPr>
        <w:pStyle w:val="BodyText"/>
        <w:widowControl w:val="0"/>
        <w:jc w:val="both"/>
        <w:rPr>
          <w:rFonts w:cs="Arial"/>
          <w:szCs w:val="20"/>
        </w:rPr>
      </w:pPr>
      <w:r w:rsidRPr="007B0F82">
        <w:rPr>
          <w:rFonts w:cs="Arial"/>
          <w:szCs w:val="20"/>
        </w:rPr>
        <w:t xml:space="preserve">The general rules relating to the service of written pleadings and other acts of procedure apply also in cases involving children. This includes the procedures for the service of documents on plaintiffs or defendants containing information on the claim and the determination of the time and place of procedures. </w:t>
      </w:r>
    </w:p>
    <w:p w:rsidR="0095241C" w:rsidRPr="007B0F82" w:rsidRDefault="0095241C" w:rsidP="009104E8">
      <w:pPr>
        <w:pStyle w:val="NormalWeb"/>
        <w:ind w:left="851"/>
        <w:jc w:val="both"/>
        <w:rPr>
          <w:sz w:val="20"/>
          <w:szCs w:val="20"/>
        </w:rPr>
      </w:pPr>
      <w:r w:rsidRPr="007B0F82">
        <w:rPr>
          <w:sz w:val="20"/>
          <w:szCs w:val="20"/>
        </w:rPr>
        <w:t>Written pleadings may be filed by the person pleading in a representative capacity as the parent of the children placed under his/her parental authority, or as the tutor or curator</w:t>
      </w:r>
      <w:r w:rsidRPr="007B0F82">
        <w:rPr>
          <w:rStyle w:val="FootnoteReference"/>
          <w:sz w:val="20"/>
          <w:szCs w:val="20"/>
        </w:rPr>
        <w:footnoteReference w:id="96"/>
      </w:r>
      <w:r w:rsidRPr="007B0F82">
        <w:rPr>
          <w:sz w:val="20"/>
          <w:szCs w:val="20"/>
        </w:rPr>
        <w:t xml:space="preserve">. </w:t>
      </w:r>
      <w:r w:rsidRPr="007B0F82">
        <w:rPr>
          <w:sz w:val="20"/>
          <w:szCs w:val="20"/>
          <w:lang w:eastAsia="en-US"/>
        </w:rPr>
        <w:t xml:space="preserve">Service of the written pleadings is effected by the delivery of a copy of the pleading to the person on whom the pleading is to be served or by leaving such copy at the place of residence </w:t>
      </w:r>
      <w:r w:rsidRPr="007B0F82">
        <w:rPr>
          <w:sz w:val="20"/>
          <w:szCs w:val="20"/>
          <w:lang w:eastAsia="en-US"/>
        </w:rPr>
        <w:lastRenderedPageBreak/>
        <w:t xml:space="preserve">or business or place of work or postal address of such person, with some member of his/her family or household or with some person in his/her service or his/her </w:t>
      </w:r>
      <w:r>
        <w:rPr>
          <w:sz w:val="20"/>
          <w:szCs w:val="20"/>
          <w:lang w:eastAsia="en-US"/>
        </w:rPr>
        <w:t>lawyer</w:t>
      </w:r>
      <w:r w:rsidRPr="007B0F82">
        <w:rPr>
          <w:sz w:val="20"/>
          <w:szCs w:val="20"/>
          <w:lang w:eastAsia="en-US"/>
        </w:rPr>
        <w:t xml:space="preserve"> or person authorised to receive his mail. It is not</w:t>
      </w:r>
      <w:r w:rsidRPr="007B0F82">
        <w:rPr>
          <w:sz w:val="20"/>
          <w:szCs w:val="20"/>
        </w:rPr>
        <w:t xml:space="preserve"> lawful to leave such copy with any person under the age of 14 years</w:t>
      </w:r>
      <w:r w:rsidRPr="007B0F82">
        <w:rPr>
          <w:rStyle w:val="FootnoteReference"/>
          <w:sz w:val="20"/>
          <w:szCs w:val="20"/>
        </w:rPr>
        <w:footnoteReference w:id="97"/>
      </w:r>
      <w:r w:rsidRPr="007B0F82">
        <w:rPr>
          <w:sz w:val="20"/>
          <w:szCs w:val="20"/>
        </w:rPr>
        <w:t xml:space="preserve">. </w:t>
      </w:r>
    </w:p>
    <w:p w:rsidR="0095241C" w:rsidRPr="00811568" w:rsidRDefault="0095241C" w:rsidP="00811568">
      <w:pPr>
        <w:pStyle w:val="BodyText"/>
        <w:widowControl w:val="0"/>
        <w:spacing w:before="0" w:after="0" w:line="240" w:lineRule="auto"/>
        <w:jc w:val="both"/>
        <w:rPr>
          <w:szCs w:val="20"/>
        </w:rPr>
      </w:pPr>
      <w:r w:rsidRPr="007B0F82">
        <w:rPr>
          <w:rFonts w:cs="Arial"/>
          <w:szCs w:val="20"/>
        </w:rPr>
        <w:t>Once the written pleadings are concluded, the case is set down for pre-trial or trial hearings and must be brought to a conclusion as expeditiously as possible</w:t>
      </w:r>
      <w:r w:rsidRPr="007B0F82">
        <w:rPr>
          <w:szCs w:val="20"/>
        </w:rPr>
        <w:t xml:space="preserve">. At the first hearing of both the pre-trial stage and the trial stage, the court will plan in advance, after consulting with the lawyers of the parties, all the sittings to be held as well as the projected date of </w:t>
      </w:r>
      <w:r>
        <w:rPr>
          <w:szCs w:val="20"/>
        </w:rPr>
        <w:t>judgement</w:t>
      </w:r>
      <w:r w:rsidRPr="007B0F82">
        <w:rPr>
          <w:szCs w:val="20"/>
        </w:rPr>
        <w:t xml:space="preserve"> and will also direct the parties on what evidence and submissions it expects to be made at each sitting. In general all cases must be appointed for hearing within two months</w:t>
      </w:r>
      <w:r w:rsidRPr="007B0F82">
        <w:rPr>
          <w:rStyle w:val="FootnoteReference"/>
          <w:szCs w:val="20"/>
        </w:rPr>
        <w:footnoteReference w:id="98"/>
      </w:r>
      <w:r w:rsidRPr="007B0F82">
        <w:rPr>
          <w:szCs w:val="20"/>
        </w:rPr>
        <w:t xml:space="preserve">. </w:t>
      </w:r>
    </w:p>
    <w:p w:rsidR="0095241C" w:rsidRPr="00AC1EA6" w:rsidRDefault="0095241C" w:rsidP="008558C6">
      <w:pPr>
        <w:pStyle w:val="Heading3NoNumb"/>
        <w:ind w:firstLine="851"/>
      </w:pPr>
      <w:bookmarkStart w:id="77" w:name="_Toc407962125"/>
      <w:r w:rsidRPr="00AC1EA6">
        <w:t>Remedies</w:t>
      </w:r>
      <w:bookmarkEnd w:id="77"/>
      <w:r w:rsidRPr="00AC1EA6">
        <w:t xml:space="preserve"> </w:t>
      </w:r>
    </w:p>
    <w:p w:rsidR="0095241C" w:rsidRPr="00811568" w:rsidRDefault="0095241C" w:rsidP="00811568">
      <w:pPr>
        <w:pStyle w:val="BodyText"/>
        <w:keepNext/>
        <w:widowControl w:val="0"/>
        <w:spacing w:before="0" w:after="0" w:line="240" w:lineRule="auto"/>
        <w:jc w:val="both"/>
        <w:rPr>
          <w:rFonts w:cs="Arial"/>
          <w:szCs w:val="20"/>
        </w:rPr>
      </w:pPr>
      <w:r w:rsidRPr="007B0F82">
        <w:rPr>
          <w:rFonts w:cs="Arial"/>
          <w:szCs w:val="20"/>
        </w:rPr>
        <w:t xml:space="preserve">There are no specific provisions on how children are informed about their rights to remedy for possible violations of their rights, including the opportunity to have recourse to judicial or non-judicial proceedings or other interventions. In practice the lawyer or other representative of the child will provide this information. </w:t>
      </w:r>
    </w:p>
    <w:p w:rsidR="0095241C" w:rsidRPr="00AC1EA6" w:rsidRDefault="0095241C" w:rsidP="008558C6">
      <w:pPr>
        <w:pStyle w:val="Heading3NoNumb"/>
        <w:ind w:firstLine="851"/>
      </w:pPr>
      <w:bookmarkStart w:id="78" w:name="_Toc407962126"/>
      <w:r w:rsidRPr="00AC1EA6">
        <w:t>Support services</w:t>
      </w:r>
      <w:bookmarkEnd w:id="78"/>
    </w:p>
    <w:p w:rsidR="0095241C" w:rsidRPr="007B0F82" w:rsidRDefault="0095241C" w:rsidP="009104E8">
      <w:pPr>
        <w:widowControl w:val="0"/>
        <w:autoSpaceDE w:val="0"/>
        <w:autoSpaceDN w:val="0"/>
        <w:adjustRightInd w:val="0"/>
        <w:spacing w:before="0" w:after="200" w:line="240" w:lineRule="auto"/>
        <w:ind w:left="851"/>
        <w:jc w:val="both"/>
      </w:pPr>
      <w:r w:rsidRPr="007B0F82">
        <w:t xml:space="preserve">As regards ensuring that children receive information on the availability of support services (psychological, social and other) and the means of accessing such services, reference may be made to </w:t>
      </w:r>
      <w:r w:rsidRPr="007B0F82">
        <w:rPr>
          <w:i/>
        </w:rPr>
        <w:t>Supportline 179</w:t>
      </w:r>
      <w:r w:rsidRPr="007B0F82">
        <w:t xml:space="preserve"> and other services provided through </w:t>
      </w:r>
      <w:r w:rsidRPr="007B0F82">
        <w:rPr>
          <w:i/>
        </w:rPr>
        <w:t>Aġenzija Appoġġ</w:t>
      </w:r>
      <w:r w:rsidRPr="007B0F82">
        <w:t xml:space="preserve">. </w:t>
      </w:r>
    </w:p>
    <w:p w:rsidR="0095241C" w:rsidRPr="007B0F82" w:rsidRDefault="008558C6" w:rsidP="009104E8">
      <w:pPr>
        <w:widowControl w:val="0"/>
        <w:autoSpaceDE w:val="0"/>
        <w:autoSpaceDN w:val="0"/>
        <w:adjustRightInd w:val="0"/>
        <w:spacing w:before="0" w:after="200" w:line="240" w:lineRule="auto"/>
        <w:ind w:left="851"/>
        <w:jc w:val="both"/>
        <w:rPr>
          <w:rFonts w:cs="Verdana"/>
          <w:color w:val="272727"/>
          <w:lang w:eastAsia="en-GB"/>
        </w:rPr>
      </w:pPr>
      <w:hyperlink r:id="rId38" w:history="1">
        <w:r w:rsidR="0095241C" w:rsidRPr="007B0F82">
          <w:rPr>
            <w:rFonts w:cs="Verdana"/>
            <w:bCs/>
            <w:i/>
            <w:lang w:eastAsia="en-GB"/>
          </w:rPr>
          <w:t>Supportline 179</w:t>
        </w:r>
      </w:hyperlink>
      <w:r w:rsidR="0095241C" w:rsidRPr="007B0F82">
        <w:rPr>
          <w:rFonts w:cs="Verdana"/>
          <w:lang w:eastAsia="en-GB"/>
        </w:rPr>
        <w:t xml:space="preserve"> </w:t>
      </w:r>
      <w:r w:rsidR="0095241C" w:rsidRPr="007B0F82">
        <w:rPr>
          <w:rFonts w:cs="Verdana"/>
          <w:color w:val="272727"/>
          <w:lang w:eastAsia="en-GB"/>
        </w:rPr>
        <w:t xml:space="preserve">is the national freephone helpline offering support, information about local social welfare services and other agencies, and a referral service to callers in times of difficulty or crisis. The primary mission of </w:t>
      </w:r>
      <w:hyperlink r:id="rId39" w:history="1">
        <w:r w:rsidR="0095241C" w:rsidRPr="006063A7">
          <w:rPr>
            <w:rStyle w:val="Hyperlink"/>
            <w:rFonts w:cs="Verdana"/>
            <w:i/>
            <w:lang w:eastAsia="en-GB"/>
          </w:rPr>
          <w:t>Supportline 179</w:t>
        </w:r>
      </w:hyperlink>
      <w:r w:rsidR="0095241C" w:rsidRPr="007B0F82">
        <w:rPr>
          <w:rFonts w:cs="Verdana"/>
          <w:color w:val="272727"/>
          <w:lang w:eastAsia="en-GB"/>
        </w:rPr>
        <w:t xml:space="preserve"> is to provide, on a national level, immediate unbiased help to those seeking information, support and/or referral to social service agencies</w:t>
      </w:r>
      <w:r w:rsidR="0095241C" w:rsidRPr="007B0F82">
        <w:rPr>
          <w:rStyle w:val="FootnoteReference"/>
          <w:color w:val="272727"/>
          <w:lang w:eastAsia="en-GB"/>
        </w:rPr>
        <w:footnoteReference w:id="99"/>
      </w:r>
      <w:r w:rsidR="0095241C" w:rsidRPr="007B0F82">
        <w:rPr>
          <w:rFonts w:cs="Verdana"/>
          <w:color w:val="272727"/>
          <w:lang w:eastAsia="en-GB"/>
        </w:rPr>
        <w:t>.</w:t>
      </w:r>
    </w:p>
    <w:p w:rsidR="0095241C" w:rsidRPr="007B0F82" w:rsidRDefault="008558C6" w:rsidP="009104E8">
      <w:pPr>
        <w:pStyle w:val="BodyText"/>
        <w:jc w:val="both"/>
        <w:rPr>
          <w:szCs w:val="20"/>
        </w:rPr>
      </w:pPr>
      <w:hyperlink r:id="rId40" w:history="1">
        <w:r w:rsidR="0095241C" w:rsidRPr="007B0F82">
          <w:rPr>
            <w:rFonts w:cs="Verdana"/>
            <w:bCs/>
            <w:i/>
            <w:szCs w:val="20"/>
            <w:lang w:eastAsia="en-GB"/>
          </w:rPr>
          <w:t>Kellimni</w:t>
        </w:r>
      </w:hyperlink>
      <w:r w:rsidR="0095241C" w:rsidRPr="007B0F82">
        <w:rPr>
          <w:rFonts w:cs="Verdana"/>
          <w:szCs w:val="20"/>
          <w:lang w:eastAsia="en-GB"/>
        </w:rPr>
        <w:t xml:space="preserve"> is</w:t>
      </w:r>
      <w:r w:rsidR="0095241C" w:rsidRPr="007B0F82">
        <w:rPr>
          <w:rFonts w:cs="Verdana"/>
          <w:color w:val="272727"/>
          <w:szCs w:val="20"/>
          <w:lang w:eastAsia="en-GB"/>
        </w:rPr>
        <w:t xml:space="preserve"> a joint effort between SOS Malta, </w:t>
      </w:r>
      <w:r w:rsidR="0095241C" w:rsidRPr="007B0F82">
        <w:rPr>
          <w:rFonts w:cs="Verdana"/>
          <w:i/>
          <w:color w:val="272727"/>
          <w:szCs w:val="20"/>
          <w:lang w:eastAsia="en-GB"/>
        </w:rPr>
        <w:t>Aġenzija Żgħażagħ</w:t>
      </w:r>
      <w:r w:rsidR="0095241C" w:rsidRPr="007B0F82">
        <w:rPr>
          <w:rFonts w:cs="Verdana"/>
          <w:color w:val="272727"/>
          <w:szCs w:val="20"/>
          <w:lang w:eastAsia="en-GB"/>
        </w:rPr>
        <w:t xml:space="preserve">, Salesian’s of Don Bosco and </w:t>
      </w:r>
      <w:r w:rsidR="0095241C" w:rsidRPr="007B0F82">
        <w:rPr>
          <w:rFonts w:cs="Verdana"/>
          <w:i/>
          <w:color w:val="272727"/>
          <w:szCs w:val="20"/>
          <w:lang w:eastAsia="en-GB"/>
        </w:rPr>
        <w:t>Aġenzija Appoġġ</w:t>
      </w:r>
      <w:r w:rsidR="0095241C" w:rsidRPr="007B0F82">
        <w:rPr>
          <w:rFonts w:cs="Verdana"/>
          <w:color w:val="272727"/>
          <w:szCs w:val="20"/>
          <w:lang w:eastAsia="en-GB"/>
        </w:rPr>
        <w:t>, under the guidance of Child Helpline International. The service offered encompasses mainly e-mail, chat and forum online support targeting children</w:t>
      </w:r>
      <w:r w:rsidR="0095241C">
        <w:rPr>
          <w:rFonts w:cs="Verdana"/>
          <w:color w:val="272727"/>
          <w:szCs w:val="20"/>
          <w:lang w:eastAsia="en-GB"/>
        </w:rPr>
        <w:t>, youths and adolescents</w:t>
      </w:r>
      <w:r w:rsidR="0095241C" w:rsidRPr="007B0F82">
        <w:rPr>
          <w:rStyle w:val="FootnoteReference"/>
          <w:color w:val="272727"/>
          <w:szCs w:val="20"/>
          <w:lang w:eastAsia="en-GB"/>
        </w:rPr>
        <w:footnoteReference w:id="100"/>
      </w:r>
      <w:r w:rsidR="0095241C" w:rsidRPr="007B0F82">
        <w:rPr>
          <w:rFonts w:cs="Verdana"/>
          <w:color w:val="272727"/>
          <w:szCs w:val="20"/>
          <w:lang w:eastAsia="en-GB"/>
        </w:rPr>
        <w:t>.</w:t>
      </w:r>
    </w:p>
    <w:p w:rsidR="0095241C" w:rsidRPr="007B0F82" w:rsidRDefault="0095241C" w:rsidP="009104E8">
      <w:pPr>
        <w:pStyle w:val="BodyText"/>
        <w:widowControl w:val="0"/>
        <w:spacing w:before="0" w:after="0" w:line="240" w:lineRule="auto"/>
        <w:jc w:val="both"/>
        <w:rPr>
          <w:szCs w:val="20"/>
        </w:rPr>
      </w:pPr>
      <w:r w:rsidRPr="007B0F82">
        <w:rPr>
          <w:szCs w:val="20"/>
        </w:rPr>
        <w:t xml:space="preserve">Child-friendly material containing legal information is also made available to children through the </w:t>
      </w:r>
      <w:hyperlink r:id="rId41" w:history="1">
        <w:r w:rsidRPr="002A4904">
          <w:rPr>
            <w:rStyle w:val="Hyperlink"/>
            <w:szCs w:val="20"/>
          </w:rPr>
          <w:t>website of the Office of the Commissioner for Children</w:t>
        </w:r>
      </w:hyperlink>
      <w:r w:rsidRPr="007B0F82">
        <w:rPr>
          <w:szCs w:val="20"/>
        </w:rPr>
        <w:t>.</w:t>
      </w:r>
    </w:p>
    <w:p w:rsidR="0095241C" w:rsidRPr="007B0F82" w:rsidRDefault="0095241C" w:rsidP="009104E8">
      <w:pPr>
        <w:pStyle w:val="BodyText"/>
        <w:widowControl w:val="0"/>
        <w:spacing w:before="0" w:after="0" w:line="240" w:lineRule="auto"/>
        <w:jc w:val="both"/>
        <w:rPr>
          <w:szCs w:val="20"/>
        </w:rPr>
      </w:pPr>
    </w:p>
    <w:p w:rsidR="0095241C" w:rsidRPr="007B0F82" w:rsidRDefault="0095241C" w:rsidP="009104E8">
      <w:pPr>
        <w:pStyle w:val="BodyText"/>
        <w:widowControl w:val="0"/>
        <w:spacing w:before="0" w:after="0" w:line="240" w:lineRule="auto"/>
        <w:jc w:val="both"/>
        <w:rPr>
          <w:rFonts w:cs="Arial"/>
          <w:szCs w:val="20"/>
        </w:rPr>
      </w:pPr>
      <w:r w:rsidRPr="00435CDB">
        <w:rPr>
          <w:szCs w:val="20"/>
        </w:rPr>
        <w:t>There are no special arrangements aimed at ensuring that the best interests of children residing in other Member States are protected.</w:t>
      </w:r>
    </w:p>
    <w:p w:rsidR="0095241C" w:rsidRPr="007F5A05" w:rsidRDefault="0095241C" w:rsidP="007F5A05">
      <w:pPr>
        <w:pStyle w:val="Heading4NoNumb"/>
        <w:spacing w:after="240"/>
        <w:ind w:left="851"/>
      </w:pPr>
      <w:r w:rsidRPr="007F5A05">
        <w:t>The child witness</w:t>
      </w:r>
    </w:p>
    <w:p w:rsidR="0095241C" w:rsidRPr="007B0F82" w:rsidRDefault="0095241C" w:rsidP="009104E8">
      <w:pPr>
        <w:pStyle w:val="BodyText"/>
        <w:widowControl w:val="0"/>
        <w:jc w:val="both"/>
        <w:rPr>
          <w:szCs w:val="20"/>
        </w:rPr>
      </w:pPr>
      <w:r w:rsidRPr="007B0F82">
        <w:rPr>
          <w:szCs w:val="20"/>
        </w:rPr>
        <w:t>As regards child witnesses, these would be summoned in the same way as adult witnesses, that is, by means of a subpoena issued on the application of the party interested. The subpoena must contain an order to appear at a stated place and time, for the purpose of giving evidence, whether before the court, arbitrators, or before referees, or before one or more officers authorised by law to examine witnesses.</w:t>
      </w:r>
      <w:r w:rsidRPr="007B0F82">
        <w:rPr>
          <w:rFonts w:ascii="TimesNewRomanPSMT" w:hAnsi="TimesNewRomanPSMT" w:cs="TimesNewRomanPSMT"/>
          <w:szCs w:val="20"/>
          <w:lang w:eastAsia="en-GB"/>
        </w:rPr>
        <w:t xml:space="preserve"> </w:t>
      </w:r>
      <w:r w:rsidRPr="007B0F82">
        <w:rPr>
          <w:szCs w:val="20"/>
        </w:rPr>
        <w:t>A witness is bound to appear in court on the date and time prescribed in the subpoena provided that s/he is served with the subpoena four days before such date, which period is to run from the date of service of the subpoena. In urgent cases, the court can order any witness to appear from day to day, or from hour to hour, or even only within such interval of time as may be necessary for him</w:t>
      </w:r>
      <w:r>
        <w:rPr>
          <w:szCs w:val="20"/>
        </w:rPr>
        <w:t>/her</w:t>
      </w:r>
      <w:r w:rsidRPr="007B0F82">
        <w:rPr>
          <w:szCs w:val="20"/>
        </w:rPr>
        <w:t xml:space="preserve"> to appear in court</w:t>
      </w:r>
      <w:r w:rsidRPr="007B0F82">
        <w:rPr>
          <w:rStyle w:val="FootnoteReference"/>
          <w:szCs w:val="20"/>
        </w:rPr>
        <w:footnoteReference w:id="101"/>
      </w:r>
      <w:r w:rsidRPr="007B0F82">
        <w:rPr>
          <w:szCs w:val="20"/>
        </w:rPr>
        <w:t>.</w:t>
      </w:r>
    </w:p>
    <w:p w:rsidR="0095241C" w:rsidRPr="007F5A05" w:rsidRDefault="0095241C" w:rsidP="007F5A05">
      <w:pPr>
        <w:pStyle w:val="Heading4NoNumb"/>
        <w:spacing w:after="240"/>
        <w:ind w:left="851"/>
      </w:pPr>
      <w:r w:rsidRPr="007F5A05">
        <w:lastRenderedPageBreak/>
        <w:t>The child in any other role</w:t>
      </w:r>
    </w:p>
    <w:p w:rsidR="0095241C" w:rsidRPr="007B0F82" w:rsidRDefault="0095241C" w:rsidP="009104E8">
      <w:pPr>
        <w:pStyle w:val="BodyText"/>
        <w:widowControl w:val="0"/>
        <w:jc w:val="both"/>
        <w:rPr>
          <w:szCs w:val="20"/>
        </w:rPr>
      </w:pPr>
      <w:r w:rsidRPr="007B0F82">
        <w:rPr>
          <w:szCs w:val="20"/>
        </w:rPr>
        <w:t>No special rules for the provision of information to children who participate in the proceedings as the ‘subject’ of the dispute have been identified.</w:t>
      </w:r>
    </w:p>
    <w:p w:rsidR="0095241C" w:rsidRPr="00811568" w:rsidRDefault="0095241C" w:rsidP="00811568">
      <w:pPr>
        <w:pStyle w:val="BodyText"/>
        <w:widowControl w:val="0"/>
        <w:jc w:val="both"/>
        <w:rPr>
          <w:szCs w:val="20"/>
        </w:rPr>
      </w:pPr>
      <w:r w:rsidRPr="007B0F82">
        <w:rPr>
          <w:szCs w:val="20"/>
        </w:rPr>
        <w:t>Regarding the availability of support services, the same situation applies as in the case of child plaintiffs.</w:t>
      </w:r>
    </w:p>
    <w:p w:rsidR="0095241C" w:rsidRPr="007B0F82" w:rsidRDefault="0095241C" w:rsidP="00AC1EA6">
      <w:pPr>
        <w:pStyle w:val="Heading2"/>
      </w:pPr>
      <w:bookmarkStart w:id="79" w:name="_Toc338234112"/>
      <w:bookmarkStart w:id="80" w:name="_Toc350439427"/>
      <w:bookmarkStart w:id="81" w:name="_Toc407962127"/>
      <w:r w:rsidRPr="007B0F82">
        <w:t>Protection of the child’s private and family life</w:t>
      </w:r>
      <w:bookmarkEnd w:id="81"/>
      <w:r w:rsidRPr="007B0F82">
        <w:t xml:space="preserve"> </w:t>
      </w:r>
      <w:bookmarkEnd w:id="79"/>
      <w:bookmarkEnd w:id="80"/>
    </w:p>
    <w:p w:rsidR="0095241C" w:rsidRPr="007F5A05" w:rsidRDefault="0095241C" w:rsidP="00811568">
      <w:pPr>
        <w:pStyle w:val="Heading3"/>
      </w:pPr>
      <w:bookmarkStart w:id="82" w:name="_Toc407962128"/>
      <w:r w:rsidRPr="007F5A05">
        <w:t>General procedural rules applicable to children involved in civil judicial proceedings regardless of their role</w:t>
      </w:r>
      <w:bookmarkEnd w:id="82"/>
    </w:p>
    <w:p w:rsidR="0095241C" w:rsidRPr="007B0F82" w:rsidRDefault="0095241C" w:rsidP="008558C6">
      <w:pPr>
        <w:pStyle w:val="Heading3NoNumb"/>
        <w:ind w:firstLine="851"/>
        <w:rPr>
          <w:i/>
        </w:rPr>
      </w:pPr>
      <w:bookmarkStart w:id="83" w:name="_Toc407962129"/>
      <w:r w:rsidRPr="007F5A05">
        <w:t>Publicity of trials</w:t>
      </w:r>
      <w:bookmarkEnd w:id="83"/>
    </w:p>
    <w:p w:rsidR="0095241C" w:rsidRPr="007B0F82" w:rsidRDefault="0095241C" w:rsidP="009104E8">
      <w:pPr>
        <w:keepNext/>
        <w:widowControl w:val="0"/>
        <w:spacing w:before="0" w:after="0" w:line="240" w:lineRule="auto"/>
        <w:ind w:left="851"/>
        <w:jc w:val="both"/>
        <w:rPr>
          <w:bCs/>
        </w:rPr>
      </w:pPr>
      <w:r w:rsidRPr="007B0F82">
        <w:rPr>
          <w:bCs/>
        </w:rPr>
        <w:t>There is no general provision requiring court hearings involving children to be held behind closed doors. Civil judicial proceedings are held in public and the parties can take part in proceedings by attending the sittings and by presenting written submissions. However, the court can order that a case be heard with closed doors, should decency or good morals so require. The court can also order that the case be heard with closed doors in any other case at the request of both parties, upon good reason being shown</w:t>
      </w:r>
      <w:r w:rsidRPr="007B0F82">
        <w:rPr>
          <w:rStyle w:val="FootnoteReference"/>
          <w:rFonts w:cs="Arial"/>
          <w:bCs/>
        </w:rPr>
        <w:footnoteReference w:id="102"/>
      </w:r>
      <w:r w:rsidRPr="007B0F82">
        <w:rPr>
          <w:bCs/>
        </w:rPr>
        <w:t xml:space="preserve">. </w:t>
      </w:r>
    </w:p>
    <w:p w:rsidR="0095241C" w:rsidRPr="007B0F82" w:rsidRDefault="0095241C" w:rsidP="009104E8">
      <w:pPr>
        <w:widowControl w:val="0"/>
        <w:spacing w:before="0" w:after="0" w:line="240" w:lineRule="auto"/>
        <w:ind w:left="851"/>
        <w:jc w:val="both"/>
        <w:rPr>
          <w:bCs/>
        </w:rPr>
      </w:pPr>
    </w:p>
    <w:p w:rsidR="0095241C" w:rsidRPr="007B0F82" w:rsidRDefault="0095241C" w:rsidP="009104E8">
      <w:pPr>
        <w:autoSpaceDE w:val="0"/>
        <w:autoSpaceDN w:val="0"/>
        <w:adjustRightInd w:val="0"/>
        <w:spacing w:before="0" w:after="0" w:line="240" w:lineRule="auto"/>
        <w:ind w:left="851"/>
        <w:jc w:val="both"/>
      </w:pPr>
      <w:r>
        <w:t>Judgement</w:t>
      </w:r>
      <w:r w:rsidRPr="007B0F82">
        <w:t xml:space="preserve">s are delivered in public. The court delivering the </w:t>
      </w:r>
      <w:r>
        <w:t>judgement</w:t>
      </w:r>
      <w:r w:rsidRPr="007B0F82">
        <w:t xml:space="preserve"> reads out the operative part which is to be included in the concluding part of the </w:t>
      </w:r>
      <w:r>
        <w:t>judgement</w:t>
      </w:r>
      <w:r w:rsidRPr="007B0F82">
        <w:t xml:space="preserve">. The operative part of the </w:t>
      </w:r>
      <w:r>
        <w:t>judgement</w:t>
      </w:r>
      <w:r w:rsidRPr="007B0F82">
        <w:t xml:space="preserve"> includes a reference to the claims or pleas which have been decided upon and every declaration intended to be conclusive or binding</w:t>
      </w:r>
      <w:r w:rsidRPr="007B0F82">
        <w:rPr>
          <w:rStyle w:val="FootnoteReference"/>
        </w:rPr>
        <w:footnoteReference w:id="103"/>
      </w:r>
      <w:r w:rsidRPr="007B0F82">
        <w:t xml:space="preserve">. </w:t>
      </w:r>
    </w:p>
    <w:p w:rsidR="0095241C" w:rsidRPr="007B0F82" w:rsidRDefault="0095241C" w:rsidP="009104E8">
      <w:pPr>
        <w:autoSpaceDE w:val="0"/>
        <w:autoSpaceDN w:val="0"/>
        <w:adjustRightInd w:val="0"/>
        <w:spacing w:before="0" w:after="0" w:line="240" w:lineRule="auto"/>
        <w:ind w:left="851"/>
        <w:jc w:val="both"/>
      </w:pPr>
    </w:p>
    <w:p w:rsidR="0095241C" w:rsidRPr="00811568" w:rsidRDefault="0095241C" w:rsidP="00811568">
      <w:pPr>
        <w:autoSpaceDE w:val="0"/>
        <w:autoSpaceDN w:val="0"/>
        <w:adjustRightInd w:val="0"/>
        <w:spacing w:before="0" w:after="0" w:line="240" w:lineRule="auto"/>
        <w:ind w:left="851"/>
        <w:jc w:val="both"/>
      </w:pPr>
      <w:r w:rsidRPr="007B0F82">
        <w:t>However, the court of voluntary jurisdiction can proceed with closed doors</w:t>
      </w:r>
      <w:r>
        <w:rPr>
          <w:rStyle w:val="FootnoteReference"/>
        </w:rPr>
        <w:footnoteReference w:id="104"/>
      </w:r>
      <w:r w:rsidRPr="007B0F82">
        <w:t xml:space="preserve"> in examining and determining applications and this is mandatory in the case of adoption proceedings. In fact, in the case of adoption proceedings, every application, decree and record connected with proceedings is secret and cannot be accessible to any person except by authorisation of the court</w:t>
      </w:r>
      <w:r w:rsidRPr="007B0F82">
        <w:rPr>
          <w:rStyle w:val="FootnoteReference"/>
        </w:rPr>
        <w:footnoteReference w:id="105"/>
      </w:r>
      <w:r w:rsidRPr="007B0F82">
        <w:t>.</w:t>
      </w:r>
    </w:p>
    <w:p w:rsidR="0095241C" w:rsidRPr="007F5A05" w:rsidRDefault="0095241C" w:rsidP="008558C6">
      <w:pPr>
        <w:pStyle w:val="Heading3NoNumb"/>
        <w:ind w:firstLine="851"/>
      </w:pPr>
      <w:bookmarkStart w:id="84" w:name="_Toc407962130"/>
      <w:r w:rsidRPr="007F5A05">
        <w:t>Protection of the data of children involved in civil judicial proceedings</w:t>
      </w:r>
      <w:bookmarkEnd w:id="84"/>
    </w:p>
    <w:p w:rsidR="0095241C" w:rsidRPr="007B0F82" w:rsidRDefault="0095241C" w:rsidP="009104E8">
      <w:pPr>
        <w:spacing w:before="0" w:after="0" w:line="240" w:lineRule="auto"/>
        <w:ind w:left="851"/>
        <w:jc w:val="both"/>
        <w:rPr>
          <w:bCs/>
        </w:rPr>
      </w:pPr>
      <w:r w:rsidRPr="007B0F82">
        <w:rPr>
          <w:bCs/>
        </w:rPr>
        <w:t xml:space="preserve">The general provisions of the </w:t>
      </w:r>
      <w:hyperlink r:id="rId42" w:history="1">
        <w:r w:rsidRPr="007B0F82">
          <w:rPr>
            <w:rStyle w:val="Hyperlink"/>
            <w:rFonts w:cs="Arial"/>
            <w:bCs/>
          </w:rPr>
          <w:t>Data Protection Act</w:t>
        </w:r>
      </w:hyperlink>
      <w:r w:rsidRPr="007B0F82">
        <w:rPr>
          <w:rStyle w:val="FootnoteReference"/>
          <w:bCs/>
        </w:rPr>
        <w:footnoteReference w:id="106"/>
      </w:r>
      <w:r w:rsidRPr="007B0F82">
        <w:rPr>
          <w:bCs/>
        </w:rPr>
        <w:t xml:space="preserve"> (DPA) providing for the protection of individuals against the violation of their privacy by the processing of personal data, apply also to data concerning children. The DPA sets out the requirements for processing of data. These requirements apply also in the context of civil judicial proceedings and the processing of information related to parties to a case. The controller of personal data</w:t>
      </w:r>
      <w:r w:rsidRPr="007B0F82">
        <w:rPr>
          <w:rStyle w:val="FootnoteReference"/>
          <w:bCs/>
        </w:rPr>
        <w:footnoteReference w:id="107"/>
      </w:r>
      <w:r w:rsidRPr="007B0F82">
        <w:rPr>
          <w:bCs/>
        </w:rPr>
        <w:t xml:space="preserve"> must </w:t>
      </w:r>
      <w:r w:rsidRPr="007B0F82">
        <w:rPr>
          <w:bCs/>
          <w:i/>
        </w:rPr>
        <w:t>inter alia</w:t>
      </w:r>
      <w:r w:rsidRPr="007B0F82">
        <w:rPr>
          <w:bCs/>
        </w:rPr>
        <w:t xml:space="preserve"> ensure that personal data is processed fairly and lawfully and in accordance with good practice. Data can only be collected for specific, explicitly stated and legitimate purposes and no more personal data than is necessary for the given purpose must be processed. Personal data cannot be kept for a period longer than necessary for the purposes for which they are processed</w:t>
      </w:r>
      <w:r w:rsidRPr="007B0F82">
        <w:rPr>
          <w:rStyle w:val="FootnoteReference"/>
          <w:bCs/>
        </w:rPr>
        <w:footnoteReference w:id="108"/>
      </w:r>
      <w:r w:rsidRPr="007B0F82">
        <w:rPr>
          <w:bCs/>
        </w:rPr>
        <w:t>.</w:t>
      </w:r>
    </w:p>
    <w:p w:rsidR="0095241C" w:rsidRPr="007B0F82" w:rsidRDefault="0095241C" w:rsidP="009104E8">
      <w:pPr>
        <w:spacing w:before="0" w:after="0" w:line="240" w:lineRule="auto"/>
        <w:ind w:left="851"/>
        <w:jc w:val="both"/>
        <w:rPr>
          <w:bCs/>
        </w:rPr>
      </w:pPr>
    </w:p>
    <w:p w:rsidR="0095241C" w:rsidRPr="007B0F82" w:rsidRDefault="0095241C" w:rsidP="009104E8">
      <w:pPr>
        <w:pStyle w:val="BodyText"/>
        <w:widowControl w:val="0"/>
        <w:spacing w:before="0" w:after="0" w:line="240" w:lineRule="auto"/>
        <w:jc w:val="both"/>
        <w:rPr>
          <w:rFonts w:eastAsia="Times New Roman"/>
          <w:bCs/>
          <w:szCs w:val="20"/>
        </w:rPr>
      </w:pPr>
      <w:r w:rsidRPr="007B0F82">
        <w:rPr>
          <w:rFonts w:eastAsia="Times New Roman"/>
          <w:bCs/>
          <w:szCs w:val="20"/>
        </w:rPr>
        <w:t xml:space="preserve">The DPA also sets out the criteria for the processing of personal data. Personal data may be processed only if, </w:t>
      </w:r>
      <w:r w:rsidRPr="007B0F82">
        <w:rPr>
          <w:rFonts w:eastAsia="Times New Roman"/>
          <w:bCs/>
          <w:i/>
          <w:szCs w:val="20"/>
        </w:rPr>
        <w:t>inter alia</w:t>
      </w:r>
      <w:r w:rsidRPr="007B0F82">
        <w:rPr>
          <w:rFonts w:eastAsia="Times New Roman"/>
          <w:bCs/>
          <w:szCs w:val="20"/>
        </w:rPr>
        <w:t xml:space="preserve">, the person to whom the personal data relates (data subject) has given his/her consent or processing is necessary for the performance of a contract to which </w:t>
      </w:r>
      <w:r w:rsidRPr="007B0F82">
        <w:rPr>
          <w:rFonts w:eastAsia="Times New Roman"/>
          <w:bCs/>
          <w:szCs w:val="20"/>
        </w:rPr>
        <w:lastRenderedPageBreak/>
        <w:t>the data subject is a party or processing is necessary for compliance with a legal obligation to which the controller is subject or in order to protect the vital interests of the data subject</w:t>
      </w:r>
      <w:r w:rsidRPr="007B0F82">
        <w:rPr>
          <w:rStyle w:val="FootnoteReference"/>
          <w:rFonts w:eastAsia="Times New Roman"/>
          <w:bCs/>
          <w:szCs w:val="20"/>
        </w:rPr>
        <w:footnoteReference w:id="109"/>
      </w:r>
      <w:r w:rsidRPr="007B0F82">
        <w:rPr>
          <w:rFonts w:eastAsia="Times New Roman"/>
          <w:bCs/>
          <w:szCs w:val="20"/>
        </w:rPr>
        <w:t>. The law does not contain specific provisions on children so it is not clear whether in such cases the parents would have to give consent in relation to the processing of data regarding their children.</w:t>
      </w:r>
    </w:p>
    <w:p w:rsidR="0095241C" w:rsidRPr="007B0F82" w:rsidRDefault="0095241C" w:rsidP="009104E8">
      <w:pPr>
        <w:pStyle w:val="BodyText"/>
        <w:widowControl w:val="0"/>
        <w:spacing w:before="0" w:after="0" w:line="240" w:lineRule="auto"/>
        <w:jc w:val="both"/>
        <w:rPr>
          <w:rFonts w:eastAsia="Times New Roman"/>
          <w:bCs/>
          <w:szCs w:val="20"/>
        </w:rPr>
      </w:pPr>
    </w:p>
    <w:p w:rsidR="0095241C" w:rsidRPr="007B0F82" w:rsidRDefault="0095241C" w:rsidP="009104E8">
      <w:pPr>
        <w:spacing w:before="0" w:after="0" w:line="240" w:lineRule="auto"/>
        <w:ind w:left="851"/>
        <w:jc w:val="both"/>
        <w:rPr>
          <w:rFonts w:eastAsia="Times New Roman"/>
          <w:bCs/>
        </w:rPr>
      </w:pPr>
      <w:r w:rsidRPr="007B0F82">
        <w:rPr>
          <w:bCs/>
        </w:rPr>
        <w:t xml:space="preserve">In addition, regulations adopted under the DPA, namely, </w:t>
      </w:r>
      <w:r w:rsidRPr="007B0F82">
        <w:t xml:space="preserve">the </w:t>
      </w:r>
      <w:hyperlink r:id="rId43" w:history="1">
        <w:r w:rsidRPr="007B0F82">
          <w:rPr>
            <w:rStyle w:val="Hyperlink"/>
            <w:rFonts w:cs="Arial"/>
          </w:rPr>
          <w:t>Processing of Personal Data (Protection of Minors) Regulations</w:t>
        </w:r>
      </w:hyperlink>
      <w:r w:rsidRPr="007B0F82">
        <w:rPr>
          <w:rStyle w:val="FootnoteReference"/>
        </w:rPr>
        <w:footnoteReference w:id="110"/>
      </w:r>
      <w:r w:rsidRPr="007B0F82">
        <w:rPr>
          <w:bCs/>
        </w:rPr>
        <w:t xml:space="preserve"> contain some general rules on the processing of personal data aimed at the protection of children.</w:t>
      </w:r>
      <w:r w:rsidRPr="007B0F82">
        <w:rPr>
          <w:rFonts w:eastAsia="Times New Roman"/>
          <w:bCs/>
          <w:color w:val="0067AC"/>
        </w:rPr>
        <w:t xml:space="preserve"> </w:t>
      </w:r>
      <w:r w:rsidRPr="007B0F82">
        <w:rPr>
          <w:bCs/>
        </w:rPr>
        <w:t>Where any information is derived by any teacher, member of a school administration, or any other person acting in the place of the parents</w:t>
      </w:r>
      <w:r w:rsidRPr="007B0F82">
        <w:rPr>
          <w:bCs/>
          <w:i/>
          <w:iCs/>
        </w:rPr>
        <w:t xml:space="preserve"> </w:t>
      </w:r>
      <w:r w:rsidRPr="007B0F82">
        <w:rPr>
          <w:bCs/>
        </w:rPr>
        <w:t>or in a professional capacity in relation to a child, such information may be processed by any of these persons if such processing is in the best interests of the child. Where personal data is being processed, the consent of the parents or other legal guardian of the child will not be required if this may be prejudicial to the best interests of the child. In such a case, the parent or other legal guardian will not have access to any personal data held in relation to such child</w:t>
      </w:r>
      <w:r w:rsidRPr="007B0F82">
        <w:rPr>
          <w:rStyle w:val="FootnoteReference"/>
          <w:bCs/>
        </w:rPr>
        <w:footnoteReference w:id="111"/>
      </w:r>
      <w:r w:rsidRPr="007B0F82">
        <w:rPr>
          <w:bCs/>
        </w:rPr>
        <w:t>. This would apply also in relation to information obtained by persons acting in a professional capacity in civil judicial proceedings.</w:t>
      </w:r>
    </w:p>
    <w:p w:rsidR="0095241C" w:rsidRPr="007B0F82" w:rsidRDefault="0095241C" w:rsidP="009104E8">
      <w:pPr>
        <w:spacing w:before="0" w:after="0" w:line="240" w:lineRule="auto"/>
        <w:ind w:left="851"/>
        <w:jc w:val="both"/>
        <w:rPr>
          <w:bCs/>
        </w:rPr>
      </w:pPr>
    </w:p>
    <w:p w:rsidR="0095241C" w:rsidRPr="007B0F82" w:rsidRDefault="0095241C" w:rsidP="00811568">
      <w:pPr>
        <w:spacing w:before="0" w:after="0" w:line="240" w:lineRule="auto"/>
        <w:ind w:left="851"/>
        <w:jc w:val="both"/>
        <w:rPr>
          <w:bCs/>
        </w:rPr>
      </w:pPr>
      <w:r w:rsidRPr="007B0F82">
        <w:rPr>
          <w:bCs/>
        </w:rPr>
        <w:t>The remedy for violations of privacy rights is compensation for damages. The data subject can exercise an action for damages against the controller who processes data in contravention of the DPA or regulations made under it</w:t>
      </w:r>
      <w:r w:rsidRPr="007B0F82">
        <w:rPr>
          <w:rStyle w:val="FootnoteReference"/>
          <w:bCs/>
        </w:rPr>
        <w:footnoteReference w:id="112"/>
      </w:r>
      <w:r w:rsidRPr="007B0F82">
        <w:rPr>
          <w:bCs/>
        </w:rPr>
        <w:t>. Children would not exercise this action in their own right, it would need to be exercised on their behalf by the parents or other legal representative.</w:t>
      </w:r>
    </w:p>
    <w:p w:rsidR="0095241C" w:rsidRPr="007B0F82" w:rsidRDefault="0095241C" w:rsidP="008558C6">
      <w:pPr>
        <w:pStyle w:val="Heading3NoNumb"/>
        <w:ind w:firstLine="851"/>
        <w:rPr>
          <w:i/>
        </w:rPr>
      </w:pPr>
      <w:bookmarkStart w:id="85" w:name="_Toc407962131"/>
      <w:r w:rsidRPr="007F5A05">
        <w:t>Protection of children’s data in the media</w:t>
      </w:r>
      <w:bookmarkEnd w:id="85"/>
    </w:p>
    <w:p w:rsidR="0095241C" w:rsidRPr="007B0F82" w:rsidRDefault="0095241C" w:rsidP="00811568">
      <w:pPr>
        <w:widowControl w:val="0"/>
        <w:spacing w:before="0" w:after="0" w:line="240" w:lineRule="auto"/>
        <w:ind w:left="851"/>
        <w:jc w:val="both"/>
        <w:rPr>
          <w:bCs/>
        </w:rPr>
      </w:pPr>
      <w:r w:rsidRPr="007B0F82">
        <w:rPr>
          <w:bCs/>
        </w:rPr>
        <w:t xml:space="preserve">As regards information or personal data in the media, reference may be made to the </w:t>
      </w:r>
      <w:hyperlink r:id="rId44" w:history="1">
        <w:r w:rsidRPr="007B0F82">
          <w:rPr>
            <w:rStyle w:val="Hyperlink"/>
            <w:rFonts w:cs="Arial"/>
            <w:bCs/>
          </w:rPr>
          <w:t>Code of Journalistic Ethics</w:t>
        </w:r>
      </w:hyperlink>
      <w:r w:rsidRPr="007B0F82">
        <w:rPr>
          <w:bCs/>
        </w:rPr>
        <w:t xml:space="preserve"> which contains a specific provision on the reporting of court procedures. The Code was adopted by the Malta Press Club in 2000 on the basis that it was deemed essential that all those engaged in the dissemination of information through various channels of communication should regulate their own behaviour. It was published for the guidance and discipline of those engaged directly or indirectly in that activity and that profession</w:t>
      </w:r>
      <w:r w:rsidRPr="007B0F82">
        <w:rPr>
          <w:rStyle w:val="FootnoteReference"/>
          <w:bCs/>
        </w:rPr>
        <w:footnoteReference w:id="113"/>
      </w:r>
      <w:r w:rsidRPr="007B0F82">
        <w:rPr>
          <w:bCs/>
        </w:rPr>
        <w:t>. The Code states that any publication involving the naming of children is prohibited. All reports of court proceedings must be strictly factual and a clear distinction should be made and explained between the facts and the expression of opinion. Once it is decided to report on any matter connected with judicial proceedings, that reporting must be complete, that is, both the beginning and the conclusion of those proceedings must be given and treated with the same prominence</w:t>
      </w:r>
      <w:r w:rsidRPr="007B0F82">
        <w:rPr>
          <w:rStyle w:val="FootnoteReference"/>
          <w:bCs/>
        </w:rPr>
        <w:footnoteReference w:id="114"/>
      </w:r>
      <w:r w:rsidRPr="007B0F82">
        <w:rPr>
          <w:bCs/>
        </w:rPr>
        <w:t>. The Code also contains a general provision on children which states that journalists are obliged to respect children. Except in matters connected with sports, no child is to be interviewed unless the consent of his parents, guardian or tutor is obtained</w:t>
      </w:r>
      <w:r w:rsidRPr="007B0F82">
        <w:rPr>
          <w:rStyle w:val="FootnoteReference"/>
          <w:bCs/>
        </w:rPr>
        <w:footnoteReference w:id="115"/>
      </w:r>
      <w:r w:rsidRPr="007B0F82">
        <w:rPr>
          <w:bCs/>
        </w:rPr>
        <w:t>. Whenever, after due process the Press Ethics Commission finds that a journalist has violated one or more of the rules of the Code, it may impose one or more of the following sanctions in accordance with the gravity of the offence: disapproval, censure or grave censure. In appropriate cases, the decision may be given whatever publicity the Commission deems fit. In all cases, the Commission also communicates its decision to the Organizational Head of the journalist concerned</w:t>
      </w:r>
      <w:r w:rsidRPr="007B0F82">
        <w:rPr>
          <w:rStyle w:val="FootnoteReference"/>
          <w:bCs/>
        </w:rPr>
        <w:footnoteReference w:id="116"/>
      </w:r>
      <w:r w:rsidRPr="007B0F82">
        <w:rPr>
          <w:bCs/>
        </w:rPr>
        <w:t>.</w:t>
      </w:r>
    </w:p>
    <w:p w:rsidR="0095241C" w:rsidRPr="007F5A05" w:rsidRDefault="0095241C" w:rsidP="007F5A05">
      <w:pPr>
        <w:pStyle w:val="Heading4NoNumb"/>
        <w:spacing w:after="240"/>
        <w:ind w:left="851"/>
      </w:pPr>
      <w:r w:rsidRPr="007F5A05">
        <w:t>The child as a plaintiff/defendant/witness</w:t>
      </w:r>
    </w:p>
    <w:p w:rsidR="0095241C" w:rsidRPr="007B0F82" w:rsidRDefault="0095241C" w:rsidP="009104E8">
      <w:pPr>
        <w:pStyle w:val="BodyText"/>
        <w:widowControl w:val="0"/>
        <w:spacing w:before="0" w:after="0" w:line="240" w:lineRule="auto"/>
        <w:jc w:val="both"/>
        <w:rPr>
          <w:rFonts w:eastAsia="Times New Roman"/>
          <w:bCs/>
          <w:szCs w:val="20"/>
        </w:rPr>
      </w:pPr>
      <w:r w:rsidRPr="007B0F82">
        <w:rPr>
          <w:rFonts w:eastAsia="Times New Roman"/>
          <w:bCs/>
          <w:szCs w:val="20"/>
        </w:rPr>
        <w:t>The general rules indicated above apply.</w:t>
      </w:r>
    </w:p>
    <w:p w:rsidR="0095241C" w:rsidRPr="00445684" w:rsidRDefault="0095241C" w:rsidP="009104E8">
      <w:pPr>
        <w:pStyle w:val="BodyText"/>
        <w:widowControl w:val="0"/>
        <w:spacing w:before="0" w:after="0" w:line="240" w:lineRule="auto"/>
        <w:jc w:val="both"/>
        <w:rPr>
          <w:rFonts w:eastAsia="Times New Roman"/>
          <w:bCs/>
          <w:szCs w:val="20"/>
        </w:rPr>
      </w:pPr>
    </w:p>
    <w:p w:rsidR="0095241C" w:rsidRPr="007F5A05" w:rsidRDefault="0095241C" w:rsidP="007F5A05">
      <w:pPr>
        <w:pStyle w:val="Heading4NoNumb"/>
        <w:spacing w:after="240"/>
        <w:ind w:left="851"/>
      </w:pPr>
      <w:r w:rsidRPr="007F5A05">
        <w:lastRenderedPageBreak/>
        <w:t>The child in any other role</w:t>
      </w:r>
    </w:p>
    <w:p w:rsidR="0095241C" w:rsidRPr="007B0F82" w:rsidRDefault="0095241C" w:rsidP="009104E8">
      <w:pPr>
        <w:pStyle w:val="BodyText"/>
        <w:widowControl w:val="0"/>
        <w:spacing w:before="0" w:after="0" w:line="240" w:lineRule="auto"/>
        <w:jc w:val="both"/>
        <w:rPr>
          <w:rFonts w:eastAsia="Times New Roman"/>
          <w:bCs/>
          <w:szCs w:val="20"/>
        </w:rPr>
      </w:pPr>
      <w:r w:rsidRPr="007B0F82">
        <w:rPr>
          <w:rFonts w:eastAsia="Times New Roman"/>
          <w:bCs/>
          <w:szCs w:val="20"/>
        </w:rPr>
        <w:t xml:space="preserve">The </w:t>
      </w:r>
      <w:hyperlink r:id="rId45" w:history="1">
        <w:r w:rsidRPr="007B0F82">
          <w:rPr>
            <w:rStyle w:val="Hyperlink"/>
            <w:rFonts w:eastAsia="Times New Roman"/>
            <w:bCs/>
            <w:szCs w:val="20"/>
          </w:rPr>
          <w:t>Civil Code</w:t>
        </w:r>
      </w:hyperlink>
      <w:r w:rsidRPr="007B0F82">
        <w:rPr>
          <w:rFonts w:eastAsia="Times New Roman"/>
          <w:bCs/>
          <w:szCs w:val="20"/>
        </w:rPr>
        <w:t xml:space="preserve"> contains a relevant provision in the context of adoption proceedings. Unless authorised by the court, no person can publish or cause to be published in any newspaper, periodical, any other printed matter or by means of broadcasting or television, public exhibition or by any other means or medium, anything related to an application for the adoption of a child or to adoption proceedings. This includes: the name o</w:t>
      </w:r>
      <w:r>
        <w:rPr>
          <w:rFonts w:eastAsia="Times New Roman"/>
          <w:bCs/>
          <w:szCs w:val="20"/>
        </w:rPr>
        <w:t>f</w:t>
      </w:r>
      <w:r w:rsidRPr="007B0F82">
        <w:rPr>
          <w:rFonts w:eastAsia="Times New Roman"/>
          <w:bCs/>
          <w:szCs w:val="20"/>
        </w:rPr>
        <w:t xml:space="preserve"> the applicant/s; the name of the person who is or will be adopted; the name of the father, mother, curator or tutor of the child who is or will be adopted; or any matter likely to enable the identification of any of these persons. Failure to comply with this prohibition constitutes an offence liable to imprisonment and/or a fine</w:t>
      </w:r>
      <w:r w:rsidRPr="007B0F82">
        <w:rPr>
          <w:rStyle w:val="FootnoteReference"/>
          <w:rFonts w:eastAsia="Times New Roman"/>
          <w:bCs/>
          <w:szCs w:val="20"/>
        </w:rPr>
        <w:footnoteReference w:id="117"/>
      </w:r>
      <w:r w:rsidRPr="007B0F82">
        <w:rPr>
          <w:rFonts w:eastAsia="Times New Roman"/>
          <w:bCs/>
          <w:szCs w:val="20"/>
        </w:rPr>
        <w:t>.</w:t>
      </w:r>
    </w:p>
    <w:p w:rsidR="0095241C" w:rsidRPr="007B0F82" w:rsidRDefault="0095241C" w:rsidP="009104E8">
      <w:pPr>
        <w:widowControl w:val="0"/>
        <w:spacing w:before="0" w:after="0" w:line="240" w:lineRule="auto"/>
        <w:ind w:left="851"/>
        <w:jc w:val="both"/>
        <w:rPr>
          <w:bCs/>
        </w:rPr>
      </w:pPr>
    </w:p>
    <w:p w:rsidR="0095241C" w:rsidRPr="007B0F82" w:rsidRDefault="0095241C" w:rsidP="009104E8">
      <w:pPr>
        <w:widowControl w:val="0"/>
        <w:autoSpaceDE w:val="0"/>
        <w:autoSpaceDN w:val="0"/>
        <w:adjustRightInd w:val="0"/>
        <w:spacing w:before="0" w:after="0" w:line="240" w:lineRule="auto"/>
        <w:ind w:left="851"/>
        <w:jc w:val="both"/>
        <w:rPr>
          <w:color w:val="1B1B1B"/>
        </w:rPr>
      </w:pPr>
      <w:r w:rsidRPr="007B0F82">
        <w:rPr>
          <w:color w:val="1B1B1B"/>
        </w:rPr>
        <w:t xml:space="preserve">Professionals involved with children would typically be bound by confidentiality. Furthermore, in family law cases the names of the parties are not made public and are cited as </w:t>
      </w:r>
      <w:r w:rsidRPr="007B0F82">
        <w:rPr>
          <w:i/>
          <w:color w:val="1B1B1B"/>
        </w:rPr>
        <w:t xml:space="preserve">A v B </w:t>
      </w:r>
      <w:r w:rsidRPr="007B0F82">
        <w:rPr>
          <w:color w:val="1B1B1B"/>
        </w:rPr>
        <w:t>in order to protect privacy</w:t>
      </w:r>
      <w:r w:rsidRPr="007B0F82">
        <w:rPr>
          <w:rStyle w:val="FootnoteReference"/>
          <w:bCs/>
        </w:rPr>
        <w:footnoteReference w:id="118"/>
      </w:r>
      <w:r w:rsidRPr="007B0F82">
        <w:rPr>
          <w:color w:val="1B1B1B"/>
        </w:rPr>
        <w:t>. In addition, b</w:t>
      </w:r>
      <w:r w:rsidRPr="007B0F82">
        <w:t>efore assuming the functions of their office the mediators and children’s advocates must take an oath to discharge the duties of their office faithfully and impartially and not to divulge any information which may come to their knowledge through the performance of their duties</w:t>
      </w:r>
      <w:r w:rsidRPr="007B0F82">
        <w:rPr>
          <w:rStyle w:val="FootnoteReference"/>
        </w:rPr>
        <w:footnoteReference w:id="119"/>
      </w:r>
      <w:r w:rsidRPr="007B0F82">
        <w:t xml:space="preserve">. </w:t>
      </w:r>
    </w:p>
    <w:p w:rsidR="0095241C" w:rsidRPr="007B0F82" w:rsidRDefault="0095241C" w:rsidP="009104E8">
      <w:pPr>
        <w:widowControl w:val="0"/>
        <w:spacing w:before="0" w:after="0" w:line="240" w:lineRule="auto"/>
        <w:ind w:left="851"/>
        <w:jc w:val="both"/>
        <w:rPr>
          <w:b/>
          <w:bCs/>
        </w:rPr>
      </w:pPr>
    </w:p>
    <w:p w:rsidR="0095241C" w:rsidRPr="007B0F82" w:rsidRDefault="0095241C" w:rsidP="009104E8">
      <w:pPr>
        <w:widowControl w:val="0"/>
        <w:spacing w:before="0" w:after="0" w:line="240" w:lineRule="auto"/>
        <w:ind w:left="851"/>
        <w:jc w:val="both"/>
        <w:rPr>
          <w:bCs/>
        </w:rPr>
      </w:pPr>
      <w:r w:rsidRPr="007B0F82">
        <w:rPr>
          <w:bCs/>
        </w:rPr>
        <w:t>The Commissioner for Children and its staff are also bound by secrecy in respect of all personal matters that come to their knowledge in the exercise of their powers and the carrying out of their duties and functions. The only exception to the non-disclosure of information is in cases where this is necessary for an investigation, or prosecutions for an offence against a child</w:t>
      </w:r>
      <w:r w:rsidRPr="007B0F82">
        <w:rPr>
          <w:bCs/>
          <w:vertAlign w:val="superscript"/>
        </w:rPr>
        <w:footnoteReference w:id="120"/>
      </w:r>
      <w:r w:rsidRPr="007B0F82">
        <w:rPr>
          <w:bCs/>
        </w:rPr>
        <w:t>.</w:t>
      </w:r>
    </w:p>
    <w:p w:rsidR="0095241C" w:rsidRPr="007B0F82" w:rsidRDefault="0095241C" w:rsidP="009104E8">
      <w:pPr>
        <w:widowControl w:val="0"/>
        <w:spacing w:before="0" w:after="0" w:line="240" w:lineRule="auto"/>
        <w:ind w:left="851"/>
        <w:jc w:val="both"/>
        <w:rPr>
          <w:b/>
          <w:bCs/>
        </w:rPr>
      </w:pPr>
    </w:p>
    <w:p w:rsidR="0095241C" w:rsidRPr="007B0F82" w:rsidRDefault="0095241C" w:rsidP="00811568">
      <w:pPr>
        <w:pStyle w:val="BodyText"/>
        <w:widowControl w:val="0"/>
        <w:spacing w:before="0" w:after="0" w:line="240" w:lineRule="auto"/>
        <w:jc w:val="both"/>
        <w:rPr>
          <w:rFonts w:eastAsia="Times New Roman"/>
          <w:bCs/>
          <w:szCs w:val="20"/>
        </w:rPr>
      </w:pPr>
      <w:bookmarkStart w:id="86" w:name="_Toc346714785"/>
      <w:bookmarkStart w:id="87" w:name="_Toc346714786"/>
      <w:bookmarkStart w:id="88" w:name="_Toc346714787"/>
      <w:bookmarkStart w:id="89" w:name="_Toc338234113"/>
      <w:bookmarkEnd w:id="86"/>
      <w:bookmarkEnd w:id="87"/>
      <w:bookmarkEnd w:id="88"/>
      <w:r w:rsidRPr="007B0F82">
        <w:rPr>
          <w:rFonts w:eastAsia="Times New Roman"/>
          <w:bCs/>
          <w:szCs w:val="20"/>
        </w:rPr>
        <w:t>No further measures were identified.</w:t>
      </w:r>
      <w:r>
        <w:rPr>
          <w:rFonts w:eastAsia="Times New Roman"/>
          <w:bCs/>
          <w:szCs w:val="20"/>
        </w:rPr>
        <w:t xml:space="preserve"> </w:t>
      </w:r>
    </w:p>
    <w:p w:rsidR="0095241C" w:rsidRPr="00A13073" w:rsidRDefault="0095241C" w:rsidP="00AC1EA6">
      <w:pPr>
        <w:pStyle w:val="Heading2"/>
      </w:pPr>
      <w:bookmarkStart w:id="90" w:name="_Protection_from_harm"/>
      <w:bookmarkStart w:id="91" w:name="_Toc350439428"/>
      <w:bookmarkStart w:id="92" w:name="_Toc407962132"/>
      <w:bookmarkEnd w:id="90"/>
      <w:r w:rsidRPr="00445684">
        <w:t>Protection from harm and ensuring a child-friendly process</w:t>
      </w:r>
      <w:bookmarkEnd w:id="92"/>
      <w:r w:rsidRPr="00445684">
        <w:t xml:space="preserve"> </w:t>
      </w:r>
      <w:bookmarkEnd w:id="89"/>
      <w:bookmarkEnd w:id="91"/>
    </w:p>
    <w:p w:rsidR="0095241C" w:rsidRPr="00445684" w:rsidRDefault="0095241C" w:rsidP="007F5A05">
      <w:pPr>
        <w:pStyle w:val="Heading4NoNumb"/>
        <w:spacing w:after="240"/>
        <w:ind w:left="851"/>
        <w:rPr>
          <w:b w:val="0"/>
          <w:bCs w:val="0"/>
          <w:sz w:val="20"/>
          <w:szCs w:val="20"/>
        </w:rPr>
      </w:pPr>
      <w:r w:rsidRPr="007F5A05">
        <w:t>The child as a plaintiff/defendant</w:t>
      </w:r>
    </w:p>
    <w:p w:rsidR="0095241C" w:rsidRPr="00811568" w:rsidRDefault="0095241C" w:rsidP="00811568">
      <w:pPr>
        <w:pStyle w:val="BodyText"/>
        <w:widowControl w:val="0"/>
        <w:spacing w:before="0" w:after="0" w:line="240" w:lineRule="auto"/>
        <w:jc w:val="both"/>
        <w:rPr>
          <w:rFonts w:cs="Arial"/>
          <w:bCs/>
          <w:szCs w:val="20"/>
        </w:rPr>
      </w:pPr>
      <w:r w:rsidRPr="00445684">
        <w:rPr>
          <w:rFonts w:cs="Arial"/>
          <w:bCs/>
          <w:szCs w:val="20"/>
        </w:rPr>
        <w:t xml:space="preserve">Legal requirements/policies aimed at ensuring that the burden and hardship of being involved in civil judicial proceedings is minimised and that the child is supported throughout the process are minimal. </w:t>
      </w:r>
    </w:p>
    <w:p w:rsidR="0095241C" w:rsidRPr="007F5A05" w:rsidRDefault="0095241C" w:rsidP="008558C6">
      <w:pPr>
        <w:pStyle w:val="Heading3NoNumb"/>
        <w:ind w:firstLine="851"/>
      </w:pPr>
      <w:bookmarkStart w:id="93" w:name="_Toc407962133"/>
      <w:r w:rsidRPr="007F5A05">
        <w:t>Court delays</w:t>
      </w:r>
      <w:bookmarkEnd w:id="93"/>
    </w:p>
    <w:p w:rsidR="0095241C" w:rsidRPr="007B0F82" w:rsidRDefault="0095241C" w:rsidP="007F5A05">
      <w:pPr>
        <w:pStyle w:val="BodyText"/>
        <w:widowControl w:val="0"/>
        <w:spacing w:before="0"/>
        <w:jc w:val="both"/>
        <w:rPr>
          <w:rFonts w:cs="Arial"/>
          <w:szCs w:val="20"/>
        </w:rPr>
      </w:pPr>
      <w:r w:rsidRPr="007B0F82">
        <w:rPr>
          <w:rFonts w:cs="Arial"/>
          <w:bCs/>
          <w:szCs w:val="20"/>
        </w:rPr>
        <w:t xml:space="preserve">Cases involving children would not seem to be fast tracked or prioritised. </w:t>
      </w:r>
    </w:p>
    <w:p w:rsidR="0095241C" w:rsidRPr="007B0F82" w:rsidRDefault="0095241C" w:rsidP="009104E8">
      <w:pPr>
        <w:pStyle w:val="BodyText"/>
        <w:widowControl w:val="0"/>
        <w:jc w:val="both"/>
        <w:rPr>
          <w:rFonts w:cs="Arial"/>
          <w:szCs w:val="20"/>
        </w:rPr>
      </w:pPr>
      <w:r w:rsidRPr="007B0F82">
        <w:rPr>
          <w:szCs w:val="20"/>
        </w:rPr>
        <w:t xml:space="preserve">As a general rule, the date and time for the hearing must be determined at least two months prior to the date fixed for the hearing, provided that the court may decide, either where it deems appropriate or after consultation with the lawyers of the parties or in any other case where the case is to be heard with urgency, to fix an earlier date. Where such date and time has been fixed, no adjournment of the hearing will be granted except for grave and exceptional reasons. In cases which are to be heard with urgency the period of two months will not apply.  In addition, </w:t>
      </w:r>
      <w:r w:rsidRPr="007B0F82">
        <w:rPr>
          <w:rFonts w:cs="Arial"/>
          <w:szCs w:val="20"/>
        </w:rPr>
        <w:t xml:space="preserve">where a case has been pending before a particular court for three or more years, any party to the case may, personally, and without the need of representation by any lawyer, present an application to the Chief Justice requesting that, for the simple reason that the case has taken so long, the presiding judge be changed. The decision of the Chief Justice is taken </w:t>
      </w:r>
      <w:r w:rsidRPr="007B0F82">
        <w:rPr>
          <w:rFonts w:cs="Arial"/>
          <w:i/>
          <w:iCs/>
          <w:szCs w:val="20"/>
        </w:rPr>
        <w:t>in camera</w:t>
      </w:r>
      <w:r w:rsidRPr="007B0F82">
        <w:rPr>
          <w:rFonts w:cs="Arial"/>
          <w:szCs w:val="20"/>
        </w:rPr>
        <w:t xml:space="preserve"> and is final and conclusive. The same procedure is available where a case has been pending for </w:t>
      </w:r>
      <w:r>
        <w:rPr>
          <w:rFonts w:cs="Arial"/>
          <w:szCs w:val="20"/>
        </w:rPr>
        <w:t>judgement</w:t>
      </w:r>
      <w:r w:rsidRPr="007B0F82">
        <w:rPr>
          <w:rFonts w:cs="Arial"/>
          <w:szCs w:val="20"/>
        </w:rPr>
        <w:t xml:space="preserve"> before a particular court for 18 months or more. The court can decide a case on the day fixed for first hearing where the claim is not contested or the court is satisfied </w:t>
      </w:r>
      <w:r w:rsidRPr="007B0F82">
        <w:rPr>
          <w:rFonts w:cs="Arial"/>
          <w:szCs w:val="20"/>
        </w:rPr>
        <w:lastRenderedPageBreak/>
        <w:t>that the plaintiff has no claim or the defendant has no valid defence</w:t>
      </w:r>
      <w:r w:rsidRPr="007B0F82">
        <w:rPr>
          <w:rStyle w:val="FootnoteReference"/>
          <w:szCs w:val="20"/>
        </w:rPr>
        <w:footnoteReference w:id="121"/>
      </w:r>
      <w:r w:rsidRPr="007B0F82">
        <w:rPr>
          <w:rFonts w:cs="Arial"/>
          <w:szCs w:val="20"/>
        </w:rPr>
        <w:t>.</w:t>
      </w:r>
    </w:p>
    <w:p w:rsidR="0095241C" w:rsidRPr="007B0F82" w:rsidRDefault="0095241C" w:rsidP="008558C6">
      <w:pPr>
        <w:pStyle w:val="Heading3NoNumb"/>
        <w:ind w:firstLine="851"/>
        <w:rPr>
          <w:i/>
        </w:rPr>
      </w:pPr>
      <w:bookmarkStart w:id="94" w:name="_Toc407962134"/>
      <w:r w:rsidRPr="007F5A05">
        <w:t>Child-friendly premises and measures</w:t>
      </w:r>
      <w:bookmarkEnd w:id="94"/>
    </w:p>
    <w:p w:rsidR="0095241C" w:rsidRPr="007B0F82" w:rsidRDefault="0095241C" w:rsidP="009104E8">
      <w:pPr>
        <w:widowControl w:val="0"/>
        <w:spacing w:before="0" w:after="0" w:line="240" w:lineRule="auto"/>
        <w:ind w:left="851"/>
        <w:jc w:val="both"/>
      </w:pPr>
      <w:r w:rsidRPr="007B0F82">
        <w:t xml:space="preserve">Legal requirements/policies in place to ensure that the premises and places where children are involved in proceedings are non-intimidating and child-friendly are very limited. </w:t>
      </w:r>
    </w:p>
    <w:p w:rsidR="0095241C" w:rsidRPr="007B0F82" w:rsidRDefault="0095241C" w:rsidP="009104E8">
      <w:pPr>
        <w:ind w:left="851"/>
        <w:jc w:val="both"/>
      </w:pPr>
      <w:r w:rsidRPr="007B0F82">
        <w:t xml:space="preserve">No measures aimed at ensuring that a child is interviewed/gives testimony in a child-friendly environment were identified. Similarly, Malta has not adopted any policies to ensure that court sessions and other actions during the civil procedure are adapted to the child’s pace and attention span and to any communication difficulties the child may have. </w:t>
      </w:r>
    </w:p>
    <w:p w:rsidR="0095241C" w:rsidRPr="00811568" w:rsidRDefault="0095241C" w:rsidP="00811568">
      <w:pPr>
        <w:pStyle w:val="BodyText"/>
        <w:widowControl w:val="0"/>
        <w:spacing w:before="0" w:after="0" w:line="240" w:lineRule="auto"/>
        <w:jc w:val="both"/>
      </w:pPr>
      <w:r w:rsidRPr="007B0F82">
        <w:t>Whilst certain measures are in place for children involved in criminal proceedings, such as video conferencing and prohibition of the presence of the press and the public, no such general measures or prohibitions were identified with respect to civil proceedings involving children. Similarly, no rules are in place to protect children involved in civil judicial proceedings from images and information that can be harmful to their welfare. However, the court of voluntary jurisdiction can proceed with closed doors in examining and determining applications and this is mandatory in the case of adoption proceedings. In fact, in the case of adoption proceedings, every application, decree and record connected with proceedings is secret and cannot be accessible to any person except by authorisation of the court</w:t>
      </w:r>
      <w:r w:rsidRPr="007B0F82">
        <w:rPr>
          <w:rStyle w:val="FootnoteReference"/>
        </w:rPr>
        <w:footnoteReference w:id="122"/>
      </w:r>
      <w:r>
        <w:t>.</w:t>
      </w:r>
    </w:p>
    <w:p w:rsidR="0095241C" w:rsidRPr="007F5A05" w:rsidRDefault="0095241C" w:rsidP="008558C6">
      <w:pPr>
        <w:pStyle w:val="Heading3NoNumb"/>
        <w:ind w:firstLine="851"/>
      </w:pPr>
      <w:bookmarkStart w:id="95" w:name="_Toc407962135"/>
      <w:r w:rsidRPr="007F5A05">
        <w:t>Protection, treatment and restraining orders</w:t>
      </w:r>
      <w:r w:rsidRPr="007F5A05">
        <w:rPr>
          <w:vertAlign w:val="superscript"/>
        </w:rPr>
        <w:footnoteReference w:id="123"/>
      </w:r>
      <w:bookmarkEnd w:id="95"/>
    </w:p>
    <w:p w:rsidR="0095241C" w:rsidRDefault="0095241C" w:rsidP="009104E8">
      <w:pPr>
        <w:pStyle w:val="BodyText"/>
        <w:widowControl w:val="0"/>
        <w:spacing w:before="0" w:after="0"/>
        <w:jc w:val="both"/>
        <w:rPr>
          <w:szCs w:val="20"/>
        </w:rPr>
      </w:pPr>
      <w:r w:rsidRPr="007B0F82">
        <w:rPr>
          <w:rFonts w:cs="Arial"/>
          <w:szCs w:val="20"/>
        </w:rPr>
        <w:t>In cases involving domestic</w:t>
      </w:r>
      <w:r w:rsidRPr="007B0F82">
        <w:rPr>
          <w:szCs w:val="20"/>
        </w:rPr>
        <w:t xml:space="preserve"> violence, the court may, on an application of one of the parties or on its own motion in order to protect the best interests of the child or children, issue a protection order or treatment order</w:t>
      </w:r>
      <w:r w:rsidRPr="007B0F82">
        <w:rPr>
          <w:rStyle w:val="FootnoteReference"/>
          <w:szCs w:val="20"/>
        </w:rPr>
        <w:footnoteReference w:id="124"/>
      </w:r>
      <w:r w:rsidRPr="007B0F82">
        <w:rPr>
          <w:szCs w:val="20"/>
        </w:rPr>
        <w:t>. The objective of a protection order</w:t>
      </w:r>
      <w:r w:rsidRPr="007B0F82">
        <w:rPr>
          <w:rStyle w:val="FootnoteReference"/>
          <w:szCs w:val="20"/>
        </w:rPr>
        <w:footnoteReference w:id="125"/>
      </w:r>
      <w:r w:rsidRPr="007B0F82">
        <w:rPr>
          <w:szCs w:val="20"/>
        </w:rPr>
        <w:t xml:space="preserve"> is to provide safety for the injured party from the aggressor while the alleged offender is tried for an offence. In particular the court may:</w:t>
      </w:r>
    </w:p>
    <w:p w:rsidR="0095241C" w:rsidRPr="007B0F82" w:rsidRDefault="0095241C" w:rsidP="009104E8">
      <w:pPr>
        <w:pStyle w:val="BodyText"/>
        <w:widowControl w:val="0"/>
        <w:spacing w:before="0" w:after="0"/>
        <w:jc w:val="both"/>
        <w:rPr>
          <w:szCs w:val="20"/>
        </w:rPr>
      </w:pPr>
    </w:p>
    <w:p w:rsidR="0095241C" w:rsidRPr="007F5A05" w:rsidRDefault="0095241C" w:rsidP="008558C6">
      <w:pPr>
        <w:pStyle w:val="BTBullet1"/>
      </w:pPr>
      <w:r w:rsidRPr="007F5A05">
        <w:t>prohibit or restrict the accused from approaching or following the movements of the injured person or any other individual specified in the order; or</w:t>
      </w:r>
    </w:p>
    <w:p w:rsidR="0095241C" w:rsidRPr="007F5A05" w:rsidRDefault="0095241C" w:rsidP="008558C6">
      <w:pPr>
        <w:pStyle w:val="BTBullet1"/>
      </w:pPr>
      <w:r w:rsidRPr="007F5A05">
        <w:t>prohibit or restrict access by the accused, for up to six months or until final judgement, to premises in which the injured person, or any other individual specified in the order, lives, works or frequents even if the accused has a legal interest in those premises; or</w:t>
      </w:r>
    </w:p>
    <w:p w:rsidR="0095241C" w:rsidRPr="00811568" w:rsidRDefault="0095241C" w:rsidP="008558C6">
      <w:pPr>
        <w:pStyle w:val="BTBullet1"/>
      </w:pPr>
      <w:r w:rsidRPr="007F5A05">
        <w:t>prohibit the accused from contacting the injured person or any other individual specified in the order.</w:t>
      </w:r>
    </w:p>
    <w:p w:rsidR="008558C6" w:rsidRDefault="008558C6" w:rsidP="009104E8">
      <w:pPr>
        <w:pStyle w:val="BodyText"/>
        <w:widowControl w:val="0"/>
        <w:spacing w:before="0" w:after="0"/>
        <w:jc w:val="both"/>
        <w:rPr>
          <w:szCs w:val="20"/>
        </w:rPr>
      </w:pPr>
    </w:p>
    <w:p w:rsidR="0095241C" w:rsidRPr="007B0F82" w:rsidRDefault="0095241C" w:rsidP="009104E8">
      <w:pPr>
        <w:pStyle w:val="BodyText"/>
        <w:widowControl w:val="0"/>
        <w:spacing w:before="0" w:after="0"/>
        <w:jc w:val="both"/>
        <w:rPr>
          <w:szCs w:val="20"/>
        </w:rPr>
      </w:pPr>
      <w:r w:rsidRPr="007B0F82">
        <w:rPr>
          <w:szCs w:val="20"/>
        </w:rPr>
        <w:t>Before making the order the court must, amongst other things, take into account the welfare of any children who may be affected by the order. The law identifies this as a matter of particular importance.</w:t>
      </w:r>
    </w:p>
    <w:p w:rsidR="0095241C" w:rsidRPr="007B0F82" w:rsidRDefault="0095241C" w:rsidP="009104E8">
      <w:pPr>
        <w:pStyle w:val="BodyText"/>
        <w:widowControl w:val="0"/>
        <w:spacing w:before="0" w:after="0"/>
        <w:jc w:val="both"/>
        <w:rPr>
          <w:szCs w:val="20"/>
        </w:rPr>
      </w:pPr>
    </w:p>
    <w:p w:rsidR="0095241C" w:rsidRPr="007B0F82" w:rsidRDefault="0095241C" w:rsidP="009104E8">
      <w:pPr>
        <w:pStyle w:val="BodyText"/>
        <w:widowControl w:val="0"/>
        <w:spacing w:before="0" w:after="0"/>
        <w:jc w:val="both"/>
        <w:rPr>
          <w:szCs w:val="20"/>
        </w:rPr>
      </w:pPr>
      <w:r w:rsidRPr="007B0F82">
        <w:rPr>
          <w:szCs w:val="20"/>
        </w:rPr>
        <w:t xml:space="preserve">A person against whom a protection order has been issued can contest the order. Moreover the order may be challenged by any person mentioned in the order (e.g. the victim’s parents). Persons affected by the order may apply to the court at any time to revoke, extend or vary the order. </w:t>
      </w:r>
    </w:p>
    <w:p w:rsidR="0095241C" w:rsidRPr="007B0F82" w:rsidRDefault="0095241C" w:rsidP="009104E8">
      <w:pPr>
        <w:pStyle w:val="BodyText"/>
        <w:widowControl w:val="0"/>
        <w:spacing w:before="0" w:after="0"/>
        <w:jc w:val="both"/>
        <w:rPr>
          <w:szCs w:val="20"/>
        </w:rPr>
      </w:pPr>
    </w:p>
    <w:p w:rsidR="0095241C" w:rsidRPr="007B0F82" w:rsidRDefault="0095241C" w:rsidP="009104E8">
      <w:pPr>
        <w:pStyle w:val="BodyText"/>
        <w:widowControl w:val="0"/>
        <w:spacing w:before="0" w:after="0" w:line="240" w:lineRule="auto"/>
        <w:jc w:val="both"/>
        <w:rPr>
          <w:szCs w:val="20"/>
        </w:rPr>
      </w:pPr>
      <w:r w:rsidRPr="007B0F82">
        <w:rPr>
          <w:szCs w:val="20"/>
        </w:rPr>
        <w:t>The court may also give a treatment order to help the offender rehabilitate him</w:t>
      </w:r>
      <w:r>
        <w:rPr>
          <w:szCs w:val="20"/>
        </w:rPr>
        <w:t>/hers</w:t>
      </w:r>
      <w:r w:rsidRPr="007B0F82">
        <w:rPr>
          <w:szCs w:val="20"/>
        </w:rPr>
        <w:t>elf. This may be ordered by the court or may be voluntarily entered into by the accused. Treatment is usually given with the aggressor’s consent, however if the person is convicted of an offence the treatment order may be made without the accused person's consent</w:t>
      </w:r>
      <w:r w:rsidRPr="007B0F82">
        <w:rPr>
          <w:rStyle w:val="FootnoteReference"/>
          <w:szCs w:val="20"/>
        </w:rPr>
        <w:footnoteReference w:id="126"/>
      </w:r>
      <w:r w:rsidRPr="007B0F82">
        <w:rPr>
          <w:szCs w:val="20"/>
        </w:rPr>
        <w:t>.</w:t>
      </w:r>
    </w:p>
    <w:p w:rsidR="0095241C" w:rsidRPr="007B0F82" w:rsidRDefault="0095241C" w:rsidP="009104E8">
      <w:pPr>
        <w:pStyle w:val="BodyText"/>
        <w:widowControl w:val="0"/>
        <w:spacing w:before="0" w:after="0" w:line="240" w:lineRule="auto"/>
        <w:jc w:val="both"/>
        <w:rPr>
          <w:szCs w:val="20"/>
        </w:rPr>
      </w:pPr>
    </w:p>
    <w:p w:rsidR="0095241C" w:rsidRPr="007B0F82" w:rsidRDefault="0095241C" w:rsidP="00811568">
      <w:pPr>
        <w:pStyle w:val="BodyText"/>
        <w:widowControl w:val="0"/>
        <w:spacing w:before="0" w:after="0" w:line="240" w:lineRule="auto"/>
        <w:jc w:val="both"/>
        <w:rPr>
          <w:szCs w:val="20"/>
        </w:rPr>
      </w:pPr>
      <w:r w:rsidRPr="007B0F82">
        <w:rPr>
          <w:szCs w:val="20"/>
        </w:rPr>
        <w:t>Finally, the court can also issue a restraining order. This is aimed at protecting the victim after the accused is found guilty of an offence. While the objective of the protection order is to protect the victim during trial, the objective of a restraining order is to protect the victim after trial. The court can place the same conditions in a restraining order as it can in the protection order</w:t>
      </w:r>
      <w:r w:rsidRPr="007B0F82">
        <w:rPr>
          <w:rStyle w:val="FootnoteReference"/>
          <w:szCs w:val="20"/>
        </w:rPr>
        <w:footnoteReference w:id="127"/>
      </w:r>
      <w:r w:rsidRPr="007B0F82">
        <w:rPr>
          <w:szCs w:val="20"/>
        </w:rPr>
        <w:t>.</w:t>
      </w:r>
    </w:p>
    <w:p w:rsidR="0095241C" w:rsidRPr="007F5A05" w:rsidRDefault="0095241C" w:rsidP="007F5A05">
      <w:pPr>
        <w:pStyle w:val="Heading4NoNumb"/>
        <w:spacing w:after="240"/>
        <w:ind w:left="851"/>
      </w:pPr>
      <w:r w:rsidRPr="007F5A05">
        <w:t>The child as a witness</w:t>
      </w:r>
    </w:p>
    <w:p w:rsidR="0095241C" w:rsidRPr="007B0F82" w:rsidRDefault="0095241C" w:rsidP="00811568">
      <w:pPr>
        <w:pStyle w:val="BodyText"/>
        <w:widowControl w:val="0"/>
        <w:spacing w:before="0" w:after="0" w:line="240" w:lineRule="auto"/>
        <w:jc w:val="both"/>
        <w:rPr>
          <w:szCs w:val="20"/>
        </w:rPr>
      </w:pPr>
      <w:r w:rsidRPr="007B0F82">
        <w:rPr>
          <w:szCs w:val="20"/>
        </w:rPr>
        <w:t>Regarding the protection of child witnesses from harm and the existence of a child-friendly environment, the same situation as in the case of child plaintiffs/defendants applies.</w:t>
      </w:r>
    </w:p>
    <w:p w:rsidR="0095241C" w:rsidRPr="007F5A05" w:rsidRDefault="0095241C" w:rsidP="007F5A05">
      <w:pPr>
        <w:pStyle w:val="Heading4NoNumb"/>
        <w:spacing w:after="240"/>
        <w:ind w:left="851"/>
      </w:pPr>
      <w:r w:rsidRPr="007F5A05">
        <w:t>The child in any other role</w:t>
      </w:r>
    </w:p>
    <w:p w:rsidR="0095241C" w:rsidRPr="007B0F82" w:rsidRDefault="0095241C" w:rsidP="009104E8">
      <w:pPr>
        <w:pStyle w:val="BodyText"/>
        <w:widowControl w:val="0"/>
        <w:spacing w:before="0" w:after="0" w:line="240" w:lineRule="auto"/>
        <w:jc w:val="both"/>
        <w:rPr>
          <w:rFonts w:cs="Arial"/>
          <w:bCs/>
          <w:szCs w:val="20"/>
        </w:rPr>
      </w:pPr>
      <w:r w:rsidRPr="007B0F82">
        <w:rPr>
          <w:rFonts w:cs="Arial"/>
          <w:bCs/>
          <w:szCs w:val="20"/>
        </w:rPr>
        <w:t>As stated above, cases involving children are not fast-tracked or prioritised. However, in practice family law cases (which often involve children) are seen</w:t>
      </w:r>
      <w:r>
        <w:rPr>
          <w:rFonts w:cs="Arial"/>
          <w:bCs/>
          <w:szCs w:val="20"/>
        </w:rPr>
        <w:t xml:space="preserve"> as urgent of their very nature</w:t>
      </w:r>
      <w:r w:rsidRPr="007B0F82">
        <w:rPr>
          <w:rFonts w:cs="Arial"/>
          <w:bCs/>
          <w:szCs w:val="20"/>
        </w:rPr>
        <w:t xml:space="preserve">. </w:t>
      </w:r>
    </w:p>
    <w:p w:rsidR="0095241C" w:rsidRPr="007B0F82" w:rsidRDefault="0095241C" w:rsidP="009104E8">
      <w:pPr>
        <w:pStyle w:val="BodyText"/>
        <w:widowControl w:val="0"/>
        <w:spacing w:before="0" w:after="0" w:line="240" w:lineRule="auto"/>
        <w:jc w:val="both"/>
        <w:rPr>
          <w:rFonts w:cs="Arial"/>
          <w:bCs/>
          <w:szCs w:val="20"/>
        </w:rPr>
      </w:pPr>
    </w:p>
    <w:p w:rsidR="0095241C" w:rsidRPr="007B0F82" w:rsidRDefault="0095241C" w:rsidP="009104E8">
      <w:pPr>
        <w:pStyle w:val="BodyText"/>
        <w:widowControl w:val="0"/>
        <w:spacing w:before="0" w:after="0" w:line="240" w:lineRule="auto"/>
        <w:jc w:val="both"/>
        <w:rPr>
          <w:rFonts w:cs="Arial"/>
          <w:bCs/>
          <w:szCs w:val="20"/>
        </w:rPr>
      </w:pPr>
      <w:r w:rsidRPr="007B0F82">
        <w:rPr>
          <w:rFonts w:cs="Arial"/>
          <w:bCs/>
          <w:szCs w:val="20"/>
        </w:rPr>
        <w:t>In Malta, child-friendly measures are typically limited to the family law area. Even though there are few measures to ensure that the impact of the civil judicial proceedings on children is minimised and that children receive adequate support, in practice, the court will try to minimise exposure of the child to different psychologists and</w:t>
      </w:r>
      <w:r>
        <w:rPr>
          <w:rFonts w:cs="Arial"/>
          <w:bCs/>
          <w:szCs w:val="20"/>
        </w:rPr>
        <w:t xml:space="preserve"> </w:t>
      </w:r>
      <w:r w:rsidRPr="007B0F82">
        <w:rPr>
          <w:rFonts w:cs="Arial"/>
          <w:bCs/>
          <w:szCs w:val="20"/>
        </w:rPr>
        <w:t>to legal proceedings</w:t>
      </w:r>
      <w:r w:rsidRPr="007B0F82">
        <w:rPr>
          <w:rStyle w:val="FootnoteReference"/>
          <w:bCs/>
          <w:szCs w:val="20"/>
        </w:rPr>
        <w:footnoteReference w:id="128"/>
      </w:r>
      <w:r w:rsidRPr="007B0F82">
        <w:rPr>
          <w:rFonts w:cs="Arial"/>
          <w:bCs/>
          <w:szCs w:val="20"/>
        </w:rPr>
        <w:t xml:space="preserve">. </w:t>
      </w:r>
    </w:p>
    <w:p w:rsidR="0095241C" w:rsidRPr="007B0F82" w:rsidRDefault="0095241C" w:rsidP="009104E8">
      <w:pPr>
        <w:ind w:left="851"/>
        <w:jc w:val="both"/>
      </w:pPr>
      <w:r w:rsidRPr="007B0F82">
        <w:t xml:space="preserve">The Civil Court (Family Section) is in a separate building to the other courts and lawyers do not wear their formal gowns in sittings in this court. This could be seen to make the environment less </w:t>
      </w:r>
      <w:r w:rsidRPr="00445684">
        <w:t>intimidating to some extent.</w:t>
      </w:r>
      <w:r w:rsidRPr="007B0F82">
        <w:t xml:space="preserve"> </w:t>
      </w:r>
    </w:p>
    <w:p w:rsidR="0095241C" w:rsidRPr="007B0F82" w:rsidRDefault="0095241C" w:rsidP="009104E8">
      <w:pPr>
        <w:ind w:left="851"/>
        <w:jc w:val="both"/>
      </w:pPr>
      <w:r w:rsidRPr="007B0F82">
        <w:t xml:space="preserve">As regards psychological, practical and other support provided to the child to cope with proceedings, this can be made available through </w:t>
      </w:r>
      <w:r w:rsidRPr="007B0F82">
        <w:rPr>
          <w:i/>
        </w:rPr>
        <w:t>Aġenzija Appoġġ</w:t>
      </w:r>
      <w:r w:rsidRPr="007B0F82">
        <w:t xml:space="preserve"> and the children’s advocates. Children can access the services of </w:t>
      </w:r>
      <w:r w:rsidRPr="007B0F82">
        <w:rPr>
          <w:i/>
        </w:rPr>
        <w:t>Aġenzija Appoġġ</w:t>
      </w:r>
      <w:r w:rsidRPr="007B0F82">
        <w:t xml:space="preserve"> in their own right. </w:t>
      </w:r>
      <w:r w:rsidRPr="007B0F82">
        <w:rPr>
          <w:i/>
        </w:rPr>
        <w:t>Aġenzija Appoġġ</w:t>
      </w:r>
      <w:r w:rsidRPr="007B0F82">
        <w:t xml:space="preserve"> can also provide support after the </w:t>
      </w:r>
      <w:r>
        <w:t>judgement</w:t>
      </w:r>
      <w:r w:rsidRPr="007B0F82">
        <w:t>, particularly though supervised access visits, that is, supervised contact between children and non-custodial parents and other members of their family. This helps to provide a safe, beneficial and child focused contact, where the child can maintain a relationship with his/her family. Supervised access visits are offered to children who are under a care order, to children whose parents are undergoing separation and also cases on a voluntary basis</w:t>
      </w:r>
      <w:r w:rsidRPr="007B0F82">
        <w:rPr>
          <w:vertAlign w:val="superscript"/>
        </w:rPr>
        <w:footnoteReference w:id="129"/>
      </w:r>
      <w:r w:rsidRPr="007B0F82">
        <w:t>.</w:t>
      </w:r>
    </w:p>
    <w:p w:rsidR="0095241C" w:rsidRPr="00811568" w:rsidRDefault="0095241C" w:rsidP="00811568">
      <w:pPr>
        <w:pStyle w:val="BodyText"/>
        <w:widowControl w:val="0"/>
        <w:spacing w:before="0" w:after="0" w:line="240" w:lineRule="auto"/>
        <w:jc w:val="both"/>
        <w:rPr>
          <w:szCs w:val="20"/>
        </w:rPr>
      </w:pPr>
      <w:r w:rsidRPr="007B0F82">
        <w:rPr>
          <w:szCs w:val="20"/>
        </w:rPr>
        <w:t xml:space="preserve">Regarding the imposition of interim measures to protect the child from harm, the court can give certain directions relating to children pending the outcome of separation or divorce proceedings. These typically relate to the care and custody of the children and to maintenance issues as described in </w:t>
      </w:r>
      <w:hyperlink w:anchor="Section2" w:history="1">
        <w:r w:rsidRPr="007B0F82">
          <w:rPr>
            <w:rStyle w:val="Hyperlink"/>
            <w:szCs w:val="20"/>
          </w:rPr>
          <w:t>Section 2</w:t>
        </w:r>
      </w:hyperlink>
      <w:r w:rsidRPr="007B0F82">
        <w:rPr>
          <w:szCs w:val="20"/>
        </w:rPr>
        <w:t xml:space="preserve"> above.  </w:t>
      </w:r>
    </w:p>
    <w:p w:rsidR="0095241C" w:rsidRPr="007B0F82" w:rsidRDefault="0095241C" w:rsidP="00AC1EA6">
      <w:pPr>
        <w:pStyle w:val="Heading2"/>
      </w:pPr>
      <w:bookmarkStart w:id="96" w:name="_Protecting_the_child"/>
      <w:bookmarkStart w:id="97" w:name="_Toc338234114"/>
      <w:bookmarkStart w:id="98" w:name="_Toc350439429"/>
      <w:bookmarkStart w:id="99" w:name="_Toc407962136"/>
      <w:bookmarkEnd w:id="96"/>
      <w:r w:rsidRPr="007B0F82">
        <w:t>Protecting the child during interviews and when giving testimony</w:t>
      </w:r>
      <w:bookmarkEnd w:id="99"/>
      <w:r w:rsidRPr="007B0F82">
        <w:t xml:space="preserve"> </w:t>
      </w:r>
      <w:bookmarkEnd w:id="97"/>
      <w:bookmarkEnd w:id="98"/>
    </w:p>
    <w:p w:rsidR="0095241C" w:rsidRPr="007F5A05" w:rsidRDefault="0095241C" w:rsidP="00811568">
      <w:pPr>
        <w:pStyle w:val="Heading3"/>
      </w:pPr>
      <w:bookmarkStart w:id="100" w:name="_Toc407962137"/>
      <w:r w:rsidRPr="007F5A05">
        <w:t>General procedural rules applicable to children involved in civil judicial proceedings regardless of their role</w:t>
      </w:r>
      <w:bookmarkEnd w:id="100"/>
    </w:p>
    <w:p w:rsidR="0095241C" w:rsidRPr="007B0F82" w:rsidRDefault="0095241C" w:rsidP="009104E8">
      <w:pPr>
        <w:widowControl w:val="0"/>
        <w:spacing w:before="0" w:after="0" w:line="240" w:lineRule="auto"/>
        <w:ind w:left="851"/>
        <w:jc w:val="both"/>
        <w:rPr>
          <w:bCs/>
        </w:rPr>
      </w:pPr>
      <w:r w:rsidRPr="007B0F82">
        <w:rPr>
          <w:bCs/>
        </w:rPr>
        <w:t>There do not seem to be any special legal requirements/policies in place in relation to how a child is interviewed or gives testimony.</w:t>
      </w:r>
    </w:p>
    <w:p w:rsidR="0095241C" w:rsidRPr="007B0F82" w:rsidRDefault="0095241C" w:rsidP="009104E8">
      <w:pPr>
        <w:widowControl w:val="0"/>
        <w:spacing w:before="0" w:after="0" w:line="240" w:lineRule="auto"/>
        <w:ind w:left="851"/>
        <w:jc w:val="both"/>
        <w:rPr>
          <w:bCs/>
        </w:rPr>
      </w:pPr>
    </w:p>
    <w:p w:rsidR="0095241C" w:rsidRPr="007B0F82" w:rsidRDefault="0095241C" w:rsidP="009104E8">
      <w:pPr>
        <w:widowControl w:val="0"/>
        <w:spacing w:before="0" w:after="0" w:line="240" w:lineRule="auto"/>
        <w:ind w:left="851"/>
        <w:jc w:val="both"/>
      </w:pPr>
      <w:r w:rsidRPr="007B0F82">
        <w:t>As with adult witnesses, children cannot be compelled to answer questions the answer to which may subject them to criminal prosecution. The court also has the discretion to decide that a witness, including a child witness, is not bound to answer a particular question on the ground that the answer might expose him/her to his/her own degradation</w:t>
      </w:r>
      <w:r w:rsidRPr="007B0F82">
        <w:rPr>
          <w:rStyle w:val="FootnoteReference"/>
        </w:rPr>
        <w:footnoteReference w:id="130"/>
      </w:r>
      <w:r w:rsidRPr="007B0F82">
        <w:t>. Child witnesses must take an oath before they are examined</w:t>
      </w:r>
      <w:r w:rsidRPr="007B0F82">
        <w:rPr>
          <w:rStyle w:val="FootnoteReference"/>
        </w:rPr>
        <w:footnoteReference w:id="131"/>
      </w:r>
      <w:r w:rsidRPr="007B0F82">
        <w:t xml:space="preserve">. The same applies where the person giving </w:t>
      </w:r>
      <w:r w:rsidRPr="007B0F82">
        <w:lastRenderedPageBreak/>
        <w:t>testimony is also a party to the case.</w:t>
      </w:r>
    </w:p>
    <w:p w:rsidR="0095241C" w:rsidRPr="007B0F82" w:rsidRDefault="0095241C" w:rsidP="009104E8">
      <w:pPr>
        <w:widowControl w:val="0"/>
        <w:spacing w:before="0" w:after="0" w:line="240" w:lineRule="auto"/>
        <w:ind w:left="851"/>
        <w:jc w:val="both"/>
      </w:pPr>
    </w:p>
    <w:p w:rsidR="0095241C" w:rsidRPr="007B0F82" w:rsidRDefault="0095241C" w:rsidP="009104E8">
      <w:pPr>
        <w:widowControl w:val="0"/>
        <w:spacing w:before="0" w:after="0" w:line="240" w:lineRule="auto"/>
        <w:ind w:left="851"/>
        <w:jc w:val="both"/>
      </w:pPr>
      <w:r w:rsidRPr="007B0F82">
        <w:t>The same provisions on the admissibility of information/evidence in court that apply to adults, apply to children. There are no special legal measures to ensure that the special needs of children and their age and maturity are taken into account while gathering information/evidence.</w:t>
      </w:r>
    </w:p>
    <w:p w:rsidR="0095241C" w:rsidRPr="007B0F82" w:rsidRDefault="0095241C" w:rsidP="009104E8">
      <w:pPr>
        <w:widowControl w:val="0"/>
        <w:spacing w:before="0" w:after="0" w:line="240" w:lineRule="auto"/>
        <w:ind w:left="851"/>
        <w:jc w:val="both"/>
      </w:pPr>
    </w:p>
    <w:p w:rsidR="0095241C" w:rsidRPr="007B0F82" w:rsidRDefault="0095241C" w:rsidP="00811568">
      <w:pPr>
        <w:pStyle w:val="BodyText"/>
        <w:widowControl w:val="0"/>
        <w:spacing w:before="0" w:after="0" w:line="240" w:lineRule="auto"/>
        <w:jc w:val="both"/>
        <w:rPr>
          <w:rFonts w:eastAsia="Times New Roman"/>
          <w:bCs/>
          <w:szCs w:val="20"/>
        </w:rPr>
      </w:pPr>
      <w:r w:rsidRPr="007B0F82">
        <w:rPr>
          <w:szCs w:val="20"/>
        </w:rPr>
        <w:t xml:space="preserve">There are no legal provisions requiring that children receive assistance and are prepared for or supported when attending proceedings such as interviews, court sessions, etc. In practice, children will typically be accompanied by the parent/s or other person charged with their care. It will depend on the circumstances of each case whether the child will be heard alone or in the presence of the parent/s. </w:t>
      </w:r>
      <w:r w:rsidRPr="007B0F82">
        <w:rPr>
          <w:rFonts w:eastAsia="Times New Roman"/>
          <w:bCs/>
          <w:szCs w:val="20"/>
        </w:rPr>
        <w:t xml:space="preserve">Similarly, as mentioned in </w:t>
      </w:r>
      <w:hyperlink w:anchor="_Protecting_the_child" w:history="1">
        <w:r w:rsidRPr="007B0F82">
          <w:rPr>
            <w:rStyle w:val="Hyperlink"/>
            <w:rFonts w:eastAsia="Times New Roman"/>
            <w:bCs/>
            <w:szCs w:val="20"/>
          </w:rPr>
          <w:t>Section 3.5</w:t>
        </w:r>
      </w:hyperlink>
      <w:r w:rsidRPr="007B0F82">
        <w:rPr>
          <w:rFonts w:eastAsia="Times New Roman"/>
          <w:bCs/>
          <w:szCs w:val="20"/>
        </w:rPr>
        <w:t>, there are no rules aimed at ensuring that the number of interviews is as limited as possible and that their length is adapted to the child’s age and attention span. It will be up to the professionals involved to carry out interviews in a child</w:t>
      </w:r>
      <w:r>
        <w:rPr>
          <w:rFonts w:eastAsia="Times New Roman"/>
          <w:bCs/>
          <w:szCs w:val="20"/>
        </w:rPr>
        <w:t>-</w:t>
      </w:r>
      <w:r w:rsidRPr="007B0F82">
        <w:rPr>
          <w:rFonts w:eastAsia="Times New Roman"/>
          <w:bCs/>
          <w:szCs w:val="20"/>
        </w:rPr>
        <w:t xml:space="preserve">friendly manner. </w:t>
      </w:r>
    </w:p>
    <w:p w:rsidR="0095241C" w:rsidRPr="007F5A05" w:rsidRDefault="0095241C" w:rsidP="007F5A05">
      <w:pPr>
        <w:pStyle w:val="Heading4NoNumb"/>
        <w:spacing w:after="240"/>
        <w:ind w:left="851"/>
      </w:pPr>
      <w:r w:rsidRPr="007F5A05">
        <w:t>The child as a plaintiff/defendant</w:t>
      </w:r>
    </w:p>
    <w:p w:rsidR="0095241C" w:rsidRPr="007B0F82" w:rsidRDefault="0095241C" w:rsidP="00811568">
      <w:pPr>
        <w:pStyle w:val="BodyText"/>
        <w:widowControl w:val="0"/>
        <w:spacing w:before="0" w:after="0" w:line="240" w:lineRule="auto"/>
        <w:jc w:val="both"/>
        <w:rPr>
          <w:rFonts w:eastAsia="Times New Roman"/>
          <w:bCs/>
        </w:rPr>
      </w:pPr>
      <w:r w:rsidRPr="007B0F82">
        <w:rPr>
          <w:rFonts w:eastAsia="Times New Roman"/>
          <w:bCs/>
        </w:rPr>
        <w:t>The general rules indicated above apply.</w:t>
      </w:r>
    </w:p>
    <w:p w:rsidR="0095241C" w:rsidRPr="007F5A05" w:rsidRDefault="0095241C" w:rsidP="007F5A05">
      <w:pPr>
        <w:pStyle w:val="Heading4NoNumb"/>
        <w:spacing w:after="240"/>
        <w:ind w:left="851"/>
      </w:pPr>
      <w:r w:rsidRPr="007F5A05">
        <w:t>The child as a witness</w:t>
      </w:r>
    </w:p>
    <w:p w:rsidR="0095241C" w:rsidRPr="007B0F82" w:rsidRDefault="0095241C" w:rsidP="00811568">
      <w:pPr>
        <w:pStyle w:val="BodyText"/>
        <w:widowControl w:val="0"/>
        <w:spacing w:before="0" w:after="0" w:line="240" w:lineRule="auto"/>
        <w:jc w:val="both"/>
        <w:rPr>
          <w:rFonts w:eastAsia="Times New Roman"/>
          <w:bCs/>
        </w:rPr>
      </w:pPr>
      <w:r w:rsidRPr="007B0F82">
        <w:rPr>
          <w:rFonts w:eastAsia="Times New Roman"/>
          <w:bCs/>
        </w:rPr>
        <w:t>The general rules indicated above apply.</w:t>
      </w:r>
    </w:p>
    <w:p w:rsidR="0095241C" w:rsidRPr="007F5A05" w:rsidRDefault="0095241C" w:rsidP="007F5A05">
      <w:pPr>
        <w:pStyle w:val="Heading4NoNumb"/>
        <w:spacing w:after="240"/>
        <w:ind w:left="851"/>
      </w:pPr>
      <w:r w:rsidRPr="007F5A05">
        <w:t>The child in any other role</w:t>
      </w:r>
    </w:p>
    <w:p w:rsidR="0095241C" w:rsidRPr="00811568" w:rsidRDefault="0095241C" w:rsidP="00811568">
      <w:pPr>
        <w:pStyle w:val="BodyText"/>
        <w:widowControl w:val="0"/>
        <w:spacing w:before="0" w:after="0" w:line="240" w:lineRule="auto"/>
        <w:jc w:val="both"/>
        <w:rPr>
          <w:rFonts w:eastAsia="Times New Roman"/>
          <w:bCs/>
        </w:rPr>
      </w:pPr>
      <w:r w:rsidRPr="007B0F82">
        <w:rPr>
          <w:rFonts w:eastAsia="Times New Roman" w:cs="Arial"/>
          <w:bCs/>
          <w:szCs w:val="20"/>
        </w:rPr>
        <w:t>The general rules indicated above apply.</w:t>
      </w:r>
    </w:p>
    <w:p w:rsidR="0095241C" w:rsidRPr="007B0F82" w:rsidRDefault="0095241C" w:rsidP="00AC1EA6">
      <w:pPr>
        <w:pStyle w:val="Heading2"/>
      </w:pPr>
      <w:bookmarkStart w:id="101" w:name="_Toc338234115"/>
      <w:bookmarkStart w:id="102" w:name="_Toc338234116"/>
      <w:bookmarkStart w:id="103" w:name="_Toc350439430"/>
      <w:bookmarkStart w:id="104" w:name="_Toc407962138"/>
      <w:bookmarkEnd w:id="101"/>
      <w:r w:rsidRPr="007B0F82">
        <w:t>Right to be heard and to participate in civil judicial proceedings</w:t>
      </w:r>
      <w:bookmarkEnd w:id="104"/>
      <w:r w:rsidRPr="007B0F82">
        <w:t xml:space="preserve"> </w:t>
      </w:r>
      <w:bookmarkEnd w:id="102"/>
      <w:bookmarkEnd w:id="103"/>
    </w:p>
    <w:p w:rsidR="0095241C" w:rsidRPr="007F5A05" w:rsidRDefault="0095241C" w:rsidP="00811568">
      <w:pPr>
        <w:pStyle w:val="Heading3"/>
      </w:pPr>
      <w:bookmarkStart w:id="105" w:name="_Toc407962139"/>
      <w:r w:rsidRPr="007F5A05">
        <w:t>General procedural rules applicable to children involved in civil judicial proceedings regardless of their role</w:t>
      </w:r>
      <w:bookmarkEnd w:id="105"/>
    </w:p>
    <w:p w:rsidR="0095241C" w:rsidRPr="00811568" w:rsidRDefault="0095241C" w:rsidP="00811568">
      <w:pPr>
        <w:widowControl w:val="0"/>
        <w:spacing w:before="0" w:after="0" w:line="240" w:lineRule="auto"/>
        <w:ind w:left="851"/>
        <w:jc w:val="both"/>
      </w:pPr>
      <w:r w:rsidRPr="007B0F82">
        <w:t>It is not clear how, when and by whom children are given the necessary information and explanations about the consequences of participating in civil judicial proceedings and expressing their views or opinions. Similarly, no communication techniques aimed at taking into account the maturity of the child and ensuring that the child understands proceedings, decisions and rulings were identified. In fact, t</w:t>
      </w:r>
      <w:r w:rsidRPr="007B0F82">
        <w:rPr>
          <w:lang w:eastAsia="en-GB"/>
        </w:rPr>
        <w:t>he child’s right to be heard</w:t>
      </w:r>
      <w:r>
        <w:rPr>
          <w:lang w:eastAsia="en-GB"/>
        </w:rPr>
        <w:t xml:space="preserve"> (especially as plaintiff or defendant)</w:t>
      </w:r>
      <w:r w:rsidRPr="007B0F82">
        <w:rPr>
          <w:lang w:eastAsia="en-GB"/>
        </w:rPr>
        <w:t xml:space="preserve"> in civil judicial proceedings seems to be rather limited</w:t>
      </w:r>
      <w:r>
        <w:rPr>
          <w:rStyle w:val="FootnoteReference"/>
          <w:lang w:eastAsia="en-GB"/>
        </w:rPr>
        <w:footnoteReference w:id="132"/>
      </w:r>
      <w:r w:rsidRPr="007B0F82">
        <w:rPr>
          <w:lang w:eastAsia="en-GB"/>
        </w:rPr>
        <w:t xml:space="preserve">. </w:t>
      </w:r>
      <w:r w:rsidRPr="007B0F82">
        <w:t xml:space="preserve">Lawyers are involved if they are engaged by the children and/or by their parents. </w:t>
      </w:r>
      <w:r w:rsidRPr="007B0F82">
        <w:rPr>
          <w:lang w:eastAsia="en-GB"/>
        </w:rPr>
        <w:t>The draft National Children’s Policy recognises that a person, ideally a child advocate, representing the rights of the child should be present in civil judicial proceedings. Social workers and child advocates should work together to safeguard the social, emotional and civic rights of the child</w:t>
      </w:r>
      <w:r w:rsidRPr="007B0F82">
        <w:rPr>
          <w:rStyle w:val="FootnoteReference"/>
          <w:lang w:eastAsia="en-GB"/>
        </w:rPr>
        <w:footnoteReference w:id="133"/>
      </w:r>
      <w:r w:rsidRPr="007B0F82">
        <w:rPr>
          <w:lang w:eastAsia="en-GB"/>
        </w:rPr>
        <w:t>. The Policy also recommends that specific guidelines on the practices of the child advocate in court cases are established, that more investment is put into recruiting child advocates, and that children be given the right to ask, in their own discretion, to be represented by an advocate. This right should not be restricted by age</w:t>
      </w:r>
      <w:r w:rsidRPr="007B0F82">
        <w:rPr>
          <w:rStyle w:val="FootnoteReference"/>
          <w:lang w:eastAsia="en-GB"/>
        </w:rPr>
        <w:footnoteReference w:id="134"/>
      </w:r>
      <w:r w:rsidRPr="007B0F82">
        <w:rPr>
          <w:lang w:eastAsia="en-GB"/>
        </w:rPr>
        <w:t xml:space="preserve">. </w:t>
      </w:r>
    </w:p>
    <w:p w:rsidR="0095241C" w:rsidRPr="007B0F82" w:rsidRDefault="0095241C" w:rsidP="007F5A05">
      <w:pPr>
        <w:pStyle w:val="Heading4NoNumb"/>
        <w:spacing w:after="240"/>
        <w:ind w:left="851"/>
        <w:rPr>
          <w:rFonts w:cs="Arial"/>
          <w:b w:val="0"/>
          <w:sz w:val="20"/>
          <w:szCs w:val="20"/>
        </w:rPr>
      </w:pPr>
      <w:r w:rsidRPr="007F5A05">
        <w:t>The child as a plaintiff</w:t>
      </w:r>
    </w:p>
    <w:p w:rsidR="0095241C" w:rsidRPr="007B0F82" w:rsidRDefault="0095241C" w:rsidP="009104E8">
      <w:pPr>
        <w:autoSpaceDE w:val="0"/>
        <w:autoSpaceDN w:val="0"/>
        <w:adjustRightInd w:val="0"/>
        <w:spacing w:before="0" w:after="0" w:line="240" w:lineRule="auto"/>
        <w:ind w:left="851"/>
        <w:jc w:val="both"/>
      </w:pPr>
      <w:r w:rsidRPr="007B0F82">
        <w:t xml:space="preserve">With reference to the participation of child plaintiffs in civil judicial proceedings, the rules described under </w:t>
      </w:r>
      <w:hyperlink w:anchor="_The_child_as" w:history="1">
        <w:r w:rsidRPr="007B0F82">
          <w:rPr>
            <w:rStyle w:val="Hyperlink"/>
            <w:rFonts w:cs="Arial"/>
          </w:rPr>
          <w:t>Section 3.1</w:t>
        </w:r>
      </w:hyperlink>
      <w:r w:rsidRPr="007B0F82">
        <w:t xml:space="preserve"> apply. The steps taken to remove the obstacles children may face when accessing courts in relation to the costs of the proceedings or lack of legal advice are examined in </w:t>
      </w:r>
      <w:hyperlink w:anchor="_Toc346714791" w:history="1">
        <w:r w:rsidRPr="007B0F82">
          <w:rPr>
            <w:rStyle w:val="Hyperlink"/>
            <w:rFonts w:cs="Arial"/>
          </w:rPr>
          <w:t>Section 3.7</w:t>
        </w:r>
      </w:hyperlink>
      <w:r w:rsidRPr="007B0F82">
        <w:t>.</w:t>
      </w:r>
    </w:p>
    <w:p w:rsidR="0095241C" w:rsidRPr="007B0F82" w:rsidRDefault="0095241C" w:rsidP="009104E8">
      <w:pPr>
        <w:autoSpaceDE w:val="0"/>
        <w:autoSpaceDN w:val="0"/>
        <w:adjustRightInd w:val="0"/>
        <w:spacing w:before="0" w:after="0" w:line="240" w:lineRule="auto"/>
        <w:ind w:left="851"/>
        <w:jc w:val="both"/>
      </w:pPr>
    </w:p>
    <w:p w:rsidR="0095241C" w:rsidRPr="007B0F82" w:rsidRDefault="0095241C" w:rsidP="009104E8">
      <w:pPr>
        <w:autoSpaceDE w:val="0"/>
        <w:autoSpaceDN w:val="0"/>
        <w:adjustRightInd w:val="0"/>
        <w:spacing w:before="0" w:after="0" w:line="240" w:lineRule="auto"/>
        <w:ind w:left="851"/>
        <w:jc w:val="both"/>
      </w:pPr>
      <w:r w:rsidRPr="007B0F82">
        <w:lastRenderedPageBreak/>
        <w:t xml:space="preserve">It is noted that Maltese law provides special rules on limitation periods for children. As a general rule, </w:t>
      </w:r>
      <w:r w:rsidRPr="007B0F82">
        <w:rPr>
          <w:lang w:eastAsia="x-none"/>
        </w:rPr>
        <w:t>prescription does not run against children</w:t>
      </w:r>
      <w:r w:rsidRPr="007B0F82">
        <w:rPr>
          <w:rStyle w:val="FootnoteReference"/>
          <w:rFonts w:cs="Arial"/>
        </w:rPr>
        <w:footnoteReference w:id="135"/>
      </w:r>
      <w:r w:rsidRPr="007B0F82">
        <w:rPr>
          <w:lang w:eastAsia="x-none"/>
        </w:rPr>
        <w:t>.</w:t>
      </w:r>
      <w:r w:rsidRPr="007B0F82">
        <w:t xml:space="preserve"> Specific provisions state when limitation periods start to run in specific cases. Persons over 18 years of age can bring cases about violations of their rights that occurred when they were children as long as the action is not prescribed.</w:t>
      </w:r>
    </w:p>
    <w:p w:rsidR="0095241C" w:rsidRPr="007B0F82" w:rsidRDefault="0095241C" w:rsidP="009104E8">
      <w:pPr>
        <w:autoSpaceDE w:val="0"/>
        <w:autoSpaceDN w:val="0"/>
        <w:adjustRightInd w:val="0"/>
        <w:spacing w:before="0" w:after="0" w:line="240" w:lineRule="auto"/>
        <w:ind w:left="851"/>
        <w:jc w:val="both"/>
      </w:pPr>
    </w:p>
    <w:p w:rsidR="0095241C" w:rsidRDefault="0095241C" w:rsidP="009104E8">
      <w:pPr>
        <w:autoSpaceDE w:val="0"/>
        <w:autoSpaceDN w:val="0"/>
        <w:adjustRightInd w:val="0"/>
        <w:spacing w:before="0" w:after="0" w:line="240" w:lineRule="auto"/>
        <w:ind w:left="851"/>
        <w:jc w:val="both"/>
      </w:pPr>
      <w:r w:rsidRPr="007B0F82">
        <w:t>Some specific provisions were identified in relation to prescription where children are involved in succession cases and actions against tutors:</w:t>
      </w:r>
    </w:p>
    <w:p w:rsidR="0095241C" w:rsidRPr="007B0F82" w:rsidRDefault="0095241C" w:rsidP="009104E8">
      <w:pPr>
        <w:autoSpaceDE w:val="0"/>
        <w:autoSpaceDN w:val="0"/>
        <w:adjustRightInd w:val="0"/>
        <w:spacing w:before="0" w:after="0" w:line="240" w:lineRule="auto"/>
        <w:ind w:left="851"/>
        <w:jc w:val="both"/>
      </w:pPr>
    </w:p>
    <w:p w:rsidR="0095241C" w:rsidRPr="007B0F82" w:rsidRDefault="0095241C" w:rsidP="008558C6">
      <w:pPr>
        <w:pStyle w:val="BTBullet1"/>
      </w:pPr>
      <w:r w:rsidRPr="007B0F82">
        <w:t>The action for demanding an inheritance, or a legacy, or the reserved portion, whether in testate or in intestate successions, lapses on the expiration of 10 years from the day of the opening of the succession. However, with regard to children, the action does not lapse except on the expiration of one year from the day on which they turn 18 years of age</w:t>
      </w:r>
      <w:r w:rsidRPr="007F5A05">
        <w:rPr>
          <w:vertAlign w:val="superscript"/>
        </w:rPr>
        <w:footnoteReference w:id="136"/>
      </w:r>
      <w:r w:rsidRPr="007B0F82">
        <w:t>.</w:t>
      </w:r>
    </w:p>
    <w:p w:rsidR="0095241C" w:rsidRPr="007B0F82" w:rsidRDefault="0095241C" w:rsidP="008558C6">
      <w:pPr>
        <w:pStyle w:val="BTBullet1"/>
      </w:pPr>
      <w:r w:rsidRPr="007B0F82">
        <w:t>Children will not be deemed to have forfeited the benefit of inventory except on the expiration of one year from the day on which they reach 18 years of age</w:t>
      </w:r>
      <w:r w:rsidRPr="007F5A05">
        <w:rPr>
          <w:vertAlign w:val="superscript"/>
        </w:rPr>
        <w:footnoteReference w:id="137"/>
      </w:r>
      <w:r w:rsidRPr="007B0F82">
        <w:t>.</w:t>
      </w:r>
    </w:p>
    <w:p w:rsidR="0095241C" w:rsidRPr="00811568" w:rsidRDefault="0095241C" w:rsidP="008558C6">
      <w:pPr>
        <w:pStyle w:val="BTBullet1"/>
      </w:pPr>
      <w:r w:rsidRPr="007F5A05">
        <w:t>All actions competent to the child against the tutor, or competent to the tutor against the child, relating to the tutorship are barred by the lapse of 5 years. The 5 years start to run from the day on which the child turns 18 years of age</w:t>
      </w:r>
      <w:r w:rsidRPr="007F5A05">
        <w:rPr>
          <w:vertAlign w:val="superscript"/>
        </w:rPr>
        <w:footnoteReference w:id="138"/>
      </w:r>
      <w:r w:rsidRPr="007F5A05">
        <w:t>.</w:t>
      </w:r>
    </w:p>
    <w:p w:rsidR="0095241C" w:rsidRPr="00B4530D" w:rsidRDefault="0095241C" w:rsidP="00B4530D">
      <w:pPr>
        <w:pStyle w:val="Heading4NoNumb"/>
        <w:spacing w:after="240"/>
        <w:ind w:left="851"/>
      </w:pPr>
      <w:r w:rsidRPr="00B4530D">
        <w:t>The child as a defendant</w:t>
      </w:r>
    </w:p>
    <w:p w:rsidR="0095241C" w:rsidRPr="007B0F82" w:rsidRDefault="0095241C" w:rsidP="00811568">
      <w:pPr>
        <w:tabs>
          <w:tab w:val="left" w:pos="0"/>
        </w:tabs>
        <w:spacing w:before="0" w:after="0" w:line="240" w:lineRule="auto"/>
        <w:ind w:left="851"/>
        <w:jc w:val="both"/>
      </w:pPr>
      <w:r w:rsidRPr="007B0F82">
        <w:t xml:space="preserve">The general rules as indicated above apply. With respect to the participation of child defendants in civil judicial proceedings, please see </w:t>
      </w:r>
      <w:hyperlink w:anchor="_The_child_as" w:history="1">
        <w:r w:rsidRPr="007B0F82">
          <w:rPr>
            <w:rStyle w:val="Hyperlink"/>
            <w:rFonts w:cs="Arial"/>
          </w:rPr>
          <w:t>Section 3.1</w:t>
        </w:r>
      </w:hyperlink>
      <w:r w:rsidRPr="007B0F82">
        <w:t xml:space="preserve">. </w:t>
      </w:r>
    </w:p>
    <w:p w:rsidR="0095241C" w:rsidRPr="00B4530D" w:rsidRDefault="0095241C" w:rsidP="00B4530D">
      <w:pPr>
        <w:pStyle w:val="Heading4NoNumb"/>
        <w:spacing w:after="240"/>
        <w:ind w:left="851"/>
      </w:pPr>
      <w:r w:rsidRPr="00B4530D">
        <w:t>The child as a witness</w:t>
      </w:r>
    </w:p>
    <w:p w:rsidR="0095241C" w:rsidRPr="00811568" w:rsidRDefault="0095241C" w:rsidP="00811568">
      <w:pPr>
        <w:tabs>
          <w:tab w:val="left" w:pos="0"/>
        </w:tabs>
        <w:spacing w:before="0" w:after="0" w:line="240" w:lineRule="auto"/>
        <w:ind w:left="851"/>
        <w:jc w:val="both"/>
      </w:pPr>
      <w:r w:rsidRPr="007B0F82">
        <w:t xml:space="preserve">The general rules as indicated above apply. With respect to the participation of children as witnesses in civil judicial proceedings, please see </w:t>
      </w:r>
      <w:hyperlink w:anchor="_The_child_as" w:history="1">
        <w:r w:rsidRPr="007B0F82">
          <w:rPr>
            <w:rStyle w:val="Hyperlink"/>
            <w:rFonts w:cs="Arial"/>
          </w:rPr>
          <w:t>Section 3.1</w:t>
        </w:r>
      </w:hyperlink>
      <w:r w:rsidRPr="007B0F82">
        <w:t xml:space="preserve">. </w:t>
      </w:r>
    </w:p>
    <w:p w:rsidR="0095241C" w:rsidRPr="00B4530D" w:rsidRDefault="0095241C" w:rsidP="00B4530D">
      <w:pPr>
        <w:pStyle w:val="Heading4NoNumb"/>
        <w:spacing w:after="240"/>
        <w:ind w:left="851"/>
      </w:pPr>
      <w:r w:rsidRPr="00B4530D">
        <w:t>The child in any other role</w:t>
      </w:r>
    </w:p>
    <w:p w:rsidR="0095241C" w:rsidRPr="007B0F82" w:rsidRDefault="0095241C" w:rsidP="008558C6">
      <w:pPr>
        <w:pStyle w:val="Heading3NoNumb"/>
        <w:ind w:firstLine="851"/>
        <w:rPr>
          <w:i/>
        </w:rPr>
      </w:pPr>
      <w:bookmarkStart w:id="106" w:name="_Toc407962140"/>
      <w:r w:rsidRPr="00B4530D">
        <w:t>Family law proceedings</w:t>
      </w:r>
      <w:bookmarkEnd w:id="106"/>
    </w:p>
    <w:p w:rsidR="0095241C" w:rsidRPr="007B0F82" w:rsidRDefault="0095241C" w:rsidP="009104E8">
      <w:pPr>
        <w:spacing w:before="0" w:after="0" w:line="240" w:lineRule="auto"/>
        <w:ind w:left="851"/>
        <w:jc w:val="both"/>
      </w:pPr>
      <w:r w:rsidRPr="007B0F82">
        <w:t xml:space="preserve">Children can appear as witnesses and be heard in the Civil Court (Family Section) with respect to matters that affect them. However, as highlighted in the draft National Children’s Policy, although the Convention on the Rights of the Child </w:t>
      </w:r>
      <w:r w:rsidRPr="00EB055C">
        <w:t>expressly states that children have the right to be heard in matters concerning them</w:t>
      </w:r>
      <w:r w:rsidRPr="007B0F82">
        <w:t>, Maltese law does not allow children involved with the justice system to ask to be represented by a child advocate. Instead they have to rely on the goodwill of adults, namely judges, parents or mediators involved in the particular case. Therefore, the law does not contain a provision that entitles children to access legal representation independently. Currently, it is only in issues concerning parental authority and decisions affecting the best interests of the child, that the Civil Court is compelled to hear children if they have reached the age of 14</w:t>
      </w:r>
      <w:r w:rsidRPr="007B0F82">
        <w:rPr>
          <w:rStyle w:val="FootnoteReference"/>
        </w:rPr>
        <w:footnoteReference w:id="139"/>
      </w:r>
      <w:r w:rsidRPr="007B0F82">
        <w:t xml:space="preserve"> (see </w:t>
      </w:r>
      <w:hyperlink w:anchor="_The_child_as" w:history="1">
        <w:r w:rsidRPr="007B0F82">
          <w:rPr>
            <w:rStyle w:val="Hyperlink"/>
            <w:rFonts w:cs="Arial"/>
          </w:rPr>
          <w:t>Section 3.1</w:t>
        </w:r>
      </w:hyperlink>
      <w:r w:rsidRPr="007B0F82">
        <w:t xml:space="preserve"> ‘the child in any other role’). This provision grants the child the right to participation. However, the right to participate in matters concerning them is not bestowed to all </w:t>
      </w:r>
      <w:r>
        <w:t xml:space="preserve">children, irrespective of age. </w:t>
      </w:r>
    </w:p>
    <w:p w:rsidR="0095241C" w:rsidRPr="004B657F" w:rsidRDefault="0095241C" w:rsidP="009104E8">
      <w:pPr>
        <w:pStyle w:val="BodyText"/>
        <w:widowControl w:val="0"/>
        <w:jc w:val="both"/>
        <w:rPr>
          <w:rFonts w:eastAsia="Times New Roman" w:cs="Arial"/>
          <w:bCs/>
          <w:szCs w:val="20"/>
        </w:rPr>
      </w:pPr>
      <w:r w:rsidRPr="007B0F82">
        <w:rPr>
          <w:rFonts w:eastAsia="Times New Roman" w:cs="Arial"/>
          <w:bCs/>
          <w:szCs w:val="20"/>
        </w:rPr>
        <w:t>The Commissioner for Children publicly endorsed the proposal made by the Minister for Education, Employment and Family, to create a legal mechanism whereby children would be automatically heard in divorce or separation cases rather than leaving this to the discretion of the presiding judge, mediator or a request by the parents. The Commissioner also called for a more age appropriate and child-friendly manner by which children are heard in court</w:t>
      </w:r>
      <w:r w:rsidRPr="007B0F82">
        <w:rPr>
          <w:rStyle w:val="FootnoteReference"/>
          <w:rFonts w:eastAsia="Times New Roman" w:cs="Arial"/>
          <w:bCs/>
          <w:szCs w:val="20"/>
        </w:rPr>
        <w:footnoteReference w:id="140"/>
      </w:r>
      <w:r>
        <w:rPr>
          <w:rFonts w:eastAsia="Times New Roman" w:cs="Arial"/>
          <w:bCs/>
          <w:szCs w:val="20"/>
        </w:rPr>
        <w:t>.</w:t>
      </w:r>
    </w:p>
    <w:p w:rsidR="0095241C" w:rsidRPr="00B4530D" w:rsidRDefault="0095241C" w:rsidP="008558C6">
      <w:pPr>
        <w:pStyle w:val="Heading3NoNumb"/>
        <w:ind w:firstLine="851"/>
      </w:pPr>
      <w:bookmarkStart w:id="107" w:name="_Toc407962141"/>
      <w:r w:rsidRPr="00B4530D">
        <w:lastRenderedPageBreak/>
        <w:t>Adoption proceedings</w:t>
      </w:r>
      <w:bookmarkEnd w:id="107"/>
    </w:p>
    <w:p w:rsidR="0095241C" w:rsidRPr="007B0F82" w:rsidRDefault="0095241C" w:rsidP="009104E8">
      <w:pPr>
        <w:spacing w:before="0" w:after="0" w:line="240" w:lineRule="auto"/>
        <w:ind w:left="851"/>
        <w:jc w:val="both"/>
      </w:pPr>
      <w:r w:rsidRPr="007B0F82">
        <w:t>The legislation on adoption addresses the situation related to children’s legal representation, where provision is made, enabling children who are 11 years and over to be represented by a child advocate. The right to representation can also be conferred to the social worker</w:t>
      </w:r>
      <w:r w:rsidRPr="007B0F82">
        <w:rPr>
          <w:vertAlign w:val="superscript"/>
        </w:rPr>
        <w:footnoteReference w:id="141"/>
      </w:r>
      <w:r w:rsidRPr="007B0F82">
        <w:t>.</w:t>
      </w:r>
    </w:p>
    <w:p w:rsidR="0095241C" w:rsidRPr="007B0F82" w:rsidRDefault="0095241C" w:rsidP="009104E8">
      <w:pPr>
        <w:widowControl w:val="0"/>
        <w:spacing w:before="0" w:after="0" w:line="240" w:lineRule="auto"/>
        <w:ind w:left="851"/>
        <w:jc w:val="both"/>
        <w:rPr>
          <w:b/>
        </w:rPr>
      </w:pPr>
    </w:p>
    <w:p w:rsidR="0095241C" w:rsidRPr="007B0F82" w:rsidRDefault="0095241C" w:rsidP="009104E8">
      <w:pPr>
        <w:widowControl w:val="0"/>
        <w:spacing w:before="0" w:after="0" w:line="240" w:lineRule="auto"/>
        <w:ind w:left="851"/>
        <w:jc w:val="both"/>
      </w:pPr>
      <w:r w:rsidRPr="007B0F82">
        <w:t>Before an adoption decree is made, the court must hear the person who has the care and custody of the child to be adopted and must hear the child’s advocate and/or social worker appointed by the court to protect the best interests of the child and to secure his/her representation</w:t>
      </w:r>
      <w:r w:rsidRPr="007B0F82">
        <w:rPr>
          <w:rStyle w:val="FootnoteReference"/>
        </w:rPr>
        <w:footnoteReference w:id="142"/>
      </w:r>
      <w:r w:rsidRPr="007B0F82">
        <w:t>. The court must be satisfied that the adoption decree will be for the welfare of the person to be adopted</w:t>
      </w:r>
      <w:r w:rsidRPr="007B0F82">
        <w:rPr>
          <w:rStyle w:val="FootnoteReference"/>
        </w:rPr>
        <w:footnoteReference w:id="143"/>
      </w:r>
      <w:r w:rsidRPr="007B0F82">
        <w:t>. In determining this, the court has to consider the wishes of the person to be adopted, having regard to his/her age and understanding and to his/her parents’ religious persuasion</w:t>
      </w:r>
      <w:r w:rsidRPr="007B0F82">
        <w:rPr>
          <w:rStyle w:val="FootnoteReference"/>
        </w:rPr>
        <w:footnoteReference w:id="144"/>
      </w:r>
      <w:r w:rsidRPr="007B0F82">
        <w:t>. If the child has attained 11 years of age and if it is in the child’s best interest, the court may authorise an agreement of open adoption whereby the parents and/or natural family maintain contact with the child</w:t>
      </w:r>
      <w:r w:rsidRPr="007B0F82">
        <w:rPr>
          <w:rStyle w:val="FootnoteReference"/>
        </w:rPr>
        <w:footnoteReference w:id="145"/>
      </w:r>
      <w:r w:rsidRPr="007B0F82">
        <w:t xml:space="preserve">. </w:t>
      </w:r>
    </w:p>
    <w:p w:rsidR="0095241C" w:rsidRPr="007B0F82" w:rsidRDefault="0095241C" w:rsidP="009104E8">
      <w:pPr>
        <w:widowControl w:val="0"/>
        <w:spacing w:before="0" w:after="0" w:line="240" w:lineRule="auto"/>
        <w:ind w:left="851"/>
        <w:jc w:val="both"/>
      </w:pPr>
    </w:p>
    <w:p w:rsidR="0095241C" w:rsidRPr="007B0F82" w:rsidRDefault="0095241C" w:rsidP="00811568">
      <w:pPr>
        <w:spacing w:before="0" w:after="0" w:line="240" w:lineRule="auto"/>
        <w:ind w:left="851"/>
        <w:jc w:val="both"/>
      </w:pPr>
      <w:r w:rsidRPr="007B0F82">
        <w:t>The court will appoint a special curator of the person to be adopted with the duty of safeguarding his/her interests before the court. The court may also (on its own motion or on the application of an interested person, including the child to be adopted), appoint a children’s advocate and/or a social worker to ensure that the child is adequately represented and his/her best interests safeguarded</w:t>
      </w:r>
      <w:r w:rsidRPr="007B0F82">
        <w:rPr>
          <w:rStyle w:val="FootnoteReference"/>
        </w:rPr>
        <w:footnoteReference w:id="146"/>
      </w:r>
      <w:r w:rsidRPr="007B0F82">
        <w:t>. The person who may be appointed by the court as special curator must be at least 35 years old and must be, by reason of experience or office, a fit and proper person to act as a curator</w:t>
      </w:r>
      <w:r w:rsidRPr="007B0F82">
        <w:rPr>
          <w:vertAlign w:val="superscript"/>
        </w:rPr>
        <w:footnoteReference w:id="147"/>
      </w:r>
      <w:r>
        <w:t>.</w:t>
      </w:r>
    </w:p>
    <w:p w:rsidR="0095241C" w:rsidRPr="007B0F82" w:rsidRDefault="0095241C" w:rsidP="00AC1EA6">
      <w:pPr>
        <w:pStyle w:val="Heading2"/>
      </w:pPr>
      <w:bookmarkStart w:id="108" w:name="_Toc346714791"/>
      <w:bookmarkStart w:id="109" w:name="_Toc346714792"/>
      <w:bookmarkStart w:id="110" w:name="_Toc346714946"/>
      <w:bookmarkStart w:id="111" w:name="_Toc338234117"/>
      <w:bookmarkStart w:id="112" w:name="_Right_to_legal"/>
      <w:bookmarkStart w:id="113" w:name="_Toc338234118"/>
      <w:bookmarkStart w:id="114" w:name="_Toc350439431"/>
      <w:bookmarkStart w:id="115" w:name="_Toc407962142"/>
      <w:bookmarkEnd w:id="108"/>
      <w:bookmarkEnd w:id="109"/>
      <w:bookmarkEnd w:id="110"/>
      <w:bookmarkEnd w:id="111"/>
      <w:bookmarkEnd w:id="112"/>
      <w:r w:rsidRPr="007B0F82">
        <w:t>Right to legal counsel, legal assistance and representation</w:t>
      </w:r>
      <w:bookmarkEnd w:id="115"/>
      <w:r w:rsidRPr="007B0F82">
        <w:t xml:space="preserve"> </w:t>
      </w:r>
      <w:bookmarkEnd w:id="113"/>
      <w:bookmarkEnd w:id="114"/>
    </w:p>
    <w:p w:rsidR="0095241C" w:rsidRPr="00B4530D" w:rsidRDefault="0095241C" w:rsidP="00B4530D">
      <w:pPr>
        <w:pStyle w:val="Heading4NoNumb"/>
        <w:spacing w:after="240"/>
        <w:ind w:left="851"/>
      </w:pPr>
      <w:r w:rsidRPr="00B4530D">
        <w:t>The child as a plaintiff/defendant</w:t>
      </w:r>
    </w:p>
    <w:p w:rsidR="0095241C" w:rsidRPr="00B4530D" w:rsidRDefault="0095241C" w:rsidP="008558C6">
      <w:pPr>
        <w:pStyle w:val="Heading3NoNumb"/>
        <w:ind w:firstLine="851"/>
      </w:pPr>
      <w:bookmarkStart w:id="116" w:name="_Toc407962143"/>
      <w:r w:rsidRPr="00B4530D">
        <w:t>Children’s procedural capacity and capacity to communicate with the court</w:t>
      </w:r>
      <w:bookmarkEnd w:id="116"/>
    </w:p>
    <w:p w:rsidR="0095241C" w:rsidRPr="007B0F82" w:rsidRDefault="0095241C" w:rsidP="009104E8">
      <w:pPr>
        <w:spacing w:beforeLines="1" w:before="2" w:afterLines="1" w:after="2" w:line="240" w:lineRule="auto"/>
        <w:ind w:left="851"/>
        <w:jc w:val="both"/>
      </w:pPr>
      <w:r w:rsidRPr="007B0F82">
        <w:t xml:space="preserve">There are no provisions in place to ensure that children are considered as fully-fledged clients with their own rights. Since children are not parties to civil judicial proceedings in their own right, they cannot choose their lawyer or waive the right to legal representation. However, they can participate in civil judicial proceedings through their parents, tutor or curator to whom the general procedural rights apply. </w:t>
      </w:r>
    </w:p>
    <w:p w:rsidR="0095241C" w:rsidRPr="007B0F82" w:rsidRDefault="0095241C" w:rsidP="009104E8">
      <w:pPr>
        <w:spacing w:beforeLines="1" w:before="2" w:afterLines="1" w:after="2" w:line="240" w:lineRule="auto"/>
        <w:ind w:left="851"/>
        <w:jc w:val="both"/>
      </w:pPr>
    </w:p>
    <w:p w:rsidR="0095241C" w:rsidRPr="007B0F82" w:rsidRDefault="0095241C" w:rsidP="009104E8">
      <w:pPr>
        <w:spacing w:beforeLines="1" w:before="2" w:afterLines="1" w:after="2" w:line="240" w:lineRule="auto"/>
        <w:ind w:left="851"/>
        <w:jc w:val="both"/>
      </w:pPr>
      <w:r w:rsidRPr="007B0F82">
        <w:t>As a general rule, the parties, either personally or through their lawyer have the right to make their submissions in writing or orally as the court may decide, by the plaintiff submitting his case and the defendant making his answer. When the trial of the case is closed, no further evidence will be allowed, except for just cause and by leave of the court. The court is empowered to rule out from the oral pleading all matters which, in its opinion, may be calculated to cause useless delay, or consists in repetition, or is irrelevant or extraneous to the case. Where the parties are assisted by a lawyer, they can only make submissions through their lawyer, unless the court grants permission. The court may order the party who is not assisted by a lawyer to engage one if, in its opinion, the party is unable adequately to plead the case. If such party fails to engage a lawyer, the court will appoint an official curator selected according to the turn on the rota. If the party refuses to give the necessary information to the appointed lawyer, the court may dispose of the case after hearing such evidence as it considers necessary</w:t>
      </w:r>
      <w:r w:rsidRPr="007B0F82">
        <w:rPr>
          <w:rStyle w:val="FootnoteReference"/>
        </w:rPr>
        <w:footnoteReference w:id="148"/>
      </w:r>
      <w:r w:rsidRPr="007B0F82">
        <w:t xml:space="preserve">. </w:t>
      </w:r>
    </w:p>
    <w:p w:rsidR="0095241C" w:rsidRPr="007B0F82" w:rsidRDefault="0095241C" w:rsidP="009104E8">
      <w:pPr>
        <w:spacing w:beforeLines="1" w:before="2" w:afterLines="1" w:after="2" w:line="240" w:lineRule="auto"/>
        <w:ind w:left="851"/>
        <w:jc w:val="both"/>
      </w:pPr>
    </w:p>
    <w:p w:rsidR="0095241C" w:rsidRPr="00B4530D" w:rsidRDefault="0095241C" w:rsidP="008558C6">
      <w:pPr>
        <w:pStyle w:val="Heading3NoNumb"/>
        <w:ind w:firstLine="851"/>
      </w:pPr>
      <w:bookmarkStart w:id="117" w:name="_Toc407962144"/>
      <w:r w:rsidRPr="00B4530D">
        <w:lastRenderedPageBreak/>
        <w:t>Curators and children’s advocates</w:t>
      </w:r>
      <w:bookmarkEnd w:id="117"/>
    </w:p>
    <w:p w:rsidR="0095241C" w:rsidRPr="00811568" w:rsidRDefault="0095241C" w:rsidP="00811568">
      <w:pPr>
        <w:autoSpaceDE w:val="0"/>
        <w:autoSpaceDN w:val="0"/>
        <w:adjustRightInd w:val="0"/>
        <w:spacing w:before="0" w:after="0" w:line="240" w:lineRule="auto"/>
        <w:ind w:left="851"/>
        <w:jc w:val="both"/>
        <w:rPr>
          <w:rFonts w:cs="TimesNewRomanPSMT"/>
          <w:lang w:eastAsia="en-GB"/>
        </w:rPr>
      </w:pPr>
      <w:r w:rsidRPr="007B0F82">
        <w:t>The court can appoint curators to appear in and defend proceedings in any of the superior courts in the interest of any child not legally represented</w:t>
      </w:r>
      <w:r w:rsidRPr="007B0F82">
        <w:rPr>
          <w:rStyle w:val="FootnoteReference"/>
        </w:rPr>
        <w:footnoteReference w:id="149"/>
      </w:r>
      <w:r w:rsidRPr="007B0F82">
        <w:t>.</w:t>
      </w:r>
      <w:r w:rsidRPr="007B0F82">
        <w:rPr>
          <w:rFonts w:cs="TimesNewRomanPSMT"/>
          <w:lang w:eastAsia="en-GB"/>
        </w:rPr>
        <w:t xml:space="preserve"> </w:t>
      </w:r>
      <w:r w:rsidRPr="007B0F82">
        <w:t>The curators are appointed by the competent court on a demand made by an application filed together with the act whereby the action is commenced. Curators may also be appointed on an application during the course of proceedings</w:t>
      </w:r>
      <w:r w:rsidRPr="007B0F82">
        <w:rPr>
          <w:i/>
          <w:iCs/>
        </w:rPr>
        <w:t xml:space="preserve"> </w:t>
      </w:r>
      <w:r w:rsidRPr="007B0F82">
        <w:t>or even on a verbal demand made during the hearing of the suit, where the appointment of curators becomes necessary after the commencement of the suit</w:t>
      </w:r>
      <w:r w:rsidRPr="007B0F82">
        <w:rPr>
          <w:rStyle w:val="FootnoteReference"/>
        </w:rPr>
        <w:footnoteReference w:id="150"/>
      </w:r>
      <w:r w:rsidRPr="007B0F82">
        <w:t xml:space="preserve">. </w:t>
      </w:r>
      <w:r w:rsidRPr="007B0F82">
        <w:rPr>
          <w:rFonts w:cs="TimesNewRomanPSMT"/>
          <w:lang w:eastAsia="en-GB"/>
        </w:rPr>
        <w:t>The curators are bound to use their best diligence for the benefit of the interest which they represent. Their duties include: (</w:t>
      </w:r>
      <w:r w:rsidRPr="007B0F82">
        <w:rPr>
          <w:rFonts w:cs="TimesNewRomanPS-ItalicMT"/>
          <w:iCs/>
          <w:lang w:eastAsia="en-GB"/>
        </w:rPr>
        <w:t>a</w:t>
      </w:r>
      <w:r w:rsidRPr="007B0F82">
        <w:rPr>
          <w:rFonts w:cs="TimesNewRomanPSMT"/>
          <w:lang w:eastAsia="en-GB"/>
        </w:rPr>
        <w:t>) to fully inquire as to the rights of persons they represent and to identify these rights; (</w:t>
      </w:r>
      <w:r w:rsidRPr="007B0F82">
        <w:rPr>
          <w:rFonts w:cs="TimesNewRomanPS-ItalicMT"/>
          <w:iCs/>
          <w:lang w:eastAsia="en-GB"/>
        </w:rPr>
        <w:t>b</w:t>
      </w:r>
      <w:r w:rsidRPr="007B0F82">
        <w:rPr>
          <w:rFonts w:cs="TimesNewRomanPSMT"/>
          <w:lang w:eastAsia="en-GB"/>
        </w:rPr>
        <w:t>) to take the measures necessary to safeguard these rights; (</w:t>
      </w:r>
      <w:r w:rsidRPr="007B0F82">
        <w:rPr>
          <w:rFonts w:cs="TimesNewRomanPS-ItalicMT"/>
          <w:iCs/>
          <w:lang w:eastAsia="en-GB"/>
        </w:rPr>
        <w:t>c</w:t>
      </w:r>
      <w:r w:rsidRPr="007B0F82">
        <w:rPr>
          <w:rFonts w:cs="TimesNewRomanPSMT"/>
          <w:lang w:eastAsia="en-GB"/>
        </w:rPr>
        <w:t>) to contact at once the persons they represent; (</w:t>
      </w:r>
      <w:r w:rsidRPr="007B0F82">
        <w:rPr>
          <w:rFonts w:cs="TimesNewRomanPS-ItalicMT"/>
          <w:iCs/>
          <w:lang w:eastAsia="en-GB"/>
        </w:rPr>
        <w:t>d</w:t>
      </w:r>
      <w:r w:rsidRPr="007B0F82">
        <w:rPr>
          <w:rFonts w:cs="TimesNewRomanPSMT"/>
          <w:lang w:eastAsia="en-GB"/>
        </w:rPr>
        <w:t>) to inform persons they represent of any judicial act and of its contents; (</w:t>
      </w:r>
      <w:r w:rsidRPr="007B0F82">
        <w:rPr>
          <w:rFonts w:cs="TimesNewRomanPS-ItalicMT"/>
          <w:iCs/>
          <w:lang w:eastAsia="en-GB"/>
        </w:rPr>
        <w:t>e</w:t>
      </w:r>
      <w:r w:rsidRPr="007B0F82">
        <w:rPr>
          <w:rFonts w:cs="TimesNewRomanPSMT"/>
          <w:lang w:eastAsia="en-GB"/>
        </w:rPr>
        <w:t>) to obtain the necessary information to defend the interests of persons they represent; (</w:t>
      </w:r>
      <w:r w:rsidRPr="007B0F82">
        <w:rPr>
          <w:rFonts w:cs="TimesNewRomanPS-ItalicMT"/>
          <w:iCs/>
          <w:lang w:eastAsia="en-GB"/>
        </w:rPr>
        <w:t>f</w:t>
      </w:r>
      <w:r w:rsidRPr="007B0F82">
        <w:rPr>
          <w:rFonts w:cs="TimesNewRomanPSMT"/>
          <w:lang w:eastAsia="en-GB"/>
        </w:rPr>
        <w:t>) to continue looking after the interests of persons they represent with regard to pending matters although the period of appointment may have expired; and (</w:t>
      </w:r>
      <w:r w:rsidRPr="007B0F82">
        <w:rPr>
          <w:rFonts w:cs="TimesNewRomanPS-ItalicMT"/>
          <w:iCs/>
          <w:lang w:eastAsia="en-GB"/>
        </w:rPr>
        <w:t>g</w:t>
      </w:r>
      <w:r w:rsidRPr="007B0F82">
        <w:rPr>
          <w:rFonts w:cs="TimesNewRomanPSMT"/>
          <w:lang w:eastAsia="en-GB"/>
        </w:rPr>
        <w:t>) to keep the court regularly informed of all actions</w:t>
      </w:r>
      <w:r w:rsidRPr="007B0F82">
        <w:t xml:space="preserve"> </w:t>
      </w:r>
      <w:r w:rsidRPr="007B0F82">
        <w:rPr>
          <w:rFonts w:cs="TimesNewRomanPSMT"/>
          <w:lang w:eastAsia="en-GB"/>
        </w:rPr>
        <w:t>taken in the execution of their duties. The curators are liable for damages and interest occasioned by their negligence</w:t>
      </w:r>
      <w:r w:rsidRPr="007B0F82">
        <w:rPr>
          <w:rStyle w:val="FootnoteReference"/>
          <w:lang w:eastAsia="en-GB"/>
        </w:rPr>
        <w:footnoteReference w:id="151"/>
      </w:r>
      <w:r w:rsidRPr="007B0F82">
        <w:rPr>
          <w:rFonts w:cs="TimesNewRomanPSMT"/>
          <w:lang w:eastAsia="en-GB"/>
        </w:rPr>
        <w:t>.</w:t>
      </w:r>
      <w:r w:rsidRPr="007B0F82">
        <w:t xml:space="preserve"> </w:t>
      </w:r>
      <w:r w:rsidRPr="007B0F82">
        <w:rPr>
          <w:rFonts w:cs="TimesNewRomanPSMT"/>
          <w:lang w:eastAsia="en-GB"/>
        </w:rPr>
        <w:t xml:space="preserve">In the Court of Magistrates (Malta) and in the Court of Magistrates (Gozo) in its inferior jurisdiction, curators </w:t>
      </w:r>
      <w:r w:rsidRPr="007B0F82">
        <w:rPr>
          <w:rFonts w:cs="TimesNewRomanPS-ItalicMT"/>
          <w:iCs/>
          <w:lang w:eastAsia="en-GB"/>
        </w:rPr>
        <w:t>are appointed</w:t>
      </w:r>
      <w:r w:rsidRPr="007B0F82">
        <w:rPr>
          <w:rFonts w:cs="TimesNewRomanPSMT"/>
          <w:lang w:eastAsia="en-GB"/>
        </w:rPr>
        <w:t xml:space="preserve"> on the party’s verbal demand</w:t>
      </w:r>
      <w:r w:rsidRPr="007B0F82">
        <w:rPr>
          <w:rStyle w:val="FootnoteReference"/>
          <w:lang w:eastAsia="en-GB"/>
        </w:rPr>
        <w:footnoteReference w:id="152"/>
      </w:r>
      <w:r w:rsidRPr="007B0F82">
        <w:rPr>
          <w:rFonts w:cs="TimesNewRomanPSMT"/>
          <w:lang w:eastAsia="en-GB"/>
        </w:rPr>
        <w:t>.</w:t>
      </w:r>
    </w:p>
    <w:p w:rsidR="0095241C" w:rsidRPr="00B4530D" w:rsidRDefault="0095241C" w:rsidP="008558C6">
      <w:pPr>
        <w:pStyle w:val="Heading3NoNumb"/>
        <w:ind w:firstLine="851"/>
      </w:pPr>
      <w:bookmarkStart w:id="118" w:name="_Toc407962145"/>
      <w:r w:rsidRPr="00B4530D">
        <w:t>Conflicting interests</w:t>
      </w:r>
      <w:bookmarkEnd w:id="118"/>
    </w:p>
    <w:p w:rsidR="0095241C" w:rsidRPr="00811568" w:rsidRDefault="0095241C" w:rsidP="00811568">
      <w:pPr>
        <w:widowControl w:val="0"/>
        <w:spacing w:before="0" w:after="0" w:line="240" w:lineRule="auto"/>
        <w:ind w:left="851"/>
        <w:jc w:val="both"/>
        <w:rPr>
          <w:bCs/>
        </w:rPr>
      </w:pPr>
      <w:r w:rsidRPr="007B0F82">
        <w:t>In case of conflicting interests between the children or between the children and either parent, the competent court must appoint one or more special curators. It is lawful for either parent to decline to represent any of his/her children against another or against the other parent</w:t>
      </w:r>
      <w:r w:rsidRPr="007B0F82">
        <w:rPr>
          <w:rStyle w:val="FootnoteReference"/>
        </w:rPr>
        <w:footnoteReference w:id="153"/>
      </w:r>
      <w:r w:rsidRPr="007B0F82">
        <w:t xml:space="preserve">. </w:t>
      </w:r>
      <w:r w:rsidRPr="007B0F82">
        <w:rPr>
          <w:bCs/>
        </w:rPr>
        <w:t>The same applies i</w:t>
      </w:r>
      <w:r w:rsidRPr="007B0F82">
        <w:t>n case of conflicting interests between children subject to the same tutors, or between them and the tutors</w:t>
      </w:r>
      <w:r w:rsidRPr="007B0F82">
        <w:rPr>
          <w:rStyle w:val="FootnoteReference"/>
        </w:rPr>
        <w:footnoteReference w:id="154"/>
      </w:r>
      <w:r w:rsidRPr="007B0F82">
        <w:t>.</w:t>
      </w:r>
    </w:p>
    <w:p w:rsidR="0095241C" w:rsidRPr="00B4530D" w:rsidRDefault="0095241C" w:rsidP="008558C6">
      <w:pPr>
        <w:pStyle w:val="Heading3NoNumb"/>
        <w:ind w:firstLine="851"/>
      </w:pPr>
      <w:bookmarkStart w:id="119" w:name="_Toc407962146"/>
      <w:r w:rsidRPr="00B4530D">
        <w:t>Legal aid</w:t>
      </w:r>
      <w:bookmarkEnd w:id="119"/>
    </w:p>
    <w:p w:rsidR="0095241C" w:rsidRPr="00D0323A" w:rsidRDefault="0095241C" w:rsidP="00B4530D">
      <w:pPr>
        <w:autoSpaceDE w:val="0"/>
        <w:autoSpaceDN w:val="0"/>
        <w:adjustRightInd w:val="0"/>
        <w:spacing w:before="0"/>
        <w:ind w:left="851"/>
        <w:jc w:val="both"/>
        <w:rPr>
          <w:lang w:eastAsia="en-GB"/>
        </w:rPr>
      </w:pPr>
      <w:r w:rsidRPr="007B0F82">
        <w:rPr>
          <w:rFonts w:cs="TimesNewRomanPSMT"/>
          <w:lang w:eastAsia="en-GB"/>
        </w:rPr>
        <w:t xml:space="preserve">The Minister responsible for justice nominates panels of lawyers and other experts to perform the duties of curators, advocates or legal procurators </w:t>
      </w:r>
      <w:r w:rsidRPr="007B0F82">
        <w:rPr>
          <w:rFonts w:cs="TimesNewRomanPS-ItalicMT"/>
          <w:i/>
          <w:iCs/>
          <w:lang w:eastAsia="en-GB"/>
        </w:rPr>
        <w:t xml:space="preserve">ex officio </w:t>
      </w:r>
      <w:r w:rsidRPr="007B0F82">
        <w:rPr>
          <w:rFonts w:cs="TimesNewRomanPSMT"/>
          <w:lang w:eastAsia="en-GB"/>
        </w:rPr>
        <w:t>and experts in the Courts of Malta and Gozo</w:t>
      </w:r>
      <w:r w:rsidRPr="007B0F82">
        <w:rPr>
          <w:rStyle w:val="FootnoteReference"/>
          <w:lang w:eastAsia="en-GB"/>
        </w:rPr>
        <w:footnoteReference w:id="155"/>
      </w:r>
      <w:r w:rsidRPr="007B0F82">
        <w:rPr>
          <w:rFonts w:cs="TimesNewRomanPSMT"/>
          <w:lang w:eastAsia="en-GB"/>
        </w:rPr>
        <w:t>. Where either both parties or the party at whose request their selection was made have or has been admitted to sue or defend with the benefit of legal aid, or to be a party to proceedings or continue such proceedings with such benefit, the curators will give their services gratuitously, saving their right to the remuneration expressly allowed to them by the COCP out of the amount or property recovered</w:t>
      </w:r>
      <w:r w:rsidRPr="007B0F82">
        <w:rPr>
          <w:rStyle w:val="FootnoteReference"/>
          <w:lang w:eastAsia="en-GB"/>
        </w:rPr>
        <w:footnoteReference w:id="156"/>
      </w:r>
      <w:r w:rsidRPr="007B0F82">
        <w:rPr>
          <w:rFonts w:cs="TimesNewRomanPSMT"/>
          <w:lang w:eastAsia="en-GB"/>
        </w:rPr>
        <w:t>.</w:t>
      </w:r>
      <w:r w:rsidRPr="007B0F82">
        <w:rPr>
          <w:rFonts w:ascii="TimesNewRomanPSMT" w:hAnsi="TimesNewRomanPSMT" w:cs="TimesNewRomanPSMT"/>
          <w:lang w:eastAsia="en-GB"/>
        </w:rPr>
        <w:t xml:space="preserve"> </w:t>
      </w:r>
      <w:r w:rsidRPr="007B0F82">
        <w:rPr>
          <w:lang w:eastAsia="en-GB"/>
        </w:rPr>
        <w:t>For legal aid to be granted, the applicant must confirm on oath that s/he has reasonable grounds being a party to proceedings and that s/he does not possess property the net value</w:t>
      </w:r>
      <w:r w:rsidRPr="007B0F82">
        <w:rPr>
          <w:rStyle w:val="FootnoteReference"/>
          <w:lang w:eastAsia="en-GB"/>
        </w:rPr>
        <w:footnoteReference w:id="157"/>
      </w:r>
      <w:r w:rsidRPr="007B0F82">
        <w:rPr>
          <w:lang w:eastAsia="en-GB"/>
        </w:rPr>
        <w:t xml:space="preserve"> of which amounts to, or exceeds, EUR 6,988.12, not including everyday household items that are necessary for the use by applicant and his/her family, and that his/her yearly income is not more than the national minimum wage</w:t>
      </w:r>
      <w:r w:rsidRPr="007B0F82">
        <w:rPr>
          <w:rStyle w:val="FootnoteReference"/>
          <w:rFonts w:cs="Arial"/>
          <w:lang w:eastAsia="en-GB"/>
        </w:rPr>
        <w:footnoteReference w:id="158"/>
      </w:r>
      <w:r w:rsidRPr="007B0F82">
        <w:rPr>
          <w:lang w:eastAsia="en-GB"/>
        </w:rPr>
        <w:t>. Persons benefitting from legal aid are exempt from the payment of all fees</w:t>
      </w:r>
      <w:r w:rsidRPr="007B0F82">
        <w:rPr>
          <w:rStyle w:val="FootnoteReference"/>
          <w:lang w:eastAsia="en-GB"/>
        </w:rPr>
        <w:footnoteReference w:id="159"/>
      </w:r>
      <w:r w:rsidRPr="007B0F82">
        <w:rPr>
          <w:lang w:eastAsia="en-GB"/>
        </w:rPr>
        <w:t>.</w:t>
      </w:r>
      <w:r>
        <w:rPr>
          <w:lang w:eastAsia="en-GB"/>
        </w:rPr>
        <w:t xml:space="preserve"> In the case of child </w:t>
      </w:r>
      <w:r w:rsidRPr="007B0F82">
        <w:rPr>
          <w:lang w:eastAsia="en-GB"/>
        </w:rPr>
        <w:t>parties, the relevant application is submitted by the child’s parents; the property taken into account for the award of legal aid is that of the family rather than the child’s personal assets.</w:t>
      </w:r>
    </w:p>
    <w:p w:rsidR="0095241C" w:rsidRPr="00B4530D" w:rsidRDefault="0095241C" w:rsidP="00B4530D">
      <w:pPr>
        <w:pStyle w:val="Heading4NoNumb"/>
        <w:spacing w:after="240"/>
        <w:ind w:left="851"/>
      </w:pPr>
      <w:r w:rsidRPr="00B4530D">
        <w:lastRenderedPageBreak/>
        <w:t>The child as a witness</w:t>
      </w:r>
    </w:p>
    <w:p w:rsidR="0095241C" w:rsidRPr="00445684" w:rsidRDefault="0095241C" w:rsidP="00811568">
      <w:pPr>
        <w:widowControl w:val="0"/>
        <w:tabs>
          <w:tab w:val="left" w:pos="0"/>
        </w:tabs>
        <w:spacing w:before="0" w:after="0" w:line="240" w:lineRule="auto"/>
        <w:ind w:left="851"/>
        <w:jc w:val="both"/>
        <w:rPr>
          <w:bCs/>
        </w:rPr>
      </w:pPr>
      <w:r w:rsidRPr="00445684">
        <w:rPr>
          <w:bCs/>
        </w:rPr>
        <w:t>Child witnesses</w:t>
      </w:r>
      <w:r w:rsidRPr="007B0F82">
        <w:rPr>
          <w:bCs/>
        </w:rPr>
        <w:t xml:space="preserve"> are not represented by a lawyer in civil judicial proceedings they take part in and, thus, do not have the right to legal aid.</w:t>
      </w:r>
    </w:p>
    <w:p w:rsidR="0095241C" w:rsidRPr="00B4530D" w:rsidRDefault="0095241C" w:rsidP="00B4530D">
      <w:pPr>
        <w:pStyle w:val="Heading4NoNumb"/>
        <w:spacing w:after="240"/>
        <w:ind w:left="851"/>
      </w:pPr>
      <w:r w:rsidRPr="00B4530D">
        <w:t>The child in any other role</w:t>
      </w:r>
    </w:p>
    <w:p w:rsidR="0095241C" w:rsidRPr="007B0F82" w:rsidRDefault="0095241C" w:rsidP="009104E8">
      <w:pPr>
        <w:widowControl w:val="0"/>
        <w:spacing w:before="0" w:after="0" w:line="240" w:lineRule="auto"/>
        <w:ind w:left="851"/>
        <w:jc w:val="both"/>
        <w:rPr>
          <w:bCs/>
        </w:rPr>
      </w:pPr>
      <w:r w:rsidRPr="007B0F82">
        <w:rPr>
          <w:bCs/>
        </w:rPr>
        <w:t>More specific legal requirements aimed at ensuring that a child is represented in civil judicial proceedings belong primarily to the family law field. In particular, in divorce and separation cases, the court may on its own initiative or on the request of either of the spouses appoint a children’s advocate to represent the interests of the children under 18 years of age and hear them where it considers it to be in their best interest to do so</w:t>
      </w:r>
      <w:r w:rsidRPr="007B0F82">
        <w:rPr>
          <w:rStyle w:val="FootnoteReference"/>
          <w:bCs/>
        </w:rPr>
        <w:footnoteReference w:id="160"/>
      </w:r>
      <w:r w:rsidRPr="007B0F82">
        <w:rPr>
          <w:bCs/>
        </w:rPr>
        <w:t xml:space="preserve">. </w:t>
      </w:r>
    </w:p>
    <w:p w:rsidR="0095241C" w:rsidRPr="007B0F82" w:rsidRDefault="0095241C" w:rsidP="009104E8">
      <w:pPr>
        <w:widowControl w:val="0"/>
        <w:spacing w:before="0" w:after="0" w:line="240" w:lineRule="auto"/>
        <w:ind w:left="851"/>
        <w:jc w:val="both"/>
        <w:rPr>
          <w:bCs/>
        </w:rPr>
      </w:pPr>
    </w:p>
    <w:p w:rsidR="0095241C" w:rsidRPr="007B0F82" w:rsidRDefault="0095241C" w:rsidP="009104E8">
      <w:pPr>
        <w:widowControl w:val="0"/>
        <w:spacing w:before="0" w:after="0" w:line="240" w:lineRule="auto"/>
        <w:ind w:left="851"/>
        <w:jc w:val="both"/>
        <w:rPr>
          <w:bCs/>
        </w:rPr>
      </w:pPr>
      <w:r w:rsidRPr="007B0F82">
        <w:rPr>
          <w:bCs/>
        </w:rPr>
        <w:t>Special measures also exist in relation to adoption proceedings. Upon an application for an adoption decree of a person to be adopted, the court must appoint a special curator of the person to be adopted with the duty of safeguarding his/her interests. In addition, the court may on its own motion or on the application of an interested person, including the child to be adopted, appoint a children’s advocate and/or a social worker to ensure that the child is adequately represented and his/her best interests safeguarded</w:t>
      </w:r>
      <w:r w:rsidRPr="007B0F82">
        <w:rPr>
          <w:rStyle w:val="FootnoteReference"/>
          <w:bCs/>
        </w:rPr>
        <w:footnoteReference w:id="161"/>
      </w:r>
      <w:r w:rsidRPr="007B0F82">
        <w:rPr>
          <w:bCs/>
        </w:rPr>
        <w:t>.</w:t>
      </w:r>
    </w:p>
    <w:p w:rsidR="0095241C" w:rsidRPr="007B0F82" w:rsidRDefault="0095241C" w:rsidP="009104E8">
      <w:pPr>
        <w:widowControl w:val="0"/>
        <w:spacing w:before="0" w:after="0" w:line="240" w:lineRule="auto"/>
        <w:ind w:left="851"/>
        <w:jc w:val="both"/>
      </w:pPr>
    </w:p>
    <w:p w:rsidR="0095241C" w:rsidRPr="00811568" w:rsidRDefault="0095241C" w:rsidP="00811568">
      <w:pPr>
        <w:widowControl w:val="0"/>
        <w:spacing w:before="0" w:after="0" w:line="240" w:lineRule="auto"/>
        <w:ind w:left="851"/>
        <w:jc w:val="both"/>
      </w:pPr>
      <w:r w:rsidRPr="007B0F82">
        <w:t>However, in other cases where they have an interest in the outcome of the case, children have to rely on the goodwill of adults, namely judges, parents or mediators involved in the particular case. The present law does not have a provision entitling the child to access legal representation independently</w:t>
      </w:r>
      <w:r w:rsidRPr="007B0F82">
        <w:rPr>
          <w:rStyle w:val="FootnoteReference"/>
        </w:rPr>
        <w:footnoteReference w:id="162"/>
      </w:r>
      <w:r w:rsidRPr="007B0F82">
        <w:t>.</w:t>
      </w:r>
      <w:bookmarkStart w:id="120" w:name="_Toc350439432"/>
      <w:bookmarkStart w:id="121" w:name="_Toc338234124"/>
    </w:p>
    <w:p w:rsidR="0095241C" w:rsidRPr="007B0F82" w:rsidRDefault="0095241C" w:rsidP="00AC1EA6">
      <w:pPr>
        <w:pStyle w:val="Heading2"/>
      </w:pPr>
      <w:bookmarkStart w:id="122" w:name="_Alternatives_to_judicial"/>
      <w:bookmarkStart w:id="123" w:name="_Toc407962147"/>
      <w:bookmarkEnd w:id="122"/>
      <w:r w:rsidRPr="007B0F82">
        <w:t>Alternatives to judicial proceedings</w:t>
      </w:r>
      <w:bookmarkEnd w:id="123"/>
      <w:r w:rsidRPr="007B0F82">
        <w:t xml:space="preserve"> </w:t>
      </w:r>
      <w:bookmarkEnd w:id="120"/>
    </w:p>
    <w:p w:rsidR="0095241C" w:rsidRPr="007B0F82" w:rsidRDefault="0095241C" w:rsidP="00B4530D">
      <w:pPr>
        <w:pStyle w:val="Heading4NoNumb"/>
        <w:spacing w:after="240"/>
        <w:ind w:left="851"/>
        <w:rPr>
          <w:b w:val="0"/>
          <w:bCs w:val="0"/>
        </w:rPr>
      </w:pPr>
      <w:r w:rsidRPr="00B4530D">
        <w:t>The child as a plaintiff/defendant</w:t>
      </w:r>
    </w:p>
    <w:p w:rsidR="0095241C" w:rsidRPr="00811568" w:rsidRDefault="0095241C" w:rsidP="00811568">
      <w:pPr>
        <w:keepNext/>
        <w:spacing w:before="0" w:after="0"/>
        <w:ind w:left="851"/>
        <w:jc w:val="both"/>
        <w:rPr>
          <w:bCs/>
        </w:rPr>
      </w:pPr>
      <w:r w:rsidRPr="007B0F82">
        <w:rPr>
          <w:bCs/>
        </w:rPr>
        <w:t xml:space="preserve">Alternatives to judicial proceedings such as conciliation, mediation and arbitration exist under Maltese law. These are not directly relevant to children in that they would not typically be parties to such alternative proceedings in their own right but would rather act through their parents/guardians. Therefore no measures were identified relating to how children are informed and consulted on the availability of alternative procedures, how children participate in these alternative dispute resolution mechanisms and other related matters. As regards the general rules, mediation is regulated by the </w:t>
      </w:r>
      <w:hyperlink r:id="rId46" w:history="1">
        <w:r w:rsidRPr="007B0F82">
          <w:rPr>
            <w:rStyle w:val="Hyperlink"/>
            <w:rFonts w:cs="Arial"/>
            <w:bCs/>
          </w:rPr>
          <w:t>Mediation Act</w:t>
        </w:r>
      </w:hyperlink>
      <w:r w:rsidRPr="007B0F82">
        <w:rPr>
          <w:rStyle w:val="FootnoteReference"/>
          <w:bCs/>
        </w:rPr>
        <w:footnoteReference w:id="163"/>
      </w:r>
      <w:r w:rsidRPr="007B0F82">
        <w:rPr>
          <w:bCs/>
        </w:rPr>
        <w:t xml:space="preserve"> which allows mediation in disputes involving civil, family, social, commercial and industrial matters and arbitration is regulated by the </w:t>
      </w:r>
      <w:hyperlink r:id="rId47" w:history="1">
        <w:r w:rsidRPr="007B0F82">
          <w:rPr>
            <w:rStyle w:val="Hyperlink"/>
          </w:rPr>
          <w:t>Arbitration Act</w:t>
        </w:r>
      </w:hyperlink>
      <w:r w:rsidRPr="007B0F82">
        <w:rPr>
          <w:rStyle w:val="FootnoteReference"/>
        </w:rPr>
        <w:footnoteReference w:id="164"/>
      </w:r>
      <w:r w:rsidRPr="007B0F82">
        <w:rPr>
          <w:bCs/>
        </w:rPr>
        <w:t>. Cases brought before a court of civil jurisdiction in Malta may be submitted at the request of all the parties for determination by arbitration, under the provisions of the Arbitration Act</w:t>
      </w:r>
      <w:r w:rsidRPr="007B0F82">
        <w:rPr>
          <w:bCs/>
          <w:vertAlign w:val="superscript"/>
        </w:rPr>
        <w:footnoteReference w:id="165"/>
      </w:r>
      <w:r w:rsidRPr="007B0F82">
        <w:rPr>
          <w:bCs/>
        </w:rPr>
        <w:t>. No provisions have been identified regulating the actions a child can take if he/she disagrees with the way his/her parents represented him/her in any alternative dispute resolution mechanisms.</w:t>
      </w:r>
    </w:p>
    <w:p w:rsidR="0095241C" w:rsidRPr="00B4530D" w:rsidRDefault="0095241C" w:rsidP="00B4530D">
      <w:pPr>
        <w:pStyle w:val="Heading4NoNumb"/>
        <w:spacing w:after="240"/>
        <w:ind w:left="851"/>
      </w:pPr>
      <w:r w:rsidRPr="00B4530D">
        <w:t>The child as a witness</w:t>
      </w:r>
    </w:p>
    <w:p w:rsidR="0095241C" w:rsidRPr="00811568" w:rsidRDefault="0095241C" w:rsidP="00811568">
      <w:pPr>
        <w:pStyle w:val="BodyText"/>
        <w:widowControl w:val="0"/>
        <w:tabs>
          <w:tab w:val="left" w:pos="0"/>
        </w:tabs>
        <w:spacing w:before="0" w:after="0" w:line="240" w:lineRule="auto"/>
        <w:rPr>
          <w:szCs w:val="20"/>
        </w:rPr>
      </w:pPr>
      <w:r w:rsidRPr="007B0F82">
        <w:rPr>
          <w:szCs w:val="20"/>
        </w:rPr>
        <w:t>Maltese legislation does contain any provisions on whether and how child witnesses can participate in alternative dispute resolution mechanisms.</w:t>
      </w:r>
    </w:p>
    <w:p w:rsidR="0095241C" w:rsidRPr="00B4530D" w:rsidRDefault="0095241C" w:rsidP="00B4530D">
      <w:pPr>
        <w:pStyle w:val="Heading4NoNumb"/>
        <w:spacing w:after="240"/>
        <w:ind w:left="851"/>
      </w:pPr>
      <w:r w:rsidRPr="00B4530D">
        <w:t>The child in any other role</w:t>
      </w:r>
    </w:p>
    <w:p w:rsidR="0095241C" w:rsidRPr="007B0F82" w:rsidRDefault="0095241C" w:rsidP="009104E8">
      <w:pPr>
        <w:widowControl w:val="0"/>
        <w:spacing w:before="0" w:after="0" w:line="240" w:lineRule="auto"/>
        <w:ind w:left="851"/>
        <w:jc w:val="both"/>
        <w:rPr>
          <w:bCs/>
        </w:rPr>
      </w:pPr>
      <w:r w:rsidRPr="007B0F82">
        <w:rPr>
          <w:bCs/>
        </w:rPr>
        <w:t xml:space="preserve">In the context of alternative dispute resolution mechanisms, reference may be made to the </w:t>
      </w:r>
      <w:r w:rsidRPr="007B0F82">
        <w:rPr>
          <w:bCs/>
        </w:rPr>
        <w:lastRenderedPageBreak/>
        <w:t>compulsory mediation before starting a court proceeding in family law matters as this also aims at protecting the interests of children</w:t>
      </w:r>
      <w:r w:rsidRPr="007B0F82">
        <w:rPr>
          <w:rStyle w:val="FootnoteReference"/>
          <w:bCs/>
        </w:rPr>
        <w:footnoteReference w:id="166"/>
      </w:r>
      <w:r w:rsidRPr="007B0F82">
        <w:rPr>
          <w:bCs/>
        </w:rPr>
        <w:t xml:space="preserve">. </w:t>
      </w:r>
    </w:p>
    <w:p w:rsidR="0095241C" w:rsidRPr="007B0F82" w:rsidRDefault="0095241C" w:rsidP="009104E8">
      <w:pPr>
        <w:pStyle w:val="BodyText"/>
        <w:widowControl w:val="0"/>
        <w:spacing w:before="0" w:after="0" w:line="240" w:lineRule="auto"/>
        <w:rPr>
          <w:b/>
          <w:szCs w:val="20"/>
        </w:rPr>
      </w:pPr>
    </w:p>
    <w:p w:rsidR="0095241C" w:rsidRPr="007B0F82" w:rsidRDefault="0095241C" w:rsidP="009104E8">
      <w:pPr>
        <w:pStyle w:val="BodyText"/>
        <w:widowControl w:val="0"/>
        <w:spacing w:before="0" w:after="0" w:line="240" w:lineRule="auto"/>
        <w:jc w:val="both"/>
        <w:rPr>
          <w:szCs w:val="20"/>
        </w:rPr>
      </w:pPr>
      <w:r w:rsidRPr="007B0F82">
        <w:rPr>
          <w:rFonts w:cs="Arial"/>
          <w:szCs w:val="20"/>
        </w:rPr>
        <w:t>Parties wishing to initiate a suit for personal separation or divorce must first demand authority to proceed from the Civil Court (Family Section). Before granting authority to proceed the Court will summon the parties to appear before a mediator appointed by it or with the mutual consent of the parties. Where the Court deems it expedient so to do, either on its own motion, or at the request of the mediator or of either of the spouses, it may appoint a children’s advocate to represent the interests of any children under 18 years of age of the parties.</w:t>
      </w:r>
      <w:r w:rsidRPr="007B0F82">
        <w:rPr>
          <w:rFonts w:ascii="Times New Roman" w:hAnsi="Times New Roman"/>
          <w:szCs w:val="20"/>
          <w:lang w:eastAsia="en-GB"/>
        </w:rPr>
        <w:t xml:space="preserve"> </w:t>
      </w:r>
      <w:r w:rsidRPr="007B0F82">
        <w:rPr>
          <w:szCs w:val="20"/>
        </w:rPr>
        <w:t xml:space="preserve">The mediator will hear the parties and attempt to reconcile them. The mediator may </w:t>
      </w:r>
      <w:r w:rsidRPr="007B0F82">
        <w:rPr>
          <w:i/>
          <w:iCs/>
          <w:szCs w:val="20"/>
        </w:rPr>
        <w:t xml:space="preserve">in camera </w:t>
      </w:r>
      <w:r w:rsidRPr="007B0F82">
        <w:rPr>
          <w:szCs w:val="20"/>
        </w:rPr>
        <w:t>hear the parties separately or together, in the presence of their lawyers, and may also hear any children of the spouses who are below 18 years of age, the children’s advocate, if any, and the lawyers of the parties.</w:t>
      </w:r>
      <w:r w:rsidRPr="007B0F82">
        <w:rPr>
          <w:rFonts w:ascii="Times New Roman" w:hAnsi="Times New Roman"/>
          <w:szCs w:val="20"/>
          <w:lang w:eastAsia="en-GB"/>
        </w:rPr>
        <w:t xml:space="preserve"> </w:t>
      </w:r>
      <w:r w:rsidRPr="007B0F82">
        <w:rPr>
          <w:szCs w:val="20"/>
        </w:rPr>
        <w:t xml:space="preserve">Where the parties have not reconciled, but have agreed to enter into a deed of personal separation by mutual consent or to file a joint application for divorce, the mediator will transmit to the judge a draft of the deed of personal separation or of the divorce agreement, together with any comments by the lawyers of the parties, the children’s advocate, if any, and his/her views, for the grant of the authorisation by the judge. The judge will give authorisation by decree </w:t>
      </w:r>
      <w:r w:rsidRPr="007B0F82">
        <w:rPr>
          <w:i/>
          <w:iCs/>
          <w:szCs w:val="20"/>
        </w:rPr>
        <w:t xml:space="preserve">in camera, </w:t>
      </w:r>
      <w:r w:rsidRPr="007B0F82">
        <w:rPr>
          <w:szCs w:val="20"/>
        </w:rPr>
        <w:t xml:space="preserve">but may first hear the parties, the children or their lawyers. During the mediation period the parties may jointly request the Court to appoint a judicial assistant to receive evidence intended to facilitate the proceedings before the mediator. The judge must decree on any such demand </w:t>
      </w:r>
      <w:r w:rsidRPr="007B0F82">
        <w:rPr>
          <w:i/>
          <w:iCs/>
          <w:szCs w:val="20"/>
        </w:rPr>
        <w:t>in camera</w:t>
      </w:r>
      <w:r w:rsidRPr="007B0F82">
        <w:rPr>
          <w:szCs w:val="20"/>
        </w:rPr>
        <w:t>, after hearing, if deemed fit, the spouses, the children, and/or their lawyers</w:t>
      </w:r>
      <w:r w:rsidRPr="007B0F82">
        <w:rPr>
          <w:rStyle w:val="FootnoteReference"/>
          <w:szCs w:val="20"/>
        </w:rPr>
        <w:footnoteReference w:id="167"/>
      </w:r>
      <w:r w:rsidRPr="007B0F82">
        <w:rPr>
          <w:szCs w:val="20"/>
        </w:rPr>
        <w:t>.</w:t>
      </w:r>
    </w:p>
    <w:p w:rsidR="0095241C" w:rsidRPr="007B0F82" w:rsidRDefault="0095241C" w:rsidP="009104E8">
      <w:pPr>
        <w:autoSpaceDE w:val="0"/>
        <w:autoSpaceDN w:val="0"/>
        <w:adjustRightInd w:val="0"/>
        <w:spacing w:before="0" w:after="0" w:line="240" w:lineRule="auto"/>
        <w:ind w:left="851"/>
        <w:jc w:val="both"/>
      </w:pPr>
    </w:p>
    <w:p w:rsidR="0095241C" w:rsidRPr="007B0F82" w:rsidRDefault="0095241C" w:rsidP="009104E8">
      <w:pPr>
        <w:autoSpaceDE w:val="0"/>
        <w:autoSpaceDN w:val="0"/>
        <w:adjustRightInd w:val="0"/>
        <w:spacing w:before="0" w:after="0" w:line="240" w:lineRule="auto"/>
        <w:ind w:left="851"/>
        <w:jc w:val="both"/>
        <w:rPr>
          <w:lang w:eastAsia="en-GB"/>
        </w:rPr>
      </w:pPr>
      <w:r w:rsidRPr="007B0F82">
        <w:t xml:space="preserve">In the case of consensual separation </w:t>
      </w:r>
      <w:r w:rsidRPr="007B0F82">
        <w:rPr>
          <w:lang w:eastAsia="en-GB"/>
        </w:rPr>
        <w:t>where the spouses agree to enter into a deed of personal separation by mutual consent otherwise than through the mediation of a mediator, they must file a note in the Civil Court (Family Section) together with a draft of the deed. Upon receipt of the note the Court will refer the matter to a mediator. The mediator must examine the draft deed and if s/he deems fit, hear the parties in the presence of their legal counsel and if appropriate any children of the spouses who are below 18 years of age. The mediator may also request the Court to appoint a children’s advocate. Within one month the mediator must send back the note to the Court together with advice. Upon the receipt of the advice, the Court will after hearing, if it deems fit the spouses or any of their children, proceed to give its decree approving, amending or rejecting the draft deed</w:t>
      </w:r>
      <w:r w:rsidRPr="007B0F82">
        <w:rPr>
          <w:rStyle w:val="FootnoteReference"/>
          <w:lang w:eastAsia="en-GB"/>
        </w:rPr>
        <w:footnoteReference w:id="168"/>
      </w:r>
      <w:r w:rsidRPr="007B0F82">
        <w:rPr>
          <w:lang w:eastAsia="en-GB"/>
        </w:rPr>
        <w:t>.</w:t>
      </w:r>
    </w:p>
    <w:p w:rsidR="0095241C" w:rsidRPr="007B0F82" w:rsidRDefault="0095241C" w:rsidP="009104E8">
      <w:pPr>
        <w:autoSpaceDE w:val="0"/>
        <w:autoSpaceDN w:val="0"/>
        <w:adjustRightInd w:val="0"/>
        <w:spacing w:before="0" w:after="0" w:line="240" w:lineRule="auto"/>
        <w:ind w:left="851"/>
        <w:jc w:val="both"/>
        <w:rPr>
          <w:lang w:eastAsia="en-GB"/>
        </w:rPr>
      </w:pPr>
    </w:p>
    <w:p w:rsidR="0095241C" w:rsidRPr="007B0F82" w:rsidRDefault="0095241C" w:rsidP="009104E8">
      <w:pPr>
        <w:autoSpaceDE w:val="0"/>
        <w:autoSpaceDN w:val="0"/>
        <w:adjustRightInd w:val="0"/>
        <w:spacing w:before="0" w:after="0" w:line="240" w:lineRule="auto"/>
        <w:ind w:left="851"/>
        <w:jc w:val="both"/>
        <w:rPr>
          <w:lang w:eastAsia="en-GB"/>
        </w:rPr>
      </w:pPr>
      <w:r w:rsidRPr="007B0F82">
        <w:rPr>
          <w:lang w:eastAsia="en-GB"/>
        </w:rPr>
        <w:t xml:space="preserve">Where the Court has authorised a spouse to proceed with a suit for personal separation or divorce, either party may initiate proceedings within two months or such longer period as the Court may, for grave reason, grant. Upon such case being initiated and upon the close of the written proceedings, the Court must appoint a children’s advocate where in its opinion this is required in the interests of any children under 18 years of age of the spouses, and will proceed with the pre-trial stage of the case. After the close of the pre-trial stage the judge must fix the date for the trial where the lawyers for the spouses and any appointed children’s advocates must make their submissions and counter submissions and the Court will give </w:t>
      </w:r>
      <w:r>
        <w:rPr>
          <w:lang w:eastAsia="en-GB"/>
        </w:rPr>
        <w:t>judgement</w:t>
      </w:r>
      <w:r w:rsidRPr="007B0F82">
        <w:rPr>
          <w:lang w:eastAsia="en-GB"/>
        </w:rPr>
        <w:t xml:space="preserve"> on all points at issue. The Court may also at any stage encourage the parties to enter into an arbitration agreement as provided for in the </w:t>
      </w:r>
      <w:r w:rsidRPr="007B0F82">
        <w:t>Arbitration Act</w:t>
      </w:r>
      <w:r w:rsidRPr="007B0F82">
        <w:rPr>
          <w:rStyle w:val="FootnoteReference"/>
          <w:rFonts w:cs="Arial"/>
          <w:lang w:eastAsia="en-GB"/>
        </w:rPr>
        <w:footnoteReference w:id="169"/>
      </w:r>
      <w:r w:rsidRPr="007B0F82">
        <w:rPr>
          <w:lang w:eastAsia="en-GB"/>
        </w:rPr>
        <w:t>.</w:t>
      </w:r>
    </w:p>
    <w:p w:rsidR="0095241C" w:rsidRPr="007B0F82" w:rsidRDefault="0095241C" w:rsidP="009104E8">
      <w:pPr>
        <w:autoSpaceDE w:val="0"/>
        <w:autoSpaceDN w:val="0"/>
        <w:adjustRightInd w:val="0"/>
        <w:spacing w:before="0" w:after="0" w:line="240" w:lineRule="auto"/>
        <w:ind w:left="851"/>
        <w:jc w:val="both"/>
        <w:rPr>
          <w:bCs/>
          <w:lang w:eastAsia="en-GB"/>
        </w:rPr>
      </w:pPr>
    </w:p>
    <w:p w:rsidR="0095241C" w:rsidRPr="007B0F82" w:rsidRDefault="0095241C" w:rsidP="009104E8">
      <w:pPr>
        <w:autoSpaceDE w:val="0"/>
        <w:autoSpaceDN w:val="0"/>
        <w:adjustRightInd w:val="0"/>
        <w:spacing w:before="0" w:after="0" w:line="240" w:lineRule="auto"/>
        <w:ind w:left="851"/>
        <w:jc w:val="both"/>
        <w:rPr>
          <w:lang w:eastAsia="en-GB"/>
        </w:rPr>
      </w:pPr>
      <w:r w:rsidRPr="007B0F82">
        <w:rPr>
          <w:bCs/>
          <w:lang w:eastAsia="en-GB"/>
        </w:rPr>
        <w:t>The above applies also where a person wants to proceed before the Court in connection with disputes between parties, whether married or not, concerning the custody and maintenance of, or visitation rights to their children</w:t>
      </w:r>
      <w:r w:rsidRPr="007B0F82">
        <w:rPr>
          <w:rStyle w:val="FootnoteReference"/>
          <w:rFonts w:cs="Arial"/>
          <w:bCs/>
          <w:lang w:eastAsia="en-GB"/>
        </w:rPr>
        <w:footnoteReference w:id="170"/>
      </w:r>
      <w:r w:rsidRPr="007B0F82">
        <w:rPr>
          <w:bCs/>
          <w:lang w:eastAsia="en-GB"/>
        </w:rPr>
        <w:t>.</w:t>
      </w:r>
    </w:p>
    <w:p w:rsidR="0095241C" w:rsidRPr="007B0F82" w:rsidRDefault="0095241C" w:rsidP="009104E8">
      <w:pPr>
        <w:autoSpaceDE w:val="0"/>
        <w:autoSpaceDN w:val="0"/>
        <w:adjustRightInd w:val="0"/>
        <w:spacing w:before="0" w:after="0" w:line="240" w:lineRule="auto"/>
        <w:ind w:left="851"/>
        <w:jc w:val="both"/>
        <w:rPr>
          <w:lang w:eastAsia="en-GB"/>
        </w:rPr>
      </w:pPr>
    </w:p>
    <w:p w:rsidR="0095241C" w:rsidRPr="007B0F82" w:rsidRDefault="0095241C" w:rsidP="00811568">
      <w:pPr>
        <w:pStyle w:val="BodyText"/>
        <w:widowControl w:val="0"/>
        <w:spacing w:before="0" w:after="0" w:line="240" w:lineRule="auto"/>
        <w:jc w:val="both"/>
        <w:rPr>
          <w:rFonts w:cs="Arial"/>
          <w:szCs w:val="20"/>
        </w:rPr>
      </w:pPr>
      <w:r w:rsidRPr="007B0F82">
        <w:rPr>
          <w:rFonts w:cs="Arial"/>
          <w:szCs w:val="20"/>
        </w:rPr>
        <w:lastRenderedPageBreak/>
        <w:t xml:space="preserve">Where a demand for divorce is made to the Court by one or both of the spouses, and where the spouses are not separated by means of a contract or a </w:t>
      </w:r>
      <w:r>
        <w:rPr>
          <w:rFonts w:cs="Arial"/>
          <w:szCs w:val="20"/>
        </w:rPr>
        <w:t>judgement</w:t>
      </w:r>
      <w:r w:rsidRPr="007B0F82">
        <w:rPr>
          <w:rFonts w:cs="Arial"/>
          <w:szCs w:val="20"/>
        </w:rPr>
        <w:t>, before granting leave to the spouses to proceed for divorce, the Court will summon them to appear before a mediator, for the purpose of attempting reconciliation. Where that reconciliation is not achieved, and where the spouses have not already agreed on the terms of the divorce, the mediator will help the parties to conclude the divorce on the basis of an agreement. This agreement will be made on some or all of the following: the care and custody of the children; the access of the parties to the children; the maintenance of the spouses or of one of them and of each child, etc.</w:t>
      </w:r>
      <w:r w:rsidRPr="007B0F82">
        <w:rPr>
          <w:rStyle w:val="FootnoteReference"/>
          <w:szCs w:val="20"/>
        </w:rPr>
        <w:footnoteReference w:id="171"/>
      </w:r>
    </w:p>
    <w:p w:rsidR="0095241C" w:rsidRPr="007B0F82" w:rsidRDefault="0095241C" w:rsidP="00AC1EA6">
      <w:pPr>
        <w:pStyle w:val="Heading2"/>
      </w:pPr>
      <w:bookmarkStart w:id="124" w:name="_Toc350439433"/>
      <w:bookmarkStart w:id="125" w:name="_Toc407962148"/>
      <w:r>
        <w:t xml:space="preserve">Remedies or compensation </w:t>
      </w:r>
      <w:r w:rsidRPr="007B0F82">
        <w:t>for violation of rights and failure to act</w:t>
      </w:r>
      <w:bookmarkEnd w:id="125"/>
      <w:r w:rsidRPr="007B0F82">
        <w:t xml:space="preserve"> </w:t>
      </w:r>
      <w:bookmarkEnd w:id="121"/>
      <w:bookmarkEnd w:id="124"/>
    </w:p>
    <w:p w:rsidR="0095241C" w:rsidRPr="00B4530D" w:rsidRDefault="0095241C" w:rsidP="00B4530D">
      <w:pPr>
        <w:pStyle w:val="Heading4NoNumb"/>
        <w:spacing w:after="240"/>
        <w:ind w:left="851"/>
      </w:pPr>
      <w:r w:rsidRPr="00B4530D">
        <w:t>The child as a plaintiff/defendant</w:t>
      </w:r>
    </w:p>
    <w:p w:rsidR="0095241C" w:rsidRDefault="0095241C" w:rsidP="009104E8">
      <w:pPr>
        <w:autoSpaceDE w:val="0"/>
        <w:autoSpaceDN w:val="0"/>
        <w:adjustRightInd w:val="0"/>
        <w:spacing w:before="0" w:after="0" w:line="240" w:lineRule="auto"/>
        <w:ind w:left="851"/>
        <w:jc w:val="both"/>
        <w:rPr>
          <w:rFonts w:cs="TimesNewRomanPSMT"/>
          <w:lang w:eastAsia="en-GB"/>
        </w:rPr>
      </w:pPr>
      <w:r w:rsidRPr="007B0F82">
        <w:t xml:space="preserve">There are no special provisions stating how a child can access any complaint, legal appeal or judicial review mechanisms. The general procedural rules that apply to adults apply also to children. Children would have to exercise their right through the parent, tutor or curator (see </w:t>
      </w:r>
      <w:hyperlink w:anchor="_The_child_as" w:history="1">
        <w:r w:rsidRPr="007B0F82">
          <w:rPr>
            <w:rStyle w:val="Hyperlink"/>
            <w:rFonts w:cs="Arial"/>
          </w:rPr>
          <w:t>Section 3.1</w:t>
        </w:r>
      </w:hyperlink>
      <w:r w:rsidRPr="007B0F82">
        <w:t xml:space="preserve">). An appeal must be entered by means of an application filed in the registry of the Court of Appeal within 20 days from the date of the </w:t>
      </w:r>
      <w:r>
        <w:t>judgement</w:t>
      </w:r>
      <w:r w:rsidRPr="007B0F82">
        <w:rPr>
          <w:rStyle w:val="FootnoteReference"/>
          <w:lang w:eastAsia="en-GB"/>
        </w:rPr>
        <w:footnoteReference w:id="172"/>
      </w:r>
      <w:r w:rsidRPr="007B0F82">
        <w:rPr>
          <w:rFonts w:cs="TimesNewRomanPSMT"/>
          <w:lang w:eastAsia="en-GB"/>
        </w:rPr>
        <w:t xml:space="preserve">. </w:t>
      </w:r>
    </w:p>
    <w:p w:rsidR="0095241C" w:rsidRDefault="0095241C" w:rsidP="009104E8">
      <w:pPr>
        <w:autoSpaceDE w:val="0"/>
        <w:autoSpaceDN w:val="0"/>
        <w:adjustRightInd w:val="0"/>
        <w:spacing w:before="0" w:after="0" w:line="240" w:lineRule="auto"/>
        <w:ind w:left="851"/>
        <w:jc w:val="both"/>
        <w:rPr>
          <w:rFonts w:cs="TimesNewRomanPSMT"/>
          <w:lang w:eastAsia="en-GB"/>
        </w:rPr>
      </w:pPr>
    </w:p>
    <w:p w:rsidR="0095241C" w:rsidRDefault="0095241C" w:rsidP="009104E8">
      <w:pPr>
        <w:pStyle w:val="BodyText"/>
        <w:widowControl w:val="0"/>
        <w:spacing w:before="0" w:after="0" w:line="240" w:lineRule="auto"/>
        <w:jc w:val="both"/>
        <w:rPr>
          <w:rFonts w:cs="Arial"/>
          <w:bCs/>
          <w:szCs w:val="20"/>
        </w:rPr>
      </w:pPr>
      <w:r w:rsidRPr="007B0F82">
        <w:rPr>
          <w:rFonts w:cs="Arial"/>
          <w:bCs/>
          <w:szCs w:val="20"/>
        </w:rPr>
        <w:t xml:space="preserve">As regards the right to participate in civil judicial proceedings, </w:t>
      </w:r>
      <w:r>
        <w:rPr>
          <w:rFonts w:cs="Arial"/>
          <w:bCs/>
          <w:szCs w:val="20"/>
        </w:rPr>
        <w:t>the</w:t>
      </w:r>
      <w:r w:rsidRPr="007B0F82">
        <w:rPr>
          <w:rFonts w:cs="Arial"/>
          <w:bCs/>
          <w:szCs w:val="20"/>
        </w:rPr>
        <w:t xml:space="preserve"> Maltese </w:t>
      </w:r>
      <w:r>
        <w:rPr>
          <w:rFonts w:cs="Arial"/>
          <w:bCs/>
          <w:szCs w:val="20"/>
        </w:rPr>
        <w:t xml:space="preserve">judicial </w:t>
      </w:r>
      <w:r w:rsidRPr="007B0F82">
        <w:rPr>
          <w:rFonts w:cs="Arial"/>
          <w:bCs/>
          <w:szCs w:val="20"/>
        </w:rPr>
        <w:t xml:space="preserve">system </w:t>
      </w:r>
      <w:r>
        <w:rPr>
          <w:rFonts w:cs="Arial"/>
          <w:bCs/>
          <w:szCs w:val="20"/>
        </w:rPr>
        <w:t>provides for a</w:t>
      </w:r>
      <w:r w:rsidRPr="007B0F82">
        <w:rPr>
          <w:rFonts w:cs="Arial"/>
          <w:bCs/>
          <w:szCs w:val="20"/>
        </w:rPr>
        <w:t xml:space="preserve"> special provision on limitation periods whereby prescription does not run against children</w:t>
      </w:r>
      <w:r>
        <w:rPr>
          <w:rStyle w:val="FootnoteReference"/>
          <w:bCs/>
          <w:szCs w:val="20"/>
        </w:rPr>
        <w:footnoteReference w:id="173"/>
      </w:r>
      <w:r w:rsidRPr="007B0F82">
        <w:rPr>
          <w:rFonts w:cs="Arial"/>
          <w:bCs/>
          <w:szCs w:val="20"/>
        </w:rPr>
        <w:t xml:space="preserve">. </w:t>
      </w:r>
    </w:p>
    <w:p w:rsidR="0095241C" w:rsidRPr="007B0F82" w:rsidRDefault="0095241C" w:rsidP="009104E8">
      <w:pPr>
        <w:pStyle w:val="BodyText"/>
        <w:widowControl w:val="0"/>
        <w:spacing w:before="0" w:after="0" w:line="240" w:lineRule="auto"/>
        <w:jc w:val="both"/>
        <w:rPr>
          <w:rFonts w:cs="Arial"/>
          <w:bCs/>
          <w:szCs w:val="20"/>
        </w:rPr>
      </w:pPr>
    </w:p>
    <w:p w:rsidR="0095241C" w:rsidRPr="00841B41" w:rsidRDefault="0095241C" w:rsidP="009104E8">
      <w:pPr>
        <w:pStyle w:val="BodyText"/>
        <w:widowControl w:val="0"/>
        <w:spacing w:before="0" w:after="0" w:line="240" w:lineRule="auto"/>
        <w:jc w:val="both"/>
        <w:rPr>
          <w:rFonts w:cs="Arial"/>
          <w:bCs/>
          <w:szCs w:val="20"/>
        </w:rPr>
      </w:pPr>
      <w:r w:rsidRPr="00841B41">
        <w:rPr>
          <w:rFonts w:cs="Arial"/>
          <w:bCs/>
          <w:szCs w:val="20"/>
        </w:rPr>
        <w:t>As a general rule, a child cannot access such mechanisms in his/her own right but only through the parent or legal representative. No measures stating that the child’s consent must be obtained in order to make submissions instead of the child or to appeal, were identified.</w:t>
      </w:r>
    </w:p>
    <w:p w:rsidR="0095241C" w:rsidRPr="00841B41" w:rsidRDefault="0095241C" w:rsidP="009104E8">
      <w:pPr>
        <w:pStyle w:val="BodyText"/>
        <w:widowControl w:val="0"/>
        <w:spacing w:before="0" w:after="0" w:line="240" w:lineRule="auto"/>
        <w:jc w:val="both"/>
        <w:rPr>
          <w:rFonts w:cs="Arial"/>
          <w:bCs/>
          <w:szCs w:val="20"/>
        </w:rPr>
      </w:pPr>
    </w:p>
    <w:p w:rsidR="0095241C" w:rsidRPr="007B0F82" w:rsidRDefault="0095241C" w:rsidP="009104E8">
      <w:pPr>
        <w:pStyle w:val="BodyText"/>
        <w:widowControl w:val="0"/>
        <w:spacing w:before="0" w:after="0" w:line="240" w:lineRule="auto"/>
        <w:jc w:val="both"/>
      </w:pPr>
      <w:r w:rsidRPr="00841B41">
        <w:rPr>
          <w:rFonts w:cs="Arial"/>
          <w:bCs/>
          <w:szCs w:val="20"/>
        </w:rPr>
        <w:t>There is no specific support provided to the child in order to access such mechanisms except for any support that may be offered by the social</w:t>
      </w:r>
      <w:r w:rsidRPr="007B0F82">
        <w:t xml:space="preserve"> </w:t>
      </w:r>
      <w:r w:rsidRPr="00841B41">
        <w:rPr>
          <w:rFonts w:cs="Arial"/>
          <w:bCs/>
          <w:szCs w:val="20"/>
        </w:rPr>
        <w:t>welfare services or other professionals in the field.</w:t>
      </w:r>
    </w:p>
    <w:p w:rsidR="0095241C" w:rsidRPr="007B0F82" w:rsidRDefault="0095241C" w:rsidP="009104E8">
      <w:pPr>
        <w:widowControl w:val="0"/>
        <w:spacing w:before="0" w:after="0" w:line="240" w:lineRule="auto"/>
        <w:ind w:left="851"/>
        <w:jc w:val="both"/>
      </w:pPr>
    </w:p>
    <w:p w:rsidR="0095241C" w:rsidRPr="007B0F82" w:rsidRDefault="0095241C" w:rsidP="009104E8">
      <w:pPr>
        <w:widowControl w:val="0"/>
        <w:spacing w:before="0" w:after="0" w:line="240" w:lineRule="auto"/>
        <w:ind w:left="851"/>
        <w:jc w:val="both"/>
      </w:pPr>
      <w:r w:rsidRPr="007B0F82">
        <w:t xml:space="preserve">The actions the court or the child can take if there is a conflict of interests with his/her parents’ interests are described in </w:t>
      </w:r>
      <w:hyperlink w:anchor="_Right_to_legal" w:history="1">
        <w:r w:rsidRPr="007B0F82">
          <w:rPr>
            <w:rStyle w:val="Hyperlink"/>
            <w:rFonts w:cs="Arial"/>
          </w:rPr>
          <w:t>Section 3.7</w:t>
        </w:r>
      </w:hyperlink>
      <w:r w:rsidRPr="007B0F82">
        <w:t xml:space="preserve"> above.</w:t>
      </w:r>
    </w:p>
    <w:p w:rsidR="0095241C" w:rsidRPr="007B0F82" w:rsidRDefault="0095241C" w:rsidP="009104E8">
      <w:pPr>
        <w:widowControl w:val="0"/>
        <w:spacing w:before="0" w:after="0" w:line="240" w:lineRule="auto"/>
        <w:ind w:left="851"/>
        <w:jc w:val="both"/>
      </w:pPr>
    </w:p>
    <w:p w:rsidR="0095241C" w:rsidRDefault="0095241C" w:rsidP="009104E8">
      <w:pPr>
        <w:autoSpaceDE w:val="0"/>
        <w:autoSpaceDN w:val="0"/>
        <w:adjustRightInd w:val="0"/>
        <w:spacing w:before="0" w:after="0" w:line="240" w:lineRule="auto"/>
        <w:ind w:left="851"/>
        <w:jc w:val="both"/>
      </w:pPr>
      <w:r w:rsidRPr="007B0F82">
        <w:t xml:space="preserve">An </w:t>
      </w:r>
      <w:r w:rsidRPr="007B0F82">
        <w:rPr>
          <w:rFonts w:cs="TimesNewRomanPSMT"/>
          <w:lang w:eastAsia="en-GB"/>
        </w:rPr>
        <w:t>appeal may be entered not only by the contending parties but also by any person interested</w:t>
      </w:r>
      <w:r w:rsidRPr="007B0F82">
        <w:rPr>
          <w:rStyle w:val="FootnoteReference"/>
          <w:lang w:eastAsia="en-GB"/>
        </w:rPr>
        <w:footnoteReference w:id="174"/>
      </w:r>
      <w:r w:rsidRPr="007B0F82">
        <w:rPr>
          <w:rFonts w:cs="TimesNewRomanPSMT"/>
          <w:lang w:eastAsia="en-GB"/>
        </w:rPr>
        <w:t xml:space="preserve">. It would therefore seem that a </w:t>
      </w:r>
      <w:r w:rsidRPr="007B0F82">
        <w:t>child care authority could in principle appeal against certain court decisions involving children.</w:t>
      </w:r>
    </w:p>
    <w:p w:rsidR="0095241C" w:rsidRDefault="0095241C" w:rsidP="009104E8">
      <w:pPr>
        <w:autoSpaceDE w:val="0"/>
        <w:autoSpaceDN w:val="0"/>
        <w:adjustRightInd w:val="0"/>
        <w:spacing w:before="0" w:after="0" w:line="240" w:lineRule="auto"/>
        <w:ind w:left="851"/>
        <w:jc w:val="both"/>
      </w:pPr>
    </w:p>
    <w:p w:rsidR="0095241C" w:rsidRPr="007B0F82" w:rsidRDefault="0095241C" w:rsidP="00811568">
      <w:pPr>
        <w:autoSpaceDE w:val="0"/>
        <w:autoSpaceDN w:val="0"/>
        <w:adjustRightInd w:val="0"/>
        <w:spacing w:before="0" w:after="0" w:line="240" w:lineRule="auto"/>
        <w:ind w:left="851"/>
        <w:jc w:val="both"/>
      </w:pPr>
      <w:r>
        <w:t>No rules have been identified on the right of the child to seek compensation if his/her rights have been violated during the civil judicial proceedings.</w:t>
      </w:r>
    </w:p>
    <w:p w:rsidR="0095241C" w:rsidRPr="00B4530D" w:rsidRDefault="0095241C" w:rsidP="00B4530D">
      <w:pPr>
        <w:pStyle w:val="Heading4NoNumb"/>
        <w:spacing w:after="240"/>
        <w:ind w:left="851"/>
      </w:pPr>
      <w:r w:rsidRPr="00B4530D">
        <w:t>The child as a witness</w:t>
      </w:r>
    </w:p>
    <w:p w:rsidR="0095241C" w:rsidRPr="007B0F82" w:rsidRDefault="0095241C" w:rsidP="00811568">
      <w:pPr>
        <w:autoSpaceDE w:val="0"/>
        <w:autoSpaceDN w:val="0"/>
        <w:adjustRightInd w:val="0"/>
        <w:spacing w:before="0" w:after="0" w:line="240" w:lineRule="auto"/>
        <w:ind w:left="851"/>
        <w:jc w:val="both"/>
      </w:pPr>
      <w:r w:rsidRPr="007B0F82">
        <w:t xml:space="preserve">Child witnesses cannot challenge court </w:t>
      </w:r>
      <w:r>
        <w:t>judgement</w:t>
      </w:r>
      <w:r w:rsidRPr="007B0F82">
        <w:t>s; therefore, no relevant provisions have been identified.</w:t>
      </w:r>
    </w:p>
    <w:p w:rsidR="0095241C" w:rsidRPr="007B0F82" w:rsidRDefault="0095241C" w:rsidP="00B4530D">
      <w:pPr>
        <w:pStyle w:val="Heading4NoNumb"/>
        <w:spacing w:after="240"/>
        <w:ind w:left="851"/>
        <w:rPr>
          <w:b w:val="0"/>
        </w:rPr>
      </w:pPr>
      <w:r w:rsidRPr="00B4530D">
        <w:t>The child in any other role</w:t>
      </w:r>
    </w:p>
    <w:p w:rsidR="0095241C" w:rsidRPr="008558C6" w:rsidRDefault="0095241C" w:rsidP="008558C6">
      <w:pPr>
        <w:pStyle w:val="BodyText"/>
        <w:widowControl w:val="0"/>
        <w:spacing w:before="0" w:after="0" w:line="240" w:lineRule="auto"/>
        <w:jc w:val="both"/>
        <w:rPr>
          <w:szCs w:val="20"/>
        </w:rPr>
      </w:pPr>
      <w:r w:rsidRPr="007B0F82">
        <w:rPr>
          <w:rFonts w:cs="Arial"/>
          <w:szCs w:val="20"/>
        </w:rPr>
        <w:t xml:space="preserve">As regards children’s right to be heard in case of disagreement between the spouses as described in </w:t>
      </w:r>
      <w:hyperlink w:anchor="_The_child_as" w:history="1">
        <w:r w:rsidRPr="007B0F82">
          <w:rPr>
            <w:rStyle w:val="Hyperlink"/>
            <w:rFonts w:cs="Arial"/>
            <w:szCs w:val="20"/>
          </w:rPr>
          <w:t>Section 3.1</w:t>
        </w:r>
      </w:hyperlink>
      <w:r w:rsidRPr="007B0F82">
        <w:rPr>
          <w:szCs w:val="20"/>
        </w:rPr>
        <w:t xml:space="preserve"> and the possibility for the judge, if expressly requested by the spouses jointly, to determine the matter by providing the solution which s/he deems most suitable in the interest of the family and family life, the pronouncement of the judge cannot be appealed </w:t>
      </w:r>
      <w:r w:rsidRPr="007B0F82">
        <w:rPr>
          <w:szCs w:val="20"/>
        </w:rPr>
        <w:lastRenderedPageBreak/>
        <w:t>from</w:t>
      </w:r>
      <w:r w:rsidRPr="007B0F82">
        <w:rPr>
          <w:rStyle w:val="FootnoteReference"/>
          <w:szCs w:val="20"/>
        </w:rPr>
        <w:footnoteReference w:id="175"/>
      </w:r>
      <w:r w:rsidRPr="007B0F82">
        <w:rPr>
          <w:szCs w:val="20"/>
        </w:rPr>
        <w:t xml:space="preserve">.  </w:t>
      </w:r>
    </w:p>
    <w:p w:rsidR="0095241C" w:rsidRPr="007B0F82" w:rsidRDefault="0095241C" w:rsidP="00AC1EA6">
      <w:pPr>
        <w:pStyle w:val="Heading2"/>
      </w:pPr>
      <w:bookmarkStart w:id="126" w:name="_Toc346714798"/>
      <w:bookmarkStart w:id="127" w:name="_Toc346714799"/>
      <w:bookmarkStart w:id="128" w:name="_Toc350439434"/>
      <w:bookmarkStart w:id="129" w:name="_Toc407962149"/>
      <w:bookmarkEnd w:id="126"/>
      <w:bookmarkEnd w:id="127"/>
      <w:r>
        <w:t>Legal c</w:t>
      </w:r>
      <w:r w:rsidRPr="007B0F82">
        <w:t>osts</w:t>
      </w:r>
      <w:bookmarkEnd w:id="129"/>
      <w:r w:rsidRPr="007B0F82">
        <w:t xml:space="preserve"> </w:t>
      </w:r>
      <w:bookmarkEnd w:id="128"/>
    </w:p>
    <w:p w:rsidR="0095241C" w:rsidRPr="00B4530D" w:rsidRDefault="0095241C" w:rsidP="00B4530D">
      <w:pPr>
        <w:pStyle w:val="Heading4NoNumb"/>
        <w:spacing w:after="240"/>
        <w:ind w:left="851"/>
      </w:pPr>
      <w:r w:rsidRPr="00B4530D">
        <w:t>The child as a plaintiff/defendant</w:t>
      </w:r>
    </w:p>
    <w:p w:rsidR="0095241C" w:rsidRPr="007B0F82" w:rsidRDefault="0095241C" w:rsidP="009104E8">
      <w:pPr>
        <w:pStyle w:val="BodyText"/>
        <w:widowControl w:val="0"/>
        <w:spacing w:before="0" w:after="0" w:line="240" w:lineRule="auto"/>
        <w:jc w:val="both"/>
        <w:rPr>
          <w:szCs w:val="20"/>
        </w:rPr>
      </w:pPr>
      <w:r w:rsidRPr="007B0F82">
        <w:rPr>
          <w:szCs w:val="20"/>
        </w:rPr>
        <w:t>There are no legal measures specifically dealing with legal costs in cases involving children. The child plaintiff or defendant would be represented for all purposes by the parents or curator and costs would be awarded according to the general rules.</w:t>
      </w:r>
    </w:p>
    <w:p w:rsidR="0095241C" w:rsidRPr="007B0F82" w:rsidRDefault="0095241C" w:rsidP="009104E8">
      <w:pPr>
        <w:pStyle w:val="BodyText"/>
        <w:widowControl w:val="0"/>
        <w:spacing w:before="0" w:after="0" w:line="240" w:lineRule="auto"/>
        <w:jc w:val="both"/>
        <w:rPr>
          <w:szCs w:val="20"/>
        </w:rPr>
      </w:pPr>
    </w:p>
    <w:p w:rsidR="0095241C" w:rsidRPr="007B0F82" w:rsidRDefault="0095241C" w:rsidP="009104E8">
      <w:pPr>
        <w:pStyle w:val="BodyText"/>
        <w:widowControl w:val="0"/>
        <w:spacing w:before="0" w:after="0" w:line="240" w:lineRule="auto"/>
        <w:jc w:val="both"/>
        <w:rPr>
          <w:szCs w:val="20"/>
        </w:rPr>
      </w:pPr>
      <w:r w:rsidRPr="007B0F82">
        <w:rPr>
          <w:szCs w:val="20"/>
        </w:rPr>
        <w:t xml:space="preserve">Every </w:t>
      </w:r>
      <w:r>
        <w:rPr>
          <w:szCs w:val="20"/>
        </w:rPr>
        <w:t>judgement</w:t>
      </w:r>
      <w:r w:rsidRPr="007B0F82">
        <w:rPr>
          <w:szCs w:val="20"/>
        </w:rPr>
        <w:t xml:space="preserve"> must award costs. The court can however order that the costs are not taxed as between party and party when each party is cast in some of the points at issue, or when the matter at issue involves difficult points of law, or where there is any other good cause</w:t>
      </w:r>
      <w:r w:rsidRPr="007B0F82">
        <w:rPr>
          <w:rStyle w:val="FootnoteReference"/>
          <w:szCs w:val="20"/>
        </w:rPr>
        <w:footnoteReference w:id="176"/>
      </w:r>
      <w:r w:rsidRPr="007B0F82">
        <w:rPr>
          <w:szCs w:val="20"/>
        </w:rPr>
        <w:t>. This is typical in family law cases</w:t>
      </w:r>
      <w:r w:rsidRPr="007B0F82">
        <w:rPr>
          <w:rStyle w:val="FootnoteReference"/>
          <w:szCs w:val="20"/>
        </w:rPr>
        <w:footnoteReference w:id="177"/>
      </w:r>
      <w:r w:rsidRPr="007B0F82">
        <w:rPr>
          <w:szCs w:val="20"/>
        </w:rPr>
        <w:t xml:space="preserve">. </w:t>
      </w:r>
      <w:hyperlink w:anchor="_Toc346714791" w:history="1">
        <w:r w:rsidRPr="007B0F82">
          <w:rPr>
            <w:rStyle w:val="Hyperlink"/>
            <w:szCs w:val="20"/>
          </w:rPr>
          <w:t>Section 3.7</w:t>
        </w:r>
      </w:hyperlink>
      <w:r w:rsidRPr="007B0F82">
        <w:rPr>
          <w:szCs w:val="20"/>
        </w:rPr>
        <w:t xml:space="preserve"> discusses the legal aid available to child plaintiffs/defendants.</w:t>
      </w:r>
    </w:p>
    <w:p w:rsidR="0095241C" w:rsidRPr="007B0F82" w:rsidRDefault="0095241C" w:rsidP="009104E8">
      <w:pPr>
        <w:spacing w:beforeLines="1" w:before="2" w:afterLines="1" w:after="2" w:line="240" w:lineRule="auto"/>
        <w:ind w:left="851"/>
        <w:jc w:val="both"/>
        <w:rPr>
          <w:b/>
          <w:bCs/>
        </w:rPr>
      </w:pPr>
    </w:p>
    <w:p w:rsidR="0095241C" w:rsidRPr="007B0F82" w:rsidRDefault="0095241C" w:rsidP="00811568">
      <w:pPr>
        <w:spacing w:beforeLines="1" w:before="2" w:afterLines="1" w:after="2" w:line="240" w:lineRule="auto"/>
        <w:ind w:left="851"/>
        <w:jc w:val="both"/>
      </w:pPr>
      <w:r w:rsidRPr="007B0F82">
        <w:t xml:space="preserve">It is also noted that where a tutor or curator has in a case acted to the prejudice of his administration, the court may, in the same </w:t>
      </w:r>
      <w:r>
        <w:t>judgement</w:t>
      </w:r>
      <w:r w:rsidRPr="007B0F82">
        <w:t>, without the necessity of separate proceedings, condemn the tutor or curator to pay personally and without any right to reimbursement costs as well as damages and interest according to law, saving any other penalties to which s/he may be liable</w:t>
      </w:r>
      <w:r w:rsidRPr="007B0F82">
        <w:rPr>
          <w:rStyle w:val="FootnoteReference"/>
        </w:rPr>
        <w:footnoteReference w:id="178"/>
      </w:r>
      <w:r w:rsidRPr="007B0F82">
        <w:t xml:space="preserve">.  </w:t>
      </w:r>
    </w:p>
    <w:p w:rsidR="0095241C" w:rsidRPr="00B4530D" w:rsidRDefault="0095241C" w:rsidP="00B4530D">
      <w:pPr>
        <w:pStyle w:val="Heading4NoNumb"/>
        <w:spacing w:after="240"/>
        <w:ind w:left="851"/>
      </w:pPr>
      <w:r w:rsidRPr="00B4530D">
        <w:t>The child as a witness/in any other role</w:t>
      </w:r>
    </w:p>
    <w:p w:rsidR="0095241C" w:rsidRPr="00811568" w:rsidRDefault="0095241C" w:rsidP="00811568">
      <w:pPr>
        <w:pStyle w:val="BodyText"/>
        <w:widowControl w:val="0"/>
        <w:spacing w:before="0" w:after="0" w:line="240" w:lineRule="auto"/>
        <w:jc w:val="both"/>
        <w:rPr>
          <w:rFonts w:cs="Arial"/>
        </w:rPr>
      </w:pPr>
      <w:r w:rsidRPr="007B0F82">
        <w:rPr>
          <w:rFonts w:cs="Arial"/>
        </w:rPr>
        <w:t>No relevant rules have been identified for child witness</w:t>
      </w:r>
      <w:r>
        <w:rPr>
          <w:rFonts w:cs="Arial"/>
        </w:rPr>
        <w:t>es and children in other roles.</w:t>
      </w:r>
    </w:p>
    <w:p w:rsidR="0095241C" w:rsidRPr="007B0F82" w:rsidRDefault="0095241C" w:rsidP="00AC1EA6">
      <w:pPr>
        <w:pStyle w:val="Heading2"/>
      </w:pPr>
      <w:bookmarkStart w:id="130" w:name="_Toc350439435"/>
      <w:bookmarkStart w:id="131" w:name="_Toc407962150"/>
      <w:r>
        <w:t>Enforcement of civil court</w:t>
      </w:r>
      <w:r w:rsidRPr="007B0F82">
        <w:t xml:space="preserve"> judg</w:t>
      </w:r>
      <w:r>
        <w:t>e</w:t>
      </w:r>
      <w:r w:rsidRPr="007B0F82">
        <w:t>ments</w:t>
      </w:r>
      <w:bookmarkEnd w:id="130"/>
      <w:bookmarkEnd w:id="131"/>
    </w:p>
    <w:p w:rsidR="0095241C" w:rsidRPr="00B4530D" w:rsidRDefault="0095241C" w:rsidP="00B4530D">
      <w:pPr>
        <w:pStyle w:val="Heading4NoNumb"/>
        <w:spacing w:after="240"/>
        <w:ind w:left="851"/>
      </w:pPr>
      <w:r w:rsidRPr="00B4530D">
        <w:t>The child as a plaintiff/defendant</w:t>
      </w:r>
    </w:p>
    <w:p w:rsidR="0095241C" w:rsidRPr="007B0F82" w:rsidRDefault="0095241C" w:rsidP="009104E8">
      <w:pPr>
        <w:pStyle w:val="BodyText"/>
        <w:widowControl w:val="0"/>
        <w:spacing w:before="0" w:after="0"/>
        <w:jc w:val="both"/>
      </w:pPr>
      <w:r w:rsidRPr="007B0F82">
        <w:rPr>
          <w:rFonts w:cs="Arial"/>
          <w:szCs w:val="20"/>
        </w:rPr>
        <w:t>Decisions involving children as plaintiffs or defendants are enforced in the same way as decisions involving adults as plaintiffs or defendants. Presumably the child will be informed about the decision of the court and the enforcement of such decision through his/her lawyer or other representative.</w:t>
      </w:r>
      <w:r w:rsidRPr="007B0F82">
        <w:t xml:space="preserve"> </w:t>
      </w:r>
      <w:r>
        <w:t>Judgement</w:t>
      </w:r>
      <w:r w:rsidRPr="007B0F82">
        <w:t>s of the courts of Malta are executive titles</w:t>
      </w:r>
      <w:r w:rsidRPr="007B0F82">
        <w:rPr>
          <w:rStyle w:val="FootnoteReference"/>
        </w:rPr>
        <w:footnoteReference w:id="179"/>
      </w:r>
      <w:r w:rsidRPr="007B0F82">
        <w:t xml:space="preserve"> and the COCP rules apply with respect to their enforceability. There are no measures in place to ensure that decisions which concern children specifically are directly or immediately enforceable. However it is relevant to note that some </w:t>
      </w:r>
      <w:r>
        <w:t>judgement</w:t>
      </w:r>
      <w:r w:rsidRPr="007B0F82">
        <w:t xml:space="preserve">s may be enforced after the lapse of 24 hours from delivery, including </w:t>
      </w:r>
      <w:r>
        <w:t>judgement</w:t>
      </w:r>
      <w:r w:rsidRPr="007B0F82">
        <w:t>s ordering the supply of maintenance</w:t>
      </w:r>
      <w:r w:rsidRPr="007B0F82">
        <w:rPr>
          <w:rStyle w:val="FootnoteReference"/>
        </w:rPr>
        <w:footnoteReference w:id="180"/>
      </w:r>
      <w:r w:rsidRPr="007B0F82">
        <w:t xml:space="preserve">. Any other definitive </w:t>
      </w:r>
      <w:r>
        <w:t>judgement</w:t>
      </w:r>
      <w:r w:rsidRPr="007B0F82">
        <w:t xml:space="preserve"> which condemns a debtor to pay a liquidated sum, or to deliver up or surrender a specific thing, or to perform or fulfil a specific act or obligation, may be enforced after two days from the day of its delivery</w:t>
      </w:r>
      <w:r w:rsidRPr="007B0F82">
        <w:rPr>
          <w:rStyle w:val="FootnoteReference"/>
        </w:rPr>
        <w:footnoteReference w:id="181"/>
      </w:r>
      <w:r w:rsidRPr="007B0F82">
        <w:t xml:space="preserve">. Nevertheless, in urgent cases, the court may order the enforcement of any </w:t>
      </w:r>
      <w:r>
        <w:t>judgement</w:t>
      </w:r>
      <w:r w:rsidRPr="007B0F82">
        <w:t xml:space="preserve"> even before the expiration of these times. The order for such enforcement may be made in the </w:t>
      </w:r>
      <w:r>
        <w:t>judgement</w:t>
      </w:r>
      <w:r w:rsidRPr="007B0F82">
        <w:t xml:space="preserve"> itself</w:t>
      </w:r>
      <w:r w:rsidRPr="007B0F82">
        <w:rPr>
          <w:rStyle w:val="FootnoteReference"/>
        </w:rPr>
        <w:footnoteReference w:id="182"/>
      </w:r>
      <w:r w:rsidRPr="007B0F82">
        <w:t xml:space="preserve">. </w:t>
      </w:r>
    </w:p>
    <w:p w:rsidR="0095241C" w:rsidRPr="007B0F82" w:rsidRDefault="0095241C" w:rsidP="009104E8">
      <w:pPr>
        <w:pStyle w:val="BodyText"/>
        <w:widowControl w:val="0"/>
        <w:spacing w:before="0" w:after="0" w:line="240" w:lineRule="auto"/>
      </w:pPr>
    </w:p>
    <w:p w:rsidR="0095241C" w:rsidRPr="007B0F82" w:rsidRDefault="0095241C" w:rsidP="009104E8">
      <w:pPr>
        <w:widowControl w:val="0"/>
        <w:spacing w:before="0" w:after="0" w:line="240" w:lineRule="auto"/>
        <w:ind w:left="851"/>
        <w:jc w:val="both"/>
      </w:pPr>
      <w:r w:rsidRPr="007B0F82">
        <w:t xml:space="preserve">There are no established procedures regarding how the child’s lawyer or legal representative communicate and explain the given decision or </w:t>
      </w:r>
      <w:r>
        <w:t>judgement</w:t>
      </w:r>
      <w:r w:rsidRPr="007B0F82">
        <w:t xml:space="preserve"> to the child. There are no requirements at law that the language used should be adapted to the child’s level of understanding. </w:t>
      </w:r>
    </w:p>
    <w:p w:rsidR="0095241C" w:rsidRPr="007B0F82" w:rsidRDefault="0095241C" w:rsidP="009104E8">
      <w:pPr>
        <w:pStyle w:val="BodyText"/>
        <w:widowControl w:val="0"/>
        <w:spacing w:before="0" w:after="0" w:line="240" w:lineRule="auto"/>
        <w:rPr>
          <w:rFonts w:cs="Arial"/>
          <w:szCs w:val="20"/>
        </w:rPr>
      </w:pPr>
      <w:r w:rsidRPr="007B0F82">
        <w:t xml:space="preserve"> </w:t>
      </w:r>
    </w:p>
    <w:p w:rsidR="0095241C" w:rsidRPr="007B0F82" w:rsidRDefault="0095241C" w:rsidP="009104E8">
      <w:pPr>
        <w:pStyle w:val="BodyText"/>
        <w:widowControl w:val="0"/>
        <w:spacing w:before="0" w:after="0"/>
        <w:jc w:val="both"/>
        <w:rPr>
          <w:szCs w:val="20"/>
        </w:rPr>
      </w:pPr>
      <w:r w:rsidRPr="007B0F82">
        <w:rPr>
          <w:rFonts w:cs="Arial"/>
          <w:szCs w:val="20"/>
        </w:rPr>
        <w:lastRenderedPageBreak/>
        <w:t xml:space="preserve">As described in </w:t>
      </w:r>
      <w:hyperlink w:anchor="_Protection_from_harm" w:history="1">
        <w:r>
          <w:rPr>
            <w:rStyle w:val="Hyperlink"/>
            <w:rFonts w:cs="Arial"/>
            <w:szCs w:val="20"/>
          </w:rPr>
          <w:t>S</w:t>
        </w:r>
        <w:r w:rsidRPr="007B0F82">
          <w:rPr>
            <w:rStyle w:val="Hyperlink"/>
            <w:rFonts w:cs="Arial"/>
            <w:szCs w:val="20"/>
          </w:rPr>
          <w:t>ection 3.4</w:t>
        </w:r>
      </w:hyperlink>
      <w:r w:rsidRPr="007B0F82">
        <w:rPr>
          <w:rFonts w:cs="Arial"/>
          <w:szCs w:val="20"/>
        </w:rPr>
        <w:t>, in cases involving domestic</w:t>
      </w:r>
      <w:r w:rsidRPr="007B0F82">
        <w:rPr>
          <w:szCs w:val="20"/>
        </w:rPr>
        <w:t xml:space="preserve"> violence, the court may issue a protection order or a restraining order in order to protect the best interests of the child or children</w:t>
      </w:r>
      <w:r w:rsidRPr="007B0F82">
        <w:rPr>
          <w:rStyle w:val="FootnoteReference"/>
          <w:szCs w:val="20"/>
        </w:rPr>
        <w:footnoteReference w:id="183"/>
      </w:r>
      <w:r w:rsidRPr="007B0F82">
        <w:rPr>
          <w:szCs w:val="20"/>
        </w:rPr>
        <w:t>. The objective of a protection order</w:t>
      </w:r>
      <w:r w:rsidRPr="007B0F82">
        <w:rPr>
          <w:rStyle w:val="FootnoteReference"/>
          <w:szCs w:val="20"/>
        </w:rPr>
        <w:footnoteReference w:id="184"/>
      </w:r>
      <w:r w:rsidRPr="007B0F82">
        <w:rPr>
          <w:szCs w:val="20"/>
        </w:rPr>
        <w:t xml:space="preserve"> is to provide safety for the injured party from the aggressor while the alleged offender is being tried for an offence. Restraining orders on the other hand, are aimed at protecting the victim after the accused is found guilty of an offence. While the objective of the protection order is to protect the victim during trial, the objective of a restraining order is to protect the victim after trial</w:t>
      </w:r>
      <w:r w:rsidRPr="007B0F82">
        <w:rPr>
          <w:rStyle w:val="FootnoteReference"/>
          <w:szCs w:val="20"/>
        </w:rPr>
        <w:footnoteReference w:id="185"/>
      </w:r>
      <w:r w:rsidRPr="007B0F82">
        <w:rPr>
          <w:szCs w:val="20"/>
        </w:rPr>
        <w:t>.</w:t>
      </w:r>
    </w:p>
    <w:p w:rsidR="0095241C" w:rsidRPr="007B0F82" w:rsidRDefault="0095241C" w:rsidP="009104E8">
      <w:pPr>
        <w:pStyle w:val="BodyText"/>
        <w:widowControl w:val="0"/>
        <w:spacing w:before="0" w:after="0" w:line="240" w:lineRule="auto"/>
        <w:rPr>
          <w:b/>
        </w:rPr>
      </w:pPr>
    </w:p>
    <w:p w:rsidR="0095241C" w:rsidRPr="007B0F82" w:rsidRDefault="0095241C" w:rsidP="009104E8">
      <w:pPr>
        <w:pStyle w:val="BodyText"/>
        <w:widowControl w:val="0"/>
        <w:spacing w:before="0" w:after="0" w:line="240" w:lineRule="auto"/>
        <w:jc w:val="both"/>
        <w:rPr>
          <w:lang w:eastAsia="en-GB"/>
        </w:rPr>
      </w:pPr>
      <w:r w:rsidRPr="007B0F82">
        <w:t xml:space="preserve">In the case of decisions issued against a child defendant, enforcement will take place against the person who is in charge of the child. </w:t>
      </w:r>
      <w:r w:rsidRPr="007B0F82">
        <w:rPr>
          <w:lang w:eastAsia="en-GB"/>
        </w:rPr>
        <w:t xml:space="preserve">Any person in charge of a child is liable for any damage caused by the child if s/he fails to exercise the care of a </w:t>
      </w:r>
      <w:r w:rsidRPr="007B0F82">
        <w:rPr>
          <w:i/>
          <w:iCs/>
          <w:lang w:eastAsia="en-GB"/>
        </w:rPr>
        <w:t xml:space="preserve">bonus paterfamilias </w:t>
      </w:r>
      <w:r w:rsidRPr="007B0F82">
        <w:rPr>
          <w:lang w:eastAsia="en-GB"/>
        </w:rPr>
        <w:t>in order to prevent the act</w:t>
      </w:r>
      <w:r w:rsidRPr="007B0F82">
        <w:rPr>
          <w:rStyle w:val="FootnoteReference"/>
          <w:rFonts w:cs="Arial"/>
          <w:lang w:eastAsia="en-GB"/>
        </w:rPr>
        <w:footnoteReference w:id="186"/>
      </w:r>
      <w:r w:rsidRPr="007B0F82">
        <w:rPr>
          <w:lang w:eastAsia="en-GB"/>
        </w:rPr>
        <w:t>. Persons with a mental disorder or other condition, which renders them incapable of managing their own affairs, children under nine years of age, and, unless it is proved that they have acted with a mischievous discretion</w:t>
      </w:r>
      <w:r w:rsidRPr="007B0F82">
        <w:rPr>
          <w:rStyle w:val="FootnoteReference"/>
          <w:lang w:eastAsia="en-GB"/>
        </w:rPr>
        <w:footnoteReference w:id="187"/>
      </w:r>
      <w:r w:rsidRPr="007B0F82">
        <w:rPr>
          <w:lang w:eastAsia="en-GB"/>
        </w:rPr>
        <w:t>, children under 14 years of age, cannot be bound to pay the damage caused by them. The injured party may however take action against the person in charge of the child</w:t>
      </w:r>
      <w:r w:rsidRPr="007B0F82">
        <w:rPr>
          <w:rStyle w:val="FootnoteReference"/>
          <w:rFonts w:cs="Arial"/>
          <w:lang w:eastAsia="en-GB"/>
        </w:rPr>
        <w:footnoteReference w:id="188"/>
      </w:r>
      <w:r w:rsidRPr="007B0F82">
        <w:rPr>
          <w:lang w:eastAsia="en-GB"/>
        </w:rPr>
        <w:t>. Nevertheless, where the party injured cannot recover damages from such other persons, because they are not liable or because they have no means, and the said party has not, by his own negligence, want of attention, or imprudence, caused the damage, the court may, having regard to the circumstances of the case and to the means of the party causing the damage and of the injured party, order the damage to be made good, wholly or in part, out of the property of the child</w:t>
      </w:r>
      <w:r w:rsidRPr="007B0F82">
        <w:rPr>
          <w:rStyle w:val="FootnoteReference"/>
          <w:rFonts w:cs="Arial"/>
          <w:lang w:eastAsia="en-GB"/>
        </w:rPr>
        <w:footnoteReference w:id="189"/>
      </w:r>
      <w:r w:rsidRPr="007B0F82">
        <w:rPr>
          <w:lang w:eastAsia="en-GB"/>
        </w:rPr>
        <w:t>.</w:t>
      </w:r>
    </w:p>
    <w:p w:rsidR="0095241C" w:rsidRPr="007B0F82" w:rsidRDefault="0095241C" w:rsidP="009104E8">
      <w:pPr>
        <w:pStyle w:val="BodyText"/>
        <w:widowControl w:val="0"/>
        <w:spacing w:before="0" w:after="0" w:line="240" w:lineRule="auto"/>
        <w:jc w:val="both"/>
        <w:rPr>
          <w:lang w:eastAsia="en-GB"/>
        </w:rPr>
      </w:pPr>
    </w:p>
    <w:p w:rsidR="0095241C" w:rsidRPr="007B0F82" w:rsidRDefault="0095241C" w:rsidP="00811568">
      <w:pPr>
        <w:pStyle w:val="BodyText"/>
        <w:widowControl w:val="0"/>
        <w:spacing w:before="0" w:after="0" w:line="240" w:lineRule="auto"/>
        <w:jc w:val="both"/>
        <w:rPr>
          <w:lang w:eastAsia="en-GB"/>
        </w:rPr>
      </w:pPr>
      <w:r w:rsidRPr="007B0F82">
        <w:rPr>
          <w:lang w:eastAsia="en-GB"/>
        </w:rPr>
        <w:t xml:space="preserve">From the laws examined and research carried out for the purposes of this study no measures were identified that would allow the winning party to seek the detention of a child defendant as a means of enforcing a </w:t>
      </w:r>
      <w:r>
        <w:rPr>
          <w:lang w:eastAsia="en-GB"/>
        </w:rPr>
        <w:t>judgement</w:t>
      </w:r>
      <w:r w:rsidRPr="007B0F82">
        <w:rPr>
          <w:lang w:eastAsia="en-GB"/>
        </w:rPr>
        <w:t>.</w:t>
      </w:r>
    </w:p>
    <w:p w:rsidR="0095241C" w:rsidRPr="00B4530D" w:rsidRDefault="0095241C" w:rsidP="00B4530D">
      <w:pPr>
        <w:pStyle w:val="Heading4NoNumb"/>
        <w:spacing w:after="240"/>
        <w:ind w:left="851"/>
      </w:pPr>
      <w:r w:rsidRPr="00B4530D">
        <w:t>The child as a witness/in any other role</w:t>
      </w:r>
    </w:p>
    <w:p w:rsidR="0095241C" w:rsidRPr="007B0F82" w:rsidRDefault="0095241C" w:rsidP="009104E8">
      <w:pPr>
        <w:pStyle w:val="BodyText"/>
        <w:widowControl w:val="0"/>
        <w:spacing w:before="0" w:after="0" w:line="240" w:lineRule="auto"/>
        <w:jc w:val="both"/>
        <w:rPr>
          <w:rFonts w:cs="Arial"/>
        </w:rPr>
      </w:pPr>
      <w:r w:rsidRPr="00445684">
        <w:rPr>
          <w:rFonts w:cs="Arial"/>
        </w:rPr>
        <w:t>No additional</w:t>
      </w:r>
      <w:r w:rsidRPr="007B0F82">
        <w:rPr>
          <w:rFonts w:cs="Arial"/>
        </w:rPr>
        <w:t xml:space="preserve"> relevant rules have been identified</w:t>
      </w:r>
      <w:r w:rsidRPr="00445684">
        <w:rPr>
          <w:rFonts w:cs="Arial"/>
        </w:rPr>
        <w:t xml:space="preserve"> </w:t>
      </w:r>
      <w:r w:rsidRPr="007B0F82">
        <w:rPr>
          <w:rFonts w:cs="Arial"/>
        </w:rPr>
        <w:t>specific</w:t>
      </w:r>
      <w:r w:rsidRPr="00445684">
        <w:rPr>
          <w:rFonts w:cs="Arial"/>
        </w:rPr>
        <w:t xml:space="preserve"> to child witnesses and children in other roles.</w:t>
      </w:r>
    </w:p>
    <w:p w:rsidR="00AC7914" w:rsidRDefault="0095241C" w:rsidP="009104E8">
      <w:pPr>
        <w:pStyle w:val="BodyText"/>
        <w:widowControl w:val="0"/>
        <w:spacing w:before="0" w:after="0" w:line="240" w:lineRule="auto"/>
        <w:jc w:val="both"/>
        <w:rPr>
          <w:rFonts w:cs="Arial"/>
          <w:b/>
          <w:bCs/>
          <w:szCs w:val="20"/>
        </w:rPr>
      </w:pPr>
      <w:r>
        <w:br w:type="page"/>
      </w:r>
    </w:p>
    <w:p w:rsidR="00960EC3" w:rsidRPr="00ED163D" w:rsidRDefault="00960EC3" w:rsidP="00960EC3">
      <w:pPr>
        <w:pStyle w:val="Heading1NoNumb"/>
        <w:ind w:left="851"/>
      </w:pPr>
      <w:bookmarkStart w:id="132" w:name="_Toc401654882"/>
      <w:bookmarkStart w:id="133" w:name="_Toc407962151"/>
      <w:bookmarkEnd w:id="17"/>
      <w:bookmarkEnd w:id="18"/>
      <w:bookmarkEnd w:id="19"/>
      <w:r w:rsidRPr="000D323B">
        <w:lastRenderedPageBreak/>
        <w:t>Conclusions</w:t>
      </w:r>
      <w:bookmarkEnd w:id="132"/>
      <w:bookmarkEnd w:id="133"/>
    </w:p>
    <w:p w:rsidR="00B4530D" w:rsidRPr="00B4530D" w:rsidRDefault="00B4530D" w:rsidP="008558C6">
      <w:pPr>
        <w:pStyle w:val="Heading3NoNumb"/>
        <w:ind w:firstLine="851"/>
      </w:pPr>
      <w:bookmarkStart w:id="134" w:name="_Toc407962152"/>
      <w:r w:rsidRPr="00B4530D">
        <w:t>Institutional and legal framework</w:t>
      </w:r>
      <w:bookmarkEnd w:id="134"/>
    </w:p>
    <w:p w:rsidR="00B4530D" w:rsidRPr="00811568" w:rsidRDefault="00B4530D" w:rsidP="00811568">
      <w:pPr>
        <w:spacing w:before="0" w:after="0"/>
        <w:ind w:left="851"/>
        <w:jc w:val="both"/>
      </w:pPr>
      <w:r w:rsidRPr="007B0F82">
        <w:t xml:space="preserve">Malta’s civil legal system is mainly regulated by the </w:t>
      </w:r>
      <w:hyperlink r:id="rId48" w:history="1">
        <w:r w:rsidRPr="007B0F82">
          <w:rPr>
            <w:rStyle w:val="Hyperlink"/>
            <w:rFonts w:cs="Arial"/>
          </w:rPr>
          <w:t>Civil Code</w:t>
        </w:r>
      </w:hyperlink>
      <w:r w:rsidRPr="007B0F82">
        <w:t xml:space="preserve"> for substantive civil law and the </w:t>
      </w:r>
      <w:hyperlink r:id="rId49" w:history="1">
        <w:r w:rsidRPr="007B0F82">
          <w:rPr>
            <w:rStyle w:val="Hyperlink"/>
            <w:rFonts w:cs="Arial"/>
          </w:rPr>
          <w:t>Code of Organization and Civil Procedure</w:t>
        </w:r>
      </w:hyperlink>
      <w:r w:rsidRPr="007B0F82">
        <w:t xml:space="preserve"> (COCP) for procedural matters. The institutions dealing with children in civil judicial proceedings are primarily the ordinary courts of civil jurisdiction including th</w:t>
      </w:r>
      <w:r>
        <w:t>e Civil Court (Family Section).</w:t>
      </w:r>
      <w:r w:rsidRPr="007B0F82">
        <w:t xml:space="preserve"> </w:t>
      </w:r>
      <w:r w:rsidRPr="007B0F82">
        <w:rPr>
          <w:color w:val="1B1B1B"/>
        </w:rPr>
        <w:t>Other bodies involved in the protection of children’s rights are the Office of the Commissioner for Children and</w:t>
      </w:r>
      <w:r w:rsidRPr="007B0F82">
        <w:rPr>
          <w:b/>
        </w:rPr>
        <w:t xml:space="preserve"> </w:t>
      </w:r>
      <w:r w:rsidRPr="007B0F82">
        <w:rPr>
          <w:i/>
        </w:rPr>
        <w:t xml:space="preserve">Aġenzija Appoġġ </w:t>
      </w:r>
      <w:r w:rsidRPr="007B0F82">
        <w:t xml:space="preserve">(welfare agency for children). </w:t>
      </w:r>
    </w:p>
    <w:p w:rsidR="00B4530D" w:rsidRPr="007B0F82" w:rsidRDefault="00B4530D" w:rsidP="008558C6">
      <w:pPr>
        <w:pStyle w:val="Heading3NoNumb"/>
        <w:ind w:firstLine="851"/>
        <w:rPr>
          <w:i/>
          <w:noProof/>
        </w:rPr>
      </w:pPr>
      <w:bookmarkStart w:id="135" w:name="_Toc407962153"/>
      <w:r w:rsidRPr="00B4530D">
        <w:t>General approach towards children under civil law</w:t>
      </w:r>
      <w:bookmarkEnd w:id="135"/>
    </w:p>
    <w:p w:rsidR="00B4530D" w:rsidRPr="007B0F82" w:rsidRDefault="00B4530D" w:rsidP="00B4530D">
      <w:pPr>
        <w:pStyle w:val="BodyText"/>
        <w:widowControl w:val="0"/>
        <w:spacing w:before="0" w:after="0" w:line="240" w:lineRule="auto"/>
        <w:jc w:val="both"/>
        <w:rPr>
          <w:szCs w:val="20"/>
          <w:lang w:eastAsia="en-GB"/>
        </w:rPr>
      </w:pPr>
      <w:r w:rsidRPr="007B0F82">
        <w:rPr>
          <w:rFonts w:cs="Arial"/>
          <w:szCs w:val="20"/>
        </w:rPr>
        <w:t xml:space="preserve">The main objective for children’s involvement in judicial proceedings is to ensure that their best interests are taken into account. </w:t>
      </w:r>
      <w:r w:rsidRPr="007B0F82">
        <w:rPr>
          <w:szCs w:val="20"/>
        </w:rPr>
        <w:t xml:space="preserve">Maltese law has a variable approach to the definition of ‘child’. The Civil Code defines a ‘minor’ as a person who has not yet attained the age of 18. </w:t>
      </w:r>
      <w:r w:rsidRPr="007B0F82">
        <w:rPr>
          <w:szCs w:val="20"/>
          <w:lang w:eastAsia="en-GB"/>
        </w:rPr>
        <w:t>Children are subject to the parental authority of their parents who jointly represent them in all civil matters. Parental authority ceases in a number of cases including</w:t>
      </w:r>
      <w:r>
        <w:rPr>
          <w:szCs w:val="20"/>
          <w:lang w:eastAsia="en-GB"/>
        </w:rPr>
        <w:t>:</w:t>
      </w:r>
      <w:r w:rsidRPr="007B0F82">
        <w:rPr>
          <w:szCs w:val="20"/>
          <w:lang w:eastAsia="en-GB"/>
        </w:rPr>
        <w:t xml:space="preserve"> on the death of both parents; when the child attains 18 years of age</w:t>
      </w:r>
      <w:r>
        <w:rPr>
          <w:szCs w:val="20"/>
          <w:lang w:eastAsia="en-GB"/>
        </w:rPr>
        <w:t>;</w:t>
      </w:r>
      <w:r w:rsidRPr="007B0F82">
        <w:rPr>
          <w:szCs w:val="20"/>
          <w:lang w:eastAsia="en-GB"/>
        </w:rPr>
        <w:t xml:space="preserve"> and when the child gets married.</w:t>
      </w:r>
      <w:r w:rsidRPr="007B0F82">
        <w:rPr>
          <w:szCs w:val="20"/>
        </w:rPr>
        <w:t xml:space="preserve">. </w:t>
      </w:r>
    </w:p>
    <w:p w:rsidR="00B4530D" w:rsidRPr="007B0F82" w:rsidRDefault="00B4530D" w:rsidP="00B4530D">
      <w:pPr>
        <w:pStyle w:val="BodyText"/>
        <w:widowControl w:val="0"/>
        <w:spacing w:before="0" w:after="0" w:line="240" w:lineRule="auto"/>
        <w:jc w:val="both"/>
        <w:rPr>
          <w:rFonts w:cs="Arial"/>
          <w:szCs w:val="20"/>
        </w:rPr>
      </w:pPr>
    </w:p>
    <w:p w:rsidR="00B4530D" w:rsidRPr="007B0F82" w:rsidRDefault="00B4530D" w:rsidP="00811568">
      <w:pPr>
        <w:pStyle w:val="BodyText"/>
        <w:widowControl w:val="0"/>
        <w:spacing w:before="0" w:after="0"/>
        <w:jc w:val="both"/>
        <w:rPr>
          <w:szCs w:val="20"/>
        </w:rPr>
      </w:pPr>
      <w:r w:rsidRPr="007B0F82">
        <w:rPr>
          <w:szCs w:val="20"/>
        </w:rPr>
        <w:t xml:space="preserve">Children are granted a general protection from discrimination through the general prohibition of discrimination in the </w:t>
      </w:r>
      <w:hyperlink r:id="rId50" w:history="1">
        <w:r w:rsidRPr="007B0F82">
          <w:rPr>
            <w:rStyle w:val="Hyperlink"/>
            <w:szCs w:val="20"/>
          </w:rPr>
          <w:t>Constitution of Malta</w:t>
        </w:r>
      </w:hyperlink>
      <w:r w:rsidRPr="007B0F82">
        <w:rPr>
          <w:szCs w:val="20"/>
        </w:rPr>
        <w:t xml:space="preserve">, the </w:t>
      </w:r>
      <w:hyperlink r:id="rId51" w:history="1">
        <w:r w:rsidRPr="007B0F82">
          <w:rPr>
            <w:rStyle w:val="Hyperlink"/>
            <w:szCs w:val="20"/>
          </w:rPr>
          <w:t>European Convention Act</w:t>
        </w:r>
      </w:hyperlink>
      <w:r w:rsidRPr="007B0F82">
        <w:rPr>
          <w:szCs w:val="20"/>
        </w:rPr>
        <w:t xml:space="preserve"> and other legal instruments. There are no specific provisions on discrimination against children. </w:t>
      </w:r>
    </w:p>
    <w:p w:rsidR="00B4530D" w:rsidRPr="00B4530D" w:rsidRDefault="00B4530D" w:rsidP="008558C6">
      <w:pPr>
        <w:pStyle w:val="Heading3NoNumb"/>
        <w:ind w:firstLine="851"/>
      </w:pPr>
      <w:bookmarkStart w:id="136" w:name="_Toc407962154"/>
      <w:r w:rsidRPr="00B4530D">
        <w:t>A child as an actor in civil judicial proceedings</w:t>
      </w:r>
      <w:bookmarkEnd w:id="136"/>
    </w:p>
    <w:p w:rsidR="00B4530D" w:rsidRPr="007B0F82" w:rsidRDefault="00B4530D" w:rsidP="00B4530D">
      <w:pPr>
        <w:pStyle w:val="BodyText"/>
        <w:widowControl w:val="0"/>
        <w:spacing w:before="0" w:after="0" w:line="240" w:lineRule="auto"/>
        <w:jc w:val="both"/>
        <w:rPr>
          <w:szCs w:val="20"/>
        </w:rPr>
      </w:pPr>
      <w:r w:rsidRPr="007B0F82">
        <w:rPr>
          <w:rFonts w:cs="Arial"/>
          <w:bCs/>
          <w:szCs w:val="20"/>
        </w:rPr>
        <w:t xml:space="preserve">According to Maltese law, </w:t>
      </w:r>
      <w:r w:rsidRPr="007B0F82">
        <w:rPr>
          <w:szCs w:val="20"/>
        </w:rPr>
        <w:t xml:space="preserve">children cannot sue or be sued, except in the person of the parent exercising parental authority, or, in the absence of such parent, of a tutor or a curator. </w:t>
      </w:r>
      <w:r w:rsidRPr="007B0F82">
        <w:rPr>
          <w:rFonts w:cs="Arial"/>
          <w:bCs/>
          <w:szCs w:val="20"/>
        </w:rPr>
        <w:t xml:space="preserve">Children cannot start a legal action by themselves. A parent can represent the child as long as the parent’s interests do not conflict with the child’s. A curator can also be appointed to represent the child. The child him/herself can file an application for a curator to be appointed. </w:t>
      </w:r>
    </w:p>
    <w:p w:rsidR="00B4530D" w:rsidRPr="007B0F82" w:rsidRDefault="00B4530D" w:rsidP="00B4530D">
      <w:pPr>
        <w:pStyle w:val="BodyText"/>
        <w:widowControl w:val="0"/>
        <w:spacing w:before="0" w:after="0" w:line="240" w:lineRule="auto"/>
        <w:jc w:val="both"/>
        <w:rPr>
          <w:rFonts w:cs="Arial"/>
          <w:bCs/>
          <w:szCs w:val="20"/>
        </w:rPr>
      </w:pPr>
    </w:p>
    <w:p w:rsidR="00B4530D" w:rsidRPr="007B0F82" w:rsidRDefault="00B4530D" w:rsidP="00B4530D">
      <w:pPr>
        <w:pStyle w:val="BodyText"/>
        <w:widowControl w:val="0"/>
        <w:spacing w:before="0" w:after="0" w:line="240" w:lineRule="auto"/>
        <w:jc w:val="both"/>
        <w:rPr>
          <w:rFonts w:cs="Arial"/>
          <w:bCs/>
          <w:szCs w:val="20"/>
        </w:rPr>
      </w:pPr>
      <w:r w:rsidRPr="007B0F82">
        <w:rPr>
          <w:szCs w:val="20"/>
        </w:rPr>
        <w:t>There are exceptions to the above rule: if the child carries on trade with the parent’s consent</w:t>
      </w:r>
      <w:r>
        <w:rPr>
          <w:szCs w:val="20"/>
        </w:rPr>
        <w:t>;</w:t>
      </w:r>
      <w:r w:rsidRPr="007B0F82">
        <w:rPr>
          <w:szCs w:val="20"/>
        </w:rPr>
        <w:t xml:space="preserve"> if the parent has expressly given consent for the child to sue or be sued without his/her assistance; and for children in an action against the parent provided the child is represented by a curator </w:t>
      </w:r>
      <w:r w:rsidRPr="007B0F82">
        <w:rPr>
          <w:i/>
          <w:iCs/>
          <w:szCs w:val="20"/>
        </w:rPr>
        <w:t>ad litem</w:t>
      </w:r>
      <w:r w:rsidRPr="007B0F82">
        <w:rPr>
          <w:szCs w:val="20"/>
        </w:rPr>
        <w:t xml:space="preserve">. In addition, </w:t>
      </w:r>
      <w:r w:rsidRPr="007B0F82">
        <w:rPr>
          <w:rFonts w:cs="Arial"/>
          <w:bCs/>
          <w:szCs w:val="20"/>
        </w:rPr>
        <w:t xml:space="preserve">Maltese employment law allows children over 16 years of age to work. These children can file a lawsuit in their own right if a dispute arises in connection with their employment contracts. </w:t>
      </w:r>
    </w:p>
    <w:p w:rsidR="00B4530D" w:rsidRPr="007B0F82" w:rsidRDefault="00B4530D" w:rsidP="00B4530D">
      <w:pPr>
        <w:pStyle w:val="BodyText"/>
        <w:widowControl w:val="0"/>
        <w:spacing w:before="0" w:after="0" w:line="240" w:lineRule="auto"/>
        <w:jc w:val="both"/>
        <w:rPr>
          <w:rFonts w:cs="Arial"/>
          <w:b/>
          <w:szCs w:val="20"/>
        </w:rPr>
      </w:pPr>
    </w:p>
    <w:p w:rsidR="00B4530D" w:rsidRPr="007B0F82" w:rsidRDefault="00B4530D" w:rsidP="00B4530D">
      <w:pPr>
        <w:pStyle w:val="BodyText"/>
        <w:widowControl w:val="0"/>
        <w:spacing w:before="0" w:after="0"/>
        <w:jc w:val="both"/>
        <w:rPr>
          <w:rFonts w:cs="Arial"/>
          <w:b/>
          <w:szCs w:val="20"/>
        </w:rPr>
      </w:pPr>
      <w:r w:rsidRPr="007B0F82">
        <w:rPr>
          <w:rFonts w:cs="Arial"/>
          <w:szCs w:val="20"/>
        </w:rPr>
        <w:t xml:space="preserve">Children can participate in civil judicial proceedings as witnesses. There is no minimum age stated in the law and age does not constitute a ground of inadmissibility. The only requirement is that the witness understands that it is wrong to give false testimony. </w:t>
      </w:r>
    </w:p>
    <w:p w:rsidR="00B4530D" w:rsidRPr="007B0F82" w:rsidRDefault="00B4530D" w:rsidP="00B4530D">
      <w:pPr>
        <w:pStyle w:val="BodyText"/>
        <w:widowControl w:val="0"/>
        <w:spacing w:before="0" w:after="0" w:line="240" w:lineRule="auto"/>
        <w:jc w:val="both"/>
        <w:rPr>
          <w:rFonts w:cs="Arial"/>
          <w:szCs w:val="20"/>
          <w:highlight w:val="yellow"/>
        </w:rPr>
      </w:pPr>
    </w:p>
    <w:p w:rsidR="00B4530D" w:rsidRPr="008558C6" w:rsidRDefault="00B4530D" w:rsidP="008558C6">
      <w:pPr>
        <w:pStyle w:val="BodyText"/>
        <w:widowControl w:val="0"/>
        <w:spacing w:before="0" w:after="0" w:line="240" w:lineRule="auto"/>
        <w:jc w:val="both"/>
        <w:rPr>
          <w:szCs w:val="20"/>
        </w:rPr>
      </w:pPr>
      <w:r w:rsidRPr="007B0F82">
        <w:rPr>
          <w:rFonts w:cs="Arial"/>
          <w:szCs w:val="20"/>
        </w:rPr>
        <w:t>The Civil Code grants children the right to be heard in civil judicial proceedings where the outcome has a direct impact on their present or future well-being. I</w:t>
      </w:r>
      <w:r w:rsidRPr="007B0F82">
        <w:rPr>
          <w:szCs w:val="20"/>
        </w:rPr>
        <w:t xml:space="preserve">n case of a disagreement between spouses, either spouse may seek the court’s assistance. The judge will seek to settle the disagreement amicably and s/he will hear the spouses and if deemed opportune any of the children above 14 years of age residing with the spouses. The Civil Code also states in the provisions on parental authority that where the parents disagree on matters of particular importance, they can ask the court for directions. The court will hear the parents and the children who have reached 14 years of age and make those suggestions that it deems best in the interests of the children and the unity of the family. In adoption proceedings, the court must hear the person who has the care and custody of the child to be adopted and must hear the child’s advocate and/or social worker appointed by the court to protect the best interests of the child and to secure his/her representation. </w:t>
      </w:r>
    </w:p>
    <w:p w:rsidR="00B4530D" w:rsidRPr="00B4530D" w:rsidRDefault="00B4530D" w:rsidP="008558C6">
      <w:pPr>
        <w:pStyle w:val="Heading3NoNumb"/>
        <w:ind w:firstLine="851"/>
      </w:pPr>
      <w:bookmarkStart w:id="137" w:name="_Toc407962155"/>
      <w:r w:rsidRPr="00B4530D">
        <w:t>Provision of information to children</w:t>
      </w:r>
      <w:bookmarkEnd w:id="137"/>
    </w:p>
    <w:p w:rsidR="00B4530D" w:rsidRPr="00811568" w:rsidRDefault="00B4530D" w:rsidP="00811568">
      <w:pPr>
        <w:pStyle w:val="BodyText"/>
        <w:keepNext/>
        <w:widowControl w:val="0"/>
        <w:spacing w:before="0" w:after="0"/>
        <w:jc w:val="both"/>
        <w:rPr>
          <w:b/>
          <w:szCs w:val="20"/>
        </w:rPr>
      </w:pPr>
      <w:r>
        <w:rPr>
          <w:rFonts w:cs="Arial"/>
          <w:szCs w:val="20"/>
        </w:rPr>
        <w:t>No child specific rules on provision of information exist.</w:t>
      </w:r>
      <w:r w:rsidRPr="007B0F82">
        <w:rPr>
          <w:rFonts w:cs="Arial"/>
          <w:szCs w:val="20"/>
        </w:rPr>
        <w:t xml:space="preserve">The general rules relating to the service of written pleadings and other acts of procedure apply also in cases involving children as </w:t>
      </w:r>
      <w:r w:rsidRPr="007B0F82">
        <w:rPr>
          <w:rFonts w:cs="Arial"/>
          <w:szCs w:val="20"/>
        </w:rPr>
        <w:lastRenderedPageBreak/>
        <w:t xml:space="preserve">plaintiffs or defendants. </w:t>
      </w:r>
      <w:r w:rsidRPr="007B0F82">
        <w:rPr>
          <w:szCs w:val="20"/>
        </w:rPr>
        <w:t xml:space="preserve">Service of the written pleadings is effected by the delivery of a copy of the pleading to the person on whom it is to be served or by leaving such copy at the place of residence or business or place of work or postal address of such person, with some member of his/her family or household or with some person in his/her service or his/her lawyer or person authorised to receive his mail. It is not lawful to leave such copy with any person under the age of 14 years. Child witnesses would be summoned in the same way as adult witnesses, that is, by means of a subpoena issued on the application of the party interested. </w:t>
      </w:r>
      <w:r>
        <w:rPr>
          <w:szCs w:val="20"/>
        </w:rPr>
        <w:t>The information provided to children is not adapted to the child’s specific needs.</w:t>
      </w:r>
    </w:p>
    <w:p w:rsidR="00B4530D" w:rsidRPr="00B4530D" w:rsidRDefault="00B4530D" w:rsidP="008558C6">
      <w:pPr>
        <w:pStyle w:val="Heading3NoNumb"/>
        <w:ind w:firstLine="851"/>
      </w:pPr>
      <w:bookmarkStart w:id="138" w:name="_Toc407962156"/>
      <w:r w:rsidRPr="00B4530D">
        <w:t>Protection of the child’s personal and family life</w:t>
      </w:r>
      <w:bookmarkEnd w:id="138"/>
    </w:p>
    <w:p w:rsidR="00B4530D" w:rsidRPr="007B0F82" w:rsidRDefault="00B4530D" w:rsidP="00B4530D">
      <w:pPr>
        <w:widowControl w:val="0"/>
        <w:spacing w:before="0" w:after="0" w:line="240" w:lineRule="auto"/>
        <w:ind w:left="851"/>
        <w:jc w:val="both"/>
      </w:pPr>
      <w:r w:rsidRPr="007B0F82">
        <w:rPr>
          <w:bCs/>
        </w:rPr>
        <w:t xml:space="preserve">There is no general provision requiring court hearings involving children to be held behind closed doors. </w:t>
      </w:r>
    </w:p>
    <w:p w:rsidR="00B4530D" w:rsidRPr="007B0F82" w:rsidRDefault="00B4530D" w:rsidP="00B4530D">
      <w:pPr>
        <w:spacing w:before="0" w:after="0" w:line="240" w:lineRule="auto"/>
        <w:ind w:left="851"/>
        <w:jc w:val="both"/>
        <w:rPr>
          <w:b/>
          <w:bCs/>
          <w:i/>
        </w:rPr>
      </w:pPr>
    </w:p>
    <w:p w:rsidR="00B4530D" w:rsidRPr="00811568" w:rsidRDefault="00B4530D" w:rsidP="00811568">
      <w:pPr>
        <w:widowControl w:val="0"/>
        <w:spacing w:before="0" w:after="0" w:line="240" w:lineRule="auto"/>
        <w:ind w:left="851"/>
        <w:jc w:val="both"/>
        <w:rPr>
          <w:bCs/>
        </w:rPr>
      </w:pPr>
      <w:r w:rsidRPr="00F261D5">
        <w:rPr>
          <w:bCs/>
        </w:rPr>
        <w:t xml:space="preserve">The general provisions of the </w:t>
      </w:r>
      <w:hyperlink r:id="rId52" w:history="1">
        <w:r w:rsidRPr="00F261D5">
          <w:rPr>
            <w:rStyle w:val="Hyperlink"/>
            <w:rFonts w:cs="Arial"/>
            <w:bCs/>
          </w:rPr>
          <w:t>Data Protection Act</w:t>
        </w:r>
      </w:hyperlink>
      <w:r w:rsidRPr="00F261D5">
        <w:rPr>
          <w:bCs/>
        </w:rPr>
        <w:t xml:space="preserve"> protecting individuals against violations of their privacy by the processing of personal data, apply also to data concerning children. In addition, regulations adopted under the Act, namely, </w:t>
      </w:r>
      <w:r w:rsidRPr="00F261D5">
        <w:t xml:space="preserve">the </w:t>
      </w:r>
      <w:hyperlink r:id="rId53" w:history="1">
        <w:r w:rsidRPr="00F261D5">
          <w:rPr>
            <w:rStyle w:val="Hyperlink"/>
            <w:rFonts w:cs="Arial"/>
          </w:rPr>
          <w:t>Processing of Personal Data (Protection of Minors) Regulations</w:t>
        </w:r>
      </w:hyperlink>
      <w:r w:rsidRPr="00F261D5">
        <w:rPr>
          <w:bCs/>
        </w:rPr>
        <w:t xml:space="preserve"> contain general rules on the processing of personal data aimed at protecting children.</w:t>
      </w:r>
      <w:r w:rsidRPr="00F261D5">
        <w:rPr>
          <w:rFonts w:eastAsia="Times New Roman"/>
          <w:bCs/>
        </w:rPr>
        <w:t xml:space="preserve"> </w:t>
      </w:r>
      <w:r w:rsidRPr="00F261D5">
        <w:rPr>
          <w:bCs/>
        </w:rPr>
        <w:t xml:space="preserve">As regards information or personal data in the media, the </w:t>
      </w:r>
      <w:hyperlink r:id="rId54" w:history="1">
        <w:r w:rsidRPr="00F261D5">
          <w:rPr>
            <w:rStyle w:val="Hyperlink"/>
            <w:rFonts w:cs="Arial"/>
            <w:bCs/>
          </w:rPr>
          <w:t>Code of Journalistic Ethics</w:t>
        </w:r>
      </w:hyperlink>
      <w:r w:rsidRPr="00F261D5">
        <w:rPr>
          <w:bCs/>
        </w:rPr>
        <w:t xml:space="preserve"> contains a specific provision on the reporting of court procedures. Any publication involving the naming of children is prohibited and journalists are required to respect children. </w:t>
      </w:r>
    </w:p>
    <w:p w:rsidR="00B4530D" w:rsidRPr="00B4530D" w:rsidRDefault="00B4530D" w:rsidP="008558C6">
      <w:pPr>
        <w:pStyle w:val="Heading3NoNumb"/>
        <w:ind w:firstLine="851"/>
      </w:pPr>
      <w:bookmarkStart w:id="139" w:name="_Toc407962157"/>
      <w:r w:rsidRPr="00B4530D">
        <w:t>Protection from harm and ensuring a child-friendly process</w:t>
      </w:r>
      <w:bookmarkEnd w:id="139"/>
    </w:p>
    <w:p w:rsidR="00B4530D" w:rsidRPr="007B0F82" w:rsidRDefault="00B4530D" w:rsidP="00811568">
      <w:pPr>
        <w:widowControl w:val="0"/>
        <w:spacing w:before="0" w:after="0" w:line="240" w:lineRule="auto"/>
        <w:ind w:left="851"/>
        <w:jc w:val="both"/>
      </w:pPr>
      <w:r w:rsidRPr="007B0F82">
        <w:rPr>
          <w:bCs/>
        </w:rPr>
        <w:t xml:space="preserve">Cases involving children would not seem to be fast tracked or prioritised. In practice family law cases are seen as urgent </w:t>
      </w:r>
      <w:r>
        <w:rPr>
          <w:bCs/>
        </w:rPr>
        <w:t>by</w:t>
      </w:r>
      <w:r w:rsidRPr="007B0F82">
        <w:rPr>
          <w:bCs/>
        </w:rPr>
        <w:t xml:space="preserve"> their very nature. </w:t>
      </w:r>
      <w:r>
        <w:rPr>
          <w:bCs/>
        </w:rPr>
        <w:t xml:space="preserve"> </w:t>
      </w:r>
      <w:r w:rsidRPr="007B0F82">
        <w:t xml:space="preserve">Legal requirements/policies in place to ensure that the premises and places where children are involved in proceedings are non-intimidating and child-friendly are very limited. </w:t>
      </w:r>
    </w:p>
    <w:p w:rsidR="00B4530D" w:rsidRPr="007B0F82" w:rsidRDefault="00B4530D" w:rsidP="008558C6">
      <w:pPr>
        <w:pStyle w:val="Heading3NoNumb"/>
        <w:ind w:firstLine="851"/>
        <w:rPr>
          <w:i/>
          <w:noProof/>
        </w:rPr>
      </w:pPr>
      <w:bookmarkStart w:id="140" w:name="_Toc407962158"/>
      <w:r w:rsidRPr="00B4530D">
        <w:t>Protecting the child during interviews</w:t>
      </w:r>
      <w:bookmarkEnd w:id="140"/>
    </w:p>
    <w:p w:rsidR="00B4530D" w:rsidRPr="00811568" w:rsidRDefault="00B4530D" w:rsidP="00811568">
      <w:pPr>
        <w:keepNext/>
        <w:widowControl w:val="0"/>
        <w:spacing w:before="0" w:after="0" w:line="240" w:lineRule="auto"/>
        <w:ind w:left="851"/>
        <w:jc w:val="both"/>
        <w:rPr>
          <w:rFonts w:eastAsia="Times New Roman"/>
          <w:bCs/>
        </w:rPr>
      </w:pPr>
      <w:r w:rsidRPr="007B0F82">
        <w:t xml:space="preserve">As with adult witnesses, children cannot be compelled to answer questions the answer to which may subject them to criminal prosecution. The same provisions on the admissibility of information/evidence in court that apply to adults, apply to children. There are no special legal measures to ensure that the special needs of children and their age and maturity are taken into account while gathering information/evidence. There are no legal provisions requiring that children receive assistance and are prepared for or supported when attending proceedings such as interviews, court sessions, etc. </w:t>
      </w:r>
    </w:p>
    <w:p w:rsidR="00B4530D" w:rsidRPr="00B4530D" w:rsidRDefault="00B4530D" w:rsidP="008558C6">
      <w:pPr>
        <w:pStyle w:val="Heading3NoNumb"/>
        <w:ind w:firstLine="851"/>
      </w:pPr>
      <w:bookmarkStart w:id="141" w:name="_Toc407962159"/>
      <w:r w:rsidRPr="00B4530D">
        <w:t>Right to be heard and participate in civil judicial proceedings</w:t>
      </w:r>
      <w:bookmarkEnd w:id="141"/>
    </w:p>
    <w:p w:rsidR="00B4530D" w:rsidRPr="00811568" w:rsidRDefault="00B4530D" w:rsidP="00811568">
      <w:pPr>
        <w:widowControl w:val="0"/>
        <w:spacing w:before="0" w:after="0" w:line="240" w:lineRule="auto"/>
        <w:ind w:left="851"/>
        <w:jc w:val="both"/>
      </w:pPr>
      <w:r w:rsidRPr="007B0F82">
        <w:t>It is not clear how, when and by whom children are given the necessary information and explanations about the consequences of participating in civil judicial proceedings and expressing their views or opinions. Similarly, no communication techniques aimed at taking into account the maturity of the child and ensuring that the child understands proceedings, decisions and rulings were identified. In fact, t</w:t>
      </w:r>
      <w:r w:rsidRPr="007B0F82">
        <w:rPr>
          <w:lang w:eastAsia="en-GB"/>
        </w:rPr>
        <w:t xml:space="preserve">he child’s right to be heard in civil judicial proceedings seems to be rather limited. </w:t>
      </w:r>
    </w:p>
    <w:p w:rsidR="00B4530D" w:rsidRPr="00B4530D" w:rsidRDefault="00B4530D" w:rsidP="008558C6">
      <w:pPr>
        <w:pStyle w:val="Heading3NoNumb"/>
        <w:ind w:firstLine="851"/>
      </w:pPr>
      <w:bookmarkStart w:id="142" w:name="_Toc407962160"/>
      <w:r w:rsidRPr="00B4530D">
        <w:t>Right to legal counsel, legal assistance and representation</w:t>
      </w:r>
      <w:bookmarkEnd w:id="142"/>
    </w:p>
    <w:p w:rsidR="00B4530D" w:rsidRPr="00811568" w:rsidRDefault="00B4530D" w:rsidP="00811568">
      <w:pPr>
        <w:spacing w:before="0" w:after="0" w:line="240" w:lineRule="auto"/>
        <w:ind w:left="851"/>
        <w:jc w:val="both"/>
        <w:rPr>
          <w:b/>
          <w:bCs/>
        </w:rPr>
      </w:pPr>
      <w:r w:rsidRPr="007B0F82">
        <w:t>Since children are not parties to civil judicial proceedings in their own right, they cannot choose their lawyer or waive the right to legal representation. However, they can participate in civil judicial proceedings through their parents, tutor or curator to whom the general procedural rights apply. The court can also appoint curators to appear in and defend proceedings in the interest of any child not legally represented.</w:t>
      </w:r>
      <w:r w:rsidRPr="007B0F82">
        <w:rPr>
          <w:rFonts w:cs="TimesNewRomanPSMT"/>
          <w:lang w:eastAsia="en-GB"/>
        </w:rPr>
        <w:t xml:space="preserve"> </w:t>
      </w:r>
      <w:r w:rsidRPr="007B0F82">
        <w:t xml:space="preserve">In case of conflicting interests between the children or between the children and either parent, the competent court must appoint one or more special curators. It is lawful for either parent to decline to represent any of his/her children against another or against the other parent. </w:t>
      </w:r>
    </w:p>
    <w:p w:rsidR="00B4530D" w:rsidRPr="00B4530D" w:rsidRDefault="00B4530D" w:rsidP="008558C6">
      <w:pPr>
        <w:pStyle w:val="Heading3NoNumb"/>
        <w:ind w:firstLine="851"/>
      </w:pPr>
      <w:bookmarkStart w:id="143" w:name="_Toc407962161"/>
      <w:r w:rsidRPr="00B4530D">
        <w:lastRenderedPageBreak/>
        <w:t>Alternatives to judicial proceedings</w:t>
      </w:r>
      <w:bookmarkEnd w:id="143"/>
    </w:p>
    <w:p w:rsidR="00B4530D" w:rsidRPr="00811568" w:rsidRDefault="00B4530D" w:rsidP="00811568">
      <w:pPr>
        <w:widowControl w:val="0"/>
        <w:spacing w:before="0" w:after="0" w:line="240" w:lineRule="auto"/>
        <w:ind w:left="851"/>
        <w:jc w:val="both"/>
        <w:rPr>
          <w:bCs/>
        </w:rPr>
      </w:pPr>
      <w:r w:rsidRPr="00F261D5">
        <w:rPr>
          <w:bCs/>
        </w:rPr>
        <w:t xml:space="preserve">Alternatives to judicial proceedings such as conciliation, mediation and arbitration exist under Maltese law. These are not directly relevant to children in that they would not typically be parties to such alternative proceedings in their own right but would rather act through their parents/guardians. </w:t>
      </w:r>
    </w:p>
    <w:p w:rsidR="00B4530D" w:rsidRPr="00B4530D" w:rsidRDefault="00B4530D" w:rsidP="008558C6">
      <w:pPr>
        <w:pStyle w:val="Heading3NoNumb"/>
        <w:ind w:firstLine="851"/>
      </w:pPr>
      <w:bookmarkStart w:id="144" w:name="_Toc407962162"/>
      <w:r w:rsidRPr="00B4530D">
        <w:t>Remedies and compensation for violation of rights and failure to act</w:t>
      </w:r>
      <w:bookmarkEnd w:id="144"/>
    </w:p>
    <w:p w:rsidR="00B4530D" w:rsidRDefault="00B4530D" w:rsidP="00811568">
      <w:pPr>
        <w:keepNext/>
        <w:autoSpaceDE w:val="0"/>
        <w:autoSpaceDN w:val="0"/>
        <w:adjustRightInd w:val="0"/>
        <w:spacing w:before="0" w:after="0" w:line="240" w:lineRule="auto"/>
        <w:ind w:left="851"/>
        <w:jc w:val="both"/>
      </w:pPr>
      <w:r w:rsidRPr="007B0F82">
        <w:t xml:space="preserve">There are no special provisions stating how a child can access any complaint, legal appeal or judicial review mechanisms. The general procedural rules that apply to adults apply also to children. </w:t>
      </w:r>
    </w:p>
    <w:p w:rsidR="00B4530D" w:rsidRPr="00B4530D" w:rsidRDefault="00B4530D" w:rsidP="008558C6">
      <w:pPr>
        <w:pStyle w:val="Heading3NoNumb"/>
        <w:ind w:firstLine="851"/>
      </w:pPr>
      <w:bookmarkStart w:id="145" w:name="_Toc407962163"/>
      <w:r w:rsidRPr="00B4530D">
        <w:t>Legal costs</w:t>
      </w:r>
      <w:bookmarkEnd w:id="145"/>
    </w:p>
    <w:p w:rsidR="00B4530D" w:rsidRPr="00811568" w:rsidRDefault="00B4530D" w:rsidP="00811568">
      <w:pPr>
        <w:pStyle w:val="BodyText"/>
        <w:widowControl w:val="0"/>
        <w:spacing w:before="0" w:after="0" w:line="240" w:lineRule="auto"/>
        <w:jc w:val="both"/>
        <w:rPr>
          <w:szCs w:val="20"/>
        </w:rPr>
      </w:pPr>
      <w:r w:rsidRPr="007B0F82">
        <w:rPr>
          <w:szCs w:val="20"/>
        </w:rPr>
        <w:t>There are no measures specifically dealing with legal costs in cases involving children. The child plaintiff or defendant would be represented for all purposes by the parents or curator and costs would be awarded according to the general rules.</w:t>
      </w:r>
      <w:r>
        <w:rPr>
          <w:szCs w:val="20"/>
        </w:rPr>
        <w:t xml:space="preserve"> Child witnesses and children in other roles are not required to pay legal costs.</w:t>
      </w:r>
    </w:p>
    <w:p w:rsidR="00B4530D" w:rsidRPr="00B4530D" w:rsidRDefault="00B4530D" w:rsidP="008558C6">
      <w:pPr>
        <w:pStyle w:val="Heading3NoNumb"/>
        <w:ind w:firstLine="851"/>
      </w:pPr>
      <w:bookmarkStart w:id="146" w:name="_Toc407962164"/>
      <w:r w:rsidRPr="00B4530D">
        <w:t>Enforcement of civil court judgements</w:t>
      </w:r>
      <w:bookmarkEnd w:id="146"/>
    </w:p>
    <w:p w:rsidR="00B4530D" w:rsidRPr="00811568" w:rsidRDefault="00B4530D" w:rsidP="00811568">
      <w:pPr>
        <w:pStyle w:val="BodyText"/>
        <w:widowControl w:val="0"/>
        <w:spacing w:before="0" w:after="0"/>
        <w:jc w:val="both"/>
        <w:rPr>
          <w:b/>
        </w:rPr>
      </w:pPr>
      <w:r w:rsidRPr="007B0F82">
        <w:rPr>
          <w:rFonts w:cs="Arial"/>
          <w:szCs w:val="20"/>
        </w:rPr>
        <w:t xml:space="preserve">Decisions involving children are enforced in the same way as decisions involving adults. </w:t>
      </w:r>
      <w:r>
        <w:t>Judgement</w:t>
      </w:r>
      <w:r w:rsidRPr="007B0F82">
        <w:t xml:space="preserve">s of the courts of Malta are executive titles and the COCP rules apply with respect to their enforceability. There are no measures in place to ensure that decisions which concern children specifically are directly or immediately enforceable. </w:t>
      </w:r>
    </w:p>
    <w:p w:rsidR="00B4530D" w:rsidRPr="00B4530D" w:rsidRDefault="00B4530D" w:rsidP="008558C6">
      <w:pPr>
        <w:pStyle w:val="Heading3NoNumb"/>
        <w:ind w:firstLine="851"/>
      </w:pPr>
      <w:bookmarkStart w:id="147" w:name="_Toc407962165"/>
      <w:r w:rsidRPr="00B4530D">
        <w:t>Strengths and gaps</w:t>
      </w:r>
      <w:bookmarkEnd w:id="147"/>
    </w:p>
    <w:p w:rsidR="00B4530D" w:rsidRPr="007B0F82" w:rsidRDefault="00B4530D" w:rsidP="00B4530D">
      <w:pPr>
        <w:spacing w:before="0" w:after="0"/>
        <w:ind w:left="851"/>
        <w:jc w:val="both"/>
      </w:pPr>
      <w:r w:rsidRPr="007B0F82">
        <w:t>Malta’s approach to children in civil judicial proceedings is somewhat limited. Whilst special provisions related to children exist with respect to family law issues, they are otherwise sparce and typically the same procedural rules applicable to adults will apply in civil proceedings involving children.</w:t>
      </w:r>
    </w:p>
    <w:p w:rsidR="00B4530D" w:rsidRPr="007B0F82" w:rsidRDefault="00B4530D" w:rsidP="00B4530D">
      <w:pPr>
        <w:spacing w:before="0" w:after="0"/>
        <w:ind w:left="851"/>
        <w:jc w:val="both"/>
      </w:pPr>
      <w:r w:rsidRPr="007B0F82">
        <w:br/>
        <w:t>Whereas the Civil Code and the Commissioner for Children Act define ‘minor’ and ‘child’ respectively as any person who has not attained majority, some legal instruments refer more specifically to the ‘child or young person’ defined as a person who is under the age of 16 years</w:t>
      </w:r>
      <w:r w:rsidRPr="007B0F82">
        <w:rPr>
          <w:vertAlign w:val="superscript"/>
        </w:rPr>
        <w:footnoteReference w:id="190"/>
      </w:r>
      <w:r w:rsidRPr="007B0F82">
        <w:t xml:space="preserve"> or define ‘child’ as a person under the age of 16 years</w:t>
      </w:r>
      <w:r w:rsidRPr="007B0F82">
        <w:rPr>
          <w:rStyle w:val="FootnoteReference"/>
        </w:rPr>
        <w:footnoteReference w:id="191"/>
      </w:r>
      <w:r w:rsidRPr="007B0F82">
        <w:t xml:space="preserve">. This creates a gap in certain situations whereby persons between 16 and 18 years of age are not considered as children. </w:t>
      </w:r>
    </w:p>
    <w:p w:rsidR="00B4530D" w:rsidRDefault="00B4530D" w:rsidP="00B4530D">
      <w:pPr>
        <w:pStyle w:val="BodyText"/>
        <w:widowControl w:val="0"/>
        <w:spacing w:before="0" w:after="0" w:line="240" w:lineRule="auto"/>
        <w:jc w:val="both"/>
        <w:rPr>
          <w:rFonts w:cs="Arial"/>
          <w:szCs w:val="20"/>
        </w:rPr>
      </w:pPr>
    </w:p>
    <w:p w:rsidR="00B4530D" w:rsidRPr="007B0F82" w:rsidRDefault="00B4530D" w:rsidP="00B4530D">
      <w:pPr>
        <w:pStyle w:val="BodyText"/>
        <w:widowControl w:val="0"/>
        <w:spacing w:before="0" w:after="0" w:line="240" w:lineRule="auto"/>
        <w:jc w:val="both"/>
        <w:rPr>
          <w:rFonts w:eastAsia="Times New Roman"/>
          <w:bCs/>
          <w:szCs w:val="20"/>
        </w:rPr>
      </w:pPr>
      <w:r w:rsidRPr="007B0F82">
        <w:rPr>
          <w:rFonts w:cs="Arial"/>
          <w:bCs/>
          <w:szCs w:val="20"/>
        </w:rPr>
        <w:t>Legal requirements/policies aimed at ensuring that the burden and hardship of being involved in civil judicial proceedings is minimised and that the child is supported throughout the process are minimal. Although the Civil Court (Family Section) is in a separate building to other courts and the names of the parties are not made public, other measures related to ensuring that places where children are involved in proceedings are non-intimidating and child-friendly were not identified. Similarly, no</w:t>
      </w:r>
      <w:r>
        <w:rPr>
          <w:rFonts w:cs="Arial"/>
          <w:bCs/>
          <w:szCs w:val="20"/>
        </w:rPr>
        <w:t xml:space="preserve"> measures aimed at ensuring that</w:t>
      </w:r>
      <w:r w:rsidRPr="007B0F82">
        <w:rPr>
          <w:rFonts w:cs="Arial"/>
          <w:bCs/>
          <w:szCs w:val="20"/>
        </w:rPr>
        <w:t xml:space="preserve"> children are interviewed in a child-friendly environment or at protecting the child during interviews were identified. </w:t>
      </w:r>
      <w:r w:rsidRPr="007B0F82">
        <w:t xml:space="preserve">Similarly, no rules are in place to protect children involved in civil judicial proceedings from images and information that can be harmful to their welfare. </w:t>
      </w:r>
      <w:r w:rsidRPr="007B0F82">
        <w:rPr>
          <w:rFonts w:cs="Arial"/>
          <w:bCs/>
          <w:szCs w:val="20"/>
        </w:rPr>
        <w:t xml:space="preserve">Moreover, there is no requirement for court hearings involving children to be held behind closed doors. As a rule, civil judicial proceedings are held in public although it is possible for a case to be heard </w:t>
      </w:r>
      <w:r>
        <w:rPr>
          <w:rFonts w:cs="Arial"/>
          <w:bCs/>
          <w:szCs w:val="20"/>
        </w:rPr>
        <w:t>behind</w:t>
      </w:r>
      <w:r w:rsidRPr="007B0F82">
        <w:rPr>
          <w:rFonts w:cs="Arial"/>
          <w:bCs/>
          <w:szCs w:val="20"/>
        </w:rPr>
        <w:t xml:space="preserve"> closed doors. </w:t>
      </w:r>
    </w:p>
    <w:p w:rsidR="00B4530D" w:rsidRPr="007B0F82" w:rsidRDefault="00B4530D" w:rsidP="00B4530D">
      <w:pPr>
        <w:pStyle w:val="BodyText"/>
        <w:widowControl w:val="0"/>
        <w:spacing w:before="0" w:after="0" w:line="240" w:lineRule="auto"/>
        <w:jc w:val="both"/>
        <w:rPr>
          <w:rFonts w:cs="Arial"/>
          <w:bCs/>
          <w:szCs w:val="20"/>
        </w:rPr>
      </w:pPr>
    </w:p>
    <w:p w:rsidR="00B4530D" w:rsidRPr="007B0F82" w:rsidRDefault="00B4530D" w:rsidP="00B4530D">
      <w:pPr>
        <w:spacing w:before="0" w:after="0" w:line="240" w:lineRule="auto"/>
        <w:ind w:left="851"/>
        <w:jc w:val="both"/>
        <w:rPr>
          <w:rFonts w:eastAsia="Times New Roman"/>
          <w:color w:val="000000"/>
        </w:rPr>
      </w:pPr>
      <w:r w:rsidRPr="007B0F82">
        <w:rPr>
          <w:bCs/>
        </w:rPr>
        <w:t xml:space="preserve">Another weakness of the system relates to court delays as cases involving children are not fast tracked. </w:t>
      </w:r>
      <w:r w:rsidRPr="007B0F82">
        <w:rPr>
          <w:rFonts w:eastAsia="Times New Roman"/>
          <w:color w:val="000000"/>
          <w:szCs w:val="22"/>
        </w:rPr>
        <w:t>The Office of the Commissioner for Children receives a number of complaints regarding the negative emotional and psychological effects on children due to delays in court procedures</w:t>
      </w:r>
      <w:r>
        <w:rPr>
          <w:rStyle w:val="FootnoteReference"/>
          <w:rFonts w:eastAsia="Times New Roman"/>
          <w:color w:val="000000"/>
          <w:szCs w:val="22"/>
        </w:rPr>
        <w:footnoteReference w:id="192"/>
      </w:r>
      <w:r w:rsidRPr="007B0F82">
        <w:rPr>
          <w:rFonts w:eastAsia="Times New Roman"/>
          <w:color w:val="000000"/>
          <w:szCs w:val="22"/>
        </w:rPr>
        <w:t xml:space="preserve">. </w:t>
      </w:r>
    </w:p>
    <w:p w:rsidR="00B4530D" w:rsidRPr="007B0F82" w:rsidRDefault="00B4530D" w:rsidP="00B4530D">
      <w:pPr>
        <w:pStyle w:val="BodyText"/>
        <w:widowControl w:val="0"/>
        <w:spacing w:before="0" w:after="0" w:line="240" w:lineRule="auto"/>
        <w:jc w:val="both"/>
        <w:rPr>
          <w:rFonts w:cs="Arial"/>
          <w:bCs/>
          <w:szCs w:val="20"/>
        </w:rPr>
      </w:pPr>
    </w:p>
    <w:p w:rsidR="00B4530D" w:rsidRPr="007B0F82" w:rsidRDefault="00B4530D" w:rsidP="00B4530D">
      <w:pPr>
        <w:pStyle w:val="BodyText"/>
        <w:widowControl w:val="0"/>
        <w:spacing w:before="0" w:after="0" w:line="240" w:lineRule="auto"/>
        <w:jc w:val="both"/>
        <w:rPr>
          <w:rFonts w:cs="Arial"/>
          <w:bCs/>
          <w:szCs w:val="20"/>
        </w:rPr>
      </w:pPr>
      <w:r w:rsidRPr="007B0F82">
        <w:rPr>
          <w:rFonts w:cs="Arial"/>
          <w:bCs/>
          <w:szCs w:val="20"/>
        </w:rPr>
        <w:t xml:space="preserve">As regards the right to participate in civil judicial proceedings, one positive aspect of the Maltese system is the special provision on limitation periods whereby prescription does not run against children. </w:t>
      </w:r>
    </w:p>
    <w:p w:rsidR="00B4530D" w:rsidRPr="007B0F82" w:rsidRDefault="00B4530D" w:rsidP="00B4530D">
      <w:pPr>
        <w:ind w:left="851"/>
        <w:jc w:val="both"/>
      </w:pPr>
      <w:r w:rsidRPr="007B0F82">
        <w:rPr>
          <w:noProof/>
        </w:rPr>
        <w:t xml:space="preserve">In matters involving children, the Civil Court (Family Section) can appoint a child advocate to represent and promote the best interests of the children concerned even if for the purpose of the litigation in hand they may be represented by one of the parents. However, </w:t>
      </w:r>
      <w:r w:rsidRPr="007B0F82">
        <w:t xml:space="preserve">Maltese law does not allow children to ask to be represented by a child advocate. They are not automatically heard in divorce or separation proceedings. Instead they have to rely on adults, namely judges, parents or mediators involved in the particular case. Therefore, the law does not contain a provision that entitles children to access legal representation independently. Currently, it is only in issues concerning parental authority and decisions affecting the best interests of the child, that the Civil Court is compelled to hear children if they have reached the age of 14. This provision grants the child the right to participation. However, the right to participate in matters concerning them is not bestowed </w:t>
      </w:r>
      <w:r>
        <w:t>on</w:t>
      </w:r>
      <w:r w:rsidRPr="007B0F82">
        <w:t xml:space="preserve"> all children, irrespective of age. </w:t>
      </w:r>
    </w:p>
    <w:p w:rsidR="00B4530D" w:rsidRPr="007B0F82" w:rsidRDefault="00B4530D" w:rsidP="00B4530D">
      <w:pPr>
        <w:spacing w:before="0" w:after="0" w:line="240" w:lineRule="auto"/>
        <w:ind w:left="851"/>
        <w:jc w:val="both"/>
      </w:pPr>
      <w:r w:rsidRPr="007B0F82">
        <w:t xml:space="preserve">On the other hand, the legislation on adoption addresses the situation related to children’s legal representation, where provision is made, enabling children who are 11 years and over to be represented by a child advocate. The right to representation can also be conferred to the social worker. Before an adoption decree is made, the court must hear the person who has the care and custody of the child to be adopted and must hear the child’s advocate and/or social worker appointed by the court to protect the best interests of the child and to secure his/her representation. The court is bound to consider the wishes of the person to be adopted. </w:t>
      </w:r>
    </w:p>
    <w:p w:rsidR="00960EC3" w:rsidRPr="0095799D" w:rsidRDefault="00960EC3" w:rsidP="00960EC3">
      <w:pPr>
        <w:widowControl w:val="0"/>
        <w:spacing w:before="0" w:after="0" w:line="240" w:lineRule="auto"/>
        <w:jc w:val="both"/>
      </w:pPr>
    </w:p>
    <w:p w:rsidR="00960EC3" w:rsidRPr="00273093" w:rsidRDefault="00960EC3" w:rsidP="00960EC3"/>
    <w:p w:rsidR="00960EC3" w:rsidRPr="00680AC6" w:rsidRDefault="00960EC3" w:rsidP="00960EC3">
      <w:pPr>
        <w:pStyle w:val="AnnexHeading"/>
        <w:rPr>
          <w:lang w:val="fr-BE"/>
        </w:rPr>
      </w:pPr>
      <w:bookmarkStart w:id="148" w:name="_Toc407962166"/>
      <w:r>
        <w:lastRenderedPageBreak/>
        <w:t>L</w:t>
      </w:r>
      <w:r w:rsidRPr="005A187F">
        <w:rPr>
          <w:lang w:val="en-US"/>
        </w:rPr>
        <w:t>ist of l</w:t>
      </w:r>
      <w:r>
        <w:t>egislation</w:t>
      </w:r>
      <w:bookmarkEnd w:id="148"/>
    </w:p>
    <w:p w:rsidR="00B4530D" w:rsidRDefault="00B4530D" w:rsidP="00B4530D">
      <w:pPr>
        <w:pStyle w:val="Bullet1Last"/>
        <w:tabs>
          <w:tab w:val="clear" w:pos="340"/>
          <w:tab w:val="num" w:pos="1276"/>
        </w:tabs>
        <w:ind w:left="1276" w:hanging="425"/>
      </w:pPr>
      <w:r>
        <w:t>Mediation Act, Chapter 474 of the Revised Laws of Malta, 21 December 2004</w:t>
      </w:r>
    </w:p>
    <w:p w:rsidR="00B4530D" w:rsidRDefault="00B4530D" w:rsidP="00B4530D">
      <w:pPr>
        <w:pStyle w:val="Bullet1Last"/>
        <w:tabs>
          <w:tab w:val="clear" w:pos="340"/>
          <w:tab w:val="num" w:pos="1276"/>
        </w:tabs>
        <w:ind w:left="1276" w:hanging="425"/>
      </w:pPr>
      <w:r>
        <w:t>Processing of Personal Data (Protection of Minors) Regulations, Subsidiary Legislation 440.04, Legal Notice 125 of 2004, 12 March 2004</w:t>
      </w:r>
    </w:p>
    <w:p w:rsidR="00B4530D" w:rsidRDefault="00B4530D" w:rsidP="00B4530D">
      <w:pPr>
        <w:pStyle w:val="Bullet1Last"/>
        <w:tabs>
          <w:tab w:val="clear" w:pos="340"/>
          <w:tab w:val="num" w:pos="1276"/>
        </w:tabs>
        <w:ind w:left="1276" w:hanging="425"/>
      </w:pPr>
      <w:r>
        <w:t>The Civil Court (Family Section), The First Hall of the Civil Court and The Court of Magistrates (Gozo) (Superior Jurisdiction) (Family Section) Regulations, Legal Notice 397 of 2003 (Subsidiary Legislation 12.20), 16 December 2003</w:t>
      </w:r>
    </w:p>
    <w:p w:rsidR="00B4530D" w:rsidRDefault="00B4530D" w:rsidP="00B4530D">
      <w:pPr>
        <w:pStyle w:val="Bullet1Last"/>
        <w:tabs>
          <w:tab w:val="clear" w:pos="340"/>
          <w:tab w:val="num" w:pos="1276"/>
        </w:tabs>
        <w:ind w:left="1276" w:hanging="425"/>
      </w:pPr>
      <w:r>
        <w:t>Civil Courts (Establishment of Sections) Order, Legal Notice 396 of 2003 (Subsidiary Legislation 12.19), 16 December 2003</w:t>
      </w:r>
    </w:p>
    <w:p w:rsidR="00B4530D" w:rsidRDefault="00B4530D" w:rsidP="00B4530D">
      <w:pPr>
        <w:pStyle w:val="Bullet1Last"/>
        <w:tabs>
          <w:tab w:val="clear" w:pos="340"/>
          <w:tab w:val="num" w:pos="1276"/>
        </w:tabs>
        <w:ind w:left="1276" w:hanging="425"/>
      </w:pPr>
      <w:r>
        <w:t>Commissioner for Children Act, Chapter 462 of the Revised Laws of Malta, 5 December 2003</w:t>
      </w:r>
    </w:p>
    <w:p w:rsidR="00B4530D" w:rsidRDefault="00B4530D" w:rsidP="00B4530D">
      <w:pPr>
        <w:pStyle w:val="Bullet1Last"/>
        <w:tabs>
          <w:tab w:val="clear" w:pos="340"/>
          <w:tab w:val="num" w:pos="1276"/>
        </w:tabs>
        <w:ind w:left="1276" w:hanging="425"/>
      </w:pPr>
      <w:r>
        <w:t>Data Protection Act, Chapter 440 of the Revised Laws of Malta, 15 July 2003</w:t>
      </w:r>
    </w:p>
    <w:p w:rsidR="00B4530D" w:rsidRDefault="00B4530D" w:rsidP="00B4530D">
      <w:pPr>
        <w:pStyle w:val="Bullet1Last"/>
        <w:tabs>
          <w:tab w:val="clear" w:pos="340"/>
          <w:tab w:val="num" w:pos="1276"/>
        </w:tabs>
        <w:ind w:left="1276" w:hanging="425"/>
      </w:pPr>
      <w:r>
        <w:t>Child Abduction and Child Custody Act, Chapter 410 of the Revised Laws of Malta, 1 August 2000</w:t>
      </w:r>
    </w:p>
    <w:p w:rsidR="00B4530D" w:rsidRDefault="00B4530D" w:rsidP="00B4530D">
      <w:pPr>
        <w:pStyle w:val="Bullet1Last"/>
        <w:tabs>
          <w:tab w:val="clear" w:pos="340"/>
          <w:tab w:val="num" w:pos="1276"/>
        </w:tabs>
        <w:ind w:left="1276" w:hanging="425"/>
      </w:pPr>
      <w:r>
        <w:t>Arbitration Act, Chapter 387 of the Revised Laws of Malta, 1 August 2000</w:t>
      </w:r>
    </w:p>
    <w:p w:rsidR="00B4530D" w:rsidRDefault="00B4530D" w:rsidP="00B4530D">
      <w:pPr>
        <w:pStyle w:val="Bullet1Last"/>
        <w:tabs>
          <w:tab w:val="clear" w:pos="340"/>
          <w:tab w:val="num" w:pos="1276"/>
        </w:tabs>
        <w:ind w:left="1276" w:hanging="425"/>
      </w:pPr>
      <w:r>
        <w:t>Code of Journalistic Ethics, 2000</w:t>
      </w:r>
    </w:p>
    <w:p w:rsidR="00B4530D" w:rsidRDefault="00B4530D" w:rsidP="00B4530D">
      <w:pPr>
        <w:pStyle w:val="Bullet1Last"/>
        <w:tabs>
          <w:tab w:val="clear" w:pos="340"/>
          <w:tab w:val="num" w:pos="1276"/>
        </w:tabs>
        <w:ind w:left="1276" w:hanging="425"/>
      </w:pPr>
      <w:r>
        <w:t>Adoption Regulations, Legal Notice 15 of 1995, Subsidiary Legislation 16.04, 1 March 1995</w:t>
      </w:r>
    </w:p>
    <w:p w:rsidR="00B4530D" w:rsidRDefault="00B4530D" w:rsidP="00B4530D">
      <w:pPr>
        <w:pStyle w:val="Bullet1Last"/>
        <w:tabs>
          <w:tab w:val="clear" w:pos="340"/>
          <w:tab w:val="num" w:pos="1276"/>
        </w:tabs>
        <w:ind w:left="1276" w:hanging="425"/>
      </w:pPr>
      <w:r>
        <w:t>European Convention Act, Chapter 319 of the Revised Laws of Malta, 19 August 1987</w:t>
      </w:r>
    </w:p>
    <w:p w:rsidR="00B4530D" w:rsidRDefault="00B4530D" w:rsidP="00B4530D">
      <w:pPr>
        <w:pStyle w:val="Bullet1Last"/>
        <w:tabs>
          <w:tab w:val="clear" w:pos="340"/>
          <w:tab w:val="num" w:pos="1276"/>
        </w:tabs>
        <w:ind w:left="1276" w:hanging="425"/>
      </w:pPr>
      <w:r>
        <w:t>Children and Young Persons (Care Orders) Act, Chapter 285 of the Revised Laws of Malta, 29 November 1985</w:t>
      </w:r>
    </w:p>
    <w:p w:rsidR="00B4530D" w:rsidRDefault="00B4530D" w:rsidP="00B4530D">
      <w:pPr>
        <w:pStyle w:val="Bullet1Last"/>
        <w:tabs>
          <w:tab w:val="clear" w:pos="340"/>
          <w:tab w:val="num" w:pos="1276"/>
        </w:tabs>
        <w:ind w:left="1276" w:hanging="425"/>
      </w:pPr>
      <w:r>
        <w:t>Juvenile Court Act, Chapter 287 of the Revised Laws of Malta, 25 July 1980</w:t>
      </w:r>
    </w:p>
    <w:p w:rsidR="00B4530D" w:rsidRDefault="00B4530D" w:rsidP="00B4530D">
      <w:pPr>
        <w:pStyle w:val="Bullet1Last"/>
        <w:tabs>
          <w:tab w:val="clear" w:pos="340"/>
          <w:tab w:val="num" w:pos="1276"/>
        </w:tabs>
        <w:ind w:left="1276" w:hanging="425"/>
      </w:pPr>
      <w:r>
        <w:t>Maintenance Orders (Reciprocal Enforcement) Act, Chapter 242 of the Revised Laws of Malta, 17 April 1978</w:t>
      </w:r>
    </w:p>
    <w:p w:rsidR="00B4530D" w:rsidRDefault="00B4530D" w:rsidP="00B4530D">
      <w:pPr>
        <w:pStyle w:val="Bullet1Last"/>
        <w:tabs>
          <w:tab w:val="clear" w:pos="340"/>
          <w:tab w:val="num" w:pos="1276"/>
        </w:tabs>
        <w:ind w:left="1276" w:hanging="425"/>
      </w:pPr>
      <w:r>
        <w:t>Marriage Act, Chapter 255 of the Revised Laws of Malta, 1 October 1975</w:t>
      </w:r>
    </w:p>
    <w:p w:rsidR="00B4530D" w:rsidRDefault="00B4530D" w:rsidP="00B4530D">
      <w:pPr>
        <w:pStyle w:val="Bullet1Last"/>
        <w:tabs>
          <w:tab w:val="clear" w:pos="340"/>
          <w:tab w:val="num" w:pos="1276"/>
        </w:tabs>
        <w:ind w:left="1276" w:hanging="425"/>
      </w:pPr>
      <w:r>
        <w:t>Commercial Code, Chapter 13 of the Revised Laws of Malta, 3 August 1933</w:t>
      </w:r>
    </w:p>
    <w:p w:rsidR="00B4530D" w:rsidRDefault="00B4530D" w:rsidP="00B4530D">
      <w:pPr>
        <w:pStyle w:val="Bullet1Last"/>
        <w:tabs>
          <w:tab w:val="clear" w:pos="340"/>
          <w:tab w:val="num" w:pos="1276"/>
        </w:tabs>
        <w:ind w:left="1276" w:hanging="425"/>
      </w:pPr>
      <w:r>
        <w:t>Maintenance Orders (Facilities for Enforcement) Ordinance, Chapter 48 of the Revised Laws of Malta, 8 April 1921</w:t>
      </w:r>
    </w:p>
    <w:p w:rsidR="00B4530D" w:rsidRDefault="00B4530D" w:rsidP="00B4530D">
      <w:pPr>
        <w:pStyle w:val="Bullet1Last"/>
        <w:tabs>
          <w:tab w:val="clear" w:pos="340"/>
          <w:tab w:val="num" w:pos="1276"/>
        </w:tabs>
        <w:ind w:left="1276" w:hanging="425"/>
      </w:pPr>
      <w:r>
        <w:t>Civil Code, Chapter 16 of the Revised Laws of Malta, 22 January 1874</w:t>
      </w:r>
    </w:p>
    <w:p w:rsidR="00B4530D" w:rsidRDefault="00B4530D" w:rsidP="00B4530D">
      <w:pPr>
        <w:pStyle w:val="Bullet1Last"/>
        <w:tabs>
          <w:tab w:val="clear" w:pos="340"/>
          <w:tab w:val="num" w:pos="1276"/>
        </w:tabs>
        <w:ind w:left="1276" w:hanging="425"/>
      </w:pPr>
      <w:r>
        <w:t>Code of Organization and Civil Procedure, Chapter 12 of the Revised Laws of Malta, 1 August 1855</w:t>
      </w:r>
    </w:p>
    <w:p w:rsidR="00374E53" w:rsidRDefault="00B4530D" w:rsidP="00B4530D">
      <w:pPr>
        <w:pStyle w:val="Bullet1Last"/>
        <w:tabs>
          <w:tab w:val="clear" w:pos="340"/>
          <w:tab w:val="num" w:pos="1276"/>
        </w:tabs>
        <w:ind w:left="1276" w:hanging="425"/>
      </w:pPr>
      <w:r>
        <w:t>Criminal Code, Chapter 9 of the Revised Laws of Malta,10 June 1854</w:t>
      </w:r>
    </w:p>
    <w:p w:rsidR="00404FE4" w:rsidRPr="00404FE4" w:rsidRDefault="00404FE4" w:rsidP="00404FE4"/>
    <w:sectPr w:rsidR="00404FE4" w:rsidRPr="00404FE4" w:rsidSect="00F47655">
      <w:footerReference w:type="default" r:id="rId55"/>
      <w:pgSz w:w="11907" w:h="16840" w:code="9"/>
      <w:pgMar w:top="1848" w:right="1418" w:bottom="1021" w:left="1418"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568" w:rsidRDefault="00811568" w:rsidP="001E33FA">
      <w:pPr>
        <w:spacing w:after="0" w:line="240" w:lineRule="auto"/>
      </w:pPr>
      <w:r>
        <w:separator/>
      </w:r>
    </w:p>
  </w:endnote>
  <w:endnote w:type="continuationSeparator" w:id="0">
    <w:p w:rsidR="00811568" w:rsidRDefault="00811568"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sig w:usb0="00000001" w:usb1="08070000" w:usb2="00000010" w:usb3="00000000" w:csb0="00020000" w:csb1="00000000"/>
  </w:font>
  <w:font w:name="DejaVu Sans">
    <w:charset w:val="00"/>
    <w:family w:val="swiss"/>
    <w:pitch w:val="variable"/>
    <w:sig w:usb0="E7003EFF" w:usb1="D200FDFF" w:usb2="00042029" w:usb3="00000000" w:csb0="800001FF" w:csb1="00000000"/>
  </w:font>
  <w:font w:name="Lohit Hindi">
    <w:altName w:val="MS Mincho"/>
    <w:charset w:val="80"/>
    <w:family w:val="auto"/>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noMalti">
    <w:altName w:val="Cambria"/>
    <w:panose1 w:val="00000000000000000000"/>
    <w:charset w:val="00"/>
    <w:family w:val="auto"/>
    <w:notTrueType/>
    <w:pitch w:val="default"/>
    <w:sig w:usb0="00000003" w:usb1="00000000" w:usb2="00000000" w:usb3="00000000" w:csb0="00000001" w:csb1="00000000"/>
  </w:font>
  <w:font w:name="ArnoMalti-Italic">
    <w:altName w:val="Cambria"/>
    <w:panose1 w:val="00000000000000000000"/>
    <w:charset w:val="00"/>
    <w:family w:val="auto"/>
    <w:notTrueType/>
    <w:pitch w:val="default"/>
    <w:sig w:usb0="00000003" w:usb1="00000000" w:usb2="00000000" w:usb3="00000000" w:csb0="00000001" w:csb1="00000000"/>
  </w:font>
  <w:font w:name="TimesNewRomanPSMT">
    <w:altName w:val="Times New Roman"/>
    <w:charset w:val="EE"/>
    <w:family w:val="roman"/>
    <w:pitch w:val="default"/>
  </w:font>
  <w:font w:name="TimesNewRomanPS-ItalicMT">
    <w:altName w:val="Times New Roman 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568" w:rsidRDefault="00811568" w:rsidP="006D75C3">
    <w:pPr>
      <w:pStyle w:val="Header"/>
      <w:jc w:val="right"/>
    </w:pPr>
  </w:p>
  <w:p w:rsidR="00811568" w:rsidRPr="00943B80" w:rsidRDefault="00811568" w:rsidP="006D75C3">
    <w:pPr>
      <w:pStyle w:val="Footer"/>
      <w:rPr>
        <w:sz w:val="16"/>
        <w:szCs w:val="16"/>
      </w:rPr>
    </w:pPr>
    <w:r w:rsidRPr="00943B80">
      <w:rPr>
        <w:sz w:val="16"/>
        <w:szCs w:val="16"/>
      </w:rPr>
      <w:t xml:space="preserve">This National Report has been prepared by </w:t>
    </w:r>
    <w:r w:rsidRPr="00C05165">
      <w:rPr>
        <w:sz w:val="16"/>
        <w:szCs w:val="16"/>
      </w:rPr>
      <w:t>Emma Psaila</w:t>
    </w:r>
    <w:r>
      <w:rPr>
        <w:sz w:val="16"/>
        <w:szCs w:val="16"/>
      </w:rPr>
      <w:t xml:space="preserve"> </w:t>
    </w:r>
    <w:r w:rsidRPr="00943B80">
      <w:rPr>
        <w:sz w:val="16"/>
        <w:szCs w:val="16"/>
      </w:rPr>
      <w:t xml:space="preserve">for Milieu Ltd in partnership with ICF under Contract No JUST/2011/CHIL/PR/0147/A4 with the European Commission, DG Justice. </w:t>
    </w:r>
  </w:p>
  <w:p w:rsidR="00811568" w:rsidRPr="00943B80" w:rsidRDefault="00811568" w:rsidP="006D75C3">
    <w:pPr>
      <w:pStyle w:val="Footer"/>
      <w:rPr>
        <w:sz w:val="16"/>
        <w:szCs w:val="16"/>
      </w:rPr>
    </w:pPr>
  </w:p>
  <w:p w:rsidR="00811568" w:rsidRPr="00943B80" w:rsidRDefault="00811568" w:rsidP="006D75C3">
    <w:pPr>
      <w:pStyle w:val="Footer"/>
      <w:rPr>
        <w:sz w:val="16"/>
        <w:szCs w:val="16"/>
      </w:rPr>
    </w:pPr>
    <w:r w:rsidRPr="00943B80">
      <w:rPr>
        <w:sz w:val="16"/>
        <w:szCs w:val="16"/>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rsidR="00811568" w:rsidRPr="00943B80" w:rsidRDefault="00811568" w:rsidP="006D75C3">
    <w:pPr>
      <w:pStyle w:val="Footer"/>
      <w:rPr>
        <w:sz w:val="16"/>
        <w:szCs w:val="16"/>
      </w:rPr>
    </w:pPr>
  </w:p>
  <w:p w:rsidR="00811568" w:rsidRPr="00943B80" w:rsidRDefault="00811568" w:rsidP="006D75C3">
    <w:pPr>
      <w:pStyle w:val="Footer"/>
      <w:rPr>
        <w:sz w:val="16"/>
        <w:szCs w:val="16"/>
      </w:rPr>
    </w:pPr>
    <w:r w:rsidRPr="00943B80">
      <w:rPr>
        <w:sz w:val="16"/>
        <w:szCs w:val="16"/>
      </w:rPr>
      <w:t>Temporary copyright clause pending verification with regard to third party citations:</w:t>
    </w:r>
  </w:p>
  <w:p w:rsidR="00811568" w:rsidRPr="006D75C3" w:rsidRDefault="00811568" w:rsidP="006D75C3">
    <w:pPr>
      <w:rPr>
        <w:rFonts w:cs="Arial"/>
        <w:sz w:val="16"/>
        <w:szCs w:val="16"/>
      </w:rPr>
    </w:pPr>
    <w:r w:rsidRPr="00943B80">
      <w:rPr>
        <w:sz w:val="16"/>
        <w:szCs w:val="16"/>
      </w:rPr>
      <w:t>© European Union, 2014.  Reproduction is authorised provided the source is acknowledged.</w:t>
    </w:r>
    <w:r>
      <w:rPr>
        <w:sz w:val="16"/>
        <w:szCs w:val="16"/>
      </w:rPr>
      <w:t xml:space="preserve"> </w:t>
    </w:r>
    <w:r w:rsidRPr="008A3945">
      <w:rPr>
        <w:rFonts w:cs="Arial"/>
        <w:sz w:val="16"/>
        <w:szCs w:val="16"/>
      </w:rPr>
      <w:t>The reproduction of the third-party textual or artistic material included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78073"/>
      <w:docPartObj>
        <w:docPartGallery w:val="Page Numbers (Bottom of Page)"/>
        <w:docPartUnique/>
      </w:docPartObj>
    </w:sdtPr>
    <w:sdtEndPr>
      <w:rPr>
        <w:noProof/>
      </w:rPr>
    </w:sdtEndPr>
    <w:sdtContent>
      <w:p w:rsidR="00811568" w:rsidRDefault="00811568">
        <w:pPr>
          <w:pStyle w:val="Footer"/>
          <w:jc w:val="right"/>
        </w:pPr>
        <w:r>
          <w:fldChar w:fldCharType="begin"/>
        </w:r>
        <w:r>
          <w:instrText xml:space="preserve"> PAGE   \* MERGEFORMAT </w:instrText>
        </w:r>
        <w:r>
          <w:fldChar w:fldCharType="separate"/>
        </w:r>
        <w:r w:rsidR="008558C6">
          <w:rPr>
            <w:noProof/>
          </w:rPr>
          <w:t>ii</w:t>
        </w:r>
        <w:r>
          <w:rPr>
            <w:noProof/>
          </w:rPr>
          <w:fldChar w:fldCharType="end"/>
        </w:r>
      </w:p>
    </w:sdtContent>
  </w:sdt>
  <w:p w:rsidR="00811568" w:rsidRDefault="008115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568" w:rsidRDefault="00811568" w:rsidP="004F5174">
    <w:pPr>
      <w:pStyle w:val="Footer"/>
      <w:jc w:val="center"/>
      <w:rPr>
        <w:i/>
        <w:iCs/>
      </w:rPr>
    </w:pPr>
  </w:p>
  <w:p w:rsidR="00811568" w:rsidRDefault="00811568" w:rsidP="004F5174">
    <w:pPr>
      <w:pStyle w:val="Footer"/>
      <w:jc w:val="center"/>
      <w:rPr>
        <w:i/>
        <w:iCs/>
      </w:rPr>
    </w:pPr>
  </w:p>
  <w:p w:rsidR="00811568" w:rsidRDefault="00811568" w:rsidP="004F517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355854"/>
      <w:docPartObj>
        <w:docPartGallery w:val="Page Numbers (Bottom of Page)"/>
        <w:docPartUnique/>
      </w:docPartObj>
    </w:sdtPr>
    <w:sdtEndPr>
      <w:rPr>
        <w:noProof/>
      </w:rPr>
    </w:sdtEndPr>
    <w:sdtContent>
      <w:p w:rsidR="00811568" w:rsidRDefault="00811568">
        <w:pPr>
          <w:pStyle w:val="Footer"/>
          <w:jc w:val="right"/>
        </w:pPr>
        <w:r>
          <w:fldChar w:fldCharType="begin"/>
        </w:r>
        <w:r>
          <w:instrText xml:space="preserve"> PAGE   \* MERGEFORMAT </w:instrText>
        </w:r>
        <w:r>
          <w:fldChar w:fldCharType="separate"/>
        </w:r>
        <w:r w:rsidR="008558C6">
          <w:rPr>
            <w:noProof/>
          </w:rPr>
          <w:t>1</w:t>
        </w:r>
        <w:r>
          <w:rPr>
            <w:noProof/>
          </w:rPr>
          <w:fldChar w:fldCharType="end"/>
        </w:r>
      </w:p>
    </w:sdtContent>
  </w:sdt>
  <w:p w:rsidR="00811568" w:rsidRDefault="0081156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028869"/>
      <w:docPartObj>
        <w:docPartGallery w:val="Page Numbers (Bottom of Page)"/>
        <w:docPartUnique/>
      </w:docPartObj>
    </w:sdtPr>
    <w:sdtEndPr>
      <w:rPr>
        <w:noProof/>
      </w:rPr>
    </w:sdtEndPr>
    <w:sdtContent>
      <w:p w:rsidR="00811568" w:rsidRDefault="00811568">
        <w:pPr>
          <w:pStyle w:val="Footer"/>
          <w:jc w:val="right"/>
        </w:pPr>
        <w:r>
          <w:fldChar w:fldCharType="begin"/>
        </w:r>
        <w:r>
          <w:instrText xml:space="preserve"> PAGE   \* MERGEFORMAT </w:instrText>
        </w:r>
        <w:r>
          <w:fldChar w:fldCharType="separate"/>
        </w:r>
        <w:r w:rsidR="008558C6">
          <w:rPr>
            <w:noProof/>
          </w:rPr>
          <w:t>2</w:t>
        </w:r>
        <w:r>
          <w:rPr>
            <w:noProof/>
          </w:rPr>
          <w:fldChar w:fldCharType="end"/>
        </w:r>
      </w:p>
    </w:sdtContent>
  </w:sdt>
  <w:p w:rsidR="00811568" w:rsidRDefault="00811568" w:rsidP="00660C9C">
    <w:pPr>
      <w:pStyle w:val="FooterLa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568" w:rsidRDefault="008558C6">
    <w:pPr>
      <w:pStyle w:val="Footer"/>
    </w:pPr>
    <w:r>
      <w:fldChar w:fldCharType="begin"/>
    </w:r>
    <w:r>
      <w:instrText xml:space="preserve"> </w:instrText>
    </w:r>
    <w:r>
      <w:instrText xml:space="preserve">DOCVARIABLE  FooterVersion  \* MERGEFORMAT </w:instrText>
    </w:r>
    <w:r>
      <w:fldChar w:fldCharType="separate"/>
    </w:r>
    <w:r w:rsidR="00811568">
      <w:t xml:space="preserve"> </w:t>
    </w:r>
    <w:r>
      <w:fldChar w:fldCharType="end"/>
    </w:r>
    <w:r w:rsidR="00811568">
      <w:tab/>
    </w:r>
    <w:r w:rsidR="00811568">
      <w:fldChar w:fldCharType="begin"/>
    </w:r>
    <w:r w:rsidR="00811568">
      <w:instrText xml:space="preserve"> PAGE   \* MERGEFORMAT </w:instrText>
    </w:r>
    <w:r w:rsidR="00811568">
      <w:fldChar w:fldCharType="separate"/>
    </w:r>
    <w:r>
      <w:rPr>
        <w:noProof/>
      </w:rPr>
      <w:t>17</w:t>
    </w:r>
    <w:r w:rsidR="0081156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568" w:rsidRDefault="00811568" w:rsidP="001E33FA">
      <w:pPr>
        <w:spacing w:after="0" w:line="240" w:lineRule="auto"/>
      </w:pPr>
      <w:r>
        <w:separator/>
      </w:r>
    </w:p>
  </w:footnote>
  <w:footnote w:type="continuationSeparator" w:id="0">
    <w:p w:rsidR="00811568" w:rsidRDefault="00811568" w:rsidP="001E33FA">
      <w:pPr>
        <w:spacing w:after="0" w:line="240" w:lineRule="auto"/>
      </w:pPr>
      <w:r>
        <w:continuationSeparator/>
      </w:r>
    </w:p>
  </w:footnote>
  <w:footnote w:id="1">
    <w:p w:rsidR="00811568" w:rsidRPr="002F6007" w:rsidRDefault="00811568" w:rsidP="008804DD">
      <w:pPr>
        <w:pStyle w:val="FootnoteText"/>
      </w:pPr>
      <w:r w:rsidRPr="002F6007">
        <w:rPr>
          <w:rStyle w:val="FootnoteReference"/>
          <w:sz w:val="16"/>
          <w:szCs w:val="16"/>
        </w:rPr>
        <w:footnoteRef/>
      </w:r>
      <w:r w:rsidRPr="002F6007">
        <w:rPr>
          <w:sz w:val="16"/>
          <w:szCs w:val="16"/>
        </w:rPr>
        <w:t xml:space="preserve"> </w:t>
      </w:r>
      <w:r w:rsidRPr="002F6007">
        <w:rPr>
          <w:iCs/>
          <w:sz w:val="16"/>
          <w:szCs w:val="16"/>
        </w:rPr>
        <w:t xml:space="preserve">This table provides an indicative summary of competent courts and relevant proceedings. However, please check </w:t>
      </w:r>
      <w:hyperlink w:anchor="Section2" w:history="1">
        <w:r w:rsidRPr="002E171D">
          <w:rPr>
            <w:rStyle w:val="Hyperlink"/>
            <w:iCs/>
            <w:sz w:val="16"/>
            <w:szCs w:val="16"/>
          </w:rPr>
          <w:t>Section 2</w:t>
        </w:r>
      </w:hyperlink>
      <w:r w:rsidRPr="002F6007">
        <w:rPr>
          <w:iCs/>
          <w:sz w:val="16"/>
          <w:szCs w:val="16"/>
        </w:rPr>
        <w:t xml:space="preserve"> for a complete overview of the competent courts or sections/divisions within the competent courts</w:t>
      </w:r>
      <w:r w:rsidRPr="007B5F7C">
        <w:rPr>
          <w:iCs/>
        </w:rPr>
        <w:t>.</w:t>
      </w:r>
    </w:p>
  </w:footnote>
  <w:footnote w:id="2">
    <w:p w:rsidR="00811568" w:rsidRPr="009507AE" w:rsidRDefault="00811568" w:rsidP="008804DD">
      <w:pPr>
        <w:pStyle w:val="FootnoteText"/>
        <w:rPr>
          <w:sz w:val="16"/>
          <w:szCs w:val="16"/>
          <w:lang w:val="en-US"/>
        </w:rPr>
      </w:pPr>
      <w:r w:rsidRPr="009507AE">
        <w:rPr>
          <w:rStyle w:val="FootnoteReference"/>
          <w:sz w:val="16"/>
          <w:szCs w:val="16"/>
        </w:rPr>
        <w:footnoteRef/>
      </w:r>
      <w:r w:rsidRPr="009507AE">
        <w:rPr>
          <w:sz w:val="16"/>
          <w:szCs w:val="16"/>
        </w:rPr>
        <w:t xml:space="preserve"> This study on Children’s involvement in judicial proceedings is composed of three contextual overviews i.e. contextual overview for criminal justice, contextual overview for civil justice, contextual overview for administrative justice. </w:t>
      </w:r>
      <w:r w:rsidRPr="009507AE">
        <w:rPr>
          <w:sz w:val="16"/>
          <w:szCs w:val="16"/>
          <w:lang w:val="en-US"/>
        </w:rPr>
        <w:t xml:space="preserve">The rules applying to judicial proceedings in the sectors of asylum, migration, education, health, placement into care, administrative sanction and offences committed by children below MACR are described in the </w:t>
      </w:r>
      <w:r w:rsidRPr="009507AE">
        <w:rPr>
          <w:sz w:val="16"/>
          <w:szCs w:val="16"/>
        </w:rPr>
        <w:t>contextual overview for administrative justice</w:t>
      </w:r>
      <w:r w:rsidRPr="009507AE">
        <w:rPr>
          <w:sz w:val="16"/>
          <w:szCs w:val="16"/>
          <w:lang w:val="en-US"/>
        </w:rPr>
        <w:t>.</w:t>
      </w:r>
    </w:p>
  </w:footnote>
  <w:footnote w:id="3">
    <w:p w:rsidR="00811568" w:rsidRPr="00AA0209" w:rsidRDefault="00811568" w:rsidP="008804DD">
      <w:pPr>
        <w:pStyle w:val="FootnoteText"/>
      </w:pPr>
      <w:r w:rsidRPr="009507AE">
        <w:rPr>
          <w:rStyle w:val="FootnoteReference"/>
          <w:sz w:val="16"/>
          <w:szCs w:val="16"/>
        </w:rPr>
        <w:footnoteRef/>
      </w:r>
      <w:r w:rsidRPr="009507AE">
        <w:rPr>
          <w:sz w:val="16"/>
          <w:szCs w:val="16"/>
        </w:rPr>
        <w:t xml:space="preserve">(MACR) Minimum Age of Criminal Responsibility – see </w:t>
      </w:r>
      <w:hyperlink r:id="rId1" w:history="1">
        <w:r w:rsidRPr="00FE4762">
          <w:rPr>
            <w:rStyle w:val="Hyperlink"/>
            <w:sz w:val="16"/>
            <w:szCs w:val="16"/>
          </w:rPr>
          <w:t xml:space="preserve">Table 3.1 of the EU Summary of contextual overviews on children's involvement in criminal judicial proceedings </w:t>
        </w:r>
      </w:hyperlink>
      <w:r w:rsidRPr="009507AE">
        <w:rPr>
          <w:sz w:val="16"/>
          <w:szCs w:val="16"/>
        </w:rPr>
        <w:t xml:space="preserve"> on MACR in EU28 as at 1</w:t>
      </w:r>
      <w:r w:rsidRPr="009507AE">
        <w:rPr>
          <w:sz w:val="16"/>
          <w:szCs w:val="16"/>
          <w:lang w:val="en-US"/>
        </w:rPr>
        <w:t xml:space="preserve"> June </w:t>
      </w:r>
      <w:r w:rsidRPr="009507AE">
        <w:rPr>
          <w:sz w:val="16"/>
          <w:szCs w:val="16"/>
        </w:rPr>
        <w:t>2012.</w:t>
      </w:r>
      <w:r>
        <w:t xml:space="preserve"> </w:t>
      </w:r>
    </w:p>
  </w:footnote>
  <w:footnote w:id="4">
    <w:p w:rsidR="00811568" w:rsidRPr="008804DD" w:rsidRDefault="00811568" w:rsidP="008804DD">
      <w:pPr>
        <w:pStyle w:val="FootnoteText"/>
        <w:rPr>
          <w:sz w:val="16"/>
        </w:rPr>
      </w:pPr>
      <w:r w:rsidRPr="008804DD">
        <w:rPr>
          <w:rStyle w:val="FootnoteReference"/>
          <w:sz w:val="16"/>
        </w:rPr>
        <w:footnoteRef/>
      </w:r>
      <w:r w:rsidRPr="008804DD">
        <w:rPr>
          <w:sz w:val="16"/>
        </w:rPr>
        <w:t xml:space="preserve"> </w:t>
      </w:r>
      <w:hyperlink r:id="rId2" w:history="1">
        <w:r w:rsidRPr="008804DD">
          <w:rPr>
            <w:rStyle w:val="Hyperlink"/>
            <w:sz w:val="16"/>
          </w:rPr>
          <w:t>Chapter 16 of the Revised Laws of Malta</w:t>
        </w:r>
      </w:hyperlink>
      <w:r w:rsidRPr="008804DD">
        <w:rPr>
          <w:sz w:val="16"/>
        </w:rPr>
        <w:t>.</w:t>
      </w:r>
    </w:p>
  </w:footnote>
  <w:footnote w:id="5">
    <w:p w:rsidR="00811568" w:rsidRPr="008804DD" w:rsidRDefault="00811568" w:rsidP="008804DD">
      <w:pPr>
        <w:pStyle w:val="FootnoteText"/>
        <w:rPr>
          <w:sz w:val="16"/>
        </w:rPr>
      </w:pPr>
      <w:r w:rsidRPr="008804DD">
        <w:rPr>
          <w:rStyle w:val="FootnoteReference"/>
          <w:sz w:val="16"/>
        </w:rPr>
        <w:footnoteRef/>
      </w:r>
      <w:r w:rsidRPr="008804DD">
        <w:rPr>
          <w:sz w:val="16"/>
        </w:rPr>
        <w:t xml:space="preserve"> </w:t>
      </w:r>
      <w:hyperlink r:id="rId3" w:history="1">
        <w:r w:rsidRPr="008804DD">
          <w:rPr>
            <w:rStyle w:val="Hyperlink"/>
            <w:sz w:val="16"/>
          </w:rPr>
          <w:t>Chapter 12 of the Revised Laws of Malta</w:t>
        </w:r>
      </w:hyperlink>
      <w:r w:rsidRPr="008804DD">
        <w:rPr>
          <w:sz w:val="16"/>
        </w:rPr>
        <w:t>.</w:t>
      </w:r>
    </w:p>
  </w:footnote>
  <w:footnote w:id="6">
    <w:p w:rsidR="00811568" w:rsidRPr="008804DD" w:rsidRDefault="00811568" w:rsidP="008804DD">
      <w:pPr>
        <w:pStyle w:val="FootnoteText"/>
        <w:jc w:val="both"/>
        <w:rPr>
          <w:sz w:val="16"/>
          <w:lang w:val="en-US"/>
        </w:rPr>
      </w:pPr>
      <w:r w:rsidRPr="008804DD">
        <w:rPr>
          <w:rStyle w:val="FootnoteReference"/>
          <w:sz w:val="16"/>
        </w:rPr>
        <w:footnoteRef/>
      </w:r>
      <w:r w:rsidRPr="008804DD">
        <w:rPr>
          <w:sz w:val="16"/>
        </w:rPr>
        <w:t xml:space="preserve"> </w:t>
      </w:r>
      <w:r w:rsidRPr="008804DD">
        <w:rPr>
          <w:sz w:val="16"/>
          <w:lang w:val="en-US"/>
        </w:rPr>
        <w:t xml:space="preserve">The relevant laws are the </w:t>
      </w:r>
      <w:hyperlink r:id="rId4" w:history="1">
        <w:r w:rsidRPr="008804DD">
          <w:rPr>
            <w:rStyle w:val="Hyperlink"/>
            <w:sz w:val="16"/>
            <w:lang w:val="en-US"/>
          </w:rPr>
          <w:t>Children and Young Persons (Care Orders) Act</w:t>
        </w:r>
      </w:hyperlink>
      <w:r w:rsidRPr="008804DD">
        <w:rPr>
          <w:sz w:val="16"/>
          <w:lang w:val="en-US"/>
        </w:rPr>
        <w:t xml:space="preserve">, Chapter 285 of the Revised Laws of Malta; the </w:t>
      </w:r>
      <w:hyperlink r:id="rId5" w:history="1">
        <w:r w:rsidRPr="008804DD">
          <w:rPr>
            <w:rStyle w:val="Hyperlink"/>
            <w:sz w:val="16"/>
            <w:lang w:val="en-US"/>
          </w:rPr>
          <w:t>Children and Young Persons (Care Orders) Regulations</w:t>
        </w:r>
      </w:hyperlink>
      <w:r w:rsidRPr="008804DD">
        <w:rPr>
          <w:sz w:val="16"/>
          <w:lang w:val="en-US"/>
        </w:rPr>
        <w:t xml:space="preserve">, Legal Notice 49 of 1985; the </w:t>
      </w:r>
      <w:hyperlink r:id="rId6" w:history="1">
        <w:r w:rsidRPr="008804DD">
          <w:rPr>
            <w:rStyle w:val="Hyperlink"/>
            <w:rFonts w:cs="Arial"/>
            <w:sz w:val="16"/>
          </w:rPr>
          <w:t>Juvenile Court Act</w:t>
        </w:r>
      </w:hyperlink>
      <w:r w:rsidRPr="008804DD">
        <w:rPr>
          <w:rFonts w:cs="Arial"/>
          <w:sz w:val="16"/>
          <w:lang w:val="en-US"/>
        </w:rPr>
        <w:t>,</w:t>
      </w:r>
      <w:r w:rsidRPr="008804DD">
        <w:rPr>
          <w:sz w:val="16"/>
        </w:rPr>
        <w:t xml:space="preserve"> Chapter 287 of the Revised Laws of Malta.</w:t>
      </w:r>
    </w:p>
  </w:footnote>
  <w:footnote w:id="7">
    <w:p w:rsidR="00811568" w:rsidRPr="008804DD" w:rsidRDefault="00811568" w:rsidP="008804DD">
      <w:pPr>
        <w:pStyle w:val="FootnoteText"/>
        <w:rPr>
          <w:sz w:val="16"/>
        </w:rPr>
      </w:pPr>
      <w:r w:rsidRPr="008804DD">
        <w:rPr>
          <w:rStyle w:val="FootnoteReference"/>
          <w:sz w:val="16"/>
        </w:rPr>
        <w:footnoteRef/>
      </w:r>
      <w:r w:rsidRPr="008804DD">
        <w:rPr>
          <w:sz w:val="16"/>
        </w:rPr>
        <w:t xml:space="preserve"> Articles 2 to 4 of the </w:t>
      </w:r>
      <w:hyperlink r:id="rId7" w:history="1">
        <w:r w:rsidRPr="008804DD">
          <w:rPr>
            <w:rStyle w:val="Hyperlink"/>
            <w:sz w:val="16"/>
          </w:rPr>
          <w:t>COCP</w:t>
        </w:r>
      </w:hyperlink>
      <w:r w:rsidRPr="008804DD">
        <w:rPr>
          <w:sz w:val="16"/>
        </w:rPr>
        <w:t>.</w:t>
      </w:r>
    </w:p>
  </w:footnote>
  <w:footnote w:id="8">
    <w:p w:rsidR="00811568" w:rsidRPr="008804DD" w:rsidRDefault="00811568" w:rsidP="008804DD">
      <w:pPr>
        <w:pStyle w:val="FootnoteText"/>
        <w:rPr>
          <w:sz w:val="16"/>
        </w:rPr>
      </w:pPr>
      <w:r w:rsidRPr="008804DD">
        <w:rPr>
          <w:rStyle w:val="FootnoteReference"/>
          <w:sz w:val="16"/>
        </w:rPr>
        <w:footnoteRef/>
      </w:r>
      <w:r w:rsidRPr="008804DD">
        <w:rPr>
          <w:sz w:val="16"/>
        </w:rPr>
        <w:t xml:space="preserve"> Articles 32 and 33 of the </w:t>
      </w:r>
      <w:hyperlink r:id="rId8" w:history="1">
        <w:r w:rsidRPr="008804DD">
          <w:rPr>
            <w:rStyle w:val="Hyperlink"/>
            <w:sz w:val="16"/>
          </w:rPr>
          <w:t>COCP</w:t>
        </w:r>
      </w:hyperlink>
      <w:r w:rsidRPr="008804DD">
        <w:rPr>
          <w:sz w:val="16"/>
        </w:rPr>
        <w:t>.</w:t>
      </w:r>
    </w:p>
  </w:footnote>
  <w:footnote w:id="9">
    <w:p w:rsidR="00811568" w:rsidRPr="008804DD" w:rsidRDefault="00811568" w:rsidP="008804DD">
      <w:pPr>
        <w:pStyle w:val="FootnoteText"/>
        <w:jc w:val="both"/>
        <w:rPr>
          <w:sz w:val="16"/>
        </w:rPr>
      </w:pPr>
      <w:r w:rsidRPr="008804DD">
        <w:rPr>
          <w:rStyle w:val="FootnoteReference"/>
          <w:sz w:val="16"/>
        </w:rPr>
        <w:footnoteRef/>
      </w:r>
      <w:r w:rsidRPr="008804DD">
        <w:rPr>
          <w:sz w:val="16"/>
        </w:rPr>
        <w:t xml:space="preserve"> Regulations 2 and 3 of the </w:t>
      </w:r>
      <w:hyperlink r:id="rId9" w:history="1">
        <w:r w:rsidRPr="008804DD">
          <w:rPr>
            <w:rStyle w:val="Hyperlink"/>
            <w:sz w:val="16"/>
          </w:rPr>
          <w:t>Civil Courts (Establishment of Sections) Order</w:t>
        </w:r>
      </w:hyperlink>
      <w:r w:rsidRPr="008804DD">
        <w:rPr>
          <w:sz w:val="16"/>
        </w:rPr>
        <w:t>, Legal Notice 396 of 2003 (Subsidiary Legislation 12.19).</w:t>
      </w:r>
    </w:p>
  </w:footnote>
  <w:footnote w:id="10">
    <w:p w:rsidR="00811568" w:rsidRPr="008804DD" w:rsidRDefault="00811568" w:rsidP="008804DD">
      <w:pPr>
        <w:pStyle w:val="FootnoteText"/>
        <w:rPr>
          <w:sz w:val="16"/>
        </w:rPr>
      </w:pPr>
      <w:r w:rsidRPr="008804DD">
        <w:rPr>
          <w:rStyle w:val="FootnoteReference"/>
          <w:sz w:val="16"/>
        </w:rPr>
        <w:footnoteRef/>
      </w:r>
      <w:r w:rsidRPr="008804DD">
        <w:rPr>
          <w:sz w:val="16"/>
        </w:rPr>
        <w:t xml:space="preserve"> Regulation 4 of the </w:t>
      </w:r>
      <w:hyperlink r:id="rId10" w:history="1">
        <w:r w:rsidRPr="008804DD">
          <w:rPr>
            <w:rStyle w:val="Hyperlink"/>
            <w:sz w:val="16"/>
          </w:rPr>
          <w:t>Civil Courts (Establishment of Sections) Order</w:t>
        </w:r>
      </w:hyperlink>
      <w:r w:rsidRPr="008804DD">
        <w:rPr>
          <w:sz w:val="16"/>
        </w:rPr>
        <w:t>.</w:t>
      </w:r>
    </w:p>
  </w:footnote>
  <w:footnote w:id="11">
    <w:p w:rsidR="00811568" w:rsidRPr="008804DD" w:rsidRDefault="00811568" w:rsidP="008804DD">
      <w:pPr>
        <w:pStyle w:val="FootnoteText"/>
        <w:rPr>
          <w:sz w:val="16"/>
        </w:rPr>
      </w:pPr>
      <w:r w:rsidRPr="008804DD">
        <w:rPr>
          <w:rStyle w:val="FootnoteReference"/>
          <w:sz w:val="16"/>
        </w:rPr>
        <w:footnoteRef/>
      </w:r>
      <w:r w:rsidRPr="008804DD">
        <w:rPr>
          <w:sz w:val="16"/>
        </w:rPr>
        <w:t xml:space="preserve"> </w:t>
      </w:r>
      <w:hyperlink r:id="rId11" w:history="1">
        <w:r w:rsidRPr="008804DD">
          <w:rPr>
            <w:rStyle w:val="Hyperlink"/>
            <w:sz w:val="16"/>
          </w:rPr>
          <w:t>Chapter 48 of the Revised Laws of Malta</w:t>
        </w:r>
      </w:hyperlink>
      <w:r w:rsidRPr="008804DD">
        <w:rPr>
          <w:sz w:val="16"/>
        </w:rPr>
        <w:t>.</w:t>
      </w:r>
    </w:p>
  </w:footnote>
  <w:footnote w:id="12">
    <w:p w:rsidR="00811568" w:rsidRPr="008804DD" w:rsidRDefault="00811568" w:rsidP="008804DD">
      <w:pPr>
        <w:pStyle w:val="FootnoteText"/>
        <w:rPr>
          <w:sz w:val="16"/>
        </w:rPr>
      </w:pPr>
      <w:r w:rsidRPr="008804DD">
        <w:rPr>
          <w:rStyle w:val="FootnoteReference"/>
          <w:sz w:val="16"/>
        </w:rPr>
        <w:footnoteRef/>
      </w:r>
      <w:r w:rsidRPr="008804DD">
        <w:rPr>
          <w:sz w:val="16"/>
        </w:rPr>
        <w:t xml:space="preserve"> </w:t>
      </w:r>
      <w:hyperlink r:id="rId12" w:history="1">
        <w:r w:rsidRPr="008804DD">
          <w:rPr>
            <w:rStyle w:val="Hyperlink"/>
            <w:sz w:val="16"/>
          </w:rPr>
          <w:t>Chapter 242 of the Revised Laws of Malta</w:t>
        </w:r>
      </w:hyperlink>
      <w:r w:rsidRPr="008804DD">
        <w:rPr>
          <w:sz w:val="16"/>
        </w:rPr>
        <w:t>.</w:t>
      </w:r>
    </w:p>
  </w:footnote>
  <w:footnote w:id="13">
    <w:p w:rsidR="00811568" w:rsidRPr="008804DD" w:rsidRDefault="00811568" w:rsidP="008804DD">
      <w:pPr>
        <w:pStyle w:val="FootnoteText"/>
        <w:rPr>
          <w:sz w:val="16"/>
        </w:rPr>
      </w:pPr>
      <w:r w:rsidRPr="008804DD">
        <w:rPr>
          <w:rStyle w:val="FootnoteReference"/>
          <w:sz w:val="16"/>
        </w:rPr>
        <w:footnoteRef/>
      </w:r>
      <w:r w:rsidRPr="008804DD">
        <w:rPr>
          <w:sz w:val="16"/>
        </w:rPr>
        <w:t xml:space="preserve"> </w:t>
      </w:r>
      <w:hyperlink r:id="rId13" w:history="1">
        <w:r w:rsidRPr="008804DD">
          <w:rPr>
            <w:rStyle w:val="Hyperlink"/>
            <w:sz w:val="16"/>
          </w:rPr>
          <w:t>Chapter 255 of the Revised Laws of Malta</w:t>
        </w:r>
      </w:hyperlink>
      <w:r w:rsidRPr="008804DD">
        <w:rPr>
          <w:sz w:val="16"/>
        </w:rPr>
        <w:t>.</w:t>
      </w:r>
    </w:p>
  </w:footnote>
  <w:footnote w:id="14">
    <w:p w:rsidR="00811568" w:rsidRPr="00945BA5" w:rsidRDefault="00811568" w:rsidP="008804DD">
      <w:pPr>
        <w:pStyle w:val="FootnoteText"/>
      </w:pPr>
      <w:r w:rsidRPr="008804DD">
        <w:rPr>
          <w:rStyle w:val="FootnoteReference"/>
          <w:sz w:val="16"/>
        </w:rPr>
        <w:footnoteRef/>
      </w:r>
      <w:r w:rsidRPr="008804DD">
        <w:rPr>
          <w:sz w:val="16"/>
        </w:rPr>
        <w:t xml:space="preserve"> </w:t>
      </w:r>
      <w:hyperlink r:id="rId14" w:history="1">
        <w:r w:rsidRPr="008804DD">
          <w:rPr>
            <w:rStyle w:val="Hyperlink"/>
            <w:sz w:val="16"/>
          </w:rPr>
          <w:t>Chapter 410 of the Revised Laws of Malta</w:t>
        </w:r>
      </w:hyperlink>
      <w:r w:rsidRPr="008804DD">
        <w:rPr>
          <w:sz w:val="16"/>
        </w:rPr>
        <w:t>.</w:t>
      </w:r>
    </w:p>
  </w:footnote>
  <w:footnote w:id="15">
    <w:p w:rsidR="00811568" w:rsidRPr="008804DD" w:rsidRDefault="00811568" w:rsidP="008804DD">
      <w:pPr>
        <w:pStyle w:val="FootnoteText"/>
        <w:jc w:val="both"/>
        <w:rPr>
          <w:sz w:val="16"/>
          <w:lang w:val="en-US"/>
        </w:rPr>
      </w:pPr>
      <w:r w:rsidRPr="008804DD">
        <w:rPr>
          <w:rStyle w:val="FootnoteReference"/>
          <w:sz w:val="16"/>
        </w:rPr>
        <w:footnoteRef/>
      </w:r>
      <w:r w:rsidRPr="008804DD">
        <w:rPr>
          <w:sz w:val="16"/>
        </w:rPr>
        <w:t xml:space="preserve"> Regulation 3(1) of </w:t>
      </w:r>
      <w:hyperlink r:id="rId15" w:history="1">
        <w:r w:rsidRPr="008804DD">
          <w:rPr>
            <w:rStyle w:val="Hyperlink"/>
            <w:sz w:val="16"/>
          </w:rPr>
          <w:t>The Civil Court (Family Section), The First Hall of the Civil Court and The Court of Magistrates (Gozo) (Superior Jurisdiction) (Family Section) Regulations</w:t>
        </w:r>
      </w:hyperlink>
      <w:r w:rsidRPr="008804DD">
        <w:rPr>
          <w:sz w:val="16"/>
          <w:lang w:val="en-US"/>
        </w:rPr>
        <w:t>, Legal Notice 397 of 2003 (Subsidiary Legislation 12.20).</w:t>
      </w:r>
    </w:p>
  </w:footnote>
  <w:footnote w:id="16">
    <w:p w:rsidR="00811568" w:rsidRPr="008804DD" w:rsidRDefault="00811568" w:rsidP="008804DD">
      <w:pPr>
        <w:pStyle w:val="FootnoteText"/>
        <w:jc w:val="both"/>
        <w:rPr>
          <w:sz w:val="16"/>
        </w:rPr>
      </w:pPr>
      <w:r w:rsidRPr="008804DD">
        <w:rPr>
          <w:rStyle w:val="FootnoteReference"/>
          <w:sz w:val="16"/>
        </w:rPr>
        <w:footnoteRef/>
      </w:r>
      <w:r w:rsidRPr="008804DD">
        <w:rPr>
          <w:sz w:val="16"/>
        </w:rPr>
        <w:t xml:space="preserve"> Regulation 3(1) of </w:t>
      </w:r>
      <w:hyperlink r:id="rId16" w:history="1">
        <w:r w:rsidRPr="008804DD">
          <w:rPr>
            <w:rStyle w:val="Hyperlink"/>
            <w:sz w:val="16"/>
          </w:rPr>
          <w:t>The Civil Court (Family Section), The First Hall of the Civil Court and The Court of Magistrates (Gozo) (Superior Jurisdiction) (Family Section) Regulations</w:t>
        </w:r>
      </w:hyperlink>
      <w:r w:rsidRPr="008804DD">
        <w:rPr>
          <w:sz w:val="16"/>
        </w:rPr>
        <w:t>.</w:t>
      </w:r>
    </w:p>
  </w:footnote>
  <w:footnote w:id="17">
    <w:p w:rsidR="00811568" w:rsidRPr="008804DD" w:rsidRDefault="00811568" w:rsidP="008804DD">
      <w:pPr>
        <w:pStyle w:val="FootnoteText"/>
        <w:rPr>
          <w:sz w:val="16"/>
        </w:rPr>
      </w:pPr>
      <w:r w:rsidRPr="008804DD">
        <w:rPr>
          <w:rStyle w:val="FootnoteReference"/>
          <w:sz w:val="16"/>
        </w:rPr>
        <w:footnoteRef/>
      </w:r>
      <w:r w:rsidRPr="008804DD">
        <w:rPr>
          <w:sz w:val="16"/>
        </w:rPr>
        <w:t xml:space="preserve"> </w:t>
      </w:r>
      <w:hyperlink r:id="rId17" w:history="1">
        <w:r w:rsidRPr="008804DD">
          <w:rPr>
            <w:rStyle w:val="Hyperlink"/>
            <w:sz w:val="16"/>
            <w:lang w:val="en-US"/>
          </w:rPr>
          <w:t>Family Section</w:t>
        </w:r>
      </w:hyperlink>
      <w:r w:rsidRPr="008804DD">
        <w:rPr>
          <w:sz w:val="16"/>
          <w:lang w:val="en-US"/>
        </w:rPr>
        <w:t>, information available at the website of the Judiciary - Malta (last accessed on 2 May 2013).</w:t>
      </w:r>
    </w:p>
  </w:footnote>
  <w:footnote w:id="18">
    <w:p w:rsidR="00811568" w:rsidRPr="008804DD" w:rsidRDefault="00811568" w:rsidP="008804DD">
      <w:pPr>
        <w:pStyle w:val="FootnoteText"/>
        <w:rPr>
          <w:sz w:val="16"/>
        </w:rPr>
      </w:pPr>
      <w:r w:rsidRPr="008804DD">
        <w:rPr>
          <w:rStyle w:val="FootnoteReference"/>
          <w:sz w:val="16"/>
        </w:rPr>
        <w:footnoteRef/>
      </w:r>
      <w:r w:rsidRPr="008804DD">
        <w:rPr>
          <w:sz w:val="16"/>
        </w:rPr>
        <w:t xml:space="preserve"> Regulation 5 of the </w:t>
      </w:r>
      <w:hyperlink r:id="rId18" w:history="1">
        <w:r w:rsidRPr="008804DD">
          <w:rPr>
            <w:rStyle w:val="Hyperlink"/>
            <w:sz w:val="16"/>
          </w:rPr>
          <w:t>Civil Courts (Establishment of Sections) Order</w:t>
        </w:r>
      </w:hyperlink>
      <w:r w:rsidRPr="008804DD">
        <w:rPr>
          <w:sz w:val="16"/>
        </w:rPr>
        <w:t>.</w:t>
      </w:r>
    </w:p>
  </w:footnote>
  <w:footnote w:id="19">
    <w:p w:rsidR="00811568" w:rsidRPr="008804DD" w:rsidRDefault="00811568" w:rsidP="008804DD">
      <w:pPr>
        <w:pStyle w:val="FootnoteText"/>
        <w:rPr>
          <w:sz w:val="16"/>
        </w:rPr>
      </w:pPr>
      <w:r w:rsidRPr="008804DD">
        <w:rPr>
          <w:rStyle w:val="FootnoteReference"/>
          <w:sz w:val="16"/>
        </w:rPr>
        <w:footnoteRef/>
      </w:r>
      <w:r w:rsidRPr="008804DD">
        <w:rPr>
          <w:sz w:val="16"/>
        </w:rPr>
        <w:t xml:space="preserve"> Regulation 6 of the </w:t>
      </w:r>
      <w:hyperlink r:id="rId19" w:history="1">
        <w:r w:rsidRPr="008804DD">
          <w:rPr>
            <w:rStyle w:val="Hyperlink"/>
            <w:sz w:val="16"/>
          </w:rPr>
          <w:t>Civil Courts (Establishment of Sections) Order</w:t>
        </w:r>
      </w:hyperlink>
      <w:r w:rsidRPr="008804DD">
        <w:rPr>
          <w:sz w:val="16"/>
        </w:rPr>
        <w:t>.</w:t>
      </w:r>
    </w:p>
  </w:footnote>
  <w:footnote w:id="20">
    <w:p w:rsidR="00811568" w:rsidRPr="008804DD" w:rsidRDefault="00811568" w:rsidP="008804DD">
      <w:pPr>
        <w:pStyle w:val="FootnoteText"/>
        <w:rPr>
          <w:sz w:val="16"/>
        </w:rPr>
      </w:pPr>
      <w:r w:rsidRPr="008804DD">
        <w:rPr>
          <w:rStyle w:val="FootnoteReference"/>
          <w:sz w:val="16"/>
        </w:rPr>
        <w:footnoteRef/>
      </w:r>
      <w:r w:rsidRPr="008804DD">
        <w:rPr>
          <w:sz w:val="16"/>
        </w:rPr>
        <w:t xml:space="preserve"> Article 47(1) of the </w:t>
      </w:r>
      <w:hyperlink r:id="rId20" w:history="1">
        <w:r w:rsidRPr="008804DD">
          <w:rPr>
            <w:rStyle w:val="Hyperlink"/>
            <w:sz w:val="16"/>
          </w:rPr>
          <w:t>COCP</w:t>
        </w:r>
      </w:hyperlink>
      <w:r w:rsidRPr="008804DD">
        <w:rPr>
          <w:sz w:val="16"/>
        </w:rPr>
        <w:t>.</w:t>
      </w:r>
    </w:p>
  </w:footnote>
  <w:footnote w:id="21">
    <w:p w:rsidR="00811568" w:rsidRPr="008804DD" w:rsidRDefault="00811568" w:rsidP="008804DD">
      <w:pPr>
        <w:pStyle w:val="FootnoteText"/>
        <w:rPr>
          <w:sz w:val="16"/>
        </w:rPr>
      </w:pPr>
      <w:r w:rsidRPr="008804DD">
        <w:rPr>
          <w:rStyle w:val="FootnoteReference"/>
          <w:sz w:val="16"/>
        </w:rPr>
        <w:footnoteRef/>
      </w:r>
      <w:r w:rsidRPr="008804DD">
        <w:rPr>
          <w:sz w:val="16"/>
        </w:rPr>
        <w:t xml:space="preserve"> Article 50 of the </w:t>
      </w:r>
      <w:hyperlink r:id="rId21" w:history="1">
        <w:r w:rsidRPr="008804DD">
          <w:rPr>
            <w:rStyle w:val="Hyperlink"/>
            <w:sz w:val="16"/>
          </w:rPr>
          <w:t>COCP</w:t>
        </w:r>
      </w:hyperlink>
      <w:r w:rsidRPr="008804DD">
        <w:rPr>
          <w:sz w:val="16"/>
        </w:rPr>
        <w:t>.</w:t>
      </w:r>
    </w:p>
  </w:footnote>
  <w:footnote w:id="22">
    <w:p w:rsidR="00811568" w:rsidRPr="008804DD" w:rsidRDefault="00811568" w:rsidP="008804DD">
      <w:pPr>
        <w:pStyle w:val="FootnoteText"/>
        <w:rPr>
          <w:sz w:val="16"/>
        </w:rPr>
      </w:pPr>
      <w:r w:rsidRPr="008804DD">
        <w:rPr>
          <w:rStyle w:val="FootnoteReference"/>
          <w:sz w:val="16"/>
        </w:rPr>
        <w:footnoteRef/>
      </w:r>
      <w:r w:rsidRPr="008804DD">
        <w:rPr>
          <w:sz w:val="16"/>
        </w:rPr>
        <w:t xml:space="preserve"> Regulation 9 of the </w:t>
      </w:r>
      <w:hyperlink r:id="rId22" w:history="1">
        <w:r w:rsidRPr="008804DD">
          <w:rPr>
            <w:rStyle w:val="Hyperlink"/>
            <w:sz w:val="16"/>
          </w:rPr>
          <w:t>Civil Courts (Establishment of Sections) Order</w:t>
        </w:r>
      </w:hyperlink>
      <w:r w:rsidRPr="008804DD">
        <w:rPr>
          <w:sz w:val="16"/>
        </w:rPr>
        <w:t xml:space="preserve"> and Article 54 of the </w:t>
      </w:r>
      <w:hyperlink r:id="rId23" w:history="1">
        <w:r w:rsidRPr="008804DD">
          <w:rPr>
            <w:rStyle w:val="Hyperlink"/>
            <w:sz w:val="16"/>
          </w:rPr>
          <w:t>COCP</w:t>
        </w:r>
      </w:hyperlink>
      <w:r w:rsidRPr="008804DD">
        <w:rPr>
          <w:sz w:val="16"/>
        </w:rPr>
        <w:t>.</w:t>
      </w:r>
    </w:p>
  </w:footnote>
  <w:footnote w:id="23">
    <w:p w:rsidR="00811568" w:rsidRPr="008804DD" w:rsidRDefault="00811568" w:rsidP="008804DD">
      <w:pPr>
        <w:pStyle w:val="FootnoteText"/>
        <w:rPr>
          <w:sz w:val="16"/>
        </w:rPr>
      </w:pPr>
      <w:r w:rsidRPr="008804DD">
        <w:rPr>
          <w:rStyle w:val="FootnoteReference"/>
          <w:sz w:val="16"/>
        </w:rPr>
        <w:footnoteRef/>
      </w:r>
      <w:r w:rsidRPr="008804DD">
        <w:rPr>
          <w:sz w:val="16"/>
        </w:rPr>
        <w:t xml:space="preserve"> Article 41(5) of the </w:t>
      </w:r>
      <w:hyperlink r:id="rId24" w:history="1">
        <w:r w:rsidRPr="008804DD">
          <w:rPr>
            <w:rStyle w:val="Hyperlink"/>
            <w:sz w:val="16"/>
          </w:rPr>
          <w:t>COCP</w:t>
        </w:r>
      </w:hyperlink>
      <w:r w:rsidRPr="008804DD">
        <w:rPr>
          <w:sz w:val="16"/>
        </w:rPr>
        <w:t>.</w:t>
      </w:r>
    </w:p>
  </w:footnote>
  <w:footnote w:id="24">
    <w:p w:rsidR="00811568" w:rsidRPr="008804DD" w:rsidRDefault="00811568" w:rsidP="008804DD">
      <w:pPr>
        <w:pStyle w:val="FootnoteText"/>
        <w:rPr>
          <w:sz w:val="16"/>
        </w:rPr>
      </w:pPr>
      <w:r w:rsidRPr="008804DD">
        <w:rPr>
          <w:rStyle w:val="FootnoteReference"/>
          <w:sz w:val="16"/>
        </w:rPr>
        <w:footnoteRef/>
      </w:r>
      <w:r w:rsidRPr="008804DD">
        <w:rPr>
          <w:sz w:val="16"/>
        </w:rPr>
        <w:t xml:space="preserve"> Article 35 of the </w:t>
      </w:r>
      <w:hyperlink r:id="rId25" w:history="1">
        <w:r w:rsidRPr="008804DD">
          <w:rPr>
            <w:rStyle w:val="Hyperlink"/>
            <w:sz w:val="16"/>
          </w:rPr>
          <w:t>COCP</w:t>
        </w:r>
      </w:hyperlink>
      <w:r w:rsidRPr="008804DD">
        <w:rPr>
          <w:sz w:val="16"/>
        </w:rPr>
        <w:t>.</w:t>
      </w:r>
    </w:p>
  </w:footnote>
  <w:footnote w:id="25">
    <w:p w:rsidR="00811568" w:rsidRPr="000F5F57" w:rsidRDefault="00811568" w:rsidP="008804DD">
      <w:pPr>
        <w:pStyle w:val="FootnoteText"/>
      </w:pPr>
      <w:r w:rsidRPr="008804DD">
        <w:rPr>
          <w:rStyle w:val="FootnoteReference"/>
          <w:sz w:val="16"/>
        </w:rPr>
        <w:footnoteRef/>
      </w:r>
      <w:r w:rsidRPr="008804DD">
        <w:rPr>
          <w:sz w:val="16"/>
        </w:rPr>
        <w:t xml:space="preserve"> Article 41(6) of the </w:t>
      </w:r>
      <w:hyperlink r:id="rId26" w:history="1">
        <w:r w:rsidRPr="008804DD">
          <w:rPr>
            <w:rStyle w:val="Hyperlink"/>
            <w:sz w:val="16"/>
          </w:rPr>
          <w:t>COCP</w:t>
        </w:r>
      </w:hyperlink>
      <w:r w:rsidRPr="008804DD">
        <w:rPr>
          <w:sz w:val="16"/>
        </w:rPr>
        <w:t>.</w:t>
      </w:r>
    </w:p>
  </w:footnote>
  <w:footnote w:id="26">
    <w:p w:rsidR="00811568" w:rsidRDefault="00811568" w:rsidP="008804DD">
      <w:pPr>
        <w:pStyle w:val="FootnoteText"/>
      </w:pPr>
      <w:r w:rsidRPr="008804DD">
        <w:rPr>
          <w:rStyle w:val="FootnoteReference"/>
          <w:sz w:val="16"/>
        </w:rPr>
        <w:footnoteRef/>
      </w:r>
      <w:r w:rsidRPr="008804DD">
        <w:rPr>
          <w:sz w:val="16"/>
        </w:rPr>
        <w:t xml:space="preserve"> Article 469A of the </w:t>
      </w:r>
      <w:hyperlink r:id="rId27" w:history="1">
        <w:r w:rsidRPr="008804DD">
          <w:rPr>
            <w:rStyle w:val="Hyperlink"/>
            <w:sz w:val="16"/>
          </w:rPr>
          <w:t>COCP</w:t>
        </w:r>
      </w:hyperlink>
      <w:r w:rsidRPr="008804DD">
        <w:rPr>
          <w:sz w:val="16"/>
        </w:rPr>
        <w:t xml:space="preserve">. </w:t>
      </w:r>
    </w:p>
  </w:footnote>
  <w:footnote w:id="27">
    <w:p w:rsidR="00811568" w:rsidRPr="008804DD" w:rsidRDefault="00811568" w:rsidP="008804DD">
      <w:pPr>
        <w:pStyle w:val="FootnoteText"/>
        <w:rPr>
          <w:sz w:val="16"/>
        </w:rPr>
      </w:pPr>
      <w:r w:rsidRPr="008804DD">
        <w:rPr>
          <w:rStyle w:val="FootnoteReference"/>
          <w:sz w:val="16"/>
        </w:rPr>
        <w:footnoteRef/>
      </w:r>
      <w:r w:rsidRPr="008804DD">
        <w:rPr>
          <w:sz w:val="16"/>
        </w:rPr>
        <w:t xml:space="preserve"> </w:t>
      </w:r>
      <w:hyperlink r:id="rId28" w:history="1">
        <w:r w:rsidRPr="008804DD">
          <w:rPr>
            <w:rStyle w:val="Hyperlink"/>
            <w:sz w:val="16"/>
          </w:rPr>
          <w:t>Chapter 462 of the Revised Laws of Malta</w:t>
        </w:r>
      </w:hyperlink>
      <w:r w:rsidRPr="008804DD">
        <w:rPr>
          <w:sz w:val="16"/>
        </w:rPr>
        <w:t>.</w:t>
      </w:r>
    </w:p>
  </w:footnote>
  <w:footnote w:id="28">
    <w:p w:rsidR="00811568" w:rsidRPr="008804DD" w:rsidRDefault="00811568" w:rsidP="008804DD">
      <w:pPr>
        <w:pStyle w:val="FootnoteText"/>
        <w:rPr>
          <w:sz w:val="16"/>
        </w:rPr>
      </w:pPr>
      <w:r w:rsidRPr="008804DD">
        <w:rPr>
          <w:rStyle w:val="FootnoteReference"/>
          <w:sz w:val="16"/>
        </w:rPr>
        <w:footnoteRef/>
      </w:r>
      <w:r w:rsidRPr="008804DD">
        <w:rPr>
          <w:sz w:val="16"/>
        </w:rPr>
        <w:t xml:space="preserve"> Ratified by Malta on 26 January 1990.</w:t>
      </w:r>
    </w:p>
  </w:footnote>
  <w:footnote w:id="29">
    <w:p w:rsidR="00811568" w:rsidRPr="008804DD" w:rsidRDefault="00811568" w:rsidP="008804DD">
      <w:pPr>
        <w:pStyle w:val="BodyText"/>
        <w:spacing w:before="0" w:after="60" w:line="240" w:lineRule="auto"/>
        <w:ind w:left="0"/>
        <w:jc w:val="both"/>
        <w:rPr>
          <w:sz w:val="18"/>
        </w:rPr>
      </w:pPr>
      <w:r w:rsidRPr="008804DD">
        <w:rPr>
          <w:rStyle w:val="FootnoteReference"/>
          <w:sz w:val="16"/>
        </w:rPr>
        <w:footnoteRef/>
      </w:r>
      <w:r w:rsidRPr="008804DD">
        <w:rPr>
          <w:sz w:val="16"/>
        </w:rPr>
        <w:t xml:space="preserve"> </w:t>
      </w:r>
      <w:hyperlink r:id="rId29" w:history="1">
        <w:r w:rsidRPr="008804DD">
          <w:rPr>
            <w:rStyle w:val="Hyperlink"/>
            <w:sz w:val="16"/>
            <w:lang w:val="en-US"/>
          </w:rPr>
          <w:t>Website</w:t>
        </w:r>
        <w:r w:rsidRPr="008804DD">
          <w:rPr>
            <w:rStyle w:val="Hyperlink"/>
            <w:sz w:val="16"/>
          </w:rPr>
          <w:t xml:space="preserve"> of the Office of the Commissioner for Children</w:t>
        </w:r>
      </w:hyperlink>
      <w:r w:rsidRPr="008804DD">
        <w:rPr>
          <w:sz w:val="16"/>
        </w:rPr>
        <w:t xml:space="preserve"> (</w:t>
      </w:r>
      <w:r w:rsidRPr="008804DD">
        <w:rPr>
          <w:rFonts w:cs="Verdana"/>
          <w:sz w:val="16"/>
          <w:lang w:val="en-US" w:eastAsia="en-GB"/>
        </w:rPr>
        <w:t>last accessed on 2 May 2013).</w:t>
      </w:r>
    </w:p>
  </w:footnote>
  <w:footnote w:id="30">
    <w:p w:rsidR="00811568" w:rsidRPr="008804DD" w:rsidRDefault="00811568" w:rsidP="008804DD">
      <w:pPr>
        <w:pStyle w:val="FootnoteText"/>
        <w:rPr>
          <w:sz w:val="16"/>
        </w:rPr>
      </w:pPr>
      <w:r w:rsidRPr="008804DD">
        <w:rPr>
          <w:rStyle w:val="FootnoteReference"/>
          <w:sz w:val="16"/>
        </w:rPr>
        <w:footnoteRef/>
      </w:r>
      <w:r w:rsidRPr="008804DD">
        <w:rPr>
          <w:sz w:val="16"/>
        </w:rPr>
        <w:t xml:space="preserve"> Article 9(f) of the </w:t>
      </w:r>
      <w:hyperlink r:id="rId30" w:history="1">
        <w:r w:rsidRPr="008804DD">
          <w:rPr>
            <w:rStyle w:val="Hyperlink"/>
            <w:sz w:val="16"/>
          </w:rPr>
          <w:t>Commissioner for Children Act</w:t>
        </w:r>
      </w:hyperlink>
      <w:r w:rsidRPr="008804DD">
        <w:rPr>
          <w:sz w:val="16"/>
        </w:rPr>
        <w:t>.</w:t>
      </w:r>
    </w:p>
  </w:footnote>
  <w:footnote w:id="31">
    <w:p w:rsidR="00811568" w:rsidRPr="008804DD" w:rsidRDefault="00811568" w:rsidP="008804DD">
      <w:pPr>
        <w:pStyle w:val="FootnoteText"/>
        <w:rPr>
          <w:sz w:val="16"/>
        </w:rPr>
      </w:pPr>
      <w:r w:rsidRPr="008804DD">
        <w:rPr>
          <w:rStyle w:val="FootnoteReference"/>
          <w:sz w:val="16"/>
        </w:rPr>
        <w:footnoteRef/>
      </w:r>
      <w:r w:rsidRPr="008804DD">
        <w:rPr>
          <w:sz w:val="16"/>
        </w:rPr>
        <w:t xml:space="preserve"> Article 11 of the </w:t>
      </w:r>
      <w:hyperlink r:id="rId31" w:history="1">
        <w:r w:rsidRPr="008804DD">
          <w:rPr>
            <w:rStyle w:val="Hyperlink"/>
            <w:sz w:val="16"/>
          </w:rPr>
          <w:t>Commissioner for Children Act</w:t>
        </w:r>
      </w:hyperlink>
      <w:r w:rsidRPr="008804DD">
        <w:rPr>
          <w:sz w:val="16"/>
        </w:rPr>
        <w:t>.</w:t>
      </w:r>
    </w:p>
  </w:footnote>
  <w:footnote w:id="32">
    <w:p w:rsidR="00811568" w:rsidRPr="008804DD" w:rsidRDefault="00811568" w:rsidP="008804DD">
      <w:pPr>
        <w:pStyle w:val="FootnoteText"/>
        <w:rPr>
          <w:sz w:val="16"/>
        </w:rPr>
      </w:pPr>
      <w:r w:rsidRPr="008804DD">
        <w:rPr>
          <w:rStyle w:val="FootnoteReference"/>
          <w:sz w:val="16"/>
        </w:rPr>
        <w:footnoteRef/>
      </w:r>
      <w:r w:rsidRPr="008804DD">
        <w:rPr>
          <w:sz w:val="16"/>
        </w:rPr>
        <w:t xml:space="preserve"> </w:t>
      </w:r>
      <w:hyperlink r:id="rId32" w:history="1">
        <w:r w:rsidRPr="008804DD">
          <w:rPr>
            <w:rStyle w:val="Hyperlink"/>
            <w:sz w:val="16"/>
          </w:rPr>
          <w:t>Draft National Children’s Policy</w:t>
        </w:r>
      </w:hyperlink>
      <w:r w:rsidRPr="008804DD">
        <w:rPr>
          <w:sz w:val="16"/>
        </w:rPr>
        <w:t xml:space="preserve">, p.38. </w:t>
      </w:r>
    </w:p>
  </w:footnote>
  <w:footnote w:id="33">
    <w:p w:rsidR="00811568" w:rsidRPr="008804DD" w:rsidRDefault="00811568" w:rsidP="008804DD">
      <w:pPr>
        <w:pStyle w:val="FootnoteText"/>
        <w:rPr>
          <w:sz w:val="16"/>
          <w:lang w:val="en-US"/>
        </w:rPr>
      </w:pPr>
      <w:r w:rsidRPr="008804DD">
        <w:rPr>
          <w:rStyle w:val="FootnoteReference"/>
          <w:sz w:val="16"/>
        </w:rPr>
        <w:footnoteRef/>
      </w:r>
      <w:r w:rsidRPr="008804DD">
        <w:rPr>
          <w:sz w:val="16"/>
        </w:rPr>
        <w:t xml:space="preserve"> </w:t>
      </w:r>
      <w:hyperlink r:id="rId33" w:history="1">
        <w:r w:rsidRPr="008804DD">
          <w:rPr>
            <w:rStyle w:val="Hyperlink"/>
            <w:sz w:val="16"/>
          </w:rPr>
          <w:t>Website of the Welfare Agency for Children</w:t>
        </w:r>
      </w:hyperlink>
      <w:r w:rsidRPr="008804DD">
        <w:rPr>
          <w:sz w:val="16"/>
          <w:lang w:val="en-US"/>
        </w:rPr>
        <w:t xml:space="preserve"> (last accessed on 2 May 2013).</w:t>
      </w:r>
    </w:p>
  </w:footnote>
  <w:footnote w:id="34">
    <w:p w:rsidR="00811568" w:rsidRPr="007A412B" w:rsidRDefault="00811568" w:rsidP="008804DD">
      <w:pPr>
        <w:pStyle w:val="FootnoteText"/>
      </w:pPr>
      <w:r w:rsidRPr="008804DD">
        <w:rPr>
          <w:rStyle w:val="FootnoteReference"/>
          <w:sz w:val="16"/>
        </w:rPr>
        <w:footnoteRef/>
      </w:r>
      <w:r w:rsidRPr="008804DD">
        <w:rPr>
          <w:sz w:val="16"/>
        </w:rPr>
        <w:t xml:space="preserve"> </w:t>
      </w:r>
      <w:hyperlink r:id="rId34" w:history="1">
        <w:r w:rsidRPr="008804DD">
          <w:rPr>
            <w:rStyle w:val="Hyperlink"/>
            <w:sz w:val="16"/>
          </w:rPr>
          <w:t>Website of the Children, Young Persons &amp; Support Services</w:t>
        </w:r>
      </w:hyperlink>
      <w:r w:rsidRPr="008804DD">
        <w:rPr>
          <w:sz w:val="16"/>
        </w:rPr>
        <w:t xml:space="preserve"> (last</w:t>
      </w:r>
      <w:r w:rsidRPr="008804DD">
        <w:rPr>
          <w:sz w:val="16"/>
          <w:lang w:val="en-US"/>
        </w:rPr>
        <w:t xml:space="preserve"> accessed</w:t>
      </w:r>
      <w:r w:rsidRPr="008804DD">
        <w:rPr>
          <w:sz w:val="16"/>
        </w:rPr>
        <w:t xml:space="preserve"> on 2 May 2013).</w:t>
      </w:r>
    </w:p>
  </w:footnote>
  <w:footnote w:id="35">
    <w:p w:rsidR="00811568" w:rsidRPr="008A1796" w:rsidRDefault="00811568" w:rsidP="008804DD">
      <w:pPr>
        <w:pStyle w:val="FootnoteText"/>
        <w:jc w:val="both"/>
      </w:pPr>
      <w:r w:rsidRPr="0041113A">
        <w:rPr>
          <w:rStyle w:val="FootnoteReference"/>
        </w:rPr>
        <w:footnoteRef/>
      </w:r>
      <w:r w:rsidRPr="0041113A">
        <w:t xml:space="preserve"> </w:t>
      </w:r>
      <w:hyperlink r:id="rId35" w:history="1">
        <w:r w:rsidRPr="002A4904">
          <w:rPr>
            <w:rStyle w:val="Hyperlink"/>
          </w:rPr>
          <w:t>Website of the Children, Young Persons &amp; Support Services</w:t>
        </w:r>
      </w:hyperlink>
      <w:r>
        <w:t xml:space="preserve"> (</w:t>
      </w:r>
      <w:r w:rsidRPr="000F5F57">
        <w:t>last</w:t>
      </w:r>
      <w:r w:rsidRPr="00F4183C">
        <w:rPr>
          <w:lang w:val="en-US"/>
        </w:rPr>
        <w:t xml:space="preserve"> accessed</w:t>
      </w:r>
      <w:r w:rsidRPr="000F5F57">
        <w:t xml:space="preserve"> on 2 May 2013)</w:t>
      </w:r>
      <w:r w:rsidRPr="00E57667">
        <w:rPr>
          <w:lang w:val="en-US"/>
        </w:rPr>
        <w:t xml:space="preserve">. </w:t>
      </w:r>
    </w:p>
  </w:footnote>
  <w:footnote w:id="36">
    <w:p w:rsidR="00811568" w:rsidRPr="0041113A" w:rsidRDefault="00811568" w:rsidP="008804DD">
      <w:pPr>
        <w:pStyle w:val="FootnoteText"/>
        <w:jc w:val="both"/>
        <w:rPr>
          <w:lang w:val="fr-BE"/>
        </w:rPr>
      </w:pPr>
      <w:r w:rsidRPr="0041113A">
        <w:rPr>
          <w:rStyle w:val="FootnoteReference"/>
        </w:rPr>
        <w:footnoteRef/>
      </w:r>
      <w:r w:rsidRPr="0041113A">
        <w:t xml:space="preserve"> </w:t>
      </w:r>
      <w:hyperlink r:id="rId36" w:history="1">
        <w:r w:rsidRPr="002A4904">
          <w:rPr>
            <w:rStyle w:val="Hyperlink"/>
          </w:rPr>
          <w:t>Website of the Children, Young Persons &amp; Support Services</w:t>
        </w:r>
      </w:hyperlink>
      <w:r>
        <w:t xml:space="preserve"> (</w:t>
      </w:r>
      <w:r w:rsidRPr="0041113A">
        <w:rPr>
          <w:lang w:val="fr-BE"/>
        </w:rPr>
        <w:t>last accessed on 2 May 2013</w:t>
      </w:r>
      <w:r>
        <w:rPr>
          <w:lang w:val="fr-BE"/>
        </w:rPr>
        <w:t>).</w:t>
      </w:r>
    </w:p>
  </w:footnote>
  <w:footnote w:id="37">
    <w:p w:rsidR="00811568" w:rsidRPr="0040122C" w:rsidRDefault="00811568" w:rsidP="008804DD">
      <w:pPr>
        <w:pStyle w:val="FootnoteText"/>
      </w:pPr>
      <w:r w:rsidRPr="0041113A">
        <w:rPr>
          <w:rStyle w:val="FootnoteReference"/>
        </w:rPr>
        <w:footnoteRef/>
      </w:r>
      <w:r w:rsidRPr="0041113A">
        <w:t xml:space="preserve"> </w:t>
      </w:r>
      <w:hyperlink r:id="rId37" w:history="1">
        <w:r w:rsidRPr="006E2143">
          <w:rPr>
            <w:rStyle w:val="Hyperlink"/>
          </w:rPr>
          <w:t>Draft National Children’s Policy</w:t>
        </w:r>
      </w:hyperlink>
      <w:r w:rsidRPr="0041113A">
        <w:t>, p.58</w:t>
      </w:r>
      <w:r>
        <w:t xml:space="preserve">. </w:t>
      </w:r>
    </w:p>
  </w:footnote>
  <w:footnote w:id="38">
    <w:p w:rsidR="00811568" w:rsidRPr="00DC5D3E" w:rsidRDefault="00811568" w:rsidP="008804DD">
      <w:pPr>
        <w:pStyle w:val="FootnoteText"/>
      </w:pPr>
      <w:r>
        <w:rPr>
          <w:rStyle w:val="FootnoteReference"/>
        </w:rPr>
        <w:footnoteRef/>
      </w:r>
      <w:r>
        <w:t xml:space="preserve"> </w:t>
      </w:r>
      <w:r w:rsidRPr="00C51170">
        <w:t xml:space="preserve">Regulation </w:t>
      </w:r>
      <w:r>
        <w:t>14</w:t>
      </w:r>
      <w:r w:rsidRPr="00C51170">
        <w:t xml:space="preserve"> of </w:t>
      </w:r>
      <w:hyperlink r:id="rId38" w:history="1">
        <w:r w:rsidRPr="008A1796">
          <w:rPr>
            <w:rStyle w:val="Hyperlink"/>
          </w:rPr>
          <w:t>The Civil Court (Family Section), The First Hall of the Civil Court and The Court of Magistrates (Gozo) (Superior Jurisdiction) (Family Section) Regulations</w:t>
        </w:r>
      </w:hyperlink>
      <w:r w:rsidRPr="00C51170">
        <w:t>.</w:t>
      </w:r>
    </w:p>
  </w:footnote>
  <w:footnote w:id="39">
    <w:p w:rsidR="00811568" w:rsidRPr="000F5F57" w:rsidRDefault="00811568" w:rsidP="008804DD">
      <w:pPr>
        <w:pStyle w:val="FootnoteText"/>
      </w:pPr>
      <w:r>
        <w:rPr>
          <w:rStyle w:val="FootnoteReference"/>
        </w:rPr>
        <w:footnoteRef/>
      </w:r>
      <w:r>
        <w:t xml:space="preserve"> </w:t>
      </w:r>
      <w:r w:rsidRPr="000F5F57">
        <w:t xml:space="preserve">Regulation 3(1)(b) </w:t>
      </w:r>
      <w:r w:rsidRPr="00C51170">
        <w:t xml:space="preserve">of </w:t>
      </w:r>
      <w:hyperlink r:id="rId39" w:history="1">
        <w:r w:rsidRPr="008A1796">
          <w:rPr>
            <w:rStyle w:val="Hyperlink"/>
          </w:rPr>
          <w:t>The Civil Court (Family Section), The First Hall of the Civil Court and The Court of Magistrates (Gozo) (Superior Jurisdiction) (Family Section) Regulations</w:t>
        </w:r>
      </w:hyperlink>
      <w:r w:rsidRPr="00C51170">
        <w:t>.</w:t>
      </w:r>
    </w:p>
  </w:footnote>
  <w:footnote w:id="40">
    <w:p w:rsidR="00811568" w:rsidRPr="0040122C" w:rsidRDefault="00811568" w:rsidP="008804DD">
      <w:pPr>
        <w:pStyle w:val="FootnoteText"/>
      </w:pPr>
      <w:r>
        <w:rPr>
          <w:rStyle w:val="FootnoteReference"/>
        </w:rPr>
        <w:footnoteRef/>
      </w:r>
      <w:r>
        <w:t xml:space="preserve"> </w:t>
      </w:r>
      <w:hyperlink r:id="rId40" w:history="1">
        <w:r w:rsidRPr="003965E0">
          <w:rPr>
            <w:rStyle w:val="Hyperlink"/>
          </w:rPr>
          <w:t>Draft National Children’s Policy</w:t>
        </w:r>
      </w:hyperlink>
      <w:r w:rsidRPr="003965E0">
        <w:t>, p.58</w:t>
      </w:r>
      <w:r>
        <w:t>. This has not yet been adopted.</w:t>
      </w:r>
    </w:p>
  </w:footnote>
  <w:footnote w:id="41">
    <w:p w:rsidR="00811568" w:rsidRPr="00813E61" w:rsidRDefault="00811568" w:rsidP="008804DD">
      <w:pPr>
        <w:pStyle w:val="FootnoteText"/>
        <w:rPr>
          <w:sz w:val="16"/>
          <w:lang w:val="en-US"/>
        </w:rPr>
      </w:pPr>
      <w:r w:rsidRPr="00813E61">
        <w:rPr>
          <w:rStyle w:val="FootnoteReference"/>
          <w:sz w:val="16"/>
        </w:rPr>
        <w:footnoteRef/>
      </w:r>
      <w:r w:rsidRPr="00813E61">
        <w:rPr>
          <w:sz w:val="16"/>
        </w:rPr>
        <w:t xml:space="preserve"> </w:t>
      </w:r>
      <w:hyperlink r:id="rId41" w:history="1">
        <w:r w:rsidRPr="00813E61">
          <w:rPr>
            <w:rStyle w:val="Hyperlink"/>
            <w:sz w:val="16"/>
            <w:lang w:val="en-US"/>
          </w:rPr>
          <w:t>Chapter 9 of the Revised Laws of Malta</w:t>
        </w:r>
      </w:hyperlink>
      <w:r w:rsidRPr="00813E61">
        <w:rPr>
          <w:sz w:val="16"/>
          <w:lang w:val="en-US"/>
        </w:rPr>
        <w:t>.</w:t>
      </w:r>
    </w:p>
  </w:footnote>
  <w:footnote w:id="42">
    <w:p w:rsidR="00811568" w:rsidRPr="00813E61" w:rsidRDefault="00811568" w:rsidP="008804DD">
      <w:pPr>
        <w:pStyle w:val="FootnoteText"/>
        <w:widowControl w:val="0"/>
        <w:rPr>
          <w:sz w:val="16"/>
        </w:rPr>
      </w:pPr>
      <w:r w:rsidRPr="00813E61">
        <w:rPr>
          <w:rStyle w:val="FootnoteReference"/>
          <w:rFonts w:cs="Arial"/>
          <w:sz w:val="16"/>
        </w:rPr>
        <w:footnoteRef/>
      </w:r>
      <w:r w:rsidRPr="00813E61">
        <w:rPr>
          <w:sz w:val="16"/>
        </w:rPr>
        <w:t xml:space="preserve"> Article 3 of the </w:t>
      </w:r>
      <w:hyperlink r:id="rId42" w:history="1">
        <w:r w:rsidRPr="00813E61">
          <w:rPr>
            <w:rStyle w:val="Hyperlink"/>
            <w:sz w:val="16"/>
          </w:rPr>
          <w:t>Criminal Code</w:t>
        </w:r>
      </w:hyperlink>
      <w:r w:rsidRPr="00813E61">
        <w:rPr>
          <w:sz w:val="16"/>
        </w:rPr>
        <w:t>.</w:t>
      </w:r>
    </w:p>
  </w:footnote>
  <w:footnote w:id="43">
    <w:p w:rsidR="00811568" w:rsidRPr="00813E61" w:rsidRDefault="00811568" w:rsidP="008804DD">
      <w:pPr>
        <w:pStyle w:val="FootnoteText"/>
        <w:rPr>
          <w:sz w:val="16"/>
          <w:lang w:val="en-US"/>
        </w:rPr>
      </w:pPr>
      <w:r w:rsidRPr="00813E61">
        <w:rPr>
          <w:rStyle w:val="FootnoteReference"/>
          <w:sz w:val="16"/>
        </w:rPr>
        <w:footnoteRef/>
      </w:r>
      <w:r w:rsidRPr="00813E61">
        <w:rPr>
          <w:sz w:val="16"/>
        </w:rPr>
        <w:t xml:space="preserve"> </w:t>
      </w:r>
      <w:r w:rsidRPr="00813E61">
        <w:rPr>
          <w:sz w:val="16"/>
          <w:lang w:val="en-US"/>
        </w:rPr>
        <w:t xml:space="preserve">Article 26 of the </w:t>
      </w:r>
      <w:hyperlink r:id="rId43" w:history="1">
        <w:r w:rsidRPr="00813E61">
          <w:rPr>
            <w:rStyle w:val="Hyperlink"/>
            <w:sz w:val="16"/>
            <w:lang w:val="en-US"/>
          </w:rPr>
          <w:t>Criminal Code</w:t>
        </w:r>
      </w:hyperlink>
      <w:r w:rsidRPr="00813E61">
        <w:rPr>
          <w:sz w:val="16"/>
          <w:lang w:val="en-US"/>
        </w:rPr>
        <w:t>.</w:t>
      </w:r>
    </w:p>
  </w:footnote>
  <w:footnote w:id="44">
    <w:p w:rsidR="00811568" w:rsidRPr="00813E61" w:rsidRDefault="00811568" w:rsidP="008804DD">
      <w:pPr>
        <w:pStyle w:val="FootnoteText"/>
        <w:rPr>
          <w:sz w:val="16"/>
          <w:lang w:val="en-US"/>
        </w:rPr>
      </w:pPr>
      <w:r w:rsidRPr="00813E61">
        <w:rPr>
          <w:rStyle w:val="FootnoteReference"/>
          <w:sz w:val="16"/>
        </w:rPr>
        <w:footnoteRef/>
      </w:r>
      <w:r w:rsidRPr="00813E61">
        <w:rPr>
          <w:sz w:val="16"/>
        </w:rPr>
        <w:t xml:space="preserve"> </w:t>
      </w:r>
      <w:r w:rsidRPr="00813E61">
        <w:rPr>
          <w:sz w:val="16"/>
          <w:lang w:val="en-US"/>
        </w:rPr>
        <w:t xml:space="preserve">Article 157 of the </w:t>
      </w:r>
      <w:hyperlink r:id="rId44" w:history="1">
        <w:r w:rsidRPr="00813E61">
          <w:rPr>
            <w:rStyle w:val="Hyperlink"/>
            <w:sz w:val="16"/>
          </w:rPr>
          <w:t>Civil Code</w:t>
        </w:r>
      </w:hyperlink>
      <w:r w:rsidRPr="00813E61">
        <w:rPr>
          <w:sz w:val="16"/>
          <w:lang w:val="en-US"/>
        </w:rPr>
        <w:t>.</w:t>
      </w:r>
    </w:p>
  </w:footnote>
  <w:footnote w:id="45">
    <w:p w:rsidR="00811568" w:rsidRPr="00813E61" w:rsidRDefault="00811568" w:rsidP="008804DD">
      <w:pPr>
        <w:pStyle w:val="FootnoteText"/>
        <w:rPr>
          <w:sz w:val="16"/>
        </w:rPr>
      </w:pPr>
      <w:r w:rsidRPr="00813E61">
        <w:rPr>
          <w:rStyle w:val="FootnoteReference"/>
          <w:sz w:val="16"/>
        </w:rPr>
        <w:footnoteRef/>
      </w:r>
      <w:r w:rsidRPr="00813E61">
        <w:rPr>
          <w:sz w:val="16"/>
        </w:rPr>
        <w:t xml:space="preserve"> Article 188 of the </w:t>
      </w:r>
      <w:hyperlink r:id="rId45" w:history="1">
        <w:r w:rsidRPr="00813E61">
          <w:rPr>
            <w:rStyle w:val="Hyperlink"/>
            <w:sz w:val="16"/>
          </w:rPr>
          <w:t>Civil Code</w:t>
        </w:r>
      </w:hyperlink>
      <w:r w:rsidRPr="00813E61">
        <w:rPr>
          <w:sz w:val="16"/>
        </w:rPr>
        <w:t>.</w:t>
      </w:r>
    </w:p>
  </w:footnote>
  <w:footnote w:id="46">
    <w:p w:rsidR="00811568" w:rsidRPr="00813E61" w:rsidRDefault="00811568" w:rsidP="008804DD">
      <w:pPr>
        <w:pStyle w:val="FootnoteText"/>
        <w:rPr>
          <w:sz w:val="16"/>
        </w:rPr>
      </w:pPr>
      <w:r w:rsidRPr="00813E61">
        <w:rPr>
          <w:rStyle w:val="FootnoteReference"/>
          <w:sz w:val="16"/>
        </w:rPr>
        <w:footnoteRef/>
      </w:r>
      <w:r w:rsidRPr="00813E61">
        <w:rPr>
          <w:sz w:val="16"/>
        </w:rPr>
        <w:t xml:space="preserve"> </w:t>
      </w:r>
      <w:hyperlink r:id="rId46" w:history="1">
        <w:r w:rsidRPr="00813E61">
          <w:rPr>
            <w:rStyle w:val="Hyperlink"/>
            <w:sz w:val="16"/>
          </w:rPr>
          <w:t>Chapter 13 of the Revised Laws of Malta</w:t>
        </w:r>
      </w:hyperlink>
      <w:r w:rsidRPr="00813E61">
        <w:rPr>
          <w:sz w:val="16"/>
        </w:rPr>
        <w:t>.</w:t>
      </w:r>
    </w:p>
  </w:footnote>
  <w:footnote w:id="47">
    <w:p w:rsidR="00811568" w:rsidRPr="00813E61" w:rsidRDefault="00811568" w:rsidP="008804DD">
      <w:pPr>
        <w:pStyle w:val="FootnoteText"/>
        <w:rPr>
          <w:sz w:val="16"/>
        </w:rPr>
      </w:pPr>
      <w:r w:rsidRPr="00813E61">
        <w:rPr>
          <w:rStyle w:val="FootnoteReference"/>
          <w:sz w:val="16"/>
        </w:rPr>
        <w:footnoteRef/>
      </w:r>
      <w:r w:rsidRPr="00813E61">
        <w:rPr>
          <w:sz w:val="16"/>
        </w:rPr>
        <w:t xml:space="preserve"> Article 156 of the </w:t>
      </w:r>
      <w:hyperlink r:id="rId47" w:history="1">
        <w:r w:rsidRPr="00813E61">
          <w:rPr>
            <w:rStyle w:val="Hyperlink"/>
            <w:sz w:val="16"/>
          </w:rPr>
          <w:t>Civil Code</w:t>
        </w:r>
      </w:hyperlink>
      <w:r w:rsidRPr="00813E61">
        <w:rPr>
          <w:sz w:val="16"/>
        </w:rPr>
        <w:t>.</w:t>
      </w:r>
    </w:p>
  </w:footnote>
  <w:footnote w:id="48">
    <w:p w:rsidR="00811568" w:rsidRPr="00813E61" w:rsidRDefault="00811568" w:rsidP="008804DD">
      <w:pPr>
        <w:pStyle w:val="FootnoteText"/>
        <w:jc w:val="both"/>
        <w:rPr>
          <w:sz w:val="16"/>
          <w:lang w:val="en-US"/>
        </w:rPr>
      </w:pPr>
      <w:r w:rsidRPr="00813E61">
        <w:rPr>
          <w:rStyle w:val="FootnoteReference"/>
          <w:sz w:val="16"/>
        </w:rPr>
        <w:footnoteRef/>
      </w:r>
      <w:r w:rsidRPr="00813E61">
        <w:rPr>
          <w:sz w:val="16"/>
        </w:rPr>
        <w:t xml:space="preserve"> </w:t>
      </w:r>
      <w:r w:rsidRPr="00813E61">
        <w:rPr>
          <w:sz w:val="16"/>
          <w:lang w:val="en-US"/>
        </w:rPr>
        <w:t xml:space="preserve">Regulation 2(1) of </w:t>
      </w:r>
      <w:hyperlink r:id="rId48" w:history="1">
        <w:r w:rsidRPr="00813E61">
          <w:rPr>
            <w:rStyle w:val="Hyperlink"/>
            <w:sz w:val="16"/>
            <w:lang w:val="en-US"/>
          </w:rPr>
          <w:t>the Young Persons (employment) Regulations</w:t>
        </w:r>
      </w:hyperlink>
      <w:r w:rsidRPr="00813E61">
        <w:rPr>
          <w:sz w:val="16"/>
          <w:lang w:val="en-US"/>
        </w:rPr>
        <w:t>, Legal Notice 440 of 2003 (Subsidiary Legislation 452.92).</w:t>
      </w:r>
    </w:p>
  </w:footnote>
  <w:footnote w:id="49">
    <w:p w:rsidR="00811568" w:rsidRPr="00813E61" w:rsidRDefault="00811568" w:rsidP="008804DD">
      <w:pPr>
        <w:pStyle w:val="FootnoteText"/>
        <w:rPr>
          <w:sz w:val="16"/>
        </w:rPr>
      </w:pPr>
      <w:r w:rsidRPr="00813E61">
        <w:rPr>
          <w:rStyle w:val="FootnoteReference"/>
          <w:sz w:val="16"/>
        </w:rPr>
        <w:footnoteRef/>
      </w:r>
      <w:r w:rsidRPr="00813E61">
        <w:rPr>
          <w:sz w:val="16"/>
        </w:rPr>
        <w:t xml:space="preserve"> Article 135 of the </w:t>
      </w:r>
      <w:hyperlink r:id="rId49" w:history="1">
        <w:r w:rsidRPr="00813E61">
          <w:rPr>
            <w:rStyle w:val="Hyperlink"/>
            <w:sz w:val="16"/>
          </w:rPr>
          <w:t>Civil Code</w:t>
        </w:r>
      </w:hyperlink>
      <w:r w:rsidRPr="00813E61">
        <w:rPr>
          <w:sz w:val="16"/>
        </w:rPr>
        <w:t>.</w:t>
      </w:r>
    </w:p>
  </w:footnote>
  <w:footnote w:id="50">
    <w:p w:rsidR="00811568" w:rsidRPr="00F33651" w:rsidRDefault="00811568" w:rsidP="008804DD">
      <w:pPr>
        <w:pStyle w:val="FootnoteText"/>
      </w:pPr>
      <w:r w:rsidRPr="00813E61">
        <w:rPr>
          <w:rStyle w:val="FootnoteReference"/>
          <w:sz w:val="16"/>
        </w:rPr>
        <w:footnoteRef/>
      </w:r>
      <w:r w:rsidRPr="00813E61">
        <w:rPr>
          <w:sz w:val="16"/>
        </w:rPr>
        <w:t xml:space="preserve"> Article 150 of the </w:t>
      </w:r>
      <w:hyperlink r:id="rId50" w:history="1">
        <w:r w:rsidRPr="00813E61">
          <w:rPr>
            <w:rStyle w:val="Hyperlink"/>
            <w:sz w:val="16"/>
          </w:rPr>
          <w:t>Civil Code</w:t>
        </w:r>
      </w:hyperlink>
      <w:r w:rsidRPr="00813E61">
        <w:rPr>
          <w:sz w:val="16"/>
        </w:rPr>
        <w:t>.</w:t>
      </w:r>
    </w:p>
  </w:footnote>
  <w:footnote w:id="51">
    <w:p w:rsidR="00811568" w:rsidRPr="00813E61" w:rsidRDefault="00811568" w:rsidP="008804DD">
      <w:pPr>
        <w:pStyle w:val="FootnoteText"/>
        <w:rPr>
          <w:sz w:val="16"/>
        </w:rPr>
      </w:pPr>
      <w:r w:rsidRPr="00813E61">
        <w:rPr>
          <w:rStyle w:val="FootnoteReference"/>
          <w:sz w:val="16"/>
        </w:rPr>
        <w:footnoteRef/>
      </w:r>
      <w:r w:rsidRPr="00813E61">
        <w:rPr>
          <w:sz w:val="16"/>
        </w:rPr>
        <w:t xml:space="preserve"> Articles 158 to160 of the </w:t>
      </w:r>
      <w:hyperlink r:id="rId51" w:history="1">
        <w:r w:rsidRPr="00813E61">
          <w:rPr>
            <w:rStyle w:val="Hyperlink"/>
            <w:sz w:val="16"/>
          </w:rPr>
          <w:t>Civil Code</w:t>
        </w:r>
      </w:hyperlink>
      <w:r w:rsidRPr="00813E61">
        <w:rPr>
          <w:sz w:val="16"/>
        </w:rPr>
        <w:t>.</w:t>
      </w:r>
    </w:p>
  </w:footnote>
  <w:footnote w:id="52">
    <w:p w:rsidR="00811568" w:rsidRPr="00813E61" w:rsidRDefault="00811568" w:rsidP="008804DD">
      <w:pPr>
        <w:pStyle w:val="FootnoteText"/>
        <w:rPr>
          <w:sz w:val="16"/>
        </w:rPr>
      </w:pPr>
      <w:r w:rsidRPr="00813E61">
        <w:rPr>
          <w:rStyle w:val="FootnoteReference"/>
          <w:sz w:val="16"/>
        </w:rPr>
        <w:footnoteRef/>
      </w:r>
      <w:r w:rsidRPr="00813E61">
        <w:rPr>
          <w:sz w:val="16"/>
        </w:rPr>
        <w:t xml:space="preserve"> That is, a ‘good father of the family’; Article 172 of the </w:t>
      </w:r>
      <w:hyperlink r:id="rId52" w:history="1">
        <w:r w:rsidRPr="00813E61">
          <w:rPr>
            <w:rStyle w:val="Hyperlink"/>
            <w:sz w:val="16"/>
          </w:rPr>
          <w:t>Civil Code</w:t>
        </w:r>
      </w:hyperlink>
      <w:r w:rsidRPr="00813E61">
        <w:rPr>
          <w:sz w:val="16"/>
        </w:rPr>
        <w:t>.</w:t>
      </w:r>
    </w:p>
  </w:footnote>
  <w:footnote w:id="53">
    <w:p w:rsidR="00811568" w:rsidRPr="00813E61" w:rsidRDefault="00811568" w:rsidP="008804DD">
      <w:pPr>
        <w:pStyle w:val="FootnoteText"/>
        <w:rPr>
          <w:sz w:val="16"/>
        </w:rPr>
      </w:pPr>
      <w:r w:rsidRPr="00813E61">
        <w:rPr>
          <w:rStyle w:val="FootnoteReference"/>
          <w:sz w:val="16"/>
        </w:rPr>
        <w:footnoteRef/>
      </w:r>
      <w:r w:rsidRPr="00813E61">
        <w:rPr>
          <w:sz w:val="16"/>
        </w:rPr>
        <w:t xml:space="preserve"> Article 2 of the </w:t>
      </w:r>
      <w:hyperlink r:id="rId53" w:history="1">
        <w:r w:rsidRPr="00813E61">
          <w:rPr>
            <w:rStyle w:val="Hyperlink"/>
            <w:sz w:val="16"/>
          </w:rPr>
          <w:t>Commissioner for Children Act</w:t>
        </w:r>
      </w:hyperlink>
      <w:r w:rsidRPr="00813E61">
        <w:rPr>
          <w:sz w:val="16"/>
        </w:rPr>
        <w:t>.</w:t>
      </w:r>
    </w:p>
  </w:footnote>
  <w:footnote w:id="54">
    <w:p w:rsidR="00811568" w:rsidRPr="00813E61" w:rsidRDefault="00811568" w:rsidP="008804DD">
      <w:pPr>
        <w:pStyle w:val="FootnoteText"/>
        <w:rPr>
          <w:sz w:val="16"/>
        </w:rPr>
      </w:pPr>
      <w:r w:rsidRPr="00813E61">
        <w:rPr>
          <w:rStyle w:val="FootnoteReference"/>
          <w:sz w:val="16"/>
        </w:rPr>
        <w:footnoteRef/>
      </w:r>
      <w:r w:rsidRPr="00813E61">
        <w:rPr>
          <w:sz w:val="16"/>
        </w:rPr>
        <w:t xml:space="preserve"> Article 2 of the </w:t>
      </w:r>
      <w:hyperlink r:id="rId54" w:history="1">
        <w:r w:rsidRPr="00813E61">
          <w:rPr>
            <w:rStyle w:val="Hyperlink"/>
            <w:sz w:val="16"/>
          </w:rPr>
          <w:t>Juvenile Court Act</w:t>
        </w:r>
      </w:hyperlink>
      <w:r w:rsidRPr="00813E61">
        <w:rPr>
          <w:sz w:val="16"/>
        </w:rPr>
        <w:t xml:space="preserve"> and Article 2 of the </w:t>
      </w:r>
      <w:hyperlink r:id="rId55" w:history="1">
        <w:r w:rsidRPr="00813E61">
          <w:rPr>
            <w:rStyle w:val="Hyperlink"/>
            <w:sz w:val="16"/>
          </w:rPr>
          <w:t>Children and Young Persons (Care Orders) Act</w:t>
        </w:r>
      </w:hyperlink>
      <w:r w:rsidRPr="00813E61">
        <w:rPr>
          <w:sz w:val="16"/>
        </w:rPr>
        <w:t>.</w:t>
      </w:r>
    </w:p>
  </w:footnote>
  <w:footnote w:id="55">
    <w:p w:rsidR="00811568" w:rsidRPr="00813E61" w:rsidRDefault="00811568" w:rsidP="008804DD">
      <w:pPr>
        <w:pStyle w:val="FootnoteText"/>
        <w:rPr>
          <w:sz w:val="16"/>
        </w:rPr>
      </w:pPr>
      <w:r w:rsidRPr="00813E61">
        <w:rPr>
          <w:rStyle w:val="FootnoteReference"/>
          <w:sz w:val="16"/>
        </w:rPr>
        <w:footnoteRef/>
      </w:r>
      <w:r w:rsidRPr="00813E61">
        <w:rPr>
          <w:sz w:val="16"/>
        </w:rPr>
        <w:t xml:space="preserve"> Article 2(1) of the </w:t>
      </w:r>
      <w:hyperlink r:id="rId56" w:history="1">
        <w:r w:rsidRPr="00813E61">
          <w:rPr>
            <w:rStyle w:val="Hyperlink"/>
            <w:sz w:val="16"/>
          </w:rPr>
          <w:t>Child Abduction and Custody Act</w:t>
        </w:r>
      </w:hyperlink>
      <w:r w:rsidRPr="00813E61">
        <w:rPr>
          <w:sz w:val="16"/>
        </w:rPr>
        <w:t>, Chapter 410 of the Revised Laws of Malta.</w:t>
      </w:r>
    </w:p>
  </w:footnote>
  <w:footnote w:id="56">
    <w:p w:rsidR="00811568" w:rsidRPr="00813E61" w:rsidRDefault="00811568" w:rsidP="008804DD">
      <w:pPr>
        <w:pStyle w:val="FootnoteText"/>
        <w:jc w:val="both"/>
        <w:rPr>
          <w:sz w:val="16"/>
        </w:rPr>
      </w:pPr>
      <w:r w:rsidRPr="00813E61">
        <w:rPr>
          <w:rStyle w:val="FootnoteReference"/>
          <w:sz w:val="16"/>
        </w:rPr>
        <w:footnoteRef/>
      </w:r>
      <w:r w:rsidRPr="00813E61">
        <w:rPr>
          <w:sz w:val="16"/>
        </w:rPr>
        <w:t xml:space="preserve"> Article 39 of the </w:t>
      </w:r>
      <w:hyperlink r:id="rId57" w:history="1">
        <w:r w:rsidRPr="00813E61">
          <w:rPr>
            <w:rStyle w:val="Hyperlink"/>
            <w:sz w:val="16"/>
          </w:rPr>
          <w:t>Civil Code</w:t>
        </w:r>
      </w:hyperlink>
      <w:r w:rsidRPr="00813E61">
        <w:rPr>
          <w:sz w:val="16"/>
        </w:rPr>
        <w:t xml:space="preserve">. The provisions of Articles 412C and 412D of the </w:t>
      </w:r>
      <w:hyperlink r:id="rId58" w:history="1">
        <w:r w:rsidRPr="00813E61">
          <w:rPr>
            <w:rStyle w:val="Hyperlink"/>
            <w:sz w:val="16"/>
          </w:rPr>
          <w:t>Criminal Code</w:t>
        </w:r>
      </w:hyperlink>
      <w:r w:rsidRPr="00813E61">
        <w:rPr>
          <w:sz w:val="16"/>
        </w:rPr>
        <w:t xml:space="preserve"> (Chapter 9 of the Revised Laws of Malta) apply to orders issued under this provision.</w:t>
      </w:r>
    </w:p>
  </w:footnote>
  <w:footnote w:id="57">
    <w:p w:rsidR="00811568" w:rsidRPr="00813E61" w:rsidRDefault="00811568" w:rsidP="008804DD">
      <w:pPr>
        <w:pStyle w:val="FootnoteText"/>
        <w:rPr>
          <w:sz w:val="16"/>
        </w:rPr>
      </w:pPr>
      <w:r w:rsidRPr="00813E61">
        <w:rPr>
          <w:rStyle w:val="FootnoteReference"/>
          <w:sz w:val="16"/>
        </w:rPr>
        <w:footnoteRef/>
      </w:r>
      <w:r w:rsidRPr="00813E61">
        <w:rPr>
          <w:sz w:val="16"/>
        </w:rPr>
        <w:t xml:space="preserve"> Article 47 of the </w:t>
      </w:r>
      <w:hyperlink r:id="rId59" w:history="1">
        <w:r w:rsidRPr="00813E61">
          <w:rPr>
            <w:rStyle w:val="Hyperlink"/>
            <w:sz w:val="16"/>
          </w:rPr>
          <w:t>Civil Code</w:t>
        </w:r>
      </w:hyperlink>
      <w:r w:rsidRPr="00813E61">
        <w:rPr>
          <w:sz w:val="16"/>
        </w:rPr>
        <w:t>.</w:t>
      </w:r>
    </w:p>
  </w:footnote>
  <w:footnote w:id="58">
    <w:p w:rsidR="00811568" w:rsidRPr="00813E61" w:rsidRDefault="00811568" w:rsidP="008804DD">
      <w:pPr>
        <w:pStyle w:val="FootnoteText"/>
        <w:rPr>
          <w:sz w:val="16"/>
        </w:rPr>
      </w:pPr>
      <w:r w:rsidRPr="00813E61">
        <w:rPr>
          <w:rStyle w:val="FootnoteReference"/>
          <w:sz w:val="16"/>
        </w:rPr>
        <w:footnoteRef/>
      </w:r>
      <w:r w:rsidRPr="00813E61">
        <w:rPr>
          <w:sz w:val="16"/>
        </w:rPr>
        <w:t xml:space="preserve"> Article 54 of the </w:t>
      </w:r>
      <w:hyperlink r:id="rId60" w:history="1">
        <w:r w:rsidRPr="00813E61">
          <w:rPr>
            <w:rStyle w:val="Hyperlink"/>
            <w:sz w:val="16"/>
          </w:rPr>
          <w:t>Civil Code</w:t>
        </w:r>
      </w:hyperlink>
      <w:r w:rsidRPr="00813E61">
        <w:rPr>
          <w:sz w:val="16"/>
        </w:rPr>
        <w:t>.</w:t>
      </w:r>
    </w:p>
  </w:footnote>
  <w:footnote w:id="59">
    <w:p w:rsidR="00811568" w:rsidRPr="00813E61" w:rsidRDefault="00811568" w:rsidP="008804DD">
      <w:pPr>
        <w:pStyle w:val="FootnoteText"/>
        <w:rPr>
          <w:sz w:val="16"/>
        </w:rPr>
      </w:pPr>
      <w:r w:rsidRPr="00813E61">
        <w:rPr>
          <w:rStyle w:val="FootnoteReference"/>
          <w:sz w:val="16"/>
        </w:rPr>
        <w:footnoteRef/>
      </w:r>
      <w:r w:rsidRPr="00813E61">
        <w:rPr>
          <w:sz w:val="16"/>
        </w:rPr>
        <w:t xml:space="preserve"> Article 55A of the </w:t>
      </w:r>
      <w:hyperlink r:id="rId61" w:history="1">
        <w:r w:rsidRPr="00813E61">
          <w:rPr>
            <w:rStyle w:val="Hyperlink"/>
            <w:sz w:val="16"/>
          </w:rPr>
          <w:t>Civil Code</w:t>
        </w:r>
      </w:hyperlink>
      <w:r w:rsidRPr="00813E61">
        <w:rPr>
          <w:sz w:val="16"/>
        </w:rPr>
        <w:t>.</w:t>
      </w:r>
    </w:p>
  </w:footnote>
  <w:footnote w:id="60">
    <w:p w:rsidR="00811568" w:rsidRPr="00813E61" w:rsidRDefault="00811568" w:rsidP="008804DD">
      <w:pPr>
        <w:pStyle w:val="FootnoteText"/>
        <w:rPr>
          <w:sz w:val="16"/>
        </w:rPr>
      </w:pPr>
      <w:r w:rsidRPr="00813E61">
        <w:rPr>
          <w:rStyle w:val="FootnoteReference"/>
          <w:sz w:val="16"/>
        </w:rPr>
        <w:footnoteRef/>
      </w:r>
      <w:r w:rsidRPr="00813E61">
        <w:rPr>
          <w:sz w:val="16"/>
        </w:rPr>
        <w:t xml:space="preserve"> Article 56 of the </w:t>
      </w:r>
      <w:hyperlink r:id="rId62" w:history="1">
        <w:r w:rsidRPr="00813E61">
          <w:rPr>
            <w:rStyle w:val="Hyperlink"/>
            <w:sz w:val="16"/>
          </w:rPr>
          <w:t>Civil Code</w:t>
        </w:r>
      </w:hyperlink>
      <w:r w:rsidRPr="00813E61">
        <w:rPr>
          <w:sz w:val="16"/>
        </w:rPr>
        <w:t>.</w:t>
      </w:r>
    </w:p>
  </w:footnote>
  <w:footnote w:id="61">
    <w:p w:rsidR="00811568" w:rsidRPr="00813E61" w:rsidRDefault="00811568" w:rsidP="008804DD">
      <w:pPr>
        <w:pStyle w:val="FootnoteText"/>
        <w:rPr>
          <w:sz w:val="16"/>
        </w:rPr>
      </w:pPr>
      <w:r w:rsidRPr="00813E61">
        <w:rPr>
          <w:rStyle w:val="FootnoteReference"/>
          <w:sz w:val="16"/>
        </w:rPr>
        <w:footnoteRef/>
      </w:r>
      <w:r w:rsidRPr="00813E61">
        <w:rPr>
          <w:sz w:val="16"/>
        </w:rPr>
        <w:t xml:space="preserve"> Article 57 of the </w:t>
      </w:r>
      <w:hyperlink r:id="rId63" w:history="1">
        <w:r w:rsidRPr="00813E61">
          <w:rPr>
            <w:rStyle w:val="Hyperlink"/>
            <w:sz w:val="16"/>
          </w:rPr>
          <w:t>Civil Code</w:t>
        </w:r>
      </w:hyperlink>
      <w:r w:rsidRPr="00813E61">
        <w:rPr>
          <w:sz w:val="16"/>
        </w:rPr>
        <w:t>.</w:t>
      </w:r>
    </w:p>
  </w:footnote>
  <w:footnote w:id="62">
    <w:p w:rsidR="00811568" w:rsidRPr="00B17C53" w:rsidRDefault="00811568" w:rsidP="008804DD">
      <w:pPr>
        <w:pStyle w:val="FootnoteText"/>
      </w:pPr>
      <w:r w:rsidRPr="00813E61">
        <w:rPr>
          <w:rStyle w:val="FootnoteReference"/>
          <w:sz w:val="16"/>
        </w:rPr>
        <w:footnoteRef/>
      </w:r>
      <w:r w:rsidRPr="00813E61">
        <w:rPr>
          <w:sz w:val="16"/>
        </w:rPr>
        <w:t xml:space="preserve"> Article 61 of the </w:t>
      </w:r>
      <w:hyperlink r:id="rId64" w:history="1">
        <w:r w:rsidRPr="00813E61">
          <w:rPr>
            <w:rStyle w:val="Hyperlink"/>
            <w:sz w:val="16"/>
          </w:rPr>
          <w:t>Civil Code</w:t>
        </w:r>
      </w:hyperlink>
      <w:r w:rsidRPr="00813E61">
        <w:rPr>
          <w:sz w:val="16"/>
        </w:rPr>
        <w:t>.</w:t>
      </w:r>
    </w:p>
  </w:footnote>
  <w:footnote w:id="63">
    <w:p w:rsidR="00811568" w:rsidRPr="00813E61" w:rsidRDefault="00811568" w:rsidP="008804DD">
      <w:pPr>
        <w:pStyle w:val="FootnoteText"/>
        <w:rPr>
          <w:sz w:val="16"/>
        </w:rPr>
      </w:pPr>
      <w:r w:rsidRPr="00813E61">
        <w:rPr>
          <w:rStyle w:val="FootnoteReference"/>
          <w:sz w:val="16"/>
        </w:rPr>
        <w:footnoteRef/>
      </w:r>
      <w:r w:rsidRPr="00813E61">
        <w:rPr>
          <w:sz w:val="16"/>
        </w:rPr>
        <w:t xml:space="preserve"> Article 120 of the </w:t>
      </w:r>
      <w:hyperlink r:id="rId65" w:history="1">
        <w:r w:rsidRPr="00813E61">
          <w:rPr>
            <w:rStyle w:val="Hyperlink"/>
            <w:sz w:val="16"/>
          </w:rPr>
          <w:t>Civil Code</w:t>
        </w:r>
      </w:hyperlink>
      <w:r w:rsidRPr="00813E61">
        <w:rPr>
          <w:sz w:val="16"/>
        </w:rPr>
        <w:t>.</w:t>
      </w:r>
    </w:p>
  </w:footnote>
  <w:footnote w:id="64">
    <w:p w:rsidR="00811568" w:rsidRPr="00813E61" w:rsidRDefault="00811568" w:rsidP="008804DD">
      <w:pPr>
        <w:pStyle w:val="FootnoteText"/>
        <w:jc w:val="both"/>
        <w:rPr>
          <w:sz w:val="16"/>
          <w:lang w:val="en-US"/>
        </w:rPr>
      </w:pPr>
      <w:r w:rsidRPr="00813E61">
        <w:rPr>
          <w:rStyle w:val="FootnoteReference"/>
          <w:sz w:val="16"/>
        </w:rPr>
        <w:footnoteRef/>
      </w:r>
      <w:r w:rsidRPr="00813E61">
        <w:rPr>
          <w:sz w:val="16"/>
        </w:rPr>
        <w:t xml:space="preserve"> </w:t>
      </w:r>
      <w:r w:rsidRPr="00813E61">
        <w:rPr>
          <w:sz w:val="16"/>
          <w:lang w:val="en-US"/>
        </w:rPr>
        <w:t xml:space="preserve">Information obtained through interview with stakeholder (lawyer) and court practice. </w:t>
      </w:r>
    </w:p>
  </w:footnote>
  <w:footnote w:id="65">
    <w:p w:rsidR="00811568" w:rsidRPr="00813E61" w:rsidRDefault="00811568" w:rsidP="008804DD">
      <w:pPr>
        <w:pStyle w:val="FootnoteText"/>
        <w:rPr>
          <w:sz w:val="16"/>
          <w:lang w:val="en-US"/>
        </w:rPr>
      </w:pPr>
      <w:r w:rsidRPr="00813E61">
        <w:rPr>
          <w:rStyle w:val="FootnoteReference"/>
          <w:sz w:val="16"/>
        </w:rPr>
        <w:footnoteRef/>
      </w:r>
      <w:r w:rsidRPr="00813E61">
        <w:rPr>
          <w:sz w:val="16"/>
        </w:rPr>
        <w:t xml:space="preserve"> </w:t>
      </w:r>
      <w:r w:rsidRPr="00813E61">
        <w:rPr>
          <w:sz w:val="16"/>
          <w:lang w:val="en-US"/>
        </w:rPr>
        <w:t>Information obtained through interview with stakeholder (lawyer).</w:t>
      </w:r>
    </w:p>
  </w:footnote>
  <w:footnote w:id="66">
    <w:p w:rsidR="00811568" w:rsidRPr="00813E61" w:rsidRDefault="00811568" w:rsidP="008804DD">
      <w:pPr>
        <w:pStyle w:val="FootnoteText"/>
        <w:rPr>
          <w:sz w:val="16"/>
        </w:rPr>
      </w:pPr>
      <w:r w:rsidRPr="00813E61">
        <w:rPr>
          <w:rStyle w:val="FootnoteReference"/>
          <w:sz w:val="16"/>
        </w:rPr>
        <w:footnoteRef/>
      </w:r>
      <w:r w:rsidRPr="00813E61">
        <w:rPr>
          <w:sz w:val="16"/>
        </w:rPr>
        <w:t xml:space="preserve"> Information obtained through </w:t>
      </w:r>
      <w:r w:rsidRPr="00813E61">
        <w:rPr>
          <w:sz w:val="16"/>
          <w:lang w:val="en-US"/>
        </w:rPr>
        <w:t>interview with stakeholder (lawyer).</w:t>
      </w:r>
    </w:p>
  </w:footnote>
  <w:footnote w:id="67">
    <w:p w:rsidR="00811568" w:rsidRPr="00813E61" w:rsidRDefault="00811568" w:rsidP="008804DD">
      <w:pPr>
        <w:pStyle w:val="FootnoteText"/>
        <w:rPr>
          <w:sz w:val="16"/>
        </w:rPr>
      </w:pPr>
      <w:r w:rsidRPr="00813E61">
        <w:rPr>
          <w:rStyle w:val="FootnoteReference"/>
          <w:sz w:val="16"/>
        </w:rPr>
        <w:footnoteRef/>
      </w:r>
      <w:r w:rsidRPr="00813E61">
        <w:rPr>
          <w:sz w:val="16"/>
        </w:rPr>
        <w:t xml:space="preserve"> Article 10(b) of the </w:t>
      </w:r>
      <w:hyperlink r:id="rId66" w:history="1">
        <w:r w:rsidRPr="00813E61">
          <w:rPr>
            <w:rStyle w:val="Hyperlink"/>
            <w:sz w:val="16"/>
          </w:rPr>
          <w:t>Commissioner for Children Act</w:t>
        </w:r>
      </w:hyperlink>
      <w:r w:rsidRPr="00813E61">
        <w:rPr>
          <w:sz w:val="16"/>
        </w:rPr>
        <w:t>.</w:t>
      </w:r>
    </w:p>
  </w:footnote>
  <w:footnote w:id="68">
    <w:p w:rsidR="00811568" w:rsidRPr="00813E61" w:rsidRDefault="00811568" w:rsidP="008804DD">
      <w:pPr>
        <w:pStyle w:val="FootnoteText"/>
        <w:rPr>
          <w:sz w:val="16"/>
        </w:rPr>
      </w:pPr>
      <w:r w:rsidRPr="00813E61">
        <w:rPr>
          <w:rStyle w:val="FootnoteReference"/>
          <w:sz w:val="16"/>
        </w:rPr>
        <w:footnoteRef/>
      </w:r>
      <w:r w:rsidRPr="00813E61">
        <w:rPr>
          <w:sz w:val="16"/>
        </w:rPr>
        <w:t xml:space="preserve"> Article 6A of the </w:t>
      </w:r>
      <w:hyperlink r:id="rId67" w:history="1">
        <w:r w:rsidRPr="00813E61">
          <w:rPr>
            <w:rStyle w:val="Hyperlink"/>
            <w:sz w:val="16"/>
          </w:rPr>
          <w:t>Civil Code</w:t>
        </w:r>
      </w:hyperlink>
      <w:r w:rsidRPr="00813E61">
        <w:rPr>
          <w:sz w:val="16"/>
        </w:rPr>
        <w:t>.</w:t>
      </w:r>
    </w:p>
  </w:footnote>
  <w:footnote w:id="69">
    <w:p w:rsidR="00811568" w:rsidRPr="000F5F57" w:rsidRDefault="00811568" w:rsidP="008804DD">
      <w:pPr>
        <w:pStyle w:val="FootnoteText"/>
      </w:pPr>
      <w:r w:rsidRPr="00813E61">
        <w:rPr>
          <w:rStyle w:val="FootnoteReference"/>
          <w:sz w:val="16"/>
        </w:rPr>
        <w:footnoteRef/>
      </w:r>
      <w:r w:rsidRPr="00813E61">
        <w:rPr>
          <w:sz w:val="16"/>
        </w:rPr>
        <w:t xml:space="preserve"> </w:t>
      </w:r>
      <w:hyperlink r:id="rId68" w:history="1">
        <w:r w:rsidRPr="00813E61">
          <w:rPr>
            <w:rStyle w:val="Hyperlink"/>
            <w:sz w:val="16"/>
          </w:rPr>
          <w:t>Chapter 319 of the Revised Laws of Malta</w:t>
        </w:r>
      </w:hyperlink>
      <w:r w:rsidRPr="00813E61">
        <w:rPr>
          <w:sz w:val="16"/>
        </w:rPr>
        <w:t>.</w:t>
      </w:r>
    </w:p>
  </w:footnote>
  <w:footnote w:id="70">
    <w:p w:rsidR="00811568" w:rsidRPr="00AC1EA6" w:rsidRDefault="00811568" w:rsidP="0095241C">
      <w:pPr>
        <w:pStyle w:val="FootnoteText"/>
        <w:rPr>
          <w:sz w:val="16"/>
        </w:rPr>
      </w:pPr>
      <w:r w:rsidRPr="00AC1EA6">
        <w:rPr>
          <w:rStyle w:val="FootnoteReference"/>
          <w:sz w:val="16"/>
        </w:rPr>
        <w:footnoteRef/>
      </w:r>
      <w:r w:rsidRPr="00AC1EA6">
        <w:rPr>
          <w:sz w:val="16"/>
        </w:rPr>
        <w:t xml:space="preserve"> Article 781(a) of the </w:t>
      </w:r>
      <w:hyperlink r:id="rId69" w:history="1">
        <w:r w:rsidRPr="00AC1EA6">
          <w:rPr>
            <w:rStyle w:val="Hyperlink"/>
            <w:sz w:val="16"/>
          </w:rPr>
          <w:t>COCP</w:t>
        </w:r>
      </w:hyperlink>
      <w:r w:rsidRPr="00AC1EA6">
        <w:rPr>
          <w:sz w:val="16"/>
        </w:rPr>
        <w:t>.</w:t>
      </w:r>
    </w:p>
  </w:footnote>
  <w:footnote w:id="71">
    <w:p w:rsidR="00811568" w:rsidRPr="00AC1EA6" w:rsidRDefault="00811568" w:rsidP="0095241C">
      <w:pPr>
        <w:pStyle w:val="FootnoteText"/>
        <w:rPr>
          <w:sz w:val="16"/>
        </w:rPr>
      </w:pPr>
      <w:r w:rsidRPr="00AC1EA6">
        <w:rPr>
          <w:rStyle w:val="FootnoteReference"/>
          <w:sz w:val="16"/>
        </w:rPr>
        <w:footnoteRef/>
      </w:r>
      <w:r w:rsidRPr="00AC1EA6">
        <w:rPr>
          <w:sz w:val="16"/>
        </w:rPr>
        <w:t xml:space="preserve"> Article 782 of the </w:t>
      </w:r>
      <w:hyperlink r:id="rId70" w:history="1">
        <w:r w:rsidRPr="00AC1EA6">
          <w:rPr>
            <w:rStyle w:val="Hyperlink"/>
            <w:sz w:val="16"/>
          </w:rPr>
          <w:t>COCP</w:t>
        </w:r>
      </w:hyperlink>
      <w:r w:rsidRPr="00AC1EA6">
        <w:rPr>
          <w:sz w:val="16"/>
        </w:rPr>
        <w:t>.</w:t>
      </w:r>
    </w:p>
  </w:footnote>
  <w:footnote w:id="72">
    <w:p w:rsidR="00811568" w:rsidRPr="00AC1EA6" w:rsidRDefault="00811568" w:rsidP="0095241C">
      <w:pPr>
        <w:pStyle w:val="FootnoteText"/>
        <w:rPr>
          <w:sz w:val="16"/>
          <w:lang w:val="en-US"/>
        </w:rPr>
      </w:pPr>
      <w:r w:rsidRPr="00AC1EA6">
        <w:rPr>
          <w:rStyle w:val="FootnoteReference"/>
          <w:sz w:val="16"/>
        </w:rPr>
        <w:footnoteRef/>
      </w:r>
      <w:r w:rsidRPr="00AC1EA6">
        <w:rPr>
          <w:sz w:val="16"/>
        </w:rPr>
        <w:t xml:space="preserve"> </w:t>
      </w:r>
      <w:r w:rsidRPr="00AC1EA6">
        <w:rPr>
          <w:sz w:val="16"/>
          <w:lang w:val="en-US"/>
        </w:rPr>
        <w:t xml:space="preserve">Subsidiary Legislation 452.92, </w:t>
      </w:r>
      <w:hyperlink r:id="rId71" w:history="1">
        <w:r w:rsidRPr="00AC1EA6">
          <w:rPr>
            <w:rStyle w:val="Hyperlink"/>
            <w:sz w:val="16"/>
            <w:lang w:val="en-US"/>
          </w:rPr>
          <w:t>Young Persons (Employment) Regulations</w:t>
        </w:r>
      </w:hyperlink>
      <w:r w:rsidRPr="00AC1EA6">
        <w:rPr>
          <w:sz w:val="16"/>
          <w:lang w:val="en-US"/>
        </w:rPr>
        <w:t>, Legal Notice 440 of 2003.</w:t>
      </w:r>
    </w:p>
  </w:footnote>
  <w:footnote w:id="73">
    <w:p w:rsidR="00811568" w:rsidRPr="00AC1EA6" w:rsidRDefault="00811568" w:rsidP="0095241C">
      <w:pPr>
        <w:pStyle w:val="FootnoteText"/>
        <w:rPr>
          <w:sz w:val="16"/>
          <w:lang w:val="en-US"/>
        </w:rPr>
      </w:pPr>
      <w:r w:rsidRPr="00AC1EA6">
        <w:rPr>
          <w:rStyle w:val="FootnoteReference"/>
          <w:sz w:val="16"/>
        </w:rPr>
        <w:footnoteRef/>
      </w:r>
      <w:r w:rsidRPr="00AC1EA6">
        <w:rPr>
          <w:sz w:val="16"/>
        </w:rPr>
        <w:t xml:space="preserve"> Article 3 of the </w:t>
      </w:r>
      <w:hyperlink r:id="rId72" w:history="1">
        <w:r w:rsidRPr="00AC1EA6">
          <w:rPr>
            <w:rStyle w:val="Hyperlink"/>
            <w:sz w:val="16"/>
          </w:rPr>
          <w:t>Marriage Act</w:t>
        </w:r>
      </w:hyperlink>
      <w:r w:rsidRPr="00AC1EA6">
        <w:rPr>
          <w:sz w:val="16"/>
          <w:lang w:val="en-US"/>
        </w:rPr>
        <w:t>.</w:t>
      </w:r>
    </w:p>
  </w:footnote>
  <w:footnote w:id="74">
    <w:p w:rsidR="00811568" w:rsidRPr="00574745" w:rsidRDefault="00811568" w:rsidP="0095241C">
      <w:pPr>
        <w:pStyle w:val="FootnoteText"/>
      </w:pPr>
      <w:r w:rsidRPr="00AC1EA6">
        <w:rPr>
          <w:rStyle w:val="FootnoteReference"/>
          <w:sz w:val="16"/>
        </w:rPr>
        <w:footnoteRef/>
      </w:r>
      <w:r w:rsidRPr="00AC1EA6">
        <w:rPr>
          <w:sz w:val="16"/>
        </w:rPr>
        <w:t xml:space="preserve"> Article 783 of the </w:t>
      </w:r>
      <w:hyperlink r:id="rId73" w:history="1">
        <w:r w:rsidRPr="00AC1EA6">
          <w:rPr>
            <w:rStyle w:val="Hyperlink"/>
            <w:sz w:val="16"/>
          </w:rPr>
          <w:t>COCP</w:t>
        </w:r>
      </w:hyperlink>
      <w:r w:rsidRPr="00AC1EA6">
        <w:rPr>
          <w:sz w:val="16"/>
        </w:rPr>
        <w:t>.</w:t>
      </w:r>
    </w:p>
  </w:footnote>
  <w:footnote w:id="75">
    <w:p w:rsidR="00811568" w:rsidRPr="00AC1EA6" w:rsidRDefault="00811568" w:rsidP="0095241C">
      <w:pPr>
        <w:pStyle w:val="FootnoteText"/>
        <w:rPr>
          <w:sz w:val="16"/>
        </w:rPr>
      </w:pPr>
      <w:r w:rsidRPr="00AC1EA6">
        <w:rPr>
          <w:rStyle w:val="FootnoteReference"/>
          <w:sz w:val="16"/>
        </w:rPr>
        <w:footnoteRef/>
      </w:r>
      <w:r w:rsidRPr="00AC1EA6">
        <w:rPr>
          <w:sz w:val="16"/>
        </w:rPr>
        <w:t xml:space="preserve"> Article</w:t>
      </w:r>
      <w:r w:rsidRPr="00AC1EA6">
        <w:rPr>
          <w:sz w:val="16"/>
          <w:lang w:val="en-US"/>
        </w:rPr>
        <w:t>s</w:t>
      </w:r>
      <w:r w:rsidRPr="00AC1EA6">
        <w:rPr>
          <w:sz w:val="16"/>
        </w:rPr>
        <w:t xml:space="preserve"> 784 and 785 of the </w:t>
      </w:r>
      <w:hyperlink r:id="rId74" w:history="1">
        <w:r w:rsidRPr="00AC1EA6">
          <w:rPr>
            <w:rStyle w:val="Hyperlink"/>
            <w:sz w:val="16"/>
          </w:rPr>
          <w:t>COCP</w:t>
        </w:r>
      </w:hyperlink>
      <w:r w:rsidRPr="00AC1EA6">
        <w:rPr>
          <w:sz w:val="16"/>
        </w:rPr>
        <w:t>.</w:t>
      </w:r>
    </w:p>
  </w:footnote>
  <w:footnote w:id="76">
    <w:p w:rsidR="00811568" w:rsidRPr="00AC1EA6" w:rsidRDefault="00811568" w:rsidP="0095241C">
      <w:pPr>
        <w:pStyle w:val="FootnoteText"/>
        <w:rPr>
          <w:sz w:val="16"/>
        </w:rPr>
      </w:pPr>
      <w:r w:rsidRPr="00AC1EA6">
        <w:rPr>
          <w:rStyle w:val="FootnoteReference"/>
          <w:sz w:val="16"/>
        </w:rPr>
        <w:footnoteRef/>
      </w:r>
      <w:r w:rsidRPr="00AC1EA6">
        <w:rPr>
          <w:sz w:val="16"/>
        </w:rPr>
        <w:t xml:space="preserve"> Articles 787 and 788 of the </w:t>
      </w:r>
      <w:hyperlink r:id="rId75" w:history="1">
        <w:r w:rsidRPr="00AC1EA6">
          <w:rPr>
            <w:rStyle w:val="Hyperlink"/>
            <w:sz w:val="16"/>
          </w:rPr>
          <w:t>COCP</w:t>
        </w:r>
      </w:hyperlink>
      <w:r w:rsidRPr="00AC1EA6">
        <w:rPr>
          <w:sz w:val="16"/>
        </w:rPr>
        <w:t>.</w:t>
      </w:r>
    </w:p>
  </w:footnote>
  <w:footnote w:id="77">
    <w:p w:rsidR="00811568" w:rsidRPr="00AC1EA6" w:rsidRDefault="00811568" w:rsidP="0095241C">
      <w:pPr>
        <w:pStyle w:val="FootnoteText"/>
        <w:rPr>
          <w:sz w:val="16"/>
        </w:rPr>
      </w:pPr>
      <w:r w:rsidRPr="00AC1EA6">
        <w:rPr>
          <w:rStyle w:val="FootnoteReference"/>
          <w:sz w:val="16"/>
        </w:rPr>
        <w:footnoteRef/>
      </w:r>
      <w:r w:rsidRPr="00AC1EA6">
        <w:rPr>
          <w:sz w:val="16"/>
        </w:rPr>
        <w:t xml:space="preserve"> Article 3B(2)(b) of the </w:t>
      </w:r>
      <w:hyperlink r:id="rId76" w:history="1">
        <w:r w:rsidRPr="00AC1EA6">
          <w:rPr>
            <w:rStyle w:val="Hyperlink"/>
            <w:sz w:val="16"/>
          </w:rPr>
          <w:t>Civil Code</w:t>
        </w:r>
      </w:hyperlink>
      <w:r w:rsidRPr="00AC1EA6">
        <w:rPr>
          <w:sz w:val="16"/>
        </w:rPr>
        <w:t>.</w:t>
      </w:r>
    </w:p>
  </w:footnote>
  <w:footnote w:id="78">
    <w:p w:rsidR="00811568" w:rsidRPr="00AC1EA6" w:rsidRDefault="00811568" w:rsidP="0095241C">
      <w:pPr>
        <w:pStyle w:val="FootnoteText"/>
        <w:rPr>
          <w:sz w:val="16"/>
        </w:rPr>
      </w:pPr>
      <w:r w:rsidRPr="00AC1EA6">
        <w:rPr>
          <w:rStyle w:val="FootnoteReference"/>
          <w:sz w:val="16"/>
        </w:rPr>
        <w:footnoteRef/>
      </w:r>
      <w:r w:rsidRPr="00AC1EA6">
        <w:rPr>
          <w:sz w:val="16"/>
        </w:rPr>
        <w:t xml:space="preserve"> Articles 563 and 564 of the </w:t>
      </w:r>
      <w:hyperlink r:id="rId77" w:history="1">
        <w:r w:rsidRPr="00AC1EA6">
          <w:rPr>
            <w:rStyle w:val="Hyperlink"/>
            <w:sz w:val="16"/>
          </w:rPr>
          <w:t>COCP</w:t>
        </w:r>
      </w:hyperlink>
      <w:r w:rsidRPr="00AC1EA6">
        <w:rPr>
          <w:sz w:val="16"/>
        </w:rPr>
        <w:t>.</w:t>
      </w:r>
    </w:p>
  </w:footnote>
  <w:footnote w:id="79">
    <w:p w:rsidR="00811568" w:rsidRPr="00AC1EA6" w:rsidRDefault="00811568" w:rsidP="0095241C">
      <w:pPr>
        <w:pStyle w:val="FootnoteText"/>
        <w:rPr>
          <w:sz w:val="16"/>
        </w:rPr>
      </w:pPr>
      <w:r w:rsidRPr="00AC1EA6">
        <w:rPr>
          <w:rStyle w:val="FootnoteReference"/>
          <w:sz w:val="16"/>
        </w:rPr>
        <w:footnoteRef/>
      </w:r>
      <w:r w:rsidRPr="00AC1EA6">
        <w:rPr>
          <w:sz w:val="16"/>
        </w:rPr>
        <w:t xml:space="preserve"> Articles 577 to 590 of the </w:t>
      </w:r>
      <w:hyperlink r:id="rId78" w:history="1">
        <w:r w:rsidRPr="00AC1EA6">
          <w:rPr>
            <w:rStyle w:val="Hyperlink"/>
            <w:sz w:val="16"/>
          </w:rPr>
          <w:t>COCP</w:t>
        </w:r>
      </w:hyperlink>
      <w:r w:rsidRPr="00AC1EA6">
        <w:rPr>
          <w:sz w:val="16"/>
        </w:rPr>
        <w:t>.</w:t>
      </w:r>
    </w:p>
  </w:footnote>
  <w:footnote w:id="80">
    <w:p w:rsidR="00811568" w:rsidRDefault="00811568" w:rsidP="0095241C">
      <w:pPr>
        <w:pStyle w:val="FootnoteText"/>
        <w:jc w:val="both"/>
      </w:pPr>
      <w:r w:rsidRPr="00AC1EA6">
        <w:rPr>
          <w:rStyle w:val="FootnoteReference"/>
          <w:sz w:val="16"/>
        </w:rPr>
        <w:footnoteRef/>
      </w:r>
      <w:r w:rsidRPr="00AC1EA6">
        <w:rPr>
          <w:sz w:val="16"/>
        </w:rPr>
        <w:t xml:space="preserve"> Farrugua R., T.M.C. Asser Instituut ‘</w:t>
      </w:r>
      <w:hyperlink r:id="rId79" w:history="1">
        <w:r w:rsidRPr="00AC1EA6">
          <w:rPr>
            <w:rStyle w:val="Hyperlink"/>
            <w:i/>
            <w:sz w:val="16"/>
          </w:rPr>
          <w:t>Comparative study on enforcement procedures of family rights’</w:t>
        </w:r>
        <w:r w:rsidRPr="00AC1EA6">
          <w:rPr>
            <w:rStyle w:val="Hyperlink"/>
            <w:sz w:val="16"/>
          </w:rPr>
          <w:t>, Annex 21: National Report Malta</w:t>
        </w:r>
      </w:hyperlink>
      <w:r w:rsidRPr="00AC1EA6">
        <w:rPr>
          <w:sz w:val="16"/>
        </w:rPr>
        <w:t>, p.12</w:t>
      </w:r>
    </w:p>
  </w:footnote>
  <w:footnote w:id="81">
    <w:p w:rsidR="00811568" w:rsidRPr="00AC1EA6" w:rsidRDefault="00811568" w:rsidP="0095241C">
      <w:pPr>
        <w:pStyle w:val="FootnoteText"/>
        <w:rPr>
          <w:sz w:val="16"/>
        </w:rPr>
      </w:pPr>
      <w:r w:rsidRPr="00AC1EA6">
        <w:rPr>
          <w:rStyle w:val="FootnoteReference"/>
          <w:sz w:val="16"/>
        </w:rPr>
        <w:footnoteRef/>
      </w:r>
      <w:r w:rsidRPr="00AC1EA6">
        <w:rPr>
          <w:sz w:val="16"/>
        </w:rPr>
        <w:t xml:space="preserve"> Article 6A of the </w:t>
      </w:r>
      <w:hyperlink r:id="rId80" w:history="1">
        <w:r w:rsidRPr="00AC1EA6">
          <w:rPr>
            <w:rStyle w:val="Hyperlink"/>
            <w:sz w:val="16"/>
          </w:rPr>
          <w:t>Civil Code</w:t>
        </w:r>
      </w:hyperlink>
      <w:r w:rsidRPr="00AC1EA6">
        <w:rPr>
          <w:sz w:val="16"/>
        </w:rPr>
        <w:t>.</w:t>
      </w:r>
    </w:p>
  </w:footnote>
  <w:footnote w:id="82">
    <w:p w:rsidR="00811568" w:rsidRPr="00AC1EA6" w:rsidRDefault="00811568" w:rsidP="0095241C">
      <w:pPr>
        <w:pStyle w:val="FootnoteText"/>
        <w:jc w:val="both"/>
        <w:rPr>
          <w:sz w:val="16"/>
        </w:rPr>
      </w:pPr>
      <w:r w:rsidRPr="00AC1EA6">
        <w:rPr>
          <w:rStyle w:val="FootnoteReference"/>
          <w:sz w:val="16"/>
        </w:rPr>
        <w:footnoteRef/>
      </w:r>
      <w:r w:rsidRPr="00AC1EA6">
        <w:rPr>
          <w:sz w:val="16"/>
        </w:rPr>
        <w:t xml:space="preserve"> Farrugua R., T.M.C. Asser Instituut ‘</w:t>
      </w:r>
      <w:hyperlink r:id="rId81" w:history="1">
        <w:r w:rsidRPr="00AC1EA6">
          <w:rPr>
            <w:rStyle w:val="Hyperlink"/>
            <w:i/>
            <w:sz w:val="16"/>
          </w:rPr>
          <w:t>Comparative study on enforcement procedures of family rights’</w:t>
        </w:r>
        <w:r w:rsidRPr="00AC1EA6">
          <w:rPr>
            <w:rStyle w:val="Hyperlink"/>
            <w:sz w:val="16"/>
          </w:rPr>
          <w:t>, Annex 21: National Report Malta,</w:t>
        </w:r>
      </w:hyperlink>
      <w:r w:rsidRPr="00AC1EA6">
        <w:rPr>
          <w:sz w:val="16"/>
        </w:rPr>
        <w:t xml:space="preserve"> p. 12.</w:t>
      </w:r>
    </w:p>
  </w:footnote>
  <w:footnote w:id="83">
    <w:p w:rsidR="00811568" w:rsidRPr="00AC1EA6" w:rsidRDefault="00811568" w:rsidP="0095241C">
      <w:pPr>
        <w:pStyle w:val="FootnoteText"/>
        <w:rPr>
          <w:sz w:val="16"/>
        </w:rPr>
      </w:pPr>
      <w:r w:rsidRPr="00AC1EA6">
        <w:rPr>
          <w:rStyle w:val="FootnoteReference"/>
          <w:sz w:val="16"/>
        </w:rPr>
        <w:footnoteRef/>
      </w:r>
      <w:r w:rsidRPr="00AC1EA6">
        <w:rPr>
          <w:sz w:val="16"/>
        </w:rPr>
        <w:t xml:space="preserve"> Article 131 of the </w:t>
      </w:r>
      <w:hyperlink r:id="rId82" w:history="1">
        <w:r w:rsidRPr="00AC1EA6">
          <w:rPr>
            <w:rStyle w:val="Hyperlink"/>
            <w:sz w:val="16"/>
          </w:rPr>
          <w:t>Civil Code</w:t>
        </w:r>
      </w:hyperlink>
      <w:r w:rsidRPr="00AC1EA6">
        <w:rPr>
          <w:sz w:val="16"/>
        </w:rPr>
        <w:t>.</w:t>
      </w:r>
    </w:p>
  </w:footnote>
  <w:footnote w:id="84">
    <w:p w:rsidR="00811568" w:rsidRPr="00AC1EA6" w:rsidRDefault="00811568" w:rsidP="0095241C">
      <w:pPr>
        <w:pStyle w:val="FootnoteText"/>
        <w:rPr>
          <w:sz w:val="16"/>
        </w:rPr>
      </w:pPr>
      <w:r w:rsidRPr="00AC1EA6">
        <w:rPr>
          <w:rStyle w:val="FootnoteReference"/>
          <w:sz w:val="16"/>
        </w:rPr>
        <w:footnoteRef/>
      </w:r>
      <w:r w:rsidRPr="00AC1EA6">
        <w:rPr>
          <w:sz w:val="16"/>
        </w:rPr>
        <w:t xml:space="preserve"> Article 115(4) of the </w:t>
      </w:r>
      <w:hyperlink r:id="rId83" w:history="1">
        <w:r w:rsidRPr="00AC1EA6">
          <w:rPr>
            <w:rStyle w:val="Hyperlink"/>
            <w:sz w:val="16"/>
          </w:rPr>
          <w:t>Civil Code</w:t>
        </w:r>
      </w:hyperlink>
      <w:r w:rsidRPr="00AC1EA6">
        <w:rPr>
          <w:sz w:val="16"/>
        </w:rPr>
        <w:t>.</w:t>
      </w:r>
    </w:p>
  </w:footnote>
  <w:footnote w:id="85">
    <w:p w:rsidR="00811568" w:rsidRPr="00AC1EA6" w:rsidRDefault="00811568" w:rsidP="0095241C">
      <w:pPr>
        <w:pStyle w:val="FootnoteText"/>
        <w:rPr>
          <w:sz w:val="16"/>
        </w:rPr>
      </w:pPr>
      <w:r w:rsidRPr="00AC1EA6">
        <w:rPr>
          <w:rStyle w:val="FootnoteReference"/>
          <w:sz w:val="16"/>
        </w:rPr>
        <w:footnoteRef/>
      </w:r>
      <w:r w:rsidRPr="00AC1EA6">
        <w:rPr>
          <w:sz w:val="16"/>
        </w:rPr>
        <w:t xml:space="preserve"> Article 119(1)(b) of the </w:t>
      </w:r>
      <w:hyperlink r:id="rId84" w:history="1">
        <w:r w:rsidRPr="00AC1EA6">
          <w:rPr>
            <w:rStyle w:val="Hyperlink"/>
            <w:sz w:val="16"/>
          </w:rPr>
          <w:t>Civil Code</w:t>
        </w:r>
      </w:hyperlink>
      <w:r w:rsidRPr="00AC1EA6">
        <w:rPr>
          <w:sz w:val="16"/>
        </w:rPr>
        <w:t>.</w:t>
      </w:r>
    </w:p>
  </w:footnote>
  <w:footnote w:id="86">
    <w:p w:rsidR="00811568" w:rsidRPr="00AC1EA6" w:rsidRDefault="00811568" w:rsidP="0095241C">
      <w:pPr>
        <w:pStyle w:val="FootnoteText"/>
        <w:jc w:val="both"/>
        <w:rPr>
          <w:sz w:val="16"/>
          <w:lang w:val="en-US"/>
        </w:rPr>
      </w:pPr>
      <w:r w:rsidRPr="00AC1EA6">
        <w:rPr>
          <w:rStyle w:val="FootnoteReference"/>
          <w:sz w:val="16"/>
        </w:rPr>
        <w:footnoteRef/>
      </w:r>
      <w:r w:rsidRPr="00AC1EA6">
        <w:rPr>
          <w:sz w:val="16"/>
        </w:rPr>
        <w:t xml:space="preserve"> </w:t>
      </w:r>
      <w:r w:rsidRPr="00AC1EA6">
        <w:rPr>
          <w:sz w:val="16"/>
          <w:lang w:val="en-US"/>
        </w:rPr>
        <w:t xml:space="preserve">Article 25 of the </w:t>
      </w:r>
      <w:hyperlink r:id="rId85" w:history="1">
        <w:r w:rsidRPr="00AC1EA6">
          <w:rPr>
            <w:rStyle w:val="Hyperlink"/>
            <w:sz w:val="16"/>
            <w:lang w:val="en-US"/>
          </w:rPr>
          <w:t>Civil Code</w:t>
        </w:r>
      </w:hyperlink>
      <w:r w:rsidRPr="00AC1EA6">
        <w:rPr>
          <w:sz w:val="16"/>
          <w:lang w:val="en-US"/>
        </w:rPr>
        <w:t xml:space="preserve"> See also the </w:t>
      </w:r>
      <w:hyperlink r:id="rId86" w:history="1">
        <w:r w:rsidRPr="00AC1EA6">
          <w:rPr>
            <w:rStyle w:val="Hyperlink"/>
            <w:sz w:val="16"/>
            <w:lang w:val="en-US"/>
          </w:rPr>
          <w:t>Decisions pending separation process (</w:t>
        </w:r>
        <w:r w:rsidRPr="00AC1EA6">
          <w:rPr>
            <w:rStyle w:val="Hyperlink"/>
            <w:i/>
            <w:sz w:val="16"/>
            <w:lang w:val="en-US"/>
          </w:rPr>
          <w:t>pendente lite</w:t>
        </w:r>
        <w:r w:rsidRPr="00AC1EA6">
          <w:rPr>
            <w:rStyle w:val="Hyperlink"/>
            <w:sz w:val="16"/>
            <w:lang w:val="en-US"/>
          </w:rPr>
          <w:t>)</w:t>
        </w:r>
      </w:hyperlink>
      <w:r w:rsidRPr="00AC1EA6">
        <w:rPr>
          <w:sz w:val="16"/>
          <w:lang w:val="en-US"/>
        </w:rPr>
        <w:t xml:space="preserve"> at the website of Family Law (Malta). </w:t>
      </w:r>
    </w:p>
  </w:footnote>
  <w:footnote w:id="87">
    <w:p w:rsidR="00811568" w:rsidRPr="00AC1EA6" w:rsidRDefault="00811568" w:rsidP="0095241C">
      <w:pPr>
        <w:pStyle w:val="FootnoteText"/>
        <w:rPr>
          <w:sz w:val="16"/>
        </w:rPr>
      </w:pPr>
      <w:r w:rsidRPr="00AC1EA6">
        <w:rPr>
          <w:rStyle w:val="FootnoteReference"/>
          <w:sz w:val="16"/>
        </w:rPr>
        <w:footnoteRef/>
      </w:r>
      <w:r w:rsidRPr="00AC1EA6">
        <w:rPr>
          <w:sz w:val="16"/>
        </w:rPr>
        <w:t xml:space="preserve"> Article 47 of the </w:t>
      </w:r>
      <w:hyperlink r:id="rId87" w:history="1">
        <w:r w:rsidRPr="00AC1EA6">
          <w:rPr>
            <w:rStyle w:val="Hyperlink"/>
            <w:sz w:val="16"/>
          </w:rPr>
          <w:t>Civil Code</w:t>
        </w:r>
      </w:hyperlink>
      <w:r w:rsidRPr="00AC1EA6">
        <w:rPr>
          <w:sz w:val="16"/>
        </w:rPr>
        <w:t>.</w:t>
      </w:r>
    </w:p>
  </w:footnote>
  <w:footnote w:id="88">
    <w:p w:rsidR="00811568" w:rsidRPr="00AC1EA6" w:rsidRDefault="00811568" w:rsidP="0095241C">
      <w:pPr>
        <w:pStyle w:val="FootnoteText"/>
        <w:rPr>
          <w:sz w:val="16"/>
        </w:rPr>
      </w:pPr>
      <w:r w:rsidRPr="00AC1EA6">
        <w:rPr>
          <w:rStyle w:val="FootnoteReference"/>
          <w:sz w:val="16"/>
        </w:rPr>
        <w:footnoteRef/>
      </w:r>
      <w:r w:rsidRPr="00AC1EA6">
        <w:rPr>
          <w:sz w:val="16"/>
        </w:rPr>
        <w:t xml:space="preserve"> Article 58(1) of the </w:t>
      </w:r>
      <w:hyperlink r:id="rId88" w:history="1">
        <w:r w:rsidRPr="00AC1EA6">
          <w:rPr>
            <w:rStyle w:val="Hyperlink"/>
            <w:sz w:val="16"/>
          </w:rPr>
          <w:t>Civil Code</w:t>
        </w:r>
      </w:hyperlink>
      <w:r w:rsidRPr="00AC1EA6">
        <w:rPr>
          <w:sz w:val="16"/>
        </w:rPr>
        <w:t>.</w:t>
      </w:r>
    </w:p>
  </w:footnote>
  <w:footnote w:id="89">
    <w:p w:rsidR="00811568" w:rsidRPr="007C6A10" w:rsidRDefault="00811568" w:rsidP="0095241C">
      <w:pPr>
        <w:pStyle w:val="FootnoteText"/>
      </w:pPr>
      <w:r w:rsidRPr="00AC1EA6">
        <w:rPr>
          <w:rStyle w:val="FootnoteReference"/>
          <w:sz w:val="16"/>
        </w:rPr>
        <w:footnoteRef/>
      </w:r>
      <w:r w:rsidRPr="00AC1EA6">
        <w:rPr>
          <w:sz w:val="16"/>
        </w:rPr>
        <w:t xml:space="preserve"> Article 66I(3) of the </w:t>
      </w:r>
      <w:hyperlink r:id="rId89" w:history="1">
        <w:r w:rsidRPr="00AC1EA6">
          <w:rPr>
            <w:rStyle w:val="Hyperlink"/>
            <w:sz w:val="16"/>
          </w:rPr>
          <w:t>Civil Code</w:t>
        </w:r>
      </w:hyperlink>
      <w:r w:rsidRPr="00AC1EA6">
        <w:rPr>
          <w:sz w:val="16"/>
        </w:rPr>
        <w:t>.</w:t>
      </w:r>
    </w:p>
  </w:footnote>
  <w:footnote w:id="90">
    <w:p w:rsidR="00811568" w:rsidRPr="00AC1EA6" w:rsidRDefault="00811568" w:rsidP="0095241C">
      <w:pPr>
        <w:pStyle w:val="FootnoteText"/>
        <w:jc w:val="both"/>
        <w:rPr>
          <w:sz w:val="16"/>
        </w:rPr>
      </w:pPr>
      <w:r w:rsidRPr="00AC1EA6">
        <w:rPr>
          <w:rStyle w:val="FootnoteReference"/>
          <w:sz w:val="16"/>
        </w:rPr>
        <w:footnoteRef/>
      </w:r>
      <w:r w:rsidRPr="00AC1EA6">
        <w:rPr>
          <w:sz w:val="16"/>
        </w:rPr>
        <w:t xml:space="preserve"> This </w:t>
      </w:r>
      <w:hyperlink r:id="rId90" w:history="1">
        <w:r w:rsidRPr="00AC1EA6">
          <w:rPr>
            <w:rStyle w:val="Hyperlink"/>
            <w:sz w:val="16"/>
          </w:rPr>
          <w:t>Act</w:t>
        </w:r>
      </w:hyperlink>
      <w:r w:rsidRPr="00AC1EA6">
        <w:rPr>
          <w:sz w:val="16"/>
        </w:rPr>
        <w:t xml:space="preserve"> was adopted to enable Malta to ratify the </w:t>
      </w:r>
      <w:hyperlink r:id="rId91" w:history="1">
        <w:r w:rsidRPr="00AC1EA6">
          <w:rPr>
            <w:rStyle w:val="Hyperlink"/>
            <w:sz w:val="16"/>
          </w:rPr>
          <w:t>Convention on the Civil Aspects of International Child Abduction</w:t>
        </w:r>
      </w:hyperlink>
      <w:r w:rsidRPr="00AC1EA6">
        <w:rPr>
          <w:sz w:val="16"/>
        </w:rPr>
        <w:t xml:space="preserve"> (Hague Convention) and the </w:t>
      </w:r>
      <w:hyperlink r:id="rId92" w:history="1">
        <w:r w:rsidRPr="00AC1EA6">
          <w:rPr>
            <w:rStyle w:val="Hyperlink"/>
            <w:sz w:val="16"/>
          </w:rPr>
          <w:t>European Convention on Recognition and Enforcement of Decisions concerning Custody of Children and on the Restoration of Custody of Children</w:t>
        </w:r>
      </w:hyperlink>
      <w:r w:rsidRPr="00AC1EA6">
        <w:rPr>
          <w:sz w:val="16"/>
        </w:rPr>
        <w:t xml:space="preserve"> (European Convention).  </w:t>
      </w:r>
    </w:p>
  </w:footnote>
  <w:footnote w:id="91">
    <w:p w:rsidR="00811568" w:rsidRPr="00AC1EA6" w:rsidRDefault="00811568" w:rsidP="0095241C">
      <w:pPr>
        <w:pStyle w:val="FootnoteText"/>
        <w:rPr>
          <w:sz w:val="16"/>
        </w:rPr>
      </w:pPr>
      <w:r w:rsidRPr="00AC1EA6">
        <w:rPr>
          <w:rStyle w:val="FootnoteReference"/>
          <w:sz w:val="16"/>
        </w:rPr>
        <w:footnoteRef/>
      </w:r>
      <w:r w:rsidRPr="00AC1EA6">
        <w:rPr>
          <w:sz w:val="16"/>
        </w:rPr>
        <w:t xml:space="preserve"> Article 7 of the </w:t>
      </w:r>
      <w:hyperlink r:id="rId93" w:history="1">
        <w:r w:rsidRPr="00AC1EA6">
          <w:rPr>
            <w:rStyle w:val="Hyperlink"/>
            <w:sz w:val="16"/>
          </w:rPr>
          <w:t>Child Abduction and Custody Act</w:t>
        </w:r>
      </w:hyperlink>
      <w:r w:rsidRPr="00AC1EA6">
        <w:rPr>
          <w:sz w:val="16"/>
        </w:rPr>
        <w:t>.</w:t>
      </w:r>
    </w:p>
  </w:footnote>
  <w:footnote w:id="92">
    <w:p w:rsidR="00811568" w:rsidRPr="00AC1EA6" w:rsidRDefault="00811568" w:rsidP="0095241C">
      <w:pPr>
        <w:pStyle w:val="FootnoteText"/>
        <w:rPr>
          <w:sz w:val="16"/>
        </w:rPr>
      </w:pPr>
      <w:r w:rsidRPr="00AC1EA6">
        <w:rPr>
          <w:rStyle w:val="FootnoteReference"/>
          <w:sz w:val="16"/>
        </w:rPr>
        <w:footnoteRef/>
      </w:r>
      <w:r w:rsidRPr="00AC1EA6">
        <w:rPr>
          <w:sz w:val="16"/>
        </w:rPr>
        <w:t xml:space="preserve"> Article 21 of the </w:t>
      </w:r>
      <w:hyperlink r:id="rId94" w:history="1">
        <w:r w:rsidRPr="00AC1EA6">
          <w:rPr>
            <w:rStyle w:val="Hyperlink"/>
            <w:sz w:val="16"/>
          </w:rPr>
          <w:t>Child Abduction and Custody Act</w:t>
        </w:r>
      </w:hyperlink>
      <w:r w:rsidRPr="00AC1EA6">
        <w:rPr>
          <w:sz w:val="16"/>
        </w:rPr>
        <w:t xml:space="preserve">. </w:t>
      </w:r>
    </w:p>
  </w:footnote>
  <w:footnote w:id="93">
    <w:p w:rsidR="00811568" w:rsidRPr="00AC1EA6" w:rsidRDefault="00811568" w:rsidP="0095241C">
      <w:pPr>
        <w:pStyle w:val="FootnoteText"/>
        <w:rPr>
          <w:sz w:val="16"/>
          <w:lang w:val="en-US"/>
        </w:rPr>
      </w:pPr>
      <w:r w:rsidRPr="00AC1EA6">
        <w:rPr>
          <w:rStyle w:val="FootnoteReference"/>
          <w:sz w:val="16"/>
        </w:rPr>
        <w:footnoteRef/>
      </w:r>
      <w:r w:rsidRPr="00AC1EA6">
        <w:rPr>
          <w:sz w:val="16"/>
        </w:rPr>
        <w:t xml:space="preserve"> </w:t>
      </w:r>
      <w:r w:rsidRPr="00AC1EA6">
        <w:rPr>
          <w:sz w:val="16"/>
          <w:lang w:val="en-US"/>
        </w:rPr>
        <w:t xml:space="preserve">Care orders are dealt with in the </w:t>
      </w:r>
      <w:hyperlink r:id="rId95" w:history="1">
        <w:r w:rsidRPr="00AC1EA6">
          <w:rPr>
            <w:rStyle w:val="Hyperlink"/>
            <w:sz w:val="16"/>
          </w:rPr>
          <w:t>Children and Young Persons (Care Orders) Act</w:t>
        </w:r>
      </w:hyperlink>
      <w:r w:rsidRPr="00AC1EA6">
        <w:rPr>
          <w:sz w:val="16"/>
          <w:lang w:val="en-US"/>
        </w:rPr>
        <w:t>.</w:t>
      </w:r>
    </w:p>
  </w:footnote>
  <w:footnote w:id="94">
    <w:p w:rsidR="00811568" w:rsidRPr="00AC1EA6" w:rsidRDefault="00811568" w:rsidP="0095241C">
      <w:pPr>
        <w:pStyle w:val="FootnoteText"/>
        <w:rPr>
          <w:sz w:val="16"/>
          <w:lang w:val="en-US"/>
        </w:rPr>
      </w:pPr>
      <w:r w:rsidRPr="00AC1EA6">
        <w:rPr>
          <w:rStyle w:val="FootnoteReference"/>
          <w:sz w:val="16"/>
        </w:rPr>
        <w:footnoteRef/>
      </w:r>
      <w:r w:rsidRPr="00AC1EA6">
        <w:rPr>
          <w:sz w:val="16"/>
        </w:rPr>
        <w:t xml:space="preserve"> </w:t>
      </w:r>
      <w:r w:rsidRPr="00AC1EA6">
        <w:rPr>
          <w:sz w:val="16"/>
          <w:lang w:val="en-US"/>
        </w:rPr>
        <w:t>Information obtained through interview with stakeholder (lawyer).</w:t>
      </w:r>
    </w:p>
  </w:footnote>
  <w:footnote w:id="95">
    <w:p w:rsidR="00811568" w:rsidRPr="00435CDB" w:rsidRDefault="00811568" w:rsidP="0095241C">
      <w:pPr>
        <w:pStyle w:val="FootnoteText"/>
      </w:pPr>
      <w:r w:rsidRPr="00AC1EA6">
        <w:rPr>
          <w:rStyle w:val="FootnoteReference"/>
          <w:sz w:val="16"/>
        </w:rPr>
        <w:footnoteRef/>
      </w:r>
      <w:r w:rsidRPr="00AC1EA6">
        <w:rPr>
          <w:sz w:val="16"/>
        </w:rPr>
        <w:t xml:space="preserve"> Articles 960 to 962 of the </w:t>
      </w:r>
      <w:hyperlink r:id="rId96" w:history="1">
        <w:r w:rsidRPr="00AC1EA6">
          <w:rPr>
            <w:rStyle w:val="Hyperlink"/>
            <w:sz w:val="16"/>
          </w:rPr>
          <w:t>COCP</w:t>
        </w:r>
      </w:hyperlink>
      <w:r w:rsidRPr="00AC1EA6">
        <w:rPr>
          <w:sz w:val="16"/>
        </w:rPr>
        <w:t>.</w:t>
      </w:r>
    </w:p>
  </w:footnote>
  <w:footnote w:id="96">
    <w:p w:rsidR="00811568" w:rsidRPr="00AC1EA6" w:rsidRDefault="00811568" w:rsidP="0095241C">
      <w:pPr>
        <w:pStyle w:val="FootnoteText"/>
        <w:rPr>
          <w:sz w:val="16"/>
        </w:rPr>
      </w:pPr>
      <w:r w:rsidRPr="00AC1EA6">
        <w:rPr>
          <w:rStyle w:val="FootnoteReference"/>
          <w:sz w:val="16"/>
        </w:rPr>
        <w:footnoteRef/>
      </w:r>
      <w:r w:rsidRPr="00AC1EA6">
        <w:rPr>
          <w:sz w:val="16"/>
        </w:rPr>
        <w:t xml:space="preserve"> Article 180(1)(a) of the </w:t>
      </w:r>
      <w:hyperlink r:id="rId97" w:history="1">
        <w:r w:rsidRPr="00AC1EA6">
          <w:rPr>
            <w:rStyle w:val="Hyperlink"/>
            <w:sz w:val="16"/>
          </w:rPr>
          <w:t>COCP</w:t>
        </w:r>
      </w:hyperlink>
      <w:r w:rsidRPr="00AC1EA6">
        <w:rPr>
          <w:sz w:val="16"/>
        </w:rPr>
        <w:t>.</w:t>
      </w:r>
    </w:p>
  </w:footnote>
  <w:footnote w:id="97">
    <w:p w:rsidR="00811568" w:rsidRPr="00AC1EA6" w:rsidRDefault="00811568" w:rsidP="0095241C">
      <w:pPr>
        <w:pStyle w:val="FootnoteText"/>
        <w:rPr>
          <w:sz w:val="16"/>
          <w:lang w:val="en-US"/>
        </w:rPr>
      </w:pPr>
      <w:r w:rsidRPr="00AC1EA6">
        <w:rPr>
          <w:rStyle w:val="FootnoteReference"/>
          <w:sz w:val="16"/>
        </w:rPr>
        <w:footnoteRef/>
      </w:r>
      <w:r w:rsidRPr="00AC1EA6">
        <w:rPr>
          <w:sz w:val="16"/>
        </w:rPr>
        <w:t xml:space="preserve"> </w:t>
      </w:r>
      <w:r w:rsidRPr="00AC1EA6">
        <w:rPr>
          <w:sz w:val="16"/>
          <w:lang w:val="en-US"/>
        </w:rPr>
        <w:t xml:space="preserve">Article 187 of the </w:t>
      </w:r>
      <w:hyperlink r:id="rId98" w:history="1">
        <w:r w:rsidRPr="00AC1EA6">
          <w:rPr>
            <w:rStyle w:val="Hyperlink"/>
            <w:sz w:val="16"/>
            <w:lang w:val="en-US"/>
          </w:rPr>
          <w:t>COCP</w:t>
        </w:r>
      </w:hyperlink>
      <w:r w:rsidRPr="00AC1EA6">
        <w:rPr>
          <w:sz w:val="16"/>
          <w:lang w:val="en-US"/>
        </w:rPr>
        <w:t>.</w:t>
      </w:r>
    </w:p>
  </w:footnote>
  <w:footnote w:id="98">
    <w:p w:rsidR="00811568" w:rsidRPr="00AC1EA6" w:rsidRDefault="00811568" w:rsidP="0095241C">
      <w:pPr>
        <w:pStyle w:val="FootnoteText"/>
        <w:rPr>
          <w:sz w:val="16"/>
          <w:lang w:val="en-US"/>
        </w:rPr>
      </w:pPr>
      <w:r w:rsidRPr="00AC1EA6">
        <w:rPr>
          <w:rStyle w:val="FootnoteReference"/>
          <w:sz w:val="16"/>
        </w:rPr>
        <w:footnoteRef/>
      </w:r>
      <w:r w:rsidRPr="00AC1EA6">
        <w:rPr>
          <w:sz w:val="16"/>
        </w:rPr>
        <w:t xml:space="preserve"> </w:t>
      </w:r>
      <w:r w:rsidRPr="00AC1EA6">
        <w:rPr>
          <w:sz w:val="16"/>
          <w:lang w:val="en-US"/>
        </w:rPr>
        <w:t xml:space="preserve">Article 195 of the </w:t>
      </w:r>
      <w:hyperlink r:id="rId99" w:history="1">
        <w:r w:rsidRPr="00AC1EA6">
          <w:rPr>
            <w:rStyle w:val="Hyperlink"/>
            <w:sz w:val="16"/>
          </w:rPr>
          <w:t>COCP</w:t>
        </w:r>
      </w:hyperlink>
      <w:r w:rsidRPr="00AC1EA6">
        <w:rPr>
          <w:sz w:val="16"/>
        </w:rPr>
        <w:t>.</w:t>
      </w:r>
    </w:p>
  </w:footnote>
  <w:footnote w:id="99">
    <w:p w:rsidR="00811568" w:rsidRPr="00AC1EA6" w:rsidRDefault="00811568" w:rsidP="0095241C">
      <w:pPr>
        <w:pStyle w:val="FootnoteText"/>
        <w:rPr>
          <w:sz w:val="16"/>
          <w:lang w:val="en-US"/>
        </w:rPr>
      </w:pPr>
      <w:r w:rsidRPr="00AC1EA6">
        <w:rPr>
          <w:rStyle w:val="FootnoteReference"/>
          <w:sz w:val="16"/>
        </w:rPr>
        <w:footnoteRef/>
      </w:r>
      <w:r w:rsidRPr="00AC1EA6">
        <w:rPr>
          <w:sz w:val="16"/>
        </w:rPr>
        <w:t xml:space="preserve"> </w:t>
      </w:r>
      <w:hyperlink r:id="rId100" w:history="1">
        <w:r w:rsidRPr="00AC1EA6">
          <w:rPr>
            <w:rStyle w:val="Hyperlink"/>
            <w:sz w:val="16"/>
          </w:rPr>
          <w:t>Website of Supportline</w:t>
        </w:r>
      </w:hyperlink>
      <w:r w:rsidRPr="00AC1EA6">
        <w:rPr>
          <w:rFonts w:cs="Verdana"/>
          <w:bCs/>
          <w:i/>
          <w:sz w:val="16"/>
          <w:lang w:eastAsia="en-GB"/>
        </w:rPr>
        <w:t xml:space="preserve"> </w:t>
      </w:r>
      <w:r w:rsidRPr="00AC1EA6">
        <w:rPr>
          <w:sz w:val="16"/>
        </w:rPr>
        <w:t>(</w:t>
      </w:r>
      <w:r w:rsidRPr="00AC1EA6">
        <w:rPr>
          <w:sz w:val="16"/>
          <w:lang w:val="en-US"/>
        </w:rPr>
        <w:t>last accessed on 2 May 2013).</w:t>
      </w:r>
    </w:p>
  </w:footnote>
  <w:footnote w:id="100">
    <w:p w:rsidR="00811568" w:rsidRPr="0041113A" w:rsidRDefault="00811568" w:rsidP="0095241C">
      <w:pPr>
        <w:pStyle w:val="FootnoteText"/>
      </w:pPr>
      <w:r w:rsidRPr="00AC1EA6">
        <w:rPr>
          <w:rStyle w:val="FootnoteReference"/>
          <w:sz w:val="16"/>
        </w:rPr>
        <w:footnoteRef/>
      </w:r>
      <w:r w:rsidRPr="00AC1EA6">
        <w:rPr>
          <w:sz w:val="16"/>
        </w:rPr>
        <w:t xml:space="preserve"> </w:t>
      </w:r>
      <w:hyperlink r:id="rId101" w:history="1">
        <w:r w:rsidRPr="00AC1EA6">
          <w:rPr>
            <w:rStyle w:val="Hyperlink"/>
            <w:sz w:val="16"/>
          </w:rPr>
          <w:t>Website of Kellimni</w:t>
        </w:r>
      </w:hyperlink>
      <w:r w:rsidRPr="00AC1EA6">
        <w:rPr>
          <w:sz w:val="16"/>
        </w:rPr>
        <w:t xml:space="preserve"> (l</w:t>
      </w:r>
      <w:r w:rsidRPr="00AC1EA6">
        <w:rPr>
          <w:sz w:val="16"/>
          <w:lang w:val="en-US"/>
        </w:rPr>
        <w:t>ast accessed on 2 May 2013).</w:t>
      </w:r>
    </w:p>
  </w:footnote>
  <w:footnote w:id="101">
    <w:p w:rsidR="00811568" w:rsidRPr="007F5A05" w:rsidRDefault="00811568" w:rsidP="0095241C">
      <w:pPr>
        <w:pStyle w:val="FootnoteText"/>
        <w:jc w:val="both"/>
        <w:rPr>
          <w:sz w:val="16"/>
        </w:rPr>
      </w:pPr>
      <w:r w:rsidRPr="007F5A05">
        <w:rPr>
          <w:rStyle w:val="FootnoteReference"/>
          <w:sz w:val="16"/>
        </w:rPr>
        <w:footnoteRef/>
      </w:r>
      <w:r w:rsidRPr="007F5A05">
        <w:rPr>
          <w:sz w:val="16"/>
        </w:rPr>
        <w:t xml:space="preserve"> Articles 568 to 572 of the </w:t>
      </w:r>
      <w:hyperlink r:id="rId102" w:history="1">
        <w:r w:rsidRPr="007F5A05">
          <w:rPr>
            <w:rStyle w:val="Hyperlink"/>
            <w:sz w:val="16"/>
          </w:rPr>
          <w:t>COCP</w:t>
        </w:r>
      </w:hyperlink>
      <w:r w:rsidRPr="007F5A05">
        <w:rPr>
          <w:sz w:val="16"/>
        </w:rPr>
        <w:t>.</w:t>
      </w:r>
    </w:p>
  </w:footnote>
  <w:footnote w:id="102">
    <w:p w:rsidR="00811568" w:rsidRPr="007F5A05" w:rsidRDefault="00811568" w:rsidP="0095241C">
      <w:pPr>
        <w:pStyle w:val="FootnoteText"/>
        <w:rPr>
          <w:sz w:val="16"/>
        </w:rPr>
      </w:pPr>
      <w:r w:rsidRPr="007F5A05">
        <w:rPr>
          <w:rStyle w:val="FootnoteReference"/>
          <w:sz w:val="16"/>
        </w:rPr>
        <w:footnoteRef/>
      </w:r>
      <w:r w:rsidRPr="007F5A05">
        <w:rPr>
          <w:sz w:val="16"/>
        </w:rPr>
        <w:t xml:space="preserve"> Article 22 of the </w:t>
      </w:r>
      <w:hyperlink r:id="rId103" w:history="1">
        <w:r w:rsidRPr="007F5A05">
          <w:rPr>
            <w:rStyle w:val="Hyperlink"/>
            <w:sz w:val="16"/>
          </w:rPr>
          <w:t>COCP</w:t>
        </w:r>
      </w:hyperlink>
      <w:r w:rsidRPr="007F5A05">
        <w:rPr>
          <w:sz w:val="16"/>
        </w:rPr>
        <w:t>.</w:t>
      </w:r>
    </w:p>
  </w:footnote>
  <w:footnote w:id="103">
    <w:p w:rsidR="00811568" w:rsidRPr="007F5A05" w:rsidRDefault="00811568" w:rsidP="0095241C">
      <w:pPr>
        <w:pStyle w:val="FootnoteText"/>
        <w:rPr>
          <w:sz w:val="16"/>
        </w:rPr>
      </w:pPr>
      <w:r w:rsidRPr="007F5A05">
        <w:rPr>
          <w:rStyle w:val="FootnoteReference"/>
          <w:sz w:val="16"/>
        </w:rPr>
        <w:footnoteRef/>
      </w:r>
      <w:r w:rsidRPr="007F5A05">
        <w:rPr>
          <w:sz w:val="16"/>
        </w:rPr>
        <w:t xml:space="preserve"> Article 23 of the </w:t>
      </w:r>
      <w:hyperlink r:id="rId104" w:history="1">
        <w:r w:rsidRPr="007F5A05">
          <w:rPr>
            <w:rStyle w:val="Hyperlink"/>
            <w:sz w:val="16"/>
          </w:rPr>
          <w:t>COCP</w:t>
        </w:r>
      </w:hyperlink>
      <w:r w:rsidRPr="007F5A05">
        <w:rPr>
          <w:sz w:val="16"/>
        </w:rPr>
        <w:t>.</w:t>
      </w:r>
    </w:p>
  </w:footnote>
  <w:footnote w:id="104">
    <w:p w:rsidR="00811568" w:rsidRPr="007F5A05" w:rsidRDefault="00811568" w:rsidP="0095241C">
      <w:pPr>
        <w:pStyle w:val="FootnoteText"/>
        <w:rPr>
          <w:sz w:val="16"/>
          <w:lang w:val="en-US"/>
        </w:rPr>
      </w:pPr>
      <w:r w:rsidRPr="007F5A05">
        <w:rPr>
          <w:rStyle w:val="FootnoteReference"/>
          <w:sz w:val="16"/>
        </w:rPr>
        <w:footnoteRef/>
      </w:r>
      <w:r w:rsidRPr="007F5A05">
        <w:rPr>
          <w:sz w:val="16"/>
        </w:rPr>
        <w:t xml:space="preserve"> </w:t>
      </w:r>
      <w:r w:rsidRPr="007F5A05">
        <w:rPr>
          <w:sz w:val="16"/>
          <w:lang w:val="en-US"/>
        </w:rPr>
        <w:t xml:space="preserve">It is not specified in the law how the decision to </w:t>
      </w:r>
      <w:r w:rsidRPr="007F5A05">
        <w:rPr>
          <w:sz w:val="16"/>
        </w:rPr>
        <w:t>proceed with closed doors</w:t>
      </w:r>
      <w:r w:rsidRPr="007F5A05">
        <w:rPr>
          <w:sz w:val="16"/>
          <w:lang w:val="en-US"/>
        </w:rPr>
        <w:t xml:space="preserve"> is taken. </w:t>
      </w:r>
      <w:r w:rsidRPr="007F5A05">
        <w:rPr>
          <w:sz w:val="16"/>
        </w:rPr>
        <w:t xml:space="preserve">Presumably the court can decide this either </w:t>
      </w:r>
      <w:r w:rsidRPr="007F5A05">
        <w:rPr>
          <w:i/>
          <w:sz w:val="16"/>
        </w:rPr>
        <w:t>ex officio</w:t>
      </w:r>
      <w:r w:rsidRPr="007F5A05">
        <w:rPr>
          <w:sz w:val="16"/>
        </w:rPr>
        <w:t xml:space="preserve"> or on application of the parties.</w:t>
      </w:r>
    </w:p>
  </w:footnote>
  <w:footnote w:id="105">
    <w:p w:rsidR="00811568" w:rsidRPr="007F5A05" w:rsidRDefault="00811568" w:rsidP="0095241C">
      <w:pPr>
        <w:pStyle w:val="FootnoteText"/>
        <w:rPr>
          <w:sz w:val="16"/>
        </w:rPr>
      </w:pPr>
      <w:r w:rsidRPr="007F5A05">
        <w:rPr>
          <w:rStyle w:val="FootnoteReference"/>
          <w:sz w:val="16"/>
        </w:rPr>
        <w:footnoteRef/>
      </w:r>
      <w:r w:rsidRPr="007F5A05">
        <w:rPr>
          <w:sz w:val="16"/>
        </w:rPr>
        <w:t xml:space="preserve"> Article 482 of the </w:t>
      </w:r>
      <w:hyperlink r:id="rId105" w:history="1">
        <w:r w:rsidRPr="007F5A05">
          <w:rPr>
            <w:rStyle w:val="Hyperlink"/>
            <w:sz w:val="16"/>
          </w:rPr>
          <w:t>COCP</w:t>
        </w:r>
      </w:hyperlink>
      <w:r w:rsidRPr="007F5A05">
        <w:rPr>
          <w:sz w:val="16"/>
        </w:rPr>
        <w:t>.</w:t>
      </w:r>
    </w:p>
  </w:footnote>
  <w:footnote w:id="106">
    <w:p w:rsidR="00811568" w:rsidRPr="00E57667" w:rsidRDefault="00811568" w:rsidP="0095241C">
      <w:pPr>
        <w:pStyle w:val="FootnoteText"/>
        <w:jc w:val="both"/>
        <w:rPr>
          <w:lang w:val="en-US"/>
        </w:rPr>
      </w:pPr>
      <w:r w:rsidRPr="007F5A05">
        <w:rPr>
          <w:rStyle w:val="FootnoteReference"/>
          <w:sz w:val="16"/>
        </w:rPr>
        <w:footnoteRef/>
      </w:r>
      <w:r w:rsidRPr="007F5A05">
        <w:rPr>
          <w:sz w:val="16"/>
        </w:rPr>
        <w:t xml:space="preserve"> </w:t>
      </w:r>
      <w:hyperlink r:id="rId106" w:history="1">
        <w:r w:rsidRPr="007F5A05">
          <w:rPr>
            <w:rStyle w:val="Hyperlink"/>
            <w:sz w:val="16"/>
            <w:lang w:val="en-US"/>
          </w:rPr>
          <w:t>Chapter 440 of the Revised Laws of Malta</w:t>
        </w:r>
      </w:hyperlink>
      <w:r w:rsidRPr="007F5A05">
        <w:rPr>
          <w:sz w:val="16"/>
          <w:lang w:val="en-US"/>
        </w:rPr>
        <w:t>.</w:t>
      </w:r>
    </w:p>
  </w:footnote>
  <w:footnote w:id="107">
    <w:p w:rsidR="00811568" w:rsidRPr="007F5A05" w:rsidRDefault="00811568" w:rsidP="0095241C">
      <w:pPr>
        <w:pStyle w:val="FootnoteText"/>
        <w:jc w:val="both"/>
        <w:rPr>
          <w:sz w:val="16"/>
        </w:rPr>
      </w:pPr>
      <w:r w:rsidRPr="007F5A05">
        <w:rPr>
          <w:rStyle w:val="FootnoteReference"/>
          <w:sz w:val="16"/>
        </w:rPr>
        <w:footnoteRef/>
      </w:r>
      <w:r w:rsidRPr="007F5A05">
        <w:rPr>
          <w:sz w:val="16"/>
        </w:rPr>
        <w:t xml:space="preserve"> Defined by Article 2 of the </w:t>
      </w:r>
      <w:hyperlink r:id="rId107" w:history="1">
        <w:r w:rsidRPr="007F5A05">
          <w:rPr>
            <w:rStyle w:val="Hyperlink"/>
            <w:sz w:val="16"/>
          </w:rPr>
          <w:t>Data Protection Act</w:t>
        </w:r>
      </w:hyperlink>
      <w:r w:rsidRPr="007F5A05">
        <w:rPr>
          <w:sz w:val="16"/>
        </w:rPr>
        <w:t xml:space="preserve"> as a person who alone or jointly with others determines the purposes and means of the processing of personal data.</w:t>
      </w:r>
    </w:p>
  </w:footnote>
  <w:footnote w:id="108">
    <w:p w:rsidR="00811568" w:rsidRPr="007F5A05" w:rsidRDefault="00811568" w:rsidP="0095241C">
      <w:pPr>
        <w:pStyle w:val="FootnoteText"/>
        <w:rPr>
          <w:sz w:val="16"/>
        </w:rPr>
      </w:pPr>
      <w:r w:rsidRPr="007F5A05">
        <w:rPr>
          <w:rStyle w:val="FootnoteReference"/>
          <w:sz w:val="16"/>
        </w:rPr>
        <w:footnoteRef/>
      </w:r>
      <w:r w:rsidRPr="007F5A05">
        <w:rPr>
          <w:sz w:val="16"/>
        </w:rPr>
        <w:t xml:space="preserve"> Article 7 of the </w:t>
      </w:r>
      <w:hyperlink r:id="rId108" w:history="1">
        <w:r w:rsidRPr="007F5A05">
          <w:rPr>
            <w:rStyle w:val="Hyperlink"/>
            <w:sz w:val="16"/>
          </w:rPr>
          <w:t>Data Protection Act</w:t>
        </w:r>
      </w:hyperlink>
      <w:r w:rsidRPr="007F5A05">
        <w:rPr>
          <w:sz w:val="16"/>
        </w:rPr>
        <w:t>.</w:t>
      </w:r>
    </w:p>
  </w:footnote>
  <w:footnote w:id="109">
    <w:p w:rsidR="00811568" w:rsidRPr="007F5A05" w:rsidRDefault="00811568" w:rsidP="0095241C">
      <w:pPr>
        <w:pStyle w:val="FootnoteText"/>
        <w:rPr>
          <w:sz w:val="16"/>
        </w:rPr>
      </w:pPr>
      <w:r w:rsidRPr="007F5A05">
        <w:rPr>
          <w:rStyle w:val="FootnoteReference"/>
          <w:sz w:val="16"/>
        </w:rPr>
        <w:footnoteRef/>
      </w:r>
      <w:r w:rsidRPr="007F5A05">
        <w:rPr>
          <w:sz w:val="16"/>
        </w:rPr>
        <w:t xml:space="preserve"> Article 9 of the </w:t>
      </w:r>
      <w:hyperlink r:id="rId109" w:history="1">
        <w:r w:rsidRPr="007F5A05">
          <w:rPr>
            <w:rStyle w:val="Hyperlink"/>
            <w:sz w:val="16"/>
          </w:rPr>
          <w:t>Data Protection Act</w:t>
        </w:r>
      </w:hyperlink>
      <w:r w:rsidRPr="007F5A05">
        <w:rPr>
          <w:sz w:val="16"/>
        </w:rPr>
        <w:t>.</w:t>
      </w:r>
    </w:p>
  </w:footnote>
  <w:footnote w:id="110">
    <w:p w:rsidR="00811568" w:rsidRPr="007F5A05" w:rsidRDefault="00811568" w:rsidP="0095241C">
      <w:pPr>
        <w:pStyle w:val="FootnoteText"/>
        <w:jc w:val="both"/>
        <w:rPr>
          <w:sz w:val="16"/>
          <w:lang w:val="fr-BE"/>
        </w:rPr>
      </w:pPr>
      <w:r w:rsidRPr="007F5A05">
        <w:rPr>
          <w:rStyle w:val="FootnoteReference"/>
          <w:sz w:val="16"/>
        </w:rPr>
        <w:footnoteRef/>
      </w:r>
      <w:r w:rsidRPr="007F5A05">
        <w:rPr>
          <w:sz w:val="16"/>
        </w:rPr>
        <w:t xml:space="preserve"> </w:t>
      </w:r>
      <w:r w:rsidRPr="007F5A05">
        <w:rPr>
          <w:sz w:val="16"/>
          <w:lang w:val="fr-BE"/>
        </w:rPr>
        <w:t>Subsidiary Legislation 440.04, Legal Notice 125 of 2004.</w:t>
      </w:r>
    </w:p>
  </w:footnote>
  <w:footnote w:id="111">
    <w:p w:rsidR="00811568" w:rsidRPr="007F5A05" w:rsidRDefault="00811568" w:rsidP="0095241C">
      <w:pPr>
        <w:pStyle w:val="FootnoteText"/>
        <w:jc w:val="both"/>
        <w:rPr>
          <w:sz w:val="16"/>
        </w:rPr>
      </w:pPr>
      <w:r w:rsidRPr="007F5A05">
        <w:rPr>
          <w:rStyle w:val="FootnoteReference"/>
          <w:sz w:val="16"/>
        </w:rPr>
        <w:footnoteRef/>
      </w:r>
      <w:r w:rsidRPr="007F5A05">
        <w:rPr>
          <w:sz w:val="16"/>
        </w:rPr>
        <w:t xml:space="preserve"> Regulation 2 of the </w:t>
      </w:r>
      <w:hyperlink r:id="rId110" w:history="1">
        <w:r w:rsidRPr="007F5A05">
          <w:rPr>
            <w:rStyle w:val="Hyperlink"/>
            <w:sz w:val="16"/>
          </w:rPr>
          <w:t>Processing of Personal Data (Protection of Minors) Regulations</w:t>
        </w:r>
      </w:hyperlink>
      <w:r w:rsidRPr="007F5A05">
        <w:rPr>
          <w:sz w:val="16"/>
        </w:rPr>
        <w:t>.</w:t>
      </w:r>
    </w:p>
  </w:footnote>
  <w:footnote w:id="112">
    <w:p w:rsidR="00811568" w:rsidRPr="007F5A05" w:rsidRDefault="00811568" w:rsidP="0095241C">
      <w:pPr>
        <w:pStyle w:val="FootnoteText"/>
        <w:rPr>
          <w:sz w:val="16"/>
        </w:rPr>
      </w:pPr>
      <w:r w:rsidRPr="007F5A05">
        <w:rPr>
          <w:rStyle w:val="FootnoteReference"/>
          <w:sz w:val="16"/>
        </w:rPr>
        <w:footnoteRef/>
      </w:r>
      <w:r w:rsidRPr="007F5A05">
        <w:rPr>
          <w:sz w:val="16"/>
        </w:rPr>
        <w:t xml:space="preserve"> Article 46 of the </w:t>
      </w:r>
      <w:hyperlink r:id="rId111" w:history="1">
        <w:r w:rsidRPr="007F5A05">
          <w:rPr>
            <w:rStyle w:val="Hyperlink"/>
            <w:sz w:val="16"/>
          </w:rPr>
          <w:t>Data Protection Act</w:t>
        </w:r>
      </w:hyperlink>
      <w:r w:rsidRPr="007F5A05">
        <w:rPr>
          <w:sz w:val="16"/>
        </w:rPr>
        <w:t>.</w:t>
      </w:r>
    </w:p>
  </w:footnote>
  <w:footnote w:id="113">
    <w:p w:rsidR="00811568" w:rsidRPr="007F5A05" w:rsidRDefault="00811568" w:rsidP="0095241C">
      <w:pPr>
        <w:pStyle w:val="FootnoteText"/>
        <w:rPr>
          <w:sz w:val="16"/>
        </w:rPr>
      </w:pPr>
      <w:r w:rsidRPr="007F5A05">
        <w:rPr>
          <w:rStyle w:val="FootnoteReference"/>
          <w:sz w:val="16"/>
        </w:rPr>
        <w:footnoteRef/>
      </w:r>
      <w:r w:rsidRPr="007F5A05">
        <w:rPr>
          <w:sz w:val="16"/>
        </w:rPr>
        <w:t xml:space="preserve"> Section 1 of the </w:t>
      </w:r>
      <w:hyperlink r:id="rId112" w:history="1">
        <w:r w:rsidRPr="007F5A05">
          <w:rPr>
            <w:rStyle w:val="Hyperlink"/>
            <w:sz w:val="16"/>
          </w:rPr>
          <w:t>Code of Journalistic Ethics</w:t>
        </w:r>
      </w:hyperlink>
      <w:r w:rsidRPr="007F5A05">
        <w:rPr>
          <w:sz w:val="16"/>
        </w:rPr>
        <w:t>.</w:t>
      </w:r>
    </w:p>
  </w:footnote>
  <w:footnote w:id="114">
    <w:p w:rsidR="00811568" w:rsidRPr="002D68A1" w:rsidRDefault="00811568" w:rsidP="0095241C">
      <w:pPr>
        <w:pStyle w:val="FootnoteText"/>
      </w:pPr>
      <w:r w:rsidRPr="007F5A05">
        <w:rPr>
          <w:rStyle w:val="FootnoteReference"/>
          <w:sz w:val="16"/>
        </w:rPr>
        <w:footnoteRef/>
      </w:r>
      <w:r w:rsidRPr="007F5A05">
        <w:rPr>
          <w:sz w:val="16"/>
        </w:rPr>
        <w:t xml:space="preserve"> Sections 6 to 8 of the </w:t>
      </w:r>
      <w:hyperlink r:id="rId113" w:history="1">
        <w:r w:rsidRPr="007F5A05">
          <w:rPr>
            <w:rStyle w:val="Hyperlink"/>
            <w:sz w:val="16"/>
          </w:rPr>
          <w:t>Code of Journalistic Ethics</w:t>
        </w:r>
      </w:hyperlink>
      <w:r w:rsidRPr="007F5A05">
        <w:rPr>
          <w:sz w:val="16"/>
        </w:rPr>
        <w:t>.</w:t>
      </w:r>
    </w:p>
  </w:footnote>
  <w:footnote w:id="115">
    <w:p w:rsidR="00811568" w:rsidRPr="007F5A05" w:rsidRDefault="00811568" w:rsidP="0095241C">
      <w:pPr>
        <w:pStyle w:val="FootnoteText"/>
        <w:rPr>
          <w:sz w:val="16"/>
        </w:rPr>
      </w:pPr>
      <w:r w:rsidRPr="007F5A05">
        <w:rPr>
          <w:rStyle w:val="FootnoteReference"/>
          <w:sz w:val="16"/>
        </w:rPr>
        <w:footnoteRef/>
      </w:r>
      <w:r w:rsidRPr="007F5A05">
        <w:rPr>
          <w:sz w:val="16"/>
        </w:rPr>
        <w:t xml:space="preserve"> Section 11 of the </w:t>
      </w:r>
      <w:hyperlink r:id="rId114" w:history="1">
        <w:r w:rsidRPr="007F5A05">
          <w:rPr>
            <w:rStyle w:val="Hyperlink"/>
            <w:sz w:val="16"/>
          </w:rPr>
          <w:t>Code of Journalistic Ethics</w:t>
        </w:r>
      </w:hyperlink>
      <w:r w:rsidRPr="007F5A05">
        <w:rPr>
          <w:sz w:val="16"/>
        </w:rPr>
        <w:t>.</w:t>
      </w:r>
    </w:p>
  </w:footnote>
  <w:footnote w:id="116">
    <w:p w:rsidR="00811568" w:rsidRPr="007F5A05" w:rsidRDefault="00811568" w:rsidP="0095241C">
      <w:pPr>
        <w:pStyle w:val="FootnoteText"/>
        <w:rPr>
          <w:sz w:val="16"/>
        </w:rPr>
      </w:pPr>
      <w:r w:rsidRPr="007F5A05">
        <w:rPr>
          <w:rStyle w:val="FootnoteReference"/>
          <w:sz w:val="16"/>
        </w:rPr>
        <w:footnoteRef/>
      </w:r>
      <w:r w:rsidRPr="007F5A05">
        <w:rPr>
          <w:sz w:val="16"/>
        </w:rPr>
        <w:t xml:space="preserve"> Section 12 of the </w:t>
      </w:r>
      <w:hyperlink r:id="rId115" w:history="1">
        <w:r w:rsidRPr="007F5A05">
          <w:rPr>
            <w:rStyle w:val="Hyperlink"/>
            <w:sz w:val="16"/>
          </w:rPr>
          <w:t>Code of Journalistic Ethics</w:t>
        </w:r>
      </w:hyperlink>
      <w:r w:rsidRPr="007F5A05">
        <w:rPr>
          <w:sz w:val="16"/>
        </w:rPr>
        <w:t>.</w:t>
      </w:r>
    </w:p>
  </w:footnote>
  <w:footnote w:id="117">
    <w:p w:rsidR="00811568" w:rsidRPr="007F5A05" w:rsidRDefault="00811568" w:rsidP="0095241C">
      <w:pPr>
        <w:pStyle w:val="FootnoteText"/>
        <w:rPr>
          <w:sz w:val="16"/>
        </w:rPr>
      </w:pPr>
      <w:r w:rsidRPr="007F5A05">
        <w:rPr>
          <w:rStyle w:val="FootnoteReference"/>
          <w:sz w:val="16"/>
        </w:rPr>
        <w:footnoteRef/>
      </w:r>
      <w:r w:rsidRPr="007F5A05">
        <w:rPr>
          <w:sz w:val="16"/>
        </w:rPr>
        <w:t xml:space="preserve"> Article 128A(2) and (3) of the </w:t>
      </w:r>
      <w:hyperlink r:id="rId116" w:history="1">
        <w:r w:rsidRPr="007F5A05">
          <w:rPr>
            <w:rStyle w:val="Hyperlink"/>
            <w:sz w:val="16"/>
          </w:rPr>
          <w:t>Civil Code</w:t>
        </w:r>
      </w:hyperlink>
      <w:r w:rsidRPr="007F5A05">
        <w:rPr>
          <w:sz w:val="16"/>
        </w:rPr>
        <w:t xml:space="preserve">. </w:t>
      </w:r>
    </w:p>
  </w:footnote>
  <w:footnote w:id="118">
    <w:p w:rsidR="00811568" w:rsidRPr="007F5A05" w:rsidRDefault="00811568" w:rsidP="0095241C">
      <w:pPr>
        <w:pStyle w:val="FootnoteText"/>
        <w:rPr>
          <w:sz w:val="16"/>
          <w:lang w:val="en-US"/>
        </w:rPr>
      </w:pPr>
      <w:r w:rsidRPr="007F5A05">
        <w:rPr>
          <w:rStyle w:val="FootnoteReference"/>
          <w:sz w:val="16"/>
        </w:rPr>
        <w:footnoteRef/>
      </w:r>
      <w:r w:rsidRPr="007F5A05">
        <w:rPr>
          <w:sz w:val="16"/>
        </w:rPr>
        <w:t xml:space="preserve"> Information obtained through interview with stakeholder (lawyer).</w:t>
      </w:r>
    </w:p>
  </w:footnote>
  <w:footnote w:id="119">
    <w:p w:rsidR="00811568" w:rsidRPr="007F5A05" w:rsidRDefault="00811568" w:rsidP="0095241C">
      <w:pPr>
        <w:pStyle w:val="FootnoteText"/>
        <w:jc w:val="both"/>
        <w:rPr>
          <w:sz w:val="16"/>
        </w:rPr>
      </w:pPr>
      <w:r w:rsidRPr="007F5A05">
        <w:rPr>
          <w:rStyle w:val="FootnoteReference"/>
          <w:sz w:val="16"/>
        </w:rPr>
        <w:footnoteRef/>
      </w:r>
      <w:r w:rsidRPr="007F5A05">
        <w:rPr>
          <w:sz w:val="16"/>
        </w:rPr>
        <w:t xml:space="preserve"> Regulation 3(4) of </w:t>
      </w:r>
      <w:hyperlink r:id="rId117" w:history="1">
        <w:r w:rsidRPr="007F5A05">
          <w:rPr>
            <w:rStyle w:val="Hyperlink"/>
            <w:sz w:val="16"/>
          </w:rPr>
          <w:t>The Civil Court (Family Section), The First Hall of the Civil Court and The Court of Magistrates (Gozo) (Superior Jurisdiction) (Family Section) Regulations</w:t>
        </w:r>
      </w:hyperlink>
      <w:r w:rsidRPr="007F5A05">
        <w:rPr>
          <w:sz w:val="16"/>
        </w:rPr>
        <w:t>.</w:t>
      </w:r>
    </w:p>
  </w:footnote>
  <w:footnote w:id="120">
    <w:p w:rsidR="00811568" w:rsidRPr="00E57667" w:rsidRDefault="00811568" w:rsidP="0095241C">
      <w:pPr>
        <w:pStyle w:val="FootnoteText"/>
        <w:rPr>
          <w:lang w:val="en-US"/>
        </w:rPr>
      </w:pPr>
      <w:r w:rsidRPr="007F5A05">
        <w:rPr>
          <w:rStyle w:val="FootnoteReference"/>
          <w:sz w:val="16"/>
        </w:rPr>
        <w:footnoteRef/>
      </w:r>
      <w:r w:rsidRPr="007F5A05">
        <w:rPr>
          <w:sz w:val="16"/>
        </w:rPr>
        <w:t xml:space="preserve"> </w:t>
      </w:r>
      <w:r w:rsidRPr="007F5A05">
        <w:rPr>
          <w:sz w:val="16"/>
          <w:lang w:val="en-US"/>
        </w:rPr>
        <w:t xml:space="preserve">Article 13 of the </w:t>
      </w:r>
      <w:hyperlink r:id="rId118" w:history="1">
        <w:r w:rsidRPr="007F5A05">
          <w:rPr>
            <w:rStyle w:val="Hyperlink"/>
            <w:sz w:val="16"/>
            <w:lang w:val="en-US"/>
          </w:rPr>
          <w:t>Commissioner for Children Act</w:t>
        </w:r>
      </w:hyperlink>
      <w:r w:rsidRPr="007F5A05">
        <w:rPr>
          <w:sz w:val="16"/>
          <w:lang w:val="en-US"/>
        </w:rPr>
        <w:t>.</w:t>
      </w:r>
    </w:p>
  </w:footnote>
  <w:footnote w:id="121">
    <w:p w:rsidR="00811568" w:rsidRPr="007F5A05" w:rsidRDefault="00811568" w:rsidP="0095241C">
      <w:pPr>
        <w:pStyle w:val="FootnoteText"/>
        <w:jc w:val="both"/>
        <w:rPr>
          <w:sz w:val="16"/>
        </w:rPr>
      </w:pPr>
      <w:r w:rsidRPr="007F5A05">
        <w:rPr>
          <w:rStyle w:val="FootnoteReference"/>
          <w:sz w:val="16"/>
        </w:rPr>
        <w:footnoteRef/>
      </w:r>
      <w:r w:rsidRPr="007F5A05">
        <w:rPr>
          <w:sz w:val="16"/>
        </w:rPr>
        <w:t xml:space="preserve"> Article 195 of the </w:t>
      </w:r>
      <w:hyperlink r:id="rId119" w:history="1">
        <w:r w:rsidRPr="007F5A05">
          <w:rPr>
            <w:rStyle w:val="Hyperlink"/>
            <w:sz w:val="16"/>
          </w:rPr>
          <w:t>COCP</w:t>
        </w:r>
      </w:hyperlink>
      <w:r w:rsidRPr="007F5A05">
        <w:rPr>
          <w:sz w:val="16"/>
        </w:rPr>
        <w:t>.</w:t>
      </w:r>
    </w:p>
  </w:footnote>
  <w:footnote w:id="122">
    <w:p w:rsidR="00811568" w:rsidRPr="007F5A05" w:rsidRDefault="00811568" w:rsidP="0095241C">
      <w:pPr>
        <w:pStyle w:val="FootnoteText"/>
        <w:rPr>
          <w:sz w:val="16"/>
        </w:rPr>
      </w:pPr>
      <w:r w:rsidRPr="007F5A05">
        <w:rPr>
          <w:rStyle w:val="FootnoteReference"/>
          <w:sz w:val="16"/>
        </w:rPr>
        <w:footnoteRef/>
      </w:r>
      <w:r w:rsidRPr="007F5A05">
        <w:rPr>
          <w:sz w:val="16"/>
        </w:rPr>
        <w:t xml:space="preserve"> Article 482 of the </w:t>
      </w:r>
      <w:hyperlink r:id="rId120" w:history="1">
        <w:r w:rsidRPr="007F5A05">
          <w:rPr>
            <w:rStyle w:val="Hyperlink"/>
            <w:sz w:val="16"/>
          </w:rPr>
          <w:t>COCP</w:t>
        </w:r>
      </w:hyperlink>
      <w:r w:rsidRPr="007F5A05">
        <w:rPr>
          <w:sz w:val="16"/>
        </w:rPr>
        <w:t>.</w:t>
      </w:r>
    </w:p>
  </w:footnote>
  <w:footnote w:id="123">
    <w:p w:rsidR="00811568" w:rsidRPr="007F5A05" w:rsidRDefault="00811568" w:rsidP="0095241C">
      <w:pPr>
        <w:pStyle w:val="FootnoteText"/>
        <w:jc w:val="both"/>
        <w:rPr>
          <w:sz w:val="16"/>
          <w:lang w:val="en-US"/>
        </w:rPr>
      </w:pPr>
      <w:r w:rsidRPr="007F5A05">
        <w:rPr>
          <w:rStyle w:val="FootnoteReference"/>
          <w:sz w:val="16"/>
        </w:rPr>
        <w:footnoteRef/>
      </w:r>
      <w:r w:rsidRPr="007F5A05">
        <w:rPr>
          <w:sz w:val="16"/>
        </w:rPr>
        <w:t xml:space="preserve"> </w:t>
      </w:r>
      <w:r w:rsidRPr="007F5A05">
        <w:rPr>
          <w:sz w:val="16"/>
          <w:lang w:val="en-US"/>
        </w:rPr>
        <w:t xml:space="preserve">For an overview of these orders see the presentation of </w:t>
      </w:r>
      <w:hyperlink r:id="rId121" w:history="1">
        <w:r w:rsidRPr="007F5A05">
          <w:rPr>
            <w:rStyle w:val="Hyperlink"/>
            <w:sz w:val="16"/>
            <w:lang w:val="en-US"/>
          </w:rPr>
          <w:t>Protection, Restraining and Treatment Orders</w:t>
        </w:r>
      </w:hyperlink>
      <w:r w:rsidRPr="007F5A05">
        <w:rPr>
          <w:sz w:val="16"/>
          <w:lang w:val="en-US"/>
        </w:rPr>
        <w:t xml:space="preserve"> at the website of Family Law (Malta). </w:t>
      </w:r>
    </w:p>
  </w:footnote>
  <w:footnote w:id="124">
    <w:p w:rsidR="00811568" w:rsidRPr="007F5A05" w:rsidRDefault="00811568" w:rsidP="0095241C">
      <w:pPr>
        <w:pStyle w:val="FootnoteText"/>
        <w:jc w:val="both"/>
        <w:rPr>
          <w:sz w:val="16"/>
        </w:rPr>
      </w:pPr>
      <w:r w:rsidRPr="007F5A05">
        <w:rPr>
          <w:rStyle w:val="FootnoteReference"/>
          <w:sz w:val="16"/>
        </w:rPr>
        <w:footnoteRef/>
      </w:r>
      <w:r w:rsidRPr="007F5A05">
        <w:rPr>
          <w:sz w:val="16"/>
        </w:rPr>
        <w:t xml:space="preserve"> Article 39 of the </w:t>
      </w:r>
      <w:hyperlink r:id="rId122" w:history="1">
        <w:r w:rsidRPr="007F5A05">
          <w:rPr>
            <w:rStyle w:val="Hyperlink"/>
            <w:sz w:val="16"/>
          </w:rPr>
          <w:t>Civil Code</w:t>
        </w:r>
      </w:hyperlink>
      <w:r w:rsidRPr="007F5A05">
        <w:rPr>
          <w:sz w:val="16"/>
        </w:rPr>
        <w:t xml:space="preserve">. The provisions of Articles 412C and 412D of the </w:t>
      </w:r>
      <w:hyperlink r:id="rId123" w:history="1">
        <w:r w:rsidRPr="007F5A05">
          <w:rPr>
            <w:rStyle w:val="Hyperlink"/>
            <w:sz w:val="16"/>
          </w:rPr>
          <w:t>Criminal Code</w:t>
        </w:r>
      </w:hyperlink>
      <w:r w:rsidRPr="007F5A05">
        <w:rPr>
          <w:sz w:val="16"/>
        </w:rPr>
        <w:t xml:space="preserve"> (Chapter 9 of the Revised Laws of Malta) apply to orders issued under this provision.</w:t>
      </w:r>
    </w:p>
  </w:footnote>
  <w:footnote w:id="125">
    <w:p w:rsidR="00811568" w:rsidRPr="00E57667" w:rsidRDefault="00811568" w:rsidP="0095241C">
      <w:pPr>
        <w:pStyle w:val="FootnoteText"/>
        <w:rPr>
          <w:lang w:val="en-US"/>
        </w:rPr>
      </w:pPr>
      <w:r w:rsidRPr="007F5A05">
        <w:rPr>
          <w:rStyle w:val="FootnoteReference"/>
          <w:sz w:val="16"/>
        </w:rPr>
        <w:footnoteRef/>
      </w:r>
      <w:r w:rsidRPr="007F5A05">
        <w:rPr>
          <w:sz w:val="16"/>
        </w:rPr>
        <w:t xml:space="preserve"> </w:t>
      </w:r>
      <w:r w:rsidRPr="007F5A05">
        <w:rPr>
          <w:sz w:val="16"/>
          <w:lang w:val="en-US"/>
        </w:rPr>
        <w:t xml:space="preserve">Article 412C of the </w:t>
      </w:r>
      <w:hyperlink r:id="rId124" w:history="1">
        <w:r w:rsidRPr="007F5A05">
          <w:rPr>
            <w:rStyle w:val="Hyperlink"/>
            <w:sz w:val="16"/>
            <w:lang w:val="en-US"/>
          </w:rPr>
          <w:t>Criminal Code</w:t>
        </w:r>
      </w:hyperlink>
      <w:r w:rsidRPr="007F5A05">
        <w:rPr>
          <w:sz w:val="16"/>
          <w:lang w:val="en-US"/>
        </w:rPr>
        <w:t>.</w:t>
      </w:r>
    </w:p>
  </w:footnote>
  <w:footnote w:id="126">
    <w:p w:rsidR="00811568" w:rsidRPr="007F5A05" w:rsidRDefault="00811568" w:rsidP="0095241C">
      <w:pPr>
        <w:pStyle w:val="FootnoteText"/>
        <w:rPr>
          <w:sz w:val="16"/>
          <w:lang w:val="en-US"/>
        </w:rPr>
      </w:pPr>
      <w:r w:rsidRPr="007F5A05">
        <w:rPr>
          <w:rStyle w:val="FootnoteReference"/>
          <w:sz w:val="16"/>
        </w:rPr>
        <w:footnoteRef/>
      </w:r>
      <w:r w:rsidRPr="007F5A05">
        <w:rPr>
          <w:sz w:val="16"/>
        </w:rPr>
        <w:t xml:space="preserve"> </w:t>
      </w:r>
      <w:r w:rsidRPr="007F5A05">
        <w:rPr>
          <w:sz w:val="16"/>
          <w:lang w:val="en-US"/>
        </w:rPr>
        <w:t xml:space="preserve">Article 412D of the </w:t>
      </w:r>
      <w:hyperlink r:id="rId125" w:history="1">
        <w:r w:rsidRPr="007F5A05">
          <w:rPr>
            <w:rStyle w:val="Hyperlink"/>
            <w:sz w:val="16"/>
            <w:lang w:val="en-US"/>
          </w:rPr>
          <w:t>Criminal Code</w:t>
        </w:r>
      </w:hyperlink>
      <w:r w:rsidRPr="007F5A05">
        <w:rPr>
          <w:sz w:val="16"/>
          <w:lang w:val="en-US"/>
        </w:rPr>
        <w:t>.</w:t>
      </w:r>
    </w:p>
  </w:footnote>
  <w:footnote w:id="127">
    <w:p w:rsidR="00811568" w:rsidRPr="007F5A05" w:rsidRDefault="00811568" w:rsidP="0095241C">
      <w:pPr>
        <w:pStyle w:val="FootnoteText"/>
        <w:rPr>
          <w:sz w:val="16"/>
          <w:lang w:val="en-US"/>
        </w:rPr>
      </w:pPr>
      <w:r w:rsidRPr="007F5A05">
        <w:rPr>
          <w:rStyle w:val="FootnoteReference"/>
          <w:sz w:val="16"/>
        </w:rPr>
        <w:footnoteRef/>
      </w:r>
      <w:r w:rsidRPr="007F5A05">
        <w:rPr>
          <w:sz w:val="16"/>
        </w:rPr>
        <w:t xml:space="preserve"> </w:t>
      </w:r>
      <w:r w:rsidRPr="007F5A05">
        <w:rPr>
          <w:sz w:val="16"/>
          <w:lang w:val="en-US"/>
        </w:rPr>
        <w:t xml:space="preserve">Article 382A of the </w:t>
      </w:r>
      <w:hyperlink r:id="rId126" w:history="1">
        <w:r w:rsidRPr="007F5A05">
          <w:rPr>
            <w:rStyle w:val="Hyperlink"/>
            <w:sz w:val="16"/>
            <w:lang w:val="en-US"/>
          </w:rPr>
          <w:t>Criminal Code</w:t>
        </w:r>
      </w:hyperlink>
      <w:r w:rsidRPr="007F5A05">
        <w:rPr>
          <w:sz w:val="16"/>
          <w:lang w:val="en-US"/>
        </w:rPr>
        <w:t>.</w:t>
      </w:r>
    </w:p>
  </w:footnote>
  <w:footnote w:id="128">
    <w:p w:rsidR="00811568" w:rsidRPr="007F5A05" w:rsidRDefault="00811568" w:rsidP="0095241C">
      <w:pPr>
        <w:pStyle w:val="FootnoteText"/>
        <w:rPr>
          <w:sz w:val="16"/>
          <w:lang w:val="en-US"/>
        </w:rPr>
      </w:pPr>
      <w:r w:rsidRPr="007F5A05">
        <w:rPr>
          <w:rStyle w:val="FootnoteReference"/>
          <w:sz w:val="16"/>
        </w:rPr>
        <w:footnoteRef/>
      </w:r>
      <w:r w:rsidRPr="007F5A05">
        <w:rPr>
          <w:sz w:val="16"/>
        </w:rPr>
        <w:t xml:space="preserve"> Information obtained through </w:t>
      </w:r>
      <w:r w:rsidRPr="007F5A05">
        <w:rPr>
          <w:sz w:val="16"/>
          <w:lang w:val="en-US"/>
        </w:rPr>
        <w:t>interview with stakeholder (lawyer).</w:t>
      </w:r>
    </w:p>
  </w:footnote>
  <w:footnote w:id="129">
    <w:p w:rsidR="00811568" w:rsidRPr="00E57667" w:rsidRDefault="00811568" w:rsidP="0095241C">
      <w:pPr>
        <w:pStyle w:val="FootnoteText"/>
        <w:jc w:val="both"/>
        <w:rPr>
          <w:lang w:val="en-US"/>
        </w:rPr>
      </w:pPr>
      <w:r w:rsidRPr="007F5A05">
        <w:rPr>
          <w:rStyle w:val="FootnoteReference"/>
          <w:sz w:val="16"/>
        </w:rPr>
        <w:footnoteRef/>
      </w:r>
      <w:r w:rsidRPr="007F5A05">
        <w:rPr>
          <w:sz w:val="16"/>
        </w:rPr>
        <w:t xml:space="preserve"> </w:t>
      </w:r>
      <w:hyperlink r:id="rId127" w:history="1">
        <w:r w:rsidRPr="007F5A05">
          <w:rPr>
            <w:rStyle w:val="Hyperlink"/>
            <w:sz w:val="16"/>
          </w:rPr>
          <w:t>Website of the Children &amp; Young Persons' Support Services</w:t>
        </w:r>
      </w:hyperlink>
      <w:r w:rsidRPr="007F5A05">
        <w:rPr>
          <w:sz w:val="16"/>
          <w:lang w:val="en-US"/>
        </w:rPr>
        <w:t xml:space="preserve"> (last accessed on 6 May 2013).</w:t>
      </w:r>
    </w:p>
  </w:footnote>
  <w:footnote w:id="130">
    <w:p w:rsidR="00811568" w:rsidRPr="007F5A05" w:rsidRDefault="00811568" w:rsidP="0095241C">
      <w:pPr>
        <w:pStyle w:val="FootnoteText"/>
        <w:rPr>
          <w:sz w:val="16"/>
        </w:rPr>
      </w:pPr>
      <w:r w:rsidRPr="007F5A05">
        <w:rPr>
          <w:rStyle w:val="FootnoteReference"/>
          <w:sz w:val="16"/>
        </w:rPr>
        <w:footnoteRef/>
      </w:r>
      <w:r w:rsidRPr="007F5A05">
        <w:rPr>
          <w:sz w:val="16"/>
        </w:rPr>
        <w:t xml:space="preserve"> Articles 589 and 590 of the </w:t>
      </w:r>
      <w:hyperlink r:id="rId128" w:history="1">
        <w:r w:rsidRPr="007F5A05">
          <w:rPr>
            <w:rStyle w:val="Hyperlink"/>
            <w:sz w:val="16"/>
          </w:rPr>
          <w:t>COCP</w:t>
        </w:r>
      </w:hyperlink>
      <w:r w:rsidRPr="007F5A05">
        <w:rPr>
          <w:sz w:val="16"/>
        </w:rPr>
        <w:t>.</w:t>
      </w:r>
    </w:p>
  </w:footnote>
  <w:footnote w:id="131">
    <w:p w:rsidR="00811568" w:rsidRPr="00E57667" w:rsidRDefault="00811568" w:rsidP="0095241C">
      <w:pPr>
        <w:pStyle w:val="FootnoteText"/>
        <w:rPr>
          <w:lang w:val="en-US"/>
        </w:rPr>
      </w:pPr>
      <w:r w:rsidRPr="007F5A05">
        <w:rPr>
          <w:rStyle w:val="FootnoteReference"/>
          <w:sz w:val="16"/>
        </w:rPr>
        <w:footnoteRef/>
      </w:r>
      <w:r w:rsidRPr="007F5A05">
        <w:rPr>
          <w:sz w:val="16"/>
        </w:rPr>
        <w:t xml:space="preserve"> </w:t>
      </w:r>
      <w:r w:rsidRPr="007F5A05">
        <w:rPr>
          <w:sz w:val="16"/>
          <w:lang w:val="en-US"/>
        </w:rPr>
        <w:t xml:space="preserve">Article 577(3) of the </w:t>
      </w:r>
      <w:hyperlink r:id="rId129" w:history="1">
        <w:r w:rsidRPr="007F5A05">
          <w:rPr>
            <w:rStyle w:val="Hyperlink"/>
            <w:sz w:val="16"/>
            <w:lang w:val="en-US"/>
          </w:rPr>
          <w:t>COCP</w:t>
        </w:r>
      </w:hyperlink>
      <w:r w:rsidRPr="007F5A05">
        <w:rPr>
          <w:sz w:val="16"/>
          <w:lang w:val="en-US"/>
        </w:rPr>
        <w:t>.</w:t>
      </w:r>
    </w:p>
  </w:footnote>
  <w:footnote w:id="132">
    <w:p w:rsidR="00811568" w:rsidRPr="007F5A05" w:rsidRDefault="00811568" w:rsidP="0095241C">
      <w:pPr>
        <w:pStyle w:val="FootnoteText"/>
        <w:jc w:val="both"/>
        <w:rPr>
          <w:sz w:val="16"/>
          <w:lang w:val="en-US"/>
        </w:rPr>
      </w:pPr>
      <w:r w:rsidRPr="007F5A05">
        <w:rPr>
          <w:rStyle w:val="FootnoteReference"/>
          <w:sz w:val="16"/>
        </w:rPr>
        <w:footnoteRef/>
      </w:r>
      <w:r w:rsidRPr="007F5A05">
        <w:rPr>
          <w:sz w:val="16"/>
        </w:rPr>
        <w:t xml:space="preserve"> </w:t>
      </w:r>
      <w:r w:rsidRPr="007F5A05">
        <w:rPr>
          <w:sz w:val="16"/>
          <w:lang w:val="en-US"/>
        </w:rPr>
        <w:t xml:space="preserve">The law does not specifically provide for the child’s right to be heard by the judge although s/he can be represented as </w:t>
      </w:r>
      <w:r w:rsidRPr="007F5A05">
        <w:rPr>
          <w:sz w:val="16"/>
        </w:rPr>
        <w:t>explained</w:t>
      </w:r>
      <w:r w:rsidRPr="007F5A05">
        <w:rPr>
          <w:sz w:val="16"/>
          <w:lang w:val="en-US"/>
        </w:rPr>
        <w:t xml:space="preserve"> in </w:t>
      </w:r>
      <w:hyperlink w:anchor="_The_child_as" w:history="1">
        <w:r w:rsidRPr="007F5A05">
          <w:rPr>
            <w:rStyle w:val="Hyperlink"/>
            <w:sz w:val="16"/>
          </w:rPr>
          <w:t>Section 3.1</w:t>
        </w:r>
      </w:hyperlink>
      <w:r w:rsidRPr="007F5A05">
        <w:rPr>
          <w:sz w:val="16"/>
        </w:rPr>
        <w:t>.</w:t>
      </w:r>
    </w:p>
  </w:footnote>
  <w:footnote w:id="133">
    <w:p w:rsidR="00811568" w:rsidRPr="007F5A05" w:rsidRDefault="00811568" w:rsidP="0095241C">
      <w:pPr>
        <w:pStyle w:val="FootnoteText"/>
        <w:rPr>
          <w:sz w:val="16"/>
          <w:lang w:val="en-US"/>
        </w:rPr>
      </w:pPr>
      <w:r w:rsidRPr="007F5A05">
        <w:rPr>
          <w:rStyle w:val="FootnoteReference"/>
          <w:sz w:val="16"/>
        </w:rPr>
        <w:footnoteRef/>
      </w:r>
      <w:r w:rsidRPr="007F5A05">
        <w:rPr>
          <w:sz w:val="16"/>
        </w:rPr>
        <w:t xml:space="preserve"> </w:t>
      </w:r>
      <w:hyperlink r:id="rId130" w:history="1">
        <w:r w:rsidRPr="007F5A05">
          <w:rPr>
            <w:rStyle w:val="Hyperlink"/>
            <w:sz w:val="16"/>
          </w:rPr>
          <w:t>Draft National Children’s Policy</w:t>
        </w:r>
      </w:hyperlink>
      <w:r w:rsidRPr="007F5A05">
        <w:rPr>
          <w:sz w:val="16"/>
        </w:rPr>
        <w:t>, p.47.</w:t>
      </w:r>
    </w:p>
  </w:footnote>
  <w:footnote w:id="134">
    <w:p w:rsidR="00811568" w:rsidRPr="007F5A05" w:rsidRDefault="00811568" w:rsidP="0095241C">
      <w:pPr>
        <w:pStyle w:val="FootnoteText"/>
        <w:rPr>
          <w:sz w:val="16"/>
          <w:lang w:val="en-US"/>
        </w:rPr>
      </w:pPr>
      <w:r w:rsidRPr="007F5A05">
        <w:rPr>
          <w:rStyle w:val="FootnoteReference"/>
          <w:sz w:val="16"/>
        </w:rPr>
        <w:footnoteRef/>
      </w:r>
      <w:r w:rsidRPr="007F5A05">
        <w:rPr>
          <w:sz w:val="16"/>
        </w:rPr>
        <w:t xml:space="preserve"> </w:t>
      </w:r>
      <w:hyperlink r:id="rId131" w:history="1">
        <w:r w:rsidRPr="007F5A05">
          <w:rPr>
            <w:rStyle w:val="Hyperlink"/>
            <w:sz w:val="16"/>
          </w:rPr>
          <w:t>Draft National Children’s Policy</w:t>
        </w:r>
      </w:hyperlink>
      <w:r w:rsidRPr="007F5A05">
        <w:rPr>
          <w:sz w:val="16"/>
        </w:rPr>
        <w:t>, p.48.</w:t>
      </w:r>
    </w:p>
  </w:footnote>
  <w:footnote w:id="135">
    <w:p w:rsidR="00811568" w:rsidRPr="007F5A05" w:rsidRDefault="00811568" w:rsidP="0095241C">
      <w:pPr>
        <w:pStyle w:val="FootnoteText"/>
        <w:rPr>
          <w:sz w:val="16"/>
        </w:rPr>
      </w:pPr>
      <w:r w:rsidRPr="007F5A05">
        <w:rPr>
          <w:rStyle w:val="FootnoteReference"/>
          <w:sz w:val="16"/>
        </w:rPr>
        <w:footnoteRef/>
      </w:r>
      <w:r w:rsidRPr="007F5A05">
        <w:rPr>
          <w:sz w:val="16"/>
        </w:rPr>
        <w:t xml:space="preserve"> Article 2124(1) of the </w:t>
      </w:r>
      <w:hyperlink r:id="rId132" w:history="1">
        <w:r w:rsidRPr="007F5A05">
          <w:rPr>
            <w:rStyle w:val="Hyperlink"/>
            <w:sz w:val="16"/>
          </w:rPr>
          <w:t>Civil Code</w:t>
        </w:r>
      </w:hyperlink>
      <w:r w:rsidRPr="007F5A05">
        <w:rPr>
          <w:sz w:val="16"/>
        </w:rPr>
        <w:t>.</w:t>
      </w:r>
    </w:p>
  </w:footnote>
  <w:footnote w:id="136">
    <w:p w:rsidR="00811568" w:rsidRPr="007F5A05" w:rsidRDefault="00811568" w:rsidP="0095241C">
      <w:pPr>
        <w:pStyle w:val="FootnoteText"/>
        <w:rPr>
          <w:sz w:val="16"/>
        </w:rPr>
      </w:pPr>
      <w:r w:rsidRPr="007F5A05">
        <w:rPr>
          <w:rStyle w:val="FootnoteReference"/>
          <w:sz w:val="16"/>
        </w:rPr>
        <w:footnoteRef/>
      </w:r>
      <w:r w:rsidRPr="007F5A05">
        <w:rPr>
          <w:sz w:val="16"/>
        </w:rPr>
        <w:t xml:space="preserve"> Article 845 of the </w:t>
      </w:r>
      <w:hyperlink r:id="rId133" w:history="1">
        <w:r w:rsidRPr="007F5A05">
          <w:rPr>
            <w:rStyle w:val="Hyperlink"/>
            <w:sz w:val="16"/>
          </w:rPr>
          <w:t>Civil Code</w:t>
        </w:r>
      </w:hyperlink>
      <w:r w:rsidRPr="007F5A05">
        <w:rPr>
          <w:sz w:val="16"/>
        </w:rPr>
        <w:t>.</w:t>
      </w:r>
    </w:p>
  </w:footnote>
  <w:footnote w:id="137">
    <w:p w:rsidR="00811568" w:rsidRPr="007F5A05" w:rsidRDefault="00811568" w:rsidP="0095241C">
      <w:pPr>
        <w:pStyle w:val="FootnoteText"/>
        <w:rPr>
          <w:sz w:val="16"/>
        </w:rPr>
      </w:pPr>
      <w:r w:rsidRPr="007F5A05">
        <w:rPr>
          <w:rStyle w:val="FootnoteReference"/>
          <w:sz w:val="16"/>
        </w:rPr>
        <w:footnoteRef/>
      </w:r>
      <w:r w:rsidRPr="007F5A05">
        <w:rPr>
          <w:sz w:val="16"/>
        </w:rPr>
        <w:t xml:space="preserve"> Article 885 of the </w:t>
      </w:r>
      <w:hyperlink r:id="rId134" w:history="1">
        <w:r w:rsidRPr="007F5A05">
          <w:rPr>
            <w:rStyle w:val="Hyperlink"/>
            <w:sz w:val="16"/>
          </w:rPr>
          <w:t>Civil Code</w:t>
        </w:r>
      </w:hyperlink>
      <w:r w:rsidRPr="007F5A05">
        <w:rPr>
          <w:sz w:val="16"/>
        </w:rPr>
        <w:t>.</w:t>
      </w:r>
    </w:p>
  </w:footnote>
  <w:footnote w:id="138">
    <w:p w:rsidR="00811568" w:rsidRDefault="00811568" w:rsidP="0095241C">
      <w:pPr>
        <w:pStyle w:val="FootnoteText"/>
      </w:pPr>
      <w:r w:rsidRPr="007F5A05">
        <w:rPr>
          <w:rStyle w:val="FootnoteReference"/>
          <w:sz w:val="16"/>
        </w:rPr>
        <w:footnoteRef/>
      </w:r>
      <w:r w:rsidRPr="007F5A05">
        <w:rPr>
          <w:sz w:val="16"/>
        </w:rPr>
        <w:t xml:space="preserve"> Article 186 of the </w:t>
      </w:r>
      <w:hyperlink r:id="rId135" w:history="1">
        <w:r w:rsidRPr="007F5A05">
          <w:rPr>
            <w:rStyle w:val="Hyperlink"/>
            <w:sz w:val="16"/>
          </w:rPr>
          <w:t>Civil Code</w:t>
        </w:r>
      </w:hyperlink>
      <w:r w:rsidRPr="007F5A05">
        <w:rPr>
          <w:sz w:val="16"/>
        </w:rPr>
        <w:t>.</w:t>
      </w:r>
    </w:p>
  </w:footnote>
  <w:footnote w:id="139">
    <w:p w:rsidR="00811568" w:rsidRPr="00B4530D" w:rsidRDefault="00811568" w:rsidP="0095241C">
      <w:pPr>
        <w:pStyle w:val="FootnoteText"/>
        <w:rPr>
          <w:sz w:val="16"/>
          <w:lang w:val="en-US"/>
        </w:rPr>
      </w:pPr>
      <w:r w:rsidRPr="00B4530D">
        <w:rPr>
          <w:rStyle w:val="FootnoteReference"/>
          <w:sz w:val="16"/>
        </w:rPr>
        <w:footnoteRef/>
      </w:r>
      <w:r w:rsidRPr="00B4530D">
        <w:rPr>
          <w:sz w:val="16"/>
        </w:rPr>
        <w:t xml:space="preserve"> </w:t>
      </w:r>
      <w:hyperlink r:id="rId136" w:history="1">
        <w:r w:rsidRPr="00B4530D">
          <w:rPr>
            <w:rStyle w:val="Hyperlink"/>
            <w:sz w:val="16"/>
          </w:rPr>
          <w:t>Draft National Children’s Policy</w:t>
        </w:r>
      </w:hyperlink>
      <w:r w:rsidRPr="00B4530D">
        <w:rPr>
          <w:sz w:val="16"/>
        </w:rPr>
        <w:t>, p.47.</w:t>
      </w:r>
    </w:p>
  </w:footnote>
  <w:footnote w:id="140">
    <w:p w:rsidR="00811568" w:rsidRPr="00B4530D" w:rsidRDefault="00811568" w:rsidP="0095241C">
      <w:pPr>
        <w:pStyle w:val="FootnoteText"/>
        <w:rPr>
          <w:sz w:val="16"/>
          <w:lang w:val="en-US"/>
        </w:rPr>
      </w:pPr>
      <w:r w:rsidRPr="00B4530D">
        <w:rPr>
          <w:rStyle w:val="FootnoteReference"/>
          <w:sz w:val="16"/>
        </w:rPr>
        <w:footnoteRef/>
      </w:r>
      <w:r w:rsidRPr="00B4530D">
        <w:rPr>
          <w:sz w:val="16"/>
        </w:rPr>
        <w:t xml:space="preserve"> </w:t>
      </w:r>
      <w:hyperlink r:id="rId137" w:history="1">
        <w:r w:rsidRPr="00B4530D">
          <w:rPr>
            <w:rStyle w:val="Hyperlink"/>
            <w:sz w:val="16"/>
          </w:rPr>
          <w:t>Office of the Commissioner for Children, Annual Report 2011</w:t>
        </w:r>
      </w:hyperlink>
      <w:r w:rsidRPr="00B4530D">
        <w:rPr>
          <w:sz w:val="16"/>
        </w:rPr>
        <w:t>, p.26</w:t>
      </w:r>
      <w:r w:rsidRPr="00B4530D">
        <w:rPr>
          <w:sz w:val="16"/>
          <w:lang w:val="en-US"/>
        </w:rPr>
        <w:t>.</w:t>
      </w:r>
    </w:p>
  </w:footnote>
  <w:footnote w:id="141">
    <w:p w:rsidR="00811568" w:rsidRPr="00B4530D" w:rsidRDefault="00811568" w:rsidP="0095241C">
      <w:pPr>
        <w:pStyle w:val="FootnoteText"/>
        <w:rPr>
          <w:sz w:val="16"/>
        </w:rPr>
      </w:pPr>
      <w:r w:rsidRPr="00B4530D">
        <w:rPr>
          <w:rStyle w:val="FootnoteReference"/>
          <w:sz w:val="16"/>
        </w:rPr>
        <w:footnoteRef/>
      </w:r>
      <w:r w:rsidRPr="00B4530D">
        <w:rPr>
          <w:sz w:val="16"/>
        </w:rPr>
        <w:t xml:space="preserve"> </w:t>
      </w:r>
      <w:hyperlink r:id="rId138" w:history="1">
        <w:r w:rsidRPr="00B4530D">
          <w:rPr>
            <w:rStyle w:val="Hyperlink"/>
            <w:sz w:val="16"/>
          </w:rPr>
          <w:t>Draft National Children’s Policy</w:t>
        </w:r>
      </w:hyperlink>
      <w:r w:rsidRPr="00B4530D">
        <w:rPr>
          <w:sz w:val="16"/>
        </w:rPr>
        <w:t>, p.47.</w:t>
      </w:r>
    </w:p>
  </w:footnote>
  <w:footnote w:id="142">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115(4) of the </w:t>
      </w:r>
      <w:hyperlink r:id="rId139" w:history="1">
        <w:r w:rsidRPr="00B4530D">
          <w:rPr>
            <w:rStyle w:val="Hyperlink"/>
            <w:sz w:val="16"/>
          </w:rPr>
          <w:t>Civil Code</w:t>
        </w:r>
      </w:hyperlink>
      <w:r w:rsidRPr="00B4530D">
        <w:rPr>
          <w:sz w:val="16"/>
        </w:rPr>
        <w:t>.</w:t>
      </w:r>
    </w:p>
  </w:footnote>
  <w:footnote w:id="143">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119(1)(b) of the </w:t>
      </w:r>
      <w:hyperlink r:id="rId140" w:history="1">
        <w:r w:rsidRPr="00B4530D">
          <w:rPr>
            <w:rStyle w:val="Hyperlink"/>
            <w:sz w:val="16"/>
          </w:rPr>
          <w:t>Civil Code</w:t>
        </w:r>
      </w:hyperlink>
      <w:r w:rsidRPr="00B4530D">
        <w:rPr>
          <w:sz w:val="16"/>
        </w:rPr>
        <w:t>.</w:t>
      </w:r>
    </w:p>
  </w:footnote>
  <w:footnote w:id="144">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119(2) of the </w:t>
      </w:r>
      <w:hyperlink r:id="rId141" w:history="1">
        <w:r w:rsidRPr="00B4530D">
          <w:rPr>
            <w:rStyle w:val="Hyperlink"/>
            <w:sz w:val="16"/>
          </w:rPr>
          <w:t>Civil Code</w:t>
        </w:r>
      </w:hyperlink>
      <w:r w:rsidRPr="00B4530D">
        <w:rPr>
          <w:sz w:val="16"/>
        </w:rPr>
        <w:t>.</w:t>
      </w:r>
    </w:p>
  </w:footnote>
  <w:footnote w:id="145">
    <w:p w:rsidR="00811568" w:rsidRDefault="00811568" w:rsidP="0095241C">
      <w:pPr>
        <w:pStyle w:val="FootnoteText"/>
      </w:pPr>
      <w:r w:rsidRPr="00B4530D">
        <w:rPr>
          <w:rStyle w:val="FootnoteReference"/>
          <w:sz w:val="16"/>
        </w:rPr>
        <w:footnoteRef/>
      </w:r>
      <w:r w:rsidRPr="00B4530D">
        <w:rPr>
          <w:sz w:val="16"/>
        </w:rPr>
        <w:t xml:space="preserve"> Article 119(4) of the </w:t>
      </w:r>
      <w:hyperlink r:id="rId142" w:history="1">
        <w:r w:rsidRPr="00B4530D">
          <w:rPr>
            <w:rStyle w:val="Hyperlink"/>
            <w:sz w:val="16"/>
          </w:rPr>
          <w:t>Civil Code</w:t>
        </w:r>
      </w:hyperlink>
      <w:r w:rsidRPr="00B4530D">
        <w:rPr>
          <w:sz w:val="16"/>
        </w:rPr>
        <w:t>.</w:t>
      </w:r>
    </w:p>
  </w:footnote>
  <w:footnote w:id="146">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120 of the </w:t>
      </w:r>
      <w:hyperlink r:id="rId143" w:history="1">
        <w:r w:rsidRPr="00B4530D">
          <w:rPr>
            <w:rStyle w:val="Hyperlink"/>
            <w:sz w:val="16"/>
          </w:rPr>
          <w:t>Civil Code</w:t>
        </w:r>
      </w:hyperlink>
      <w:r w:rsidRPr="00B4530D">
        <w:rPr>
          <w:sz w:val="16"/>
        </w:rPr>
        <w:t xml:space="preserve">. </w:t>
      </w:r>
    </w:p>
  </w:footnote>
  <w:footnote w:id="147">
    <w:p w:rsidR="00811568" w:rsidRPr="00B4530D" w:rsidRDefault="00811568" w:rsidP="0095241C">
      <w:pPr>
        <w:pStyle w:val="FootnoteText"/>
        <w:rPr>
          <w:sz w:val="16"/>
        </w:rPr>
      </w:pPr>
      <w:r w:rsidRPr="00B4530D">
        <w:rPr>
          <w:rStyle w:val="FootnoteReference"/>
          <w:sz w:val="16"/>
        </w:rPr>
        <w:footnoteRef/>
      </w:r>
      <w:r w:rsidRPr="00B4530D">
        <w:rPr>
          <w:sz w:val="16"/>
        </w:rPr>
        <w:t xml:space="preserve"> Regulation 2(e) of the </w:t>
      </w:r>
      <w:hyperlink r:id="rId144" w:history="1">
        <w:r w:rsidRPr="00B4530D">
          <w:rPr>
            <w:rStyle w:val="Hyperlink"/>
            <w:sz w:val="16"/>
          </w:rPr>
          <w:t>Adoption Regulations</w:t>
        </w:r>
      </w:hyperlink>
      <w:r w:rsidRPr="00B4530D">
        <w:rPr>
          <w:sz w:val="16"/>
        </w:rPr>
        <w:t>, Legal Notice 15 of 1995, Subsidiary Legislation 16.04.</w:t>
      </w:r>
    </w:p>
  </w:footnote>
  <w:footnote w:id="148">
    <w:p w:rsidR="00811568" w:rsidRPr="00B4530D" w:rsidRDefault="00811568" w:rsidP="0095241C">
      <w:pPr>
        <w:pStyle w:val="FootnoteText"/>
        <w:rPr>
          <w:sz w:val="16"/>
          <w:lang w:val="en-US"/>
        </w:rPr>
      </w:pPr>
      <w:r w:rsidRPr="00B4530D">
        <w:rPr>
          <w:rStyle w:val="FootnoteReference"/>
          <w:sz w:val="16"/>
        </w:rPr>
        <w:footnoteRef/>
      </w:r>
      <w:r w:rsidRPr="00B4530D">
        <w:rPr>
          <w:sz w:val="16"/>
        </w:rPr>
        <w:t xml:space="preserve"> Articles 204 and 205 of the </w:t>
      </w:r>
      <w:hyperlink r:id="rId145" w:history="1">
        <w:r w:rsidRPr="00B4530D">
          <w:rPr>
            <w:rStyle w:val="Hyperlink"/>
            <w:sz w:val="16"/>
            <w:lang w:val="en-US"/>
          </w:rPr>
          <w:t>COCP</w:t>
        </w:r>
      </w:hyperlink>
      <w:r w:rsidRPr="00B4530D">
        <w:rPr>
          <w:sz w:val="16"/>
          <w:lang w:val="en-US"/>
        </w:rPr>
        <w:t>.</w:t>
      </w:r>
    </w:p>
  </w:footnote>
  <w:footnote w:id="149">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929(a) of the </w:t>
      </w:r>
      <w:hyperlink r:id="rId146" w:history="1">
        <w:r w:rsidRPr="00B4530D">
          <w:rPr>
            <w:rStyle w:val="Hyperlink"/>
            <w:sz w:val="16"/>
          </w:rPr>
          <w:t>COCP</w:t>
        </w:r>
      </w:hyperlink>
      <w:r w:rsidRPr="00B4530D">
        <w:rPr>
          <w:sz w:val="16"/>
        </w:rPr>
        <w:t>.</w:t>
      </w:r>
    </w:p>
  </w:footnote>
  <w:footnote w:id="150">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930 of the </w:t>
      </w:r>
      <w:hyperlink r:id="rId147" w:history="1">
        <w:r w:rsidRPr="00B4530D">
          <w:rPr>
            <w:rStyle w:val="Hyperlink"/>
            <w:sz w:val="16"/>
          </w:rPr>
          <w:t>COCP</w:t>
        </w:r>
      </w:hyperlink>
      <w:r w:rsidRPr="00B4530D">
        <w:rPr>
          <w:sz w:val="16"/>
        </w:rPr>
        <w:t>.</w:t>
      </w:r>
    </w:p>
  </w:footnote>
  <w:footnote w:id="151">
    <w:p w:rsidR="00811568" w:rsidRPr="002D0B31" w:rsidRDefault="00811568" w:rsidP="0095241C">
      <w:pPr>
        <w:pStyle w:val="FootnoteText"/>
      </w:pPr>
      <w:r w:rsidRPr="00B4530D">
        <w:rPr>
          <w:rStyle w:val="FootnoteReference"/>
          <w:sz w:val="16"/>
        </w:rPr>
        <w:footnoteRef/>
      </w:r>
      <w:r w:rsidRPr="00B4530D">
        <w:rPr>
          <w:sz w:val="16"/>
        </w:rPr>
        <w:t xml:space="preserve"> Article 936 of the </w:t>
      </w:r>
      <w:hyperlink r:id="rId148" w:history="1">
        <w:r w:rsidRPr="00B4530D">
          <w:rPr>
            <w:rStyle w:val="Hyperlink"/>
            <w:sz w:val="16"/>
          </w:rPr>
          <w:t>COCP</w:t>
        </w:r>
      </w:hyperlink>
      <w:r w:rsidRPr="00B4530D">
        <w:rPr>
          <w:sz w:val="16"/>
        </w:rPr>
        <w:t>.</w:t>
      </w:r>
    </w:p>
  </w:footnote>
  <w:footnote w:id="152">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940 of the </w:t>
      </w:r>
      <w:hyperlink r:id="rId149" w:history="1">
        <w:r w:rsidRPr="00B4530D">
          <w:rPr>
            <w:rStyle w:val="Hyperlink"/>
            <w:sz w:val="16"/>
          </w:rPr>
          <w:t>COCP</w:t>
        </w:r>
      </w:hyperlink>
      <w:r w:rsidRPr="00B4530D">
        <w:rPr>
          <w:sz w:val="16"/>
        </w:rPr>
        <w:t>.</w:t>
      </w:r>
    </w:p>
  </w:footnote>
  <w:footnote w:id="153">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139 of the </w:t>
      </w:r>
      <w:hyperlink r:id="rId150" w:history="1">
        <w:r w:rsidRPr="00B4530D">
          <w:rPr>
            <w:rStyle w:val="Hyperlink"/>
            <w:sz w:val="16"/>
          </w:rPr>
          <w:t>Civil Code</w:t>
        </w:r>
      </w:hyperlink>
      <w:r w:rsidRPr="00B4530D">
        <w:rPr>
          <w:sz w:val="16"/>
        </w:rPr>
        <w:t>.</w:t>
      </w:r>
    </w:p>
  </w:footnote>
  <w:footnote w:id="154">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162 of the </w:t>
      </w:r>
      <w:hyperlink r:id="rId151" w:history="1">
        <w:r w:rsidRPr="00B4530D">
          <w:rPr>
            <w:rStyle w:val="Hyperlink"/>
            <w:sz w:val="16"/>
          </w:rPr>
          <w:t>Civil Code</w:t>
        </w:r>
      </w:hyperlink>
      <w:r w:rsidRPr="00B4530D">
        <w:rPr>
          <w:sz w:val="16"/>
        </w:rPr>
        <w:t>.</w:t>
      </w:r>
    </w:p>
  </w:footnote>
  <w:footnote w:id="155">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89(1) of the </w:t>
      </w:r>
      <w:hyperlink r:id="rId152" w:history="1">
        <w:r w:rsidRPr="00B4530D">
          <w:rPr>
            <w:rStyle w:val="Hyperlink"/>
            <w:sz w:val="16"/>
          </w:rPr>
          <w:t>COCP</w:t>
        </w:r>
      </w:hyperlink>
      <w:r w:rsidRPr="00B4530D">
        <w:rPr>
          <w:sz w:val="16"/>
        </w:rPr>
        <w:t>.</w:t>
      </w:r>
    </w:p>
  </w:footnote>
  <w:footnote w:id="156">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95 of the </w:t>
      </w:r>
      <w:hyperlink r:id="rId153" w:history="1">
        <w:r w:rsidRPr="00B4530D">
          <w:rPr>
            <w:rStyle w:val="Hyperlink"/>
            <w:sz w:val="16"/>
          </w:rPr>
          <w:t>COCP</w:t>
        </w:r>
      </w:hyperlink>
      <w:r w:rsidRPr="00B4530D">
        <w:rPr>
          <w:sz w:val="16"/>
        </w:rPr>
        <w:t>.</w:t>
      </w:r>
    </w:p>
  </w:footnote>
  <w:footnote w:id="157">
    <w:p w:rsidR="00811568" w:rsidRPr="00B4530D" w:rsidRDefault="00811568" w:rsidP="0095241C">
      <w:pPr>
        <w:pStyle w:val="FootnoteText"/>
        <w:jc w:val="both"/>
        <w:rPr>
          <w:sz w:val="16"/>
        </w:rPr>
      </w:pPr>
      <w:r w:rsidRPr="00B4530D">
        <w:rPr>
          <w:rStyle w:val="FootnoteReference"/>
          <w:sz w:val="16"/>
        </w:rPr>
        <w:footnoteRef/>
      </w:r>
      <w:r w:rsidRPr="00B4530D">
        <w:rPr>
          <w:sz w:val="16"/>
        </w:rPr>
        <w:t xml:space="preserve"> In calculating the net value, no account is taken of the principal residence of the applicant or of any other property, immovable or movable, which forms the subject matter of court proceedings.</w:t>
      </w:r>
    </w:p>
  </w:footnote>
  <w:footnote w:id="158">
    <w:p w:rsidR="00811568" w:rsidRPr="00B4530D" w:rsidRDefault="00811568" w:rsidP="0095241C">
      <w:pPr>
        <w:pStyle w:val="FootnoteText"/>
        <w:rPr>
          <w:sz w:val="16"/>
          <w:lang w:val="en-US"/>
        </w:rPr>
      </w:pPr>
      <w:r w:rsidRPr="00B4530D">
        <w:rPr>
          <w:rStyle w:val="FootnoteReference"/>
          <w:sz w:val="16"/>
        </w:rPr>
        <w:footnoteRef/>
      </w:r>
      <w:r w:rsidRPr="00B4530D">
        <w:rPr>
          <w:sz w:val="16"/>
        </w:rPr>
        <w:t xml:space="preserve"> </w:t>
      </w:r>
      <w:r w:rsidRPr="00B4530D">
        <w:rPr>
          <w:sz w:val="16"/>
          <w:lang w:val="en-US"/>
        </w:rPr>
        <w:t xml:space="preserve">Article 912 of the </w:t>
      </w:r>
      <w:hyperlink r:id="rId154" w:history="1">
        <w:r w:rsidRPr="00B4530D">
          <w:rPr>
            <w:rStyle w:val="Hyperlink"/>
            <w:sz w:val="16"/>
            <w:lang w:val="en-US"/>
          </w:rPr>
          <w:t>COCP</w:t>
        </w:r>
      </w:hyperlink>
      <w:r w:rsidRPr="00B4530D">
        <w:rPr>
          <w:sz w:val="16"/>
          <w:lang w:val="en-US"/>
        </w:rPr>
        <w:t>.</w:t>
      </w:r>
    </w:p>
  </w:footnote>
  <w:footnote w:id="159">
    <w:p w:rsidR="00811568" w:rsidRPr="00B4530D" w:rsidRDefault="00811568" w:rsidP="0095241C">
      <w:pPr>
        <w:pStyle w:val="FootnoteText"/>
        <w:jc w:val="both"/>
        <w:rPr>
          <w:sz w:val="16"/>
          <w:lang w:val="en-US"/>
        </w:rPr>
      </w:pPr>
      <w:r w:rsidRPr="00B4530D">
        <w:rPr>
          <w:rStyle w:val="FootnoteReference"/>
          <w:sz w:val="16"/>
        </w:rPr>
        <w:footnoteRef/>
      </w:r>
      <w:r w:rsidRPr="00B4530D">
        <w:rPr>
          <w:sz w:val="16"/>
        </w:rPr>
        <w:t xml:space="preserve"> </w:t>
      </w:r>
      <w:r w:rsidRPr="00B4530D">
        <w:rPr>
          <w:sz w:val="16"/>
          <w:lang w:val="en-US"/>
        </w:rPr>
        <w:t xml:space="preserve">Article 920 of the </w:t>
      </w:r>
      <w:hyperlink r:id="rId155" w:history="1">
        <w:r w:rsidRPr="00B4530D">
          <w:rPr>
            <w:rStyle w:val="Hyperlink"/>
            <w:sz w:val="16"/>
            <w:lang w:val="en-US"/>
          </w:rPr>
          <w:t>COCP</w:t>
        </w:r>
      </w:hyperlink>
      <w:r w:rsidRPr="00B4530D">
        <w:rPr>
          <w:sz w:val="16"/>
          <w:lang w:val="en-US"/>
        </w:rPr>
        <w:t>.</w:t>
      </w:r>
    </w:p>
  </w:footnote>
  <w:footnote w:id="160">
    <w:p w:rsidR="00811568" w:rsidRPr="00C82F00" w:rsidRDefault="00811568" w:rsidP="0095241C">
      <w:pPr>
        <w:pStyle w:val="FootnoteText"/>
      </w:pPr>
      <w:r w:rsidRPr="00B4530D">
        <w:rPr>
          <w:rStyle w:val="FootnoteReference"/>
          <w:sz w:val="16"/>
        </w:rPr>
        <w:footnoteRef/>
      </w:r>
      <w:r w:rsidRPr="00B4530D">
        <w:rPr>
          <w:sz w:val="16"/>
        </w:rPr>
        <w:t xml:space="preserve"> Article 66I(2) of the </w:t>
      </w:r>
      <w:hyperlink r:id="rId156" w:history="1">
        <w:r w:rsidRPr="00B4530D">
          <w:rPr>
            <w:rStyle w:val="Hyperlink"/>
            <w:sz w:val="16"/>
          </w:rPr>
          <w:t>Civil Code</w:t>
        </w:r>
      </w:hyperlink>
      <w:r w:rsidRPr="00B4530D">
        <w:rPr>
          <w:sz w:val="16"/>
        </w:rPr>
        <w:t>.</w:t>
      </w:r>
    </w:p>
  </w:footnote>
  <w:footnote w:id="161">
    <w:p w:rsidR="00811568" w:rsidRPr="00097FB3" w:rsidRDefault="00811568" w:rsidP="0095241C">
      <w:pPr>
        <w:pStyle w:val="FootnoteText"/>
      </w:pPr>
      <w:r>
        <w:rPr>
          <w:rStyle w:val="FootnoteReference"/>
        </w:rPr>
        <w:footnoteRef/>
      </w:r>
      <w:r>
        <w:t xml:space="preserve"> </w:t>
      </w:r>
      <w:r w:rsidRPr="00097FB3">
        <w:t xml:space="preserve">Article 120 of the </w:t>
      </w:r>
      <w:hyperlink r:id="rId157" w:history="1">
        <w:r w:rsidRPr="00746A15">
          <w:rPr>
            <w:rStyle w:val="Hyperlink"/>
          </w:rPr>
          <w:t>Civil Code</w:t>
        </w:r>
      </w:hyperlink>
      <w:r w:rsidRPr="00097FB3">
        <w:t>.</w:t>
      </w:r>
    </w:p>
  </w:footnote>
  <w:footnote w:id="162">
    <w:p w:rsidR="00811568" w:rsidRPr="00B4530D" w:rsidRDefault="00811568" w:rsidP="0095241C">
      <w:pPr>
        <w:pStyle w:val="FootnoteText"/>
        <w:rPr>
          <w:sz w:val="16"/>
        </w:rPr>
      </w:pPr>
      <w:r w:rsidRPr="00B4530D">
        <w:rPr>
          <w:rStyle w:val="FootnoteReference"/>
          <w:sz w:val="16"/>
        </w:rPr>
        <w:footnoteRef/>
      </w:r>
      <w:r w:rsidRPr="00B4530D">
        <w:rPr>
          <w:sz w:val="16"/>
        </w:rPr>
        <w:t xml:space="preserve"> </w:t>
      </w:r>
      <w:hyperlink r:id="rId158" w:history="1">
        <w:r w:rsidRPr="00B4530D">
          <w:rPr>
            <w:rStyle w:val="Hyperlink"/>
            <w:sz w:val="16"/>
          </w:rPr>
          <w:t>Draft National Children’s Policy</w:t>
        </w:r>
      </w:hyperlink>
      <w:r w:rsidRPr="00B4530D">
        <w:rPr>
          <w:sz w:val="16"/>
        </w:rPr>
        <w:t xml:space="preserve">, p.47. </w:t>
      </w:r>
    </w:p>
  </w:footnote>
  <w:footnote w:id="163">
    <w:p w:rsidR="00811568" w:rsidRPr="00B4530D" w:rsidRDefault="00811568" w:rsidP="0095241C">
      <w:pPr>
        <w:pStyle w:val="FootnoteText"/>
        <w:rPr>
          <w:sz w:val="16"/>
          <w:lang w:val="en-US"/>
        </w:rPr>
      </w:pPr>
      <w:r w:rsidRPr="00B4530D">
        <w:rPr>
          <w:rStyle w:val="FootnoteReference"/>
          <w:sz w:val="16"/>
        </w:rPr>
        <w:footnoteRef/>
      </w:r>
      <w:r w:rsidRPr="00B4530D">
        <w:rPr>
          <w:sz w:val="16"/>
        </w:rPr>
        <w:t xml:space="preserve"> </w:t>
      </w:r>
      <w:hyperlink r:id="rId159" w:history="1">
        <w:r w:rsidRPr="00B4530D">
          <w:rPr>
            <w:rStyle w:val="Hyperlink"/>
            <w:sz w:val="16"/>
            <w:lang w:val="en-US"/>
          </w:rPr>
          <w:t>Chapter 474 of the Revised Laws of Malta</w:t>
        </w:r>
      </w:hyperlink>
      <w:r w:rsidRPr="00B4530D">
        <w:rPr>
          <w:sz w:val="16"/>
          <w:lang w:val="en-US"/>
        </w:rPr>
        <w:t>.</w:t>
      </w:r>
    </w:p>
  </w:footnote>
  <w:footnote w:id="164">
    <w:p w:rsidR="00811568" w:rsidRPr="00B4530D" w:rsidRDefault="00811568" w:rsidP="0095241C">
      <w:pPr>
        <w:pStyle w:val="FootnoteText"/>
        <w:rPr>
          <w:sz w:val="16"/>
          <w:lang w:val="en-US"/>
        </w:rPr>
      </w:pPr>
      <w:r w:rsidRPr="00B4530D">
        <w:rPr>
          <w:rStyle w:val="FootnoteReference"/>
          <w:sz w:val="16"/>
        </w:rPr>
        <w:footnoteRef/>
      </w:r>
      <w:r w:rsidRPr="00B4530D">
        <w:rPr>
          <w:sz w:val="16"/>
        </w:rPr>
        <w:t xml:space="preserve"> </w:t>
      </w:r>
      <w:hyperlink r:id="rId160" w:history="1">
        <w:r w:rsidRPr="00B4530D">
          <w:rPr>
            <w:rStyle w:val="Hyperlink"/>
            <w:sz w:val="16"/>
            <w:lang w:val="en-US"/>
          </w:rPr>
          <w:t>Chapter 387 of the Revised Laws of Malta</w:t>
        </w:r>
      </w:hyperlink>
      <w:r w:rsidRPr="00B4530D">
        <w:rPr>
          <w:sz w:val="16"/>
          <w:lang w:val="en-US"/>
        </w:rPr>
        <w:t>.</w:t>
      </w:r>
    </w:p>
  </w:footnote>
  <w:footnote w:id="165">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968 of the </w:t>
      </w:r>
      <w:hyperlink r:id="rId161" w:history="1">
        <w:r w:rsidRPr="00B4530D">
          <w:rPr>
            <w:rStyle w:val="Hyperlink"/>
            <w:sz w:val="16"/>
          </w:rPr>
          <w:t>COCP</w:t>
        </w:r>
      </w:hyperlink>
      <w:r w:rsidRPr="00B4530D">
        <w:rPr>
          <w:sz w:val="16"/>
        </w:rPr>
        <w:t>.</w:t>
      </w:r>
    </w:p>
  </w:footnote>
  <w:footnote w:id="166">
    <w:p w:rsidR="00811568" w:rsidRPr="005A6BCC" w:rsidRDefault="00811568" w:rsidP="0095241C">
      <w:pPr>
        <w:pStyle w:val="FootnoteText"/>
        <w:jc w:val="both"/>
      </w:pPr>
      <w:r w:rsidRPr="00B4530D">
        <w:rPr>
          <w:rStyle w:val="FootnoteReference"/>
          <w:sz w:val="16"/>
        </w:rPr>
        <w:footnoteRef/>
      </w:r>
      <w:r w:rsidRPr="00B4530D">
        <w:rPr>
          <w:sz w:val="16"/>
        </w:rPr>
        <w:t xml:space="preserve"> Compulsory mediation before specially trained mediators was introduced as part of the set up of the Family Section of the Civil Court.</w:t>
      </w:r>
    </w:p>
  </w:footnote>
  <w:footnote w:id="167">
    <w:p w:rsidR="00811568" w:rsidRPr="00B4530D" w:rsidRDefault="00811568" w:rsidP="0095241C">
      <w:pPr>
        <w:pStyle w:val="FootnoteText"/>
        <w:rPr>
          <w:sz w:val="16"/>
        </w:rPr>
      </w:pPr>
      <w:r w:rsidRPr="00B4530D">
        <w:rPr>
          <w:rStyle w:val="FootnoteReference"/>
          <w:sz w:val="16"/>
        </w:rPr>
        <w:footnoteRef/>
      </w:r>
      <w:r w:rsidRPr="00B4530D">
        <w:rPr>
          <w:sz w:val="16"/>
        </w:rPr>
        <w:t xml:space="preserve"> Regulation 4 of </w:t>
      </w:r>
      <w:hyperlink r:id="rId162" w:history="1">
        <w:r w:rsidRPr="00B4530D">
          <w:rPr>
            <w:rStyle w:val="Hyperlink"/>
            <w:sz w:val="16"/>
          </w:rPr>
          <w:t>The Civil Court (Family Section), The First Hall of the Civil Court and The Court of Magistrates (Gozo) (Superior Jurisdiction) (Family Section) Regulations</w:t>
        </w:r>
      </w:hyperlink>
      <w:r w:rsidRPr="00B4530D">
        <w:rPr>
          <w:sz w:val="16"/>
        </w:rPr>
        <w:t>.</w:t>
      </w:r>
    </w:p>
  </w:footnote>
  <w:footnote w:id="168">
    <w:p w:rsidR="00811568" w:rsidRPr="00B4530D" w:rsidRDefault="00811568" w:rsidP="0095241C">
      <w:pPr>
        <w:pStyle w:val="FootnoteText"/>
        <w:jc w:val="both"/>
        <w:rPr>
          <w:sz w:val="16"/>
        </w:rPr>
      </w:pPr>
      <w:r w:rsidRPr="00B4530D">
        <w:rPr>
          <w:rStyle w:val="FootnoteReference"/>
          <w:sz w:val="16"/>
        </w:rPr>
        <w:footnoteRef/>
      </w:r>
      <w:r w:rsidRPr="00B4530D">
        <w:rPr>
          <w:sz w:val="16"/>
        </w:rPr>
        <w:t xml:space="preserve"> Regulation 6 of </w:t>
      </w:r>
      <w:hyperlink r:id="rId163" w:history="1">
        <w:r w:rsidRPr="00B4530D">
          <w:rPr>
            <w:rStyle w:val="Hyperlink"/>
            <w:sz w:val="16"/>
          </w:rPr>
          <w:t>The Civil Court (Family Section), The First Hall of the Civil Court and The Court of Magistrates (Gozo) (Superior Jurisdiction) (Family Section) Regulations</w:t>
        </w:r>
      </w:hyperlink>
      <w:r w:rsidRPr="00B4530D">
        <w:rPr>
          <w:sz w:val="16"/>
        </w:rPr>
        <w:t xml:space="preserve">. </w:t>
      </w:r>
      <w:hyperlink r:id="rId164" w:history="1">
        <w:r w:rsidRPr="00B4530D">
          <w:rPr>
            <w:rStyle w:val="Hyperlink"/>
            <w:sz w:val="16"/>
          </w:rPr>
          <w:t>Arbitration Act</w:t>
        </w:r>
      </w:hyperlink>
      <w:r w:rsidRPr="00B4530D">
        <w:rPr>
          <w:sz w:val="16"/>
        </w:rPr>
        <w:t>, Chapter 387 of the Revised Laws of Malta.</w:t>
      </w:r>
    </w:p>
  </w:footnote>
  <w:footnote w:id="169">
    <w:p w:rsidR="00811568" w:rsidRPr="00B4530D" w:rsidRDefault="00811568" w:rsidP="0095241C">
      <w:pPr>
        <w:pStyle w:val="FootnoteText"/>
        <w:rPr>
          <w:sz w:val="16"/>
        </w:rPr>
      </w:pPr>
      <w:r w:rsidRPr="00B4530D">
        <w:rPr>
          <w:rStyle w:val="FootnoteReference"/>
          <w:sz w:val="16"/>
        </w:rPr>
        <w:footnoteRef/>
      </w:r>
      <w:r w:rsidRPr="00B4530D">
        <w:rPr>
          <w:sz w:val="16"/>
        </w:rPr>
        <w:t xml:space="preserve"> Regulation 7 of </w:t>
      </w:r>
      <w:hyperlink r:id="rId165" w:history="1">
        <w:r w:rsidRPr="00B4530D">
          <w:rPr>
            <w:rStyle w:val="Hyperlink"/>
            <w:sz w:val="16"/>
          </w:rPr>
          <w:t>The Civil Court (Family Section), The First Hall of the Civil Court and The Court of Magistrates (Gozo) (Superior Jurisdiction) (Family Section) Regulations</w:t>
        </w:r>
      </w:hyperlink>
      <w:r w:rsidRPr="00B4530D">
        <w:rPr>
          <w:sz w:val="16"/>
        </w:rPr>
        <w:t>.</w:t>
      </w:r>
    </w:p>
  </w:footnote>
  <w:footnote w:id="170">
    <w:p w:rsidR="00811568" w:rsidRPr="00B4530D" w:rsidRDefault="00811568" w:rsidP="0095241C">
      <w:pPr>
        <w:pStyle w:val="FootnoteText"/>
        <w:rPr>
          <w:sz w:val="16"/>
        </w:rPr>
      </w:pPr>
      <w:r w:rsidRPr="00B4530D">
        <w:rPr>
          <w:rStyle w:val="FootnoteReference"/>
          <w:sz w:val="16"/>
        </w:rPr>
        <w:footnoteRef/>
      </w:r>
      <w:r w:rsidRPr="00B4530D">
        <w:rPr>
          <w:sz w:val="16"/>
        </w:rPr>
        <w:t xml:space="preserve"> Regulations 9 and 10 of </w:t>
      </w:r>
      <w:hyperlink r:id="rId166" w:history="1">
        <w:r w:rsidRPr="00B4530D">
          <w:rPr>
            <w:rStyle w:val="Hyperlink"/>
            <w:sz w:val="16"/>
          </w:rPr>
          <w:t>The Civil Court (Family Section), The First Hall of the Civil Court and The Court of Magistrates (Gozo) (Superior Jurisdiction) (Family Section) Regulations</w:t>
        </w:r>
      </w:hyperlink>
      <w:r w:rsidRPr="00B4530D">
        <w:rPr>
          <w:sz w:val="16"/>
        </w:rPr>
        <w:t>.</w:t>
      </w:r>
    </w:p>
  </w:footnote>
  <w:footnote w:id="171">
    <w:p w:rsidR="00811568" w:rsidRPr="005961D1" w:rsidRDefault="00811568" w:rsidP="0095241C">
      <w:pPr>
        <w:pStyle w:val="FootnoteText"/>
      </w:pPr>
      <w:r w:rsidRPr="00B4530D">
        <w:rPr>
          <w:rStyle w:val="FootnoteReference"/>
          <w:sz w:val="16"/>
        </w:rPr>
        <w:footnoteRef/>
      </w:r>
      <w:r w:rsidRPr="00B4530D">
        <w:rPr>
          <w:sz w:val="16"/>
        </w:rPr>
        <w:t xml:space="preserve"> Article 66I(1) of the </w:t>
      </w:r>
      <w:hyperlink r:id="rId167" w:history="1">
        <w:r w:rsidRPr="00B4530D">
          <w:rPr>
            <w:rStyle w:val="Hyperlink"/>
            <w:sz w:val="16"/>
          </w:rPr>
          <w:t>Civil Code</w:t>
        </w:r>
      </w:hyperlink>
      <w:r w:rsidRPr="00B4530D">
        <w:rPr>
          <w:sz w:val="16"/>
        </w:rPr>
        <w:t>.</w:t>
      </w:r>
    </w:p>
  </w:footnote>
  <w:footnote w:id="172">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226(1) of the </w:t>
      </w:r>
      <w:hyperlink r:id="rId168" w:history="1">
        <w:r w:rsidRPr="00B4530D">
          <w:rPr>
            <w:rStyle w:val="Hyperlink"/>
            <w:sz w:val="16"/>
          </w:rPr>
          <w:t>COCP</w:t>
        </w:r>
      </w:hyperlink>
      <w:r w:rsidRPr="00B4530D">
        <w:rPr>
          <w:sz w:val="16"/>
        </w:rPr>
        <w:t>.</w:t>
      </w:r>
    </w:p>
  </w:footnote>
  <w:footnote w:id="173">
    <w:p w:rsidR="00811568" w:rsidRPr="00B4530D" w:rsidRDefault="00811568" w:rsidP="0095241C">
      <w:pPr>
        <w:pStyle w:val="FootnoteText"/>
        <w:rPr>
          <w:sz w:val="16"/>
          <w:lang w:val="en-US"/>
        </w:rPr>
      </w:pPr>
      <w:r w:rsidRPr="00B4530D">
        <w:rPr>
          <w:rStyle w:val="FootnoteReference"/>
          <w:sz w:val="16"/>
        </w:rPr>
        <w:footnoteRef/>
      </w:r>
      <w:r w:rsidRPr="00B4530D">
        <w:rPr>
          <w:sz w:val="16"/>
        </w:rPr>
        <w:t xml:space="preserve"> Article 2124(1) of the </w:t>
      </w:r>
      <w:hyperlink r:id="rId169" w:history="1">
        <w:r w:rsidRPr="00B4530D">
          <w:rPr>
            <w:rStyle w:val="Hyperlink"/>
            <w:sz w:val="16"/>
          </w:rPr>
          <w:t>Civil Code</w:t>
        </w:r>
      </w:hyperlink>
      <w:r w:rsidRPr="00B4530D">
        <w:rPr>
          <w:sz w:val="16"/>
        </w:rPr>
        <w:t>.</w:t>
      </w:r>
    </w:p>
  </w:footnote>
  <w:footnote w:id="174">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236 of the </w:t>
      </w:r>
      <w:hyperlink r:id="rId170" w:history="1">
        <w:r w:rsidRPr="00B4530D">
          <w:rPr>
            <w:rStyle w:val="Hyperlink"/>
            <w:sz w:val="16"/>
          </w:rPr>
          <w:t>COCP</w:t>
        </w:r>
      </w:hyperlink>
      <w:r w:rsidRPr="00B4530D">
        <w:rPr>
          <w:sz w:val="16"/>
        </w:rPr>
        <w:t>.</w:t>
      </w:r>
    </w:p>
  </w:footnote>
  <w:footnote w:id="175">
    <w:p w:rsidR="00811568" w:rsidRPr="00E73237" w:rsidRDefault="00811568" w:rsidP="0095241C">
      <w:pPr>
        <w:pStyle w:val="FootnoteText"/>
      </w:pPr>
      <w:r w:rsidRPr="00B4530D">
        <w:rPr>
          <w:rStyle w:val="FootnoteReference"/>
          <w:sz w:val="16"/>
        </w:rPr>
        <w:footnoteRef/>
      </w:r>
      <w:r w:rsidRPr="00B4530D">
        <w:rPr>
          <w:sz w:val="16"/>
        </w:rPr>
        <w:t xml:space="preserve"> Article 6A of the </w:t>
      </w:r>
      <w:hyperlink r:id="rId171" w:history="1">
        <w:r w:rsidRPr="00B4530D">
          <w:rPr>
            <w:rStyle w:val="Hyperlink"/>
            <w:sz w:val="16"/>
          </w:rPr>
          <w:t>Civil Code</w:t>
        </w:r>
      </w:hyperlink>
      <w:r w:rsidRPr="00B4530D">
        <w:rPr>
          <w:sz w:val="16"/>
        </w:rPr>
        <w:t>.</w:t>
      </w:r>
    </w:p>
  </w:footnote>
  <w:footnote w:id="176">
    <w:p w:rsidR="00811568" w:rsidRDefault="00811568" w:rsidP="0095241C">
      <w:pPr>
        <w:pStyle w:val="FootnoteText"/>
      </w:pPr>
      <w:r>
        <w:rPr>
          <w:rStyle w:val="FootnoteReference"/>
        </w:rPr>
        <w:footnoteRef/>
      </w:r>
      <w:r>
        <w:t xml:space="preserve"> Article 223 </w:t>
      </w:r>
      <w:r w:rsidRPr="00E57667">
        <w:rPr>
          <w:lang w:val="en-US"/>
        </w:rPr>
        <w:t xml:space="preserve">of the </w:t>
      </w:r>
      <w:hyperlink r:id="rId172" w:history="1">
        <w:r w:rsidRPr="00D3104A">
          <w:rPr>
            <w:rStyle w:val="Hyperlink"/>
          </w:rPr>
          <w:t>COCP</w:t>
        </w:r>
      </w:hyperlink>
      <w:r>
        <w:t>.</w:t>
      </w:r>
    </w:p>
  </w:footnote>
  <w:footnote w:id="177">
    <w:p w:rsidR="00811568" w:rsidRPr="00B4530D" w:rsidRDefault="00811568" w:rsidP="0095241C">
      <w:pPr>
        <w:pStyle w:val="FootnoteText"/>
        <w:rPr>
          <w:sz w:val="16"/>
          <w:lang w:val="en-US"/>
        </w:rPr>
      </w:pPr>
      <w:r w:rsidRPr="00B4530D">
        <w:rPr>
          <w:rStyle w:val="FootnoteReference"/>
          <w:sz w:val="16"/>
        </w:rPr>
        <w:footnoteRef/>
      </w:r>
      <w:r w:rsidRPr="00B4530D">
        <w:rPr>
          <w:sz w:val="16"/>
        </w:rPr>
        <w:t xml:space="preserve"> </w:t>
      </w:r>
      <w:r w:rsidRPr="00B4530D">
        <w:rPr>
          <w:sz w:val="16"/>
          <w:lang w:val="en-US"/>
        </w:rPr>
        <w:t>Information obtained through interview with stakeholder (lawyer).</w:t>
      </w:r>
    </w:p>
  </w:footnote>
  <w:footnote w:id="178">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225 </w:t>
      </w:r>
      <w:hyperlink r:id="rId173" w:history="1">
        <w:r w:rsidRPr="00B4530D">
          <w:rPr>
            <w:rStyle w:val="Hyperlink"/>
            <w:sz w:val="16"/>
          </w:rPr>
          <w:t>COCP</w:t>
        </w:r>
      </w:hyperlink>
      <w:r w:rsidRPr="00B4530D">
        <w:rPr>
          <w:sz w:val="16"/>
        </w:rPr>
        <w:t>.</w:t>
      </w:r>
    </w:p>
  </w:footnote>
  <w:footnote w:id="179">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253(a) of the </w:t>
      </w:r>
      <w:hyperlink r:id="rId174" w:history="1">
        <w:r w:rsidRPr="00B4530D">
          <w:rPr>
            <w:rStyle w:val="Hyperlink"/>
            <w:sz w:val="16"/>
          </w:rPr>
          <w:t>COCP</w:t>
        </w:r>
      </w:hyperlink>
      <w:r w:rsidRPr="00B4530D">
        <w:rPr>
          <w:sz w:val="16"/>
        </w:rPr>
        <w:t>.</w:t>
      </w:r>
    </w:p>
  </w:footnote>
  <w:footnote w:id="180">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255(c) of the </w:t>
      </w:r>
      <w:hyperlink r:id="rId175" w:history="1">
        <w:r w:rsidRPr="00B4530D">
          <w:rPr>
            <w:rStyle w:val="Hyperlink"/>
            <w:sz w:val="16"/>
          </w:rPr>
          <w:t>COCP</w:t>
        </w:r>
      </w:hyperlink>
      <w:r w:rsidRPr="00B4530D">
        <w:rPr>
          <w:sz w:val="16"/>
        </w:rPr>
        <w:t>.</w:t>
      </w:r>
    </w:p>
  </w:footnote>
  <w:footnote w:id="181">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256(1) of the </w:t>
      </w:r>
      <w:hyperlink r:id="rId176" w:history="1">
        <w:r w:rsidRPr="00B4530D">
          <w:rPr>
            <w:rStyle w:val="Hyperlink"/>
            <w:sz w:val="16"/>
          </w:rPr>
          <w:t>COCP</w:t>
        </w:r>
      </w:hyperlink>
      <w:r w:rsidRPr="00B4530D">
        <w:rPr>
          <w:sz w:val="16"/>
        </w:rPr>
        <w:t>.</w:t>
      </w:r>
    </w:p>
  </w:footnote>
  <w:footnote w:id="182">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257 of the </w:t>
      </w:r>
      <w:hyperlink r:id="rId177" w:history="1">
        <w:r w:rsidRPr="00B4530D">
          <w:rPr>
            <w:rStyle w:val="Hyperlink"/>
            <w:sz w:val="16"/>
          </w:rPr>
          <w:t>COCP</w:t>
        </w:r>
      </w:hyperlink>
      <w:r w:rsidRPr="00B4530D">
        <w:rPr>
          <w:sz w:val="16"/>
        </w:rPr>
        <w:t>.</w:t>
      </w:r>
    </w:p>
  </w:footnote>
  <w:footnote w:id="183">
    <w:p w:rsidR="00811568" w:rsidRPr="00B4530D" w:rsidRDefault="00811568" w:rsidP="0095241C">
      <w:pPr>
        <w:pStyle w:val="FootnoteText"/>
        <w:jc w:val="both"/>
        <w:rPr>
          <w:sz w:val="16"/>
        </w:rPr>
      </w:pPr>
      <w:r w:rsidRPr="00B4530D">
        <w:rPr>
          <w:rStyle w:val="FootnoteReference"/>
          <w:sz w:val="16"/>
        </w:rPr>
        <w:footnoteRef/>
      </w:r>
      <w:r w:rsidRPr="00B4530D">
        <w:rPr>
          <w:sz w:val="16"/>
        </w:rPr>
        <w:t xml:space="preserve"> Article 39 of the </w:t>
      </w:r>
      <w:hyperlink r:id="rId178" w:history="1">
        <w:r w:rsidRPr="00B4530D">
          <w:rPr>
            <w:rStyle w:val="Hyperlink"/>
            <w:sz w:val="16"/>
          </w:rPr>
          <w:t>Civil Code</w:t>
        </w:r>
      </w:hyperlink>
      <w:r w:rsidRPr="00B4530D">
        <w:rPr>
          <w:sz w:val="16"/>
        </w:rPr>
        <w:t xml:space="preserve">. The provisions of Articles 412C and 412D of the </w:t>
      </w:r>
      <w:hyperlink r:id="rId179" w:history="1">
        <w:r w:rsidRPr="00B4530D">
          <w:rPr>
            <w:rStyle w:val="Hyperlink"/>
            <w:sz w:val="16"/>
          </w:rPr>
          <w:t>Criminal Code</w:t>
        </w:r>
      </w:hyperlink>
      <w:r w:rsidRPr="00B4530D">
        <w:rPr>
          <w:sz w:val="16"/>
        </w:rPr>
        <w:t xml:space="preserve"> (apply to orders issued under this provision.</w:t>
      </w:r>
    </w:p>
  </w:footnote>
  <w:footnote w:id="184">
    <w:p w:rsidR="00811568" w:rsidRPr="00B4530D" w:rsidRDefault="00811568" w:rsidP="0095241C">
      <w:pPr>
        <w:pStyle w:val="FootnoteText"/>
        <w:rPr>
          <w:sz w:val="16"/>
          <w:lang w:val="en-US"/>
        </w:rPr>
      </w:pPr>
      <w:r w:rsidRPr="00B4530D">
        <w:rPr>
          <w:rStyle w:val="FootnoteReference"/>
          <w:sz w:val="16"/>
        </w:rPr>
        <w:footnoteRef/>
      </w:r>
      <w:r w:rsidRPr="00B4530D">
        <w:rPr>
          <w:sz w:val="16"/>
        </w:rPr>
        <w:t xml:space="preserve"> </w:t>
      </w:r>
      <w:r w:rsidRPr="00B4530D">
        <w:rPr>
          <w:sz w:val="16"/>
          <w:lang w:val="en-US"/>
        </w:rPr>
        <w:t xml:space="preserve">Article 412C of the </w:t>
      </w:r>
      <w:hyperlink r:id="rId180" w:history="1">
        <w:r w:rsidRPr="00B4530D">
          <w:rPr>
            <w:rStyle w:val="Hyperlink"/>
            <w:sz w:val="16"/>
            <w:lang w:val="en-US"/>
          </w:rPr>
          <w:t>Criminal Code</w:t>
        </w:r>
      </w:hyperlink>
      <w:r w:rsidRPr="00B4530D">
        <w:rPr>
          <w:sz w:val="16"/>
          <w:lang w:val="en-US"/>
        </w:rPr>
        <w:t>.</w:t>
      </w:r>
    </w:p>
  </w:footnote>
  <w:footnote w:id="185">
    <w:p w:rsidR="00811568" w:rsidRPr="00E57667" w:rsidRDefault="00811568" w:rsidP="0095241C">
      <w:pPr>
        <w:pStyle w:val="FootnoteText"/>
        <w:rPr>
          <w:lang w:val="en-US"/>
        </w:rPr>
      </w:pPr>
      <w:r w:rsidRPr="00B4530D">
        <w:rPr>
          <w:rStyle w:val="FootnoteReference"/>
          <w:sz w:val="16"/>
        </w:rPr>
        <w:footnoteRef/>
      </w:r>
      <w:r w:rsidRPr="00B4530D">
        <w:rPr>
          <w:sz w:val="16"/>
        </w:rPr>
        <w:t xml:space="preserve"> </w:t>
      </w:r>
      <w:r w:rsidRPr="00B4530D">
        <w:rPr>
          <w:sz w:val="16"/>
          <w:lang w:val="en-US"/>
        </w:rPr>
        <w:t xml:space="preserve">Article 382A of the </w:t>
      </w:r>
      <w:hyperlink r:id="rId181" w:history="1">
        <w:r w:rsidRPr="00B4530D">
          <w:rPr>
            <w:rStyle w:val="Hyperlink"/>
            <w:sz w:val="16"/>
            <w:lang w:val="en-US"/>
          </w:rPr>
          <w:t>Criminal Code</w:t>
        </w:r>
      </w:hyperlink>
      <w:r w:rsidRPr="00B4530D">
        <w:rPr>
          <w:sz w:val="16"/>
          <w:lang w:val="en-US"/>
        </w:rPr>
        <w:t>.</w:t>
      </w:r>
    </w:p>
  </w:footnote>
  <w:footnote w:id="186">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1034 of the </w:t>
      </w:r>
      <w:hyperlink r:id="rId182" w:history="1">
        <w:r w:rsidRPr="00B4530D">
          <w:rPr>
            <w:rStyle w:val="Hyperlink"/>
            <w:sz w:val="16"/>
          </w:rPr>
          <w:t>Civil Code</w:t>
        </w:r>
      </w:hyperlink>
      <w:r w:rsidRPr="00B4530D">
        <w:rPr>
          <w:sz w:val="16"/>
        </w:rPr>
        <w:t>.</w:t>
      </w:r>
    </w:p>
  </w:footnote>
  <w:footnote w:id="187">
    <w:p w:rsidR="00811568" w:rsidRPr="00B4530D" w:rsidRDefault="00811568" w:rsidP="0095241C">
      <w:pPr>
        <w:pStyle w:val="FootnoteText"/>
        <w:rPr>
          <w:sz w:val="16"/>
          <w:lang w:val="en-US"/>
        </w:rPr>
      </w:pPr>
      <w:r w:rsidRPr="00B4530D">
        <w:rPr>
          <w:rStyle w:val="FootnoteReference"/>
          <w:sz w:val="16"/>
        </w:rPr>
        <w:footnoteRef/>
      </w:r>
      <w:r w:rsidRPr="00B4530D">
        <w:rPr>
          <w:sz w:val="16"/>
          <w:lang w:val="en-US"/>
        </w:rPr>
        <w:t xml:space="preserve"> T</w:t>
      </w:r>
      <w:r w:rsidRPr="00B4530D">
        <w:rPr>
          <w:bCs/>
          <w:sz w:val="16"/>
        </w:rPr>
        <w:t>hat is, knowledge of the wrongfulness of the act and its consequences</w:t>
      </w:r>
      <w:r w:rsidRPr="00B4530D">
        <w:rPr>
          <w:bCs/>
          <w:sz w:val="16"/>
          <w:lang w:val="en-US"/>
        </w:rPr>
        <w:t>.</w:t>
      </w:r>
    </w:p>
  </w:footnote>
  <w:footnote w:id="188">
    <w:p w:rsidR="00811568" w:rsidRPr="00B4530D" w:rsidRDefault="00811568" w:rsidP="0095241C">
      <w:pPr>
        <w:pStyle w:val="FootnoteText"/>
        <w:rPr>
          <w:sz w:val="16"/>
        </w:rPr>
      </w:pPr>
      <w:r w:rsidRPr="00B4530D">
        <w:rPr>
          <w:rStyle w:val="FootnoteReference"/>
          <w:sz w:val="16"/>
        </w:rPr>
        <w:footnoteRef/>
      </w:r>
      <w:r w:rsidRPr="00B4530D">
        <w:rPr>
          <w:sz w:val="16"/>
        </w:rPr>
        <w:t xml:space="preserve"> Article 1035 of the </w:t>
      </w:r>
      <w:hyperlink r:id="rId183" w:history="1">
        <w:r w:rsidRPr="00B4530D">
          <w:rPr>
            <w:rStyle w:val="Hyperlink"/>
            <w:sz w:val="16"/>
          </w:rPr>
          <w:t>Civil Code</w:t>
        </w:r>
      </w:hyperlink>
      <w:r w:rsidRPr="00B4530D">
        <w:rPr>
          <w:sz w:val="16"/>
        </w:rPr>
        <w:t>.</w:t>
      </w:r>
    </w:p>
  </w:footnote>
  <w:footnote w:id="189">
    <w:p w:rsidR="00811568" w:rsidRPr="00186B27" w:rsidRDefault="00811568" w:rsidP="0095241C">
      <w:pPr>
        <w:pStyle w:val="FootnoteText"/>
      </w:pPr>
      <w:r w:rsidRPr="00B4530D">
        <w:rPr>
          <w:rStyle w:val="FootnoteReference"/>
          <w:sz w:val="16"/>
        </w:rPr>
        <w:footnoteRef/>
      </w:r>
      <w:r w:rsidRPr="00B4530D">
        <w:rPr>
          <w:sz w:val="16"/>
        </w:rPr>
        <w:t xml:space="preserve"> Article 1036 of the </w:t>
      </w:r>
      <w:hyperlink r:id="rId184" w:history="1">
        <w:r w:rsidRPr="00B4530D">
          <w:rPr>
            <w:rStyle w:val="Hyperlink"/>
            <w:sz w:val="16"/>
          </w:rPr>
          <w:t>Civil Code</w:t>
        </w:r>
      </w:hyperlink>
      <w:r w:rsidRPr="00B4530D">
        <w:rPr>
          <w:sz w:val="16"/>
        </w:rPr>
        <w:t>.</w:t>
      </w:r>
    </w:p>
  </w:footnote>
  <w:footnote w:id="190">
    <w:p w:rsidR="00811568" w:rsidRDefault="00811568" w:rsidP="00B4530D">
      <w:pPr>
        <w:pStyle w:val="FootnoteText"/>
      </w:pPr>
      <w:r>
        <w:rPr>
          <w:rStyle w:val="FootnoteReference"/>
        </w:rPr>
        <w:footnoteRef/>
      </w:r>
      <w:r>
        <w:t xml:space="preserve"> </w:t>
      </w:r>
      <w:r w:rsidRPr="00F1760B">
        <w:t xml:space="preserve">Article 2 of the </w:t>
      </w:r>
      <w:hyperlink r:id="rId185" w:history="1">
        <w:r w:rsidRPr="00D854A7">
          <w:rPr>
            <w:rStyle w:val="Hyperlink"/>
          </w:rPr>
          <w:t>Juvenile Court Act</w:t>
        </w:r>
      </w:hyperlink>
      <w:r w:rsidRPr="00F1760B">
        <w:t xml:space="preserve"> and Article</w:t>
      </w:r>
      <w:r>
        <w:t xml:space="preserve"> 2 of the </w:t>
      </w:r>
      <w:hyperlink r:id="rId186" w:history="1">
        <w:r w:rsidRPr="00D854A7">
          <w:rPr>
            <w:rStyle w:val="Hyperlink"/>
          </w:rPr>
          <w:t>Children and Young Persons (Care Orders) Act</w:t>
        </w:r>
      </w:hyperlink>
      <w:r>
        <w:t>.</w:t>
      </w:r>
    </w:p>
  </w:footnote>
  <w:footnote w:id="191">
    <w:p w:rsidR="00811568" w:rsidRPr="00276E4C" w:rsidRDefault="00811568" w:rsidP="00B4530D">
      <w:pPr>
        <w:pStyle w:val="FootnoteText"/>
      </w:pPr>
      <w:r>
        <w:rPr>
          <w:rStyle w:val="FootnoteReference"/>
        </w:rPr>
        <w:footnoteRef/>
      </w:r>
      <w:r>
        <w:t xml:space="preserve"> </w:t>
      </w:r>
      <w:r w:rsidRPr="00276E4C">
        <w:t xml:space="preserve">Article 2(1) of the </w:t>
      </w:r>
      <w:hyperlink r:id="rId187" w:history="1">
        <w:r w:rsidRPr="00276E4C">
          <w:rPr>
            <w:rStyle w:val="Hyperlink"/>
          </w:rPr>
          <w:t>Child Abduction and Custody Act</w:t>
        </w:r>
      </w:hyperlink>
      <w:r w:rsidRPr="00276E4C">
        <w:t>.</w:t>
      </w:r>
    </w:p>
  </w:footnote>
  <w:footnote w:id="192">
    <w:p w:rsidR="00811568" w:rsidRPr="000F5F57" w:rsidRDefault="00811568" w:rsidP="00B4530D">
      <w:pPr>
        <w:pStyle w:val="FootnoteText"/>
      </w:pPr>
      <w:r w:rsidRPr="00B4530D">
        <w:rPr>
          <w:rStyle w:val="FootnoteReference"/>
          <w:sz w:val="16"/>
        </w:rPr>
        <w:footnoteRef/>
      </w:r>
      <w:r w:rsidRPr="00B4530D">
        <w:rPr>
          <w:sz w:val="16"/>
        </w:rPr>
        <w:t xml:space="preserve"> </w:t>
      </w:r>
      <w:hyperlink r:id="rId188" w:history="1">
        <w:r w:rsidRPr="00B4530D">
          <w:rPr>
            <w:rStyle w:val="Hyperlink"/>
            <w:sz w:val="16"/>
          </w:rPr>
          <w:t>Office of the Commissioner for Children, Annual Report 2011</w:t>
        </w:r>
      </w:hyperlink>
      <w:r w:rsidRPr="00B4530D">
        <w:rPr>
          <w:sz w:val="16"/>
        </w:rPr>
        <w:t>, p. 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5"/>
      <w:gridCol w:w="1447"/>
    </w:tblGrid>
    <w:tr w:rsidR="00811568" w:rsidTr="00B67E25">
      <w:trPr>
        <w:trHeight w:hRule="exact" w:val="794"/>
      </w:trPr>
      <w:tc>
        <w:tcPr>
          <w:tcW w:w="7797" w:type="dxa"/>
        </w:tcPr>
        <w:p w:rsidR="00811568" w:rsidRDefault="00811568" w:rsidP="00457F5F">
          <w:pPr>
            <w:pStyle w:val="Header"/>
          </w:pPr>
        </w:p>
      </w:tc>
      <w:tc>
        <w:tcPr>
          <w:tcW w:w="1275" w:type="dxa"/>
        </w:tcPr>
        <w:p w:rsidR="00811568" w:rsidRDefault="00811568" w:rsidP="00457F5F">
          <w:pPr>
            <w:pStyle w:val="Header"/>
            <w:jc w:val="right"/>
          </w:pPr>
          <w:r>
            <w:rPr>
              <w:noProof/>
              <w:lang w:val="en-US"/>
            </w:rPr>
            <w:drawing>
              <wp:inline distT="0" distB="0" distL="0" distR="0" wp14:anchorId="7A047442" wp14:editId="17ED0F26">
                <wp:extent cx="900000" cy="440816"/>
                <wp:effectExtent l="19050" t="0" r="0" b="0"/>
                <wp:docPr id="5" name="Picture 4" descr="colour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 small.jpg"/>
                        <pic:cNvPicPr/>
                      </pic:nvPicPr>
                      <pic:blipFill>
                        <a:blip r:embed="rId1"/>
                        <a:stretch>
                          <a:fillRect/>
                        </a:stretch>
                      </pic:blipFill>
                      <pic:spPr>
                        <a:xfrm>
                          <a:off x="0" y="0"/>
                          <a:ext cx="900000" cy="440816"/>
                        </a:xfrm>
                        <a:prstGeom prst="rect">
                          <a:avLst/>
                        </a:prstGeom>
                      </pic:spPr>
                    </pic:pic>
                  </a:graphicData>
                </a:graphic>
              </wp:inline>
            </w:drawing>
          </w:r>
        </w:p>
      </w:tc>
    </w:tr>
  </w:tbl>
  <w:p w:rsidR="00811568" w:rsidRDefault="008115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568" w:rsidRDefault="00811568" w:rsidP="00F971E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568" w:rsidRDefault="008558C6" w:rsidP="00F971ED">
    <w:pPr>
      <w:pStyle w:val="Header"/>
    </w:pPr>
    <w:r>
      <w:fldChar w:fldCharType="begin"/>
    </w:r>
    <w:r>
      <w:instrText xml:space="preserve"> DOCVARIABLE  HeaderText  \* MERGEFORMAT </w:instrText>
    </w:r>
    <w:r>
      <w:fldChar w:fldCharType="separate"/>
    </w:r>
    <w:r w:rsidR="00811568">
      <w:t xml:space="preserve"> </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568" w:rsidRDefault="00811568" w:rsidP="004F51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568" w:rsidRDefault="00811568" w:rsidP="00F971E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05" w:type="dxa"/>
      <w:tblLayout w:type="fixed"/>
      <w:tblCellMar>
        <w:left w:w="0" w:type="dxa"/>
        <w:right w:w="0" w:type="dxa"/>
      </w:tblCellMar>
      <w:tblLook w:val="04A0" w:firstRow="1" w:lastRow="0" w:firstColumn="1" w:lastColumn="0" w:noHBand="0" w:noVBand="1"/>
    </w:tblPr>
    <w:tblGrid>
      <w:gridCol w:w="9639"/>
      <w:gridCol w:w="4366"/>
    </w:tblGrid>
    <w:tr w:rsidR="00811568" w:rsidRPr="00A75E46" w:rsidTr="00AC7914">
      <w:trPr>
        <w:trHeight w:hRule="exact" w:val="1077"/>
      </w:trPr>
      <w:tc>
        <w:tcPr>
          <w:tcW w:w="9639" w:type="dxa"/>
        </w:tcPr>
        <w:p w:rsidR="00811568" w:rsidRPr="00A75E46" w:rsidRDefault="008558C6" w:rsidP="0074120F">
          <w:pPr>
            <w:pStyle w:val="Header"/>
          </w:pPr>
          <w:r>
            <w:fldChar w:fldCharType="begin"/>
          </w:r>
          <w:r>
            <w:instrText xml:space="preserve"> DOCVARIABLE  HeaderText  \* MERGEFORMAT </w:instrText>
          </w:r>
          <w:r>
            <w:fldChar w:fldCharType="separate"/>
          </w:r>
          <w:r w:rsidR="00811568">
            <w:t xml:space="preserve"> </w:t>
          </w:r>
          <w:r>
            <w:fldChar w:fldCharType="end"/>
          </w:r>
        </w:p>
      </w:tc>
      <w:tc>
        <w:tcPr>
          <w:tcW w:w="4366" w:type="dxa"/>
        </w:tcPr>
        <w:p w:rsidR="00811568" w:rsidRPr="00A75E46" w:rsidRDefault="00811568" w:rsidP="0074120F">
          <w:pPr>
            <w:pStyle w:val="Header"/>
            <w:jc w:val="right"/>
          </w:pPr>
        </w:p>
      </w:tc>
    </w:tr>
  </w:tbl>
  <w:p w:rsidR="00811568" w:rsidRDefault="008115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4"/>
    <w:multiLevelType w:val="singleLevel"/>
    <w:tmpl w:val="00000004"/>
    <w:name w:val="WW8Num4"/>
    <w:lvl w:ilvl="0">
      <w:start w:val="1"/>
      <w:numFmt w:val="bullet"/>
      <w:lvlText w:val=""/>
      <w:lvlJc w:val="left"/>
      <w:pPr>
        <w:tabs>
          <w:tab w:val="num" w:pos="643"/>
        </w:tabs>
        <w:ind w:left="643" w:hanging="360"/>
      </w:pPr>
      <w:rPr>
        <w:rFonts w:ascii="Symbol" w:hAnsi="Symbol" w:cs="Times New Roman"/>
      </w:rPr>
    </w:lvl>
  </w:abstractNum>
  <w:abstractNum w:abstractNumId="5">
    <w:nsid w:val="00000005"/>
    <w:multiLevelType w:val="multilevel"/>
    <w:tmpl w:val="00000005"/>
    <w:name w:val="WW8Num5"/>
    <w:lvl w:ilvl="0">
      <w:start w:val="1"/>
      <w:numFmt w:val="decimal"/>
      <w:lvlText w:val="%1."/>
      <w:lvlJc w:val="left"/>
      <w:pPr>
        <w:tabs>
          <w:tab w:val="num" w:pos="340"/>
        </w:tabs>
        <w:ind w:left="340" w:hanging="340"/>
      </w:pPr>
      <w:rPr>
        <w:rFonts w:ascii="Arial" w:hAnsi="Arial" w:cs="Symbol"/>
        <w:sz w:val="18"/>
        <w:szCs w:val="18"/>
      </w:rPr>
    </w:lvl>
    <w:lvl w:ilvl="1">
      <w:start w:val="1"/>
      <w:numFmt w:val="lowerLetter"/>
      <w:lvlText w:val="%2."/>
      <w:lvlJc w:val="left"/>
      <w:pPr>
        <w:tabs>
          <w:tab w:val="num" w:pos="680"/>
        </w:tabs>
        <w:ind w:left="680" w:hanging="340"/>
      </w:pPr>
      <w:rPr>
        <w:rFonts w:cs="Times New Roman"/>
      </w:rPr>
    </w:lvl>
    <w:lvl w:ilvl="2">
      <w:start w:val="1"/>
      <w:numFmt w:val="lowerRoman"/>
      <w:lvlText w:val="%3."/>
      <w:lvlJc w:val="left"/>
      <w:pPr>
        <w:tabs>
          <w:tab w:val="num" w:pos="1021"/>
        </w:tabs>
        <w:ind w:left="1021" w:hanging="341"/>
      </w:pPr>
      <w:rPr>
        <w:rFonts w:cs="Times New Roman"/>
      </w:rPr>
    </w:lvl>
    <w:lvl w:ilvl="3">
      <w:start w:val="1"/>
      <w:numFmt w:val="none"/>
      <w:suff w:val="nothing"/>
      <w:lvlText w:val=""/>
      <w:lvlJc w:val="left"/>
      <w:pPr>
        <w:tabs>
          <w:tab w:val="num" w:pos="0"/>
        </w:tabs>
        <w:ind w:left="1021" w:firstLine="0"/>
      </w:pPr>
      <w:rPr>
        <w:rFonts w:cs="Times New Roman"/>
      </w:rPr>
    </w:lvl>
    <w:lvl w:ilvl="4">
      <w:start w:val="1"/>
      <w:numFmt w:val="none"/>
      <w:suff w:val="nothing"/>
      <w:lvlText w:val=""/>
      <w:lvlJc w:val="left"/>
      <w:pPr>
        <w:tabs>
          <w:tab w:val="num" w:pos="0"/>
        </w:tabs>
        <w:ind w:left="1021" w:firstLine="0"/>
      </w:pPr>
      <w:rPr>
        <w:rFonts w:cs="Times New Roman"/>
      </w:rPr>
    </w:lvl>
    <w:lvl w:ilvl="5">
      <w:start w:val="1"/>
      <w:numFmt w:val="none"/>
      <w:suff w:val="nothing"/>
      <w:lvlText w:val=""/>
      <w:lvlJc w:val="left"/>
      <w:pPr>
        <w:tabs>
          <w:tab w:val="num" w:pos="0"/>
        </w:tabs>
        <w:ind w:left="1021" w:firstLine="0"/>
      </w:pPr>
      <w:rPr>
        <w:rFonts w:cs="Times New Roman"/>
      </w:rPr>
    </w:lvl>
    <w:lvl w:ilvl="6">
      <w:start w:val="1"/>
      <w:numFmt w:val="none"/>
      <w:suff w:val="nothing"/>
      <w:lvlText w:val=""/>
      <w:lvlJc w:val="left"/>
      <w:pPr>
        <w:tabs>
          <w:tab w:val="num" w:pos="0"/>
        </w:tabs>
        <w:ind w:left="1021" w:firstLine="0"/>
      </w:pPr>
      <w:rPr>
        <w:rFonts w:cs="Times New Roman"/>
      </w:rPr>
    </w:lvl>
    <w:lvl w:ilvl="7">
      <w:start w:val="1"/>
      <w:numFmt w:val="none"/>
      <w:suff w:val="nothing"/>
      <w:lvlText w:val=""/>
      <w:lvlJc w:val="left"/>
      <w:pPr>
        <w:tabs>
          <w:tab w:val="num" w:pos="0"/>
        </w:tabs>
        <w:ind w:left="1021" w:firstLine="0"/>
      </w:pPr>
      <w:rPr>
        <w:rFonts w:cs="Times New Roman"/>
      </w:rPr>
    </w:lvl>
    <w:lvl w:ilvl="8">
      <w:start w:val="1"/>
      <w:numFmt w:val="none"/>
      <w:suff w:val="nothing"/>
      <w:lvlText w:val=""/>
      <w:lvlJc w:val="left"/>
      <w:pPr>
        <w:tabs>
          <w:tab w:val="num" w:pos="0"/>
        </w:tabs>
        <w:ind w:left="1021" w:firstLine="0"/>
      </w:pPr>
      <w:rPr>
        <w:rFonts w:cs="Times New Roman"/>
      </w:rPr>
    </w:lvl>
  </w:abstractNum>
  <w:abstractNum w:abstractNumId="6">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7">
    <w:nsid w:val="033668E2"/>
    <w:multiLevelType w:val="hybridMultilevel"/>
    <w:tmpl w:val="64B04DB6"/>
    <w:lvl w:ilvl="0" w:tplc="71180816">
      <w:start w:val="4"/>
      <w:numFmt w:val="bullet"/>
      <w:lvlText w:val="-"/>
      <w:lvlJc w:val="left"/>
      <w:pPr>
        <w:ind w:left="720" w:hanging="360"/>
      </w:pPr>
      <w:rPr>
        <w:rFonts w:ascii="Arial" w:eastAsia="Calibri" w:hAnsi="Arial" w:cs="Georg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9">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10">
    <w:nsid w:val="0D495BAE"/>
    <w:multiLevelType w:val="multilevel"/>
    <w:tmpl w:val="6412989C"/>
    <w:styleLink w:val="NumbLstBTNumbList"/>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11">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02C26B6"/>
    <w:multiLevelType w:val="multilevel"/>
    <w:tmpl w:val="1E32C318"/>
    <w:styleLink w:val="NumbLstTableBullet1"/>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4">
    <w:nsid w:val="13264F5E"/>
    <w:multiLevelType w:val="multilevel"/>
    <w:tmpl w:val="89BC52E8"/>
    <w:numStyleLink w:val="NumbLstBoxes"/>
  </w:abstractNum>
  <w:abstractNum w:abstractNumId="15">
    <w:nsid w:val="13CB0134"/>
    <w:multiLevelType w:val="multilevel"/>
    <w:tmpl w:val="1E32C318"/>
    <w:styleLink w:val="NumbLstNum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6">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17">
    <w:nsid w:val="194933AA"/>
    <w:multiLevelType w:val="hybridMultilevel"/>
    <w:tmpl w:val="FD88D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9">
    <w:nsid w:val="20324FF4"/>
    <w:multiLevelType w:val="hybridMultilevel"/>
    <w:tmpl w:val="027A7E98"/>
    <w:lvl w:ilvl="0" w:tplc="71180816">
      <w:start w:val="4"/>
      <w:numFmt w:val="bullet"/>
      <w:lvlText w:val="-"/>
      <w:lvlJc w:val="left"/>
      <w:pPr>
        <w:ind w:left="720" w:hanging="360"/>
      </w:pPr>
      <w:rPr>
        <w:rFonts w:ascii="Arial" w:eastAsia="Calibri" w:hAnsi="Arial"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0FC0C97"/>
    <w:multiLevelType w:val="hybridMultilevel"/>
    <w:tmpl w:val="F07A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22">
    <w:nsid w:val="2C4C1930"/>
    <w:multiLevelType w:val="hybridMultilevel"/>
    <w:tmpl w:val="792C21D6"/>
    <w:lvl w:ilvl="0" w:tplc="080C0003">
      <w:start w:val="1"/>
      <w:numFmt w:val="bullet"/>
      <w:lvlText w:val="o"/>
      <w:lvlJc w:val="left"/>
      <w:pPr>
        <w:ind w:left="1211" w:hanging="360"/>
      </w:pPr>
      <w:rPr>
        <w:rFonts w:ascii="Courier New" w:hAnsi="Courier New" w:cs="Courier New" w:hint="default"/>
      </w:rPr>
    </w:lvl>
    <w:lvl w:ilvl="1" w:tplc="080C0003">
      <w:start w:val="1"/>
      <w:numFmt w:val="bullet"/>
      <w:lvlText w:val="o"/>
      <w:lvlJc w:val="left"/>
      <w:pPr>
        <w:ind w:left="1931" w:hanging="360"/>
      </w:pPr>
      <w:rPr>
        <w:rFonts w:ascii="Courier New" w:hAnsi="Courier New" w:cs="Courier New" w:hint="default"/>
      </w:rPr>
    </w:lvl>
    <w:lvl w:ilvl="2" w:tplc="080C0005">
      <w:start w:val="1"/>
      <w:numFmt w:val="bullet"/>
      <w:lvlText w:val=""/>
      <w:lvlJc w:val="left"/>
      <w:pPr>
        <w:ind w:left="2651" w:hanging="360"/>
      </w:pPr>
      <w:rPr>
        <w:rFonts w:ascii="Wingdings" w:hAnsi="Wingdings" w:hint="default"/>
      </w:rPr>
    </w:lvl>
    <w:lvl w:ilvl="3" w:tplc="080C0001">
      <w:start w:val="1"/>
      <w:numFmt w:val="bullet"/>
      <w:lvlText w:val=""/>
      <w:lvlJc w:val="left"/>
      <w:pPr>
        <w:ind w:left="3371" w:hanging="360"/>
      </w:pPr>
      <w:rPr>
        <w:rFonts w:ascii="Symbol" w:hAnsi="Symbol" w:hint="default"/>
      </w:rPr>
    </w:lvl>
    <w:lvl w:ilvl="4" w:tplc="080C0003">
      <w:start w:val="1"/>
      <w:numFmt w:val="bullet"/>
      <w:lvlText w:val="o"/>
      <w:lvlJc w:val="left"/>
      <w:pPr>
        <w:ind w:left="4091" w:hanging="360"/>
      </w:pPr>
      <w:rPr>
        <w:rFonts w:ascii="Courier New" w:hAnsi="Courier New" w:cs="Courier New" w:hint="default"/>
      </w:rPr>
    </w:lvl>
    <w:lvl w:ilvl="5" w:tplc="080C0005">
      <w:start w:val="1"/>
      <w:numFmt w:val="bullet"/>
      <w:lvlText w:val=""/>
      <w:lvlJc w:val="left"/>
      <w:pPr>
        <w:ind w:left="4811" w:hanging="360"/>
      </w:pPr>
      <w:rPr>
        <w:rFonts w:ascii="Wingdings" w:hAnsi="Wingdings" w:hint="default"/>
      </w:rPr>
    </w:lvl>
    <w:lvl w:ilvl="6" w:tplc="080C0001">
      <w:start w:val="1"/>
      <w:numFmt w:val="bullet"/>
      <w:lvlText w:val=""/>
      <w:lvlJc w:val="left"/>
      <w:pPr>
        <w:ind w:left="5531" w:hanging="360"/>
      </w:pPr>
      <w:rPr>
        <w:rFonts w:ascii="Symbol" w:hAnsi="Symbol" w:hint="default"/>
      </w:rPr>
    </w:lvl>
    <w:lvl w:ilvl="7" w:tplc="080C0003">
      <w:start w:val="1"/>
      <w:numFmt w:val="bullet"/>
      <w:lvlText w:val="o"/>
      <w:lvlJc w:val="left"/>
      <w:pPr>
        <w:ind w:left="6251" w:hanging="360"/>
      </w:pPr>
      <w:rPr>
        <w:rFonts w:ascii="Courier New" w:hAnsi="Courier New" w:cs="Courier New" w:hint="default"/>
      </w:rPr>
    </w:lvl>
    <w:lvl w:ilvl="8" w:tplc="080C0005">
      <w:start w:val="1"/>
      <w:numFmt w:val="bullet"/>
      <w:lvlText w:val=""/>
      <w:lvlJc w:val="left"/>
      <w:pPr>
        <w:ind w:left="6971" w:hanging="360"/>
      </w:pPr>
      <w:rPr>
        <w:rFonts w:ascii="Wingdings" w:hAnsi="Wingdings" w:hint="default"/>
      </w:rPr>
    </w:lvl>
  </w:abstractNum>
  <w:abstractNum w:abstractNumId="23">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24">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5">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26">
    <w:nsid w:val="497C5E09"/>
    <w:multiLevelType w:val="multilevel"/>
    <w:tmpl w:val="4B68369A"/>
    <w:styleLink w:val="NumbLstTableBullet"/>
    <w:lvl w:ilvl="0">
      <w:start w:val="1"/>
      <w:numFmt w:val="bullet"/>
      <w:pStyle w:val="Table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7">
    <w:nsid w:val="4D4F1CD9"/>
    <w:multiLevelType w:val="hybridMultilevel"/>
    <w:tmpl w:val="23E6863E"/>
    <w:lvl w:ilvl="0" w:tplc="F9B8B0BA">
      <w:start w:val="1"/>
      <w:numFmt w:val="bullet"/>
      <w:pStyle w:val="F6ListBullet"/>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start w:val="1"/>
      <w:numFmt w:val="bullet"/>
      <w:lvlText w:val=""/>
      <w:lvlJc w:val="left"/>
      <w:pPr>
        <w:tabs>
          <w:tab w:val="num" w:pos="3787"/>
        </w:tabs>
        <w:ind w:left="3787" w:hanging="360"/>
      </w:pPr>
      <w:rPr>
        <w:rFonts w:ascii="Symbol" w:hAnsi="Symbol" w:hint="default"/>
      </w:rPr>
    </w:lvl>
    <w:lvl w:ilvl="4" w:tplc="04090003">
      <w:start w:val="1"/>
      <w:numFmt w:val="bullet"/>
      <w:lvlText w:val="o"/>
      <w:lvlJc w:val="left"/>
      <w:pPr>
        <w:tabs>
          <w:tab w:val="num" w:pos="4507"/>
        </w:tabs>
        <w:ind w:left="4507" w:hanging="360"/>
      </w:pPr>
      <w:rPr>
        <w:rFonts w:ascii="Courier New" w:hAnsi="Courier New" w:hint="default"/>
      </w:rPr>
    </w:lvl>
    <w:lvl w:ilvl="5" w:tplc="04090005">
      <w:start w:val="1"/>
      <w:numFmt w:val="bullet"/>
      <w:lvlText w:val=""/>
      <w:lvlJc w:val="left"/>
      <w:pPr>
        <w:tabs>
          <w:tab w:val="num" w:pos="5227"/>
        </w:tabs>
        <w:ind w:left="5227" w:hanging="360"/>
      </w:pPr>
      <w:rPr>
        <w:rFonts w:ascii="Wingdings" w:hAnsi="Wingdings" w:hint="default"/>
      </w:rPr>
    </w:lvl>
    <w:lvl w:ilvl="6" w:tplc="04090001">
      <w:start w:val="1"/>
      <w:numFmt w:val="bullet"/>
      <w:lvlText w:val=""/>
      <w:lvlJc w:val="left"/>
      <w:pPr>
        <w:tabs>
          <w:tab w:val="num" w:pos="5947"/>
        </w:tabs>
        <w:ind w:left="5947" w:hanging="360"/>
      </w:pPr>
      <w:rPr>
        <w:rFonts w:ascii="Symbol" w:hAnsi="Symbol" w:hint="default"/>
      </w:rPr>
    </w:lvl>
    <w:lvl w:ilvl="7" w:tplc="04090003">
      <w:start w:val="1"/>
      <w:numFmt w:val="bullet"/>
      <w:lvlText w:val="o"/>
      <w:lvlJc w:val="left"/>
      <w:pPr>
        <w:tabs>
          <w:tab w:val="num" w:pos="6667"/>
        </w:tabs>
        <w:ind w:left="6667" w:hanging="360"/>
      </w:pPr>
      <w:rPr>
        <w:rFonts w:ascii="Courier New" w:hAnsi="Courier New" w:hint="default"/>
      </w:rPr>
    </w:lvl>
    <w:lvl w:ilvl="8" w:tplc="04090005">
      <w:start w:val="1"/>
      <w:numFmt w:val="bullet"/>
      <w:lvlText w:val=""/>
      <w:lvlJc w:val="left"/>
      <w:pPr>
        <w:tabs>
          <w:tab w:val="num" w:pos="7387"/>
        </w:tabs>
        <w:ind w:left="7387" w:hanging="360"/>
      </w:pPr>
      <w:rPr>
        <w:rFonts w:ascii="Wingdings" w:hAnsi="Wingdings" w:hint="default"/>
      </w:rPr>
    </w:lvl>
  </w:abstractNum>
  <w:abstractNum w:abstractNumId="28">
    <w:nsid w:val="504936E5"/>
    <w:multiLevelType w:val="multilevel"/>
    <w:tmpl w:val="9F9A5336"/>
    <w:numStyleLink w:val="NumbLstBTBullet"/>
  </w:abstractNum>
  <w:abstractNum w:abstractNumId="29">
    <w:nsid w:val="507A1ADD"/>
    <w:multiLevelType w:val="hybridMultilevel"/>
    <w:tmpl w:val="8946BA38"/>
    <w:lvl w:ilvl="0" w:tplc="FFFFFFFF">
      <w:start w:val="1"/>
      <w:numFmt w:val="lowerRoman"/>
      <w:lvlText w:val="%1."/>
      <w:lvlJc w:val="left"/>
      <w:pPr>
        <w:tabs>
          <w:tab w:val="num" w:pos="1134"/>
        </w:tabs>
        <w:ind w:left="1134" w:hanging="567"/>
      </w:pPr>
      <w:rPr>
        <w:rFonts w:ascii="Arial" w:hAnsi="Arial" w:cs="Symbol" w:hint="default"/>
        <w:b w:val="0"/>
        <w:bCs w:val="0"/>
        <w:i/>
        <w:iCs/>
        <w:sz w:val="20"/>
        <w:szCs w:val="20"/>
      </w:rPr>
    </w:lvl>
    <w:lvl w:ilvl="1" w:tplc="FFFFFFFF">
      <w:start w:val="1"/>
      <w:numFmt w:val="lowerLetter"/>
      <w:pStyle w:val="SecondTierList"/>
      <w:lvlText w:val="%2)"/>
      <w:lvlJc w:val="left"/>
      <w:pPr>
        <w:tabs>
          <w:tab w:val="num" w:pos="2098"/>
        </w:tabs>
        <w:ind w:left="2098" w:hanging="680"/>
      </w:pPr>
      <w:rPr>
        <w:rFonts w:cs="Times New Roman" w:hint="default"/>
      </w:rPr>
    </w:lvl>
    <w:lvl w:ilvl="2" w:tplc="FFFFFFFF">
      <w:start w:val="1"/>
      <w:numFmt w:val="lowerRoman"/>
      <w:lvlText w:val="%3."/>
      <w:lvlJc w:val="left"/>
      <w:pPr>
        <w:tabs>
          <w:tab w:val="num" w:pos="1134"/>
        </w:tabs>
        <w:ind w:left="1134" w:hanging="567"/>
      </w:pPr>
      <w:rPr>
        <w:rFonts w:ascii="Arial" w:hAnsi="Arial" w:cs="Symbol" w:hint="default"/>
        <w:b w:val="0"/>
        <w:bCs w:val="0"/>
        <w:i/>
        <w:iCs/>
        <w:sz w:val="20"/>
        <w:szCs w:val="20"/>
      </w:rPr>
    </w:lvl>
    <w:lvl w:ilvl="3" w:tplc="FFFFFFFF">
      <w:start w:val="1"/>
      <w:numFmt w:val="lowerLetter"/>
      <w:lvlText w:val="%4)"/>
      <w:lvlJc w:val="left"/>
      <w:pPr>
        <w:tabs>
          <w:tab w:val="num" w:pos="1211"/>
        </w:tabs>
        <w:ind w:left="1191" w:hanging="340"/>
      </w:pPr>
      <w:rPr>
        <w:rFonts w:cs="Times New Roman" w:hint="default"/>
      </w:rPr>
    </w:lvl>
    <w:lvl w:ilvl="4" w:tplc="FFFFFFFF">
      <w:start w:val="1"/>
      <w:numFmt w:val="lowerRoman"/>
      <w:lvlText w:val="%5."/>
      <w:lvlJc w:val="left"/>
      <w:pPr>
        <w:tabs>
          <w:tab w:val="num" w:pos="1134"/>
        </w:tabs>
        <w:ind w:left="1134" w:hanging="567"/>
      </w:pPr>
      <w:rPr>
        <w:rFonts w:ascii="Arial" w:hAnsi="Arial" w:cs="Symbol" w:hint="default"/>
        <w:b w:val="0"/>
        <w:bCs w:val="0"/>
        <w:i/>
        <w:iCs/>
        <w:sz w:val="20"/>
        <w:szCs w:val="2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nsid w:val="5A611787"/>
    <w:multiLevelType w:val="multilevel"/>
    <w:tmpl w:val="85BCEBDA"/>
    <w:numStyleLink w:val="NumbLstBullet"/>
  </w:abstractNum>
  <w:abstractNum w:abstractNumId="31">
    <w:nsid w:val="60BE17EF"/>
    <w:multiLevelType w:val="multilevel"/>
    <w:tmpl w:val="22266CAE"/>
    <w:numStyleLink w:val="NumbLstMain"/>
  </w:abstractNum>
  <w:abstractNum w:abstractNumId="32">
    <w:nsid w:val="63115E92"/>
    <w:multiLevelType w:val="multilevel"/>
    <w:tmpl w:val="AEDA72E0"/>
    <w:lvl w:ilvl="0">
      <w:start w:val="1"/>
      <w:numFmt w:val="decimal"/>
      <w:lvlText w:val="%1."/>
      <w:lvlJc w:val="left"/>
      <w:pPr>
        <w:tabs>
          <w:tab w:val="num" w:pos="360"/>
        </w:tabs>
        <w:ind w:left="360" w:hanging="360"/>
      </w:pPr>
    </w:lvl>
    <w:lvl w:ilvl="1">
      <w:start w:val="1"/>
      <w:numFmt w:val="decimal"/>
      <w:lvlText w:val="%1.%2"/>
      <w:lvlJc w:val="left"/>
      <w:pPr>
        <w:ind w:left="576" w:hanging="576"/>
      </w:pPr>
      <w:rPr>
        <w:rFonts w:cs="Times New Roman"/>
        <w:color w:val="365F91"/>
      </w:rPr>
    </w:lvl>
    <w:lvl w:ilvl="2">
      <w:start w:val="1"/>
      <w:numFmt w:val="decimal"/>
      <w:lvlText w:val="%1.%2.%3"/>
      <w:lvlJc w:val="left"/>
      <w:pPr>
        <w:ind w:left="157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3">
    <w:nsid w:val="66F10AD0"/>
    <w:multiLevelType w:val="multilevel"/>
    <w:tmpl w:val="A8C2921C"/>
    <w:numStyleLink w:val="NumbLstAnnex"/>
  </w:abstractNum>
  <w:abstractNum w:abstractNumId="34">
    <w:nsid w:val="70442F65"/>
    <w:multiLevelType w:val="hybridMultilevel"/>
    <w:tmpl w:val="177E8A3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nsid w:val="7CB03DC5"/>
    <w:multiLevelType w:val="multilevel"/>
    <w:tmpl w:val="4B68369A"/>
    <w:numStyleLink w:val="NumbLstTableBullet"/>
  </w:abstractNum>
  <w:num w:numId="1">
    <w:abstractNumId w:val="3"/>
  </w:num>
  <w:num w:numId="2">
    <w:abstractNumId w:val="2"/>
  </w:num>
  <w:num w:numId="3">
    <w:abstractNumId w:val="1"/>
  </w:num>
  <w:num w:numId="4">
    <w:abstractNumId w:val="0"/>
  </w:num>
  <w:num w:numId="5">
    <w:abstractNumId w:val="16"/>
  </w:num>
  <w:num w:numId="6">
    <w:abstractNumId w:val="21"/>
  </w:num>
  <w:num w:numId="7">
    <w:abstractNumId w:val="6"/>
  </w:num>
  <w:num w:numId="8">
    <w:abstractNumId w:val="8"/>
  </w:num>
  <w:num w:numId="9">
    <w:abstractNumId w:val="15"/>
  </w:num>
  <w:num w:numId="10">
    <w:abstractNumId w:val="13"/>
  </w:num>
  <w:num w:numId="11">
    <w:abstractNumId w:val="24"/>
  </w:num>
  <w:num w:numId="12">
    <w:abstractNumId w:val="26"/>
  </w:num>
  <w:num w:numId="13">
    <w:abstractNumId w:val="9"/>
  </w:num>
  <w:num w:numId="14">
    <w:abstractNumId w:val="35"/>
  </w:num>
  <w:num w:numId="15">
    <w:abstractNumId w:val="12"/>
  </w:num>
  <w:num w:numId="16">
    <w:abstractNumId w:val="14"/>
  </w:num>
  <w:num w:numId="17">
    <w:abstractNumId w:val="30"/>
  </w:num>
  <w:num w:numId="18">
    <w:abstractNumId w:val="18"/>
  </w:num>
  <w:num w:numId="19">
    <w:abstractNumId w:val="33"/>
  </w:num>
  <w:num w:numId="20">
    <w:abstractNumId w:val="31"/>
  </w:num>
  <w:num w:numId="21">
    <w:abstractNumId w:val="23"/>
  </w:num>
  <w:num w:numId="22">
    <w:abstractNumId w:val="28"/>
  </w:num>
  <w:num w:numId="23">
    <w:abstractNumId w:val="10"/>
  </w:num>
  <w:num w:numId="24">
    <w:abstractNumId w:val="27"/>
  </w:num>
  <w:num w:numId="25">
    <w:abstractNumId w:val="29"/>
  </w:num>
  <w:num w:numId="26">
    <w:abstractNumId w:val="32"/>
  </w:num>
  <w:num w:numId="27">
    <w:abstractNumId w:val="22"/>
  </w:num>
  <w:num w:numId="28">
    <w:abstractNumId w:val="7"/>
  </w:num>
  <w:num w:numId="29">
    <w:abstractNumId w:val="34"/>
  </w:num>
  <w:num w:numId="30">
    <w:abstractNumId w:val="19"/>
  </w:num>
  <w:num w:numId="31">
    <w:abstractNumId w:val="20"/>
  </w:num>
  <w:num w:numId="32">
    <w:abstractNumId w:val="17"/>
  </w:num>
  <w:num w:numId="33">
    <w:abstractNumId w:val="30"/>
  </w:num>
  <w:num w:numId="34">
    <w:abstractNumId w:val="30"/>
  </w:num>
  <w:num w:numId="35">
    <w:abstractNumId w:val="31"/>
  </w:num>
  <w:num w:numId="36">
    <w:abstractNumId w:val="31"/>
  </w:num>
  <w:num w:numId="37">
    <w:abstractNumId w:val="31"/>
  </w:num>
  <w:num w:numId="38">
    <w:abstractNumId w:val="31"/>
  </w:num>
  <w:num w:numId="39">
    <w:abstractNumId w:val="31"/>
  </w:num>
  <w:num w:numId="40">
    <w:abstractNumId w:val="31"/>
  </w:num>
  <w:num w:numId="41">
    <w:abstractNumId w:val="31"/>
  </w:num>
  <w:num w:numId="42">
    <w:abstractNumId w:val="31"/>
  </w:num>
  <w:num w:numId="43">
    <w:abstractNumId w:val="31"/>
  </w:num>
  <w:num w:numId="44">
    <w:abstractNumId w:val="31"/>
  </w:num>
  <w:num w:numId="45">
    <w:abstractNumId w:val="31"/>
  </w:num>
  <w:num w:numId="46">
    <w:abstractNumId w:val="30"/>
  </w:num>
  <w:num w:numId="47">
    <w:abstractNumId w:val="30"/>
  </w:num>
  <w:num w:numId="48">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TemplateVersion" w:val="6.9"/>
    <w:docVar w:name="FooterVersion" w:val=" "/>
    <w:docVar w:name="HeaderText" w:val=" "/>
    <w:docVar w:name="InitialTemplateVersion" w:val="6.9"/>
  </w:docVars>
  <w:rsids>
    <w:rsidRoot w:val="00660C9C"/>
    <w:rsid w:val="00000C93"/>
    <w:rsid w:val="00005A26"/>
    <w:rsid w:val="0000759E"/>
    <w:rsid w:val="00011AAB"/>
    <w:rsid w:val="000142F4"/>
    <w:rsid w:val="000167D6"/>
    <w:rsid w:val="00024986"/>
    <w:rsid w:val="00026E16"/>
    <w:rsid w:val="000576DF"/>
    <w:rsid w:val="00066A93"/>
    <w:rsid w:val="00070C78"/>
    <w:rsid w:val="000715F8"/>
    <w:rsid w:val="000770C0"/>
    <w:rsid w:val="00083B20"/>
    <w:rsid w:val="0008717B"/>
    <w:rsid w:val="00091F04"/>
    <w:rsid w:val="0009599B"/>
    <w:rsid w:val="00095BA6"/>
    <w:rsid w:val="0009675F"/>
    <w:rsid w:val="000A35C8"/>
    <w:rsid w:val="000A5F31"/>
    <w:rsid w:val="000A76DA"/>
    <w:rsid w:val="000B14B1"/>
    <w:rsid w:val="000B24D3"/>
    <w:rsid w:val="000B33DE"/>
    <w:rsid w:val="000B7B34"/>
    <w:rsid w:val="000C43B2"/>
    <w:rsid w:val="000C4B0C"/>
    <w:rsid w:val="000D354F"/>
    <w:rsid w:val="000E1441"/>
    <w:rsid w:val="000E2B5C"/>
    <w:rsid w:val="000E5D1E"/>
    <w:rsid w:val="000F2DA6"/>
    <w:rsid w:val="000F7B8B"/>
    <w:rsid w:val="000F7EC6"/>
    <w:rsid w:val="00103E28"/>
    <w:rsid w:val="0011071D"/>
    <w:rsid w:val="00111107"/>
    <w:rsid w:val="001114E8"/>
    <w:rsid w:val="00123D34"/>
    <w:rsid w:val="00124BD0"/>
    <w:rsid w:val="00130939"/>
    <w:rsid w:val="00136425"/>
    <w:rsid w:val="001368FE"/>
    <w:rsid w:val="00141A81"/>
    <w:rsid w:val="00141AD4"/>
    <w:rsid w:val="00147D47"/>
    <w:rsid w:val="00151369"/>
    <w:rsid w:val="00151F29"/>
    <w:rsid w:val="001578B7"/>
    <w:rsid w:val="001648BF"/>
    <w:rsid w:val="00165091"/>
    <w:rsid w:val="00165CAF"/>
    <w:rsid w:val="00171F24"/>
    <w:rsid w:val="001736E1"/>
    <w:rsid w:val="00174800"/>
    <w:rsid w:val="0017652E"/>
    <w:rsid w:val="00182166"/>
    <w:rsid w:val="001851C5"/>
    <w:rsid w:val="00185721"/>
    <w:rsid w:val="001858FD"/>
    <w:rsid w:val="001869F6"/>
    <w:rsid w:val="00192D1A"/>
    <w:rsid w:val="001943AC"/>
    <w:rsid w:val="001B1C20"/>
    <w:rsid w:val="001B1F0E"/>
    <w:rsid w:val="001B2443"/>
    <w:rsid w:val="001B2612"/>
    <w:rsid w:val="001B5108"/>
    <w:rsid w:val="001B6F36"/>
    <w:rsid w:val="001B7D1E"/>
    <w:rsid w:val="001C24D0"/>
    <w:rsid w:val="001C4E00"/>
    <w:rsid w:val="001C5F8E"/>
    <w:rsid w:val="001C7BA9"/>
    <w:rsid w:val="001D4A64"/>
    <w:rsid w:val="001D4ADD"/>
    <w:rsid w:val="001D69D3"/>
    <w:rsid w:val="001D7DF0"/>
    <w:rsid w:val="001E33FA"/>
    <w:rsid w:val="001E4ED8"/>
    <w:rsid w:val="001E51AE"/>
    <w:rsid w:val="001E6E8A"/>
    <w:rsid w:val="001F133B"/>
    <w:rsid w:val="001F211C"/>
    <w:rsid w:val="002023E5"/>
    <w:rsid w:val="00203D5C"/>
    <w:rsid w:val="00204C13"/>
    <w:rsid w:val="00206851"/>
    <w:rsid w:val="00207D44"/>
    <w:rsid w:val="00211076"/>
    <w:rsid w:val="002119DF"/>
    <w:rsid w:val="00212962"/>
    <w:rsid w:val="00213D1A"/>
    <w:rsid w:val="00215DFA"/>
    <w:rsid w:val="00216E5C"/>
    <w:rsid w:val="002179F1"/>
    <w:rsid w:val="002218E7"/>
    <w:rsid w:val="002248F3"/>
    <w:rsid w:val="00227858"/>
    <w:rsid w:val="00230DE9"/>
    <w:rsid w:val="00234128"/>
    <w:rsid w:val="0024644F"/>
    <w:rsid w:val="0024796D"/>
    <w:rsid w:val="00250907"/>
    <w:rsid w:val="00255570"/>
    <w:rsid w:val="00256B5A"/>
    <w:rsid w:val="00256BC8"/>
    <w:rsid w:val="00263351"/>
    <w:rsid w:val="00264A31"/>
    <w:rsid w:val="002675FB"/>
    <w:rsid w:val="00273225"/>
    <w:rsid w:val="00281FA6"/>
    <w:rsid w:val="002865EA"/>
    <w:rsid w:val="00292A18"/>
    <w:rsid w:val="00292C2B"/>
    <w:rsid w:val="002A04D4"/>
    <w:rsid w:val="002A476C"/>
    <w:rsid w:val="002A4F65"/>
    <w:rsid w:val="002A789F"/>
    <w:rsid w:val="002B0C2C"/>
    <w:rsid w:val="002B29C2"/>
    <w:rsid w:val="002B3B7F"/>
    <w:rsid w:val="002B56FB"/>
    <w:rsid w:val="002B7716"/>
    <w:rsid w:val="002C44BC"/>
    <w:rsid w:val="002C4B6F"/>
    <w:rsid w:val="002E5F2F"/>
    <w:rsid w:val="0030062C"/>
    <w:rsid w:val="00303262"/>
    <w:rsid w:val="0030346B"/>
    <w:rsid w:val="00306292"/>
    <w:rsid w:val="0031065A"/>
    <w:rsid w:val="003114F4"/>
    <w:rsid w:val="003150A0"/>
    <w:rsid w:val="0032006A"/>
    <w:rsid w:val="00323685"/>
    <w:rsid w:val="0032396D"/>
    <w:rsid w:val="00323E73"/>
    <w:rsid w:val="0033791B"/>
    <w:rsid w:val="0034310E"/>
    <w:rsid w:val="00343EA0"/>
    <w:rsid w:val="003477AD"/>
    <w:rsid w:val="003503D4"/>
    <w:rsid w:val="00350C79"/>
    <w:rsid w:val="00351252"/>
    <w:rsid w:val="00354098"/>
    <w:rsid w:val="00355A89"/>
    <w:rsid w:val="003615B0"/>
    <w:rsid w:val="00361A03"/>
    <w:rsid w:val="00364C19"/>
    <w:rsid w:val="00370C6A"/>
    <w:rsid w:val="003733D6"/>
    <w:rsid w:val="00374E53"/>
    <w:rsid w:val="003760DC"/>
    <w:rsid w:val="003777D6"/>
    <w:rsid w:val="00381826"/>
    <w:rsid w:val="003835CE"/>
    <w:rsid w:val="00383825"/>
    <w:rsid w:val="00384D14"/>
    <w:rsid w:val="00391BEC"/>
    <w:rsid w:val="003935CF"/>
    <w:rsid w:val="003A00E0"/>
    <w:rsid w:val="003A262C"/>
    <w:rsid w:val="003A4FC4"/>
    <w:rsid w:val="003A73A2"/>
    <w:rsid w:val="003C020A"/>
    <w:rsid w:val="003C04D7"/>
    <w:rsid w:val="003C1601"/>
    <w:rsid w:val="003C25EE"/>
    <w:rsid w:val="003D0514"/>
    <w:rsid w:val="003D2272"/>
    <w:rsid w:val="003D6EBF"/>
    <w:rsid w:val="003E0489"/>
    <w:rsid w:val="003E1E5C"/>
    <w:rsid w:val="003E2615"/>
    <w:rsid w:val="003E4AED"/>
    <w:rsid w:val="003E4B0D"/>
    <w:rsid w:val="003E58A8"/>
    <w:rsid w:val="003F2BEF"/>
    <w:rsid w:val="003F388F"/>
    <w:rsid w:val="003F5007"/>
    <w:rsid w:val="00401698"/>
    <w:rsid w:val="00401E38"/>
    <w:rsid w:val="00404FE4"/>
    <w:rsid w:val="0040659B"/>
    <w:rsid w:val="00410549"/>
    <w:rsid w:val="00410F10"/>
    <w:rsid w:val="00411678"/>
    <w:rsid w:val="004148E4"/>
    <w:rsid w:val="00417E8C"/>
    <w:rsid w:val="00427B8C"/>
    <w:rsid w:val="00430C1F"/>
    <w:rsid w:val="0044073E"/>
    <w:rsid w:val="00441196"/>
    <w:rsid w:val="004478B6"/>
    <w:rsid w:val="004479CE"/>
    <w:rsid w:val="00450CC9"/>
    <w:rsid w:val="00452136"/>
    <w:rsid w:val="004544C4"/>
    <w:rsid w:val="00455360"/>
    <w:rsid w:val="00455B40"/>
    <w:rsid w:val="00455F70"/>
    <w:rsid w:val="00457F5F"/>
    <w:rsid w:val="00464E05"/>
    <w:rsid w:val="00464ED6"/>
    <w:rsid w:val="00471B02"/>
    <w:rsid w:val="0047207A"/>
    <w:rsid w:val="00476712"/>
    <w:rsid w:val="00482F4C"/>
    <w:rsid w:val="004911E8"/>
    <w:rsid w:val="0049253A"/>
    <w:rsid w:val="00492BA9"/>
    <w:rsid w:val="00494045"/>
    <w:rsid w:val="00495771"/>
    <w:rsid w:val="00497505"/>
    <w:rsid w:val="00497E94"/>
    <w:rsid w:val="004A1645"/>
    <w:rsid w:val="004A2CB9"/>
    <w:rsid w:val="004B42EF"/>
    <w:rsid w:val="004B437B"/>
    <w:rsid w:val="004B45D1"/>
    <w:rsid w:val="004B7144"/>
    <w:rsid w:val="004B7371"/>
    <w:rsid w:val="004C1F41"/>
    <w:rsid w:val="004C4BFC"/>
    <w:rsid w:val="004C5D38"/>
    <w:rsid w:val="004E3628"/>
    <w:rsid w:val="004E7FCA"/>
    <w:rsid w:val="004F5174"/>
    <w:rsid w:val="004F696D"/>
    <w:rsid w:val="004F6A81"/>
    <w:rsid w:val="005001BC"/>
    <w:rsid w:val="0050054A"/>
    <w:rsid w:val="00500DCF"/>
    <w:rsid w:val="0050177B"/>
    <w:rsid w:val="0050437E"/>
    <w:rsid w:val="00512A89"/>
    <w:rsid w:val="00525433"/>
    <w:rsid w:val="005256EB"/>
    <w:rsid w:val="0052581F"/>
    <w:rsid w:val="00526AAE"/>
    <w:rsid w:val="00532B21"/>
    <w:rsid w:val="005406E3"/>
    <w:rsid w:val="00541215"/>
    <w:rsid w:val="005423F1"/>
    <w:rsid w:val="005452A8"/>
    <w:rsid w:val="005462AE"/>
    <w:rsid w:val="00547C20"/>
    <w:rsid w:val="00561B22"/>
    <w:rsid w:val="0057033C"/>
    <w:rsid w:val="00571D3A"/>
    <w:rsid w:val="00577C28"/>
    <w:rsid w:val="005860AC"/>
    <w:rsid w:val="00593AAF"/>
    <w:rsid w:val="00593CD2"/>
    <w:rsid w:val="005A21E6"/>
    <w:rsid w:val="005A74CD"/>
    <w:rsid w:val="005B10E4"/>
    <w:rsid w:val="005B5B2C"/>
    <w:rsid w:val="005C09F2"/>
    <w:rsid w:val="005C13C9"/>
    <w:rsid w:val="005C219F"/>
    <w:rsid w:val="005C3B69"/>
    <w:rsid w:val="005D1643"/>
    <w:rsid w:val="005D3292"/>
    <w:rsid w:val="005E2D29"/>
    <w:rsid w:val="005E5044"/>
    <w:rsid w:val="005E516B"/>
    <w:rsid w:val="005F0456"/>
    <w:rsid w:val="005F359B"/>
    <w:rsid w:val="005F74B7"/>
    <w:rsid w:val="00602884"/>
    <w:rsid w:val="00604B45"/>
    <w:rsid w:val="00606D1D"/>
    <w:rsid w:val="006231F6"/>
    <w:rsid w:val="006378F1"/>
    <w:rsid w:val="00642993"/>
    <w:rsid w:val="00645801"/>
    <w:rsid w:val="006473DC"/>
    <w:rsid w:val="00654DF3"/>
    <w:rsid w:val="00656054"/>
    <w:rsid w:val="00660C9C"/>
    <w:rsid w:val="006641C5"/>
    <w:rsid w:val="00664F15"/>
    <w:rsid w:val="00666378"/>
    <w:rsid w:val="00667E05"/>
    <w:rsid w:val="006736FD"/>
    <w:rsid w:val="0067423C"/>
    <w:rsid w:val="006761D7"/>
    <w:rsid w:val="006813B2"/>
    <w:rsid w:val="00683F2D"/>
    <w:rsid w:val="00693BA0"/>
    <w:rsid w:val="00696F67"/>
    <w:rsid w:val="006A2179"/>
    <w:rsid w:val="006A3C94"/>
    <w:rsid w:val="006A577B"/>
    <w:rsid w:val="006A6862"/>
    <w:rsid w:val="006A7D56"/>
    <w:rsid w:val="006B0413"/>
    <w:rsid w:val="006B055A"/>
    <w:rsid w:val="006B7A1F"/>
    <w:rsid w:val="006D239B"/>
    <w:rsid w:val="006D24E8"/>
    <w:rsid w:val="006D74C3"/>
    <w:rsid w:val="006D75C3"/>
    <w:rsid w:val="006D7D19"/>
    <w:rsid w:val="006E0930"/>
    <w:rsid w:val="006E132C"/>
    <w:rsid w:val="006E1446"/>
    <w:rsid w:val="006E187B"/>
    <w:rsid w:val="006E19C3"/>
    <w:rsid w:val="006E2356"/>
    <w:rsid w:val="006E2A43"/>
    <w:rsid w:val="006E306D"/>
    <w:rsid w:val="006E3373"/>
    <w:rsid w:val="006E4FF5"/>
    <w:rsid w:val="006F11BC"/>
    <w:rsid w:val="006F5998"/>
    <w:rsid w:val="006F7AA0"/>
    <w:rsid w:val="006F7CF1"/>
    <w:rsid w:val="007008D2"/>
    <w:rsid w:val="00700E15"/>
    <w:rsid w:val="00710CD3"/>
    <w:rsid w:val="00712B1D"/>
    <w:rsid w:val="00714D98"/>
    <w:rsid w:val="007253EB"/>
    <w:rsid w:val="00726D9E"/>
    <w:rsid w:val="007301D5"/>
    <w:rsid w:val="007317A6"/>
    <w:rsid w:val="007353F1"/>
    <w:rsid w:val="007358C8"/>
    <w:rsid w:val="007364F4"/>
    <w:rsid w:val="00740B76"/>
    <w:rsid w:val="0074120F"/>
    <w:rsid w:val="007503EB"/>
    <w:rsid w:val="00757801"/>
    <w:rsid w:val="007579EF"/>
    <w:rsid w:val="00760383"/>
    <w:rsid w:val="0076372F"/>
    <w:rsid w:val="007709DF"/>
    <w:rsid w:val="00771703"/>
    <w:rsid w:val="0077194F"/>
    <w:rsid w:val="007759BC"/>
    <w:rsid w:val="007811BF"/>
    <w:rsid w:val="00783050"/>
    <w:rsid w:val="00790FF3"/>
    <w:rsid w:val="00792D31"/>
    <w:rsid w:val="007940B1"/>
    <w:rsid w:val="007A3C01"/>
    <w:rsid w:val="007A4F61"/>
    <w:rsid w:val="007A5E42"/>
    <w:rsid w:val="007A5FFA"/>
    <w:rsid w:val="007B4457"/>
    <w:rsid w:val="007B47FB"/>
    <w:rsid w:val="007B633F"/>
    <w:rsid w:val="007C0B53"/>
    <w:rsid w:val="007C5C91"/>
    <w:rsid w:val="007E10DF"/>
    <w:rsid w:val="007E2584"/>
    <w:rsid w:val="007E2E3F"/>
    <w:rsid w:val="007F2332"/>
    <w:rsid w:val="007F2EA6"/>
    <w:rsid w:val="007F3870"/>
    <w:rsid w:val="007F571C"/>
    <w:rsid w:val="007F5A05"/>
    <w:rsid w:val="007F5CF6"/>
    <w:rsid w:val="007F5EEF"/>
    <w:rsid w:val="008016B1"/>
    <w:rsid w:val="0080748C"/>
    <w:rsid w:val="00811568"/>
    <w:rsid w:val="00813E61"/>
    <w:rsid w:val="00814231"/>
    <w:rsid w:val="0081612E"/>
    <w:rsid w:val="00820F49"/>
    <w:rsid w:val="008306C1"/>
    <w:rsid w:val="00830E59"/>
    <w:rsid w:val="0083380D"/>
    <w:rsid w:val="008379EE"/>
    <w:rsid w:val="0084051B"/>
    <w:rsid w:val="00841B83"/>
    <w:rsid w:val="00844A98"/>
    <w:rsid w:val="00844B2C"/>
    <w:rsid w:val="0084572E"/>
    <w:rsid w:val="00847FCF"/>
    <w:rsid w:val="008510B2"/>
    <w:rsid w:val="00852752"/>
    <w:rsid w:val="008558C6"/>
    <w:rsid w:val="0085593C"/>
    <w:rsid w:val="00855AFA"/>
    <w:rsid w:val="008563EE"/>
    <w:rsid w:val="00864D4F"/>
    <w:rsid w:val="008707A4"/>
    <w:rsid w:val="00871FF1"/>
    <w:rsid w:val="00873695"/>
    <w:rsid w:val="008743B1"/>
    <w:rsid w:val="008804DD"/>
    <w:rsid w:val="008826C2"/>
    <w:rsid w:val="008842E3"/>
    <w:rsid w:val="00885560"/>
    <w:rsid w:val="00885E67"/>
    <w:rsid w:val="00891503"/>
    <w:rsid w:val="008A7A88"/>
    <w:rsid w:val="008A7BF2"/>
    <w:rsid w:val="008B17AA"/>
    <w:rsid w:val="008B724F"/>
    <w:rsid w:val="008B7B66"/>
    <w:rsid w:val="008C2FC2"/>
    <w:rsid w:val="008C4AB2"/>
    <w:rsid w:val="008C51A1"/>
    <w:rsid w:val="008C69F4"/>
    <w:rsid w:val="008D1672"/>
    <w:rsid w:val="008D2DA9"/>
    <w:rsid w:val="008D6B32"/>
    <w:rsid w:val="008D6CD8"/>
    <w:rsid w:val="008D7A2B"/>
    <w:rsid w:val="008E20F7"/>
    <w:rsid w:val="008E4380"/>
    <w:rsid w:val="008F1866"/>
    <w:rsid w:val="00901152"/>
    <w:rsid w:val="009104E8"/>
    <w:rsid w:val="0091174D"/>
    <w:rsid w:val="00913F0D"/>
    <w:rsid w:val="00915F44"/>
    <w:rsid w:val="009200DD"/>
    <w:rsid w:val="00920460"/>
    <w:rsid w:val="00922A7F"/>
    <w:rsid w:val="00925F37"/>
    <w:rsid w:val="00926A9D"/>
    <w:rsid w:val="00931913"/>
    <w:rsid w:val="009370BE"/>
    <w:rsid w:val="0094009F"/>
    <w:rsid w:val="009414E1"/>
    <w:rsid w:val="00944FBE"/>
    <w:rsid w:val="0095241C"/>
    <w:rsid w:val="00954E09"/>
    <w:rsid w:val="00955076"/>
    <w:rsid w:val="0095597A"/>
    <w:rsid w:val="00955F4F"/>
    <w:rsid w:val="00956B5F"/>
    <w:rsid w:val="00957824"/>
    <w:rsid w:val="00960DEA"/>
    <w:rsid w:val="00960EC3"/>
    <w:rsid w:val="00963671"/>
    <w:rsid w:val="009644DD"/>
    <w:rsid w:val="009718E1"/>
    <w:rsid w:val="00972D9E"/>
    <w:rsid w:val="00991455"/>
    <w:rsid w:val="00991E50"/>
    <w:rsid w:val="00991EA0"/>
    <w:rsid w:val="00993A29"/>
    <w:rsid w:val="00996088"/>
    <w:rsid w:val="009A072C"/>
    <w:rsid w:val="009A1256"/>
    <w:rsid w:val="009A1AE0"/>
    <w:rsid w:val="009A75D7"/>
    <w:rsid w:val="009B1E14"/>
    <w:rsid w:val="009B57E5"/>
    <w:rsid w:val="009B660B"/>
    <w:rsid w:val="009B688F"/>
    <w:rsid w:val="009C1DC5"/>
    <w:rsid w:val="009C24B4"/>
    <w:rsid w:val="009C3999"/>
    <w:rsid w:val="009C7C02"/>
    <w:rsid w:val="009D4BB0"/>
    <w:rsid w:val="009D706B"/>
    <w:rsid w:val="009D7497"/>
    <w:rsid w:val="009E57EF"/>
    <w:rsid w:val="009F0478"/>
    <w:rsid w:val="009F3599"/>
    <w:rsid w:val="009F3764"/>
    <w:rsid w:val="009F5875"/>
    <w:rsid w:val="009F7003"/>
    <w:rsid w:val="009F75F8"/>
    <w:rsid w:val="00A0040C"/>
    <w:rsid w:val="00A009FA"/>
    <w:rsid w:val="00A103C5"/>
    <w:rsid w:val="00A11851"/>
    <w:rsid w:val="00A133AB"/>
    <w:rsid w:val="00A17BF9"/>
    <w:rsid w:val="00A21150"/>
    <w:rsid w:val="00A212F2"/>
    <w:rsid w:val="00A2209A"/>
    <w:rsid w:val="00A25DBD"/>
    <w:rsid w:val="00A26555"/>
    <w:rsid w:val="00A2730E"/>
    <w:rsid w:val="00A33A56"/>
    <w:rsid w:val="00A33BEE"/>
    <w:rsid w:val="00A35597"/>
    <w:rsid w:val="00A405B1"/>
    <w:rsid w:val="00A41C86"/>
    <w:rsid w:val="00A4330C"/>
    <w:rsid w:val="00A43447"/>
    <w:rsid w:val="00A43A70"/>
    <w:rsid w:val="00A46769"/>
    <w:rsid w:val="00A50A41"/>
    <w:rsid w:val="00A50FF4"/>
    <w:rsid w:val="00A558FC"/>
    <w:rsid w:val="00A57BA4"/>
    <w:rsid w:val="00A60B9E"/>
    <w:rsid w:val="00A616B8"/>
    <w:rsid w:val="00A619B0"/>
    <w:rsid w:val="00A653C8"/>
    <w:rsid w:val="00A65659"/>
    <w:rsid w:val="00A71C20"/>
    <w:rsid w:val="00A7250A"/>
    <w:rsid w:val="00A72953"/>
    <w:rsid w:val="00A81548"/>
    <w:rsid w:val="00A8190C"/>
    <w:rsid w:val="00A83C81"/>
    <w:rsid w:val="00A83C8A"/>
    <w:rsid w:val="00A86B74"/>
    <w:rsid w:val="00A877B5"/>
    <w:rsid w:val="00A94F1B"/>
    <w:rsid w:val="00A96834"/>
    <w:rsid w:val="00A970A6"/>
    <w:rsid w:val="00AA0198"/>
    <w:rsid w:val="00AA0296"/>
    <w:rsid w:val="00AA4089"/>
    <w:rsid w:val="00AA63C9"/>
    <w:rsid w:val="00AA7264"/>
    <w:rsid w:val="00AB02BF"/>
    <w:rsid w:val="00AB6BC1"/>
    <w:rsid w:val="00AB7D8A"/>
    <w:rsid w:val="00AC1EA6"/>
    <w:rsid w:val="00AC7914"/>
    <w:rsid w:val="00AC7A98"/>
    <w:rsid w:val="00AD0752"/>
    <w:rsid w:val="00AD53A7"/>
    <w:rsid w:val="00AD5A0F"/>
    <w:rsid w:val="00AE0928"/>
    <w:rsid w:val="00AE177B"/>
    <w:rsid w:val="00AE74EA"/>
    <w:rsid w:val="00AF2FCB"/>
    <w:rsid w:val="00AF6149"/>
    <w:rsid w:val="00B00021"/>
    <w:rsid w:val="00B00985"/>
    <w:rsid w:val="00B0683A"/>
    <w:rsid w:val="00B10C7F"/>
    <w:rsid w:val="00B13DF3"/>
    <w:rsid w:val="00B15322"/>
    <w:rsid w:val="00B175B9"/>
    <w:rsid w:val="00B2433E"/>
    <w:rsid w:val="00B253F8"/>
    <w:rsid w:val="00B3016F"/>
    <w:rsid w:val="00B31AB8"/>
    <w:rsid w:val="00B32710"/>
    <w:rsid w:val="00B327E7"/>
    <w:rsid w:val="00B335BD"/>
    <w:rsid w:val="00B33D44"/>
    <w:rsid w:val="00B343CB"/>
    <w:rsid w:val="00B35B0A"/>
    <w:rsid w:val="00B3604F"/>
    <w:rsid w:val="00B3705C"/>
    <w:rsid w:val="00B4530D"/>
    <w:rsid w:val="00B511B8"/>
    <w:rsid w:val="00B53B30"/>
    <w:rsid w:val="00B53E0A"/>
    <w:rsid w:val="00B6090D"/>
    <w:rsid w:val="00B617DE"/>
    <w:rsid w:val="00B61E9C"/>
    <w:rsid w:val="00B6594E"/>
    <w:rsid w:val="00B67513"/>
    <w:rsid w:val="00B67E25"/>
    <w:rsid w:val="00B92142"/>
    <w:rsid w:val="00B94CCE"/>
    <w:rsid w:val="00B96BB6"/>
    <w:rsid w:val="00BA0B53"/>
    <w:rsid w:val="00BA1FC3"/>
    <w:rsid w:val="00BA2854"/>
    <w:rsid w:val="00BA3657"/>
    <w:rsid w:val="00BB1610"/>
    <w:rsid w:val="00BB2E33"/>
    <w:rsid w:val="00BB76EA"/>
    <w:rsid w:val="00BC45DA"/>
    <w:rsid w:val="00BC5830"/>
    <w:rsid w:val="00BC79CC"/>
    <w:rsid w:val="00BC7F0C"/>
    <w:rsid w:val="00BD01CC"/>
    <w:rsid w:val="00BD5FEA"/>
    <w:rsid w:val="00BD622D"/>
    <w:rsid w:val="00BD7CFE"/>
    <w:rsid w:val="00BE3023"/>
    <w:rsid w:val="00BE3FD4"/>
    <w:rsid w:val="00BE4B9C"/>
    <w:rsid w:val="00BE70C8"/>
    <w:rsid w:val="00BE7AC3"/>
    <w:rsid w:val="00BF02A8"/>
    <w:rsid w:val="00BF1F16"/>
    <w:rsid w:val="00BF361E"/>
    <w:rsid w:val="00BF5027"/>
    <w:rsid w:val="00C0140F"/>
    <w:rsid w:val="00C018EC"/>
    <w:rsid w:val="00C0486A"/>
    <w:rsid w:val="00C05165"/>
    <w:rsid w:val="00C0584E"/>
    <w:rsid w:val="00C06832"/>
    <w:rsid w:val="00C06A4D"/>
    <w:rsid w:val="00C1097E"/>
    <w:rsid w:val="00C143CC"/>
    <w:rsid w:val="00C1649C"/>
    <w:rsid w:val="00C20887"/>
    <w:rsid w:val="00C219D4"/>
    <w:rsid w:val="00C24A78"/>
    <w:rsid w:val="00C27DE7"/>
    <w:rsid w:val="00C3336B"/>
    <w:rsid w:val="00C35FCF"/>
    <w:rsid w:val="00C40299"/>
    <w:rsid w:val="00C41137"/>
    <w:rsid w:val="00C427BB"/>
    <w:rsid w:val="00C47CDB"/>
    <w:rsid w:val="00C501A4"/>
    <w:rsid w:val="00C510E9"/>
    <w:rsid w:val="00C618D1"/>
    <w:rsid w:val="00C64421"/>
    <w:rsid w:val="00C72142"/>
    <w:rsid w:val="00C7550C"/>
    <w:rsid w:val="00C76230"/>
    <w:rsid w:val="00C852CB"/>
    <w:rsid w:val="00C87D7D"/>
    <w:rsid w:val="00C95BCB"/>
    <w:rsid w:val="00C95D16"/>
    <w:rsid w:val="00C96FBE"/>
    <w:rsid w:val="00C97199"/>
    <w:rsid w:val="00C97660"/>
    <w:rsid w:val="00CA57BD"/>
    <w:rsid w:val="00CB1281"/>
    <w:rsid w:val="00CB19B0"/>
    <w:rsid w:val="00CB3DCB"/>
    <w:rsid w:val="00CC002C"/>
    <w:rsid w:val="00CC2A89"/>
    <w:rsid w:val="00CC6760"/>
    <w:rsid w:val="00CD45A4"/>
    <w:rsid w:val="00CE548F"/>
    <w:rsid w:val="00CF24A1"/>
    <w:rsid w:val="00CF24CB"/>
    <w:rsid w:val="00CF6BC1"/>
    <w:rsid w:val="00CF7F6E"/>
    <w:rsid w:val="00D039DB"/>
    <w:rsid w:val="00D03EC0"/>
    <w:rsid w:val="00D05848"/>
    <w:rsid w:val="00D06733"/>
    <w:rsid w:val="00D10A0B"/>
    <w:rsid w:val="00D10C1D"/>
    <w:rsid w:val="00D1188F"/>
    <w:rsid w:val="00D13046"/>
    <w:rsid w:val="00D134FA"/>
    <w:rsid w:val="00D17D9A"/>
    <w:rsid w:val="00D17DB7"/>
    <w:rsid w:val="00D20A54"/>
    <w:rsid w:val="00D212F3"/>
    <w:rsid w:val="00D238C4"/>
    <w:rsid w:val="00D24E49"/>
    <w:rsid w:val="00D27A8F"/>
    <w:rsid w:val="00D303C2"/>
    <w:rsid w:val="00D35DB2"/>
    <w:rsid w:val="00D37780"/>
    <w:rsid w:val="00D40D91"/>
    <w:rsid w:val="00D41F7E"/>
    <w:rsid w:val="00D41FDF"/>
    <w:rsid w:val="00D46694"/>
    <w:rsid w:val="00D46741"/>
    <w:rsid w:val="00D46D41"/>
    <w:rsid w:val="00D52D08"/>
    <w:rsid w:val="00D54094"/>
    <w:rsid w:val="00D5779A"/>
    <w:rsid w:val="00D626C2"/>
    <w:rsid w:val="00D63DA4"/>
    <w:rsid w:val="00D64982"/>
    <w:rsid w:val="00D652F9"/>
    <w:rsid w:val="00D65937"/>
    <w:rsid w:val="00D72F57"/>
    <w:rsid w:val="00D76235"/>
    <w:rsid w:val="00D802C4"/>
    <w:rsid w:val="00D8062D"/>
    <w:rsid w:val="00D81F02"/>
    <w:rsid w:val="00D82A32"/>
    <w:rsid w:val="00D86C8A"/>
    <w:rsid w:val="00D91CE8"/>
    <w:rsid w:val="00D94659"/>
    <w:rsid w:val="00D97692"/>
    <w:rsid w:val="00DA2657"/>
    <w:rsid w:val="00DB2DB7"/>
    <w:rsid w:val="00DC03DD"/>
    <w:rsid w:val="00DD05B7"/>
    <w:rsid w:val="00DD4557"/>
    <w:rsid w:val="00DD4A3B"/>
    <w:rsid w:val="00DD4E16"/>
    <w:rsid w:val="00DD59C7"/>
    <w:rsid w:val="00DD78CE"/>
    <w:rsid w:val="00DE2645"/>
    <w:rsid w:val="00DF0317"/>
    <w:rsid w:val="00DF25C3"/>
    <w:rsid w:val="00DF4124"/>
    <w:rsid w:val="00DF6955"/>
    <w:rsid w:val="00E0005C"/>
    <w:rsid w:val="00E0486E"/>
    <w:rsid w:val="00E052AF"/>
    <w:rsid w:val="00E07DCC"/>
    <w:rsid w:val="00E15305"/>
    <w:rsid w:val="00E203C2"/>
    <w:rsid w:val="00E20823"/>
    <w:rsid w:val="00E2523D"/>
    <w:rsid w:val="00E316D9"/>
    <w:rsid w:val="00E348DD"/>
    <w:rsid w:val="00E36758"/>
    <w:rsid w:val="00E45E79"/>
    <w:rsid w:val="00E47244"/>
    <w:rsid w:val="00E47752"/>
    <w:rsid w:val="00E52DF6"/>
    <w:rsid w:val="00E541CB"/>
    <w:rsid w:val="00E54DBD"/>
    <w:rsid w:val="00E56AF1"/>
    <w:rsid w:val="00E57C7F"/>
    <w:rsid w:val="00E61B68"/>
    <w:rsid w:val="00E66FC5"/>
    <w:rsid w:val="00E67EC9"/>
    <w:rsid w:val="00E70FE0"/>
    <w:rsid w:val="00E7205A"/>
    <w:rsid w:val="00E741E6"/>
    <w:rsid w:val="00E75958"/>
    <w:rsid w:val="00E770F8"/>
    <w:rsid w:val="00E80AEF"/>
    <w:rsid w:val="00E823A8"/>
    <w:rsid w:val="00E917AF"/>
    <w:rsid w:val="00E95895"/>
    <w:rsid w:val="00E95ECD"/>
    <w:rsid w:val="00EA5625"/>
    <w:rsid w:val="00EA7956"/>
    <w:rsid w:val="00EB024A"/>
    <w:rsid w:val="00EB2E32"/>
    <w:rsid w:val="00EB37D7"/>
    <w:rsid w:val="00EC18C4"/>
    <w:rsid w:val="00EC5A6D"/>
    <w:rsid w:val="00EC7B7F"/>
    <w:rsid w:val="00ED0340"/>
    <w:rsid w:val="00ED1983"/>
    <w:rsid w:val="00ED352A"/>
    <w:rsid w:val="00EF551D"/>
    <w:rsid w:val="00EF601A"/>
    <w:rsid w:val="00EF7B4E"/>
    <w:rsid w:val="00F02969"/>
    <w:rsid w:val="00F02B14"/>
    <w:rsid w:val="00F0405B"/>
    <w:rsid w:val="00F1014E"/>
    <w:rsid w:val="00F12D35"/>
    <w:rsid w:val="00F148E6"/>
    <w:rsid w:val="00F16EA3"/>
    <w:rsid w:val="00F2167E"/>
    <w:rsid w:val="00F22871"/>
    <w:rsid w:val="00F23AA1"/>
    <w:rsid w:val="00F30645"/>
    <w:rsid w:val="00F321B4"/>
    <w:rsid w:val="00F36D83"/>
    <w:rsid w:val="00F45C58"/>
    <w:rsid w:val="00F46954"/>
    <w:rsid w:val="00F47655"/>
    <w:rsid w:val="00F5083A"/>
    <w:rsid w:val="00F511E5"/>
    <w:rsid w:val="00F53912"/>
    <w:rsid w:val="00F54CEA"/>
    <w:rsid w:val="00F57564"/>
    <w:rsid w:val="00F60499"/>
    <w:rsid w:val="00F621F8"/>
    <w:rsid w:val="00F675DE"/>
    <w:rsid w:val="00F70110"/>
    <w:rsid w:val="00F739E0"/>
    <w:rsid w:val="00F74ED8"/>
    <w:rsid w:val="00F864C4"/>
    <w:rsid w:val="00F93B6A"/>
    <w:rsid w:val="00F93EBE"/>
    <w:rsid w:val="00F971ED"/>
    <w:rsid w:val="00FA0F4A"/>
    <w:rsid w:val="00FA1535"/>
    <w:rsid w:val="00FA1FFF"/>
    <w:rsid w:val="00FA6FA2"/>
    <w:rsid w:val="00FB0DB0"/>
    <w:rsid w:val="00FB7417"/>
    <w:rsid w:val="00FB74DE"/>
    <w:rsid w:val="00FC1E10"/>
    <w:rsid w:val="00FC7DE1"/>
    <w:rsid w:val="00FD1176"/>
    <w:rsid w:val="00FD3E10"/>
    <w:rsid w:val="00FD7C7E"/>
    <w:rsid w:val="00FE09F7"/>
    <w:rsid w:val="00FE34E9"/>
    <w:rsid w:val="00FE405C"/>
    <w:rsid w:val="00FE5667"/>
    <w:rsid w:val="00FE6BAF"/>
    <w:rsid w:val="00FF01EB"/>
    <w:rsid w:val="00FF0610"/>
    <w:rsid w:val="00FF06D9"/>
    <w:rsid w:val="00FF1211"/>
    <w:rsid w:val="00FF301A"/>
    <w:rsid w:val="00FF3242"/>
    <w:rsid w:val="00FF6DD5"/>
    <w:rsid w:val="00FF79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6248C639-8DAC-447F-96AE-6A6FAF97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29" w:defSemiHidden="0" w:defUnhideWhenUsed="0" w:defQFormat="0" w:count="371">
    <w:lsdException w:name="Normal" w:uiPriority="0"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3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semiHidden="1" w:uiPriority="99" w:qFormat="1"/>
    <w:lsdException w:name="Closing" w:semiHidden="1" w:unhideWhenUsed="1"/>
    <w:lsdException w:name="Signature" w:semiHidden="1" w:unhideWhenUsed="1"/>
    <w:lsdException w:name="Default Paragraph Font" w:semiHidden="1" w:uiPriority="0"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99"/>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semiHidden="1" w:uiPriority="34"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99"/>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h"/>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uiPriority w:val="9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99"/>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9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99"/>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99"/>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99"/>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99"/>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8558C6"/>
    <w:pPr>
      <w:tabs>
        <w:tab w:val="left" w:pos="720"/>
        <w:tab w:val="right" w:leader="dot" w:pos="9072"/>
      </w:tabs>
      <w:spacing w:after="0"/>
      <w:ind w:left="720" w:right="284" w:hanging="720"/>
    </w:pPr>
    <w:rPr>
      <w:rFonts w:ascii="Calibri" w:hAnsi="Calibri"/>
      <w:b/>
      <w:color w:val="0067AC"/>
      <w:sz w:val="24"/>
    </w:rPr>
  </w:style>
  <w:style w:type="paragraph" w:styleId="TOC3">
    <w:name w:val="toc 3"/>
    <w:basedOn w:val="NormalLeftAligned"/>
    <w:next w:val="Normal"/>
    <w:autoRedefine/>
    <w:uiPriority w:val="39"/>
    <w:rsid w:val="008558C6"/>
    <w:pPr>
      <w:tabs>
        <w:tab w:val="left" w:pos="720"/>
        <w:tab w:val="left" w:pos="1100"/>
        <w:tab w:val="right" w:leader="dot" w:pos="9061"/>
      </w:tabs>
      <w:spacing w:before="0" w:after="0"/>
      <w:ind w:left="720" w:right="284" w:hanging="720"/>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8558C6"/>
    <w:pPr>
      <w:tabs>
        <w:tab w:val="left" w:pos="720"/>
        <w:tab w:val="right" w:leader="dot" w:pos="9061"/>
      </w:tabs>
      <w:spacing w:before="0" w:after="0"/>
      <w:ind w:left="720" w:hanging="720"/>
    </w:pPr>
  </w:style>
  <w:style w:type="paragraph" w:customStyle="1" w:styleId="DocTitle">
    <w:name w:val="DocTitle"/>
    <w:basedOn w:val="NormalLeftAligned"/>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9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9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99"/>
    <w:rsid w:val="00F148E6"/>
    <w:pPr>
      <w:spacing w:before="60" w:after="60"/>
      <w:ind w:left="1134" w:hanging="1134"/>
    </w:pPr>
    <w:rPr>
      <w:rFonts w:ascii="Georgia" w:hAnsi="Georgia"/>
    </w:rPr>
  </w:style>
  <w:style w:type="paragraph" w:styleId="TOC9">
    <w:name w:val="toc 9"/>
    <w:basedOn w:val="NormalLeftAligned"/>
    <w:next w:val="Normal"/>
    <w:autoRedefine/>
    <w:uiPriority w:val="9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99"/>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semiHidden/>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uiPriority w:val="99"/>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uiPriority w:val="99"/>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rsid w:val="00AC7914"/>
    <w:rPr>
      <w:rFonts w:ascii="Arial" w:eastAsia="Calibri" w:hAnsi="Arial" w:cs="Arial"/>
    </w:rPr>
  </w:style>
  <w:style w:type="paragraph" w:customStyle="1" w:styleId="MediumGrid2-Accent21">
    <w:name w:val="Medium Grid 2 - Accent 21"/>
    <w:basedOn w:val="Normal"/>
    <w:next w:val="Normal"/>
    <w:link w:val="MediumGrid2-Accent2Char"/>
    <w:uiPriority w:val="99"/>
    <w:qFormat/>
    <w:rsid w:val="0095241C"/>
    <w:pPr>
      <w:ind w:left="851"/>
    </w:pPr>
    <w:rPr>
      <w:rFonts w:eastAsia="Calibri"/>
      <w:i/>
      <w:iCs/>
      <w:color w:val="000000"/>
      <w:sz w:val="24"/>
      <w:lang w:val="x-none" w:eastAsia="x-none"/>
    </w:rPr>
  </w:style>
  <w:style w:type="character" w:customStyle="1" w:styleId="MediumGrid2-Accent2Char">
    <w:name w:val="Medium Grid 2 - Accent 2 Char"/>
    <w:link w:val="MediumGrid2-Accent21"/>
    <w:uiPriority w:val="99"/>
    <w:locked/>
    <w:rsid w:val="0095241C"/>
    <w:rPr>
      <w:rFonts w:ascii="Arial" w:eastAsia="Calibri" w:hAnsi="Arial"/>
      <w:i/>
      <w:iCs/>
      <w:color w:val="000000"/>
      <w:sz w:val="24"/>
      <w:szCs w:val="24"/>
      <w:lang w:val="x-none" w:eastAsia="x-none"/>
    </w:rPr>
  </w:style>
  <w:style w:type="character" w:customStyle="1" w:styleId="LightGrid-Accent11">
    <w:name w:val="Light Grid - Accent 11"/>
    <w:uiPriority w:val="99"/>
    <w:semiHidden/>
    <w:rsid w:val="0095241C"/>
    <w:rPr>
      <w:rFonts w:cs="Times New Roman"/>
      <w:color w:val="808080"/>
    </w:rPr>
  </w:style>
  <w:style w:type="paragraph" w:customStyle="1" w:styleId="MediumGrid1-Accent21">
    <w:name w:val="Medium Grid 1 - Accent 21"/>
    <w:basedOn w:val="Normal"/>
    <w:uiPriority w:val="99"/>
    <w:qFormat/>
    <w:rsid w:val="0095241C"/>
    <w:pPr>
      <w:spacing w:before="0" w:line="240" w:lineRule="auto"/>
      <w:ind w:left="720"/>
    </w:pPr>
    <w:rPr>
      <w:rFonts w:ascii="Calibri" w:eastAsia="Times New Roman" w:hAnsi="Calibri" w:cs="Calibri"/>
      <w:sz w:val="22"/>
      <w:szCs w:val="22"/>
      <w:lang w:val="en-US"/>
    </w:rPr>
  </w:style>
  <w:style w:type="table" w:customStyle="1" w:styleId="TOCHeading1">
    <w:name w:val="TOC Heading1"/>
    <w:basedOn w:val="TableNormal"/>
    <w:uiPriority w:val="99"/>
    <w:qFormat/>
    <w:rsid w:val="0095241C"/>
    <w:rPr>
      <w:rFonts w:ascii="Calibri" w:eastAsia="Calibri" w:hAnsi="Calibri" w:cs="Calibri"/>
      <w:color w:val="000000"/>
      <w:lang w:val="en-US" w:eastAsia="en-GB"/>
    </w:rPr>
    <w:tblPr>
      <w:tblStyleRowBandSize w:val="1"/>
      <w:tblStyleColBandSize w:val="1"/>
    </w:tblPr>
    <w:tcPr>
      <w:shd w:val="clear" w:color="auto" w:fill="F2EFF6"/>
    </w:tcPr>
    <w:tblStylePr w:type="firstRow">
      <w:rPr>
        <w:rFonts w:cs="MS Mincho"/>
        <w:b/>
        <w:bCs/>
        <w:color w:val="FFFFFF"/>
      </w:rPr>
      <w:tblPr/>
      <w:tcPr>
        <w:tcBorders>
          <w:bottom w:val="single" w:sz="12" w:space="0" w:color="FFFFFF"/>
        </w:tcBorders>
        <w:shd w:val="clear" w:color="auto" w:fill="7E9C40"/>
      </w:tcPr>
    </w:tblStylePr>
    <w:tblStylePr w:type="lastRow">
      <w:rPr>
        <w:rFonts w:cs="MS Mincho"/>
        <w:b/>
        <w:bCs/>
        <w:color w:val="7E9C40"/>
      </w:rPr>
      <w:tblPr/>
      <w:tcPr>
        <w:tcBorders>
          <w:top w:val="single" w:sz="12" w:space="0" w:color="000000"/>
        </w:tcBorders>
        <w:shd w:val="clear" w:color="auto" w:fill="FFFFFF"/>
      </w:tcPr>
    </w:tblStylePr>
    <w:tblStylePr w:type="firstCol">
      <w:rPr>
        <w:rFonts w:cs="MS Mincho"/>
        <w:b/>
        <w:bCs/>
      </w:rPr>
    </w:tblStylePr>
    <w:tblStylePr w:type="lastCol">
      <w:rPr>
        <w:rFonts w:cs="MS Mincho"/>
        <w:b/>
        <w:bCs/>
      </w:rPr>
    </w:tblStylePr>
    <w:tblStylePr w:type="band1Vert">
      <w:rPr>
        <w:rFonts w:cs="MS Mincho"/>
      </w:rPr>
      <w:tblPr/>
      <w:tcPr>
        <w:tcBorders>
          <w:top w:val="nil"/>
          <w:left w:val="nil"/>
          <w:bottom w:val="nil"/>
          <w:right w:val="nil"/>
          <w:insideH w:val="nil"/>
          <w:insideV w:val="nil"/>
        </w:tcBorders>
        <w:shd w:val="clear" w:color="auto" w:fill="DFD8E8"/>
      </w:tcPr>
    </w:tblStylePr>
    <w:tblStylePr w:type="band1Horz">
      <w:rPr>
        <w:rFonts w:cs="MS Mincho"/>
      </w:rPr>
      <w:tblPr/>
      <w:tcPr>
        <w:shd w:val="clear" w:color="auto" w:fill="E5DFEC"/>
      </w:tcPr>
    </w:tblStylePr>
  </w:style>
  <w:style w:type="paragraph" w:customStyle="1" w:styleId="MediumList2-Accent21">
    <w:name w:val="Medium List 2 - Accent 21"/>
    <w:hidden/>
    <w:uiPriority w:val="99"/>
    <w:semiHidden/>
    <w:rsid w:val="0095241C"/>
    <w:rPr>
      <w:rFonts w:ascii="Arial" w:eastAsia="Calibri" w:hAnsi="Arial" w:cs="Arial"/>
    </w:rPr>
  </w:style>
  <w:style w:type="character" w:customStyle="1" w:styleId="WW8Num31z0">
    <w:name w:val="WW8Num31z0"/>
    <w:rsid w:val="0095241C"/>
    <w:rPr>
      <w:rFonts w:ascii="Arial" w:hAnsi="Arial" w:cs="Symbol"/>
      <w:b w:val="0"/>
      <w:bCs w:val="0"/>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coe.int/t/dghl/standardsetting/childjustice/publicationsavailable_en.asp" TargetMode="External"/><Relationship Id="rId26" Type="http://schemas.openxmlformats.org/officeDocument/2006/relationships/hyperlink" Target="http://www.justiceservices.gov.mt/DownloadDocument.aspx?app=lom&amp;itemid=8603&amp;l=1" TargetMode="External"/><Relationship Id="rId39" Type="http://schemas.openxmlformats.org/officeDocument/2006/relationships/hyperlink" Target="https://secure3.gov.mt/socialpolicy/family/fsws/appogg/appogg_socio_legal/intake_spl" TargetMode="External"/><Relationship Id="rId21" Type="http://schemas.openxmlformats.org/officeDocument/2006/relationships/footer" Target="footer4.xml"/><Relationship Id="rId34" Type="http://schemas.openxmlformats.org/officeDocument/2006/relationships/hyperlink" Target="http://www.justiceservices.gov.mt/DownloadDocument.aspx?app=lom&amp;itemid=11226&amp;l=1" TargetMode="External"/><Relationship Id="rId42" Type="http://schemas.openxmlformats.org/officeDocument/2006/relationships/hyperlink" Target="http://www.justiceservices.gov.mt/DownloadDocument.aspx?app=lom&amp;itemid=8906&amp;l=1" TargetMode="External"/><Relationship Id="rId47" Type="http://schemas.openxmlformats.org/officeDocument/2006/relationships/hyperlink" Target="http://www.justiceservices.gov.mt/DownloadDocument.aspx?app=lom&amp;itemid=8854&amp;l=1" TargetMode="External"/><Relationship Id="rId50" Type="http://schemas.openxmlformats.org/officeDocument/2006/relationships/hyperlink" Target="http://www.justiceservices.gov.mt/DownloadDocument.aspx?app=lom&amp;itemid=8566&amp;l=1" TargetMode="External"/><Relationship Id="rId55"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ec.europa.eu/justice/fundamental-rights/rights-child/eu-agenda/index_en.htm" TargetMode="External"/><Relationship Id="rId25" Type="http://schemas.openxmlformats.org/officeDocument/2006/relationships/hyperlink" Target="http://www.justiceservices.gov.mt/DownloadDocument.aspx?app=lom&amp;itemid=8577&amp;l=1" TargetMode="External"/><Relationship Id="rId33" Type="http://schemas.openxmlformats.org/officeDocument/2006/relationships/hyperlink" Target="http://www.justiceservices.gov.mt/DownloadDocument.aspx?app=lom&amp;itemid=8578&amp;l=1" TargetMode="External"/><Relationship Id="rId38" Type="http://schemas.openxmlformats.org/officeDocument/2006/relationships/hyperlink" Target="https://secure3.gov.mt/socialpolicy/socprot/family/fsws/appogg/appogg_socio_legal/intake_spl.aspx" TargetMode="External"/><Relationship Id="rId46" Type="http://schemas.openxmlformats.org/officeDocument/2006/relationships/hyperlink" Target="http://www.justiceservices.gov.mt/DownloadDocument.aspx?app=lom&amp;itemid=8940&amp;l=1"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yperlink" Target="http://www.justiceservices.gov.mt/DownloadDocument.aspx?app=lom&amp;itemid=8876&amp;l=1" TargetMode="External"/><Relationship Id="rId41" Type="http://schemas.openxmlformats.org/officeDocument/2006/relationships/hyperlink" Target="http://www.tfal.org.mt/aboutus.aspx?lid=1" TargetMode="External"/><Relationship Id="rId54" Type="http://schemas.openxmlformats.org/officeDocument/2006/relationships/hyperlink" Target="http://ethicnet.uta.fi/malta/code_of_journalistic_eth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justiceservices.gov.mt/DownloadDocument.aspx?app=lom&amp;itemid=8580&amp;l=1" TargetMode="External"/><Relationship Id="rId32" Type="http://schemas.openxmlformats.org/officeDocument/2006/relationships/hyperlink" Target="http://www.justiceservices.gov.mt/DownloadDocument.aspx?app=lom&amp;itemid=8574&amp;l=1" TargetMode="External"/><Relationship Id="rId37" Type="http://schemas.openxmlformats.org/officeDocument/2006/relationships/hyperlink" Target="http://www.justiceservices.gov.mt/DownloadDocument.aspx?app=lom&amp;itemid=8876&amp;l=1" TargetMode="External"/><Relationship Id="rId40" Type="http://schemas.openxmlformats.org/officeDocument/2006/relationships/hyperlink" Target="https://secure3.gov.mt/socialpolicy/socprot/family/fsws/appogg/appogg_socio_legal/kellimni.aspx" TargetMode="External"/><Relationship Id="rId45" Type="http://schemas.openxmlformats.org/officeDocument/2006/relationships/hyperlink" Target="http://www.justiceservices.gov.mt/DownloadDocument.aspx?app=lom&amp;itemid=8580&amp;l=1" TargetMode="External"/><Relationship Id="rId53" Type="http://schemas.openxmlformats.org/officeDocument/2006/relationships/hyperlink" Target="http://www.justiceservices.gov.mt/DownloadDocument.aspx?app=lom&amp;itemid=11055&amp;l=1"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yperlink" Target="http://www.bibliotecanonica.net/docsaa/btcaam.pdf" TargetMode="External"/><Relationship Id="rId36" Type="http://schemas.openxmlformats.org/officeDocument/2006/relationships/hyperlink" Target="http://www.justiceservices.gov.mt/DownloadDocument.aspx?app=lom&amp;itemid=8795&amp;l=1" TargetMode="External"/><Relationship Id="rId49" Type="http://schemas.openxmlformats.org/officeDocument/2006/relationships/hyperlink" Target="http://www.justiceservices.gov.mt/DownloadDocument.aspx?app=lom&amp;itemid=8577&amp;l=1"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bookshop.europa.eu/children-in-administrative-judicial-proceedings" TargetMode="External"/><Relationship Id="rId31" Type="http://schemas.openxmlformats.org/officeDocument/2006/relationships/hyperlink" Target="https://www.education.gov.mt/mediacenter.ashx?file=MediaCenter/Docs/1_child%20policy.pdf" TargetMode="External"/><Relationship Id="rId44" Type="http://schemas.openxmlformats.org/officeDocument/2006/relationships/hyperlink" Target="http://ethicnet.uta.fi/malta/code_of_journalistic_ethics" TargetMode="External"/><Relationship Id="rId52" Type="http://schemas.openxmlformats.org/officeDocument/2006/relationships/hyperlink" Target="http://www.justiceservices.gov.mt/DownloadDocument.aspx?app=lom&amp;itemid=8906&amp;l=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www.justiceservices.gov.mt/DownloadDocument.aspx?app=lom&amp;itemid=8739&amp;l=1" TargetMode="External"/><Relationship Id="rId30" Type="http://schemas.openxmlformats.org/officeDocument/2006/relationships/hyperlink" Target="http://www.justiceservices.gov.mt/DownloadDocument.aspx?app=lom&amp;itemid=8928&amp;l=1" TargetMode="External"/><Relationship Id="rId35" Type="http://schemas.openxmlformats.org/officeDocument/2006/relationships/hyperlink" Target="http://www.justiceservices.gov.mt/DownloadDocument.aspx?app=lom&amp;itemid=8566&amp;l=1" TargetMode="External"/><Relationship Id="rId43" Type="http://schemas.openxmlformats.org/officeDocument/2006/relationships/hyperlink" Target="http://www.justiceservices.gov.mt/DownloadDocument.aspx?app=lom&amp;itemid=11055&amp;l=1" TargetMode="External"/><Relationship Id="rId48" Type="http://schemas.openxmlformats.org/officeDocument/2006/relationships/hyperlink" Target="http://www.justiceservices.gov.mt/DownloadDocument.aspx?app=lom&amp;itemid=8580&amp;l=1"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justiceservices.gov.mt/DownloadDocument.aspx?app=lom&amp;itemid=8795&amp;l=1"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6" Type="http://schemas.openxmlformats.org/officeDocument/2006/relationships/hyperlink" Target="http://www.justiceservices.gov.mt/DownloadDocument.aspx?app=lom&amp;itemid=8577&amp;l=1" TargetMode="External"/><Relationship Id="rId117" Type="http://schemas.openxmlformats.org/officeDocument/2006/relationships/hyperlink" Target="http://www.justiceservices.gov.mt/DownloadDocument.aspx?app=lom&amp;itemid=9036&amp;l=1" TargetMode="External"/><Relationship Id="rId21" Type="http://schemas.openxmlformats.org/officeDocument/2006/relationships/hyperlink" Target="http://www.justiceservices.gov.mt/DownloadDocument.aspx?app=lom&amp;itemid=8577&amp;l=1" TargetMode="External"/><Relationship Id="rId42" Type="http://schemas.openxmlformats.org/officeDocument/2006/relationships/hyperlink" Target="http://www.justiceservices.gov.mt/DownloadDocument.aspx?app=lom&amp;itemid=8574&amp;l=1" TargetMode="External"/><Relationship Id="rId47" Type="http://schemas.openxmlformats.org/officeDocument/2006/relationships/hyperlink" Target="http://www.justiceservices.gov.mt/DownloadDocument.aspx?app=lom&amp;itemid=8580&amp;l=1" TargetMode="External"/><Relationship Id="rId63" Type="http://schemas.openxmlformats.org/officeDocument/2006/relationships/hyperlink" Target="http://www.justiceservices.gov.mt/DownloadDocument.aspx?app=lom&amp;itemid=8580&amp;l=1" TargetMode="External"/><Relationship Id="rId68" Type="http://schemas.openxmlformats.org/officeDocument/2006/relationships/hyperlink" Target="http://www.justiceservices.gov.mt/DownloadDocument.aspx?app=lom&amp;itemid=8795&amp;l=1" TargetMode="External"/><Relationship Id="rId84" Type="http://schemas.openxmlformats.org/officeDocument/2006/relationships/hyperlink" Target="http://www.justiceservices.gov.mt/DownloadDocument.aspx?app=lom&amp;itemid=8580&amp;l=1" TargetMode="External"/><Relationship Id="rId89" Type="http://schemas.openxmlformats.org/officeDocument/2006/relationships/hyperlink" Target="http://www.justiceservices.gov.mt/DownloadDocument.aspx?app=lom&amp;itemid=8580&amp;l=1" TargetMode="External"/><Relationship Id="rId112" Type="http://schemas.openxmlformats.org/officeDocument/2006/relationships/hyperlink" Target="http://ethicnet.uta.fi/malta/code_of_journalistic_ethics" TargetMode="External"/><Relationship Id="rId133" Type="http://schemas.openxmlformats.org/officeDocument/2006/relationships/hyperlink" Target="http://www.justiceservices.gov.mt/DownloadDocument.aspx?app=lom&amp;itemid=8580&amp;l=1" TargetMode="External"/><Relationship Id="rId138" Type="http://schemas.openxmlformats.org/officeDocument/2006/relationships/hyperlink" Target="https://www.education.gov.mt/mediacenter.ashx?file=MediaCenter/Docs/1_child%20policy.pdf" TargetMode="External"/><Relationship Id="rId154" Type="http://schemas.openxmlformats.org/officeDocument/2006/relationships/hyperlink" Target="http://www.justiceservices.gov.mt/DownloadDocument.aspx?app=lom&amp;itemid=8577&amp;l=1" TargetMode="External"/><Relationship Id="rId159" Type="http://schemas.openxmlformats.org/officeDocument/2006/relationships/hyperlink" Target="http://www.justiceservices.gov.mt/DownloadDocument.aspx?app=lom&amp;itemid=8940&amp;l=1" TargetMode="External"/><Relationship Id="rId175" Type="http://schemas.openxmlformats.org/officeDocument/2006/relationships/hyperlink" Target="http://www.justiceservices.gov.mt/DownloadDocument.aspx?app=lom&amp;itemid=8577&amp;l=1" TargetMode="External"/><Relationship Id="rId170" Type="http://schemas.openxmlformats.org/officeDocument/2006/relationships/hyperlink" Target="http://www.justiceservices.gov.mt/DownloadDocument.aspx?app=lom&amp;itemid=8577&amp;l=1" TargetMode="External"/><Relationship Id="rId16" Type="http://schemas.openxmlformats.org/officeDocument/2006/relationships/hyperlink" Target="http://www.justiceservices.gov.mt/DownloadDocument.aspx?app=lom&amp;itemid=9036&amp;l=1" TargetMode="External"/><Relationship Id="rId107" Type="http://schemas.openxmlformats.org/officeDocument/2006/relationships/hyperlink" Target="http://www.justiceservices.gov.mt/DownloadDocument.aspx?app=lom&amp;itemid=8906&amp;l=1" TargetMode="External"/><Relationship Id="rId11" Type="http://schemas.openxmlformats.org/officeDocument/2006/relationships/hyperlink" Target="http://www.justiceservices.gov.mt/DownloadDocument.aspx?app=lom&amp;itemid=8603&amp;l=1" TargetMode="External"/><Relationship Id="rId32" Type="http://schemas.openxmlformats.org/officeDocument/2006/relationships/hyperlink" Target="https://www.education.gov.mt/mediacenter.ashx?file=MediaCenter/Docs/1_child%20policy.pdf%20" TargetMode="External"/><Relationship Id="rId37" Type="http://schemas.openxmlformats.org/officeDocument/2006/relationships/hyperlink" Target="https://www.education.gov.mt/mediacenter.ashx?file=MediaCenter/Docs/1_child%20policy.pdf" TargetMode="External"/><Relationship Id="rId53" Type="http://schemas.openxmlformats.org/officeDocument/2006/relationships/hyperlink" Target="http://www.justiceservices.gov.mt/DownloadDocument.aspx?app=lom&amp;itemid=8928&amp;l=1" TargetMode="External"/><Relationship Id="rId58" Type="http://schemas.openxmlformats.org/officeDocument/2006/relationships/hyperlink" Target="http://www.justiceservices.gov.mt/DownloadDocument.aspx?app=lom&amp;itemid=8574&amp;l=1" TargetMode="External"/><Relationship Id="rId74" Type="http://schemas.openxmlformats.org/officeDocument/2006/relationships/hyperlink" Target="http://www.justiceservices.gov.mt/DownloadDocument.aspx?app=lom&amp;itemid=8577&amp;l=1" TargetMode="External"/><Relationship Id="rId79" Type="http://schemas.openxmlformats.org/officeDocument/2006/relationships/hyperlink" Target="http://ec.europa.eu/civiljustice/publications/docs/family_rights/malta_en.pdf" TargetMode="External"/><Relationship Id="rId102" Type="http://schemas.openxmlformats.org/officeDocument/2006/relationships/hyperlink" Target="http://www.justiceservices.gov.mt/DownloadDocument.aspx?app=lom&amp;itemid=8577&amp;l=1" TargetMode="External"/><Relationship Id="rId123" Type="http://schemas.openxmlformats.org/officeDocument/2006/relationships/hyperlink" Target="http://www.justiceservices.gov.mt/DownloadDocument.aspx?app=lom&amp;itemid=8574&amp;l=1" TargetMode="External"/><Relationship Id="rId128" Type="http://schemas.openxmlformats.org/officeDocument/2006/relationships/hyperlink" Target="http://www.justiceservices.gov.mt/DownloadDocument.aspx?app=lom&amp;itemid=8577&amp;l=1" TargetMode="External"/><Relationship Id="rId144" Type="http://schemas.openxmlformats.org/officeDocument/2006/relationships/hyperlink" Target="http://www.justiceservices.gov.mt/DownloadDocument.aspx?app=lom&amp;itemid=9047&amp;l=1" TargetMode="External"/><Relationship Id="rId149" Type="http://schemas.openxmlformats.org/officeDocument/2006/relationships/hyperlink" Target="http://www.justiceservices.gov.mt/DownloadDocument.aspx?app=lom&amp;itemid=8577&amp;l=1" TargetMode="External"/><Relationship Id="rId5" Type="http://schemas.openxmlformats.org/officeDocument/2006/relationships/hyperlink" Target="http://www.justiceservices.gov.mt/DownloadDocument.aspx?app=lom&amp;itemid=9731&amp;l=1" TargetMode="External"/><Relationship Id="rId90" Type="http://schemas.openxmlformats.org/officeDocument/2006/relationships/hyperlink" Target="http://www.justiceservices.gov.mt/DownloadDocument.aspx?app=lom&amp;itemid=8876&amp;l=1" TargetMode="External"/><Relationship Id="rId95" Type="http://schemas.openxmlformats.org/officeDocument/2006/relationships/hyperlink" Target="http://www.justiceservices.gov.mt/DownloadDocument.aspx?app=lom&amp;itemid=8773&amp;l=1" TargetMode="External"/><Relationship Id="rId160" Type="http://schemas.openxmlformats.org/officeDocument/2006/relationships/hyperlink" Target="http://www.justiceservices.gov.mt/DownloadDocument.aspx?app=lom&amp;itemid=8854&amp;l=1" TargetMode="External"/><Relationship Id="rId165" Type="http://schemas.openxmlformats.org/officeDocument/2006/relationships/hyperlink" Target="http://www.justiceservices.gov.mt/DownloadDocument.aspx?app=lom&amp;itemid=9036&amp;l=1" TargetMode="External"/><Relationship Id="rId181" Type="http://schemas.openxmlformats.org/officeDocument/2006/relationships/hyperlink" Target="http://www.justiceservices.gov.mt/DownloadDocument.aspx?app=lom&amp;itemid=8574&amp;l=1" TargetMode="External"/><Relationship Id="rId186" Type="http://schemas.openxmlformats.org/officeDocument/2006/relationships/hyperlink" Target="http://www.justiceservices.gov.mt/DownloadDocument.aspx?app=lom&amp;itemid=8773&amp;l=1" TargetMode="External"/><Relationship Id="rId22" Type="http://schemas.openxmlformats.org/officeDocument/2006/relationships/hyperlink" Target="http://www.justiceservices.gov.mt/DownloadDocument.aspx?app=lom&amp;itemid=9035&amp;l=1" TargetMode="External"/><Relationship Id="rId27" Type="http://schemas.openxmlformats.org/officeDocument/2006/relationships/hyperlink" Target="http://www.justiceservices.gov.mt/DownloadDocument.aspx?app=lom&amp;itemid=8577&amp;l=1" TargetMode="External"/><Relationship Id="rId43" Type="http://schemas.openxmlformats.org/officeDocument/2006/relationships/hyperlink" Target="http://www.justiceservices.gov.mt/DownloadDocument.aspx?app=lom&amp;itemid=8574&amp;l=1" TargetMode="External"/><Relationship Id="rId48" Type="http://schemas.openxmlformats.org/officeDocument/2006/relationships/hyperlink" Target="http://www.justiceservices.gov.mt/DownloadDocument.aspx?app=lom&amp;itemid=11226&amp;l=1" TargetMode="External"/><Relationship Id="rId64" Type="http://schemas.openxmlformats.org/officeDocument/2006/relationships/hyperlink" Target="http://www.justiceservices.gov.mt/DownloadDocument.aspx?app=lom&amp;itemid=8580&amp;l=1" TargetMode="External"/><Relationship Id="rId69" Type="http://schemas.openxmlformats.org/officeDocument/2006/relationships/hyperlink" Target="http://www.justiceservices.gov.mt/DownloadDocument.aspx?app=lom&amp;itemid=8577&amp;l=1" TargetMode="External"/><Relationship Id="rId113" Type="http://schemas.openxmlformats.org/officeDocument/2006/relationships/hyperlink" Target="http://ethicnet.uta.fi/malta/code_of_journalistic_ethics" TargetMode="External"/><Relationship Id="rId118" Type="http://schemas.openxmlformats.org/officeDocument/2006/relationships/hyperlink" Target="http://www.justiceservices.gov.mt/DownloadDocument.aspx?app=lom&amp;itemid=8928&amp;l=1" TargetMode="External"/><Relationship Id="rId134" Type="http://schemas.openxmlformats.org/officeDocument/2006/relationships/hyperlink" Target="http://www.justiceservices.gov.mt/DownloadDocument.aspx?app=lom&amp;itemid=8580&amp;l=1" TargetMode="External"/><Relationship Id="rId139" Type="http://schemas.openxmlformats.org/officeDocument/2006/relationships/hyperlink" Target="http://www.justiceservices.gov.mt/DownloadDocument.aspx?app=lom&amp;itemid=8580&amp;l=1" TargetMode="External"/><Relationship Id="rId80" Type="http://schemas.openxmlformats.org/officeDocument/2006/relationships/hyperlink" Target="http://www.justiceservices.gov.mt/DownloadDocument.aspx?app=lom&amp;itemid=8580&amp;l=1" TargetMode="External"/><Relationship Id="rId85" Type="http://schemas.openxmlformats.org/officeDocument/2006/relationships/hyperlink" Target="http://www.justiceservices.gov.mt/DownloadDocument.aspx?app=lom&amp;itemid=8580&amp;l=1" TargetMode="External"/><Relationship Id="rId150" Type="http://schemas.openxmlformats.org/officeDocument/2006/relationships/hyperlink" Target="http://www.justiceservices.gov.mt/DownloadDocument.aspx?app=lom&amp;itemid=8580&amp;l=1" TargetMode="External"/><Relationship Id="rId155" Type="http://schemas.openxmlformats.org/officeDocument/2006/relationships/hyperlink" Target="http://www.justiceservices.gov.mt/DownloadDocument.aspx?app=lom&amp;itemid=8577&amp;l=1" TargetMode="External"/><Relationship Id="rId171" Type="http://schemas.openxmlformats.org/officeDocument/2006/relationships/hyperlink" Target="http://www.justiceservices.gov.mt/DownloadDocument.aspx?app=lom&amp;itemid=8580&amp;l=1" TargetMode="External"/><Relationship Id="rId176" Type="http://schemas.openxmlformats.org/officeDocument/2006/relationships/hyperlink" Target="http://www.justiceservices.gov.mt/DownloadDocument.aspx?app=lom&amp;itemid=8577&amp;l=1" TargetMode="External"/><Relationship Id="rId12" Type="http://schemas.openxmlformats.org/officeDocument/2006/relationships/hyperlink" Target="http://www.justiceservices.gov.mt/DownloadDocument.aspx?app=lom&amp;itemid=8739&amp;l=1" TargetMode="External"/><Relationship Id="rId17" Type="http://schemas.openxmlformats.org/officeDocument/2006/relationships/hyperlink" Target="http://www.judiciarymalta.gov.mt/family-section" TargetMode="External"/><Relationship Id="rId33" Type="http://schemas.openxmlformats.org/officeDocument/2006/relationships/hyperlink" Target="https://secure3.gov.mt/socialpolicy/family/fsws/appogg/appogg_info" TargetMode="External"/><Relationship Id="rId38" Type="http://schemas.openxmlformats.org/officeDocument/2006/relationships/hyperlink" Target="http://www.justiceservices.gov.mt/DownloadDocument.aspx?app=lom&amp;itemid=9036&amp;l=1" TargetMode="External"/><Relationship Id="rId59" Type="http://schemas.openxmlformats.org/officeDocument/2006/relationships/hyperlink" Target="http://www.justiceservices.gov.mt/DownloadDocument.aspx?app=lom&amp;itemid=8580&amp;l=1" TargetMode="External"/><Relationship Id="rId103" Type="http://schemas.openxmlformats.org/officeDocument/2006/relationships/hyperlink" Target="http://www.justiceservices.gov.mt/DownloadDocument.aspx?app=lom&amp;itemid=8577&amp;l=1" TargetMode="External"/><Relationship Id="rId108" Type="http://schemas.openxmlformats.org/officeDocument/2006/relationships/hyperlink" Target="http://www.justiceservices.gov.mt/DownloadDocument.aspx?app=lom&amp;itemid=8906&amp;l=1" TargetMode="External"/><Relationship Id="rId124" Type="http://schemas.openxmlformats.org/officeDocument/2006/relationships/hyperlink" Target="http://www.justiceservices.gov.mt/DownloadDocument.aspx?app=lom&amp;itemid=8574&amp;l=1" TargetMode="External"/><Relationship Id="rId129" Type="http://schemas.openxmlformats.org/officeDocument/2006/relationships/hyperlink" Target="http://www.justiceservices.gov.mt/DownloadDocument.aspx?app=lom&amp;itemid=8577&amp;l=1" TargetMode="External"/><Relationship Id="rId54" Type="http://schemas.openxmlformats.org/officeDocument/2006/relationships/hyperlink" Target="http://www.justiceservices.gov.mt/DownloadDocument.aspx?app=lom&amp;itemid=8774&amp;l=1" TargetMode="External"/><Relationship Id="rId70" Type="http://schemas.openxmlformats.org/officeDocument/2006/relationships/hyperlink" Target="http://www.justiceservices.gov.mt/DownloadDocument.aspx?app=lom&amp;itemid=8577&amp;l=1" TargetMode="External"/><Relationship Id="rId75" Type="http://schemas.openxmlformats.org/officeDocument/2006/relationships/hyperlink" Target="http://www.justiceservices.gov.mt/DownloadDocument.aspx?app=lom&amp;itemid=8577&amp;l=1" TargetMode="External"/><Relationship Id="rId91" Type="http://schemas.openxmlformats.org/officeDocument/2006/relationships/hyperlink" Target="http://www.hcch.net/upload/conventions/txt28en.pdf" TargetMode="External"/><Relationship Id="rId96" Type="http://schemas.openxmlformats.org/officeDocument/2006/relationships/hyperlink" Target="http://www.justiceservices.gov.mt/DownloadDocument.aspx?app=lom&amp;itemid=8577&amp;l=1" TargetMode="External"/><Relationship Id="rId140" Type="http://schemas.openxmlformats.org/officeDocument/2006/relationships/hyperlink" Target="http://www.justiceservices.gov.mt/DownloadDocument.aspx?app=lom&amp;itemid=8580&amp;l=1" TargetMode="External"/><Relationship Id="rId145" Type="http://schemas.openxmlformats.org/officeDocument/2006/relationships/hyperlink" Target="http://www.justiceservices.gov.mt/DownloadDocument.aspx?app=lom&amp;itemid=8577&amp;l=1" TargetMode="External"/><Relationship Id="rId161" Type="http://schemas.openxmlformats.org/officeDocument/2006/relationships/hyperlink" Target="http://www.justiceservices.gov.mt/DownloadDocument.aspx?app=lom&amp;itemid=8577&amp;l=1" TargetMode="External"/><Relationship Id="rId166" Type="http://schemas.openxmlformats.org/officeDocument/2006/relationships/hyperlink" Target="http://www.justiceservices.gov.mt/DownloadDocument.aspx?app=lom&amp;itemid=9036&amp;l=1" TargetMode="External"/><Relationship Id="rId182" Type="http://schemas.openxmlformats.org/officeDocument/2006/relationships/hyperlink" Target="http://www.justiceservices.gov.mt/DownloadDocument.aspx?app=lom&amp;itemid=8580&amp;l=1" TargetMode="External"/><Relationship Id="rId187" Type="http://schemas.openxmlformats.org/officeDocument/2006/relationships/hyperlink" Target="http://www.justiceservices.gov.mt/DownloadDocument.aspx?app=lom&amp;itemid=8876&amp;l=1" TargetMode="External"/><Relationship Id="rId1" Type="http://schemas.openxmlformats.org/officeDocument/2006/relationships/hyperlink" Target="http://bookshop.europa.eu/en/summary-of-contextual-overviews-on-children-s-involvement-in-criminal-judicial-proceedings-in-the-28-member-states-of-the-european-union-pbDS0313659/related/?PublicationKey=DS0313659&amp;CatalogCategoryID=WTQKABsteF0AAAEjKpEY4e5L" TargetMode="External"/><Relationship Id="rId6" Type="http://schemas.openxmlformats.org/officeDocument/2006/relationships/hyperlink" Target="http://www.justiceservices.gov.mt/DownloadDocument.aspx?app=lom&amp;itemid=8774&amp;l=1" TargetMode="External"/><Relationship Id="rId23" Type="http://schemas.openxmlformats.org/officeDocument/2006/relationships/hyperlink" Target="http://www.justiceservices.gov.mt/DownloadDocument.aspx?app=lom&amp;itemid=8577&amp;l=1" TargetMode="External"/><Relationship Id="rId28" Type="http://schemas.openxmlformats.org/officeDocument/2006/relationships/hyperlink" Target="http://www.justiceservices.gov.mt/DownloadDocument.aspx?app=lom&amp;itemid=8928&amp;l=1" TargetMode="External"/><Relationship Id="rId49" Type="http://schemas.openxmlformats.org/officeDocument/2006/relationships/hyperlink" Target="http://www.justiceservices.gov.mt/DownloadDocument.aspx?app=lom&amp;itemid=8580&amp;l=1" TargetMode="External"/><Relationship Id="rId114" Type="http://schemas.openxmlformats.org/officeDocument/2006/relationships/hyperlink" Target="http://ethicnet.uta.fi/malta/code_of_journalistic_ethics" TargetMode="External"/><Relationship Id="rId119" Type="http://schemas.openxmlformats.org/officeDocument/2006/relationships/hyperlink" Target="http://www.justiceservices.gov.mt/DownloadDocument.aspx?app=lom&amp;itemid=8577&amp;l=1" TargetMode="External"/><Relationship Id="rId44" Type="http://schemas.openxmlformats.org/officeDocument/2006/relationships/hyperlink" Target="http://www.justiceservices.gov.mt/DownloadDocument.aspx?app=lom&amp;itemid=8580&amp;l=1" TargetMode="External"/><Relationship Id="rId60" Type="http://schemas.openxmlformats.org/officeDocument/2006/relationships/hyperlink" Target="http://www.justiceservices.gov.mt/DownloadDocument.aspx?app=lom&amp;itemid=8580&amp;l=1" TargetMode="External"/><Relationship Id="rId65" Type="http://schemas.openxmlformats.org/officeDocument/2006/relationships/hyperlink" Target="http://www.justiceservices.gov.mt/DownloadDocument.aspx?app=lom&amp;itemid=8580&amp;l=1" TargetMode="External"/><Relationship Id="rId81" Type="http://schemas.openxmlformats.org/officeDocument/2006/relationships/hyperlink" Target="http://ec.europa.eu/civiljustice/publications/docs/family_rights/malta_en.pdf" TargetMode="External"/><Relationship Id="rId86" Type="http://schemas.openxmlformats.org/officeDocument/2006/relationships/hyperlink" Target="http://family-law.com.mt/marriage-breakdown/decisions-pending-separation-process-pendente-lite" TargetMode="External"/><Relationship Id="rId130" Type="http://schemas.openxmlformats.org/officeDocument/2006/relationships/hyperlink" Target="https://www.education.gov.mt/mediacenter.ashx?file=MediaCenter/Docs/1_child%20policy.pdf" TargetMode="External"/><Relationship Id="rId135" Type="http://schemas.openxmlformats.org/officeDocument/2006/relationships/hyperlink" Target="http://www.justiceservices.gov.mt/DownloadDocument.aspx?app=lom&amp;itemid=8580&amp;l=1" TargetMode="External"/><Relationship Id="rId151" Type="http://schemas.openxmlformats.org/officeDocument/2006/relationships/hyperlink" Target="http://www.justiceservices.gov.mt/DownloadDocument.aspx?app=lom&amp;itemid=8580&amp;l=1" TargetMode="External"/><Relationship Id="rId156" Type="http://schemas.openxmlformats.org/officeDocument/2006/relationships/hyperlink" Target="http://www.justiceservices.gov.mt/DownloadDocument.aspx?app=lom&amp;itemid=8580&amp;l=1" TargetMode="External"/><Relationship Id="rId177" Type="http://schemas.openxmlformats.org/officeDocument/2006/relationships/hyperlink" Target="http://www.justiceservices.gov.mt/DownloadDocument.aspx?app=lom&amp;itemid=8577&amp;l=1" TargetMode="External"/><Relationship Id="rId172" Type="http://schemas.openxmlformats.org/officeDocument/2006/relationships/hyperlink" Target="http://www.justiceservices.gov.mt/DownloadDocument.aspx?app=lom&amp;itemid=8577&amp;l=1" TargetMode="External"/><Relationship Id="rId13" Type="http://schemas.openxmlformats.org/officeDocument/2006/relationships/hyperlink" Target="http://www.bibliotecanonica.net/docsaa/btcaam.pdf" TargetMode="External"/><Relationship Id="rId18" Type="http://schemas.openxmlformats.org/officeDocument/2006/relationships/hyperlink" Target="http://www.justiceservices.gov.mt/DownloadDocument.aspx?app=lom&amp;itemid=9035&amp;l=1" TargetMode="External"/><Relationship Id="rId39" Type="http://schemas.openxmlformats.org/officeDocument/2006/relationships/hyperlink" Target="http://www.justiceservices.gov.mt/DownloadDocument.aspx?app=lom&amp;itemid=9036&amp;l=1" TargetMode="External"/><Relationship Id="rId109" Type="http://schemas.openxmlformats.org/officeDocument/2006/relationships/hyperlink" Target="http://www.justiceservices.gov.mt/DownloadDocument.aspx?app=lom&amp;itemid=8906&amp;l=1" TargetMode="External"/><Relationship Id="rId34" Type="http://schemas.openxmlformats.org/officeDocument/2006/relationships/hyperlink" Target="https://secure3.gov.mt/socialpolicy/family/fsws/appogg/appogg_socio_legal/intake_overview" TargetMode="External"/><Relationship Id="rId50" Type="http://schemas.openxmlformats.org/officeDocument/2006/relationships/hyperlink" Target="http://www.justiceservices.gov.mt/DownloadDocument.aspx?app=lom&amp;itemid=8580&amp;l=1" TargetMode="External"/><Relationship Id="rId55" Type="http://schemas.openxmlformats.org/officeDocument/2006/relationships/hyperlink" Target="http://www.justiceservices.gov.mt/DownloadDocument.aspx?app=lom&amp;itemid=8773&amp;l=1" TargetMode="External"/><Relationship Id="rId76" Type="http://schemas.openxmlformats.org/officeDocument/2006/relationships/hyperlink" Target="http://www.justiceservices.gov.mt/DownloadDocument.aspx?app=lom&amp;itemid=8580&amp;l=1" TargetMode="External"/><Relationship Id="rId97" Type="http://schemas.openxmlformats.org/officeDocument/2006/relationships/hyperlink" Target="http://www.justiceservices.gov.mt/DownloadDocument.aspx?app=lom&amp;itemid=8577&amp;l=1" TargetMode="External"/><Relationship Id="rId104" Type="http://schemas.openxmlformats.org/officeDocument/2006/relationships/hyperlink" Target="http://www.justiceservices.gov.mt/DownloadDocument.aspx?app=lom&amp;itemid=8577&amp;l=1" TargetMode="External"/><Relationship Id="rId120" Type="http://schemas.openxmlformats.org/officeDocument/2006/relationships/hyperlink" Target="http://www.justiceservices.gov.mt/DownloadDocument.aspx?app=lom&amp;itemid=8577&amp;l=1" TargetMode="External"/><Relationship Id="rId125" Type="http://schemas.openxmlformats.org/officeDocument/2006/relationships/hyperlink" Target="http://www.justiceservices.gov.mt/DownloadDocument.aspx?app=lom&amp;itemid=8574&amp;l=1" TargetMode="External"/><Relationship Id="rId141" Type="http://schemas.openxmlformats.org/officeDocument/2006/relationships/hyperlink" Target="http://www.justiceservices.gov.mt/DownloadDocument.aspx?app=lom&amp;itemid=8580&amp;l=1" TargetMode="External"/><Relationship Id="rId146" Type="http://schemas.openxmlformats.org/officeDocument/2006/relationships/hyperlink" Target="http://www.justiceservices.gov.mt/DownloadDocument.aspx?app=lom&amp;itemid=8577&amp;l=1" TargetMode="External"/><Relationship Id="rId167" Type="http://schemas.openxmlformats.org/officeDocument/2006/relationships/hyperlink" Target="http://www.justiceservices.gov.mt/DownloadDocument.aspx?app=lom&amp;itemid=8580&amp;l=1" TargetMode="External"/><Relationship Id="rId188" Type="http://schemas.openxmlformats.org/officeDocument/2006/relationships/hyperlink" Target="http://www.tfal.org.mt/MediaCenter/PDFs/1_annual_report_child_commission_.pdf" TargetMode="External"/><Relationship Id="rId7" Type="http://schemas.openxmlformats.org/officeDocument/2006/relationships/hyperlink" Target="http://www.justiceservices.gov.mt/DownloadDocument.aspx?app=lom&amp;itemid=8577&amp;l=1" TargetMode="External"/><Relationship Id="rId71" Type="http://schemas.openxmlformats.org/officeDocument/2006/relationships/hyperlink" Target="http://www.justiceservices.gov.mt/DownloadDocument.aspx?app=lom&amp;itemid=11226&amp;l=1" TargetMode="External"/><Relationship Id="rId92" Type="http://schemas.openxmlformats.org/officeDocument/2006/relationships/hyperlink" Target="http://conventions.coe.int/Treaty/en/Treaties/Html/105.htm" TargetMode="External"/><Relationship Id="rId162" Type="http://schemas.openxmlformats.org/officeDocument/2006/relationships/hyperlink" Target="http://www.justiceservices.gov.mt/DownloadDocument.aspx?app=lom&amp;itemid=9036&amp;l=1" TargetMode="External"/><Relationship Id="rId183" Type="http://schemas.openxmlformats.org/officeDocument/2006/relationships/hyperlink" Target="http://www.justiceservices.gov.mt/DownloadDocument.aspx?app=lom&amp;itemid=8580&amp;l=1" TargetMode="External"/><Relationship Id="rId2" Type="http://schemas.openxmlformats.org/officeDocument/2006/relationships/hyperlink" Target="http://www.justiceservices.gov.mt/DownloadDocument.aspx?app=lom&amp;itemid=8580&amp;l=1" TargetMode="External"/><Relationship Id="rId29" Type="http://schemas.openxmlformats.org/officeDocument/2006/relationships/hyperlink" Target="http://www.tfal.org.mt/aboutus.aspx?lid=1" TargetMode="External"/><Relationship Id="rId24" Type="http://schemas.openxmlformats.org/officeDocument/2006/relationships/hyperlink" Target="http://www.justiceservices.gov.mt/DownloadDocument.aspx?app=lom&amp;itemid=8577&amp;l=1" TargetMode="External"/><Relationship Id="rId40" Type="http://schemas.openxmlformats.org/officeDocument/2006/relationships/hyperlink" Target="http://education.gov.mt/en/resources/documents/policy%20documents/draft.pdf" TargetMode="External"/><Relationship Id="rId45" Type="http://schemas.openxmlformats.org/officeDocument/2006/relationships/hyperlink" Target="http://www.justiceservices.gov.mt/DownloadDocument.aspx?app=lom&amp;itemid=8580&amp;l=1" TargetMode="External"/><Relationship Id="rId66" Type="http://schemas.openxmlformats.org/officeDocument/2006/relationships/hyperlink" Target="http://www.justiceservices.gov.mt/DownloadDocument.aspx?app=lom&amp;itemid=8928&amp;l=1" TargetMode="External"/><Relationship Id="rId87" Type="http://schemas.openxmlformats.org/officeDocument/2006/relationships/hyperlink" Target="http://www.justiceservices.gov.mt/DownloadDocument.aspx?app=lom&amp;itemid=8580&amp;l=1" TargetMode="External"/><Relationship Id="rId110" Type="http://schemas.openxmlformats.org/officeDocument/2006/relationships/hyperlink" Target="http://www.justiceservices.gov.mt/DownloadDocument.aspx?app=lom&amp;itemid=11055&amp;l=1" TargetMode="External"/><Relationship Id="rId115" Type="http://schemas.openxmlformats.org/officeDocument/2006/relationships/hyperlink" Target="http://ethicnet.uta.fi/malta/code_of_journalistic_ethics" TargetMode="External"/><Relationship Id="rId131" Type="http://schemas.openxmlformats.org/officeDocument/2006/relationships/hyperlink" Target="https://www.education.gov.mt/mediacenter.ashx?file=MediaCenter/Docs/1_child%20policy.pdf" TargetMode="External"/><Relationship Id="rId136" Type="http://schemas.openxmlformats.org/officeDocument/2006/relationships/hyperlink" Target="https://www.education.gov.mt/mediacenter.ashx?file=MediaCenter/Docs/1_child%20policy.pdf" TargetMode="External"/><Relationship Id="rId157" Type="http://schemas.openxmlformats.org/officeDocument/2006/relationships/hyperlink" Target="http://www.justiceservices.gov.mt/DownloadDocument.aspx?app=lom&amp;itemid=8580&amp;l=1" TargetMode="External"/><Relationship Id="rId178" Type="http://schemas.openxmlformats.org/officeDocument/2006/relationships/hyperlink" Target="http://www.justiceservices.gov.mt/DownloadDocument.aspx?app=lom&amp;itemid=8580&amp;l=1" TargetMode="External"/><Relationship Id="rId61" Type="http://schemas.openxmlformats.org/officeDocument/2006/relationships/hyperlink" Target="http://www.justiceservices.gov.mt/DownloadDocument.aspx?app=lom&amp;itemid=8580&amp;l=1" TargetMode="External"/><Relationship Id="rId82" Type="http://schemas.openxmlformats.org/officeDocument/2006/relationships/hyperlink" Target="http://www.justiceservices.gov.mt/DownloadDocument.aspx?app=lom&amp;itemid=8580&amp;l=1" TargetMode="External"/><Relationship Id="rId152" Type="http://schemas.openxmlformats.org/officeDocument/2006/relationships/hyperlink" Target="http://www.justiceservices.gov.mt/DownloadDocument.aspx?app=lom&amp;itemid=8577&amp;l=1" TargetMode="External"/><Relationship Id="rId173" Type="http://schemas.openxmlformats.org/officeDocument/2006/relationships/hyperlink" Target="http://www.justiceservices.gov.mt/DownloadDocument.aspx?app=lom&amp;itemid=8577&amp;l=1" TargetMode="External"/><Relationship Id="rId19" Type="http://schemas.openxmlformats.org/officeDocument/2006/relationships/hyperlink" Target="http://www.justiceservices.gov.mt/DownloadDocument.aspx?app=lom&amp;itemid=9035&amp;l=1" TargetMode="External"/><Relationship Id="rId14" Type="http://schemas.openxmlformats.org/officeDocument/2006/relationships/hyperlink" Target="http://www.justiceservices.gov.mt/DownloadDocument.aspx?app=lom&amp;itemid=8876&amp;l=1" TargetMode="External"/><Relationship Id="rId30" Type="http://schemas.openxmlformats.org/officeDocument/2006/relationships/hyperlink" Target="http://www.justiceservices.gov.mt/DownloadDocument.aspx?app=lom&amp;itemid=8928&amp;l=1" TargetMode="External"/><Relationship Id="rId35" Type="http://schemas.openxmlformats.org/officeDocument/2006/relationships/hyperlink" Target="https://secure3.gov.mt/socialpolicy/family/fsws/appogg/appogg_socio_legal/intake_overview" TargetMode="External"/><Relationship Id="rId56" Type="http://schemas.openxmlformats.org/officeDocument/2006/relationships/hyperlink" Target="http://www.justiceservices.gov.mt/DownloadDocument.aspx?app=lom&amp;itemid=8876&amp;l=1" TargetMode="External"/><Relationship Id="rId77" Type="http://schemas.openxmlformats.org/officeDocument/2006/relationships/hyperlink" Target="http://www.justiceservices.gov.mt/DownloadDocument.aspx?app=lom&amp;itemid=8577&amp;l=1" TargetMode="External"/><Relationship Id="rId100" Type="http://schemas.openxmlformats.org/officeDocument/2006/relationships/hyperlink" Target="https://secure3.gov.mt/socialpolicy/SocProt/family/fsws/appogg/appogg_socio_legal/intake_overview.aspx" TargetMode="External"/><Relationship Id="rId105" Type="http://schemas.openxmlformats.org/officeDocument/2006/relationships/hyperlink" Target="http://www.justiceservices.gov.mt/DownloadDocument.aspx?app=lom&amp;itemid=8577&amp;l=1" TargetMode="External"/><Relationship Id="rId126" Type="http://schemas.openxmlformats.org/officeDocument/2006/relationships/hyperlink" Target="http://www.justiceservices.gov.mt/DownloadDocument.aspx?app=lom&amp;itemid=8574&amp;l=1" TargetMode="External"/><Relationship Id="rId147" Type="http://schemas.openxmlformats.org/officeDocument/2006/relationships/hyperlink" Target="http://www.justiceservices.gov.mt/DownloadDocument.aspx?app=lom&amp;itemid=8577&amp;l=1" TargetMode="External"/><Relationship Id="rId168" Type="http://schemas.openxmlformats.org/officeDocument/2006/relationships/hyperlink" Target="http://www.justiceservices.gov.mt/DownloadDocument.aspx?app=lom&amp;itemid=8577&amp;l=1" TargetMode="External"/><Relationship Id="rId8" Type="http://schemas.openxmlformats.org/officeDocument/2006/relationships/hyperlink" Target="http://www.justiceservices.gov.mt/DownloadDocument.aspx?app=lom&amp;itemid=8577&amp;l=1" TargetMode="External"/><Relationship Id="rId51" Type="http://schemas.openxmlformats.org/officeDocument/2006/relationships/hyperlink" Target="http://www.justiceservices.gov.mt/DownloadDocument.aspx?app=lom&amp;itemid=8580&amp;l=1" TargetMode="External"/><Relationship Id="rId72" Type="http://schemas.openxmlformats.org/officeDocument/2006/relationships/hyperlink" Target="http://www.justiceservices.gov.mt/DownloadDocument.aspx?app=lom&amp;itemid=8739&amp;l=1" TargetMode="External"/><Relationship Id="rId93" Type="http://schemas.openxmlformats.org/officeDocument/2006/relationships/hyperlink" Target="http://www.justiceservices.gov.mt/DownloadDocument.aspx?app=lom&amp;itemid=8876&amp;l=1" TargetMode="External"/><Relationship Id="rId98" Type="http://schemas.openxmlformats.org/officeDocument/2006/relationships/hyperlink" Target="http://www.justiceservices.gov.mt/DownloadDocument.aspx?app=lom&amp;itemid=8577&amp;l=1" TargetMode="External"/><Relationship Id="rId121" Type="http://schemas.openxmlformats.org/officeDocument/2006/relationships/hyperlink" Target="http://family-law.com.mt/marriage-breakdown/protection-restraining-and-treatment-orders" TargetMode="External"/><Relationship Id="rId142" Type="http://schemas.openxmlformats.org/officeDocument/2006/relationships/hyperlink" Target="http://www.justiceservices.gov.mt/DownloadDocument.aspx?app=lom&amp;itemid=8580&amp;l=1" TargetMode="External"/><Relationship Id="rId163" Type="http://schemas.openxmlformats.org/officeDocument/2006/relationships/hyperlink" Target="http://www.justiceservices.gov.mt/DownloadDocument.aspx?app=lom&amp;itemid=9036&amp;l=1" TargetMode="External"/><Relationship Id="rId184" Type="http://schemas.openxmlformats.org/officeDocument/2006/relationships/hyperlink" Target="http://www.justiceservices.gov.mt/DownloadDocument.aspx?app=lom&amp;itemid=8580&amp;l=1" TargetMode="External"/><Relationship Id="rId3" Type="http://schemas.openxmlformats.org/officeDocument/2006/relationships/hyperlink" Target="http://www.justiceservices.gov.mt/DownloadDocument.aspx?app=lom&amp;itemid=8577&amp;l=1" TargetMode="External"/><Relationship Id="rId25" Type="http://schemas.openxmlformats.org/officeDocument/2006/relationships/hyperlink" Target="http://www.justiceservices.gov.mt/DownloadDocument.aspx?app=lom&amp;itemid=8577&amp;l=1" TargetMode="External"/><Relationship Id="rId46" Type="http://schemas.openxmlformats.org/officeDocument/2006/relationships/hyperlink" Target="http://www.justiceservices.gov.mt/DownloadDocument.aspx?app=lom&amp;itemid=8578&amp;l=1" TargetMode="External"/><Relationship Id="rId67" Type="http://schemas.openxmlformats.org/officeDocument/2006/relationships/hyperlink" Target="http://www.justiceservices.gov.mt/DownloadDocument.aspx?app=lom&amp;itemid=8580&amp;l=1" TargetMode="External"/><Relationship Id="rId116" Type="http://schemas.openxmlformats.org/officeDocument/2006/relationships/hyperlink" Target="http://www.justiceservices.gov.mt/DownloadDocument.aspx?app=lom&amp;itemid=8580&amp;l=1" TargetMode="External"/><Relationship Id="rId137" Type="http://schemas.openxmlformats.org/officeDocument/2006/relationships/hyperlink" Target="http://www.tfal.org.mt/MediaCenter/PDFs/1_annual_report_child_commission_.pdf" TargetMode="External"/><Relationship Id="rId158" Type="http://schemas.openxmlformats.org/officeDocument/2006/relationships/hyperlink" Target="https://www.education.gov.mt/mediacenter.ashx?file=MediaCenter/Docs/1_child%20policy.pdf" TargetMode="External"/><Relationship Id="rId20" Type="http://schemas.openxmlformats.org/officeDocument/2006/relationships/hyperlink" Target="http://www.justiceservices.gov.mt/DownloadDocument.aspx?app=lom&amp;itemid=8577&amp;l=1" TargetMode="External"/><Relationship Id="rId41" Type="http://schemas.openxmlformats.org/officeDocument/2006/relationships/hyperlink" Target="http://www.justiceservices.gov.mt/DownloadDocument.aspx?app=lom&amp;itemid=8574&amp;l=1" TargetMode="External"/><Relationship Id="rId62" Type="http://schemas.openxmlformats.org/officeDocument/2006/relationships/hyperlink" Target="http://www.justiceservices.gov.mt/DownloadDocument.aspx?app=lom&amp;itemid=8580&amp;l=1" TargetMode="External"/><Relationship Id="rId83" Type="http://schemas.openxmlformats.org/officeDocument/2006/relationships/hyperlink" Target="http://www.justiceservices.gov.mt/DownloadDocument.aspx?app=lom&amp;itemid=8580&amp;l=1" TargetMode="External"/><Relationship Id="rId88" Type="http://schemas.openxmlformats.org/officeDocument/2006/relationships/hyperlink" Target="http://www.justiceservices.gov.mt/DownloadDocument.aspx?app=lom&amp;itemid=8580&amp;l=1" TargetMode="External"/><Relationship Id="rId111" Type="http://schemas.openxmlformats.org/officeDocument/2006/relationships/hyperlink" Target="http://www.justiceservices.gov.mt/DownloadDocument.aspx?app=lom&amp;itemid=8906&amp;l=1" TargetMode="External"/><Relationship Id="rId132" Type="http://schemas.openxmlformats.org/officeDocument/2006/relationships/hyperlink" Target="http://www.justiceservices.gov.mt/DownloadDocument.aspx?app=lom&amp;itemid=8580&amp;l=1" TargetMode="External"/><Relationship Id="rId153" Type="http://schemas.openxmlformats.org/officeDocument/2006/relationships/hyperlink" Target="http://www.justiceservices.gov.mt/DownloadDocument.aspx?app=lom&amp;itemid=8577&amp;l=1" TargetMode="External"/><Relationship Id="rId174" Type="http://schemas.openxmlformats.org/officeDocument/2006/relationships/hyperlink" Target="http://www.justiceservices.gov.mt/DownloadDocument.aspx?app=lom&amp;itemid=8577&amp;l=1" TargetMode="External"/><Relationship Id="rId179" Type="http://schemas.openxmlformats.org/officeDocument/2006/relationships/hyperlink" Target="http://www.justiceservices.gov.mt/DownloadDocument.aspx?app=lom&amp;itemid=8574&amp;l=1" TargetMode="External"/><Relationship Id="rId15" Type="http://schemas.openxmlformats.org/officeDocument/2006/relationships/hyperlink" Target="http://www.justiceservices.gov.mt/DownloadDocument.aspx?app=lom&amp;itemid=9036&amp;l=1" TargetMode="External"/><Relationship Id="rId36" Type="http://schemas.openxmlformats.org/officeDocument/2006/relationships/hyperlink" Target="https://secure3.gov.mt/socialpolicy/family/fsws/appogg/appogg_socio_legal/intake_overview" TargetMode="External"/><Relationship Id="rId57" Type="http://schemas.openxmlformats.org/officeDocument/2006/relationships/hyperlink" Target="http://www.justiceservices.gov.mt/DownloadDocument.aspx?app=lom&amp;itemid=8580&amp;l=1" TargetMode="External"/><Relationship Id="rId106" Type="http://schemas.openxmlformats.org/officeDocument/2006/relationships/hyperlink" Target="http://www.justiceservices.gov.mt/DownloadDocument.aspx?app=lom&amp;itemid=8906&amp;l=1" TargetMode="External"/><Relationship Id="rId127" Type="http://schemas.openxmlformats.org/officeDocument/2006/relationships/hyperlink" Target="https://secure3.gov.mt/socialpolicy/family/fsws/appogg/appogg_socio_legal/intake_overview" TargetMode="External"/><Relationship Id="rId10" Type="http://schemas.openxmlformats.org/officeDocument/2006/relationships/hyperlink" Target="http://www.justiceservices.gov.mt/DownloadDocument.aspx?app=lom&amp;itemid=9035&amp;l=1" TargetMode="External"/><Relationship Id="rId31" Type="http://schemas.openxmlformats.org/officeDocument/2006/relationships/hyperlink" Target="http://www.justiceservices.gov.mt/DownloadDocument.aspx?app=lom&amp;itemid=8928&amp;l=1" TargetMode="External"/><Relationship Id="rId52" Type="http://schemas.openxmlformats.org/officeDocument/2006/relationships/hyperlink" Target="http://www.justiceservices.gov.mt/DownloadDocument.aspx?app=lom&amp;itemid=8580&amp;l=1" TargetMode="External"/><Relationship Id="rId73" Type="http://schemas.openxmlformats.org/officeDocument/2006/relationships/hyperlink" Target="http://www.justiceservices.gov.mt/DownloadDocument.aspx?app=lom&amp;itemid=8577&amp;l=1" TargetMode="External"/><Relationship Id="rId78" Type="http://schemas.openxmlformats.org/officeDocument/2006/relationships/hyperlink" Target="http://www.justiceservices.gov.mt/DownloadDocument.aspx?app=lom&amp;itemid=8577&amp;l=1" TargetMode="External"/><Relationship Id="rId94" Type="http://schemas.openxmlformats.org/officeDocument/2006/relationships/hyperlink" Target="http://www.justiceservices.gov.mt/DownloadDocument.aspx?app=lom&amp;itemid=8876&amp;l=1" TargetMode="External"/><Relationship Id="rId99" Type="http://schemas.openxmlformats.org/officeDocument/2006/relationships/hyperlink" Target="http://www.justiceservices.gov.mt/DownloadDocument.aspx?app=lom&amp;itemid=8577&amp;l=1" TargetMode="External"/><Relationship Id="rId101" Type="http://schemas.openxmlformats.org/officeDocument/2006/relationships/hyperlink" Target="http://www.kellimni.com/" TargetMode="External"/><Relationship Id="rId122" Type="http://schemas.openxmlformats.org/officeDocument/2006/relationships/hyperlink" Target="http://www.justiceservices.gov.mt/DownloadDocument.aspx?app=lom&amp;itemid=8580&amp;l=1" TargetMode="External"/><Relationship Id="rId143" Type="http://schemas.openxmlformats.org/officeDocument/2006/relationships/hyperlink" Target="http://www.justiceservices.gov.mt/DownloadDocument.aspx?app=lom&amp;itemid=8580&amp;l=1" TargetMode="External"/><Relationship Id="rId148" Type="http://schemas.openxmlformats.org/officeDocument/2006/relationships/hyperlink" Target="http://www.justiceservices.gov.mt/DownloadDocument.aspx?app=lom&amp;itemid=8577&amp;l=1" TargetMode="External"/><Relationship Id="rId164" Type="http://schemas.openxmlformats.org/officeDocument/2006/relationships/hyperlink" Target="http://www.justiceservices.gov.mt/DownloadDocument.aspx?app=lom&amp;itemid=8854&amp;l=1" TargetMode="External"/><Relationship Id="rId169" Type="http://schemas.openxmlformats.org/officeDocument/2006/relationships/hyperlink" Target="http://www.justiceservices.gov.mt/DownloadDocument.aspx?app=lom&amp;itemid=8580&amp;l=1" TargetMode="External"/><Relationship Id="rId185" Type="http://schemas.openxmlformats.org/officeDocument/2006/relationships/hyperlink" Target="http://www.justiceservices.gov.mt/DownloadDocument.aspx?app=lom&amp;itemid=8774&amp;l=1" TargetMode="External"/><Relationship Id="rId4" Type="http://schemas.openxmlformats.org/officeDocument/2006/relationships/hyperlink" Target="http://justiceservices.gov.mt/DownloadDocument.aspx?app=lom&amp;itemid=8773" TargetMode="External"/><Relationship Id="rId9" Type="http://schemas.openxmlformats.org/officeDocument/2006/relationships/hyperlink" Target="http://www.justiceservices.gov.mt/DownloadDocument.aspx?app=lom&amp;itemid=9035&amp;l=1" TargetMode="External"/><Relationship Id="rId180" Type="http://schemas.openxmlformats.org/officeDocument/2006/relationships/hyperlink" Target="http://www.justiceservices.gov.mt/DownloadDocument.aspx?app=lom&amp;itemid=8574&amp;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6111DE-FEC0-4D0D-87FE-06A7DCEA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Template>
  <TotalTime>0</TotalTime>
  <Pages>37</Pages>
  <Words>16907</Words>
  <Characters>96376</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Jolandie</dc:creator>
  <cp:lastModifiedBy>Clemente, Jolandie</cp:lastModifiedBy>
  <cp:revision>2</cp:revision>
  <cp:lastPrinted>2010-04-16T13:59:00Z</cp:lastPrinted>
  <dcterms:created xsi:type="dcterms:W3CDTF">2015-01-02T11:40:00Z</dcterms:created>
  <dcterms:modified xsi:type="dcterms:W3CDTF">2015-01-02T11:40:00Z</dcterms:modified>
</cp:coreProperties>
</file>